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rawings/drawing1.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BB0" w:rsidRDefault="00072BB0"/>
    <w:p w:rsidR="000C5FE2" w:rsidRDefault="00820FE6" w:rsidP="00820FE6">
      <w:pPr>
        <w:spacing w:line="240" w:lineRule="auto"/>
        <w:jc w:val="center"/>
        <w:rPr>
          <w:b/>
          <w:sz w:val="36"/>
          <w:szCs w:val="36"/>
        </w:rPr>
      </w:pPr>
      <w:r>
        <w:rPr>
          <w:b/>
          <w:noProof/>
          <w:lang w:eastAsia="en-GB"/>
        </w:rPr>
        <w:drawing>
          <wp:inline distT="0" distB="0" distL="0" distR="0" wp14:anchorId="25CC801B" wp14:editId="315B4E1F">
            <wp:extent cx="4305300" cy="7884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356" cy="786264"/>
                    </a:xfrm>
                    <a:prstGeom prst="rect">
                      <a:avLst/>
                    </a:prstGeom>
                    <a:noFill/>
                    <a:ln>
                      <a:noFill/>
                    </a:ln>
                  </pic:spPr>
                </pic:pic>
              </a:graphicData>
            </a:graphic>
          </wp:inline>
        </w:drawing>
      </w:r>
    </w:p>
    <w:sdt>
      <w:sdtPr>
        <w:rPr>
          <w:rFonts w:asciiTheme="majorHAnsi" w:eastAsiaTheme="majorEastAsia" w:hAnsiTheme="majorHAnsi" w:cstheme="majorBidi"/>
          <w:color w:val="4F81BD" w:themeColor="accent1"/>
          <w:sz w:val="80"/>
          <w:szCs w:val="80"/>
          <w:lang w:val="en-GB" w:eastAsia="en-US"/>
        </w:rPr>
        <w:id w:val="-1297984202"/>
        <w:docPartObj>
          <w:docPartGallery w:val="Cover Pages"/>
          <w:docPartUnique/>
        </w:docPartObj>
      </w:sdtPr>
      <w:sdtEndPr>
        <w:rPr>
          <w:rFonts w:ascii="Arial" w:eastAsia="Times New Roman" w:hAnsi="Arial" w:cs="Times New Roman"/>
          <w:b/>
          <w:color w:val="auto"/>
          <w:sz w:val="24"/>
          <w:szCs w:val="24"/>
        </w:rPr>
      </w:sdtEndPr>
      <w:sdtContent>
        <w:tbl>
          <w:tblPr>
            <w:tblpPr w:leftFromText="187" w:rightFromText="187" w:horzAnchor="margin" w:tblpXSpec="center" w:tblpY="2881"/>
            <w:tblW w:w="4508" w:type="pct"/>
            <w:tblInd w:w="-7" w:type="dxa"/>
            <w:tblBorders>
              <w:top w:val="single" w:sz="18" w:space="0" w:color="4F81BD" w:themeColor="accent1"/>
              <w:left w:val="single" w:sz="18" w:space="0" w:color="4F81BD" w:themeColor="accent1"/>
              <w:bottom w:val="single" w:sz="18" w:space="0" w:color="4F81BD" w:themeColor="accent1"/>
              <w:right w:val="single" w:sz="18" w:space="0" w:color="4F81BD" w:themeColor="accent1"/>
            </w:tblBorders>
            <w:tblLook w:val="04A0" w:firstRow="1" w:lastRow="0" w:firstColumn="1" w:lastColumn="0" w:noHBand="0" w:noVBand="1"/>
          </w:tblPr>
          <w:tblGrid>
            <w:gridCol w:w="8333"/>
          </w:tblGrid>
          <w:tr w:rsidR="000C5FE2" w:rsidTr="00D4500A">
            <w:trPr>
              <w:trHeight w:val="2870"/>
            </w:trPr>
            <w:tc>
              <w:tcPr>
                <w:tcW w:w="8333"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0C5FE2" w:rsidRDefault="000D6FD9" w:rsidP="000D6FD9">
                    <w:pPr>
                      <w:pStyle w:val="NoSpacing"/>
                      <w:jc w:val="center"/>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lang w:val="en-GB"/>
                      </w:rPr>
                      <w:t>Pre-</w:t>
                    </w:r>
                    <w:r w:rsidR="00F87FEA">
                      <w:rPr>
                        <w:rFonts w:asciiTheme="majorHAnsi" w:eastAsiaTheme="majorEastAsia" w:hAnsiTheme="majorHAnsi" w:cstheme="majorBidi"/>
                        <w:color w:val="4F81BD" w:themeColor="accent1"/>
                        <w:sz w:val="80"/>
                        <w:szCs w:val="80"/>
                        <w:lang w:val="en-GB"/>
                      </w:rPr>
                      <w:t>Pack Empirical Research</w:t>
                    </w:r>
                    <w:r>
                      <w:rPr>
                        <w:rFonts w:asciiTheme="majorHAnsi" w:eastAsiaTheme="majorEastAsia" w:hAnsiTheme="majorHAnsi" w:cstheme="majorBidi"/>
                        <w:color w:val="4F81BD" w:themeColor="accent1"/>
                        <w:sz w:val="80"/>
                        <w:szCs w:val="80"/>
                        <w:lang w:val="en-GB"/>
                      </w:rPr>
                      <w:t>:</w:t>
                    </w:r>
                    <w:r w:rsidR="00F87FEA">
                      <w:rPr>
                        <w:rFonts w:asciiTheme="majorHAnsi" w:eastAsiaTheme="majorEastAsia" w:hAnsiTheme="majorHAnsi" w:cstheme="majorBidi"/>
                        <w:color w:val="4F81BD" w:themeColor="accent1"/>
                        <w:sz w:val="80"/>
                        <w:szCs w:val="80"/>
                        <w:lang w:val="en-GB"/>
                      </w:rPr>
                      <w:t xml:space="preserve"> </w:t>
                    </w:r>
                    <w:r>
                      <w:rPr>
                        <w:rFonts w:asciiTheme="majorHAnsi" w:eastAsiaTheme="majorEastAsia" w:hAnsiTheme="majorHAnsi" w:cstheme="majorBidi"/>
                        <w:color w:val="4F81BD" w:themeColor="accent1"/>
                        <w:sz w:val="80"/>
                        <w:szCs w:val="80"/>
                        <w:lang w:val="en-GB"/>
                      </w:rPr>
                      <w:t>Characteristic and O</w:t>
                    </w:r>
                    <w:r w:rsidR="00F87FEA">
                      <w:rPr>
                        <w:rFonts w:asciiTheme="majorHAnsi" w:eastAsiaTheme="majorEastAsia" w:hAnsiTheme="majorHAnsi" w:cstheme="majorBidi"/>
                        <w:color w:val="4F81BD" w:themeColor="accent1"/>
                        <w:sz w:val="80"/>
                        <w:szCs w:val="80"/>
                        <w:lang w:val="en-GB"/>
                      </w:rPr>
                      <w:t xml:space="preserve">utcome </w:t>
                    </w:r>
                    <w:r>
                      <w:rPr>
                        <w:rFonts w:asciiTheme="majorHAnsi" w:eastAsiaTheme="majorEastAsia" w:hAnsiTheme="majorHAnsi" w:cstheme="majorBidi"/>
                        <w:color w:val="4F81BD" w:themeColor="accent1"/>
                        <w:sz w:val="80"/>
                        <w:szCs w:val="80"/>
                        <w:lang w:val="en-GB"/>
                      </w:rPr>
                      <w:t>A</w:t>
                    </w:r>
                    <w:r w:rsidR="00F87FEA">
                      <w:rPr>
                        <w:rFonts w:asciiTheme="majorHAnsi" w:eastAsiaTheme="majorEastAsia" w:hAnsiTheme="majorHAnsi" w:cstheme="majorBidi"/>
                        <w:color w:val="4F81BD" w:themeColor="accent1"/>
                        <w:sz w:val="80"/>
                        <w:szCs w:val="80"/>
                        <w:lang w:val="en-GB"/>
                      </w:rPr>
                      <w:t xml:space="preserve">nalysis of </w:t>
                    </w:r>
                    <w:r>
                      <w:rPr>
                        <w:rFonts w:asciiTheme="majorHAnsi" w:eastAsiaTheme="majorEastAsia" w:hAnsiTheme="majorHAnsi" w:cstheme="majorBidi"/>
                        <w:color w:val="4F81BD" w:themeColor="accent1"/>
                        <w:sz w:val="80"/>
                        <w:szCs w:val="80"/>
                        <w:lang w:val="en-GB"/>
                      </w:rPr>
                      <w:t>Pre-P</w:t>
                    </w:r>
                    <w:r w:rsidR="00F87FEA">
                      <w:rPr>
                        <w:rFonts w:asciiTheme="majorHAnsi" w:eastAsiaTheme="majorEastAsia" w:hAnsiTheme="majorHAnsi" w:cstheme="majorBidi"/>
                        <w:color w:val="4F81BD" w:themeColor="accent1"/>
                        <w:sz w:val="80"/>
                        <w:szCs w:val="80"/>
                        <w:lang w:val="en-GB"/>
                      </w:rPr>
                      <w:t xml:space="preserve">ack </w:t>
                    </w:r>
                    <w:r>
                      <w:rPr>
                        <w:rFonts w:asciiTheme="majorHAnsi" w:eastAsiaTheme="majorEastAsia" w:hAnsiTheme="majorHAnsi" w:cstheme="majorBidi"/>
                        <w:color w:val="4F81BD" w:themeColor="accent1"/>
                        <w:sz w:val="80"/>
                        <w:szCs w:val="80"/>
                        <w:lang w:val="en-GB"/>
                      </w:rPr>
                      <w:t>A</w:t>
                    </w:r>
                    <w:r w:rsidR="00F87FEA">
                      <w:rPr>
                        <w:rFonts w:asciiTheme="majorHAnsi" w:eastAsiaTheme="majorEastAsia" w:hAnsiTheme="majorHAnsi" w:cstheme="majorBidi"/>
                        <w:color w:val="4F81BD" w:themeColor="accent1"/>
                        <w:sz w:val="80"/>
                        <w:szCs w:val="80"/>
                        <w:lang w:val="en-GB"/>
                      </w:rPr>
                      <w:t>dministration</w:t>
                    </w:r>
                  </w:p>
                </w:sdtContent>
              </w:sdt>
            </w:tc>
          </w:tr>
        </w:tbl>
        <w:tbl>
          <w:tblPr>
            <w:tblpPr w:leftFromText="187" w:rightFromText="187" w:vertAnchor="page" w:horzAnchor="margin" w:tblpXSpec="center" w:tblpY="11731"/>
            <w:tblW w:w="4000" w:type="pct"/>
            <w:tblLook w:val="04A0" w:firstRow="1" w:lastRow="0" w:firstColumn="1" w:lastColumn="0" w:noHBand="0" w:noVBand="1"/>
          </w:tblPr>
          <w:tblGrid>
            <w:gridCol w:w="7405"/>
          </w:tblGrid>
          <w:tr w:rsidR="00D4500A" w:rsidTr="00D4500A">
            <w:sdt>
              <w:sdtPr>
                <w:rPr>
                  <w:color w:val="4F81BD" w:themeColor="accent1"/>
                  <w:sz w:val="36"/>
                  <w:szCs w:val="36"/>
                  <w:lang w:val="en-GB"/>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05" w:type="dxa"/>
                    <w:tcMar>
                      <w:top w:w="216" w:type="dxa"/>
                      <w:left w:w="115" w:type="dxa"/>
                      <w:bottom w:w="216" w:type="dxa"/>
                      <w:right w:w="115" w:type="dxa"/>
                    </w:tcMar>
                  </w:tcPr>
                  <w:p w:rsidR="00D4500A" w:rsidRDefault="00D4500A" w:rsidP="00D4500A">
                    <w:pPr>
                      <w:pStyle w:val="NoSpacing"/>
                      <w:rPr>
                        <w:color w:val="4F81BD" w:themeColor="accent1"/>
                      </w:rPr>
                    </w:pPr>
                    <w:r w:rsidRPr="00D4500A">
                      <w:rPr>
                        <w:color w:val="4F81BD" w:themeColor="accent1"/>
                        <w:sz w:val="36"/>
                        <w:szCs w:val="36"/>
                        <w:lang w:val="en-GB"/>
                      </w:rPr>
                      <w:t>Final Report to the Graham Review April 2014</w:t>
                    </w:r>
                    <w:r w:rsidR="00632DA1">
                      <w:rPr>
                        <w:color w:val="4F81BD" w:themeColor="accent1"/>
                        <w:sz w:val="36"/>
                        <w:szCs w:val="36"/>
                        <w:lang w:val="en-GB"/>
                      </w:rPr>
                      <w:t xml:space="preserve"> prepared by Professor Peter Walton and Chris Umfreville with the assistance of Dr Paul Wilson</w:t>
                    </w:r>
                  </w:p>
                </w:tc>
              </w:sdtContent>
            </w:sdt>
          </w:tr>
        </w:tbl>
        <w:p w:rsidR="000C5FE2" w:rsidRDefault="00D4500A" w:rsidP="000C5FE2">
          <w:pPr>
            <w:jc w:val="center"/>
            <w:rPr>
              <w:b/>
            </w:rPr>
          </w:pPr>
          <w:r>
            <w:rPr>
              <w:b/>
            </w:rPr>
            <w:t xml:space="preserve"> </w:t>
          </w:r>
          <w:r w:rsidR="000C5FE2">
            <w:rPr>
              <w:b/>
            </w:rPr>
            <w:br w:type="page"/>
          </w:r>
        </w:p>
      </w:sdtContent>
    </w:sdt>
    <w:p w:rsidR="000C5FE2" w:rsidRDefault="00632DA1">
      <w:pPr>
        <w:spacing w:line="240" w:lineRule="auto"/>
        <w:rPr>
          <w:b/>
        </w:rPr>
      </w:pPr>
      <w:r>
        <w:rPr>
          <w:b/>
        </w:rPr>
        <w:lastRenderedPageBreak/>
        <w:t>Contents</w:t>
      </w:r>
      <w:r>
        <w:rPr>
          <w:b/>
        </w:rPr>
        <w:tab/>
      </w:r>
      <w:r>
        <w:rPr>
          <w:b/>
        </w:rPr>
        <w:tab/>
      </w:r>
      <w:r>
        <w:rPr>
          <w:b/>
        </w:rPr>
        <w:tab/>
      </w:r>
      <w:r>
        <w:rPr>
          <w:b/>
        </w:rPr>
        <w:tab/>
      </w:r>
      <w:r>
        <w:rPr>
          <w:b/>
        </w:rPr>
        <w:tab/>
      </w:r>
      <w:r>
        <w:rPr>
          <w:b/>
        </w:rPr>
        <w:tab/>
      </w:r>
      <w:r>
        <w:rPr>
          <w:b/>
        </w:rPr>
        <w:tab/>
      </w:r>
      <w:r>
        <w:rPr>
          <w:b/>
        </w:rPr>
        <w:tab/>
      </w:r>
      <w:r>
        <w:rPr>
          <w:b/>
        </w:rPr>
        <w:tab/>
      </w:r>
      <w:r w:rsidR="00721680">
        <w:rPr>
          <w:b/>
        </w:rPr>
        <w:t xml:space="preserve">        </w:t>
      </w:r>
      <w:r>
        <w:rPr>
          <w:b/>
        </w:rPr>
        <w:t>Page</w:t>
      </w:r>
    </w:p>
    <w:p w:rsidR="00632DA1" w:rsidRDefault="00632DA1">
      <w:pPr>
        <w:spacing w:line="240" w:lineRule="auto"/>
        <w:rPr>
          <w:b/>
        </w:rPr>
      </w:pPr>
    </w:p>
    <w:p w:rsidR="00632DA1" w:rsidRDefault="00632DA1">
      <w:pPr>
        <w:spacing w:line="240" w:lineRule="auto"/>
        <w:rPr>
          <w:b/>
        </w:rPr>
      </w:pPr>
      <w:r>
        <w:rPr>
          <w:b/>
        </w:rPr>
        <w:t xml:space="preserve">I </w:t>
      </w:r>
      <w:r>
        <w:rPr>
          <w:b/>
        </w:rPr>
        <w:tab/>
        <w:t>Introduction</w:t>
      </w:r>
      <w:r w:rsidR="00EE6BA8">
        <w:rPr>
          <w:b/>
        </w:rPr>
        <w:tab/>
      </w:r>
      <w:r w:rsidR="00EE6BA8">
        <w:rPr>
          <w:b/>
        </w:rPr>
        <w:tab/>
      </w:r>
      <w:r w:rsidR="00322460">
        <w:rPr>
          <w:b/>
        </w:rPr>
        <w:tab/>
      </w:r>
      <w:r w:rsidR="00322460">
        <w:rPr>
          <w:b/>
        </w:rPr>
        <w:tab/>
      </w:r>
      <w:r w:rsidR="00322460">
        <w:rPr>
          <w:b/>
        </w:rPr>
        <w:tab/>
      </w:r>
      <w:r w:rsidR="00322460">
        <w:rPr>
          <w:b/>
        </w:rPr>
        <w:tab/>
      </w:r>
      <w:r w:rsidR="00322460">
        <w:rPr>
          <w:b/>
        </w:rPr>
        <w:tab/>
      </w:r>
      <w:r w:rsidR="00322460">
        <w:rPr>
          <w:b/>
        </w:rPr>
        <w:tab/>
      </w:r>
      <w:r w:rsidR="00322460">
        <w:rPr>
          <w:b/>
        </w:rPr>
        <w:tab/>
      </w:r>
      <w:r w:rsidR="00EE6BA8" w:rsidRPr="00322460">
        <w:t>5</w:t>
      </w:r>
    </w:p>
    <w:p w:rsidR="00632DA1" w:rsidRDefault="00632DA1">
      <w:pPr>
        <w:spacing w:line="240" w:lineRule="auto"/>
        <w:rPr>
          <w:b/>
        </w:rPr>
      </w:pPr>
    </w:p>
    <w:p w:rsidR="00632DA1" w:rsidRPr="00632DA1" w:rsidRDefault="00632DA1" w:rsidP="00632DA1">
      <w:pPr>
        <w:spacing w:line="240" w:lineRule="auto"/>
        <w:rPr>
          <w:b/>
          <w:bCs/>
        </w:rPr>
      </w:pPr>
      <w:r w:rsidRPr="00632DA1">
        <w:rPr>
          <w:b/>
          <w:bCs/>
        </w:rPr>
        <w:t>II</w:t>
      </w:r>
      <w:r w:rsidRPr="00632DA1">
        <w:rPr>
          <w:b/>
          <w:bCs/>
        </w:rPr>
        <w:tab/>
        <w:t>Methodology</w:t>
      </w:r>
      <w:r>
        <w:rPr>
          <w:b/>
          <w:bCs/>
        </w:rPr>
        <w:tab/>
      </w:r>
      <w:r w:rsidR="00322460">
        <w:rPr>
          <w:b/>
          <w:bCs/>
        </w:rPr>
        <w:tab/>
      </w:r>
      <w:r w:rsidR="00322460">
        <w:rPr>
          <w:b/>
          <w:bCs/>
        </w:rPr>
        <w:tab/>
      </w:r>
      <w:r w:rsidR="00322460">
        <w:rPr>
          <w:b/>
          <w:bCs/>
        </w:rPr>
        <w:tab/>
      </w:r>
      <w:r w:rsidR="00322460">
        <w:rPr>
          <w:b/>
          <w:bCs/>
        </w:rPr>
        <w:tab/>
      </w:r>
      <w:r w:rsidR="00322460">
        <w:rPr>
          <w:b/>
          <w:bCs/>
        </w:rPr>
        <w:tab/>
      </w:r>
      <w:r w:rsidR="00322460">
        <w:rPr>
          <w:b/>
          <w:bCs/>
        </w:rPr>
        <w:tab/>
      </w:r>
      <w:r w:rsidR="00322460">
        <w:rPr>
          <w:b/>
          <w:bCs/>
        </w:rPr>
        <w:tab/>
      </w:r>
      <w:r w:rsidR="00EE6BA8" w:rsidRPr="00322460">
        <w:rPr>
          <w:bCs/>
        </w:rPr>
        <w:t>6</w:t>
      </w:r>
    </w:p>
    <w:p w:rsidR="00632DA1" w:rsidRDefault="00632DA1">
      <w:pPr>
        <w:spacing w:line="240" w:lineRule="auto"/>
        <w:rPr>
          <w:b/>
        </w:rPr>
      </w:pPr>
    </w:p>
    <w:p w:rsidR="00632DA1" w:rsidRPr="00632DA1" w:rsidRDefault="00632DA1" w:rsidP="00632DA1">
      <w:pPr>
        <w:spacing w:line="240" w:lineRule="auto"/>
        <w:rPr>
          <w:b/>
        </w:rPr>
      </w:pPr>
      <w:r w:rsidRPr="00632DA1">
        <w:rPr>
          <w:b/>
          <w:bCs/>
        </w:rPr>
        <w:t>III</w:t>
      </w:r>
      <w:r w:rsidRPr="00632DA1">
        <w:rPr>
          <w:b/>
          <w:bCs/>
        </w:rPr>
        <w:tab/>
        <w:t>Summary of Outputs and Analysis</w:t>
      </w:r>
      <w:r w:rsidR="00EE6BA8">
        <w:rPr>
          <w:b/>
          <w:bCs/>
        </w:rPr>
        <w:tab/>
      </w:r>
      <w:r w:rsidR="00EE6BA8">
        <w:rPr>
          <w:b/>
          <w:bCs/>
        </w:rPr>
        <w:tab/>
      </w:r>
      <w:r w:rsidR="00322460">
        <w:rPr>
          <w:b/>
          <w:bCs/>
        </w:rPr>
        <w:tab/>
      </w:r>
      <w:r w:rsidR="00322460">
        <w:rPr>
          <w:b/>
          <w:bCs/>
        </w:rPr>
        <w:tab/>
      </w:r>
      <w:r w:rsidR="00322460">
        <w:rPr>
          <w:b/>
          <w:bCs/>
        </w:rPr>
        <w:tab/>
      </w:r>
      <w:r w:rsidR="00EE6BA8" w:rsidRPr="00322460">
        <w:rPr>
          <w:bCs/>
        </w:rPr>
        <w:t>11</w:t>
      </w:r>
    </w:p>
    <w:p w:rsidR="00632DA1" w:rsidRDefault="00632DA1">
      <w:pPr>
        <w:spacing w:line="240" w:lineRule="auto"/>
        <w:rPr>
          <w:b/>
        </w:rPr>
      </w:pPr>
    </w:p>
    <w:p w:rsidR="00632DA1" w:rsidRDefault="00632DA1" w:rsidP="00632DA1">
      <w:pPr>
        <w:spacing w:line="240" w:lineRule="auto"/>
        <w:rPr>
          <w:b/>
          <w:bCs/>
          <w:i/>
        </w:rPr>
      </w:pPr>
      <w:r w:rsidRPr="00567703">
        <w:rPr>
          <w:b/>
          <w:bCs/>
          <w:i/>
        </w:rPr>
        <w:t>Part A Pre-packs</w:t>
      </w:r>
      <w:r w:rsidR="00EE6BA8">
        <w:rPr>
          <w:b/>
          <w:bCs/>
          <w:i/>
        </w:rPr>
        <w:tab/>
      </w:r>
      <w:r w:rsidR="00EE6BA8">
        <w:rPr>
          <w:b/>
          <w:bCs/>
          <w:i/>
        </w:rPr>
        <w:tab/>
      </w:r>
      <w:r w:rsidR="00EE6BA8">
        <w:rPr>
          <w:b/>
          <w:bCs/>
          <w:i/>
        </w:rPr>
        <w:tab/>
      </w:r>
      <w:r w:rsidR="00322460">
        <w:rPr>
          <w:b/>
          <w:bCs/>
          <w:i/>
        </w:rPr>
        <w:tab/>
      </w:r>
      <w:r w:rsidR="00322460">
        <w:rPr>
          <w:b/>
          <w:bCs/>
          <w:i/>
        </w:rPr>
        <w:tab/>
      </w:r>
      <w:r w:rsidR="00322460">
        <w:rPr>
          <w:b/>
          <w:bCs/>
          <w:i/>
        </w:rPr>
        <w:tab/>
      </w:r>
      <w:r w:rsidR="00322460">
        <w:rPr>
          <w:b/>
          <w:bCs/>
          <w:i/>
        </w:rPr>
        <w:tab/>
      </w:r>
      <w:r w:rsidR="00322460">
        <w:rPr>
          <w:b/>
          <w:bCs/>
          <w:i/>
        </w:rPr>
        <w:tab/>
      </w:r>
      <w:r w:rsidR="00322460">
        <w:rPr>
          <w:b/>
          <w:bCs/>
          <w:i/>
        </w:rPr>
        <w:tab/>
      </w:r>
      <w:r w:rsidR="00EE6BA8" w:rsidRPr="00322460">
        <w:rPr>
          <w:bCs/>
        </w:rPr>
        <w:t>11</w:t>
      </w:r>
    </w:p>
    <w:p w:rsidR="00C471AF" w:rsidRDefault="00C471AF" w:rsidP="00632DA1">
      <w:pPr>
        <w:spacing w:line="240" w:lineRule="auto"/>
        <w:rPr>
          <w:b/>
          <w:bCs/>
          <w:i/>
        </w:rPr>
      </w:pPr>
    </w:p>
    <w:p w:rsidR="00FC3E04" w:rsidRPr="00567703" w:rsidRDefault="00FC3E04" w:rsidP="00632DA1">
      <w:pPr>
        <w:spacing w:line="240" w:lineRule="auto"/>
        <w:rPr>
          <w:b/>
          <w:bCs/>
          <w:i/>
        </w:rPr>
      </w:pPr>
      <w:r>
        <w:rPr>
          <w:b/>
          <w:bCs/>
          <w:i/>
        </w:rPr>
        <w:t>Part A1</w:t>
      </w:r>
    </w:p>
    <w:p w:rsidR="00632DA1" w:rsidRPr="00C471AF" w:rsidRDefault="00632DA1" w:rsidP="00632DA1">
      <w:pPr>
        <w:spacing w:line="240" w:lineRule="auto"/>
        <w:rPr>
          <w:bCs/>
        </w:rPr>
      </w:pPr>
      <w:r w:rsidRPr="00C471AF">
        <w:rPr>
          <w:bCs/>
        </w:rPr>
        <w:t xml:space="preserve">A1 </w:t>
      </w:r>
      <w:r w:rsidRPr="00C471AF">
        <w:rPr>
          <w:bCs/>
        </w:rPr>
        <w:tab/>
      </w:r>
      <w:r w:rsidR="00322460">
        <w:rPr>
          <w:bCs/>
        </w:rPr>
        <w:tab/>
      </w:r>
      <w:r w:rsidRPr="00C471AF">
        <w:rPr>
          <w:bCs/>
        </w:rPr>
        <w:t>Details of oldco</w:t>
      </w:r>
      <w:r w:rsidR="00EE6BA8">
        <w:rPr>
          <w:bCs/>
        </w:rPr>
        <w:tab/>
      </w:r>
      <w:r w:rsidR="00322460">
        <w:rPr>
          <w:bCs/>
        </w:rPr>
        <w:tab/>
      </w:r>
      <w:r w:rsidR="00322460">
        <w:rPr>
          <w:bCs/>
        </w:rPr>
        <w:tab/>
      </w:r>
      <w:r w:rsidR="00322460">
        <w:rPr>
          <w:bCs/>
        </w:rPr>
        <w:tab/>
      </w:r>
      <w:r w:rsidR="00322460">
        <w:rPr>
          <w:bCs/>
        </w:rPr>
        <w:tab/>
      </w:r>
      <w:r w:rsidR="00322460">
        <w:rPr>
          <w:bCs/>
        </w:rPr>
        <w:tab/>
      </w:r>
      <w:r w:rsidR="00322460">
        <w:rPr>
          <w:bCs/>
        </w:rPr>
        <w:tab/>
      </w:r>
      <w:r w:rsidR="00EE6BA8">
        <w:rPr>
          <w:bCs/>
        </w:rPr>
        <w:t>11</w:t>
      </w:r>
    </w:p>
    <w:p w:rsidR="00632DA1" w:rsidRPr="00C471AF" w:rsidRDefault="00632DA1" w:rsidP="00632DA1">
      <w:pPr>
        <w:spacing w:line="240" w:lineRule="auto"/>
        <w:rPr>
          <w:bCs/>
        </w:rPr>
      </w:pPr>
      <w:r w:rsidRPr="00C471AF">
        <w:rPr>
          <w:bCs/>
        </w:rPr>
        <w:t>A1.1</w:t>
      </w:r>
      <w:r w:rsidRPr="00C471AF">
        <w:rPr>
          <w:bCs/>
        </w:rPr>
        <w:tab/>
      </w:r>
      <w:r w:rsidR="00322460">
        <w:rPr>
          <w:bCs/>
        </w:rPr>
        <w:tab/>
      </w:r>
      <w:r w:rsidRPr="00C471AF">
        <w:rPr>
          <w:bCs/>
        </w:rPr>
        <w:t>Age of oldco</w:t>
      </w:r>
      <w:r w:rsidR="00EE6BA8">
        <w:rPr>
          <w:bCs/>
        </w:rPr>
        <w:tab/>
      </w:r>
      <w:r w:rsidR="00EE6BA8">
        <w:rPr>
          <w:bCs/>
        </w:rPr>
        <w:tab/>
      </w:r>
      <w:r w:rsidR="00EE6BA8">
        <w:rPr>
          <w:bCs/>
        </w:rPr>
        <w:tab/>
      </w:r>
      <w:r w:rsidR="00322460">
        <w:rPr>
          <w:bCs/>
        </w:rPr>
        <w:tab/>
      </w:r>
      <w:r w:rsidR="00322460">
        <w:rPr>
          <w:bCs/>
        </w:rPr>
        <w:tab/>
      </w:r>
      <w:r w:rsidR="00322460">
        <w:rPr>
          <w:bCs/>
        </w:rPr>
        <w:tab/>
      </w:r>
      <w:r w:rsidR="00322460">
        <w:rPr>
          <w:bCs/>
        </w:rPr>
        <w:tab/>
      </w:r>
      <w:r w:rsidR="00322460">
        <w:rPr>
          <w:bCs/>
        </w:rPr>
        <w:tab/>
      </w:r>
      <w:r w:rsidR="00EE6BA8">
        <w:rPr>
          <w:bCs/>
        </w:rPr>
        <w:t>11</w:t>
      </w:r>
    </w:p>
    <w:p w:rsidR="00632DA1" w:rsidRPr="00C471AF" w:rsidRDefault="00632DA1" w:rsidP="00632DA1">
      <w:pPr>
        <w:spacing w:line="240" w:lineRule="auto"/>
        <w:rPr>
          <w:bCs/>
        </w:rPr>
      </w:pPr>
      <w:r w:rsidRPr="00C471AF">
        <w:rPr>
          <w:bCs/>
        </w:rPr>
        <w:t xml:space="preserve">A1.2 </w:t>
      </w:r>
      <w:r w:rsidRPr="00C471AF">
        <w:rPr>
          <w:bCs/>
        </w:rPr>
        <w:tab/>
      </w:r>
      <w:r w:rsidR="00322460">
        <w:rPr>
          <w:bCs/>
        </w:rPr>
        <w:tab/>
      </w:r>
      <w:r w:rsidRPr="00C471AF">
        <w:rPr>
          <w:bCs/>
        </w:rPr>
        <w:t>Size of oldco</w:t>
      </w:r>
      <w:r w:rsidR="00EE6BA8">
        <w:rPr>
          <w:bCs/>
        </w:rPr>
        <w:tab/>
      </w:r>
      <w:r w:rsidR="00EE6BA8">
        <w:rPr>
          <w:bCs/>
        </w:rPr>
        <w:tab/>
      </w:r>
      <w:r w:rsidR="00EE6BA8">
        <w:rPr>
          <w:bCs/>
        </w:rPr>
        <w:tab/>
      </w:r>
      <w:r w:rsidR="00322460">
        <w:rPr>
          <w:bCs/>
        </w:rPr>
        <w:tab/>
      </w:r>
      <w:r w:rsidR="00322460">
        <w:rPr>
          <w:bCs/>
        </w:rPr>
        <w:tab/>
      </w:r>
      <w:r w:rsidR="00322460">
        <w:rPr>
          <w:bCs/>
        </w:rPr>
        <w:tab/>
      </w:r>
      <w:r w:rsidR="00322460">
        <w:rPr>
          <w:bCs/>
        </w:rPr>
        <w:tab/>
      </w:r>
      <w:r w:rsidR="00322460">
        <w:rPr>
          <w:bCs/>
        </w:rPr>
        <w:tab/>
      </w:r>
      <w:r w:rsidR="00EE6BA8">
        <w:rPr>
          <w:bCs/>
        </w:rPr>
        <w:t>12</w:t>
      </w:r>
    </w:p>
    <w:p w:rsidR="00632DA1" w:rsidRPr="00C471AF" w:rsidRDefault="00632DA1" w:rsidP="00632DA1">
      <w:pPr>
        <w:spacing w:line="240" w:lineRule="auto"/>
        <w:rPr>
          <w:bCs/>
        </w:rPr>
      </w:pPr>
      <w:r w:rsidRPr="00C471AF">
        <w:rPr>
          <w:bCs/>
        </w:rPr>
        <w:t xml:space="preserve">A1.3 </w:t>
      </w:r>
      <w:r w:rsidRPr="00C471AF">
        <w:rPr>
          <w:bCs/>
        </w:rPr>
        <w:tab/>
      </w:r>
      <w:r w:rsidR="00322460">
        <w:rPr>
          <w:bCs/>
        </w:rPr>
        <w:tab/>
      </w:r>
      <w:r w:rsidRPr="00C471AF">
        <w:rPr>
          <w:bCs/>
        </w:rPr>
        <w:t>Reasons for failure of oldco</w:t>
      </w:r>
      <w:r w:rsidR="00EE6BA8">
        <w:rPr>
          <w:bCs/>
        </w:rPr>
        <w:tab/>
      </w:r>
      <w:r w:rsidR="00322460">
        <w:rPr>
          <w:bCs/>
        </w:rPr>
        <w:tab/>
      </w:r>
      <w:r w:rsidR="00322460">
        <w:rPr>
          <w:bCs/>
        </w:rPr>
        <w:tab/>
      </w:r>
      <w:r w:rsidR="00322460">
        <w:rPr>
          <w:bCs/>
        </w:rPr>
        <w:tab/>
      </w:r>
      <w:r w:rsidR="00322460">
        <w:rPr>
          <w:bCs/>
        </w:rPr>
        <w:tab/>
      </w:r>
      <w:r w:rsidR="00EE6BA8">
        <w:rPr>
          <w:bCs/>
        </w:rPr>
        <w:t>13</w:t>
      </w:r>
    </w:p>
    <w:p w:rsidR="00632DA1" w:rsidRPr="00C471AF" w:rsidRDefault="00632DA1" w:rsidP="00632DA1">
      <w:pPr>
        <w:spacing w:line="240" w:lineRule="auto"/>
        <w:rPr>
          <w:bCs/>
        </w:rPr>
      </w:pPr>
      <w:r w:rsidRPr="00C471AF">
        <w:rPr>
          <w:bCs/>
        </w:rPr>
        <w:t xml:space="preserve">A1.4 </w:t>
      </w:r>
      <w:r w:rsidRPr="00C471AF">
        <w:rPr>
          <w:bCs/>
        </w:rPr>
        <w:tab/>
      </w:r>
      <w:r w:rsidR="00322460">
        <w:rPr>
          <w:bCs/>
        </w:rPr>
        <w:tab/>
      </w:r>
      <w:r w:rsidRPr="00C471AF">
        <w:rPr>
          <w:bCs/>
        </w:rPr>
        <w:t>Sector in which oldco operated</w:t>
      </w:r>
      <w:r w:rsidR="00EE6BA8">
        <w:rPr>
          <w:bCs/>
        </w:rPr>
        <w:tab/>
      </w:r>
      <w:r w:rsidR="00322460">
        <w:rPr>
          <w:bCs/>
        </w:rPr>
        <w:tab/>
      </w:r>
      <w:r w:rsidR="00322460">
        <w:rPr>
          <w:bCs/>
        </w:rPr>
        <w:tab/>
      </w:r>
      <w:r w:rsidR="00322460">
        <w:rPr>
          <w:bCs/>
        </w:rPr>
        <w:tab/>
      </w:r>
      <w:r w:rsidR="00322460">
        <w:rPr>
          <w:bCs/>
        </w:rPr>
        <w:tab/>
      </w:r>
      <w:r w:rsidR="00EE6BA8">
        <w:rPr>
          <w:bCs/>
        </w:rPr>
        <w:t>15</w:t>
      </w:r>
    </w:p>
    <w:p w:rsidR="00632DA1" w:rsidRPr="00C471AF" w:rsidRDefault="00632DA1" w:rsidP="00632DA1">
      <w:pPr>
        <w:spacing w:line="240" w:lineRule="auto"/>
        <w:rPr>
          <w:bCs/>
        </w:rPr>
      </w:pPr>
      <w:r w:rsidRPr="00C471AF">
        <w:rPr>
          <w:bCs/>
        </w:rPr>
        <w:t xml:space="preserve">A1.5 </w:t>
      </w:r>
      <w:r w:rsidRPr="00C471AF">
        <w:rPr>
          <w:bCs/>
        </w:rPr>
        <w:tab/>
      </w:r>
      <w:r w:rsidR="00322460">
        <w:rPr>
          <w:bCs/>
        </w:rPr>
        <w:tab/>
      </w:r>
      <w:r w:rsidRPr="00C471AF">
        <w:rPr>
          <w:bCs/>
        </w:rPr>
        <w:t>Presence of group companies</w:t>
      </w:r>
      <w:r w:rsidR="00EE6BA8">
        <w:rPr>
          <w:bCs/>
        </w:rPr>
        <w:tab/>
      </w:r>
      <w:r w:rsidR="00322460">
        <w:rPr>
          <w:bCs/>
        </w:rPr>
        <w:tab/>
      </w:r>
      <w:r w:rsidR="00322460">
        <w:rPr>
          <w:bCs/>
        </w:rPr>
        <w:tab/>
      </w:r>
      <w:r w:rsidR="00322460">
        <w:rPr>
          <w:bCs/>
        </w:rPr>
        <w:tab/>
      </w:r>
      <w:r w:rsidR="00322460">
        <w:rPr>
          <w:bCs/>
        </w:rPr>
        <w:tab/>
      </w:r>
      <w:r w:rsidR="00EE6BA8">
        <w:rPr>
          <w:bCs/>
        </w:rPr>
        <w:t>16</w:t>
      </w:r>
    </w:p>
    <w:p w:rsidR="00632DA1" w:rsidRPr="00C471AF" w:rsidRDefault="00632DA1" w:rsidP="00632DA1">
      <w:pPr>
        <w:spacing w:line="240" w:lineRule="auto"/>
        <w:rPr>
          <w:bCs/>
        </w:rPr>
      </w:pPr>
      <w:r w:rsidRPr="00C471AF">
        <w:rPr>
          <w:bCs/>
        </w:rPr>
        <w:t xml:space="preserve">A1.6 </w:t>
      </w:r>
      <w:r w:rsidRPr="00C471AF">
        <w:rPr>
          <w:bCs/>
        </w:rPr>
        <w:tab/>
      </w:r>
      <w:r w:rsidR="00322460">
        <w:rPr>
          <w:bCs/>
        </w:rPr>
        <w:tab/>
      </w:r>
      <w:r w:rsidRPr="00C471AF">
        <w:rPr>
          <w:bCs/>
        </w:rPr>
        <w:t>Nature of appointment</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17</w:t>
      </w:r>
    </w:p>
    <w:p w:rsidR="00567703" w:rsidRPr="00C471AF" w:rsidRDefault="00567703" w:rsidP="00567703">
      <w:pPr>
        <w:spacing w:line="240" w:lineRule="auto"/>
        <w:rPr>
          <w:bCs/>
        </w:rPr>
      </w:pPr>
      <w:r w:rsidRPr="00C471AF">
        <w:rPr>
          <w:bCs/>
        </w:rPr>
        <w:t xml:space="preserve">A1.7 </w:t>
      </w:r>
      <w:r w:rsidRPr="00C471AF">
        <w:rPr>
          <w:bCs/>
        </w:rPr>
        <w:tab/>
      </w:r>
      <w:r w:rsidR="00322460">
        <w:rPr>
          <w:bCs/>
        </w:rPr>
        <w:tab/>
      </w:r>
      <w:r w:rsidRPr="00C471AF">
        <w:rPr>
          <w:bCs/>
        </w:rPr>
        <w:t>Non-UK registered companies</w:t>
      </w:r>
      <w:r w:rsidR="00EE6BA8">
        <w:rPr>
          <w:bCs/>
        </w:rPr>
        <w:tab/>
      </w:r>
      <w:r w:rsidR="00322460">
        <w:rPr>
          <w:bCs/>
        </w:rPr>
        <w:tab/>
      </w:r>
      <w:r w:rsidR="00322460">
        <w:rPr>
          <w:bCs/>
        </w:rPr>
        <w:tab/>
      </w:r>
      <w:r w:rsidR="00322460">
        <w:rPr>
          <w:bCs/>
        </w:rPr>
        <w:tab/>
      </w:r>
      <w:r w:rsidR="00322460">
        <w:rPr>
          <w:bCs/>
        </w:rPr>
        <w:tab/>
      </w:r>
      <w:r w:rsidR="00EE6BA8">
        <w:rPr>
          <w:bCs/>
        </w:rPr>
        <w:t>18</w:t>
      </w:r>
    </w:p>
    <w:p w:rsidR="00567703" w:rsidRPr="00C471AF" w:rsidRDefault="00567703" w:rsidP="00567703">
      <w:pPr>
        <w:spacing w:line="240" w:lineRule="auto"/>
        <w:rPr>
          <w:bCs/>
        </w:rPr>
      </w:pPr>
      <w:r w:rsidRPr="00C471AF">
        <w:rPr>
          <w:bCs/>
        </w:rPr>
        <w:t xml:space="preserve">A2 </w:t>
      </w:r>
      <w:r w:rsidRPr="00C471AF">
        <w:rPr>
          <w:bCs/>
        </w:rPr>
        <w:tab/>
      </w:r>
      <w:r w:rsidR="00322460">
        <w:rPr>
          <w:bCs/>
        </w:rPr>
        <w:tab/>
      </w:r>
      <w:r w:rsidRPr="00C471AF">
        <w:rPr>
          <w:bCs/>
        </w:rPr>
        <w:t>Details of the pre-pack</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19</w:t>
      </w:r>
    </w:p>
    <w:p w:rsidR="00567703" w:rsidRPr="00C471AF" w:rsidRDefault="00567703" w:rsidP="00567703">
      <w:pPr>
        <w:spacing w:line="240" w:lineRule="auto"/>
        <w:rPr>
          <w:bCs/>
        </w:rPr>
      </w:pPr>
      <w:r w:rsidRPr="00C471AF">
        <w:rPr>
          <w:bCs/>
        </w:rPr>
        <w:t xml:space="preserve">A2.1 </w:t>
      </w:r>
      <w:r w:rsidRPr="00C471AF">
        <w:rPr>
          <w:bCs/>
        </w:rPr>
        <w:tab/>
      </w:r>
      <w:r w:rsidR="00322460">
        <w:rPr>
          <w:bCs/>
        </w:rPr>
        <w:tab/>
      </w:r>
      <w:r w:rsidRPr="00C471AF">
        <w:rPr>
          <w:bCs/>
        </w:rPr>
        <w:t>Connected purchase</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19</w:t>
      </w:r>
    </w:p>
    <w:p w:rsidR="00567703" w:rsidRPr="00C471AF" w:rsidRDefault="00567703" w:rsidP="00567703">
      <w:pPr>
        <w:spacing w:line="240" w:lineRule="auto"/>
        <w:rPr>
          <w:bCs/>
        </w:rPr>
      </w:pPr>
      <w:r w:rsidRPr="00C471AF">
        <w:rPr>
          <w:bCs/>
        </w:rPr>
        <w:t xml:space="preserve">A2.2 </w:t>
      </w:r>
      <w:r w:rsidRPr="00C471AF">
        <w:rPr>
          <w:bCs/>
        </w:rPr>
        <w:tab/>
      </w:r>
      <w:r w:rsidR="00322460">
        <w:rPr>
          <w:bCs/>
        </w:rPr>
        <w:tab/>
      </w:r>
      <w:r w:rsidRPr="00C471AF">
        <w:rPr>
          <w:bCs/>
        </w:rPr>
        <w:t>Deferred Consideration</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20</w:t>
      </w:r>
    </w:p>
    <w:p w:rsidR="00567703" w:rsidRPr="00C471AF" w:rsidRDefault="00567703" w:rsidP="00567703">
      <w:pPr>
        <w:spacing w:line="240" w:lineRule="auto"/>
        <w:rPr>
          <w:bCs/>
        </w:rPr>
      </w:pPr>
      <w:r w:rsidRPr="00C471AF">
        <w:rPr>
          <w:bCs/>
        </w:rPr>
        <w:t xml:space="preserve">A2.3 </w:t>
      </w:r>
      <w:r w:rsidRPr="00C471AF">
        <w:rPr>
          <w:bCs/>
        </w:rPr>
        <w:tab/>
      </w:r>
      <w:r w:rsidR="00322460">
        <w:rPr>
          <w:bCs/>
        </w:rPr>
        <w:tab/>
      </w:r>
      <w:r w:rsidRPr="00C471AF">
        <w:rPr>
          <w:bCs/>
        </w:rPr>
        <w:t>Marketing undertaken prior to the pre-pack administration</w:t>
      </w:r>
      <w:r w:rsidR="00EE6BA8">
        <w:rPr>
          <w:bCs/>
        </w:rPr>
        <w:tab/>
        <w:t>21</w:t>
      </w:r>
    </w:p>
    <w:p w:rsidR="00567703" w:rsidRPr="00C471AF" w:rsidRDefault="00567703" w:rsidP="00567703">
      <w:pPr>
        <w:spacing w:line="240" w:lineRule="auto"/>
        <w:rPr>
          <w:bCs/>
        </w:rPr>
      </w:pPr>
      <w:r w:rsidRPr="00C471AF">
        <w:rPr>
          <w:bCs/>
        </w:rPr>
        <w:t xml:space="preserve">A2.4 </w:t>
      </w:r>
      <w:r w:rsidRPr="00C471AF">
        <w:rPr>
          <w:bCs/>
        </w:rPr>
        <w:tab/>
      </w:r>
      <w:r w:rsidR="00322460">
        <w:rPr>
          <w:bCs/>
        </w:rPr>
        <w:tab/>
      </w:r>
      <w:r w:rsidRPr="00C471AF">
        <w:rPr>
          <w:bCs/>
        </w:rPr>
        <w:t>Independent valuation</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23</w:t>
      </w:r>
    </w:p>
    <w:p w:rsidR="00322460" w:rsidRDefault="00567703" w:rsidP="00567703">
      <w:pPr>
        <w:spacing w:line="240" w:lineRule="auto"/>
        <w:rPr>
          <w:bCs/>
        </w:rPr>
      </w:pPr>
      <w:r w:rsidRPr="00C471AF">
        <w:rPr>
          <w:bCs/>
        </w:rPr>
        <w:t xml:space="preserve">A2.5 </w:t>
      </w:r>
      <w:r w:rsidRPr="00C471AF">
        <w:rPr>
          <w:bCs/>
        </w:rPr>
        <w:tab/>
      </w:r>
      <w:r w:rsidR="00322460">
        <w:rPr>
          <w:bCs/>
        </w:rPr>
        <w:tab/>
      </w:r>
      <w:r w:rsidRPr="00C471AF">
        <w:rPr>
          <w:bCs/>
        </w:rPr>
        <w:t xml:space="preserve">Details of Insolvency Practitioner Firms involved </w:t>
      </w:r>
    </w:p>
    <w:p w:rsidR="00567703" w:rsidRPr="00C471AF" w:rsidRDefault="00567703" w:rsidP="00322460">
      <w:pPr>
        <w:spacing w:line="240" w:lineRule="auto"/>
        <w:ind w:left="720" w:firstLine="720"/>
        <w:rPr>
          <w:bCs/>
        </w:rPr>
      </w:pPr>
      <w:r w:rsidRPr="00C471AF">
        <w:rPr>
          <w:bCs/>
        </w:rPr>
        <w:t>in pre-packs</w:t>
      </w:r>
      <w:r w:rsidR="00EE6BA8">
        <w:rPr>
          <w:bCs/>
        </w:rPr>
        <w:tab/>
      </w:r>
      <w:r w:rsidR="00322460">
        <w:rPr>
          <w:bCs/>
        </w:rPr>
        <w:tab/>
      </w:r>
      <w:r w:rsidR="00322460">
        <w:rPr>
          <w:bCs/>
        </w:rPr>
        <w:tab/>
      </w:r>
      <w:r w:rsidR="00322460">
        <w:rPr>
          <w:bCs/>
        </w:rPr>
        <w:tab/>
      </w:r>
      <w:r w:rsidR="00322460">
        <w:rPr>
          <w:bCs/>
        </w:rPr>
        <w:tab/>
      </w:r>
      <w:r w:rsidR="00322460">
        <w:rPr>
          <w:bCs/>
        </w:rPr>
        <w:tab/>
      </w:r>
      <w:r w:rsidR="00322460">
        <w:rPr>
          <w:bCs/>
        </w:rPr>
        <w:tab/>
      </w:r>
      <w:r w:rsidR="00322460">
        <w:rPr>
          <w:bCs/>
        </w:rPr>
        <w:tab/>
      </w:r>
      <w:r w:rsidR="00EE6BA8">
        <w:rPr>
          <w:bCs/>
        </w:rPr>
        <w:t>24</w:t>
      </w:r>
    </w:p>
    <w:p w:rsidR="00567703" w:rsidRPr="00C471AF" w:rsidRDefault="00567703" w:rsidP="00567703">
      <w:pPr>
        <w:spacing w:line="240" w:lineRule="auto"/>
        <w:rPr>
          <w:bCs/>
        </w:rPr>
      </w:pPr>
      <w:r w:rsidRPr="00C471AF">
        <w:rPr>
          <w:bCs/>
        </w:rPr>
        <w:t xml:space="preserve">A2.6 </w:t>
      </w:r>
      <w:r w:rsidRPr="00C471AF">
        <w:rPr>
          <w:bCs/>
        </w:rPr>
        <w:tab/>
      </w:r>
      <w:r w:rsidR="00322460">
        <w:rPr>
          <w:bCs/>
        </w:rPr>
        <w:tab/>
      </w:r>
      <w:r w:rsidRPr="00C471AF">
        <w:rPr>
          <w:bCs/>
        </w:rPr>
        <w:t>Purchase Price</w:t>
      </w:r>
      <w:r w:rsidR="00EE6BA8">
        <w:rPr>
          <w:bCs/>
        </w:rPr>
        <w:tab/>
      </w:r>
      <w:r w:rsidR="00EE6BA8">
        <w:rPr>
          <w:bCs/>
        </w:rPr>
        <w:tab/>
      </w:r>
      <w:r w:rsidR="00322460">
        <w:rPr>
          <w:bCs/>
        </w:rPr>
        <w:tab/>
      </w:r>
      <w:r w:rsidR="00322460">
        <w:rPr>
          <w:bCs/>
        </w:rPr>
        <w:tab/>
      </w:r>
      <w:r w:rsidR="00322460">
        <w:rPr>
          <w:bCs/>
        </w:rPr>
        <w:tab/>
      </w:r>
      <w:r w:rsidR="00322460">
        <w:rPr>
          <w:bCs/>
        </w:rPr>
        <w:tab/>
      </w:r>
      <w:r w:rsidR="00322460">
        <w:rPr>
          <w:bCs/>
        </w:rPr>
        <w:tab/>
      </w:r>
      <w:r w:rsidR="00EE6BA8">
        <w:rPr>
          <w:bCs/>
        </w:rPr>
        <w:t>25</w:t>
      </w:r>
    </w:p>
    <w:p w:rsidR="00567703" w:rsidRPr="00C471AF" w:rsidRDefault="00567703" w:rsidP="00567703">
      <w:pPr>
        <w:spacing w:line="240" w:lineRule="auto"/>
        <w:rPr>
          <w:bCs/>
        </w:rPr>
      </w:pPr>
      <w:r w:rsidRPr="00C471AF">
        <w:rPr>
          <w:bCs/>
        </w:rPr>
        <w:t xml:space="preserve">A2.7 </w:t>
      </w:r>
      <w:r w:rsidRPr="00C471AF">
        <w:rPr>
          <w:bCs/>
        </w:rPr>
        <w:tab/>
      </w:r>
      <w:r w:rsidR="00322460">
        <w:rPr>
          <w:bCs/>
        </w:rPr>
        <w:tab/>
      </w:r>
      <w:r w:rsidRPr="00C471AF">
        <w:rPr>
          <w:bCs/>
        </w:rPr>
        <w:t>Employment preservation by purchaser in pre-packs</w:t>
      </w:r>
      <w:r w:rsidR="00EE6BA8">
        <w:rPr>
          <w:bCs/>
        </w:rPr>
        <w:tab/>
      </w:r>
      <w:r w:rsidR="00322460">
        <w:rPr>
          <w:bCs/>
        </w:rPr>
        <w:tab/>
      </w:r>
      <w:r w:rsidR="00EE6BA8">
        <w:rPr>
          <w:bCs/>
        </w:rPr>
        <w:t>26</w:t>
      </w:r>
    </w:p>
    <w:p w:rsidR="00567703" w:rsidRPr="00C471AF" w:rsidRDefault="00567703" w:rsidP="00567703">
      <w:pPr>
        <w:spacing w:line="240" w:lineRule="auto"/>
        <w:rPr>
          <w:bCs/>
        </w:rPr>
      </w:pPr>
      <w:r w:rsidRPr="00C471AF">
        <w:rPr>
          <w:bCs/>
        </w:rPr>
        <w:t xml:space="preserve">A2.8 </w:t>
      </w:r>
      <w:r w:rsidRPr="00C471AF">
        <w:rPr>
          <w:bCs/>
        </w:rPr>
        <w:tab/>
      </w:r>
      <w:r w:rsidR="00322460">
        <w:rPr>
          <w:bCs/>
        </w:rPr>
        <w:tab/>
      </w:r>
      <w:r w:rsidRPr="00C471AF">
        <w:rPr>
          <w:bCs/>
        </w:rPr>
        <w:t>Length of administration</w:t>
      </w:r>
      <w:r w:rsidR="00EE6BA8">
        <w:rPr>
          <w:bCs/>
        </w:rPr>
        <w:tab/>
      </w:r>
      <w:r w:rsidR="00EE6BA8">
        <w:rPr>
          <w:bCs/>
        </w:rPr>
        <w:tab/>
      </w:r>
      <w:r w:rsidR="00322460">
        <w:rPr>
          <w:bCs/>
        </w:rPr>
        <w:tab/>
      </w:r>
      <w:r w:rsidR="00322460">
        <w:rPr>
          <w:bCs/>
        </w:rPr>
        <w:tab/>
      </w:r>
      <w:r w:rsidR="00322460">
        <w:rPr>
          <w:bCs/>
        </w:rPr>
        <w:tab/>
      </w:r>
      <w:r w:rsidR="00322460">
        <w:rPr>
          <w:bCs/>
        </w:rPr>
        <w:tab/>
      </w:r>
      <w:r w:rsidR="00EE6BA8">
        <w:rPr>
          <w:bCs/>
        </w:rPr>
        <w:t>27</w:t>
      </w:r>
    </w:p>
    <w:p w:rsidR="00567703" w:rsidRPr="00C471AF" w:rsidRDefault="00567703" w:rsidP="00C471AF">
      <w:pPr>
        <w:spacing w:line="240" w:lineRule="auto"/>
        <w:rPr>
          <w:bCs/>
        </w:rPr>
      </w:pPr>
      <w:r w:rsidRPr="00C471AF">
        <w:rPr>
          <w:bCs/>
        </w:rPr>
        <w:t xml:space="preserve">A2.9 </w:t>
      </w:r>
      <w:r w:rsidRPr="00C471AF">
        <w:rPr>
          <w:bCs/>
        </w:rPr>
        <w:tab/>
      </w:r>
      <w:r w:rsidR="00322460">
        <w:rPr>
          <w:bCs/>
        </w:rPr>
        <w:tab/>
      </w:r>
      <w:r w:rsidRPr="00C471AF">
        <w:rPr>
          <w:bCs/>
        </w:rPr>
        <w:t>End of the administration of oldco</w:t>
      </w:r>
      <w:r w:rsidR="00EE6BA8">
        <w:rPr>
          <w:bCs/>
        </w:rPr>
        <w:tab/>
      </w:r>
      <w:r w:rsidR="00EE6BA8">
        <w:rPr>
          <w:bCs/>
        </w:rPr>
        <w:tab/>
      </w:r>
      <w:r w:rsidR="00322460">
        <w:rPr>
          <w:bCs/>
        </w:rPr>
        <w:tab/>
      </w:r>
      <w:r w:rsidR="00322460">
        <w:rPr>
          <w:bCs/>
        </w:rPr>
        <w:tab/>
      </w:r>
      <w:r w:rsidR="00322460">
        <w:rPr>
          <w:bCs/>
        </w:rPr>
        <w:tab/>
      </w:r>
      <w:r w:rsidR="00EE6BA8">
        <w:rPr>
          <w:bCs/>
        </w:rPr>
        <w:t>28</w:t>
      </w:r>
    </w:p>
    <w:p w:rsidR="00567703" w:rsidRPr="00C471AF" w:rsidRDefault="00567703" w:rsidP="00C471AF">
      <w:pPr>
        <w:spacing w:line="240" w:lineRule="auto"/>
        <w:rPr>
          <w:bCs/>
        </w:rPr>
      </w:pPr>
      <w:r w:rsidRPr="00C471AF">
        <w:rPr>
          <w:bCs/>
        </w:rPr>
        <w:t xml:space="preserve">A2.10 </w:t>
      </w:r>
      <w:r w:rsidRPr="00C471AF">
        <w:rPr>
          <w:bCs/>
        </w:rPr>
        <w:tab/>
      </w:r>
      <w:r w:rsidR="00322460">
        <w:rPr>
          <w:bCs/>
        </w:rPr>
        <w:tab/>
      </w:r>
      <w:r w:rsidRPr="00C471AF">
        <w:rPr>
          <w:bCs/>
        </w:rPr>
        <w:t>Debt profile of oldco</w:t>
      </w:r>
      <w:r w:rsidR="00EE6BA8">
        <w:rPr>
          <w:bCs/>
        </w:rPr>
        <w:tab/>
      </w:r>
      <w:r w:rsidR="00EE6BA8">
        <w:rPr>
          <w:bCs/>
        </w:rPr>
        <w:tab/>
      </w:r>
      <w:r w:rsidR="00322460">
        <w:rPr>
          <w:bCs/>
        </w:rPr>
        <w:tab/>
      </w:r>
      <w:r w:rsidR="00322460">
        <w:rPr>
          <w:bCs/>
        </w:rPr>
        <w:tab/>
      </w:r>
      <w:r w:rsidR="00322460">
        <w:rPr>
          <w:bCs/>
        </w:rPr>
        <w:tab/>
      </w:r>
      <w:r w:rsidR="00322460">
        <w:rPr>
          <w:bCs/>
        </w:rPr>
        <w:tab/>
      </w:r>
      <w:r w:rsidR="00322460">
        <w:rPr>
          <w:bCs/>
        </w:rPr>
        <w:tab/>
      </w:r>
      <w:r w:rsidR="00EE6BA8">
        <w:rPr>
          <w:bCs/>
        </w:rPr>
        <w:t>29</w:t>
      </w:r>
    </w:p>
    <w:p w:rsidR="00567703" w:rsidRPr="00C471AF" w:rsidRDefault="00322460" w:rsidP="00C471AF">
      <w:pPr>
        <w:spacing w:line="240" w:lineRule="auto"/>
        <w:rPr>
          <w:bCs/>
        </w:rPr>
      </w:pPr>
      <w:r>
        <w:rPr>
          <w:bCs/>
        </w:rPr>
        <w:t>A2.11</w:t>
      </w:r>
      <w:r>
        <w:rPr>
          <w:bCs/>
        </w:rPr>
        <w:tab/>
      </w:r>
      <w:r>
        <w:rPr>
          <w:bCs/>
        </w:rPr>
        <w:tab/>
      </w:r>
      <w:r w:rsidR="00567703" w:rsidRPr="00C471AF">
        <w:rPr>
          <w:bCs/>
        </w:rPr>
        <w:t>Distributions to unsecured creditors of oldco</w:t>
      </w:r>
      <w:r w:rsidR="00EE6BA8">
        <w:rPr>
          <w:bCs/>
        </w:rPr>
        <w:tab/>
      </w:r>
      <w:r>
        <w:rPr>
          <w:bCs/>
        </w:rPr>
        <w:tab/>
      </w:r>
      <w:r>
        <w:rPr>
          <w:bCs/>
        </w:rPr>
        <w:tab/>
      </w:r>
      <w:r w:rsidR="00EE6BA8">
        <w:rPr>
          <w:bCs/>
        </w:rPr>
        <w:t>31</w:t>
      </w:r>
    </w:p>
    <w:p w:rsidR="00CD08BB" w:rsidRPr="00C471AF" w:rsidRDefault="00CD08BB" w:rsidP="00C471AF">
      <w:pPr>
        <w:spacing w:line="240" w:lineRule="auto"/>
        <w:rPr>
          <w:bCs/>
        </w:rPr>
      </w:pPr>
      <w:r w:rsidRPr="00C471AF">
        <w:rPr>
          <w:bCs/>
        </w:rPr>
        <w:t xml:space="preserve">A3 </w:t>
      </w:r>
      <w:r w:rsidRPr="00C471AF">
        <w:rPr>
          <w:bCs/>
        </w:rPr>
        <w:tab/>
      </w:r>
      <w:r w:rsidR="00322460">
        <w:rPr>
          <w:bCs/>
        </w:rPr>
        <w:tab/>
      </w:r>
      <w:r w:rsidRPr="00C471AF">
        <w:rPr>
          <w:bCs/>
        </w:rPr>
        <w:t>Subsequent failure of the purchaser</w:t>
      </w:r>
      <w:r w:rsidR="00EE6BA8">
        <w:rPr>
          <w:bCs/>
        </w:rPr>
        <w:tab/>
      </w:r>
      <w:r w:rsidR="00EE6BA8">
        <w:rPr>
          <w:bCs/>
        </w:rPr>
        <w:tab/>
      </w:r>
      <w:r w:rsidR="00322460">
        <w:rPr>
          <w:bCs/>
        </w:rPr>
        <w:tab/>
      </w:r>
      <w:r w:rsidR="00322460">
        <w:rPr>
          <w:bCs/>
        </w:rPr>
        <w:tab/>
      </w:r>
      <w:r w:rsidR="00A119B2">
        <w:rPr>
          <w:bCs/>
        </w:rPr>
        <w:t>35</w:t>
      </w:r>
    </w:p>
    <w:p w:rsidR="00CD08BB" w:rsidRPr="00C471AF" w:rsidRDefault="00CD08BB" w:rsidP="00C471AF">
      <w:pPr>
        <w:spacing w:line="240" w:lineRule="auto"/>
        <w:rPr>
          <w:bCs/>
        </w:rPr>
      </w:pPr>
      <w:r w:rsidRPr="00C471AF">
        <w:rPr>
          <w:bCs/>
        </w:rPr>
        <w:t xml:space="preserve">A3.1 </w:t>
      </w:r>
      <w:r w:rsidRPr="00C471AF">
        <w:rPr>
          <w:bCs/>
        </w:rPr>
        <w:tab/>
      </w:r>
      <w:r w:rsidR="00322460">
        <w:rPr>
          <w:bCs/>
        </w:rPr>
        <w:tab/>
      </w:r>
      <w:r w:rsidRPr="00C471AF">
        <w:rPr>
          <w:bCs/>
        </w:rPr>
        <w:t>Rates of failure of purchasers in a pre-pack</w:t>
      </w:r>
      <w:r w:rsidR="00A119B2">
        <w:rPr>
          <w:bCs/>
        </w:rPr>
        <w:tab/>
      </w:r>
      <w:r w:rsidR="00322460">
        <w:rPr>
          <w:bCs/>
        </w:rPr>
        <w:tab/>
      </w:r>
      <w:r w:rsidR="00322460">
        <w:rPr>
          <w:bCs/>
        </w:rPr>
        <w:tab/>
      </w:r>
      <w:r w:rsidR="00A119B2">
        <w:rPr>
          <w:bCs/>
        </w:rPr>
        <w:t>35</w:t>
      </w:r>
    </w:p>
    <w:p w:rsidR="00FC3E04" w:rsidRPr="00C471AF" w:rsidRDefault="00FC3E04" w:rsidP="00C471AF">
      <w:pPr>
        <w:spacing w:line="240" w:lineRule="auto"/>
        <w:rPr>
          <w:bCs/>
        </w:rPr>
      </w:pPr>
      <w:r w:rsidRPr="00C471AF">
        <w:rPr>
          <w:bCs/>
        </w:rPr>
        <w:t xml:space="preserve">A3.2 </w:t>
      </w:r>
      <w:r w:rsidRPr="00C471AF">
        <w:rPr>
          <w:bCs/>
        </w:rPr>
        <w:tab/>
      </w:r>
      <w:r w:rsidR="00322460">
        <w:rPr>
          <w:bCs/>
        </w:rPr>
        <w:tab/>
      </w:r>
      <w:r w:rsidRPr="00C471AF">
        <w:rPr>
          <w:bCs/>
        </w:rPr>
        <w:t>Factors influencing failure of purchasers in a pre-pack</w:t>
      </w:r>
      <w:r w:rsidR="00A119B2">
        <w:rPr>
          <w:bCs/>
        </w:rPr>
        <w:tab/>
      </w:r>
      <w:r w:rsidR="00322460">
        <w:rPr>
          <w:bCs/>
        </w:rPr>
        <w:tab/>
      </w:r>
      <w:r w:rsidR="00A119B2">
        <w:rPr>
          <w:bCs/>
        </w:rPr>
        <w:t>37</w:t>
      </w:r>
    </w:p>
    <w:p w:rsidR="00FC3E04" w:rsidRPr="00C471AF" w:rsidRDefault="00FC3E04" w:rsidP="0032246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A3.2.1 </w:t>
      </w:r>
      <w:r w:rsidR="00322460">
        <w:rPr>
          <w:b w:val="0"/>
          <w:bCs/>
          <w:sz w:val="24"/>
          <w:szCs w:val="24"/>
        </w:rPr>
        <w:tab/>
      </w:r>
      <w:r w:rsidR="00322460">
        <w:rPr>
          <w:b w:val="0"/>
          <w:bCs/>
          <w:sz w:val="24"/>
          <w:szCs w:val="24"/>
        </w:rPr>
        <w:tab/>
      </w:r>
      <w:r w:rsidRPr="00C471AF">
        <w:rPr>
          <w:b w:val="0"/>
          <w:bCs/>
          <w:sz w:val="24"/>
          <w:szCs w:val="24"/>
        </w:rPr>
        <w:t>Impact of sale to a connected party</w:t>
      </w:r>
      <w:r w:rsidR="00322460">
        <w:rPr>
          <w:b w:val="0"/>
          <w:bCs/>
          <w:sz w:val="24"/>
          <w:szCs w:val="24"/>
        </w:rPr>
        <w:tab/>
      </w:r>
      <w:r w:rsidR="00322460">
        <w:rPr>
          <w:b w:val="0"/>
          <w:bCs/>
          <w:sz w:val="24"/>
          <w:szCs w:val="24"/>
        </w:rPr>
        <w:tab/>
      </w:r>
      <w:r w:rsidR="00322460">
        <w:rPr>
          <w:b w:val="0"/>
          <w:bCs/>
          <w:sz w:val="24"/>
          <w:szCs w:val="24"/>
        </w:rPr>
        <w:tab/>
      </w:r>
      <w:r w:rsidR="00322460">
        <w:rPr>
          <w:b w:val="0"/>
          <w:bCs/>
          <w:sz w:val="24"/>
          <w:szCs w:val="24"/>
        </w:rPr>
        <w:tab/>
      </w:r>
      <w:r w:rsidR="00A119B2">
        <w:rPr>
          <w:b w:val="0"/>
          <w:bCs/>
          <w:sz w:val="24"/>
          <w:szCs w:val="24"/>
        </w:rPr>
        <w:t>37</w:t>
      </w:r>
    </w:p>
    <w:p w:rsidR="00FC3E04" w:rsidRPr="00C471AF" w:rsidRDefault="00FC3E04" w:rsidP="0032246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A3.2.2 </w:t>
      </w:r>
      <w:r w:rsidR="00322460">
        <w:rPr>
          <w:b w:val="0"/>
          <w:bCs/>
          <w:sz w:val="24"/>
          <w:szCs w:val="24"/>
        </w:rPr>
        <w:tab/>
      </w:r>
      <w:r w:rsidR="00322460">
        <w:rPr>
          <w:b w:val="0"/>
          <w:bCs/>
          <w:sz w:val="24"/>
          <w:szCs w:val="24"/>
        </w:rPr>
        <w:tab/>
      </w:r>
      <w:r w:rsidRPr="00C471AF">
        <w:rPr>
          <w:b w:val="0"/>
          <w:bCs/>
          <w:sz w:val="24"/>
          <w:szCs w:val="24"/>
        </w:rPr>
        <w:t>Impact of deferred consideration</w:t>
      </w:r>
      <w:r w:rsidR="00322460">
        <w:rPr>
          <w:b w:val="0"/>
          <w:bCs/>
          <w:sz w:val="24"/>
          <w:szCs w:val="24"/>
        </w:rPr>
        <w:tab/>
      </w:r>
      <w:r w:rsidR="00322460">
        <w:rPr>
          <w:b w:val="0"/>
          <w:bCs/>
          <w:sz w:val="24"/>
          <w:szCs w:val="24"/>
        </w:rPr>
        <w:tab/>
      </w:r>
      <w:r w:rsidR="00322460">
        <w:rPr>
          <w:b w:val="0"/>
          <w:bCs/>
          <w:sz w:val="24"/>
          <w:szCs w:val="24"/>
        </w:rPr>
        <w:tab/>
      </w:r>
      <w:r w:rsidR="00322460">
        <w:rPr>
          <w:b w:val="0"/>
          <w:bCs/>
          <w:sz w:val="24"/>
          <w:szCs w:val="24"/>
        </w:rPr>
        <w:tab/>
      </w:r>
      <w:r w:rsidR="00322460">
        <w:rPr>
          <w:b w:val="0"/>
          <w:bCs/>
          <w:sz w:val="24"/>
          <w:szCs w:val="24"/>
        </w:rPr>
        <w:tab/>
      </w:r>
      <w:r w:rsidR="00A119B2">
        <w:rPr>
          <w:b w:val="0"/>
          <w:bCs/>
          <w:sz w:val="24"/>
          <w:szCs w:val="24"/>
        </w:rPr>
        <w:t>38</w:t>
      </w:r>
    </w:p>
    <w:p w:rsidR="00834EC7" w:rsidRDefault="00C471AF" w:rsidP="00322460">
      <w:pPr>
        <w:pStyle w:val="TableHeading"/>
        <w:tabs>
          <w:tab w:val="clear" w:pos="9015"/>
          <w:tab w:val="left" w:pos="1418"/>
        </w:tabs>
        <w:spacing w:before="0" w:after="0" w:line="240" w:lineRule="auto"/>
        <w:ind w:hanging="833"/>
        <w:rPr>
          <w:b w:val="0"/>
          <w:bCs/>
          <w:sz w:val="24"/>
          <w:szCs w:val="24"/>
        </w:rPr>
      </w:pPr>
      <w:r>
        <w:rPr>
          <w:b w:val="0"/>
          <w:bCs/>
          <w:sz w:val="24"/>
          <w:szCs w:val="24"/>
        </w:rPr>
        <w:tab/>
      </w:r>
      <w:r w:rsidR="00FC3E04" w:rsidRPr="00C471AF">
        <w:rPr>
          <w:b w:val="0"/>
          <w:bCs/>
          <w:sz w:val="24"/>
          <w:szCs w:val="24"/>
        </w:rPr>
        <w:t xml:space="preserve">A3.2.3 </w:t>
      </w:r>
      <w:r w:rsidR="00FC3E04" w:rsidRPr="00C471AF">
        <w:rPr>
          <w:b w:val="0"/>
          <w:bCs/>
          <w:sz w:val="24"/>
          <w:szCs w:val="24"/>
        </w:rPr>
        <w:tab/>
      </w:r>
      <w:r w:rsidR="00322460">
        <w:rPr>
          <w:b w:val="0"/>
          <w:bCs/>
          <w:sz w:val="24"/>
          <w:szCs w:val="24"/>
        </w:rPr>
        <w:tab/>
      </w:r>
      <w:r w:rsidR="00FC3E04" w:rsidRPr="00C471AF">
        <w:rPr>
          <w:b w:val="0"/>
          <w:bCs/>
          <w:sz w:val="24"/>
          <w:szCs w:val="24"/>
        </w:rPr>
        <w:t>Combined impact of sale to a connected party and</w:t>
      </w:r>
    </w:p>
    <w:p w:rsidR="00FC3E04" w:rsidRPr="00C471AF" w:rsidRDefault="00834EC7" w:rsidP="00322460">
      <w:pPr>
        <w:pStyle w:val="TableHeading"/>
        <w:tabs>
          <w:tab w:val="clear" w:pos="9015"/>
          <w:tab w:val="left" w:pos="1418"/>
        </w:tabs>
        <w:spacing w:before="0" w:after="0" w:line="240" w:lineRule="auto"/>
        <w:ind w:hanging="833"/>
        <w:rPr>
          <w:b w:val="0"/>
          <w:bCs/>
          <w:sz w:val="24"/>
          <w:szCs w:val="24"/>
        </w:rPr>
      </w:pPr>
      <w:r>
        <w:rPr>
          <w:b w:val="0"/>
          <w:bCs/>
          <w:sz w:val="24"/>
          <w:szCs w:val="24"/>
        </w:rPr>
        <w:tab/>
      </w:r>
      <w:r>
        <w:rPr>
          <w:b w:val="0"/>
          <w:bCs/>
          <w:sz w:val="24"/>
          <w:szCs w:val="24"/>
        </w:rPr>
        <w:tab/>
      </w:r>
      <w:r>
        <w:rPr>
          <w:b w:val="0"/>
          <w:bCs/>
          <w:sz w:val="24"/>
          <w:szCs w:val="24"/>
        </w:rPr>
        <w:tab/>
      </w:r>
      <w:r w:rsidR="00FC3E04" w:rsidRPr="00C471AF">
        <w:rPr>
          <w:b w:val="0"/>
          <w:bCs/>
          <w:sz w:val="24"/>
          <w:szCs w:val="24"/>
        </w:rPr>
        <w:t>deferred consideration</w:t>
      </w:r>
      <w:r w:rsidR="00A119B2">
        <w:rPr>
          <w:b w:val="0"/>
          <w:bCs/>
          <w:sz w:val="24"/>
          <w:szCs w:val="24"/>
        </w:rPr>
        <w:t xml:space="preserve"> </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39</w:t>
      </w:r>
    </w:p>
    <w:p w:rsidR="00FC3E04" w:rsidRPr="00C471AF" w:rsidRDefault="00834EC7" w:rsidP="00834EC7">
      <w:pPr>
        <w:pStyle w:val="TableHeading"/>
        <w:tabs>
          <w:tab w:val="clear" w:pos="9015"/>
          <w:tab w:val="left" w:pos="1418"/>
        </w:tabs>
        <w:spacing w:before="0" w:after="0" w:line="240" w:lineRule="auto"/>
        <w:rPr>
          <w:b w:val="0"/>
          <w:bCs/>
          <w:sz w:val="24"/>
          <w:szCs w:val="24"/>
        </w:rPr>
      </w:pPr>
      <w:r>
        <w:rPr>
          <w:b w:val="0"/>
          <w:bCs/>
          <w:sz w:val="24"/>
          <w:szCs w:val="24"/>
        </w:rPr>
        <w:t>A3.2.4</w:t>
      </w:r>
      <w:r>
        <w:rPr>
          <w:b w:val="0"/>
          <w:bCs/>
          <w:sz w:val="24"/>
          <w:szCs w:val="24"/>
        </w:rPr>
        <w:tab/>
      </w:r>
      <w:r>
        <w:rPr>
          <w:b w:val="0"/>
          <w:bCs/>
          <w:sz w:val="24"/>
          <w:szCs w:val="24"/>
        </w:rPr>
        <w:tab/>
      </w:r>
      <w:r w:rsidR="00FC3E04" w:rsidRPr="00C471AF">
        <w:rPr>
          <w:b w:val="0"/>
          <w:bCs/>
          <w:sz w:val="24"/>
          <w:szCs w:val="24"/>
        </w:rPr>
        <w:t>Impact of size of oldco</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40</w:t>
      </w:r>
    </w:p>
    <w:p w:rsidR="00FC3E04" w:rsidRPr="00C471AF" w:rsidRDefault="00FC3E04" w:rsidP="00834EC7">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A3.2.5 </w:t>
      </w:r>
      <w:r w:rsidR="00834EC7">
        <w:rPr>
          <w:b w:val="0"/>
          <w:bCs/>
          <w:sz w:val="24"/>
          <w:szCs w:val="24"/>
        </w:rPr>
        <w:tab/>
      </w:r>
      <w:r w:rsidR="00834EC7">
        <w:rPr>
          <w:b w:val="0"/>
          <w:bCs/>
          <w:sz w:val="24"/>
          <w:szCs w:val="24"/>
        </w:rPr>
        <w:tab/>
      </w:r>
      <w:r w:rsidRPr="00C471AF">
        <w:rPr>
          <w:b w:val="0"/>
          <w:bCs/>
          <w:sz w:val="24"/>
          <w:szCs w:val="24"/>
        </w:rPr>
        <w:t>Reason for failure of oldco</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42</w:t>
      </w:r>
    </w:p>
    <w:p w:rsidR="00FC3E04" w:rsidRPr="00C471AF" w:rsidRDefault="00FC3E04" w:rsidP="00834EC7">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A3.2.6 </w:t>
      </w:r>
      <w:r w:rsidR="00834EC7">
        <w:rPr>
          <w:b w:val="0"/>
          <w:bCs/>
          <w:sz w:val="24"/>
          <w:szCs w:val="24"/>
        </w:rPr>
        <w:tab/>
      </w:r>
      <w:r w:rsidR="00834EC7">
        <w:rPr>
          <w:b w:val="0"/>
          <w:bCs/>
          <w:sz w:val="24"/>
          <w:szCs w:val="24"/>
        </w:rPr>
        <w:tab/>
      </w:r>
      <w:r w:rsidRPr="00C471AF">
        <w:rPr>
          <w:b w:val="0"/>
          <w:bCs/>
          <w:sz w:val="24"/>
          <w:szCs w:val="24"/>
        </w:rPr>
        <w:t>Sector in which oldco operated</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44</w:t>
      </w:r>
    </w:p>
    <w:p w:rsidR="00FC3E04" w:rsidRPr="00C471AF" w:rsidRDefault="00FC3E04" w:rsidP="00834EC7">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A3.2.7 </w:t>
      </w:r>
      <w:r w:rsidR="00834EC7">
        <w:rPr>
          <w:b w:val="0"/>
          <w:bCs/>
          <w:sz w:val="24"/>
          <w:szCs w:val="24"/>
        </w:rPr>
        <w:tab/>
      </w:r>
      <w:r w:rsidR="00834EC7">
        <w:rPr>
          <w:b w:val="0"/>
          <w:bCs/>
          <w:sz w:val="24"/>
          <w:szCs w:val="24"/>
        </w:rPr>
        <w:tab/>
      </w:r>
      <w:r w:rsidRPr="00C471AF">
        <w:rPr>
          <w:b w:val="0"/>
          <w:bCs/>
          <w:sz w:val="24"/>
          <w:szCs w:val="24"/>
        </w:rPr>
        <w:t>Marketing of business of oldco</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45</w:t>
      </w:r>
    </w:p>
    <w:p w:rsidR="00FC3E04" w:rsidRPr="00C471AF" w:rsidRDefault="00FC3E04" w:rsidP="00834EC7">
      <w:pPr>
        <w:pStyle w:val="TableHeading"/>
        <w:tabs>
          <w:tab w:val="clear" w:pos="9015"/>
          <w:tab w:val="left" w:pos="1418"/>
        </w:tabs>
        <w:spacing w:before="0" w:after="0" w:line="240" w:lineRule="auto"/>
        <w:rPr>
          <w:b w:val="0"/>
          <w:bCs/>
          <w:sz w:val="24"/>
          <w:szCs w:val="24"/>
        </w:rPr>
      </w:pPr>
      <w:r w:rsidRPr="00C471AF">
        <w:rPr>
          <w:b w:val="0"/>
          <w:bCs/>
          <w:sz w:val="24"/>
          <w:szCs w:val="24"/>
        </w:rPr>
        <w:t xml:space="preserve">A3.2.8 </w:t>
      </w:r>
      <w:r w:rsidR="00834EC7">
        <w:rPr>
          <w:b w:val="0"/>
          <w:bCs/>
          <w:sz w:val="24"/>
          <w:szCs w:val="24"/>
        </w:rPr>
        <w:tab/>
      </w:r>
      <w:r w:rsidR="00834EC7">
        <w:rPr>
          <w:b w:val="0"/>
          <w:bCs/>
          <w:sz w:val="24"/>
          <w:szCs w:val="24"/>
        </w:rPr>
        <w:tab/>
      </w:r>
      <w:r w:rsidRPr="00C471AF">
        <w:rPr>
          <w:b w:val="0"/>
          <w:bCs/>
          <w:sz w:val="24"/>
          <w:szCs w:val="24"/>
        </w:rPr>
        <w:t>Insolvency Practitioner Firms appointed in pre-packs</w:t>
      </w:r>
      <w:r w:rsidR="00834EC7">
        <w:rPr>
          <w:b w:val="0"/>
          <w:bCs/>
          <w:sz w:val="24"/>
          <w:szCs w:val="24"/>
        </w:rPr>
        <w:tab/>
      </w:r>
      <w:r w:rsidR="00834EC7">
        <w:rPr>
          <w:b w:val="0"/>
          <w:bCs/>
          <w:sz w:val="24"/>
          <w:szCs w:val="24"/>
        </w:rPr>
        <w:tab/>
      </w:r>
      <w:r w:rsidR="00A119B2">
        <w:rPr>
          <w:b w:val="0"/>
          <w:bCs/>
          <w:sz w:val="24"/>
          <w:szCs w:val="24"/>
        </w:rPr>
        <w:t>46</w:t>
      </w:r>
    </w:p>
    <w:p w:rsidR="00C471AF" w:rsidRDefault="00C471AF" w:rsidP="00C471AF">
      <w:pPr>
        <w:spacing w:line="240" w:lineRule="auto"/>
        <w:rPr>
          <w:b/>
          <w:bCs/>
          <w:i/>
        </w:rPr>
      </w:pPr>
    </w:p>
    <w:p w:rsidR="00CD08BB" w:rsidRDefault="00FC3E04" w:rsidP="00CD08BB">
      <w:pPr>
        <w:spacing w:line="240" w:lineRule="auto"/>
        <w:rPr>
          <w:b/>
          <w:bCs/>
          <w:i/>
        </w:rPr>
      </w:pPr>
      <w:r>
        <w:rPr>
          <w:b/>
          <w:bCs/>
          <w:i/>
        </w:rPr>
        <w:t>Part A2</w:t>
      </w:r>
    </w:p>
    <w:p w:rsidR="00834EC7" w:rsidRDefault="00C471AF" w:rsidP="00834EC7">
      <w:pPr>
        <w:pStyle w:val="TableHeading"/>
        <w:tabs>
          <w:tab w:val="clear" w:pos="9015"/>
          <w:tab w:val="left" w:pos="1418"/>
        </w:tabs>
        <w:spacing w:line="240" w:lineRule="auto"/>
        <w:ind w:left="720" w:hanging="720"/>
        <w:rPr>
          <w:b w:val="0"/>
          <w:bCs/>
          <w:sz w:val="24"/>
          <w:szCs w:val="24"/>
        </w:rPr>
      </w:pPr>
      <w:r w:rsidRPr="00C471AF">
        <w:rPr>
          <w:b w:val="0"/>
          <w:bCs/>
          <w:sz w:val="24"/>
          <w:szCs w:val="24"/>
        </w:rPr>
        <w:t xml:space="preserve">A4 </w:t>
      </w:r>
      <w:r w:rsidRPr="00C471AF">
        <w:rPr>
          <w:b w:val="0"/>
          <w:bCs/>
          <w:sz w:val="24"/>
          <w:szCs w:val="24"/>
        </w:rPr>
        <w:tab/>
      </w:r>
      <w:r w:rsidR="00834EC7">
        <w:rPr>
          <w:b w:val="0"/>
          <w:bCs/>
          <w:sz w:val="24"/>
          <w:szCs w:val="24"/>
        </w:rPr>
        <w:tab/>
      </w:r>
      <w:r w:rsidR="00834EC7">
        <w:rPr>
          <w:b w:val="0"/>
          <w:bCs/>
          <w:sz w:val="24"/>
          <w:szCs w:val="24"/>
        </w:rPr>
        <w:tab/>
      </w:r>
      <w:r w:rsidRPr="00C471AF">
        <w:rPr>
          <w:b w:val="0"/>
          <w:bCs/>
          <w:sz w:val="24"/>
          <w:szCs w:val="24"/>
        </w:rPr>
        <w:t xml:space="preserve">Regression Analysis: Factors affecting failure of the </w:t>
      </w:r>
    </w:p>
    <w:p w:rsidR="00C471AF" w:rsidRPr="00C471AF" w:rsidRDefault="00834EC7" w:rsidP="00834EC7">
      <w:pPr>
        <w:pStyle w:val="TableHeading"/>
        <w:tabs>
          <w:tab w:val="clear" w:pos="9015"/>
          <w:tab w:val="left" w:pos="1418"/>
        </w:tabs>
        <w:spacing w:line="240" w:lineRule="auto"/>
        <w:ind w:left="720" w:hanging="720"/>
        <w:rPr>
          <w:b w:val="0"/>
          <w:bCs/>
          <w:sz w:val="24"/>
          <w:szCs w:val="24"/>
        </w:rPr>
      </w:pPr>
      <w:r>
        <w:rPr>
          <w:b w:val="0"/>
          <w:bCs/>
          <w:sz w:val="24"/>
          <w:szCs w:val="24"/>
        </w:rPr>
        <w:tab/>
      </w:r>
      <w:r>
        <w:rPr>
          <w:b w:val="0"/>
          <w:bCs/>
          <w:sz w:val="24"/>
          <w:szCs w:val="24"/>
        </w:rPr>
        <w:tab/>
      </w:r>
      <w:r>
        <w:rPr>
          <w:b w:val="0"/>
          <w:bCs/>
          <w:sz w:val="24"/>
          <w:szCs w:val="24"/>
        </w:rPr>
        <w:tab/>
      </w:r>
      <w:r w:rsidR="00C471AF" w:rsidRPr="00C471AF">
        <w:rPr>
          <w:b w:val="0"/>
          <w:bCs/>
          <w:sz w:val="24"/>
          <w:szCs w:val="24"/>
        </w:rPr>
        <w:t>purchaser in a pre-pack over time</w:t>
      </w:r>
      <w:r w:rsidR="00A119B2">
        <w:rPr>
          <w:b w:val="0"/>
          <w:bCs/>
          <w:sz w:val="24"/>
          <w:szCs w:val="24"/>
        </w:rPr>
        <w:t xml:space="preserve">    </w:t>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49</w:t>
      </w:r>
    </w:p>
    <w:p w:rsidR="00C471AF" w:rsidRPr="00C471AF" w:rsidRDefault="00C471AF" w:rsidP="00834EC7">
      <w:pPr>
        <w:pStyle w:val="TableHeading"/>
        <w:tabs>
          <w:tab w:val="clear" w:pos="9015"/>
          <w:tab w:val="left" w:pos="1418"/>
        </w:tabs>
        <w:spacing w:line="240" w:lineRule="auto"/>
        <w:rPr>
          <w:b w:val="0"/>
          <w:bCs/>
          <w:sz w:val="24"/>
          <w:szCs w:val="24"/>
        </w:rPr>
      </w:pPr>
      <w:r w:rsidRPr="00C471AF">
        <w:rPr>
          <w:b w:val="0"/>
          <w:bCs/>
          <w:sz w:val="24"/>
          <w:szCs w:val="24"/>
        </w:rPr>
        <w:lastRenderedPageBreak/>
        <w:t xml:space="preserve">A4.1 </w:t>
      </w:r>
      <w:r w:rsidRPr="00C471AF">
        <w:rPr>
          <w:b w:val="0"/>
          <w:bCs/>
          <w:sz w:val="24"/>
          <w:szCs w:val="24"/>
        </w:rPr>
        <w:tab/>
      </w:r>
      <w:r w:rsidR="00834EC7">
        <w:rPr>
          <w:b w:val="0"/>
          <w:bCs/>
          <w:sz w:val="24"/>
          <w:szCs w:val="24"/>
        </w:rPr>
        <w:tab/>
      </w:r>
      <w:r w:rsidRPr="00C471AF">
        <w:rPr>
          <w:b w:val="0"/>
          <w:bCs/>
          <w:sz w:val="24"/>
          <w:szCs w:val="24"/>
        </w:rPr>
        <w:t>Failure of purchaser at 36 months</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49</w:t>
      </w:r>
    </w:p>
    <w:p w:rsidR="00C471AF" w:rsidRPr="00C471AF" w:rsidRDefault="00834EC7" w:rsidP="00834EC7">
      <w:pPr>
        <w:tabs>
          <w:tab w:val="right" w:pos="1418"/>
        </w:tabs>
        <w:spacing w:before="40" w:after="40" w:line="240" w:lineRule="auto"/>
        <w:rPr>
          <w:rFonts w:eastAsia="Calibri" w:cs="Arial"/>
        </w:rPr>
      </w:pPr>
      <w:r>
        <w:rPr>
          <w:rFonts w:eastAsia="Calibri" w:cs="Arial"/>
        </w:rPr>
        <w:t>A4.1.1</w:t>
      </w:r>
      <w:r>
        <w:rPr>
          <w:rFonts w:eastAsia="Calibri" w:cs="Arial"/>
        </w:rPr>
        <w:tab/>
      </w:r>
      <w:r>
        <w:rPr>
          <w:rFonts w:eastAsia="Calibri" w:cs="Arial"/>
        </w:rPr>
        <w:tab/>
      </w:r>
      <w:r w:rsidR="00CB6E96">
        <w:rPr>
          <w:rFonts w:eastAsia="Calibri" w:cs="Arial"/>
        </w:rPr>
        <w:t>P</w:t>
      </w:r>
      <w:r w:rsidR="00C471AF" w:rsidRPr="00C471AF">
        <w:rPr>
          <w:rFonts w:eastAsia="Calibri" w:cs="Arial"/>
        </w:rPr>
        <w:t xml:space="preserve">oints </w:t>
      </w:r>
      <w:r w:rsidR="00CB6E96">
        <w:rPr>
          <w:rFonts w:eastAsia="Calibri" w:cs="Arial"/>
        </w:rPr>
        <w:t>to</w:t>
      </w:r>
      <w:r w:rsidR="00C471AF" w:rsidRPr="00C471AF">
        <w:rPr>
          <w:rFonts w:eastAsia="Calibri" w:cs="Arial"/>
        </w:rPr>
        <w:t xml:space="preserve"> note</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sidR="00A119B2">
        <w:rPr>
          <w:rFonts w:eastAsia="Calibri" w:cs="Arial"/>
        </w:rPr>
        <w:t>50</w:t>
      </w:r>
    </w:p>
    <w:p w:rsidR="00834EC7" w:rsidRDefault="00C471AF" w:rsidP="00834EC7">
      <w:pPr>
        <w:tabs>
          <w:tab w:val="center" w:pos="1418"/>
        </w:tabs>
        <w:spacing w:before="40" w:after="40" w:line="240" w:lineRule="auto"/>
        <w:ind w:left="870" w:hanging="870"/>
        <w:rPr>
          <w:rFonts w:eastAsia="Calibri" w:cs="Arial"/>
        </w:rPr>
      </w:pPr>
      <w:r w:rsidRPr="00C471AF">
        <w:rPr>
          <w:rFonts w:eastAsia="Calibri" w:cs="Arial"/>
        </w:rPr>
        <w:t xml:space="preserve">A4.1.2 </w:t>
      </w:r>
      <w:r>
        <w:rPr>
          <w:rFonts w:eastAsia="Calibri" w:cs="Arial"/>
        </w:rPr>
        <w:tab/>
      </w:r>
      <w:r w:rsidR="00834EC7">
        <w:rPr>
          <w:rFonts w:eastAsia="Calibri" w:cs="Arial"/>
        </w:rPr>
        <w:tab/>
      </w:r>
      <w:r w:rsidR="00834EC7">
        <w:rPr>
          <w:rFonts w:eastAsia="Calibri" w:cs="Arial"/>
        </w:rPr>
        <w:tab/>
      </w:r>
      <w:r w:rsidRPr="00C471AF">
        <w:rPr>
          <w:rFonts w:eastAsia="Calibri" w:cs="Arial"/>
        </w:rPr>
        <w:t xml:space="preserve">Failure rate at 36 months: Impact of Deferred </w:t>
      </w:r>
    </w:p>
    <w:p w:rsidR="00C471AF" w:rsidRPr="00C471AF" w:rsidRDefault="00834EC7" w:rsidP="00834EC7">
      <w:pPr>
        <w:tabs>
          <w:tab w:val="center" w:pos="1418"/>
        </w:tabs>
        <w:spacing w:before="40" w:after="40" w:line="240" w:lineRule="auto"/>
        <w:ind w:left="870" w:hanging="870"/>
        <w:rPr>
          <w:rFonts w:eastAsia="Calibri" w:cs="Arial"/>
        </w:rPr>
      </w:pPr>
      <w:r>
        <w:rPr>
          <w:rFonts w:eastAsia="Calibri" w:cs="Arial"/>
        </w:rPr>
        <w:tab/>
      </w:r>
      <w:r>
        <w:rPr>
          <w:rFonts w:eastAsia="Calibri" w:cs="Arial"/>
        </w:rPr>
        <w:tab/>
      </w:r>
      <w:r>
        <w:rPr>
          <w:rFonts w:eastAsia="Calibri" w:cs="Arial"/>
        </w:rPr>
        <w:tab/>
      </w:r>
      <w:r w:rsidR="00C471AF" w:rsidRPr="00C471AF">
        <w:rPr>
          <w:rFonts w:eastAsia="Calibri" w:cs="Arial"/>
        </w:rPr>
        <w:t>Consideration and Connected Sale</w:t>
      </w:r>
      <w:r>
        <w:rPr>
          <w:rFonts w:eastAsia="Calibri" w:cs="Arial"/>
        </w:rPr>
        <w:tab/>
      </w:r>
      <w:r>
        <w:rPr>
          <w:rFonts w:eastAsia="Calibri" w:cs="Arial"/>
        </w:rPr>
        <w:tab/>
      </w:r>
      <w:r>
        <w:rPr>
          <w:rFonts w:eastAsia="Calibri" w:cs="Arial"/>
        </w:rPr>
        <w:tab/>
      </w:r>
      <w:r>
        <w:rPr>
          <w:rFonts w:eastAsia="Calibri" w:cs="Arial"/>
        </w:rPr>
        <w:tab/>
      </w:r>
      <w:r w:rsidR="00A119B2">
        <w:rPr>
          <w:rFonts w:eastAsia="Calibri" w:cs="Arial"/>
        </w:rPr>
        <w:t>50</w:t>
      </w:r>
    </w:p>
    <w:p w:rsidR="00C471AF" w:rsidRPr="00C471AF" w:rsidRDefault="00C471AF" w:rsidP="00834EC7">
      <w:pPr>
        <w:tabs>
          <w:tab w:val="center" w:pos="1418"/>
        </w:tabs>
        <w:spacing w:before="40" w:after="40" w:line="240" w:lineRule="auto"/>
        <w:rPr>
          <w:rFonts w:eastAsia="Calibri" w:cs="Arial"/>
        </w:rPr>
      </w:pPr>
      <w:r w:rsidRPr="00C471AF">
        <w:rPr>
          <w:rFonts w:eastAsia="Calibri" w:cs="Arial"/>
        </w:rPr>
        <w:t xml:space="preserve">A4.1.3 </w:t>
      </w:r>
      <w:r w:rsidR="00834EC7">
        <w:rPr>
          <w:rFonts w:eastAsia="Calibri" w:cs="Arial"/>
        </w:rPr>
        <w:tab/>
      </w:r>
      <w:r w:rsidR="00834EC7">
        <w:rPr>
          <w:rFonts w:eastAsia="Calibri" w:cs="Arial"/>
        </w:rPr>
        <w:tab/>
      </w:r>
      <w:r w:rsidRPr="00C471AF">
        <w:rPr>
          <w:rFonts w:eastAsia="Calibri" w:cs="Arial"/>
        </w:rPr>
        <w:t>Impact of purchase price and company size on failure</w:t>
      </w:r>
      <w:r w:rsidR="00834EC7">
        <w:rPr>
          <w:rFonts w:eastAsia="Calibri" w:cs="Arial"/>
        </w:rPr>
        <w:tab/>
      </w:r>
      <w:r w:rsidR="00834EC7">
        <w:rPr>
          <w:rFonts w:eastAsia="Calibri" w:cs="Arial"/>
        </w:rPr>
        <w:tab/>
      </w:r>
      <w:r w:rsidR="00A119B2">
        <w:rPr>
          <w:rFonts w:eastAsia="Calibri" w:cs="Arial"/>
        </w:rPr>
        <w:t>51</w:t>
      </w:r>
    </w:p>
    <w:p w:rsidR="00C471AF" w:rsidRPr="00C471AF" w:rsidRDefault="00C471AF" w:rsidP="00834EC7">
      <w:pPr>
        <w:tabs>
          <w:tab w:val="center" w:pos="851"/>
          <w:tab w:val="right" w:pos="1418"/>
        </w:tabs>
        <w:spacing w:before="40" w:after="40" w:line="240" w:lineRule="auto"/>
        <w:rPr>
          <w:rFonts w:eastAsia="Calibri" w:cs="Arial"/>
        </w:rPr>
      </w:pPr>
      <w:r w:rsidRPr="00C471AF">
        <w:rPr>
          <w:rFonts w:eastAsia="Calibri" w:cs="Arial"/>
        </w:rPr>
        <w:t xml:space="preserve">A4.1.4 </w:t>
      </w:r>
      <w:r w:rsidR="00834EC7">
        <w:rPr>
          <w:rFonts w:eastAsia="Calibri" w:cs="Arial"/>
        </w:rPr>
        <w:tab/>
      </w:r>
      <w:r w:rsidR="00834EC7">
        <w:rPr>
          <w:rFonts w:eastAsia="Calibri" w:cs="Arial"/>
        </w:rPr>
        <w:tab/>
      </w:r>
      <w:r>
        <w:rPr>
          <w:rFonts w:eastAsia="Calibri" w:cs="Arial"/>
        </w:rPr>
        <w:tab/>
      </w:r>
      <w:r w:rsidRPr="00C471AF">
        <w:rPr>
          <w:rFonts w:eastAsia="Calibri" w:cs="Arial"/>
        </w:rPr>
        <w:t xml:space="preserve">Impact of </w:t>
      </w:r>
      <w:r w:rsidR="005B76AC">
        <w:rPr>
          <w:rFonts w:eastAsia="Calibri" w:cs="Arial"/>
        </w:rPr>
        <w:t>s</w:t>
      </w:r>
      <w:r w:rsidRPr="00C471AF">
        <w:rPr>
          <w:rFonts w:eastAsia="Calibri" w:cs="Arial"/>
        </w:rPr>
        <w:t xml:space="preserve">ize of </w:t>
      </w:r>
      <w:r w:rsidR="005B76AC">
        <w:rPr>
          <w:rFonts w:eastAsia="Calibri" w:cs="Arial"/>
        </w:rPr>
        <w:t>c</w:t>
      </w:r>
      <w:r w:rsidRPr="00C471AF">
        <w:rPr>
          <w:rFonts w:eastAsia="Calibri" w:cs="Arial"/>
        </w:rPr>
        <w:t>ompany</w:t>
      </w:r>
      <w:r w:rsidR="00834EC7">
        <w:rPr>
          <w:rFonts w:eastAsia="Calibri" w:cs="Arial"/>
        </w:rPr>
        <w:tab/>
      </w:r>
      <w:r w:rsidR="00834EC7">
        <w:rPr>
          <w:rFonts w:eastAsia="Calibri" w:cs="Arial"/>
        </w:rPr>
        <w:tab/>
      </w:r>
      <w:r w:rsidR="005B76AC">
        <w:rPr>
          <w:rFonts w:eastAsia="Calibri" w:cs="Arial"/>
        </w:rPr>
        <w:tab/>
      </w:r>
      <w:r w:rsidR="00834EC7">
        <w:rPr>
          <w:rFonts w:eastAsia="Calibri" w:cs="Arial"/>
        </w:rPr>
        <w:tab/>
      </w:r>
      <w:r w:rsidR="00834EC7">
        <w:rPr>
          <w:rFonts w:eastAsia="Calibri" w:cs="Arial"/>
        </w:rPr>
        <w:tab/>
      </w:r>
      <w:r w:rsidR="00834EC7">
        <w:rPr>
          <w:rFonts w:eastAsia="Calibri" w:cs="Arial"/>
        </w:rPr>
        <w:tab/>
      </w:r>
      <w:r w:rsidR="00A119B2">
        <w:rPr>
          <w:rFonts w:eastAsia="Calibri" w:cs="Arial"/>
        </w:rPr>
        <w:t>51</w:t>
      </w:r>
    </w:p>
    <w:p w:rsidR="00C471AF" w:rsidRPr="00C471AF" w:rsidRDefault="00C471AF" w:rsidP="00834EC7">
      <w:pPr>
        <w:pStyle w:val="TableHeading"/>
        <w:tabs>
          <w:tab w:val="clear" w:pos="9015"/>
          <w:tab w:val="left" w:pos="1418"/>
        </w:tabs>
        <w:spacing w:line="240" w:lineRule="auto"/>
        <w:rPr>
          <w:b w:val="0"/>
          <w:bCs/>
          <w:sz w:val="24"/>
          <w:szCs w:val="24"/>
        </w:rPr>
      </w:pPr>
      <w:r w:rsidRPr="00C471AF">
        <w:rPr>
          <w:b w:val="0"/>
          <w:bCs/>
          <w:sz w:val="24"/>
          <w:szCs w:val="24"/>
        </w:rPr>
        <w:t xml:space="preserve">A4.2 </w:t>
      </w:r>
      <w:r>
        <w:rPr>
          <w:b w:val="0"/>
          <w:bCs/>
          <w:sz w:val="24"/>
          <w:szCs w:val="24"/>
        </w:rPr>
        <w:tab/>
      </w:r>
      <w:r w:rsidR="00834EC7">
        <w:rPr>
          <w:b w:val="0"/>
          <w:bCs/>
          <w:sz w:val="24"/>
          <w:szCs w:val="24"/>
        </w:rPr>
        <w:tab/>
      </w:r>
      <w:r w:rsidRPr="00C471AF">
        <w:rPr>
          <w:b w:val="0"/>
          <w:bCs/>
          <w:sz w:val="24"/>
          <w:szCs w:val="24"/>
        </w:rPr>
        <w:t>Failure of purchaser at 24 months</w:t>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834EC7">
        <w:rPr>
          <w:b w:val="0"/>
          <w:bCs/>
          <w:sz w:val="24"/>
          <w:szCs w:val="24"/>
        </w:rPr>
        <w:tab/>
      </w:r>
      <w:r w:rsidR="00A119B2">
        <w:rPr>
          <w:b w:val="0"/>
          <w:bCs/>
          <w:sz w:val="24"/>
          <w:szCs w:val="24"/>
        </w:rPr>
        <w:t>51</w:t>
      </w:r>
    </w:p>
    <w:p w:rsidR="00C471AF" w:rsidRPr="00C471AF" w:rsidRDefault="00C471AF" w:rsidP="004A0E51">
      <w:pPr>
        <w:tabs>
          <w:tab w:val="right" w:pos="1418"/>
        </w:tabs>
        <w:spacing w:before="40" w:after="40" w:line="240" w:lineRule="auto"/>
        <w:rPr>
          <w:rFonts w:eastAsia="Calibri" w:cs="Arial"/>
        </w:rPr>
      </w:pPr>
      <w:r w:rsidRPr="00C471AF">
        <w:rPr>
          <w:rFonts w:eastAsia="Calibri" w:cs="Arial"/>
        </w:rPr>
        <w:t xml:space="preserve">A4.2.1 </w:t>
      </w:r>
      <w:r w:rsidR="004A0E51">
        <w:rPr>
          <w:rFonts w:eastAsia="Calibri" w:cs="Arial"/>
        </w:rPr>
        <w:tab/>
      </w:r>
      <w:r w:rsidR="004A0E51">
        <w:rPr>
          <w:rFonts w:eastAsia="Calibri" w:cs="Arial"/>
        </w:rPr>
        <w:tab/>
      </w:r>
      <w:r w:rsidR="00CB6E96">
        <w:rPr>
          <w:rFonts w:eastAsia="Calibri" w:cs="Arial"/>
        </w:rPr>
        <w:t>P</w:t>
      </w:r>
      <w:r w:rsidRPr="00C471AF">
        <w:rPr>
          <w:rFonts w:eastAsia="Calibri" w:cs="Arial"/>
        </w:rPr>
        <w:t xml:space="preserve">oints </w:t>
      </w:r>
      <w:r w:rsidR="00CB6E96">
        <w:rPr>
          <w:rFonts w:eastAsia="Calibri" w:cs="Arial"/>
        </w:rPr>
        <w:t>to</w:t>
      </w:r>
      <w:r w:rsidRPr="00C471AF">
        <w:rPr>
          <w:rFonts w:eastAsia="Calibri" w:cs="Arial"/>
        </w:rPr>
        <w:t xml:space="preserve"> note</w:t>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A119B2">
        <w:rPr>
          <w:rFonts w:eastAsia="Calibri" w:cs="Arial"/>
        </w:rPr>
        <w:t>51</w:t>
      </w:r>
    </w:p>
    <w:p w:rsidR="004A0E51" w:rsidRDefault="004A0E51" w:rsidP="004A0E51">
      <w:pPr>
        <w:tabs>
          <w:tab w:val="center" w:pos="1418"/>
        </w:tabs>
        <w:spacing w:before="40" w:after="40" w:line="240" w:lineRule="auto"/>
        <w:ind w:left="870" w:hanging="870"/>
        <w:rPr>
          <w:rFonts w:eastAsia="Calibri" w:cs="Arial"/>
        </w:rPr>
      </w:pPr>
      <w:r>
        <w:rPr>
          <w:rFonts w:eastAsia="Calibri" w:cs="Arial"/>
        </w:rPr>
        <w:t>A4.2.2</w:t>
      </w:r>
      <w:r>
        <w:rPr>
          <w:rFonts w:eastAsia="Calibri" w:cs="Arial"/>
        </w:rPr>
        <w:tab/>
      </w:r>
      <w:r>
        <w:rPr>
          <w:rFonts w:eastAsia="Calibri" w:cs="Arial"/>
        </w:rPr>
        <w:tab/>
      </w:r>
      <w:r>
        <w:rPr>
          <w:rFonts w:eastAsia="Calibri" w:cs="Arial"/>
        </w:rPr>
        <w:tab/>
      </w:r>
      <w:r w:rsidR="00C471AF" w:rsidRPr="00C471AF">
        <w:rPr>
          <w:rFonts w:eastAsia="Calibri" w:cs="Arial"/>
        </w:rPr>
        <w:t xml:space="preserve">Failure rate at 24 months: Impact of Deferred </w:t>
      </w:r>
    </w:p>
    <w:p w:rsidR="00C471AF" w:rsidRPr="00C471AF" w:rsidRDefault="004A0E51" w:rsidP="004A0E51">
      <w:pPr>
        <w:tabs>
          <w:tab w:val="center" w:pos="1418"/>
        </w:tabs>
        <w:spacing w:before="40" w:after="40" w:line="240" w:lineRule="auto"/>
        <w:ind w:left="870" w:hanging="870"/>
        <w:rPr>
          <w:rFonts w:eastAsia="Calibri" w:cs="Arial"/>
        </w:rPr>
      </w:pPr>
      <w:r>
        <w:rPr>
          <w:rFonts w:eastAsia="Calibri" w:cs="Arial"/>
        </w:rPr>
        <w:tab/>
      </w:r>
      <w:r>
        <w:rPr>
          <w:rFonts w:eastAsia="Calibri" w:cs="Arial"/>
        </w:rPr>
        <w:tab/>
      </w:r>
      <w:r>
        <w:rPr>
          <w:rFonts w:eastAsia="Calibri" w:cs="Arial"/>
        </w:rPr>
        <w:tab/>
      </w:r>
      <w:r w:rsidR="00C471AF" w:rsidRPr="00C471AF">
        <w:rPr>
          <w:rFonts w:eastAsia="Calibri" w:cs="Arial"/>
        </w:rPr>
        <w:t>Consideration and Connected Sale</w:t>
      </w:r>
      <w:r w:rsidR="00A119B2">
        <w:rPr>
          <w:rFonts w:eastAsia="Calibri" w:cs="Arial"/>
        </w:rPr>
        <w:t xml:space="preserve">    </w:t>
      </w:r>
      <w:r>
        <w:rPr>
          <w:rFonts w:eastAsia="Calibri" w:cs="Arial"/>
        </w:rPr>
        <w:tab/>
      </w:r>
      <w:r>
        <w:rPr>
          <w:rFonts w:eastAsia="Calibri" w:cs="Arial"/>
        </w:rPr>
        <w:tab/>
      </w:r>
      <w:r>
        <w:rPr>
          <w:rFonts w:eastAsia="Calibri" w:cs="Arial"/>
        </w:rPr>
        <w:tab/>
      </w:r>
      <w:r>
        <w:rPr>
          <w:rFonts w:eastAsia="Calibri" w:cs="Arial"/>
        </w:rPr>
        <w:tab/>
      </w:r>
      <w:r w:rsidR="00A119B2">
        <w:rPr>
          <w:rFonts w:eastAsia="Calibri" w:cs="Arial"/>
        </w:rPr>
        <w:t>52</w:t>
      </w:r>
    </w:p>
    <w:p w:rsidR="00C471AF" w:rsidRPr="00C471AF" w:rsidRDefault="00C471AF" w:rsidP="004A0E51">
      <w:pPr>
        <w:pStyle w:val="TableHeading"/>
        <w:tabs>
          <w:tab w:val="clear" w:pos="9015"/>
          <w:tab w:val="left" w:pos="1418"/>
        </w:tabs>
        <w:spacing w:line="240" w:lineRule="auto"/>
        <w:rPr>
          <w:b w:val="0"/>
          <w:bCs/>
          <w:sz w:val="24"/>
          <w:szCs w:val="24"/>
        </w:rPr>
      </w:pPr>
      <w:r w:rsidRPr="00C471AF">
        <w:rPr>
          <w:b w:val="0"/>
          <w:bCs/>
          <w:sz w:val="24"/>
          <w:szCs w:val="24"/>
        </w:rPr>
        <w:t xml:space="preserve">A4.3 </w:t>
      </w:r>
      <w:r w:rsidR="004A0E51">
        <w:rPr>
          <w:b w:val="0"/>
          <w:bCs/>
          <w:sz w:val="24"/>
          <w:szCs w:val="24"/>
        </w:rPr>
        <w:tab/>
      </w:r>
      <w:r w:rsidR="004A0E51">
        <w:rPr>
          <w:b w:val="0"/>
          <w:bCs/>
          <w:sz w:val="24"/>
          <w:szCs w:val="24"/>
        </w:rPr>
        <w:tab/>
      </w:r>
      <w:r w:rsidRPr="00C471AF">
        <w:rPr>
          <w:b w:val="0"/>
          <w:bCs/>
          <w:sz w:val="24"/>
          <w:szCs w:val="24"/>
        </w:rPr>
        <w:t>Failure of purchaser at 12 months</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52</w:t>
      </w:r>
    </w:p>
    <w:p w:rsidR="00C471AF" w:rsidRPr="00C471AF" w:rsidRDefault="00C471AF" w:rsidP="004A0E51">
      <w:pPr>
        <w:tabs>
          <w:tab w:val="right" w:pos="1418"/>
        </w:tabs>
        <w:spacing w:before="40" w:after="40" w:line="240" w:lineRule="auto"/>
        <w:rPr>
          <w:rFonts w:eastAsia="Calibri" w:cs="Arial"/>
        </w:rPr>
      </w:pPr>
      <w:r w:rsidRPr="00C471AF">
        <w:rPr>
          <w:rFonts w:eastAsia="Calibri" w:cs="Arial"/>
        </w:rPr>
        <w:t xml:space="preserve">A4.3.1 </w:t>
      </w:r>
      <w:r w:rsidR="004A0E51">
        <w:rPr>
          <w:rFonts w:eastAsia="Calibri" w:cs="Arial"/>
        </w:rPr>
        <w:tab/>
      </w:r>
      <w:r w:rsidR="004A0E51">
        <w:rPr>
          <w:rFonts w:eastAsia="Calibri" w:cs="Arial"/>
        </w:rPr>
        <w:tab/>
      </w:r>
      <w:r w:rsidR="00B725B7">
        <w:rPr>
          <w:rFonts w:eastAsia="Calibri" w:cs="Arial"/>
        </w:rPr>
        <w:t>P</w:t>
      </w:r>
      <w:r w:rsidRPr="00C471AF">
        <w:rPr>
          <w:rFonts w:eastAsia="Calibri" w:cs="Arial"/>
        </w:rPr>
        <w:t xml:space="preserve">oints </w:t>
      </w:r>
      <w:r w:rsidR="00B725B7">
        <w:rPr>
          <w:rFonts w:eastAsia="Calibri" w:cs="Arial"/>
        </w:rPr>
        <w:t>t</w:t>
      </w:r>
      <w:r w:rsidRPr="00C471AF">
        <w:rPr>
          <w:rFonts w:eastAsia="Calibri" w:cs="Arial"/>
        </w:rPr>
        <w:t>o note</w:t>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4A0E51">
        <w:rPr>
          <w:rFonts w:eastAsia="Calibri" w:cs="Arial"/>
        </w:rPr>
        <w:tab/>
      </w:r>
      <w:r w:rsidR="00A119B2">
        <w:rPr>
          <w:rFonts w:eastAsia="Calibri" w:cs="Arial"/>
        </w:rPr>
        <w:t>52</w:t>
      </w:r>
    </w:p>
    <w:p w:rsidR="004A0E51" w:rsidRDefault="00C471AF" w:rsidP="004A0E51">
      <w:pPr>
        <w:tabs>
          <w:tab w:val="right" w:pos="1418"/>
        </w:tabs>
        <w:spacing w:before="40" w:after="40" w:line="240" w:lineRule="auto"/>
        <w:ind w:left="870" w:hanging="870"/>
        <w:rPr>
          <w:rFonts w:eastAsia="Calibri" w:cs="Arial"/>
        </w:rPr>
      </w:pPr>
      <w:r w:rsidRPr="00C471AF">
        <w:rPr>
          <w:rFonts w:eastAsia="Calibri" w:cs="Arial"/>
        </w:rPr>
        <w:t xml:space="preserve">A4.3.2 </w:t>
      </w:r>
      <w:r w:rsidRPr="00C471AF">
        <w:rPr>
          <w:rFonts w:eastAsia="Calibri" w:cs="Arial"/>
        </w:rPr>
        <w:tab/>
      </w:r>
      <w:r w:rsidR="004A0E51">
        <w:rPr>
          <w:rFonts w:eastAsia="Calibri" w:cs="Arial"/>
        </w:rPr>
        <w:tab/>
      </w:r>
      <w:r w:rsidR="004A0E51">
        <w:rPr>
          <w:rFonts w:eastAsia="Calibri" w:cs="Arial"/>
        </w:rPr>
        <w:tab/>
      </w:r>
      <w:r w:rsidRPr="00C471AF">
        <w:rPr>
          <w:rFonts w:eastAsia="Calibri" w:cs="Arial"/>
        </w:rPr>
        <w:t xml:space="preserve">Failure rate at 12 months: Impact of Deferred </w:t>
      </w:r>
    </w:p>
    <w:p w:rsidR="00C471AF" w:rsidRPr="00C471AF" w:rsidRDefault="004A0E51" w:rsidP="004A0E51">
      <w:pPr>
        <w:tabs>
          <w:tab w:val="right" w:pos="1418"/>
        </w:tabs>
        <w:spacing w:before="40" w:after="40" w:line="240" w:lineRule="auto"/>
        <w:ind w:left="870" w:hanging="870"/>
        <w:rPr>
          <w:rFonts w:eastAsia="Calibri" w:cs="Arial"/>
        </w:rPr>
      </w:pPr>
      <w:r>
        <w:rPr>
          <w:rFonts w:eastAsia="Calibri" w:cs="Arial"/>
        </w:rPr>
        <w:tab/>
      </w:r>
      <w:r>
        <w:rPr>
          <w:rFonts w:eastAsia="Calibri" w:cs="Arial"/>
        </w:rPr>
        <w:tab/>
      </w:r>
      <w:r>
        <w:rPr>
          <w:rFonts w:eastAsia="Calibri" w:cs="Arial"/>
        </w:rPr>
        <w:tab/>
      </w:r>
      <w:r w:rsidR="00C471AF" w:rsidRPr="00C471AF">
        <w:rPr>
          <w:rFonts w:eastAsia="Calibri" w:cs="Arial"/>
        </w:rPr>
        <w:t>Consideration and Connected Sale</w:t>
      </w:r>
      <w:r>
        <w:rPr>
          <w:rFonts w:eastAsia="Calibri" w:cs="Arial"/>
        </w:rPr>
        <w:tab/>
      </w:r>
      <w:r>
        <w:rPr>
          <w:rFonts w:eastAsia="Calibri" w:cs="Arial"/>
        </w:rPr>
        <w:tab/>
      </w:r>
      <w:r>
        <w:rPr>
          <w:rFonts w:eastAsia="Calibri" w:cs="Arial"/>
        </w:rPr>
        <w:tab/>
      </w:r>
      <w:r>
        <w:rPr>
          <w:rFonts w:eastAsia="Calibri" w:cs="Arial"/>
        </w:rPr>
        <w:tab/>
      </w:r>
      <w:r w:rsidR="00A119B2">
        <w:rPr>
          <w:rFonts w:eastAsia="Calibri" w:cs="Arial"/>
        </w:rPr>
        <w:t>52</w:t>
      </w:r>
    </w:p>
    <w:p w:rsidR="00C471AF" w:rsidRDefault="00C471AF" w:rsidP="005869A7">
      <w:pPr>
        <w:pStyle w:val="TableHeading"/>
        <w:spacing w:line="240" w:lineRule="auto"/>
        <w:rPr>
          <w:bCs/>
          <w:i/>
          <w:sz w:val="24"/>
          <w:szCs w:val="24"/>
        </w:rPr>
      </w:pPr>
    </w:p>
    <w:p w:rsidR="004A0E51" w:rsidRDefault="005869A7" w:rsidP="005869A7">
      <w:pPr>
        <w:pStyle w:val="TableHeading"/>
        <w:spacing w:line="240" w:lineRule="auto"/>
        <w:rPr>
          <w:bCs/>
          <w:i/>
          <w:sz w:val="24"/>
          <w:szCs w:val="24"/>
        </w:rPr>
      </w:pPr>
      <w:r w:rsidRPr="005869A7">
        <w:rPr>
          <w:bCs/>
          <w:i/>
          <w:sz w:val="24"/>
          <w:szCs w:val="24"/>
        </w:rPr>
        <w:t xml:space="preserve">Part B Counterfactual – Trading Administrations with a sale as </w:t>
      </w:r>
    </w:p>
    <w:p w:rsidR="005869A7" w:rsidRPr="005869A7" w:rsidRDefault="005869A7" w:rsidP="004A0E51">
      <w:pPr>
        <w:pStyle w:val="TableHeading"/>
        <w:tabs>
          <w:tab w:val="clear" w:pos="9015"/>
          <w:tab w:val="left" w:pos="2410"/>
        </w:tabs>
        <w:spacing w:line="240" w:lineRule="auto"/>
        <w:rPr>
          <w:bCs/>
          <w:i/>
          <w:sz w:val="24"/>
          <w:szCs w:val="24"/>
        </w:rPr>
      </w:pPr>
      <w:r w:rsidRPr="005869A7">
        <w:rPr>
          <w:bCs/>
          <w:i/>
          <w:sz w:val="24"/>
          <w:szCs w:val="24"/>
        </w:rPr>
        <w:t>a going concern</w:t>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4A0E51">
        <w:rPr>
          <w:bCs/>
          <w:i/>
          <w:sz w:val="24"/>
          <w:szCs w:val="24"/>
        </w:rPr>
        <w:tab/>
      </w:r>
      <w:r w:rsidR="00A119B2" w:rsidRPr="004A0E51">
        <w:rPr>
          <w:b w:val="0"/>
          <w:bCs/>
          <w:sz w:val="24"/>
          <w:szCs w:val="24"/>
        </w:rPr>
        <w:t>54</w:t>
      </w:r>
    </w:p>
    <w:p w:rsidR="00C471AF" w:rsidRDefault="00C471AF" w:rsidP="005869A7">
      <w:pPr>
        <w:pStyle w:val="TableHeading"/>
        <w:spacing w:line="240" w:lineRule="auto"/>
        <w:rPr>
          <w:bCs/>
          <w:i/>
          <w:sz w:val="24"/>
          <w:szCs w:val="24"/>
        </w:rPr>
      </w:pPr>
    </w:p>
    <w:p w:rsidR="005869A7" w:rsidRPr="005869A7" w:rsidRDefault="005869A7" w:rsidP="005869A7">
      <w:pPr>
        <w:pStyle w:val="TableHeading"/>
        <w:spacing w:line="240" w:lineRule="auto"/>
        <w:rPr>
          <w:bCs/>
          <w:i/>
          <w:sz w:val="24"/>
          <w:szCs w:val="24"/>
        </w:rPr>
      </w:pPr>
      <w:r w:rsidRPr="005869A7">
        <w:rPr>
          <w:bCs/>
          <w:i/>
          <w:sz w:val="24"/>
          <w:szCs w:val="24"/>
        </w:rPr>
        <w:t>Part B1</w:t>
      </w:r>
    </w:p>
    <w:p w:rsidR="005869A7" w:rsidRPr="00C471AF" w:rsidRDefault="005869A7" w:rsidP="004A0E51">
      <w:pPr>
        <w:pStyle w:val="TableHeading"/>
        <w:tabs>
          <w:tab w:val="clear" w:pos="9015"/>
          <w:tab w:val="left" w:pos="1418"/>
        </w:tabs>
        <w:spacing w:line="240" w:lineRule="auto"/>
        <w:rPr>
          <w:b w:val="0"/>
          <w:bCs/>
          <w:sz w:val="24"/>
          <w:szCs w:val="24"/>
        </w:rPr>
      </w:pPr>
      <w:r w:rsidRPr="00C471AF">
        <w:rPr>
          <w:b w:val="0"/>
          <w:bCs/>
          <w:sz w:val="24"/>
          <w:szCs w:val="24"/>
        </w:rPr>
        <w:t xml:space="preserve">B1 </w:t>
      </w:r>
      <w:r w:rsidR="004A0E51">
        <w:rPr>
          <w:b w:val="0"/>
          <w:bCs/>
          <w:sz w:val="24"/>
          <w:szCs w:val="24"/>
        </w:rPr>
        <w:tab/>
      </w:r>
      <w:r w:rsidR="004A0E51">
        <w:rPr>
          <w:b w:val="0"/>
          <w:bCs/>
          <w:sz w:val="24"/>
          <w:szCs w:val="24"/>
        </w:rPr>
        <w:tab/>
      </w:r>
      <w:r w:rsidRPr="00C471AF">
        <w:rPr>
          <w:b w:val="0"/>
          <w:bCs/>
          <w:sz w:val="24"/>
          <w:szCs w:val="24"/>
        </w:rPr>
        <w:t>Details of oldco</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54</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B1.1 </w:t>
      </w:r>
      <w:r w:rsidR="004A0E51">
        <w:rPr>
          <w:b w:val="0"/>
          <w:bCs/>
          <w:sz w:val="24"/>
          <w:szCs w:val="24"/>
        </w:rPr>
        <w:tab/>
      </w:r>
      <w:r w:rsidR="004A0E51">
        <w:rPr>
          <w:b w:val="0"/>
          <w:bCs/>
          <w:sz w:val="24"/>
          <w:szCs w:val="24"/>
        </w:rPr>
        <w:tab/>
      </w:r>
      <w:r w:rsidRPr="00C471AF">
        <w:rPr>
          <w:b w:val="0"/>
          <w:bCs/>
          <w:sz w:val="24"/>
          <w:szCs w:val="24"/>
        </w:rPr>
        <w:t>Age of oldco</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55</w:t>
      </w:r>
    </w:p>
    <w:p w:rsidR="005869A7" w:rsidRPr="00C471AF" w:rsidRDefault="004A0E51" w:rsidP="004A0E51">
      <w:pPr>
        <w:pStyle w:val="TableHeading"/>
        <w:tabs>
          <w:tab w:val="clear" w:pos="9015"/>
          <w:tab w:val="left" w:pos="1418"/>
        </w:tabs>
        <w:spacing w:before="0" w:after="0" w:line="240" w:lineRule="auto"/>
        <w:rPr>
          <w:b w:val="0"/>
          <w:bCs/>
          <w:sz w:val="24"/>
          <w:szCs w:val="24"/>
        </w:rPr>
      </w:pPr>
      <w:r>
        <w:rPr>
          <w:b w:val="0"/>
          <w:bCs/>
          <w:sz w:val="24"/>
          <w:szCs w:val="24"/>
        </w:rPr>
        <w:t xml:space="preserve">B1.2 </w:t>
      </w:r>
      <w:r>
        <w:rPr>
          <w:b w:val="0"/>
          <w:bCs/>
          <w:sz w:val="24"/>
          <w:szCs w:val="24"/>
        </w:rPr>
        <w:tab/>
      </w:r>
      <w:r>
        <w:rPr>
          <w:b w:val="0"/>
          <w:bCs/>
          <w:sz w:val="24"/>
          <w:szCs w:val="24"/>
        </w:rPr>
        <w:tab/>
        <w:t>Size of oldco</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55</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B1.3 </w:t>
      </w:r>
      <w:r w:rsidR="004A0E51">
        <w:rPr>
          <w:b w:val="0"/>
          <w:bCs/>
          <w:sz w:val="24"/>
          <w:szCs w:val="24"/>
        </w:rPr>
        <w:tab/>
      </w:r>
      <w:r w:rsidR="004A0E51">
        <w:rPr>
          <w:b w:val="0"/>
          <w:bCs/>
          <w:sz w:val="24"/>
          <w:szCs w:val="24"/>
        </w:rPr>
        <w:tab/>
      </w:r>
      <w:r w:rsidRPr="00C471AF">
        <w:rPr>
          <w:b w:val="0"/>
          <w:bCs/>
          <w:sz w:val="24"/>
          <w:szCs w:val="24"/>
        </w:rPr>
        <w:t>Reasons for failure of oldco</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56</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B1.4 </w:t>
      </w:r>
      <w:r w:rsidR="004A0E51">
        <w:rPr>
          <w:b w:val="0"/>
          <w:bCs/>
          <w:sz w:val="24"/>
          <w:szCs w:val="24"/>
        </w:rPr>
        <w:tab/>
      </w:r>
      <w:r w:rsidR="004A0E51">
        <w:rPr>
          <w:b w:val="0"/>
          <w:bCs/>
          <w:sz w:val="24"/>
          <w:szCs w:val="24"/>
        </w:rPr>
        <w:tab/>
      </w:r>
      <w:r w:rsidRPr="00C471AF">
        <w:rPr>
          <w:b w:val="0"/>
          <w:bCs/>
          <w:sz w:val="24"/>
          <w:szCs w:val="24"/>
        </w:rPr>
        <w:t>Sector in which oldco operated</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58</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B1.5 </w:t>
      </w:r>
      <w:r w:rsidR="004A0E51">
        <w:rPr>
          <w:b w:val="0"/>
          <w:bCs/>
          <w:sz w:val="24"/>
          <w:szCs w:val="24"/>
        </w:rPr>
        <w:tab/>
      </w:r>
      <w:r w:rsidR="004A0E51">
        <w:rPr>
          <w:b w:val="0"/>
          <w:bCs/>
          <w:sz w:val="24"/>
          <w:szCs w:val="24"/>
        </w:rPr>
        <w:tab/>
      </w:r>
      <w:r w:rsidRPr="00C471AF">
        <w:rPr>
          <w:b w:val="0"/>
          <w:bCs/>
          <w:sz w:val="24"/>
          <w:szCs w:val="24"/>
        </w:rPr>
        <w:t>Presence of group companies</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59</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 </w:t>
      </w:r>
      <w:r w:rsidR="004A0E51">
        <w:rPr>
          <w:b w:val="0"/>
          <w:bCs/>
          <w:sz w:val="24"/>
          <w:szCs w:val="24"/>
        </w:rPr>
        <w:tab/>
      </w:r>
      <w:r w:rsidR="004A0E51">
        <w:rPr>
          <w:b w:val="0"/>
          <w:bCs/>
          <w:sz w:val="24"/>
          <w:szCs w:val="24"/>
        </w:rPr>
        <w:tab/>
      </w:r>
      <w:r w:rsidRPr="00C471AF">
        <w:rPr>
          <w:b w:val="0"/>
          <w:bCs/>
          <w:sz w:val="24"/>
          <w:szCs w:val="24"/>
        </w:rPr>
        <w:t>Details of the trading administration going concern sale</w:t>
      </w:r>
      <w:r w:rsidR="00A119B2">
        <w:rPr>
          <w:b w:val="0"/>
          <w:bCs/>
          <w:sz w:val="24"/>
          <w:szCs w:val="24"/>
        </w:rPr>
        <w:t xml:space="preserve">    </w:t>
      </w:r>
      <w:r w:rsidR="004A0E51">
        <w:rPr>
          <w:b w:val="0"/>
          <w:bCs/>
          <w:sz w:val="24"/>
          <w:szCs w:val="24"/>
        </w:rPr>
        <w:tab/>
      </w:r>
      <w:r w:rsidR="00A119B2">
        <w:rPr>
          <w:b w:val="0"/>
          <w:bCs/>
          <w:sz w:val="24"/>
          <w:szCs w:val="24"/>
        </w:rPr>
        <w:t>60</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B2.1 </w:t>
      </w:r>
      <w:r w:rsidR="004A0E51">
        <w:rPr>
          <w:b w:val="0"/>
          <w:bCs/>
          <w:sz w:val="24"/>
          <w:szCs w:val="24"/>
        </w:rPr>
        <w:tab/>
      </w:r>
      <w:r w:rsidR="004A0E51">
        <w:rPr>
          <w:b w:val="0"/>
          <w:bCs/>
          <w:sz w:val="24"/>
          <w:szCs w:val="24"/>
        </w:rPr>
        <w:tab/>
      </w:r>
      <w:r w:rsidRPr="00C471AF">
        <w:rPr>
          <w:b w:val="0"/>
          <w:bCs/>
          <w:sz w:val="24"/>
          <w:szCs w:val="24"/>
        </w:rPr>
        <w:t>Connected purchase</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60</w:t>
      </w:r>
    </w:p>
    <w:p w:rsidR="005869A7" w:rsidRPr="00C471AF" w:rsidRDefault="004A0E51" w:rsidP="004A0E51">
      <w:pPr>
        <w:pStyle w:val="TableHeading"/>
        <w:tabs>
          <w:tab w:val="clear" w:pos="9015"/>
          <w:tab w:val="left" w:pos="1418"/>
        </w:tabs>
        <w:spacing w:before="0" w:after="0" w:line="240" w:lineRule="auto"/>
        <w:rPr>
          <w:b w:val="0"/>
          <w:bCs/>
          <w:sz w:val="24"/>
          <w:szCs w:val="24"/>
        </w:rPr>
      </w:pPr>
      <w:r>
        <w:rPr>
          <w:b w:val="0"/>
          <w:bCs/>
          <w:sz w:val="24"/>
          <w:szCs w:val="24"/>
        </w:rPr>
        <w:t xml:space="preserve">B2.2 </w:t>
      </w:r>
      <w:r>
        <w:rPr>
          <w:b w:val="0"/>
          <w:bCs/>
          <w:sz w:val="24"/>
          <w:szCs w:val="24"/>
        </w:rPr>
        <w:tab/>
      </w:r>
      <w:r>
        <w:rPr>
          <w:b w:val="0"/>
          <w:bCs/>
          <w:sz w:val="24"/>
          <w:szCs w:val="24"/>
        </w:rPr>
        <w:tab/>
        <w:t xml:space="preserve">Deferred Consideration </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t>6</w:t>
      </w:r>
      <w:r w:rsidR="00A119B2">
        <w:rPr>
          <w:b w:val="0"/>
          <w:bCs/>
          <w:sz w:val="24"/>
          <w:szCs w:val="24"/>
        </w:rPr>
        <w:t>1</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B2.3 </w:t>
      </w:r>
      <w:r w:rsidR="004A0E51">
        <w:rPr>
          <w:b w:val="0"/>
          <w:bCs/>
          <w:sz w:val="24"/>
          <w:szCs w:val="24"/>
        </w:rPr>
        <w:tab/>
      </w:r>
      <w:r w:rsidR="004A0E51">
        <w:rPr>
          <w:b w:val="0"/>
          <w:bCs/>
          <w:sz w:val="24"/>
          <w:szCs w:val="24"/>
        </w:rPr>
        <w:tab/>
      </w:r>
      <w:r w:rsidRPr="00C471AF">
        <w:rPr>
          <w:b w:val="0"/>
          <w:bCs/>
          <w:sz w:val="24"/>
          <w:szCs w:val="24"/>
        </w:rPr>
        <w:t>Purchase Price</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61</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B2.4 </w:t>
      </w:r>
      <w:r w:rsidR="004A0E51">
        <w:rPr>
          <w:b w:val="0"/>
          <w:bCs/>
          <w:sz w:val="24"/>
          <w:szCs w:val="24"/>
        </w:rPr>
        <w:tab/>
      </w:r>
      <w:r w:rsidR="004A0E51">
        <w:rPr>
          <w:b w:val="0"/>
          <w:bCs/>
          <w:sz w:val="24"/>
          <w:szCs w:val="24"/>
        </w:rPr>
        <w:tab/>
      </w:r>
      <w:r w:rsidRPr="00C471AF">
        <w:rPr>
          <w:b w:val="0"/>
          <w:bCs/>
          <w:sz w:val="24"/>
          <w:szCs w:val="24"/>
        </w:rPr>
        <w:t>Debt profile of oldco</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62</w:t>
      </w:r>
    </w:p>
    <w:p w:rsidR="005869A7" w:rsidRPr="00C471AF" w:rsidRDefault="005869A7" w:rsidP="004A0E51">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B2.5 </w:t>
      </w:r>
      <w:r w:rsidR="004A0E51">
        <w:rPr>
          <w:b w:val="0"/>
          <w:bCs/>
          <w:sz w:val="24"/>
          <w:szCs w:val="24"/>
        </w:rPr>
        <w:tab/>
      </w:r>
      <w:r w:rsidR="004A0E51">
        <w:rPr>
          <w:b w:val="0"/>
          <w:bCs/>
          <w:sz w:val="24"/>
          <w:szCs w:val="24"/>
        </w:rPr>
        <w:tab/>
      </w:r>
      <w:r w:rsidRPr="00C471AF">
        <w:rPr>
          <w:b w:val="0"/>
          <w:bCs/>
          <w:sz w:val="24"/>
          <w:szCs w:val="24"/>
        </w:rPr>
        <w:t>Distributions to unsecured creditors of oldco</w:t>
      </w:r>
      <w:r w:rsidR="004A0E51">
        <w:rPr>
          <w:b w:val="0"/>
          <w:bCs/>
          <w:sz w:val="24"/>
          <w:szCs w:val="24"/>
        </w:rPr>
        <w:t xml:space="preserve"> </w:t>
      </w:r>
      <w:r w:rsidR="004A0E51">
        <w:rPr>
          <w:b w:val="0"/>
          <w:bCs/>
          <w:sz w:val="24"/>
          <w:szCs w:val="24"/>
        </w:rPr>
        <w:tab/>
      </w:r>
      <w:r w:rsidR="004A0E51">
        <w:rPr>
          <w:b w:val="0"/>
          <w:bCs/>
          <w:sz w:val="24"/>
          <w:szCs w:val="24"/>
        </w:rPr>
        <w:tab/>
      </w:r>
      <w:r w:rsidR="004A0E51">
        <w:rPr>
          <w:b w:val="0"/>
          <w:bCs/>
          <w:sz w:val="24"/>
          <w:szCs w:val="24"/>
        </w:rPr>
        <w:tab/>
      </w:r>
      <w:r w:rsidR="00A119B2">
        <w:rPr>
          <w:b w:val="0"/>
          <w:bCs/>
          <w:sz w:val="24"/>
          <w:szCs w:val="24"/>
        </w:rPr>
        <w:t>64</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 </w:t>
      </w:r>
      <w:r w:rsidR="00721680">
        <w:rPr>
          <w:b w:val="0"/>
          <w:bCs/>
          <w:sz w:val="24"/>
          <w:szCs w:val="24"/>
        </w:rPr>
        <w:tab/>
      </w:r>
      <w:r w:rsidR="00721680">
        <w:rPr>
          <w:b w:val="0"/>
          <w:bCs/>
          <w:sz w:val="24"/>
          <w:szCs w:val="24"/>
        </w:rPr>
        <w:tab/>
      </w:r>
      <w:r w:rsidRPr="00C471AF">
        <w:rPr>
          <w:b w:val="0"/>
          <w:bCs/>
          <w:sz w:val="24"/>
          <w:szCs w:val="24"/>
        </w:rPr>
        <w:t>Subsequent failure of the purchaser</w:t>
      </w:r>
      <w:r w:rsidR="004A0E51">
        <w:rPr>
          <w:b w:val="0"/>
          <w:bCs/>
          <w:sz w:val="24"/>
          <w:szCs w:val="24"/>
        </w:rPr>
        <w:t xml:space="preserve"> </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67</w:t>
      </w:r>
    </w:p>
    <w:p w:rsidR="00721680" w:rsidRDefault="005869A7" w:rsidP="00721680">
      <w:pPr>
        <w:pStyle w:val="TableHeading"/>
        <w:tabs>
          <w:tab w:val="clear" w:pos="9015"/>
          <w:tab w:val="left" w:pos="1418"/>
        </w:tabs>
        <w:spacing w:before="0" w:after="0" w:line="240" w:lineRule="auto"/>
        <w:ind w:left="720" w:hanging="720"/>
        <w:rPr>
          <w:b w:val="0"/>
          <w:bCs/>
          <w:sz w:val="24"/>
          <w:szCs w:val="24"/>
        </w:rPr>
      </w:pPr>
      <w:r w:rsidRPr="00C471AF">
        <w:rPr>
          <w:b w:val="0"/>
          <w:bCs/>
          <w:sz w:val="24"/>
          <w:szCs w:val="24"/>
        </w:rPr>
        <w:t xml:space="preserve">B3.1 </w:t>
      </w:r>
      <w:r w:rsidRPr="00C471AF">
        <w:rPr>
          <w:b w:val="0"/>
          <w:bCs/>
          <w:sz w:val="24"/>
          <w:szCs w:val="24"/>
        </w:rPr>
        <w:tab/>
      </w:r>
      <w:r w:rsidR="00721680">
        <w:rPr>
          <w:b w:val="0"/>
          <w:bCs/>
          <w:sz w:val="24"/>
          <w:szCs w:val="24"/>
        </w:rPr>
        <w:tab/>
      </w:r>
      <w:r w:rsidR="00721680">
        <w:rPr>
          <w:b w:val="0"/>
          <w:bCs/>
          <w:sz w:val="24"/>
          <w:szCs w:val="24"/>
        </w:rPr>
        <w:tab/>
      </w:r>
      <w:r w:rsidRPr="00C471AF">
        <w:rPr>
          <w:b w:val="0"/>
          <w:bCs/>
          <w:sz w:val="24"/>
          <w:szCs w:val="24"/>
        </w:rPr>
        <w:t xml:space="preserve">Rates of failure of purchasers in a trading administration </w:t>
      </w:r>
    </w:p>
    <w:p w:rsidR="005869A7" w:rsidRPr="00C471AF" w:rsidRDefault="00721680" w:rsidP="00721680">
      <w:pPr>
        <w:pStyle w:val="TableHeading"/>
        <w:tabs>
          <w:tab w:val="clear" w:pos="9015"/>
          <w:tab w:val="left" w:pos="1418"/>
        </w:tabs>
        <w:spacing w:before="0" w:after="0" w:line="240" w:lineRule="auto"/>
        <w:ind w:left="720" w:hanging="720"/>
        <w:rPr>
          <w:b w:val="0"/>
          <w:bCs/>
          <w:sz w:val="24"/>
          <w:szCs w:val="24"/>
        </w:rPr>
      </w:pPr>
      <w:r>
        <w:rPr>
          <w:b w:val="0"/>
          <w:bCs/>
          <w:sz w:val="24"/>
          <w:szCs w:val="24"/>
        </w:rPr>
        <w:tab/>
      </w:r>
      <w:r>
        <w:rPr>
          <w:b w:val="0"/>
          <w:bCs/>
          <w:sz w:val="24"/>
          <w:szCs w:val="24"/>
        </w:rPr>
        <w:tab/>
      </w:r>
      <w:r>
        <w:rPr>
          <w:b w:val="0"/>
          <w:bCs/>
          <w:sz w:val="24"/>
          <w:szCs w:val="24"/>
        </w:rPr>
        <w:tab/>
      </w:r>
      <w:r w:rsidR="005869A7" w:rsidRPr="00C471AF">
        <w:rPr>
          <w:b w:val="0"/>
          <w:bCs/>
          <w:sz w:val="24"/>
          <w:szCs w:val="24"/>
        </w:rPr>
        <w:t>going concern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67</w:t>
      </w:r>
    </w:p>
    <w:p w:rsidR="00721680" w:rsidRDefault="005869A7" w:rsidP="00721680">
      <w:pPr>
        <w:pStyle w:val="TableHeading"/>
        <w:tabs>
          <w:tab w:val="clear" w:pos="9015"/>
          <w:tab w:val="left" w:pos="1418"/>
        </w:tabs>
        <w:spacing w:before="0" w:after="0" w:line="240" w:lineRule="auto"/>
        <w:ind w:left="720" w:hanging="720"/>
        <w:rPr>
          <w:b w:val="0"/>
          <w:bCs/>
          <w:sz w:val="24"/>
          <w:szCs w:val="24"/>
        </w:rPr>
      </w:pPr>
      <w:r w:rsidRPr="00C471AF">
        <w:rPr>
          <w:b w:val="0"/>
          <w:bCs/>
          <w:sz w:val="24"/>
          <w:szCs w:val="24"/>
        </w:rPr>
        <w:t xml:space="preserve">B3.2 </w:t>
      </w:r>
      <w:r w:rsidRPr="00C471AF">
        <w:rPr>
          <w:b w:val="0"/>
          <w:bCs/>
          <w:sz w:val="24"/>
          <w:szCs w:val="24"/>
        </w:rPr>
        <w:tab/>
      </w:r>
      <w:r w:rsidR="00721680">
        <w:rPr>
          <w:b w:val="0"/>
          <w:bCs/>
          <w:sz w:val="24"/>
          <w:szCs w:val="24"/>
        </w:rPr>
        <w:tab/>
      </w:r>
      <w:r w:rsidR="00721680">
        <w:rPr>
          <w:b w:val="0"/>
          <w:bCs/>
          <w:sz w:val="24"/>
          <w:szCs w:val="24"/>
        </w:rPr>
        <w:tab/>
      </w:r>
      <w:r w:rsidRPr="00C471AF">
        <w:rPr>
          <w:b w:val="0"/>
          <w:bCs/>
          <w:sz w:val="24"/>
          <w:szCs w:val="24"/>
        </w:rPr>
        <w:t xml:space="preserve">Factors influencing failure of purchasers in a trading </w:t>
      </w:r>
    </w:p>
    <w:p w:rsidR="005869A7" w:rsidRPr="00C471AF" w:rsidRDefault="00721680" w:rsidP="00721680">
      <w:pPr>
        <w:pStyle w:val="TableHeading"/>
        <w:tabs>
          <w:tab w:val="clear" w:pos="9015"/>
          <w:tab w:val="left" w:pos="1418"/>
        </w:tabs>
        <w:spacing w:before="0" w:after="0" w:line="240" w:lineRule="auto"/>
        <w:ind w:left="720" w:hanging="720"/>
        <w:rPr>
          <w:b w:val="0"/>
          <w:bCs/>
          <w:sz w:val="24"/>
          <w:szCs w:val="24"/>
        </w:rPr>
      </w:pPr>
      <w:r>
        <w:rPr>
          <w:b w:val="0"/>
          <w:bCs/>
          <w:sz w:val="24"/>
          <w:szCs w:val="24"/>
        </w:rPr>
        <w:tab/>
      </w:r>
      <w:r>
        <w:rPr>
          <w:b w:val="0"/>
          <w:bCs/>
          <w:sz w:val="24"/>
          <w:szCs w:val="24"/>
        </w:rPr>
        <w:tab/>
      </w:r>
      <w:r>
        <w:rPr>
          <w:b w:val="0"/>
          <w:bCs/>
          <w:sz w:val="24"/>
          <w:szCs w:val="24"/>
        </w:rPr>
        <w:tab/>
      </w:r>
      <w:r w:rsidR="005869A7" w:rsidRPr="00C471AF">
        <w:rPr>
          <w:b w:val="0"/>
          <w:bCs/>
          <w:sz w:val="24"/>
          <w:szCs w:val="24"/>
        </w:rPr>
        <w:t>administration going concern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69</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B3.2.1 </w:t>
      </w:r>
      <w:r w:rsidR="00721680">
        <w:rPr>
          <w:b w:val="0"/>
          <w:bCs/>
          <w:sz w:val="24"/>
          <w:szCs w:val="24"/>
        </w:rPr>
        <w:tab/>
      </w:r>
      <w:r w:rsidR="00721680">
        <w:rPr>
          <w:b w:val="0"/>
          <w:bCs/>
          <w:sz w:val="24"/>
          <w:szCs w:val="24"/>
        </w:rPr>
        <w:tab/>
      </w:r>
      <w:r w:rsidRPr="00C471AF">
        <w:rPr>
          <w:b w:val="0"/>
          <w:bCs/>
          <w:sz w:val="24"/>
          <w:szCs w:val="24"/>
        </w:rPr>
        <w:t>Impact of sale to a connected party</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69</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B3.2.2 </w:t>
      </w:r>
      <w:r w:rsidR="00721680">
        <w:rPr>
          <w:b w:val="0"/>
          <w:bCs/>
          <w:sz w:val="24"/>
          <w:szCs w:val="24"/>
        </w:rPr>
        <w:tab/>
      </w:r>
      <w:r w:rsidR="00721680">
        <w:rPr>
          <w:b w:val="0"/>
          <w:bCs/>
          <w:sz w:val="24"/>
          <w:szCs w:val="24"/>
        </w:rPr>
        <w:tab/>
      </w:r>
      <w:r w:rsidRPr="00C471AF">
        <w:rPr>
          <w:b w:val="0"/>
          <w:bCs/>
          <w:sz w:val="24"/>
          <w:szCs w:val="24"/>
        </w:rPr>
        <w:t>Impact of deferred consideration</w:t>
      </w:r>
      <w:r w:rsidR="00721680">
        <w:rPr>
          <w:b w:val="0"/>
          <w:bCs/>
          <w:sz w:val="24"/>
          <w:szCs w:val="24"/>
        </w:rPr>
        <w:t xml:space="preserve"> </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69</w:t>
      </w:r>
    </w:p>
    <w:p w:rsidR="005869A7" w:rsidRPr="00C471AF" w:rsidRDefault="005869A7" w:rsidP="00721680">
      <w:pPr>
        <w:pStyle w:val="TableHeading"/>
        <w:tabs>
          <w:tab w:val="clear" w:pos="9015"/>
          <w:tab w:val="left" w:pos="1418"/>
        </w:tabs>
        <w:spacing w:before="0" w:after="0" w:line="240" w:lineRule="auto"/>
        <w:ind w:left="1418" w:hanging="1418"/>
        <w:rPr>
          <w:b w:val="0"/>
          <w:bCs/>
          <w:sz w:val="24"/>
          <w:szCs w:val="24"/>
        </w:rPr>
      </w:pPr>
      <w:r w:rsidRPr="00C471AF">
        <w:rPr>
          <w:b w:val="0"/>
          <w:bCs/>
          <w:sz w:val="24"/>
          <w:szCs w:val="24"/>
        </w:rPr>
        <w:t xml:space="preserve">B3.2.3 </w:t>
      </w:r>
      <w:r w:rsidRPr="00C471AF">
        <w:rPr>
          <w:b w:val="0"/>
          <w:bCs/>
          <w:sz w:val="24"/>
          <w:szCs w:val="24"/>
        </w:rPr>
        <w:tab/>
      </w:r>
      <w:r w:rsidR="00721680">
        <w:rPr>
          <w:b w:val="0"/>
          <w:bCs/>
          <w:sz w:val="24"/>
          <w:szCs w:val="24"/>
        </w:rPr>
        <w:tab/>
      </w:r>
      <w:r w:rsidRPr="00C471AF">
        <w:rPr>
          <w:b w:val="0"/>
          <w:bCs/>
          <w:sz w:val="24"/>
          <w:szCs w:val="24"/>
        </w:rPr>
        <w:t>Combined impact of sale to a connected party and deferred consideration</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70</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B3.2.4 </w:t>
      </w:r>
      <w:r w:rsidR="00721680">
        <w:rPr>
          <w:b w:val="0"/>
          <w:bCs/>
          <w:sz w:val="24"/>
          <w:szCs w:val="24"/>
        </w:rPr>
        <w:tab/>
      </w:r>
      <w:r w:rsidR="00721680">
        <w:rPr>
          <w:b w:val="0"/>
          <w:bCs/>
          <w:sz w:val="24"/>
          <w:szCs w:val="24"/>
        </w:rPr>
        <w:tab/>
      </w:r>
      <w:r w:rsidRPr="00C471AF">
        <w:rPr>
          <w:b w:val="0"/>
          <w:bCs/>
          <w:sz w:val="24"/>
          <w:szCs w:val="24"/>
        </w:rPr>
        <w:t>Impact of size of oldco</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71</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B3.2.5 </w:t>
      </w:r>
      <w:r w:rsidR="00721680">
        <w:rPr>
          <w:b w:val="0"/>
          <w:bCs/>
          <w:sz w:val="24"/>
          <w:szCs w:val="24"/>
        </w:rPr>
        <w:tab/>
      </w:r>
      <w:r w:rsidR="00721680">
        <w:rPr>
          <w:b w:val="0"/>
          <w:bCs/>
          <w:sz w:val="24"/>
          <w:szCs w:val="24"/>
        </w:rPr>
        <w:tab/>
      </w:r>
      <w:r w:rsidRPr="00C471AF">
        <w:rPr>
          <w:b w:val="0"/>
          <w:bCs/>
          <w:sz w:val="24"/>
          <w:szCs w:val="24"/>
        </w:rPr>
        <w:t>Reason for failure of oldco</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73</w:t>
      </w:r>
    </w:p>
    <w:p w:rsidR="005869A7" w:rsidRPr="00C471AF" w:rsidRDefault="005869A7" w:rsidP="00721680">
      <w:pPr>
        <w:pStyle w:val="TableHeading"/>
        <w:tabs>
          <w:tab w:val="clear" w:pos="9015"/>
          <w:tab w:val="left" w:pos="1418"/>
        </w:tabs>
        <w:spacing w:before="0" w:after="0" w:line="240" w:lineRule="auto"/>
        <w:rPr>
          <w:b w:val="0"/>
          <w:bCs/>
          <w:sz w:val="24"/>
          <w:szCs w:val="24"/>
        </w:rPr>
      </w:pPr>
      <w:r w:rsidRPr="00C471AF">
        <w:rPr>
          <w:b w:val="0"/>
          <w:bCs/>
          <w:sz w:val="24"/>
          <w:szCs w:val="24"/>
        </w:rPr>
        <w:t xml:space="preserve">B3.2.6 </w:t>
      </w:r>
      <w:r w:rsidR="00721680">
        <w:rPr>
          <w:b w:val="0"/>
          <w:bCs/>
          <w:sz w:val="24"/>
          <w:szCs w:val="24"/>
        </w:rPr>
        <w:tab/>
      </w:r>
      <w:r w:rsidR="00721680">
        <w:rPr>
          <w:b w:val="0"/>
          <w:bCs/>
          <w:sz w:val="24"/>
          <w:szCs w:val="24"/>
        </w:rPr>
        <w:tab/>
      </w:r>
      <w:r w:rsidRPr="00C471AF">
        <w:rPr>
          <w:b w:val="0"/>
          <w:bCs/>
          <w:sz w:val="24"/>
          <w:szCs w:val="24"/>
        </w:rPr>
        <w:t>Sector in which oldco operated</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76</w:t>
      </w:r>
    </w:p>
    <w:p w:rsidR="00C471AF" w:rsidRDefault="00C471AF" w:rsidP="00C471AF">
      <w:pPr>
        <w:pStyle w:val="TableHeading"/>
        <w:spacing w:line="240" w:lineRule="auto"/>
        <w:rPr>
          <w:bCs/>
          <w:i/>
          <w:sz w:val="24"/>
          <w:szCs w:val="24"/>
        </w:rPr>
      </w:pPr>
    </w:p>
    <w:p w:rsidR="00721680" w:rsidRDefault="00721680" w:rsidP="00C471AF">
      <w:pPr>
        <w:pStyle w:val="TableHeading"/>
        <w:spacing w:line="240" w:lineRule="auto"/>
        <w:rPr>
          <w:bCs/>
          <w:i/>
          <w:sz w:val="24"/>
          <w:szCs w:val="24"/>
        </w:rPr>
      </w:pPr>
    </w:p>
    <w:p w:rsidR="00C471AF" w:rsidRDefault="00C471AF" w:rsidP="00C471AF">
      <w:pPr>
        <w:pStyle w:val="TableHeading"/>
        <w:spacing w:line="240" w:lineRule="auto"/>
        <w:rPr>
          <w:bCs/>
          <w:i/>
          <w:sz w:val="24"/>
          <w:szCs w:val="24"/>
        </w:rPr>
      </w:pPr>
      <w:bookmarkStart w:id="0" w:name="_GoBack"/>
      <w:bookmarkEnd w:id="0"/>
      <w:r>
        <w:rPr>
          <w:bCs/>
          <w:i/>
          <w:sz w:val="24"/>
          <w:szCs w:val="24"/>
        </w:rPr>
        <w:lastRenderedPageBreak/>
        <w:t>Part B2</w:t>
      </w:r>
    </w:p>
    <w:p w:rsidR="00721680" w:rsidRDefault="00C471AF" w:rsidP="00721680">
      <w:pPr>
        <w:pStyle w:val="TableHeading"/>
        <w:tabs>
          <w:tab w:val="clear" w:pos="9015"/>
          <w:tab w:val="left" w:pos="1418"/>
        </w:tabs>
        <w:spacing w:line="240" w:lineRule="auto"/>
        <w:ind w:left="720" w:hanging="720"/>
        <w:rPr>
          <w:b w:val="0"/>
          <w:bCs/>
          <w:sz w:val="24"/>
          <w:szCs w:val="24"/>
        </w:rPr>
      </w:pPr>
      <w:r w:rsidRPr="00C471AF">
        <w:rPr>
          <w:b w:val="0"/>
          <w:bCs/>
          <w:sz w:val="24"/>
          <w:szCs w:val="24"/>
        </w:rPr>
        <w:t xml:space="preserve">B4 </w:t>
      </w:r>
      <w:r w:rsidRPr="00C471AF">
        <w:rPr>
          <w:b w:val="0"/>
          <w:bCs/>
          <w:sz w:val="24"/>
          <w:szCs w:val="24"/>
        </w:rPr>
        <w:tab/>
      </w:r>
      <w:r w:rsidR="00721680">
        <w:rPr>
          <w:b w:val="0"/>
          <w:bCs/>
          <w:sz w:val="24"/>
          <w:szCs w:val="24"/>
        </w:rPr>
        <w:tab/>
      </w:r>
      <w:r w:rsidR="00721680">
        <w:rPr>
          <w:b w:val="0"/>
          <w:bCs/>
          <w:sz w:val="24"/>
          <w:szCs w:val="24"/>
        </w:rPr>
        <w:tab/>
      </w:r>
      <w:r w:rsidRPr="00C471AF">
        <w:rPr>
          <w:b w:val="0"/>
          <w:bCs/>
          <w:sz w:val="24"/>
          <w:szCs w:val="24"/>
        </w:rPr>
        <w:t xml:space="preserve">Regression Analysis: Factors affecting failure of the </w:t>
      </w:r>
    </w:p>
    <w:p w:rsidR="00C471AF" w:rsidRPr="00C471AF" w:rsidRDefault="00721680" w:rsidP="00721680">
      <w:pPr>
        <w:pStyle w:val="TableHeading"/>
        <w:tabs>
          <w:tab w:val="clear" w:pos="9015"/>
          <w:tab w:val="left" w:pos="1418"/>
        </w:tabs>
        <w:spacing w:line="240" w:lineRule="auto"/>
        <w:ind w:left="720" w:hanging="720"/>
        <w:rPr>
          <w:b w:val="0"/>
          <w:bCs/>
          <w:sz w:val="24"/>
          <w:szCs w:val="24"/>
        </w:rPr>
      </w:pPr>
      <w:r>
        <w:rPr>
          <w:b w:val="0"/>
          <w:bCs/>
          <w:sz w:val="24"/>
          <w:szCs w:val="24"/>
        </w:rPr>
        <w:tab/>
      </w:r>
      <w:r>
        <w:rPr>
          <w:b w:val="0"/>
          <w:bCs/>
          <w:sz w:val="24"/>
          <w:szCs w:val="24"/>
        </w:rPr>
        <w:tab/>
      </w:r>
      <w:r>
        <w:rPr>
          <w:b w:val="0"/>
          <w:bCs/>
          <w:sz w:val="24"/>
          <w:szCs w:val="24"/>
        </w:rPr>
        <w:tab/>
      </w:r>
      <w:r w:rsidR="00C471AF" w:rsidRPr="00C471AF">
        <w:rPr>
          <w:b w:val="0"/>
          <w:bCs/>
          <w:sz w:val="24"/>
          <w:szCs w:val="24"/>
        </w:rPr>
        <w:t>purchaser in a pre-pack over time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76</w:t>
      </w:r>
    </w:p>
    <w:p w:rsidR="00C471AF" w:rsidRPr="00C471AF" w:rsidRDefault="00C471AF" w:rsidP="00721680">
      <w:pPr>
        <w:pStyle w:val="TableHeading"/>
        <w:tabs>
          <w:tab w:val="clear" w:pos="9015"/>
          <w:tab w:val="left" w:pos="1418"/>
        </w:tabs>
        <w:spacing w:line="240" w:lineRule="auto"/>
        <w:rPr>
          <w:b w:val="0"/>
          <w:bCs/>
          <w:sz w:val="24"/>
          <w:szCs w:val="24"/>
        </w:rPr>
      </w:pPr>
      <w:r w:rsidRPr="00C471AF">
        <w:rPr>
          <w:b w:val="0"/>
          <w:bCs/>
          <w:sz w:val="24"/>
          <w:szCs w:val="24"/>
        </w:rPr>
        <w:t xml:space="preserve">B4.1 </w:t>
      </w:r>
      <w:r w:rsidR="00721680">
        <w:rPr>
          <w:b w:val="0"/>
          <w:bCs/>
          <w:sz w:val="24"/>
          <w:szCs w:val="24"/>
        </w:rPr>
        <w:tab/>
      </w:r>
      <w:r w:rsidR="00721680">
        <w:rPr>
          <w:b w:val="0"/>
          <w:bCs/>
          <w:sz w:val="24"/>
          <w:szCs w:val="24"/>
        </w:rPr>
        <w:tab/>
      </w:r>
      <w:r w:rsidRPr="00C471AF">
        <w:rPr>
          <w:b w:val="0"/>
          <w:bCs/>
          <w:sz w:val="24"/>
          <w:szCs w:val="24"/>
        </w:rPr>
        <w:t>Failure of purchaser at 36 months</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77</w:t>
      </w:r>
    </w:p>
    <w:p w:rsidR="00C471AF" w:rsidRPr="00C471AF" w:rsidRDefault="00C471AF" w:rsidP="00721680">
      <w:pPr>
        <w:pStyle w:val="TableHeading"/>
        <w:tabs>
          <w:tab w:val="clear" w:pos="9015"/>
          <w:tab w:val="left" w:pos="1418"/>
        </w:tabs>
        <w:spacing w:line="240" w:lineRule="auto"/>
        <w:rPr>
          <w:b w:val="0"/>
          <w:bCs/>
          <w:sz w:val="24"/>
          <w:szCs w:val="24"/>
        </w:rPr>
      </w:pPr>
      <w:r w:rsidRPr="00C471AF">
        <w:rPr>
          <w:b w:val="0"/>
          <w:bCs/>
          <w:sz w:val="24"/>
          <w:szCs w:val="24"/>
        </w:rPr>
        <w:t xml:space="preserve">B4.1.1. </w:t>
      </w:r>
      <w:r w:rsidR="00721680">
        <w:rPr>
          <w:b w:val="0"/>
          <w:bCs/>
          <w:sz w:val="24"/>
          <w:szCs w:val="24"/>
        </w:rPr>
        <w:tab/>
      </w:r>
      <w:r w:rsidR="00721680">
        <w:rPr>
          <w:b w:val="0"/>
          <w:bCs/>
          <w:sz w:val="24"/>
          <w:szCs w:val="24"/>
        </w:rPr>
        <w:tab/>
      </w:r>
      <w:r w:rsidR="00CB6E96">
        <w:rPr>
          <w:b w:val="0"/>
          <w:bCs/>
          <w:sz w:val="24"/>
          <w:szCs w:val="24"/>
        </w:rPr>
        <w:t>P</w:t>
      </w:r>
      <w:r w:rsidRPr="00C471AF">
        <w:rPr>
          <w:b w:val="0"/>
          <w:bCs/>
          <w:sz w:val="24"/>
          <w:szCs w:val="24"/>
        </w:rPr>
        <w:t xml:space="preserve">oints </w:t>
      </w:r>
      <w:r w:rsidR="00CB6E96">
        <w:rPr>
          <w:b w:val="0"/>
          <w:bCs/>
          <w:sz w:val="24"/>
          <w:szCs w:val="24"/>
        </w:rPr>
        <w:t>to</w:t>
      </w:r>
      <w:r w:rsidRPr="00C471AF">
        <w:rPr>
          <w:b w:val="0"/>
          <w:bCs/>
          <w:sz w:val="24"/>
          <w:szCs w:val="24"/>
        </w:rPr>
        <w:t xml:space="preserve"> note</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77</w:t>
      </w:r>
    </w:p>
    <w:p w:rsidR="00721680" w:rsidRDefault="00721680" w:rsidP="00721680">
      <w:pPr>
        <w:pStyle w:val="TableHeading"/>
        <w:tabs>
          <w:tab w:val="clear" w:pos="9015"/>
          <w:tab w:val="left" w:pos="1418"/>
        </w:tabs>
        <w:spacing w:line="240" w:lineRule="auto"/>
        <w:ind w:left="833" w:hanging="833"/>
        <w:rPr>
          <w:b w:val="0"/>
          <w:bCs/>
          <w:sz w:val="24"/>
          <w:szCs w:val="24"/>
        </w:rPr>
      </w:pPr>
      <w:r>
        <w:rPr>
          <w:b w:val="0"/>
          <w:bCs/>
          <w:sz w:val="24"/>
          <w:szCs w:val="24"/>
        </w:rPr>
        <w:t>B4.1.2</w:t>
      </w:r>
      <w:r>
        <w:rPr>
          <w:b w:val="0"/>
          <w:bCs/>
          <w:sz w:val="24"/>
          <w:szCs w:val="24"/>
        </w:rPr>
        <w:tab/>
      </w:r>
      <w:r>
        <w:rPr>
          <w:b w:val="0"/>
          <w:bCs/>
          <w:sz w:val="24"/>
          <w:szCs w:val="24"/>
        </w:rPr>
        <w:tab/>
      </w:r>
      <w:r w:rsidR="00C471AF" w:rsidRPr="00C471AF">
        <w:rPr>
          <w:b w:val="0"/>
          <w:bCs/>
          <w:sz w:val="24"/>
          <w:szCs w:val="24"/>
        </w:rPr>
        <w:t xml:space="preserve">Failure rate at 36 months: Impact of Deferred Consideration </w:t>
      </w:r>
    </w:p>
    <w:p w:rsidR="00C471AF" w:rsidRPr="00C471AF" w:rsidRDefault="00721680" w:rsidP="00721680">
      <w:pPr>
        <w:pStyle w:val="TableHeading"/>
        <w:tabs>
          <w:tab w:val="clear" w:pos="9015"/>
          <w:tab w:val="left" w:pos="1418"/>
        </w:tabs>
        <w:spacing w:line="240" w:lineRule="auto"/>
        <w:ind w:left="833" w:hanging="833"/>
        <w:rPr>
          <w:b w:val="0"/>
          <w:bCs/>
          <w:sz w:val="24"/>
          <w:szCs w:val="24"/>
        </w:rPr>
      </w:pPr>
      <w:r>
        <w:rPr>
          <w:b w:val="0"/>
          <w:bCs/>
          <w:sz w:val="24"/>
          <w:szCs w:val="24"/>
        </w:rPr>
        <w:tab/>
      </w:r>
      <w:r>
        <w:rPr>
          <w:b w:val="0"/>
          <w:bCs/>
          <w:sz w:val="24"/>
          <w:szCs w:val="24"/>
        </w:rPr>
        <w:tab/>
      </w:r>
      <w:r w:rsidR="00C471AF" w:rsidRPr="00C471AF">
        <w:rPr>
          <w:b w:val="0"/>
          <w:bCs/>
          <w:sz w:val="24"/>
          <w:szCs w:val="24"/>
        </w:rPr>
        <w:t>and Connected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77</w:t>
      </w:r>
    </w:p>
    <w:p w:rsidR="00C471AF" w:rsidRPr="00C471AF" w:rsidRDefault="00721680" w:rsidP="00721680">
      <w:pPr>
        <w:pStyle w:val="TableHeading"/>
        <w:tabs>
          <w:tab w:val="clear" w:pos="9015"/>
          <w:tab w:val="left" w:pos="1418"/>
        </w:tabs>
        <w:spacing w:line="240" w:lineRule="auto"/>
        <w:rPr>
          <w:b w:val="0"/>
          <w:bCs/>
          <w:sz w:val="24"/>
          <w:szCs w:val="24"/>
        </w:rPr>
      </w:pPr>
      <w:r>
        <w:rPr>
          <w:b w:val="0"/>
          <w:bCs/>
          <w:sz w:val="24"/>
          <w:szCs w:val="24"/>
        </w:rPr>
        <w:t>B4.2</w:t>
      </w:r>
      <w:r>
        <w:rPr>
          <w:b w:val="0"/>
          <w:bCs/>
          <w:sz w:val="24"/>
          <w:szCs w:val="24"/>
        </w:rPr>
        <w:tab/>
      </w:r>
      <w:r>
        <w:rPr>
          <w:b w:val="0"/>
          <w:bCs/>
          <w:sz w:val="24"/>
          <w:szCs w:val="24"/>
        </w:rPr>
        <w:tab/>
      </w:r>
      <w:r w:rsidR="00C471AF" w:rsidRPr="00C471AF">
        <w:rPr>
          <w:b w:val="0"/>
          <w:bCs/>
          <w:sz w:val="24"/>
          <w:szCs w:val="24"/>
        </w:rPr>
        <w:t>Failure of purchaser at 24 months</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78</w:t>
      </w:r>
    </w:p>
    <w:p w:rsidR="00C471AF" w:rsidRPr="00C471AF" w:rsidRDefault="00721680" w:rsidP="00721680">
      <w:pPr>
        <w:pStyle w:val="TableHeading"/>
        <w:tabs>
          <w:tab w:val="clear" w:pos="9015"/>
          <w:tab w:val="left" w:pos="1418"/>
        </w:tabs>
        <w:spacing w:line="240" w:lineRule="auto"/>
        <w:rPr>
          <w:b w:val="0"/>
          <w:bCs/>
          <w:sz w:val="24"/>
          <w:szCs w:val="24"/>
        </w:rPr>
      </w:pPr>
      <w:r>
        <w:rPr>
          <w:b w:val="0"/>
          <w:bCs/>
          <w:sz w:val="24"/>
          <w:szCs w:val="24"/>
        </w:rPr>
        <w:t>B4.2.1</w:t>
      </w:r>
      <w:r>
        <w:rPr>
          <w:b w:val="0"/>
          <w:bCs/>
          <w:sz w:val="24"/>
          <w:szCs w:val="24"/>
        </w:rPr>
        <w:tab/>
      </w:r>
      <w:r>
        <w:rPr>
          <w:b w:val="0"/>
          <w:bCs/>
          <w:sz w:val="24"/>
          <w:szCs w:val="24"/>
        </w:rPr>
        <w:tab/>
      </w:r>
      <w:r w:rsidR="00CB6E96">
        <w:rPr>
          <w:b w:val="0"/>
          <w:bCs/>
          <w:sz w:val="24"/>
          <w:szCs w:val="24"/>
        </w:rPr>
        <w:t>P</w:t>
      </w:r>
      <w:r w:rsidR="00C471AF" w:rsidRPr="00C471AF">
        <w:rPr>
          <w:b w:val="0"/>
          <w:bCs/>
          <w:sz w:val="24"/>
          <w:szCs w:val="24"/>
        </w:rPr>
        <w:t xml:space="preserve">oints </w:t>
      </w:r>
      <w:r w:rsidR="00CB6E96">
        <w:rPr>
          <w:b w:val="0"/>
          <w:bCs/>
          <w:sz w:val="24"/>
          <w:szCs w:val="24"/>
        </w:rPr>
        <w:t>to</w:t>
      </w:r>
      <w:r w:rsidR="00C471AF" w:rsidRPr="00C471AF">
        <w:rPr>
          <w:b w:val="0"/>
          <w:bCs/>
          <w:sz w:val="24"/>
          <w:szCs w:val="24"/>
        </w:rPr>
        <w:t xml:space="preserve"> note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78</w:t>
      </w:r>
    </w:p>
    <w:p w:rsidR="00721680" w:rsidRDefault="00721680" w:rsidP="00721680">
      <w:pPr>
        <w:pStyle w:val="TableHeading"/>
        <w:tabs>
          <w:tab w:val="clear" w:pos="9015"/>
        </w:tabs>
        <w:spacing w:line="240" w:lineRule="auto"/>
        <w:ind w:left="833" w:hanging="833"/>
        <w:rPr>
          <w:b w:val="0"/>
          <w:bCs/>
          <w:sz w:val="24"/>
          <w:szCs w:val="24"/>
        </w:rPr>
      </w:pPr>
      <w:r>
        <w:rPr>
          <w:b w:val="0"/>
          <w:bCs/>
          <w:sz w:val="24"/>
          <w:szCs w:val="24"/>
        </w:rPr>
        <w:t>B4.2.2</w:t>
      </w:r>
      <w:r>
        <w:rPr>
          <w:b w:val="0"/>
          <w:bCs/>
          <w:sz w:val="24"/>
          <w:szCs w:val="24"/>
        </w:rPr>
        <w:tab/>
      </w:r>
      <w:r>
        <w:rPr>
          <w:b w:val="0"/>
          <w:bCs/>
          <w:sz w:val="24"/>
          <w:szCs w:val="24"/>
        </w:rPr>
        <w:tab/>
      </w:r>
      <w:r w:rsidR="00C471AF" w:rsidRPr="00C471AF">
        <w:rPr>
          <w:b w:val="0"/>
          <w:bCs/>
          <w:sz w:val="24"/>
          <w:szCs w:val="24"/>
        </w:rPr>
        <w:t>Failure rate at 24 months: I</w:t>
      </w:r>
      <w:r>
        <w:rPr>
          <w:b w:val="0"/>
          <w:bCs/>
          <w:sz w:val="24"/>
          <w:szCs w:val="24"/>
        </w:rPr>
        <w:t>mpact of Deferred Consideration</w:t>
      </w:r>
    </w:p>
    <w:p w:rsidR="00C471AF" w:rsidRPr="00C471AF" w:rsidRDefault="00721680" w:rsidP="00721680">
      <w:pPr>
        <w:pStyle w:val="TableHeading"/>
        <w:tabs>
          <w:tab w:val="clear" w:pos="9015"/>
        </w:tabs>
        <w:spacing w:line="240" w:lineRule="auto"/>
        <w:ind w:left="833" w:hanging="833"/>
        <w:rPr>
          <w:b w:val="0"/>
          <w:bCs/>
          <w:sz w:val="24"/>
          <w:szCs w:val="24"/>
        </w:rPr>
      </w:pPr>
      <w:r>
        <w:rPr>
          <w:b w:val="0"/>
          <w:bCs/>
          <w:sz w:val="24"/>
          <w:szCs w:val="24"/>
        </w:rPr>
        <w:tab/>
      </w:r>
      <w:r>
        <w:rPr>
          <w:b w:val="0"/>
          <w:bCs/>
          <w:sz w:val="24"/>
          <w:szCs w:val="24"/>
        </w:rPr>
        <w:tab/>
      </w:r>
      <w:r w:rsidR="00C471AF" w:rsidRPr="00C471AF">
        <w:rPr>
          <w:b w:val="0"/>
          <w:bCs/>
          <w:sz w:val="24"/>
          <w:szCs w:val="24"/>
        </w:rPr>
        <w:t>and Connected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78</w:t>
      </w:r>
    </w:p>
    <w:p w:rsidR="00C471AF" w:rsidRPr="00C471AF" w:rsidRDefault="00C471AF" w:rsidP="00721680">
      <w:pPr>
        <w:pStyle w:val="TableHeading"/>
        <w:tabs>
          <w:tab w:val="clear" w:pos="9015"/>
          <w:tab w:val="left" w:pos="1418"/>
        </w:tabs>
        <w:spacing w:line="240" w:lineRule="auto"/>
        <w:rPr>
          <w:b w:val="0"/>
          <w:bCs/>
          <w:sz w:val="24"/>
          <w:szCs w:val="24"/>
        </w:rPr>
      </w:pPr>
      <w:r w:rsidRPr="00C471AF">
        <w:rPr>
          <w:b w:val="0"/>
          <w:bCs/>
          <w:sz w:val="24"/>
          <w:szCs w:val="24"/>
        </w:rPr>
        <w:t xml:space="preserve">B4.3 </w:t>
      </w:r>
      <w:r w:rsidR="00721680">
        <w:rPr>
          <w:b w:val="0"/>
          <w:bCs/>
          <w:sz w:val="24"/>
          <w:szCs w:val="24"/>
        </w:rPr>
        <w:tab/>
      </w:r>
      <w:r w:rsidR="00721680">
        <w:rPr>
          <w:b w:val="0"/>
          <w:bCs/>
          <w:sz w:val="24"/>
          <w:szCs w:val="24"/>
        </w:rPr>
        <w:tab/>
      </w:r>
      <w:r w:rsidRPr="00C471AF">
        <w:rPr>
          <w:b w:val="0"/>
          <w:bCs/>
          <w:sz w:val="24"/>
          <w:szCs w:val="24"/>
        </w:rPr>
        <w:t>Failure of purchaser at 12 months</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79</w:t>
      </w:r>
    </w:p>
    <w:p w:rsidR="00C471AF" w:rsidRPr="00C471AF" w:rsidRDefault="00C471AF" w:rsidP="00721680">
      <w:pPr>
        <w:pStyle w:val="TableHeading"/>
        <w:tabs>
          <w:tab w:val="clear" w:pos="9015"/>
          <w:tab w:val="left" w:pos="1418"/>
        </w:tabs>
        <w:spacing w:line="240" w:lineRule="auto"/>
        <w:rPr>
          <w:b w:val="0"/>
          <w:bCs/>
          <w:sz w:val="24"/>
          <w:szCs w:val="24"/>
        </w:rPr>
      </w:pPr>
      <w:r w:rsidRPr="00C471AF">
        <w:rPr>
          <w:b w:val="0"/>
          <w:bCs/>
          <w:sz w:val="24"/>
          <w:szCs w:val="24"/>
        </w:rPr>
        <w:t xml:space="preserve">B4.3.1. </w:t>
      </w:r>
      <w:r w:rsidR="00721680">
        <w:rPr>
          <w:b w:val="0"/>
          <w:bCs/>
          <w:sz w:val="24"/>
          <w:szCs w:val="24"/>
        </w:rPr>
        <w:tab/>
      </w:r>
      <w:r w:rsidR="00721680">
        <w:rPr>
          <w:b w:val="0"/>
          <w:bCs/>
          <w:sz w:val="24"/>
          <w:szCs w:val="24"/>
        </w:rPr>
        <w:tab/>
      </w:r>
      <w:r w:rsidR="00CB6E96">
        <w:rPr>
          <w:b w:val="0"/>
          <w:bCs/>
          <w:sz w:val="24"/>
          <w:szCs w:val="24"/>
        </w:rPr>
        <w:t>P</w:t>
      </w:r>
      <w:r w:rsidRPr="00C471AF">
        <w:rPr>
          <w:b w:val="0"/>
          <w:bCs/>
          <w:sz w:val="24"/>
          <w:szCs w:val="24"/>
        </w:rPr>
        <w:t xml:space="preserve">oints </w:t>
      </w:r>
      <w:r w:rsidR="00CB6E96">
        <w:rPr>
          <w:b w:val="0"/>
          <w:bCs/>
          <w:sz w:val="24"/>
          <w:szCs w:val="24"/>
        </w:rPr>
        <w:t>to</w:t>
      </w:r>
      <w:r w:rsidRPr="00C471AF">
        <w:rPr>
          <w:b w:val="0"/>
          <w:bCs/>
          <w:sz w:val="24"/>
          <w:szCs w:val="24"/>
        </w:rPr>
        <w:t xml:space="preserve"> note</w:t>
      </w:r>
      <w:r w:rsidR="00A119B2">
        <w:rPr>
          <w:b w:val="0"/>
          <w:bCs/>
          <w:sz w:val="24"/>
          <w:szCs w:val="24"/>
        </w:rPr>
        <w:t xml:space="preserve"> </w:t>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721680">
        <w:rPr>
          <w:b w:val="0"/>
          <w:bCs/>
          <w:sz w:val="24"/>
          <w:szCs w:val="24"/>
        </w:rPr>
        <w:tab/>
      </w:r>
      <w:r w:rsidR="00A119B2">
        <w:rPr>
          <w:b w:val="0"/>
          <w:bCs/>
          <w:sz w:val="24"/>
          <w:szCs w:val="24"/>
        </w:rPr>
        <w:t>79</w:t>
      </w:r>
    </w:p>
    <w:p w:rsidR="00721680" w:rsidRDefault="00721680" w:rsidP="00721680">
      <w:pPr>
        <w:pStyle w:val="TableHeading"/>
        <w:tabs>
          <w:tab w:val="clear" w:pos="9015"/>
          <w:tab w:val="left" w:pos="1418"/>
        </w:tabs>
        <w:spacing w:line="240" w:lineRule="auto"/>
        <w:ind w:left="833" w:hanging="833"/>
        <w:rPr>
          <w:b w:val="0"/>
          <w:bCs/>
          <w:sz w:val="24"/>
          <w:szCs w:val="24"/>
        </w:rPr>
      </w:pPr>
      <w:r>
        <w:rPr>
          <w:b w:val="0"/>
          <w:bCs/>
          <w:sz w:val="24"/>
          <w:szCs w:val="24"/>
        </w:rPr>
        <w:t>B4.3.2</w:t>
      </w:r>
      <w:r>
        <w:rPr>
          <w:b w:val="0"/>
          <w:bCs/>
          <w:sz w:val="24"/>
          <w:szCs w:val="24"/>
        </w:rPr>
        <w:tab/>
      </w:r>
      <w:r>
        <w:rPr>
          <w:b w:val="0"/>
          <w:bCs/>
          <w:sz w:val="24"/>
          <w:szCs w:val="24"/>
        </w:rPr>
        <w:tab/>
      </w:r>
      <w:r w:rsidR="00C471AF" w:rsidRPr="00C471AF">
        <w:rPr>
          <w:b w:val="0"/>
          <w:bCs/>
          <w:sz w:val="24"/>
          <w:szCs w:val="24"/>
        </w:rPr>
        <w:t>Failure rate at 12 months: I</w:t>
      </w:r>
      <w:r>
        <w:rPr>
          <w:b w:val="0"/>
          <w:bCs/>
          <w:sz w:val="24"/>
          <w:szCs w:val="24"/>
        </w:rPr>
        <w:t>mpact of Deferred Consideration</w:t>
      </w:r>
    </w:p>
    <w:p w:rsidR="00C471AF" w:rsidRPr="00C471AF" w:rsidRDefault="00721680" w:rsidP="00721680">
      <w:pPr>
        <w:pStyle w:val="TableHeading"/>
        <w:tabs>
          <w:tab w:val="clear" w:pos="9015"/>
          <w:tab w:val="left" w:pos="1418"/>
        </w:tabs>
        <w:spacing w:line="240" w:lineRule="auto"/>
        <w:ind w:left="833" w:hanging="833"/>
        <w:rPr>
          <w:b w:val="0"/>
          <w:bCs/>
          <w:sz w:val="24"/>
          <w:szCs w:val="24"/>
        </w:rPr>
      </w:pPr>
      <w:r>
        <w:rPr>
          <w:b w:val="0"/>
          <w:bCs/>
          <w:sz w:val="24"/>
          <w:szCs w:val="24"/>
        </w:rPr>
        <w:tab/>
      </w:r>
      <w:r>
        <w:rPr>
          <w:b w:val="0"/>
          <w:bCs/>
          <w:sz w:val="24"/>
          <w:szCs w:val="24"/>
        </w:rPr>
        <w:tab/>
      </w:r>
      <w:r w:rsidR="00C471AF" w:rsidRPr="00C471AF">
        <w:rPr>
          <w:b w:val="0"/>
          <w:bCs/>
          <w:sz w:val="24"/>
          <w:szCs w:val="24"/>
        </w:rPr>
        <w:t>and Connected Sale</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79</w:t>
      </w:r>
    </w:p>
    <w:p w:rsidR="00C471AF" w:rsidRDefault="00C471AF" w:rsidP="00C471AF">
      <w:pPr>
        <w:pStyle w:val="TableHeading"/>
        <w:spacing w:line="240" w:lineRule="auto"/>
        <w:rPr>
          <w:bCs/>
          <w:i/>
          <w:sz w:val="24"/>
          <w:szCs w:val="24"/>
        </w:rPr>
      </w:pPr>
    </w:p>
    <w:p w:rsidR="00C471AF" w:rsidRDefault="00C471AF" w:rsidP="00721680">
      <w:pPr>
        <w:pStyle w:val="TableHeading"/>
        <w:tabs>
          <w:tab w:val="clear" w:pos="9015"/>
          <w:tab w:val="left" w:pos="4536"/>
        </w:tabs>
        <w:spacing w:line="240" w:lineRule="auto"/>
        <w:rPr>
          <w:bCs/>
          <w:i/>
          <w:sz w:val="24"/>
          <w:szCs w:val="24"/>
        </w:rPr>
      </w:pPr>
      <w:r>
        <w:rPr>
          <w:bCs/>
          <w:i/>
          <w:sz w:val="24"/>
          <w:szCs w:val="24"/>
        </w:rPr>
        <w:t>Part C Combined Regression Analysis</w:t>
      </w:r>
      <w:r w:rsidR="00721680">
        <w:rPr>
          <w:bCs/>
          <w:i/>
          <w:sz w:val="24"/>
          <w:szCs w:val="24"/>
        </w:rPr>
        <w:tab/>
      </w:r>
      <w:r w:rsidR="00721680">
        <w:rPr>
          <w:bCs/>
          <w:i/>
          <w:sz w:val="24"/>
          <w:szCs w:val="24"/>
        </w:rPr>
        <w:tab/>
      </w:r>
      <w:r w:rsidR="00721680">
        <w:rPr>
          <w:bCs/>
          <w:i/>
          <w:sz w:val="24"/>
          <w:szCs w:val="24"/>
        </w:rPr>
        <w:tab/>
      </w:r>
      <w:r w:rsidR="00721680">
        <w:rPr>
          <w:bCs/>
          <w:i/>
          <w:sz w:val="24"/>
          <w:szCs w:val="24"/>
        </w:rPr>
        <w:tab/>
      </w:r>
      <w:r w:rsidR="00721680">
        <w:rPr>
          <w:bCs/>
          <w:i/>
          <w:sz w:val="24"/>
          <w:szCs w:val="24"/>
        </w:rPr>
        <w:tab/>
      </w:r>
      <w:r w:rsidR="00721680">
        <w:rPr>
          <w:bCs/>
          <w:i/>
          <w:sz w:val="24"/>
          <w:szCs w:val="24"/>
        </w:rPr>
        <w:tab/>
      </w:r>
      <w:r w:rsidR="00A119B2" w:rsidRPr="00721680">
        <w:rPr>
          <w:b w:val="0"/>
          <w:bCs/>
          <w:sz w:val="24"/>
          <w:szCs w:val="24"/>
        </w:rPr>
        <w:t>80</w:t>
      </w:r>
    </w:p>
    <w:p w:rsidR="00C471AF" w:rsidRDefault="00C471AF" w:rsidP="00C471AF">
      <w:pPr>
        <w:spacing w:before="40" w:after="40" w:line="240" w:lineRule="auto"/>
        <w:rPr>
          <w:b/>
        </w:rPr>
      </w:pPr>
    </w:p>
    <w:p w:rsidR="00C471AF" w:rsidRPr="00C471AF" w:rsidRDefault="00C471AF" w:rsidP="00C471AF">
      <w:pPr>
        <w:spacing w:before="40" w:after="40" w:line="240" w:lineRule="auto"/>
        <w:rPr>
          <w:b/>
        </w:rPr>
      </w:pPr>
      <w:r w:rsidRPr="00C471AF">
        <w:rPr>
          <w:b/>
        </w:rPr>
        <w:t>IV</w:t>
      </w:r>
      <w:r w:rsidRPr="00C471AF">
        <w:rPr>
          <w:b/>
        </w:rPr>
        <w:tab/>
        <w:t>Reflections</w:t>
      </w:r>
      <w:r w:rsidR="00721680">
        <w:rPr>
          <w:b/>
        </w:rPr>
        <w:tab/>
      </w:r>
      <w:r w:rsidR="00721680">
        <w:rPr>
          <w:b/>
        </w:rPr>
        <w:tab/>
      </w:r>
      <w:r w:rsidR="00721680">
        <w:rPr>
          <w:b/>
        </w:rPr>
        <w:tab/>
      </w:r>
      <w:r w:rsidR="00721680">
        <w:rPr>
          <w:b/>
        </w:rPr>
        <w:tab/>
      </w:r>
      <w:r w:rsidR="00721680">
        <w:rPr>
          <w:b/>
        </w:rPr>
        <w:tab/>
      </w:r>
      <w:r w:rsidR="00721680">
        <w:rPr>
          <w:b/>
        </w:rPr>
        <w:tab/>
      </w:r>
      <w:r w:rsidR="00721680">
        <w:rPr>
          <w:b/>
        </w:rPr>
        <w:tab/>
      </w:r>
      <w:r w:rsidR="00721680">
        <w:rPr>
          <w:b/>
        </w:rPr>
        <w:tab/>
      </w:r>
      <w:r w:rsidR="00721680">
        <w:rPr>
          <w:b/>
        </w:rPr>
        <w:tab/>
      </w:r>
      <w:r w:rsidR="00A119B2" w:rsidRPr="00721680">
        <w:t>82</w:t>
      </w:r>
    </w:p>
    <w:p w:rsidR="00C471AF" w:rsidRDefault="00C471AF" w:rsidP="00C471AF">
      <w:pPr>
        <w:pStyle w:val="TableHeading"/>
        <w:spacing w:before="0" w:after="0" w:line="240" w:lineRule="auto"/>
        <w:rPr>
          <w:bCs/>
          <w:sz w:val="24"/>
          <w:szCs w:val="24"/>
        </w:rPr>
      </w:pPr>
    </w:p>
    <w:p w:rsidR="00C471AF" w:rsidRPr="00C471AF" w:rsidRDefault="00C471AF" w:rsidP="00C471AF">
      <w:pPr>
        <w:pStyle w:val="TableHeading"/>
        <w:spacing w:before="0" w:after="0" w:line="240" w:lineRule="auto"/>
        <w:rPr>
          <w:bCs/>
          <w:i/>
          <w:sz w:val="24"/>
          <w:szCs w:val="24"/>
        </w:rPr>
      </w:pPr>
      <w:r w:rsidRPr="00C471AF">
        <w:rPr>
          <w:bCs/>
          <w:i/>
          <w:sz w:val="24"/>
          <w:szCs w:val="24"/>
        </w:rPr>
        <w:t>Appendices</w:t>
      </w:r>
    </w:p>
    <w:p w:rsidR="00C471AF" w:rsidRDefault="00C471AF" w:rsidP="00C471AF">
      <w:pPr>
        <w:pStyle w:val="TableHeading"/>
        <w:spacing w:before="0" w:after="0" w:line="240" w:lineRule="auto"/>
        <w:rPr>
          <w:bCs/>
          <w:sz w:val="24"/>
          <w:szCs w:val="24"/>
        </w:rPr>
      </w:pPr>
    </w:p>
    <w:p w:rsidR="00721680"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1</w:t>
      </w:r>
      <w:r>
        <w:rPr>
          <w:b w:val="0"/>
          <w:bCs/>
          <w:sz w:val="24"/>
          <w:szCs w:val="24"/>
        </w:rPr>
        <w:tab/>
      </w:r>
      <w:r>
        <w:rPr>
          <w:b w:val="0"/>
          <w:bCs/>
          <w:sz w:val="24"/>
          <w:szCs w:val="24"/>
        </w:rPr>
        <w:tab/>
      </w:r>
      <w:r w:rsidR="00C471AF" w:rsidRPr="00C471AF">
        <w:rPr>
          <w:b w:val="0"/>
          <w:bCs/>
          <w:sz w:val="24"/>
          <w:szCs w:val="24"/>
        </w:rPr>
        <w:t xml:space="preserve">Sector of company subject to pre-packaged administration </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b/>
      </w:r>
      <w:r>
        <w:rPr>
          <w:b w:val="0"/>
          <w:bCs/>
          <w:sz w:val="24"/>
          <w:szCs w:val="24"/>
        </w:rPr>
        <w:tab/>
      </w:r>
      <w:r w:rsidRPr="00C471AF">
        <w:rPr>
          <w:b w:val="0"/>
          <w:bCs/>
          <w:sz w:val="24"/>
          <w:szCs w:val="24"/>
        </w:rPr>
        <w:t>–</w:t>
      </w:r>
      <w:r>
        <w:rPr>
          <w:b w:val="0"/>
          <w:bCs/>
          <w:sz w:val="24"/>
          <w:szCs w:val="24"/>
        </w:rPr>
        <w:t xml:space="preserve"> 2 Digit SIC 2007</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86</w:t>
      </w:r>
    </w:p>
    <w:p w:rsidR="00721680"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2</w:t>
      </w:r>
      <w:r>
        <w:rPr>
          <w:b w:val="0"/>
          <w:bCs/>
          <w:sz w:val="24"/>
          <w:szCs w:val="24"/>
        </w:rPr>
        <w:tab/>
      </w:r>
      <w:r w:rsidR="00C471AF" w:rsidRPr="00C471AF">
        <w:rPr>
          <w:b w:val="0"/>
          <w:bCs/>
          <w:sz w:val="24"/>
          <w:szCs w:val="24"/>
        </w:rPr>
        <w:t xml:space="preserve">Sector of company subject to pre-packaged administration </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b/>
      </w:r>
      <w:r>
        <w:rPr>
          <w:b w:val="0"/>
          <w:bCs/>
          <w:sz w:val="24"/>
          <w:szCs w:val="24"/>
        </w:rPr>
        <w:tab/>
      </w:r>
      <w:r w:rsidR="00C471AF" w:rsidRPr="00C471AF">
        <w:rPr>
          <w:b w:val="0"/>
          <w:bCs/>
          <w:sz w:val="24"/>
          <w:szCs w:val="24"/>
        </w:rPr>
        <w:t>– Categorised</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92</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3</w:t>
      </w:r>
      <w:r>
        <w:rPr>
          <w:b w:val="0"/>
          <w:bCs/>
          <w:sz w:val="24"/>
          <w:szCs w:val="24"/>
        </w:rPr>
        <w:tab/>
      </w:r>
      <w:r w:rsidR="00C471AF" w:rsidRPr="00C471AF">
        <w:rPr>
          <w:b w:val="0"/>
          <w:bCs/>
          <w:sz w:val="24"/>
          <w:szCs w:val="24"/>
        </w:rPr>
        <w:t>Details of Insolvency Practitioner Firms involved in pre-packs</w:t>
      </w:r>
      <w:r>
        <w:rPr>
          <w:b w:val="0"/>
          <w:bCs/>
          <w:sz w:val="24"/>
          <w:szCs w:val="24"/>
        </w:rPr>
        <w:tab/>
      </w:r>
      <w:r w:rsidR="00A119B2">
        <w:rPr>
          <w:b w:val="0"/>
          <w:bCs/>
          <w:sz w:val="24"/>
          <w:szCs w:val="24"/>
        </w:rPr>
        <w:t>94</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4</w:t>
      </w:r>
      <w:r>
        <w:rPr>
          <w:b w:val="0"/>
          <w:bCs/>
          <w:sz w:val="24"/>
          <w:szCs w:val="24"/>
        </w:rPr>
        <w:tab/>
      </w:r>
      <w:r w:rsidR="00C471AF" w:rsidRPr="00C471AF">
        <w:rPr>
          <w:b w:val="0"/>
          <w:bCs/>
          <w:sz w:val="24"/>
          <w:szCs w:val="24"/>
        </w:rPr>
        <w:t>Failure data by categorised oldco sector data – Pre-packs</w:t>
      </w:r>
      <w:r>
        <w:rPr>
          <w:b w:val="0"/>
          <w:bCs/>
          <w:sz w:val="24"/>
          <w:szCs w:val="24"/>
        </w:rPr>
        <w:tab/>
      </w:r>
      <w:r w:rsidR="00A119B2">
        <w:rPr>
          <w:b w:val="0"/>
          <w:bCs/>
          <w:sz w:val="24"/>
          <w:szCs w:val="24"/>
        </w:rPr>
        <w:t>99</w:t>
      </w:r>
    </w:p>
    <w:p w:rsidR="00C471AF" w:rsidRPr="00C471AF" w:rsidRDefault="00721680" w:rsidP="00721680">
      <w:pPr>
        <w:pStyle w:val="TableHeading"/>
        <w:tabs>
          <w:tab w:val="clear" w:pos="9015"/>
          <w:tab w:val="left" w:pos="1418"/>
        </w:tabs>
        <w:spacing w:before="0" w:after="0" w:line="240" w:lineRule="auto"/>
        <w:rPr>
          <w:b w:val="0"/>
          <w:bCs/>
          <w:sz w:val="24"/>
          <w:szCs w:val="24"/>
        </w:rPr>
      </w:pPr>
      <w:r>
        <w:rPr>
          <w:b w:val="0"/>
          <w:bCs/>
          <w:sz w:val="24"/>
          <w:szCs w:val="24"/>
        </w:rPr>
        <w:t>Appendix 5</w:t>
      </w:r>
      <w:r>
        <w:rPr>
          <w:b w:val="0"/>
          <w:bCs/>
          <w:sz w:val="24"/>
          <w:szCs w:val="24"/>
        </w:rPr>
        <w:tab/>
      </w:r>
      <w:r w:rsidR="00C471AF" w:rsidRPr="00C471AF">
        <w:rPr>
          <w:b w:val="0"/>
          <w:bCs/>
          <w:sz w:val="24"/>
          <w:szCs w:val="24"/>
        </w:rPr>
        <w:t>Details of Insolvency Practiti</w:t>
      </w:r>
      <w:r>
        <w:rPr>
          <w:b w:val="0"/>
          <w:bCs/>
          <w:sz w:val="24"/>
          <w:szCs w:val="24"/>
        </w:rPr>
        <w:t>oner Firms involved in pre-pack</w:t>
      </w:r>
      <w:r>
        <w:rPr>
          <w:b w:val="0"/>
          <w:bCs/>
          <w:sz w:val="24"/>
          <w:szCs w:val="24"/>
        </w:rPr>
        <w:tab/>
      </w:r>
      <w:r w:rsidR="00A119B2">
        <w:rPr>
          <w:b w:val="0"/>
          <w:bCs/>
          <w:sz w:val="24"/>
          <w:szCs w:val="24"/>
        </w:rPr>
        <w:t>101</w:t>
      </w:r>
    </w:p>
    <w:p w:rsidR="00C471AF" w:rsidRPr="00C471AF" w:rsidRDefault="005B76AC" w:rsidP="00C471AF">
      <w:pPr>
        <w:spacing w:line="240" w:lineRule="auto"/>
        <w:rPr>
          <w:bCs/>
        </w:rPr>
      </w:pPr>
      <w:r>
        <w:rPr>
          <w:bCs/>
        </w:rPr>
        <w:t>Appendix 6</w:t>
      </w:r>
      <w:r>
        <w:rPr>
          <w:bCs/>
        </w:rPr>
        <w:tab/>
      </w:r>
      <w:r w:rsidR="00C471AF" w:rsidRPr="00C471AF">
        <w:rPr>
          <w:bCs/>
        </w:rPr>
        <w:t>Pre-Pac</w:t>
      </w:r>
      <w:r>
        <w:rPr>
          <w:bCs/>
        </w:rPr>
        <w:t xml:space="preserve">k Regression Analysis Model </w:t>
      </w:r>
      <w:r w:rsidR="00DD0B7E">
        <w:rPr>
          <w:bCs/>
        </w:rPr>
        <w:tab/>
      </w:r>
      <w:r>
        <w:rPr>
          <w:bCs/>
        </w:rPr>
        <w:tab/>
      </w:r>
      <w:r>
        <w:rPr>
          <w:bCs/>
        </w:rPr>
        <w:tab/>
      </w:r>
      <w:r>
        <w:rPr>
          <w:bCs/>
        </w:rPr>
        <w:tab/>
      </w:r>
      <w:r w:rsidR="00A119B2">
        <w:rPr>
          <w:bCs/>
        </w:rPr>
        <w:t>107</w:t>
      </w:r>
    </w:p>
    <w:p w:rsidR="005B76AC" w:rsidRDefault="00C471AF" w:rsidP="005B76AC">
      <w:pPr>
        <w:pStyle w:val="TableHeading"/>
        <w:tabs>
          <w:tab w:val="clear" w:pos="9015"/>
          <w:tab w:val="left" w:pos="1418"/>
        </w:tabs>
        <w:spacing w:before="0" w:after="0" w:line="240" w:lineRule="auto"/>
        <w:rPr>
          <w:b w:val="0"/>
          <w:bCs/>
          <w:sz w:val="24"/>
          <w:szCs w:val="24"/>
        </w:rPr>
      </w:pPr>
      <w:r w:rsidRPr="00C471AF">
        <w:rPr>
          <w:b w:val="0"/>
          <w:bCs/>
          <w:sz w:val="24"/>
          <w:szCs w:val="24"/>
        </w:rPr>
        <w:t>Appendix 7</w:t>
      </w:r>
      <w:r w:rsidR="005B76AC">
        <w:rPr>
          <w:b w:val="0"/>
          <w:bCs/>
          <w:sz w:val="24"/>
          <w:szCs w:val="24"/>
        </w:rPr>
        <w:tab/>
      </w:r>
      <w:r w:rsidRPr="00C471AF">
        <w:rPr>
          <w:b w:val="0"/>
          <w:bCs/>
          <w:sz w:val="24"/>
          <w:szCs w:val="24"/>
        </w:rPr>
        <w:t xml:space="preserve">Sector of company in trading administration – </w:t>
      </w:r>
      <w:r w:rsidR="005B76AC">
        <w:rPr>
          <w:b w:val="0"/>
          <w:bCs/>
          <w:sz w:val="24"/>
          <w:szCs w:val="24"/>
        </w:rPr>
        <w:t>2 Digit SIC</w:t>
      </w:r>
    </w:p>
    <w:p w:rsidR="00C471AF" w:rsidRPr="00C471AF" w:rsidRDefault="005B76AC" w:rsidP="005B76AC">
      <w:pPr>
        <w:pStyle w:val="TableHeading"/>
        <w:tabs>
          <w:tab w:val="clear" w:pos="9015"/>
          <w:tab w:val="left" w:pos="1418"/>
        </w:tabs>
        <w:spacing w:before="0" w:after="0" w:line="240" w:lineRule="auto"/>
        <w:rPr>
          <w:b w:val="0"/>
          <w:bCs/>
          <w:sz w:val="24"/>
          <w:szCs w:val="24"/>
        </w:rPr>
      </w:pPr>
      <w:r>
        <w:rPr>
          <w:b w:val="0"/>
          <w:bCs/>
          <w:sz w:val="24"/>
          <w:szCs w:val="24"/>
        </w:rPr>
        <w:tab/>
      </w:r>
      <w:r>
        <w:rPr>
          <w:b w:val="0"/>
          <w:bCs/>
          <w:sz w:val="24"/>
          <w:szCs w:val="24"/>
        </w:rPr>
        <w:tab/>
      </w:r>
      <w:r w:rsidR="00C471AF" w:rsidRPr="00C471AF">
        <w:rPr>
          <w:b w:val="0"/>
          <w:bCs/>
          <w:sz w:val="24"/>
          <w:szCs w:val="24"/>
        </w:rPr>
        <w:t>2007</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109</w:t>
      </w:r>
    </w:p>
    <w:p w:rsidR="00C471AF" w:rsidRPr="00C471AF" w:rsidRDefault="005B76AC" w:rsidP="005B76AC">
      <w:pPr>
        <w:pStyle w:val="TableHeading"/>
        <w:tabs>
          <w:tab w:val="clear" w:pos="9015"/>
          <w:tab w:val="left" w:pos="1418"/>
        </w:tabs>
        <w:spacing w:before="0" w:after="0" w:line="240" w:lineRule="auto"/>
        <w:rPr>
          <w:b w:val="0"/>
          <w:bCs/>
          <w:sz w:val="24"/>
          <w:szCs w:val="24"/>
        </w:rPr>
      </w:pPr>
      <w:r>
        <w:rPr>
          <w:b w:val="0"/>
          <w:bCs/>
          <w:sz w:val="24"/>
          <w:szCs w:val="24"/>
        </w:rPr>
        <w:t>Appendix 8</w:t>
      </w:r>
      <w:r>
        <w:rPr>
          <w:b w:val="0"/>
          <w:bCs/>
          <w:sz w:val="24"/>
          <w:szCs w:val="24"/>
        </w:rPr>
        <w:tab/>
      </w:r>
      <w:r w:rsidR="00C471AF" w:rsidRPr="00C471AF">
        <w:rPr>
          <w:b w:val="0"/>
          <w:bCs/>
          <w:sz w:val="24"/>
          <w:szCs w:val="24"/>
        </w:rPr>
        <w:t>Sector of company in trading administration – Categorised</w:t>
      </w:r>
      <w:r>
        <w:rPr>
          <w:b w:val="0"/>
          <w:bCs/>
          <w:sz w:val="24"/>
          <w:szCs w:val="24"/>
        </w:rPr>
        <w:tab/>
      </w:r>
      <w:r w:rsidR="00A119B2">
        <w:rPr>
          <w:b w:val="0"/>
          <w:bCs/>
          <w:sz w:val="24"/>
          <w:szCs w:val="24"/>
        </w:rPr>
        <w:t>113</w:t>
      </w:r>
    </w:p>
    <w:p w:rsidR="005B76AC" w:rsidRDefault="005B76AC" w:rsidP="005B76AC">
      <w:pPr>
        <w:pStyle w:val="TableHeading"/>
        <w:tabs>
          <w:tab w:val="clear" w:pos="9015"/>
          <w:tab w:val="left" w:pos="1418"/>
        </w:tabs>
        <w:spacing w:before="0" w:after="0" w:line="240" w:lineRule="auto"/>
        <w:rPr>
          <w:b w:val="0"/>
          <w:bCs/>
          <w:sz w:val="24"/>
          <w:szCs w:val="24"/>
        </w:rPr>
      </w:pPr>
      <w:r>
        <w:rPr>
          <w:b w:val="0"/>
          <w:bCs/>
          <w:sz w:val="24"/>
          <w:szCs w:val="24"/>
        </w:rPr>
        <w:t>Appendix 9</w:t>
      </w:r>
      <w:r>
        <w:rPr>
          <w:b w:val="0"/>
          <w:bCs/>
          <w:sz w:val="24"/>
          <w:szCs w:val="24"/>
        </w:rPr>
        <w:tab/>
      </w:r>
      <w:r w:rsidR="00C471AF" w:rsidRPr="00C471AF">
        <w:rPr>
          <w:b w:val="0"/>
          <w:bCs/>
          <w:sz w:val="24"/>
          <w:szCs w:val="24"/>
        </w:rPr>
        <w:t xml:space="preserve">Failure data by categorised oldco sector data – Trading </w:t>
      </w:r>
    </w:p>
    <w:p w:rsidR="00C471AF" w:rsidRPr="00C471AF" w:rsidRDefault="005B76AC" w:rsidP="005B76AC">
      <w:pPr>
        <w:pStyle w:val="TableHeading"/>
        <w:tabs>
          <w:tab w:val="clear" w:pos="9015"/>
          <w:tab w:val="left" w:pos="1418"/>
        </w:tabs>
        <w:spacing w:before="0" w:after="0" w:line="240" w:lineRule="auto"/>
        <w:rPr>
          <w:b w:val="0"/>
          <w:bCs/>
          <w:sz w:val="24"/>
          <w:szCs w:val="24"/>
        </w:rPr>
      </w:pPr>
      <w:r>
        <w:rPr>
          <w:b w:val="0"/>
          <w:bCs/>
          <w:sz w:val="24"/>
          <w:szCs w:val="24"/>
        </w:rPr>
        <w:tab/>
      </w:r>
      <w:r>
        <w:rPr>
          <w:b w:val="0"/>
          <w:bCs/>
          <w:sz w:val="24"/>
          <w:szCs w:val="24"/>
        </w:rPr>
        <w:tab/>
      </w:r>
      <w:r w:rsidR="00C471AF" w:rsidRPr="00C471AF">
        <w:rPr>
          <w:b w:val="0"/>
          <w:bCs/>
          <w:sz w:val="24"/>
          <w:szCs w:val="24"/>
        </w:rPr>
        <w:t>Administrations</w:t>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Pr>
          <w:b w:val="0"/>
          <w:bCs/>
          <w:sz w:val="24"/>
          <w:szCs w:val="24"/>
        </w:rPr>
        <w:tab/>
      </w:r>
      <w:r w:rsidR="00A119B2">
        <w:rPr>
          <w:b w:val="0"/>
          <w:bCs/>
          <w:sz w:val="24"/>
          <w:szCs w:val="24"/>
        </w:rPr>
        <w:t>114</w:t>
      </w:r>
    </w:p>
    <w:p w:rsidR="00C471AF" w:rsidRPr="00C471AF" w:rsidRDefault="005B76AC" w:rsidP="00C471AF">
      <w:pPr>
        <w:spacing w:line="240" w:lineRule="auto"/>
        <w:rPr>
          <w:bCs/>
        </w:rPr>
      </w:pPr>
      <w:r>
        <w:rPr>
          <w:bCs/>
        </w:rPr>
        <w:t>Appendix 10</w:t>
      </w:r>
      <w:r>
        <w:rPr>
          <w:bCs/>
        </w:rPr>
        <w:tab/>
      </w:r>
      <w:r w:rsidR="00C471AF" w:rsidRPr="00C471AF">
        <w:rPr>
          <w:bCs/>
        </w:rPr>
        <w:t xml:space="preserve">Counterfactual Regression Analysis Model </w:t>
      </w:r>
      <w:r w:rsidR="00DA1592">
        <w:rPr>
          <w:bCs/>
        </w:rPr>
        <w:tab/>
      </w:r>
      <w:r>
        <w:rPr>
          <w:bCs/>
        </w:rPr>
        <w:tab/>
      </w:r>
      <w:r>
        <w:rPr>
          <w:bCs/>
        </w:rPr>
        <w:tab/>
      </w:r>
      <w:r w:rsidR="00A119B2">
        <w:rPr>
          <w:bCs/>
        </w:rPr>
        <w:t>116</w:t>
      </w:r>
    </w:p>
    <w:p w:rsidR="00C471AF" w:rsidRPr="00C471AF" w:rsidRDefault="005B76AC" w:rsidP="00C471AF">
      <w:pPr>
        <w:spacing w:line="240" w:lineRule="auto"/>
        <w:rPr>
          <w:bCs/>
        </w:rPr>
      </w:pPr>
      <w:r>
        <w:rPr>
          <w:bCs/>
        </w:rPr>
        <w:t>Appendix 11</w:t>
      </w:r>
      <w:r>
        <w:rPr>
          <w:bCs/>
        </w:rPr>
        <w:tab/>
      </w:r>
      <w:r w:rsidR="00C471AF" w:rsidRPr="00C471AF">
        <w:rPr>
          <w:bCs/>
        </w:rPr>
        <w:t xml:space="preserve">Combined Regression Analysis Model </w:t>
      </w:r>
      <w:r w:rsidR="00DA1592">
        <w:rPr>
          <w:bCs/>
        </w:rPr>
        <w:tab/>
      </w:r>
      <w:r>
        <w:rPr>
          <w:bCs/>
        </w:rPr>
        <w:tab/>
      </w:r>
      <w:r>
        <w:rPr>
          <w:bCs/>
        </w:rPr>
        <w:tab/>
      </w:r>
      <w:r>
        <w:rPr>
          <w:bCs/>
        </w:rPr>
        <w:tab/>
      </w:r>
      <w:r w:rsidR="00A119B2">
        <w:rPr>
          <w:bCs/>
        </w:rPr>
        <w:t>118</w:t>
      </w:r>
    </w:p>
    <w:p w:rsidR="00FC3E04" w:rsidRPr="00CD08BB" w:rsidRDefault="00FC3E04" w:rsidP="00C471AF">
      <w:pPr>
        <w:spacing w:line="240" w:lineRule="auto"/>
        <w:rPr>
          <w:b/>
          <w:bCs/>
          <w:i/>
        </w:rPr>
      </w:pPr>
    </w:p>
    <w:p w:rsidR="00567703" w:rsidRDefault="00567703" w:rsidP="00567703">
      <w:pPr>
        <w:spacing w:line="240" w:lineRule="auto"/>
        <w:rPr>
          <w:b/>
          <w:bCs/>
          <w:i/>
        </w:rPr>
      </w:pPr>
    </w:p>
    <w:p w:rsidR="00567703" w:rsidRDefault="00567703" w:rsidP="00567703">
      <w:pPr>
        <w:spacing w:line="240" w:lineRule="auto"/>
        <w:rPr>
          <w:b/>
          <w:bCs/>
          <w:i/>
        </w:rPr>
      </w:pPr>
    </w:p>
    <w:p w:rsidR="00567703" w:rsidRPr="00567703" w:rsidRDefault="00567703" w:rsidP="00567703">
      <w:pPr>
        <w:spacing w:line="240" w:lineRule="auto"/>
        <w:rPr>
          <w:b/>
          <w:bCs/>
          <w:i/>
        </w:rPr>
      </w:pPr>
    </w:p>
    <w:p w:rsidR="00632DA1" w:rsidRPr="00632DA1" w:rsidRDefault="00632DA1" w:rsidP="00632DA1">
      <w:pPr>
        <w:spacing w:line="240" w:lineRule="auto"/>
        <w:rPr>
          <w:b/>
          <w:bCs/>
          <w:i/>
        </w:rPr>
      </w:pPr>
    </w:p>
    <w:p w:rsidR="00632DA1" w:rsidRPr="00632DA1" w:rsidRDefault="00632DA1" w:rsidP="00632DA1">
      <w:pPr>
        <w:spacing w:line="240" w:lineRule="auto"/>
        <w:rPr>
          <w:bCs/>
          <w:i/>
        </w:rPr>
      </w:pPr>
    </w:p>
    <w:p w:rsidR="00632DA1" w:rsidRPr="00632DA1" w:rsidRDefault="00632DA1">
      <w:pPr>
        <w:spacing w:line="240" w:lineRule="auto"/>
        <w:rPr>
          <w:b/>
        </w:rPr>
      </w:pPr>
    </w:p>
    <w:p w:rsidR="003340BA" w:rsidRDefault="003340BA" w:rsidP="003340BA">
      <w:pPr>
        <w:spacing w:line="240" w:lineRule="auto"/>
        <w:rPr>
          <w:b/>
        </w:rPr>
      </w:pPr>
    </w:p>
    <w:p w:rsidR="00632DA1" w:rsidRDefault="00632DA1">
      <w:pPr>
        <w:spacing w:line="240" w:lineRule="auto"/>
        <w:rPr>
          <w:b/>
          <w:bCs/>
          <w:spacing w:val="-3"/>
        </w:rPr>
      </w:pPr>
      <w:r>
        <w:rPr>
          <w:b/>
          <w:bCs/>
          <w:spacing w:val="-3"/>
        </w:rPr>
        <w:br w:type="page"/>
      </w:r>
    </w:p>
    <w:p w:rsidR="003340BA" w:rsidRPr="00681693" w:rsidRDefault="003340BA" w:rsidP="003340BA">
      <w:pPr>
        <w:spacing w:line="240" w:lineRule="auto"/>
        <w:rPr>
          <w:b/>
          <w:bCs/>
          <w:spacing w:val="-3"/>
        </w:rPr>
      </w:pPr>
      <w:r>
        <w:rPr>
          <w:b/>
          <w:bCs/>
          <w:spacing w:val="-3"/>
        </w:rPr>
        <w:lastRenderedPageBreak/>
        <w:t>I</w:t>
      </w:r>
      <w:r>
        <w:rPr>
          <w:b/>
          <w:bCs/>
          <w:spacing w:val="-3"/>
        </w:rPr>
        <w:tab/>
        <w:t>Introduction</w:t>
      </w:r>
    </w:p>
    <w:p w:rsidR="003340BA" w:rsidRDefault="003340BA" w:rsidP="003340BA">
      <w:pPr>
        <w:spacing w:line="240" w:lineRule="auto"/>
      </w:pPr>
    </w:p>
    <w:p w:rsidR="003340BA" w:rsidRPr="0082218D" w:rsidRDefault="003340BA" w:rsidP="003340BA">
      <w:pPr>
        <w:spacing w:line="240" w:lineRule="auto"/>
        <w:rPr>
          <w:bCs/>
        </w:rPr>
      </w:pPr>
      <w:r>
        <w:t>In July 2013, the Secretary of State for Business, Innovation and Skills, the Rt Hon Vince Cable MP, announced a review into pre-packaged administrations (“pre-packs”) and appointed Teresa Graham CBE to lead it (“the Review”).</w:t>
      </w:r>
      <w:r>
        <w:rPr>
          <w:rStyle w:val="FootnoteReference"/>
        </w:rPr>
        <w:footnoteReference w:id="1"/>
      </w:r>
      <w:r>
        <w:t xml:space="preserve"> Pre-packs have in recent years created a deal of comment within the media and academia. Successive Governments have consulted on pre-packs with as yet limited tangible results. Although empirical research into pre-packs has previously been conducted by Dr Sandra Frisby, such research was conducted some time ago and was not designed or commissioned by an independent review. This report explains the methodology adopted for, and the results of, a quantitative study into pre-packs which is intended to provide the empirical data needed for the Review. </w:t>
      </w:r>
      <w:r w:rsidRPr="0082218D">
        <w:rPr>
          <w:bCs/>
        </w:rPr>
        <w:t>The overall aim of the study was to establish a robust and up-to-date baseline on pre-pack administrations.</w:t>
      </w:r>
    </w:p>
    <w:p w:rsidR="003340BA" w:rsidRDefault="003340BA" w:rsidP="003340BA">
      <w:pPr>
        <w:pStyle w:val="TableHeading"/>
        <w:spacing w:line="240" w:lineRule="auto"/>
        <w:rPr>
          <w:b w:val="0"/>
          <w:bCs/>
          <w:sz w:val="24"/>
          <w:szCs w:val="24"/>
        </w:rPr>
      </w:pPr>
    </w:p>
    <w:p w:rsidR="003340BA" w:rsidRDefault="003340BA" w:rsidP="003340BA">
      <w:pPr>
        <w:pStyle w:val="TableHeading"/>
        <w:spacing w:line="240" w:lineRule="auto"/>
        <w:rPr>
          <w:b w:val="0"/>
          <w:bCs/>
          <w:sz w:val="24"/>
          <w:szCs w:val="24"/>
        </w:rPr>
      </w:pPr>
      <w:r>
        <w:rPr>
          <w:b w:val="0"/>
          <w:bCs/>
          <w:sz w:val="24"/>
          <w:szCs w:val="24"/>
        </w:rPr>
        <w:t>There are approximately 750 pre-packs per annum. It was agreed that a randomly selected sample of 500 pre-packs from 2010 would be used for the study. The number of 500 was deemed to be sufficiently large for the dataset to be reliable and 2010 was selected as it permitted a regression analysis to be conducted in relation to survival of the purchaser at 12 months, 24 months and 36 months after the date of the pre-pack.</w:t>
      </w:r>
    </w:p>
    <w:p w:rsidR="003340BA" w:rsidRDefault="003340BA" w:rsidP="003340BA">
      <w:pPr>
        <w:pStyle w:val="TableHeading"/>
        <w:spacing w:line="240" w:lineRule="auto"/>
        <w:rPr>
          <w:b w:val="0"/>
          <w:bCs/>
          <w:sz w:val="24"/>
          <w:szCs w:val="24"/>
        </w:rPr>
      </w:pPr>
      <w:r>
        <w:rPr>
          <w:b w:val="0"/>
          <w:bCs/>
          <w:sz w:val="24"/>
          <w:szCs w:val="24"/>
        </w:rPr>
        <w:t xml:space="preserve"> </w:t>
      </w:r>
    </w:p>
    <w:p w:rsidR="003B1031" w:rsidRPr="003B1031" w:rsidRDefault="003340BA" w:rsidP="003B1031">
      <w:pPr>
        <w:spacing w:before="40" w:after="40" w:line="240" w:lineRule="auto"/>
        <w:rPr>
          <w:bCs/>
        </w:rPr>
      </w:pPr>
      <w:r w:rsidRPr="003340BA">
        <w:rPr>
          <w:bCs/>
        </w:rPr>
        <w:t>In order to enable a comparison between pre-packs and more traditional administrations involving a going concern sale, the study comprises Part A which looks at pre-packs and Part B which looks at traditional administrations involving going concern sales. A random sample of 100 traditional administrations from 2010 involving going concern sales was agreed for the counterfactual analysis in Part B.</w:t>
      </w:r>
      <w:r w:rsidR="003B1031">
        <w:rPr>
          <w:bCs/>
        </w:rPr>
        <w:t xml:space="preserve"> Furthermore</w:t>
      </w:r>
      <w:r w:rsidR="003B1031" w:rsidRPr="003B1031">
        <w:rPr>
          <w:bCs/>
        </w:rPr>
        <w:t xml:space="preserve"> a combined regression analysis </w:t>
      </w:r>
      <w:r w:rsidR="003B1031">
        <w:rPr>
          <w:bCs/>
        </w:rPr>
        <w:t xml:space="preserve">has been conducted to consider </w:t>
      </w:r>
      <w:r w:rsidR="003B1031" w:rsidRPr="003B1031">
        <w:rPr>
          <w:bCs/>
        </w:rPr>
        <w:t>the impact</w:t>
      </w:r>
      <w:r w:rsidR="003B1031">
        <w:rPr>
          <w:bCs/>
        </w:rPr>
        <w:t>, if any,</w:t>
      </w:r>
      <w:r w:rsidR="003B1031" w:rsidRPr="003B1031">
        <w:rPr>
          <w:bCs/>
        </w:rPr>
        <w:t xml:space="preserve"> of a </w:t>
      </w:r>
      <w:r w:rsidR="003B1031">
        <w:rPr>
          <w:bCs/>
        </w:rPr>
        <w:t xml:space="preserve">sale taking </w:t>
      </w:r>
      <w:r w:rsidR="003B1031" w:rsidRPr="003B1031">
        <w:rPr>
          <w:bCs/>
        </w:rPr>
        <w:t xml:space="preserve">place in </w:t>
      </w:r>
      <w:r w:rsidR="003B1031">
        <w:rPr>
          <w:bCs/>
        </w:rPr>
        <w:t xml:space="preserve">either </w:t>
      </w:r>
      <w:r w:rsidR="003B1031" w:rsidRPr="003B1031">
        <w:rPr>
          <w:bCs/>
        </w:rPr>
        <w:t>a pre-pack or trading administration on the subs</w:t>
      </w:r>
      <w:r w:rsidR="003B1031">
        <w:rPr>
          <w:bCs/>
        </w:rPr>
        <w:t>equent failure of the purchaser which is reported in Part C.</w:t>
      </w:r>
    </w:p>
    <w:p w:rsidR="003340BA" w:rsidRDefault="003340BA">
      <w:pPr>
        <w:spacing w:line="240" w:lineRule="auto"/>
        <w:rPr>
          <w:b/>
          <w:bCs/>
        </w:rPr>
      </w:pPr>
      <w:r>
        <w:rPr>
          <w:b/>
          <w:bCs/>
        </w:rPr>
        <w:br w:type="page"/>
      </w:r>
    </w:p>
    <w:p w:rsidR="003340BA" w:rsidRDefault="003340BA" w:rsidP="003340BA">
      <w:pPr>
        <w:spacing w:before="40" w:after="40" w:line="240" w:lineRule="auto"/>
        <w:rPr>
          <w:b/>
          <w:bCs/>
        </w:rPr>
      </w:pPr>
    </w:p>
    <w:p w:rsidR="003340BA" w:rsidRPr="003340BA" w:rsidRDefault="003340BA" w:rsidP="003340BA">
      <w:pPr>
        <w:spacing w:before="40" w:after="40" w:line="240" w:lineRule="auto"/>
        <w:rPr>
          <w:b/>
          <w:bCs/>
        </w:rPr>
      </w:pPr>
      <w:r w:rsidRPr="003340BA">
        <w:rPr>
          <w:b/>
          <w:bCs/>
        </w:rPr>
        <w:t>II</w:t>
      </w:r>
      <w:r w:rsidRPr="003340BA">
        <w:rPr>
          <w:b/>
          <w:bCs/>
        </w:rPr>
        <w:tab/>
        <w:t>Methodology</w:t>
      </w:r>
    </w:p>
    <w:p w:rsidR="003340BA" w:rsidRDefault="003340BA" w:rsidP="003340BA">
      <w:pPr>
        <w:spacing w:before="40" w:after="40" w:line="240" w:lineRule="auto"/>
        <w:rPr>
          <w:bCs/>
        </w:rPr>
      </w:pPr>
    </w:p>
    <w:p w:rsidR="003340BA" w:rsidRDefault="003340BA" w:rsidP="003340BA">
      <w:pPr>
        <w:spacing w:before="40" w:after="40" w:line="240" w:lineRule="auto"/>
      </w:pPr>
      <w:r>
        <w:t>For both Parts A and B the study does two things:</w:t>
      </w:r>
    </w:p>
    <w:p w:rsidR="003340BA" w:rsidRDefault="003340BA" w:rsidP="003340BA">
      <w:pPr>
        <w:pStyle w:val="ListParagraph"/>
        <w:numPr>
          <w:ilvl w:val="0"/>
          <w:numId w:val="11"/>
        </w:numPr>
        <w:spacing w:before="40" w:after="40" w:line="240" w:lineRule="auto"/>
      </w:pPr>
      <w:r>
        <w:t xml:space="preserve">Provides data on the insolvency process. For Part A the data was collected from SIP16 reports held by the Insolvency Service and company records held at Companies House. For Part B, data purchased from Geoff Swire was used to identify non pre-pack administrations with comparable data to Part A being collected from Companies House records where available. </w:t>
      </w:r>
    </w:p>
    <w:p w:rsidR="003340BA" w:rsidRDefault="003340BA" w:rsidP="003340BA">
      <w:pPr>
        <w:spacing w:before="40" w:after="40" w:line="240" w:lineRule="auto"/>
        <w:ind w:firstLine="720"/>
      </w:pPr>
      <w:r>
        <w:t>This includes information on:-</w:t>
      </w:r>
    </w:p>
    <w:p w:rsidR="003340BA" w:rsidRDefault="003340BA" w:rsidP="003340BA">
      <w:pPr>
        <w:pStyle w:val="ListParagraph"/>
        <w:numPr>
          <w:ilvl w:val="0"/>
          <w:numId w:val="12"/>
        </w:numPr>
        <w:spacing w:before="40" w:after="40" w:line="240" w:lineRule="auto"/>
      </w:pPr>
      <w:r>
        <w:t>The characteristics of companies entering the pre-pack/traditional administration;</w:t>
      </w:r>
    </w:p>
    <w:p w:rsidR="003340BA" w:rsidRDefault="003340BA" w:rsidP="003340BA">
      <w:pPr>
        <w:pStyle w:val="ListParagraph"/>
        <w:numPr>
          <w:ilvl w:val="0"/>
          <w:numId w:val="12"/>
        </w:numPr>
        <w:spacing w:before="40" w:after="40" w:line="240" w:lineRule="auto"/>
      </w:pPr>
      <w:r>
        <w:t>Information about the insolvency practitioner (and his/her firm) carrying out the procedure;</w:t>
      </w:r>
    </w:p>
    <w:p w:rsidR="003340BA" w:rsidRDefault="003340BA" w:rsidP="003340BA">
      <w:pPr>
        <w:pStyle w:val="ListParagraph"/>
        <w:numPr>
          <w:ilvl w:val="0"/>
          <w:numId w:val="12"/>
        </w:numPr>
        <w:spacing w:before="40" w:after="40" w:line="240" w:lineRule="auto"/>
      </w:pPr>
      <w:r>
        <w:t>General information on the pre-pack/traditional administration going concern sale; and</w:t>
      </w:r>
    </w:p>
    <w:p w:rsidR="003340BA" w:rsidRDefault="003340BA" w:rsidP="003340BA">
      <w:pPr>
        <w:pStyle w:val="ListParagraph"/>
        <w:numPr>
          <w:ilvl w:val="0"/>
          <w:numId w:val="12"/>
        </w:numPr>
        <w:spacing w:before="40" w:after="40" w:line="240" w:lineRule="auto"/>
      </w:pPr>
      <w:r>
        <w:t>Details of the survival or failure of the purchaser.</w:t>
      </w:r>
    </w:p>
    <w:p w:rsidR="003340BA" w:rsidRDefault="003340BA" w:rsidP="003340BA">
      <w:pPr>
        <w:spacing w:before="40" w:after="40" w:line="240" w:lineRule="auto"/>
      </w:pPr>
    </w:p>
    <w:p w:rsidR="003340BA" w:rsidRDefault="003340BA" w:rsidP="003340BA">
      <w:pPr>
        <w:pStyle w:val="ListParagraph"/>
        <w:numPr>
          <w:ilvl w:val="0"/>
          <w:numId w:val="11"/>
        </w:numPr>
        <w:spacing w:before="40" w:after="40" w:line="240" w:lineRule="auto"/>
      </w:pPr>
      <w:r>
        <w:t>Carries out a regression analysis of pre-pack/ traditional administrations to assess their respective abilities to deliver viable purchasing companies over the 36 month period following the sale.</w:t>
      </w:r>
    </w:p>
    <w:p w:rsidR="003B1031" w:rsidRDefault="003B1031" w:rsidP="003340BA">
      <w:pPr>
        <w:spacing w:before="40" w:after="40" w:line="240" w:lineRule="auto"/>
      </w:pPr>
    </w:p>
    <w:p w:rsidR="003340BA" w:rsidRDefault="003B1031" w:rsidP="003340BA">
      <w:pPr>
        <w:spacing w:before="40" w:after="40" w:line="240" w:lineRule="auto"/>
      </w:pPr>
      <w:r>
        <w:t>In addition Part C combines the datasets from Parts A and B to allow for an analysis of the impact, if any,</w:t>
      </w:r>
      <w:r w:rsidRPr="003B1031">
        <w:rPr>
          <w:bCs/>
        </w:rPr>
        <w:t xml:space="preserve"> of a sale taking place in either a pre-pack or trading administration on the subsequent failure of the purchaser</w:t>
      </w:r>
      <w:r>
        <w:rPr>
          <w:bCs/>
        </w:rPr>
        <w:t>.</w:t>
      </w:r>
    </w:p>
    <w:p w:rsidR="003B1031" w:rsidRDefault="003B1031" w:rsidP="003340BA">
      <w:pPr>
        <w:spacing w:before="40" w:after="40" w:line="240" w:lineRule="auto"/>
      </w:pPr>
    </w:p>
    <w:p w:rsidR="003340BA" w:rsidRPr="00F8734C" w:rsidRDefault="003340BA" w:rsidP="003340BA">
      <w:pPr>
        <w:pStyle w:val="TableHeading"/>
        <w:spacing w:line="240" w:lineRule="auto"/>
        <w:rPr>
          <w:b w:val="0"/>
          <w:bCs/>
          <w:i/>
          <w:sz w:val="24"/>
          <w:szCs w:val="24"/>
        </w:rPr>
      </w:pPr>
      <w:r w:rsidRPr="00F8734C">
        <w:rPr>
          <w:b w:val="0"/>
          <w:bCs/>
          <w:i/>
          <w:sz w:val="24"/>
          <w:szCs w:val="24"/>
        </w:rPr>
        <w:t>Part A Pre-packs</w:t>
      </w:r>
    </w:p>
    <w:p w:rsidR="003340BA" w:rsidRDefault="003340BA" w:rsidP="003340BA">
      <w:pPr>
        <w:pStyle w:val="TableHeading"/>
        <w:spacing w:line="240" w:lineRule="auto"/>
        <w:rPr>
          <w:b w:val="0"/>
          <w:bCs/>
          <w:i/>
          <w:sz w:val="24"/>
          <w:szCs w:val="24"/>
        </w:rPr>
      </w:pPr>
    </w:p>
    <w:p w:rsidR="003340BA" w:rsidRPr="00F8734C" w:rsidRDefault="003340BA" w:rsidP="003340BA">
      <w:pPr>
        <w:pStyle w:val="TableHeading"/>
        <w:spacing w:line="240" w:lineRule="auto"/>
        <w:rPr>
          <w:b w:val="0"/>
          <w:bCs/>
          <w:i/>
          <w:sz w:val="24"/>
          <w:szCs w:val="24"/>
        </w:rPr>
      </w:pPr>
      <w:r w:rsidRPr="00F8734C">
        <w:rPr>
          <w:b w:val="0"/>
          <w:bCs/>
          <w:i/>
          <w:sz w:val="24"/>
          <w:szCs w:val="24"/>
        </w:rPr>
        <w:t xml:space="preserve">Part </w:t>
      </w:r>
      <w:r>
        <w:rPr>
          <w:b w:val="0"/>
          <w:bCs/>
          <w:i/>
          <w:sz w:val="24"/>
          <w:szCs w:val="24"/>
        </w:rPr>
        <w:t>A</w:t>
      </w:r>
      <w:r w:rsidRPr="00F8734C">
        <w:rPr>
          <w:b w:val="0"/>
          <w:bCs/>
          <w:i/>
          <w:sz w:val="24"/>
          <w:szCs w:val="24"/>
        </w:rPr>
        <w:t>1</w:t>
      </w:r>
    </w:p>
    <w:p w:rsidR="003340BA" w:rsidRDefault="003340BA" w:rsidP="003340BA">
      <w:pPr>
        <w:pStyle w:val="TableHeading"/>
        <w:spacing w:line="240" w:lineRule="auto"/>
        <w:rPr>
          <w:b w:val="0"/>
          <w:bCs/>
          <w:sz w:val="24"/>
          <w:szCs w:val="24"/>
        </w:rPr>
      </w:pPr>
    </w:p>
    <w:p w:rsidR="003340BA" w:rsidRPr="003C04ED" w:rsidRDefault="003340BA" w:rsidP="003340BA">
      <w:pPr>
        <w:pStyle w:val="TableHeading"/>
        <w:spacing w:line="240" w:lineRule="auto"/>
        <w:rPr>
          <w:bCs/>
          <w:sz w:val="24"/>
          <w:szCs w:val="24"/>
        </w:rPr>
      </w:pPr>
      <w:r>
        <w:rPr>
          <w:b w:val="0"/>
          <w:bCs/>
          <w:sz w:val="24"/>
          <w:szCs w:val="24"/>
        </w:rPr>
        <w:t>The following d</w:t>
      </w:r>
      <w:r w:rsidRPr="00E7082E">
        <w:rPr>
          <w:b w:val="0"/>
          <w:bCs/>
          <w:sz w:val="24"/>
          <w:szCs w:val="24"/>
        </w:rPr>
        <w:t xml:space="preserve">ata </w:t>
      </w:r>
      <w:r>
        <w:rPr>
          <w:b w:val="0"/>
          <w:bCs/>
          <w:sz w:val="24"/>
          <w:szCs w:val="24"/>
        </w:rPr>
        <w:t xml:space="preserve">were collected </w:t>
      </w:r>
      <w:r w:rsidR="003B1031">
        <w:rPr>
          <w:b w:val="0"/>
          <w:bCs/>
          <w:sz w:val="24"/>
          <w:szCs w:val="24"/>
        </w:rPr>
        <w:t xml:space="preserve">in relation to </w:t>
      </w:r>
      <w:r>
        <w:rPr>
          <w:b w:val="0"/>
          <w:bCs/>
          <w:sz w:val="24"/>
          <w:szCs w:val="24"/>
        </w:rPr>
        <w:t xml:space="preserve">500 </w:t>
      </w:r>
      <w:r w:rsidRPr="00E7082E">
        <w:rPr>
          <w:b w:val="0"/>
          <w:bCs/>
          <w:sz w:val="24"/>
          <w:szCs w:val="24"/>
        </w:rPr>
        <w:t>pre-pack</w:t>
      </w:r>
      <w:r w:rsidR="003B1031">
        <w:rPr>
          <w:b w:val="0"/>
          <w:bCs/>
          <w:sz w:val="24"/>
          <w:szCs w:val="24"/>
        </w:rPr>
        <w:t xml:space="preserve"> sales</w:t>
      </w:r>
      <w:r>
        <w:rPr>
          <w:b w:val="0"/>
          <w:bCs/>
          <w:sz w:val="24"/>
          <w:szCs w:val="24"/>
        </w:rPr>
        <w:t>:</w:t>
      </w:r>
    </w:p>
    <w:p w:rsidR="003340BA" w:rsidRDefault="003340BA" w:rsidP="003340BA">
      <w:pPr>
        <w:spacing w:before="40" w:after="40" w:line="240" w:lineRule="auto"/>
      </w:pPr>
    </w:p>
    <w:p w:rsidR="003340BA" w:rsidRDefault="003340BA" w:rsidP="003340BA">
      <w:pPr>
        <w:spacing w:before="40" w:after="40" w:line="240" w:lineRule="auto"/>
      </w:pPr>
      <w:r>
        <w:t>1. Characteristics of company being pre-packed</w:t>
      </w:r>
    </w:p>
    <w:p w:rsidR="003340BA" w:rsidRDefault="003340BA" w:rsidP="003340BA">
      <w:pPr>
        <w:pStyle w:val="ListParagraph"/>
        <w:numPr>
          <w:ilvl w:val="0"/>
          <w:numId w:val="13"/>
        </w:numPr>
        <w:spacing w:before="40" w:after="40" w:line="240" w:lineRule="auto"/>
      </w:pPr>
      <w:r>
        <w:t xml:space="preserve">Name and registered number of company </w:t>
      </w:r>
    </w:p>
    <w:p w:rsidR="003340BA" w:rsidRDefault="003340BA" w:rsidP="003340BA">
      <w:pPr>
        <w:pStyle w:val="ListParagraph"/>
        <w:numPr>
          <w:ilvl w:val="0"/>
          <w:numId w:val="13"/>
        </w:numPr>
        <w:spacing w:before="40" w:after="40" w:line="240" w:lineRule="auto"/>
      </w:pPr>
      <w:r>
        <w:t>Sector (SIC 2003 codes</w:t>
      </w:r>
      <w:r w:rsidR="003B1031">
        <w:t>, subsequently converted to SIC 2007 codes for the purpose of analysis</w:t>
      </w:r>
      <w:r>
        <w:t>)</w:t>
      </w:r>
    </w:p>
    <w:p w:rsidR="003340BA" w:rsidRDefault="003340BA" w:rsidP="003340BA">
      <w:pPr>
        <w:pStyle w:val="ListParagraph"/>
        <w:numPr>
          <w:ilvl w:val="0"/>
          <w:numId w:val="13"/>
        </w:numPr>
        <w:spacing w:before="40" w:after="40" w:line="240" w:lineRule="auto"/>
      </w:pPr>
      <w:r>
        <w:t xml:space="preserve">Size of company - both: </w:t>
      </w:r>
    </w:p>
    <w:p w:rsidR="003340BA" w:rsidRDefault="003340BA" w:rsidP="003340BA">
      <w:pPr>
        <w:pStyle w:val="ListParagraph"/>
        <w:numPr>
          <w:ilvl w:val="0"/>
          <w:numId w:val="14"/>
        </w:numPr>
        <w:spacing w:before="40" w:after="40" w:line="240" w:lineRule="auto"/>
      </w:pPr>
      <w:r>
        <w:t>Number of employees; and</w:t>
      </w:r>
    </w:p>
    <w:p w:rsidR="003340BA" w:rsidRDefault="003340BA" w:rsidP="003340BA">
      <w:pPr>
        <w:pStyle w:val="ListParagraph"/>
        <w:numPr>
          <w:ilvl w:val="0"/>
          <w:numId w:val="14"/>
        </w:numPr>
        <w:spacing w:before="40" w:after="40" w:line="240" w:lineRule="auto"/>
      </w:pPr>
      <w:r>
        <w:t>Turnover</w:t>
      </w:r>
    </w:p>
    <w:p w:rsidR="003340BA" w:rsidRDefault="003340BA" w:rsidP="003340BA">
      <w:pPr>
        <w:pStyle w:val="ListParagraph"/>
        <w:numPr>
          <w:ilvl w:val="0"/>
          <w:numId w:val="13"/>
        </w:numPr>
        <w:spacing w:before="40" w:after="40" w:line="240" w:lineRule="auto"/>
      </w:pPr>
      <w:r>
        <w:t>Mode of appointment</w:t>
      </w:r>
    </w:p>
    <w:p w:rsidR="003340BA" w:rsidRDefault="003340BA" w:rsidP="003340BA">
      <w:pPr>
        <w:pStyle w:val="ListParagraph"/>
        <w:numPr>
          <w:ilvl w:val="0"/>
          <w:numId w:val="13"/>
        </w:numPr>
        <w:spacing w:before="40" w:after="40" w:line="240" w:lineRule="auto"/>
      </w:pPr>
      <w:r>
        <w:t>Reason(s) for failure</w:t>
      </w:r>
    </w:p>
    <w:p w:rsidR="003340BA" w:rsidRDefault="003340BA" w:rsidP="003340BA">
      <w:pPr>
        <w:pStyle w:val="ListParagraph"/>
        <w:numPr>
          <w:ilvl w:val="0"/>
          <w:numId w:val="13"/>
        </w:numPr>
        <w:spacing w:before="40" w:after="40" w:line="240" w:lineRule="auto"/>
      </w:pPr>
      <w:r>
        <w:t>Whether company part of a group</w:t>
      </w:r>
    </w:p>
    <w:p w:rsidR="003340BA" w:rsidRDefault="003340BA" w:rsidP="003340BA">
      <w:pPr>
        <w:pStyle w:val="ListParagraph"/>
        <w:numPr>
          <w:ilvl w:val="0"/>
          <w:numId w:val="13"/>
        </w:numPr>
        <w:spacing w:before="40" w:after="40" w:line="240" w:lineRule="auto"/>
      </w:pPr>
      <w:r>
        <w:t>Whether company subsequently dissolved or entered creditors’ voluntary liquidation</w:t>
      </w:r>
    </w:p>
    <w:p w:rsidR="003340BA" w:rsidRDefault="003340BA" w:rsidP="003340BA">
      <w:pPr>
        <w:pStyle w:val="ListParagraph"/>
        <w:numPr>
          <w:ilvl w:val="0"/>
          <w:numId w:val="13"/>
        </w:numPr>
        <w:spacing w:before="40" w:after="40" w:line="240" w:lineRule="auto"/>
      </w:pPr>
      <w:r>
        <w:t>Length of time company had existed prior to insolvency</w:t>
      </w:r>
    </w:p>
    <w:p w:rsidR="003340BA" w:rsidRDefault="003340BA" w:rsidP="003340BA">
      <w:pPr>
        <w:spacing w:before="40" w:after="40" w:line="240" w:lineRule="auto"/>
      </w:pPr>
    </w:p>
    <w:p w:rsidR="003340BA" w:rsidRDefault="003340BA" w:rsidP="003340BA">
      <w:pPr>
        <w:spacing w:before="40" w:after="40" w:line="240" w:lineRule="auto"/>
      </w:pPr>
      <w:r>
        <w:t>2. Amount owed to creditors broken down into:</w:t>
      </w:r>
    </w:p>
    <w:p w:rsidR="003340BA" w:rsidRDefault="003340BA" w:rsidP="003340BA">
      <w:pPr>
        <w:pStyle w:val="ListParagraph"/>
        <w:numPr>
          <w:ilvl w:val="0"/>
          <w:numId w:val="16"/>
        </w:numPr>
        <w:spacing w:before="40" w:after="40" w:line="240" w:lineRule="auto"/>
      </w:pPr>
      <w:r>
        <w:t>Fixed charge holders</w:t>
      </w:r>
    </w:p>
    <w:p w:rsidR="003340BA" w:rsidRDefault="003340BA" w:rsidP="003340BA">
      <w:pPr>
        <w:pStyle w:val="ListParagraph"/>
        <w:numPr>
          <w:ilvl w:val="0"/>
          <w:numId w:val="16"/>
        </w:numPr>
        <w:spacing w:before="40" w:after="40" w:line="240" w:lineRule="auto"/>
      </w:pPr>
      <w:r>
        <w:t>Preferential creditors</w:t>
      </w:r>
    </w:p>
    <w:p w:rsidR="003340BA" w:rsidRDefault="003340BA" w:rsidP="003340BA">
      <w:pPr>
        <w:pStyle w:val="ListParagraph"/>
        <w:numPr>
          <w:ilvl w:val="0"/>
          <w:numId w:val="16"/>
        </w:numPr>
        <w:spacing w:before="40" w:after="40" w:line="240" w:lineRule="auto"/>
      </w:pPr>
      <w:r>
        <w:t>Floating charge holders</w:t>
      </w:r>
    </w:p>
    <w:p w:rsidR="003340BA" w:rsidRDefault="003340BA" w:rsidP="003340BA">
      <w:pPr>
        <w:pStyle w:val="ListParagraph"/>
        <w:numPr>
          <w:ilvl w:val="0"/>
          <w:numId w:val="16"/>
        </w:numPr>
        <w:spacing w:before="40" w:after="40" w:line="240" w:lineRule="auto"/>
      </w:pPr>
      <w:r>
        <w:t xml:space="preserve">Unsecured creditors (including a separate figure where available showing money owed to HMRC – due to lack of data, attempts to collect figures for monies owing to the Redundancy Payments Service and the Pension Protection Fund proved impracticable) </w:t>
      </w:r>
    </w:p>
    <w:p w:rsidR="003340BA" w:rsidRDefault="003340BA" w:rsidP="003340BA">
      <w:pPr>
        <w:pStyle w:val="ListParagraph"/>
        <w:numPr>
          <w:ilvl w:val="0"/>
          <w:numId w:val="16"/>
        </w:numPr>
        <w:spacing w:before="40" w:after="40" w:line="240" w:lineRule="auto"/>
      </w:pPr>
      <w:r>
        <w:t>Total debts</w:t>
      </w:r>
    </w:p>
    <w:p w:rsidR="003340BA" w:rsidRDefault="003340BA" w:rsidP="003340BA">
      <w:pPr>
        <w:spacing w:before="40" w:after="40" w:line="240" w:lineRule="auto"/>
      </w:pPr>
    </w:p>
    <w:p w:rsidR="003340BA" w:rsidRDefault="003340BA" w:rsidP="003340BA">
      <w:pPr>
        <w:spacing w:before="40" w:after="40" w:line="240" w:lineRule="auto"/>
      </w:pPr>
      <w:r>
        <w:t>3. Value of company assets (statement of affairs values) and details of any independent valuation</w:t>
      </w:r>
    </w:p>
    <w:p w:rsidR="003340BA" w:rsidRDefault="003340BA" w:rsidP="003340BA">
      <w:pPr>
        <w:spacing w:before="40" w:after="40" w:line="240" w:lineRule="auto"/>
      </w:pPr>
    </w:p>
    <w:p w:rsidR="003340BA" w:rsidRDefault="003340BA" w:rsidP="003340BA">
      <w:pPr>
        <w:spacing w:before="40" w:after="40" w:line="240" w:lineRule="auto"/>
      </w:pPr>
      <w:r>
        <w:t>4. Information about the Insolvency Practitioner (“IP”) carrying out the procedure</w:t>
      </w:r>
    </w:p>
    <w:p w:rsidR="003340BA" w:rsidRDefault="003340BA" w:rsidP="003340BA">
      <w:pPr>
        <w:pStyle w:val="ListParagraph"/>
        <w:numPr>
          <w:ilvl w:val="0"/>
          <w:numId w:val="17"/>
        </w:numPr>
        <w:spacing w:before="40" w:after="40" w:line="240" w:lineRule="auto"/>
      </w:pPr>
      <w:r>
        <w:t>Name of IP(s)</w:t>
      </w:r>
    </w:p>
    <w:p w:rsidR="003340BA" w:rsidRDefault="003340BA" w:rsidP="003340BA">
      <w:pPr>
        <w:pStyle w:val="ListParagraph"/>
        <w:numPr>
          <w:ilvl w:val="0"/>
          <w:numId w:val="17"/>
        </w:numPr>
        <w:spacing w:before="40" w:after="40" w:line="240" w:lineRule="auto"/>
      </w:pPr>
      <w:r>
        <w:t>Name of IP firm</w:t>
      </w:r>
    </w:p>
    <w:p w:rsidR="003340BA" w:rsidRDefault="003340BA" w:rsidP="003340BA">
      <w:pPr>
        <w:pStyle w:val="ListParagraph"/>
        <w:numPr>
          <w:ilvl w:val="0"/>
          <w:numId w:val="17"/>
        </w:numPr>
        <w:spacing w:before="40" w:after="40" w:line="240" w:lineRule="auto"/>
      </w:pPr>
      <w:r>
        <w:t>IP’s remuneration (not expenses)</w:t>
      </w:r>
    </w:p>
    <w:p w:rsidR="003340BA" w:rsidRDefault="003340BA" w:rsidP="003340BA">
      <w:pPr>
        <w:pStyle w:val="ListParagraph"/>
        <w:numPr>
          <w:ilvl w:val="0"/>
          <w:numId w:val="17"/>
        </w:numPr>
        <w:spacing w:before="40" w:after="40" w:line="240" w:lineRule="auto"/>
      </w:pPr>
      <w:r>
        <w:t>IP’s involvement prior to the pre-pack</w:t>
      </w:r>
    </w:p>
    <w:p w:rsidR="003340BA" w:rsidRDefault="003340BA" w:rsidP="003340BA">
      <w:pPr>
        <w:spacing w:before="40" w:after="40" w:line="240" w:lineRule="auto"/>
      </w:pPr>
    </w:p>
    <w:p w:rsidR="003340BA" w:rsidRDefault="003340BA" w:rsidP="003340BA">
      <w:pPr>
        <w:spacing w:before="40" w:after="40" w:line="240" w:lineRule="auto"/>
      </w:pPr>
      <w:r>
        <w:t>5. General information on the pre-pack sale</w:t>
      </w:r>
    </w:p>
    <w:p w:rsidR="003340BA" w:rsidRDefault="003340BA" w:rsidP="003340BA">
      <w:pPr>
        <w:pStyle w:val="ListParagraph"/>
        <w:numPr>
          <w:ilvl w:val="0"/>
          <w:numId w:val="18"/>
        </w:numPr>
        <w:spacing w:before="40" w:after="40" w:line="240" w:lineRule="auto"/>
      </w:pPr>
      <w:r>
        <w:t>Name of purchaser</w:t>
      </w:r>
    </w:p>
    <w:p w:rsidR="003340BA" w:rsidRDefault="003340BA" w:rsidP="003340BA">
      <w:pPr>
        <w:pStyle w:val="ListParagraph"/>
        <w:numPr>
          <w:ilvl w:val="0"/>
          <w:numId w:val="18"/>
        </w:numPr>
        <w:spacing w:before="40" w:after="40" w:line="240" w:lineRule="auto"/>
      </w:pPr>
      <w:r>
        <w:t>Purchase price of the business</w:t>
      </w:r>
    </w:p>
    <w:p w:rsidR="003340BA" w:rsidRDefault="003340BA" w:rsidP="003340BA">
      <w:pPr>
        <w:pStyle w:val="ListParagraph"/>
        <w:numPr>
          <w:ilvl w:val="0"/>
          <w:numId w:val="18"/>
        </w:numPr>
        <w:spacing w:before="40" w:after="40" w:line="240" w:lineRule="auto"/>
      </w:pPr>
      <w:r>
        <w:t>Whether the sale was to a connected party</w:t>
      </w:r>
    </w:p>
    <w:p w:rsidR="003340BA" w:rsidRDefault="003340BA" w:rsidP="003340BA">
      <w:pPr>
        <w:pStyle w:val="ListParagraph"/>
        <w:numPr>
          <w:ilvl w:val="0"/>
          <w:numId w:val="18"/>
        </w:numPr>
        <w:spacing w:before="40" w:after="40" w:line="240" w:lineRule="auto"/>
      </w:pPr>
      <w:r>
        <w:t>Whether deferred consideration was payable, the extent and timing of that deferred consideration and whether there was:</w:t>
      </w:r>
    </w:p>
    <w:p w:rsidR="003340BA" w:rsidRDefault="003340BA" w:rsidP="003340BA">
      <w:pPr>
        <w:pStyle w:val="ListParagraph"/>
        <w:numPr>
          <w:ilvl w:val="0"/>
          <w:numId w:val="19"/>
        </w:numPr>
        <w:spacing w:before="40" w:after="40" w:line="240" w:lineRule="auto"/>
      </w:pPr>
      <w:r>
        <w:t>Full payment of the deferred consideration; or</w:t>
      </w:r>
    </w:p>
    <w:p w:rsidR="003340BA" w:rsidRDefault="003340BA" w:rsidP="003340BA">
      <w:pPr>
        <w:pStyle w:val="ListParagraph"/>
        <w:numPr>
          <w:ilvl w:val="0"/>
          <w:numId w:val="19"/>
        </w:numPr>
        <w:spacing w:before="40" w:after="40" w:line="240" w:lineRule="auto"/>
      </w:pPr>
      <w:r>
        <w:t>Part payment and what proportion of total payment did deferred represent</w:t>
      </w:r>
    </w:p>
    <w:p w:rsidR="003340BA" w:rsidRDefault="003340BA" w:rsidP="003340BA">
      <w:pPr>
        <w:pStyle w:val="ListParagraph"/>
        <w:numPr>
          <w:ilvl w:val="0"/>
          <w:numId w:val="18"/>
        </w:numPr>
        <w:spacing w:before="40" w:after="40" w:line="240" w:lineRule="auto"/>
      </w:pPr>
      <w:r>
        <w:t>If there was an element of deferred consideration, whether the IP took steps to secure that consideration (charge, personal guarantee etc)</w:t>
      </w:r>
    </w:p>
    <w:p w:rsidR="003340BA" w:rsidRDefault="003340BA" w:rsidP="003340BA">
      <w:pPr>
        <w:pStyle w:val="ListParagraph"/>
        <w:numPr>
          <w:ilvl w:val="0"/>
          <w:numId w:val="18"/>
        </w:numPr>
        <w:spacing w:before="40" w:after="40" w:line="240" w:lineRule="auto"/>
      </w:pPr>
      <w:r>
        <w:t>Whether there was any marketing of the business prior to the pre-pack and if so, the form it took and its duration</w:t>
      </w:r>
    </w:p>
    <w:p w:rsidR="003340BA" w:rsidRDefault="003340BA" w:rsidP="003340BA">
      <w:pPr>
        <w:pStyle w:val="ListParagraph"/>
        <w:numPr>
          <w:ilvl w:val="0"/>
          <w:numId w:val="18"/>
        </w:numPr>
        <w:spacing w:before="40" w:after="40" w:line="240" w:lineRule="auto"/>
      </w:pPr>
      <w:r>
        <w:t>Whether the purchaser has subsequently entered an insolvency procedure, if so, the type of procedure and the identity of the IP(s)</w:t>
      </w:r>
    </w:p>
    <w:p w:rsidR="003340BA" w:rsidRDefault="003340BA" w:rsidP="003340BA">
      <w:pPr>
        <w:spacing w:before="40" w:after="40" w:line="240" w:lineRule="auto"/>
      </w:pPr>
    </w:p>
    <w:p w:rsidR="003340BA" w:rsidRDefault="003340BA" w:rsidP="003340BA">
      <w:pPr>
        <w:spacing w:before="40" w:after="40" w:line="240" w:lineRule="auto"/>
      </w:pPr>
      <w:r>
        <w:t xml:space="preserve">6. Whether there was a dividend to creditors and the amount of the dividend: - </w:t>
      </w:r>
    </w:p>
    <w:p w:rsidR="003340BA" w:rsidRDefault="003340BA" w:rsidP="003340BA">
      <w:pPr>
        <w:pStyle w:val="ListParagraph"/>
        <w:numPr>
          <w:ilvl w:val="0"/>
          <w:numId w:val="21"/>
        </w:numPr>
        <w:spacing w:before="40" w:after="40" w:line="240" w:lineRule="auto"/>
      </w:pPr>
      <w:r>
        <w:t>Fixed charge holders</w:t>
      </w:r>
    </w:p>
    <w:p w:rsidR="003340BA" w:rsidRDefault="003340BA" w:rsidP="003340BA">
      <w:pPr>
        <w:pStyle w:val="ListParagraph"/>
        <w:numPr>
          <w:ilvl w:val="0"/>
          <w:numId w:val="21"/>
        </w:numPr>
        <w:spacing w:before="40" w:after="40" w:line="240" w:lineRule="auto"/>
      </w:pPr>
      <w:r>
        <w:t>Preferential creditors</w:t>
      </w:r>
    </w:p>
    <w:p w:rsidR="003340BA" w:rsidRDefault="003340BA" w:rsidP="003340BA">
      <w:pPr>
        <w:pStyle w:val="ListParagraph"/>
        <w:numPr>
          <w:ilvl w:val="0"/>
          <w:numId w:val="21"/>
        </w:numPr>
        <w:spacing w:before="40" w:after="40" w:line="240" w:lineRule="auto"/>
      </w:pPr>
      <w:r>
        <w:t xml:space="preserve">Floating charge holders </w:t>
      </w:r>
    </w:p>
    <w:p w:rsidR="003340BA" w:rsidRDefault="003340BA" w:rsidP="003340BA">
      <w:pPr>
        <w:pStyle w:val="ListParagraph"/>
        <w:numPr>
          <w:ilvl w:val="0"/>
          <w:numId w:val="21"/>
        </w:numPr>
        <w:spacing w:before="40" w:after="40" w:line="240" w:lineRule="auto"/>
      </w:pPr>
      <w:r>
        <w:t>Unsecured  creditors</w:t>
      </w:r>
      <w:r w:rsidR="0074469B">
        <w:t xml:space="preserve"> (collectively and with a separate consideration of the position of HMRC)</w:t>
      </w:r>
    </w:p>
    <w:p w:rsidR="003340BA" w:rsidRDefault="003340BA" w:rsidP="003340BA">
      <w:pPr>
        <w:pStyle w:val="ListParagraph"/>
        <w:numPr>
          <w:ilvl w:val="0"/>
          <w:numId w:val="22"/>
        </w:numPr>
        <w:spacing w:before="40" w:after="40" w:line="240" w:lineRule="auto"/>
      </w:pPr>
      <w:r>
        <w:t>Whether there was a payment via the prescribed part and the amount of that payment, including whether or not the £600,000 cap came into force</w:t>
      </w:r>
    </w:p>
    <w:p w:rsidR="003340BA" w:rsidRDefault="003340BA" w:rsidP="003340BA">
      <w:pPr>
        <w:spacing w:before="40" w:after="40" w:line="240" w:lineRule="auto"/>
      </w:pPr>
    </w:p>
    <w:p w:rsidR="0074469B" w:rsidRDefault="0074469B">
      <w:pPr>
        <w:spacing w:line="240" w:lineRule="auto"/>
        <w:rPr>
          <w:i/>
        </w:rPr>
      </w:pPr>
      <w:r>
        <w:rPr>
          <w:i/>
        </w:rPr>
        <w:br w:type="page"/>
      </w:r>
    </w:p>
    <w:p w:rsidR="003340BA" w:rsidRPr="003340BA" w:rsidRDefault="003340BA" w:rsidP="003340BA">
      <w:pPr>
        <w:spacing w:before="40" w:after="40" w:line="240" w:lineRule="auto"/>
        <w:rPr>
          <w:i/>
        </w:rPr>
      </w:pPr>
      <w:r w:rsidRPr="003340BA">
        <w:rPr>
          <w:i/>
        </w:rPr>
        <w:lastRenderedPageBreak/>
        <w:t xml:space="preserve">Part A2 </w:t>
      </w:r>
    </w:p>
    <w:p w:rsidR="003340BA" w:rsidRDefault="003340BA" w:rsidP="003340BA">
      <w:pPr>
        <w:spacing w:before="40" w:after="40" w:line="240" w:lineRule="auto"/>
      </w:pPr>
    </w:p>
    <w:p w:rsidR="003340BA" w:rsidRDefault="003340BA" w:rsidP="003340BA">
      <w:pPr>
        <w:spacing w:before="40" w:after="40" w:line="240" w:lineRule="auto"/>
      </w:pPr>
      <w:r>
        <w:t>Regression analysis of pre-pack insolvencies to assess the procedure’s ability to deliver viable purchasing companies</w:t>
      </w:r>
      <w:r w:rsidR="0074469B">
        <w:t>.</w:t>
      </w:r>
    </w:p>
    <w:p w:rsidR="003340BA" w:rsidRDefault="003340BA" w:rsidP="003340BA">
      <w:pPr>
        <w:spacing w:before="40" w:after="40" w:line="240" w:lineRule="auto"/>
      </w:pPr>
    </w:p>
    <w:p w:rsidR="003340BA" w:rsidRDefault="003340BA" w:rsidP="003340BA">
      <w:pPr>
        <w:spacing w:before="40" w:after="40" w:line="240" w:lineRule="auto"/>
      </w:pPr>
      <w:r>
        <w:t xml:space="preserve">This part of the study looks at the </w:t>
      </w:r>
      <w:r w:rsidR="00F27AB2">
        <w:t xml:space="preserve">failure </w:t>
      </w:r>
      <w:r>
        <w:t xml:space="preserve">rates of purchasers from a pre-pack and identifies which characteristics change the chances of </w:t>
      </w:r>
      <w:r w:rsidR="00F27AB2">
        <w:t>failure</w:t>
      </w:r>
      <w:r>
        <w:t>. The dependent variable in the regression analysis is a binary variable measuring whether the purchaser is continuing in operation (</w:t>
      </w:r>
      <w:r w:rsidR="00F27AB2">
        <w:t>0</w:t>
      </w:r>
      <w:r>
        <w:t>) or has succumbed to a further insolvency procedure or ceased trading (</w:t>
      </w:r>
      <w:r w:rsidR="00F27AB2">
        <w:t>1</w:t>
      </w:r>
      <w:r>
        <w:t>). The independent variables are:</w:t>
      </w:r>
    </w:p>
    <w:p w:rsidR="003340BA" w:rsidRDefault="003340BA" w:rsidP="003340BA">
      <w:pPr>
        <w:spacing w:before="40" w:after="40" w:line="240" w:lineRule="auto"/>
      </w:pPr>
    </w:p>
    <w:p w:rsidR="003340BA" w:rsidRDefault="003340BA" w:rsidP="003340BA">
      <w:pPr>
        <w:pStyle w:val="ListParagraph"/>
        <w:numPr>
          <w:ilvl w:val="0"/>
          <w:numId w:val="22"/>
        </w:numPr>
        <w:spacing w:before="40" w:after="40" w:line="240" w:lineRule="auto"/>
      </w:pPr>
      <w:r>
        <w:t>Whether the sale was to a connected party</w:t>
      </w:r>
    </w:p>
    <w:p w:rsidR="003340BA" w:rsidRDefault="003340BA" w:rsidP="003340BA">
      <w:pPr>
        <w:pStyle w:val="ListParagraph"/>
        <w:numPr>
          <w:ilvl w:val="0"/>
          <w:numId w:val="22"/>
        </w:numPr>
        <w:spacing w:before="40" w:after="40" w:line="240" w:lineRule="auto"/>
      </w:pPr>
      <w:r>
        <w:t>Whether there was deferred consideration and the payment period</w:t>
      </w:r>
    </w:p>
    <w:p w:rsidR="003340BA" w:rsidRDefault="003340BA" w:rsidP="003340BA">
      <w:pPr>
        <w:pStyle w:val="ListParagraph"/>
        <w:numPr>
          <w:ilvl w:val="0"/>
          <w:numId w:val="22"/>
        </w:numPr>
        <w:spacing w:before="40" w:after="40" w:line="240" w:lineRule="auto"/>
      </w:pPr>
      <w:r>
        <w:t>Size of the company pre-packed (turnover and employee numbers)</w:t>
      </w:r>
    </w:p>
    <w:p w:rsidR="003340BA" w:rsidRDefault="003340BA" w:rsidP="003340BA">
      <w:pPr>
        <w:pStyle w:val="ListParagraph"/>
        <w:numPr>
          <w:ilvl w:val="0"/>
          <w:numId w:val="22"/>
        </w:numPr>
        <w:spacing w:before="40" w:after="40" w:line="240" w:lineRule="auto"/>
      </w:pPr>
      <w:r>
        <w:t>Age of business prior to pre-pack</w:t>
      </w:r>
    </w:p>
    <w:p w:rsidR="003340BA" w:rsidRDefault="003340BA" w:rsidP="003340BA">
      <w:pPr>
        <w:pStyle w:val="ListParagraph"/>
        <w:numPr>
          <w:ilvl w:val="0"/>
          <w:numId w:val="22"/>
        </w:numPr>
        <w:spacing w:before="40" w:after="40" w:line="240" w:lineRule="auto"/>
      </w:pPr>
      <w:r>
        <w:t>Purchase price</w:t>
      </w:r>
    </w:p>
    <w:p w:rsidR="003340BA" w:rsidRDefault="003340BA" w:rsidP="003340BA">
      <w:pPr>
        <w:spacing w:before="40" w:after="40" w:line="240" w:lineRule="auto"/>
      </w:pPr>
    </w:p>
    <w:p w:rsidR="003340BA" w:rsidRDefault="003340BA" w:rsidP="003340BA">
      <w:pPr>
        <w:spacing w:before="40" w:after="40" w:line="240" w:lineRule="auto"/>
      </w:pPr>
      <w:r>
        <w:t>The timing of the independent variable relative to the data in the dependent variable is considered at 12 months, 24 months and 36 months.</w:t>
      </w:r>
    </w:p>
    <w:p w:rsidR="003340BA" w:rsidRDefault="003340BA" w:rsidP="003340BA">
      <w:pPr>
        <w:spacing w:before="40" w:after="40" w:line="240" w:lineRule="auto"/>
      </w:pPr>
    </w:p>
    <w:p w:rsidR="003340BA" w:rsidRPr="003340BA" w:rsidRDefault="003340BA" w:rsidP="003340BA">
      <w:pPr>
        <w:spacing w:before="40" w:after="40" w:line="240" w:lineRule="auto"/>
        <w:rPr>
          <w:i/>
        </w:rPr>
      </w:pPr>
      <w:r w:rsidRPr="003340BA">
        <w:rPr>
          <w:i/>
        </w:rPr>
        <w:t>Part B Counterfactual – Administration with Going Concern Sale</w:t>
      </w:r>
    </w:p>
    <w:p w:rsidR="003340BA" w:rsidRPr="003340BA" w:rsidRDefault="003340BA" w:rsidP="003340BA">
      <w:pPr>
        <w:spacing w:before="40" w:after="40" w:line="240" w:lineRule="auto"/>
        <w:rPr>
          <w:i/>
        </w:rPr>
      </w:pPr>
    </w:p>
    <w:p w:rsidR="003340BA" w:rsidRPr="003340BA" w:rsidRDefault="003340BA" w:rsidP="003340BA">
      <w:pPr>
        <w:spacing w:before="40" w:after="40" w:line="240" w:lineRule="auto"/>
        <w:rPr>
          <w:i/>
        </w:rPr>
      </w:pPr>
      <w:r w:rsidRPr="003340BA">
        <w:rPr>
          <w:i/>
        </w:rPr>
        <w:t>Part B1</w:t>
      </w:r>
    </w:p>
    <w:p w:rsidR="003340BA" w:rsidRDefault="003340BA" w:rsidP="003340BA">
      <w:pPr>
        <w:spacing w:before="40" w:after="40" w:line="240" w:lineRule="auto"/>
      </w:pPr>
    </w:p>
    <w:p w:rsidR="003340BA" w:rsidRDefault="003340BA" w:rsidP="003340BA">
      <w:pPr>
        <w:spacing w:before="40" w:after="40" w:line="240" w:lineRule="auto"/>
      </w:pPr>
      <w:r>
        <w:t>The following data were collected for the 100 traditional administrations where there was a business sale as a going concern:</w:t>
      </w:r>
    </w:p>
    <w:p w:rsidR="003340BA" w:rsidRDefault="003340BA" w:rsidP="003340BA">
      <w:pPr>
        <w:spacing w:before="40" w:after="40" w:line="240" w:lineRule="auto"/>
      </w:pPr>
    </w:p>
    <w:p w:rsidR="003340BA" w:rsidRDefault="003340BA" w:rsidP="003340BA">
      <w:pPr>
        <w:spacing w:before="40" w:after="40" w:line="240" w:lineRule="auto"/>
      </w:pPr>
      <w:r>
        <w:t>1. Characteristics of company being in administration</w:t>
      </w:r>
    </w:p>
    <w:p w:rsidR="003340BA" w:rsidRDefault="003340BA" w:rsidP="003340BA">
      <w:pPr>
        <w:pStyle w:val="ListParagraph"/>
        <w:numPr>
          <w:ilvl w:val="0"/>
          <w:numId w:val="26"/>
        </w:numPr>
        <w:spacing w:before="40" w:after="40" w:line="240" w:lineRule="auto"/>
      </w:pPr>
      <w:r>
        <w:t xml:space="preserve">Name and registered number of company </w:t>
      </w:r>
    </w:p>
    <w:p w:rsidR="003340BA" w:rsidRDefault="003340BA" w:rsidP="003340BA">
      <w:pPr>
        <w:pStyle w:val="ListParagraph"/>
        <w:numPr>
          <w:ilvl w:val="0"/>
          <w:numId w:val="26"/>
        </w:numPr>
        <w:spacing w:before="40" w:after="40" w:line="240" w:lineRule="auto"/>
      </w:pPr>
      <w:r>
        <w:t>Sector (SIC 2003 codes</w:t>
      </w:r>
      <w:r w:rsidR="0074469B" w:rsidRPr="0074469B">
        <w:t xml:space="preserve"> subsequently converted to SIC 2007 codes for the purpose of analysis</w:t>
      </w:r>
      <w:r>
        <w:t>)</w:t>
      </w:r>
    </w:p>
    <w:p w:rsidR="003340BA" w:rsidRDefault="003340BA" w:rsidP="003340BA">
      <w:pPr>
        <w:pStyle w:val="ListParagraph"/>
        <w:numPr>
          <w:ilvl w:val="0"/>
          <w:numId w:val="26"/>
        </w:numPr>
        <w:spacing w:before="40" w:after="40" w:line="240" w:lineRule="auto"/>
      </w:pPr>
      <w:r>
        <w:t xml:space="preserve">Size of company - both: </w:t>
      </w:r>
    </w:p>
    <w:p w:rsidR="003340BA" w:rsidRDefault="003340BA" w:rsidP="003340BA">
      <w:pPr>
        <w:pStyle w:val="ListParagraph"/>
        <w:numPr>
          <w:ilvl w:val="0"/>
          <w:numId w:val="24"/>
        </w:numPr>
        <w:spacing w:before="40" w:after="40" w:line="240" w:lineRule="auto"/>
      </w:pPr>
      <w:r>
        <w:t>Number of employees; and</w:t>
      </w:r>
    </w:p>
    <w:p w:rsidR="003340BA" w:rsidRDefault="003340BA" w:rsidP="003340BA">
      <w:pPr>
        <w:pStyle w:val="ListParagraph"/>
        <w:numPr>
          <w:ilvl w:val="0"/>
          <w:numId w:val="24"/>
        </w:numPr>
        <w:spacing w:before="40" w:after="40" w:line="240" w:lineRule="auto"/>
      </w:pPr>
      <w:r>
        <w:t>Turnover</w:t>
      </w:r>
    </w:p>
    <w:p w:rsidR="003340BA" w:rsidRDefault="003340BA" w:rsidP="003340BA">
      <w:pPr>
        <w:pStyle w:val="ListParagraph"/>
        <w:numPr>
          <w:ilvl w:val="0"/>
          <w:numId w:val="26"/>
        </w:numPr>
        <w:spacing w:before="40" w:after="40" w:line="240" w:lineRule="auto"/>
      </w:pPr>
      <w:r>
        <w:t>Reason(s) for failure</w:t>
      </w:r>
    </w:p>
    <w:p w:rsidR="003340BA" w:rsidRDefault="003340BA" w:rsidP="003340BA">
      <w:pPr>
        <w:pStyle w:val="ListParagraph"/>
        <w:numPr>
          <w:ilvl w:val="0"/>
          <w:numId w:val="26"/>
        </w:numPr>
        <w:spacing w:before="40" w:after="40" w:line="240" w:lineRule="auto"/>
      </w:pPr>
      <w:r>
        <w:t>Whether company part of a group</w:t>
      </w:r>
    </w:p>
    <w:p w:rsidR="003340BA" w:rsidRDefault="003340BA" w:rsidP="003340BA">
      <w:pPr>
        <w:pStyle w:val="ListParagraph"/>
        <w:numPr>
          <w:ilvl w:val="0"/>
          <w:numId w:val="26"/>
        </w:numPr>
        <w:spacing w:before="40" w:after="40" w:line="240" w:lineRule="auto"/>
      </w:pPr>
      <w:r>
        <w:t>Length of time company had existed prior to insolvency</w:t>
      </w:r>
    </w:p>
    <w:p w:rsidR="003340BA" w:rsidRDefault="003340BA" w:rsidP="003340BA">
      <w:pPr>
        <w:spacing w:before="40" w:after="40" w:line="240" w:lineRule="auto"/>
      </w:pPr>
    </w:p>
    <w:p w:rsidR="003340BA" w:rsidRDefault="003340BA" w:rsidP="003340BA">
      <w:pPr>
        <w:spacing w:before="40" w:after="40" w:line="240" w:lineRule="auto"/>
      </w:pPr>
      <w:r>
        <w:t>2. Amount owed to creditors broken down into:</w:t>
      </w:r>
    </w:p>
    <w:p w:rsidR="003340BA" w:rsidRDefault="003340BA" w:rsidP="003340BA">
      <w:pPr>
        <w:pStyle w:val="ListParagraph"/>
        <w:numPr>
          <w:ilvl w:val="0"/>
          <w:numId w:val="28"/>
        </w:numPr>
        <w:spacing w:before="40" w:after="40" w:line="240" w:lineRule="auto"/>
      </w:pPr>
      <w:r>
        <w:t>Fixed charge holders</w:t>
      </w:r>
    </w:p>
    <w:p w:rsidR="003340BA" w:rsidRDefault="003340BA" w:rsidP="003340BA">
      <w:pPr>
        <w:pStyle w:val="ListParagraph"/>
        <w:numPr>
          <w:ilvl w:val="0"/>
          <w:numId w:val="28"/>
        </w:numPr>
        <w:spacing w:before="40" w:after="40" w:line="240" w:lineRule="auto"/>
      </w:pPr>
      <w:r>
        <w:t>Preferential creditors</w:t>
      </w:r>
    </w:p>
    <w:p w:rsidR="003340BA" w:rsidRDefault="003340BA" w:rsidP="003340BA">
      <w:pPr>
        <w:pStyle w:val="ListParagraph"/>
        <w:numPr>
          <w:ilvl w:val="0"/>
          <w:numId w:val="28"/>
        </w:numPr>
        <w:spacing w:before="40" w:after="40" w:line="240" w:lineRule="auto"/>
      </w:pPr>
      <w:r>
        <w:t>Floating charge holders</w:t>
      </w:r>
    </w:p>
    <w:p w:rsidR="003340BA" w:rsidRDefault="003340BA" w:rsidP="003340BA">
      <w:pPr>
        <w:pStyle w:val="ListParagraph"/>
        <w:numPr>
          <w:ilvl w:val="0"/>
          <w:numId w:val="28"/>
        </w:numPr>
        <w:spacing w:before="40" w:after="40" w:line="240" w:lineRule="auto"/>
      </w:pPr>
      <w:r>
        <w:t xml:space="preserve">Unsecured creditors (including a separate figure where available showing money owed to HMRC) </w:t>
      </w:r>
    </w:p>
    <w:p w:rsidR="003340BA" w:rsidRDefault="003340BA" w:rsidP="003340BA">
      <w:pPr>
        <w:pStyle w:val="ListParagraph"/>
        <w:numPr>
          <w:ilvl w:val="0"/>
          <w:numId w:val="28"/>
        </w:numPr>
        <w:spacing w:before="40" w:after="40" w:line="240" w:lineRule="auto"/>
      </w:pPr>
      <w:r>
        <w:t>Total</w:t>
      </w:r>
    </w:p>
    <w:p w:rsidR="003340BA" w:rsidRDefault="003340BA" w:rsidP="003340BA">
      <w:pPr>
        <w:spacing w:before="40" w:after="40" w:line="240" w:lineRule="auto"/>
      </w:pPr>
    </w:p>
    <w:p w:rsidR="003340BA" w:rsidRDefault="003340BA" w:rsidP="003340BA">
      <w:pPr>
        <w:spacing w:before="40" w:after="40" w:line="240" w:lineRule="auto"/>
      </w:pPr>
      <w:r>
        <w:t xml:space="preserve">3. Estimated Realisable Value of company assets (statement of affairs values) </w:t>
      </w:r>
    </w:p>
    <w:p w:rsidR="003340BA" w:rsidRDefault="003340BA" w:rsidP="003340BA">
      <w:pPr>
        <w:spacing w:before="40" w:after="40" w:line="240" w:lineRule="auto"/>
      </w:pPr>
    </w:p>
    <w:p w:rsidR="003340BA" w:rsidRDefault="003340BA" w:rsidP="003340BA">
      <w:pPr>
        <w:spacing w:before="40" w:after="40" w:line="240" w:lineRule="auto"/>
      </w:pPr>
      <w:r>
        <w:t>4. Information about the IP</w:t>
      </w:r>
      <w:r w:rsidR="0074469B">
        <w:t xml:space="preserve"> </w:t>
      </w:r>
      <w:r>
        <w:t>carrying out the procedure</w:t>
      </w:r>
    </w:p>
    <w:p w:rsidR="003340BA" w:rsidRDefault="003340BA" w:rsidP="003340BA">
      <w:pPr>
        <w:pStyle w:val="ListParagraph"/>
        <w:numPr>
          <w:ilvl w:val="0"/>
          <w:numId w:val="29"/>
        </w:numPr>
        <w:spacing w:before="40" w:after="40" w:line="240" w:lineRule="auto"/>
      </w:pPr>
      <w:r>
        <w:t>Name of IP(s)</w:t>
      </w:r>
    </w:p>
    <w:p w:rsidR="003340BA" w:rsidRDefault="003340BA" w:rsidP="003340BA">
      <w:pPr>
        <w:pStyle w:val="ListParagraph"/>
        <w:numPr>
          <w:ilvl w:val="0"/>
          <w:numId w:val="29"/>
        </w:numPr>
        <w:spacing w:before="40" w:after="40" w:line="240" w:lineRule="auto"/>
      </w:pPr>
      <w:r>
        <w:t>Name of IP firm</w:t>
      </w:r>
    </w:p>
    <w:p w:rsidR="003340BA" w:rsidRDefault="003340BA" w:rsidP="003340BA">
      <w:pPr>
        <w:pStyle w:val="ListParagraph"/>
        <w:numPr>
          <w:ilvl w:val="0"/>
          <w:numId w:val="29"/>
        </w:numPr>
        <w:spacing w:before="40" w:after="40" w:line="240" w:lineRule="auto"/>
      </w:pPr>
      <w:r>
        <w:t>IP’s remuneration (not expenses)</w:t>
      </w:r>
    </w:p>
    <w:p w:rsidR="003340BA" w:rsidRDefault="003340BA" w:rsidP="003340BA">
      <w:pPr>
        <w:spacing w:before="40" w:after="40" w:line="240" w:lineRule="auto"/>
      </w:pPr>
    </w:p>
    <w:p w:rsidR="003340BA" w:rsidRDefault="003340BA" w:rsidP="003340BA">
      <w:pPr>
        <w:spacing w:before="40" w:after="40" w:line="240" w:lineRule="auto"/>
      </w:pPr>
      <w:r>
        <w:t>5. General information on the trading administration sale</w:t>
      </w:r>
    </w:p>
    <w:p w:rsidR="003340BA" w:rsidRDefault="003340BA" w:rsidP="003340BA">
      <w:pPr>
        <w:pStyle w:val="ListParagraph"/>
        <w:numPr>
          <w:ilvl w:val="0"/>
          <w:numId w:val="30"/>
        </w:numPr>
        <w:spacing w:before="40" w:after="40" w:line="240" w:lineRule="auto"/>
      </w:pPr>
      <w:r>
        <w:t>Name of purchaser</w:t>
      </w:r>
    </w:p>
    <w:p w:rsidR="003340BA" w:rsidRDefault="003340BA" w:rsidP="003340BA">
      <w:pPr>
        <w:pStyle w:val="ListParagraph"/>
        <w:numPr>
          <w:ilvl w:val="0"/>
          <w:numId w:val="30"/>
        </w:numPr>
        <w:spacing w:before="40" w:after="40" w:line="240" w:lineRule="auto"/>
      </w:pPr>
      <w:r>
        <w:t>Purchase price of the business</w:t>
      </w:r>
    </w:p>
    <w:p w:rsidR="003340BA" w:rsidRDefault="003340BA" w:rsidP="003340BA">
      <w:pPr>
        <w:pStyle w:val="ListParagraph"/>
        <w:numPr>
          <w:ilvl w:val="0"/>
          <w:numId w:val="30"/>
        </w:numPr>
        <w:spacing w:before="40" w:after="40" w:line="240" w:lineRule="auto"/>
      </w:pPr>
      <w:r>
        <w:t>Whether the sale was to a connected party</w:t>
      </w:r>
    </w:p>
    <w:p w:rsidR="003340BA" w:rsidRDefault="003340BA" w:rsidP="003340BA">
      <w:pPr>
        <w:pStyle w:val="ListParagraph"/>
        <w:numPr>
          <w:ilvl w:val="0"/>
          <w:numId w:val="30"/>
        </w:numPr>
        <w:spacing w:before="40" w:after="40" w:line="240" w:lineRule="auto"/>
      </w:pPr>
      <w:r>
        <w:t>Whether deferred consideration was paid, the extent and timing of that deferred consideration and whether it was paid in full</w:t>
      </w:r>
    </w:p>
    <w:p w:rsidR="003340BA" w:rsidRDefault="003340BA" w:rsidP="003340BA">
      <w:pPr>
        <w:pStyle w:val="ListParagraph"/>
        <w:numPr>
          <w:ilvl w:val="0"/>
          <w:numId w:val="30"/>
        </w:numPr>
        <w:spacing w:before="40" w:after="40" w:line="240" w:lineRule="auto"/>
      </w:pPr>
      <w:r>
        <w:t>Whether the purchaser has subsequently entered an insolvency procedure, if so, the type of procedure and the identity of the IP(s)</w:t>
      </w:r>
    </w:p>
    <w:p w:rsidR="003340BA" w:rsidRDefault="003340BA" w:rsidP="003340BA">
      <w:pPr>
        <w:spacing w:before="40" w:after="40" w:line="240" w:lineRule="auto"/>
      </w:pPr>
      <w:r>
        <w:tab/>
      </w:r>
    </w:p>
    <w:p w:rsidR="003340BA" w:rsidRDefault="003340BA" w:rsidP="003340BA">
      <w:pPr>
        <w:spacing w:before="40" w:after="40" w:line="240" w:lineRule="auto"/>
      </w:pPr>
      <w:r>
        <w:t xml:space="preserve">6. Whether there was a dividend to creditors and the amount of the dividend: - </w:t>
      </w:r>
    </w:p>
    <w:p w:rsidR="003340BA" w:rsidRDefault="003340BA" w:rsidP="003340BA">
      <w:pPr>
        <w:pStyle w:val="ListParagraph"/>
        <w:numPr>
          <w:ilvl w:val="0"/>
          <w:numId w:val="31"/>
        </w:numPr>
        <w:spacing w:before="40" w:after="40" w:line="240" w:lineRule="auto"/>
      </w:pPr>
      <w:r>
        <w:t>Fixed charge</w:t>
      </w:r>
      <w:r w:rsidR="006618CF">
        <w:t xml:space="preserve"> </w:t>
      </w:r>
      <w:r>
        <w:t>holders</w:t>
      </w:r>
    </w:p>
    <w:p w:rsidR="003340BA" w:rsidRDefault="003340BA" w:rsidP="003340BA">
      <w:pPr>
        <w:pStyle w:val="ListParagraph"/>
        <w:numPr>
          <w:ilvl w:val="0"/>
          <w:numId w:val="31"/>
        </w:numPr>
        <w:spacing w:before="40" w:after="40" w:line="240" w:lineRule="auto"/>
      </w:pPr>
      <w:r>
        <w:t>Preferential</w:t>
      </w:r>
    </w:p>
    <w:p w:rsidR="003340BA" w:rsidRDefault="003340BA" w:rsidP="003340BA">
      <w:pPr>
        <w:pStyle w:val="ListParagraph"/>
        <w:numPr>
          <w:ilvl w:val="0"/>
          <w:numId w:val="31"/>
        </w:numPr>
        <w:spacing w:before="40" w:after="40" w:line="240" w:lineRule="auto"/>
      </w:pPr>
      <w:r>
        <w:t>Floating charge</w:t>
      </w:r>
      <w:r w:rsidR="006618CF">
        <w:t xml:space="preserve"> </w:t>
      </w:r>
      <w:r>
        <w:t xml:space="preserve">holders </w:t>
      </w:r>
    </w:p>
    <w:p w:rsidR="003340BA" w:rsidRDefault="003340BA" w:rsidP="003340BA">
      <w:pPr>
        <w:pStyle w:val="ListParagraph"/>
        <w:numPr>
          <w:ilvl w:val="0"/>
          <w:numId w:val="31"/>
        </w:numPr>
        <w:spacing w:before="40" w:after="40" w:line="240" w:lineRule="auto"/>
      </w:pPr>
      <w:r>
        <w:t>Unsecured creditors</w:t>
      </w:r>
    </w:p>
    <w:p w:rsidR="003340BA" w:rsidRDefault="003340BA" w:rsidP="003340BA">
      <w:pPr>
        <w:spacing w:before="40" w:after="40" w:line="240" w:lineRule="auto"/>
      </w:pPr>
    </w:p>
    <w:p w:rsidR="003340BA" w:rsidRDefault="003340BA" w:rsidP="003340BA">
      <w:pPr>
        <w:pStyle w:val="TableHeading"/>
        <w:spacing w:line="240" w:lineRule="auto"/>
        <w:rPr>
          <w:b w:val="0"/>
          <w:bCs/>
          <w:i/>
          <w:sz w:val="24"/>
          <w:szCs w:val="24"/>
        </w:rPr>
      </w:pPr>
      <w:r w:rsidRPr="00F8734C">
        <w:rPr>
          <w:b w:val="0"/>
          <w:bCs/>
          <w:i/>
          <w:sz w:val="24"/>
          <w:szCs w:val="24"/>
        </w:rPr>
        <w:t xml:space="preserve">Part </w:t>
      </w:r>
      <w:r>
        <w:rPr>
          <w:b w:val="0"/>
          <w:bCs/>
          <w:i/>
          <w:sz w:val="24"/>
          <w:szCs w:val="24"/>
        </w:rPr>
        <w:t>B</w:t>
      </w:r>
      <w:r w:rsidRPr="00F8734C">
        <w:rPr>
          <w:b w:val="0"/>
          <w:bCs/>
          <w:i/>
          <w:sz w:val="24"/>
          <w:szCs w:val="24"/>
        </w:rPr>
        <w:t xml:space="preserve">2 </w:t>
      </w:r>
    </w:p>
    <w:p w:rsidR="003340BA" w:rsidRPr="00F8734C" w:rsidRDefault="003340BA" w:rsidP="003340BA">
      <w:pPr>
        <w:pStyle w:val="TableHeading"/>
        <w:spacing w:line="240" w:lineRule="auto"/>
        <w:rPr>
          <w:b w:val="0"/>
          <w:bCs/>
          <w:i/>
          <w:sz w:val="24"/>
          <w:szCs w:val="24"/>
        </w:rPr>
      </w:pPr>
    </w:p>
    <w:p w:rsidR="003340BA" w:rsidRPr="00485A26" w:rsidRDefault="003340BA" w:rsidP="003340BA">
      <w:pPr>
        <w:pStyle w:val="TableHeading"/>
        <w:spacing w:line="240" w:lineRule="auto"/>
        <w:rPr>
          <w:b w:val="0"/>
          <w:bCs/>
          <w:sz w:val="24"/>
          <w:szCs w:val="24"/>
        </w:rPr>
      </w:pPr>
      <w:r w:rsidRPr="00485A26">
        <w:rPr>
          <w:b w:val="0"/>
          <w:bCs/>
          <w:sz w:val="24"/>
          <w:szCs w:val="24"/>
        </w:rPr>
        <w:t xml:space="preserve">Regression analysis of </w:t>
      </w:r>
      <w:r>
        <w:rPr>
          <w:b w:val="0"/>
          <w:bCs/>
          <w:sz w:val="24"/>
          <w:szCs w:val="24"/>
        </w:rPr>
        <w:t xml:space="preserve">traditional administration with a going concern sale </w:t>
      </w:r>
      <w:r w:rsidRPr="00485A26">
        <w:rPr>
          <w:b w:val="0"/>
          <w:bCs/>
          <w:sz w:val="24"/>
          <w:szCs w:val="24"/>
        </w:rPr>
        <w:t>to assess the procedure’s ability to deliver viable purchasing companies</w:t>
      </w:r>
      <w:r>
        <w:rPr>
          <w:b w:val="0"/>
          <w:bCs/>
          <w:sz w:val="24"/>
          <w:szCs w:val="24"/>
        </w:rPr>
        <w:t xml:space="preserve"> and compare with the analysis of the pre-pack sample</w:t>
      </w:r>
      <w:r w:rsidR="0074469B">
        <w:rPr>
          <w:b w:val="0"/>
          <w:bCs/>
          <w:sz w:val="24"/>
          <w:szCs w:val="24"/>
        </w:rPr>
        <w:t>.</w:t>
      </w:r>
    </w:p>
    <w:p w:rsidR="003340BA" w:rsidRPr="003C04ED" w:rsidRDefault="003340BA" w:rsidP="003340BA">
      <w:pPr>
        <w:pStyle w:val="TableHeading"/>
        <w:spacing w:line="240" w:lineRule="auto"/>
        <w:rPr>
          <w:b w:val="0"/>
          <w:bCs/>
          <w:sz w:val="24"/>
          <w:szCs w:val="24"/>
        </w:rPr>
      </w:pPr>
    </w:p>
    <w:p w:rsidR="003340BA" w:rsidRDefault="003340BA" w:rsidP="003340BA">
      <w:pPr>
        <w:pStyle w:val="TableHeading"/>
        <w:spacing w:line="240" w:lineRule="auto"/>
        <w:rPr>
          <w:b w:val="0"/>
          <w:bCs/>
          <w:sz w:val="24"/>
          <w:szCs w:val="24"/>
        </w:rPr>
      </w:pPr>
      <w:r w:rsidRPr="003C04ED">
        <w:rPr>
          <w:b w:val="0"/>
          <w:bCs/>
          <w:sz w:val="24"/>
          <w:szCs w:val="24"/>
        </w:rPr>
        <w:t>This part of the study look</w:t>
      </w:r>
      <w:r>
        <w:rPr>
          <w:b w:val="0"/>
          <w:bCs/>
          <w:sz w:val="24"/>
          <w:szCs w:val="24"/>
        </w:rPr>
        <w:t>s</w:t>
      </w:r>
      <w:r w:rsidRPr="003C04ED">
        <w:rPr>
          <w:b w:val="0"/>
          <w:bCs/>
          <w:sz w:val="24"/>
          <w:szCs w:val="24"/>
        </w:rPr>
        <w:t xml:space="preserve"> at the </w:t>
      </w:r>
      <w:r w:rsidR="00F27AB2">
        <w:rPr>
          <w:b w:val="0"/>
          <w:bCs/>
          <w:sz w:val="24"/>
          <w:szCs w:val="24"/>
        </w:rPr>
        <w:t>failure</w:t>
      </w:r>
      <w:r w:rsidR="00F27AB2" w:rsidRPr="003C04ED">
        <w:rPr>
          <w:b w:val="0"/>
          <w:bCs/>
          <w:sz w:val="24"/>
          <w:szCs w:val="24"/>
        </w:rPr>
        <w:t xml:space="preserve"> </w:t>
      </w:r>
      <w:r w:rsidRPr="003C04ED">
        <w:rPr>
          <w:b w:val="0"/>
          <w:bCs/>
          <w:sz w:val="24"/>
          <w:szCs w:val="24"/>
        </w:rPr>
        <w:t xml:space="preserve">rates of </w:t>
      </w:r>
      <w:r>
        <w:rPr>
          <w:b w:val="0"/>
          <w:bCs/>
          <w:sz w:val="24"/>
          <w:szCs w:val="24"/>
        </w:rPr>
        <w:t>purchasers from a traditional administration going concern sale</w:t>
      </w:r>
      <w:r w:rsidRPr="003C04ED">
        <w:rPr>
          <w:b w:val="0"/>
          <w:bCs/>
          <w:sz w:val="24"/>
          <w:szCs w:val="24"/>
        </w:rPr>
        <w:t xml:space="preserve"> and </w:t>
      </w:r>
      <w:r>
        <w:rPr>
          <w:b w:val="0"/>
          <w:bCs/>
          <w:sz w:val="24"/>
          <w:szCs w:val="24"/>
        </w:rPr>
        <w:t xml:space="preserve">identifies which </w:t>
      </w:r>
      <w:r w:rsidRPr="003C04ED">
        <w:rPr>
          <w:b w:val="0"/>
          <w:bCs/>
          <w:sz w:val="24"/>
          <w:szCs w:val="24"/>
        </w:rPr>
        <w:t xml:space="preserve">characteristics change the chances of </w:t>
      </w:r>
      <w:r w:rsidR="00F27AB2">
        <w:rPr>
          <w:b w:val="0"/>
          <w:bCs/>
          <w:sz w:val="24"/>
          <w:szCs w:val="24"/>
        </w:rPr>
        <w:t>failure</w:t>
      </w:r>
      <w:r w:rsidRPr="003C04ED">
        <w:rPr>
          <w:b w:val="0"/>
          <w:bCs/>
          <w:sz w:val="24"/>
          <w:szCs w:val="24"/>
        </w:rPr>
        <w:t>. The dependent variable</w:t>
      </w:r>
      <w:r>
        <w:rPr>
          <w:b w:val="0"/>
          <w:bCs/>
          <w:sz w:val="24"/>
          <w:szCs w:val="24"/>
        </w:rPr>
        <w:t xml:space="preserve"> </w:t>
      </w:r>
      <w:r w:rsidRPr="003C04ED">
        <w:rPr>
          <w:b w:val="0"/>
          <w:bCs/>
          <w:sz w:val="24"/>
          <w:szCs w:val="24"/>
        </w:rPr>
        <w:t xml:space="preserve">in </w:t>
      </w:r>
      <w:r>
        <w:rPr>
          <w:b w:val="0"/>
          <w:bCs/>
          <w:sz w:val="24"/>
          <w:szCs w:val="24"/>
        </w:rPr>
        <w:t xml:space="preserve">the </w:t>
      </w:r>
      <w:r w:rsidRPr="003C04ED">
        <w:rPr>
          <w:b w:val="0"/>
          <w:bCs/>
          <w:sz w:val="24"/>
          <w:szCs w:val="24"/>
        </w:rPr>
        <w:t>regression analysis</w:t>
      </w:r>
      <w:r>
        <w:rPr>
          <w:b w:val="0"/>
          <w:bCs/>
          <w:sz w:val="24"/>
          <w:szCs w:val="24"/>
        </w:rPr>
        <w:t xml:space="preserve"> is</w:t>
      </w:r>
      <w:r w:rsidRPr="003C04ED">
        <w:rPr>
          <w:b w:val="0"/>
          <w:bCs/>
          <w:sz w:val="24"/>
          <w:szCs w:val="24"/>
        </w:rPr>
        <w:t xml:space="preserve"> a binary variable measuring whether the </w:t>
      </w:r>
      <w:r>
        <w:rPr>
          <w:b w:val="0"/>
          <w:bCs/>
          <w:sz w:val="24"/>
          <w:szCs w:val="24"/>
        </w:rPr>
        <w:t xml:space="preserve">purchaser </w:t>
      </w:r>
      <w:r w:rsidRPr="003C04ED">
        <w:rPr>
          <w:b w:val="0"/>
          <w:bCs/>
          <w:sz w:val="24"/>
          <w:szCs w:val="24"/>
        </w:rPr>
        <w:t>is continuing in operation (</w:t>
      </w:r>
      <w:r w:rsidR="00F27AB2">
        <w:rPr>
          <w:b w:val="0"/>
          <w:bCs/>
          <w:sz w:val="24"/>
          <w:szCs w:val="24"/>
        </w:rPr>
        <w:t>0</w:t>
      </w:r>
      <w:r w:rsidRPr="003C04ED">
        <w:rPr>
          <w:b w:val="0"/>
          <w:bCs/>
          <w:sz w:val="24"/>
          <w:szCs w:val="24"/>
        </w:rPr>
        <w:t>) or has succumbed to a further</w:t>
      </w:r>
      <w:r>
        <w:rPr>
          <w:b w:val="0"/>
          <w:bCs/>
          <w:sz w:val="24"/>
          <w:szCs w:val="24"/>
        </w:rPr>
        <w:t xml:space="preserve"> </w:t>
      </w:r>
      <w:r w:rsidRPr="003C04ED">
        <w:rPr>
          <w:b w:val="0"/>
          <w:bCs/>
          <w:sz w:val="24"/>
          <w:szCs w:val="24"/>
        </w:rPr>
        <w:t>insolvency procedure or ceased trading (</w:t>
      </w:r>
      <w:r w:rsidR="00F27AB2">
        <w:rPr>
          <w:b w:val="0"/>
          <w:bCs/>
          <w:sz w:val="24"/>
          <w:szCs w:val="24"/>
        </w:rPr>
        <w:t>1</w:t>
      </w:r>
      <w:r w:rsidRPr="003C04ED">
        <w:rPr>
          <w:b w:val="0"/>
          <w:bCs/>
          <w:sz w:val="24"/>
          <w:szCs w:val="24"/>
        </w:rPr>
        <w:t>)</w:t>
      </w:r>
      <w:r>
        <w:rPr>
          <w:b w:val="0"/>
          <w:bCs/>
          <w:sz w:val="24"/>
          <w:szCs w:val="24"/>
        </w:rPr>
        <w:t>. The independent variables are</w:t>
      </w:r>
      <w:r w:rsidRPr="003C04ED">
        <w:rPr>
          <w:b w:val="0"/>
          <w:bCs/>
          <w:sz w:val="24"/>
          <w:szCs w:val="24"/>
        </w:rPr>
        <w:t>:</w:t>
      </w:r>
    </w:p>
    <w:p w:rsidR="003340BA" w:rsidRPr="003C04ED" w:rsidRDefault="003340BA" w:rsidP="003340BA">
      <w:pPr>
        <w:pStyle w:val="TableHeading"/>
        <w:spacing w:line="240" w:lineRule="auto"/>
        <w:rPr>
          <w:b w:val="0"/>
          <w:bCs/>
          <w:sz w:val="24"/>
          <w:szCs w:val="24"/>
        </w:rPr>
      </w:pPr>
    </w:p>
    <w:p w:rsidR="003340BA" w:rsidRPr="003C04ED" w:rsidRDefault="003340BA" w:rsidP="003340BA">
      <w:pPr>
        <w:pStyle w:val="TableHeading"/>
        <w:numPr>
          <w:ilvl w:val="0"/>
          <w:numId w:val="32"/>
        </w:numPr>
        <w:spacing w:line="240" w:lineRule="auto"/>
        <w:rPr>
          <w:b w:val="0"/>
          <w:bCs/>
          <w:sz w:val="24"/>
          <w:szCs w:val="24"/>
        </w:rPr>
      </w:pPr>
      <w:r w:rsidRPr="003C04ED">
        <w:rPr>
          <w:b w:val="0"/>
          <w:bCs/>
          <w:sz w:val="24"/>
          <w:szCs w:val="24"/>
        </w:rPr>
        <w:t>Whether the sale was to a connected party</w:t>
      </w:r>
    </w:p>
    <w:p w:rsidR="003340BA" w:rsidRPr="003C04ED" w:rsidRDefault="003340BA" w:rsidP="003340BA">
      <w:pPr>
        <w:pStyle w:val="TableHeading"/>
        <w:numPr>
          <w:ilvl w:val="0"/>
          <w:numId w:val="32"/>
        </w:numPr>
        <w:spacing w:line="240" w:lineRule="auto"/>
        <w:rPr>
          <w:b w:val="0"/>
          <w:bCs/>
          <w:sz w:val="24"/>
          <w:szCs w:val="24"/>
        </w:rPr>
      </w:pPr>
      <w:r w:rsidRPr="003C04ED">
        <w:rPr>
          <w:b w:val="0"/>
          <w:bCs/>
          <w:sz w:val="24"/>
          <w:szCs w:val="24"/>
        </w:rPr>
        <w:t>Whether there was deferred consideration</w:t>
      </w:r>
    </w:p>
    <w:p w:rsidR="003340BA" w:rsidRPr="003C04ED" w:rsidRDefault="003340BA" w:rsidP="003340BA">
      <w:pPr>
        <w:pStyle w:val="TableHeading"/>
        <w:numPr>
          <w:ilvl w:val="0"/>
          <w:numId w:val="32"/>
        </w:numPr>
        <w:spacing w:line="240" w:lineRule="auto"/>
        <w:rPr>
          <w:b w:val="0"/>
          <w:bCs/>
          <w:sz w:val="24"/>
          <w:szCs w:val="24"/>
        </w:rPr>
      </w:pPr>
      <w:r w:rsidRPr="003C04ED">
        <w:rPr>
          <w:b w:val="0"/>
          <w:bCs/>
          <w:sz w:val="24"/>
          <w:szCs w:val="24"/>
        </w:rPr>
        <w:t xml:space="preserve">Size of the company </w:t>
      </w:r>
      <w:r>
        <w:rPr>
          <w:b w:val="0"/>
          <w:bCs/>
          <w:sz w:val="24"/>
          <w:szCs w:val="24"/>
        </w:rPr>
        <w:t>entering administration</w:t>
      </w:r>
      <w:r w:rsidRPr="003C04ED">
        <w:rPr>
          <w:b w:val="0"/>
          <w:bCs/>
          <w:sz w:val="24"/>
          <w:szCs w:val="24"/>
        </w:rPr>
        <w:t xml:space="preserve"> (turnover </w:t>
      </w:r>
      <w:r>
        <w:rPr>
          <w:b w:val="0"/>
          <w:bCs/>
          <w:sz w:val="24"/>
          <w:szCs w:val="24"/>
        </w:rPr>
        <w:t>and</w:t>
      </w:r>
      <w:r w:rsidRPr="003C04ED">
        <w:rPr>
          <w:b w:val="0"/>
          <w:bCs/>
          <w:sz w:val="24"/>
          <w:szCs w:val="24"/>
        </w:rPr>
        <w:t xml:space="preserve"> employee numbers)</w:t>
      </w:r>
    </w:p>
    <w:p w:rsidR="003340BA" w:rsidRPr="003C04ED" w:rsidRDefault="003340BA" w:rsidP="003340BA">
      <w:pPr>
        <w:pStyle w:val="TableHeading"/>
        <w:numPr>
          <w:ilvl w:val="0"/>
          <w:numId w:val="32"/>
        </w:numPr>
        <w:spacing w:line="240" w:lineRule="auto"/>
        <w:rPr>
          <w:b w:val="0"/>
          <w:bCs/>
          <w:sz w:val="24"/>
          <w:szCs w:val="24"/>
        </w:rPr>
      </w:pPr>
      <w:r w:rsidRPr="003C04ED">
        <w:rPr>
          <w:b w:val="0"/>
          <w:bCs/>
          <w:sz w:val="24"/>
          <w:szCs w:val="24"/>
        </w:rPr>
        <w:t>Age of business prior to pre-pack</w:t>
      </w:r>
    </w:p>
    <w:p w:rsidR="003340BA" w:rsidRPr="003C04ED" w:rsidRDefault="003340BA" w:rsidP="003340BA">
      <w:pPr>
        <w:pStyle w:val="TableHeading"/>
        <w:spacing w:line="240" w:lineRule="auto"/>
        <w:rPr>
          <w:b w:val="0"/>
          <w:bCs/>
          <w:sz w:val="24"/>
          <w:szCs w:val="24"/>
        </w:rPr>
      </w:pPr>
    </w:p>
    <w:p w:rsidR="003340BA" w:rsidRPr="003340BA" w:rsidRDefault="003340BA" w:rsidP="003340BA">
      <w:pPr>
        <w:spacing w:before="40" w:after="40" w:line="240" w:lineRule="auto"/>
      </w:pPr>
      <w:r w:rsidRPr="003340BA">
        <w:rPr>
          <w:bCs/>
        </w:rPr>
        <w:t>The timing of the dependent variable relative to the data in the dependent variable is lagged at 12 months, 24 months and 36 months.</w:t>
      </w:r>
    </w:p>
    <w:p w:rsidR="00632DA1" w:rsidRDefault="00632DA1">
      <w:pPr>
        <w:spacing w:line="240" w:lineRule="auto"/>
      </w:pPr>
    </w:p>
    <w:p w:rsidR="00632DA1" w:rsidRPr="00632DA1" w:rsidRDefault="00632DA1">
      <w:pPr>
        <w:spacing w:line="240" w:lineRule="auto"/>
        <w:rPr>
          <w:i/>
        </w:rPr>
      </w:pPr>
      <w:r w:rsidRPr="00632DA1">
        <w:rPr>
          <w:i/>
        </w:rPr>
        <w:lastRenderedPageBreak/>
        <w:t>Part C</w:t>
      </w:r>
    </w:p>
    <w:p w:rsidR="00632DA1" w:rsidRDefault="00632DA1">
      <w:pPr>
        <w:spacing w:line="240" w:lineRule="auto"/>
      </w:pPr>
    </w:p>
    <w:p w:rsidR="00632DA1" w:rsidRPr="00632DA1" w:rsidRDefault="00632DA1" w:rsidP="00632DA1">
      <w:pPr>
        <w:spacing w:line="240" w:lineRule="auto"/>
        <w:rPr>
          <w:b/>
          <w:bCs/>
        </w:rPr>
      </w:pPr>
      <w:r w:rsidRPr="00632DA1">
        <w:rPr>
          <w:bCs/>
        </w:rPr>
        <w:t>Finally, there is a combined regression analysis which considers the impact of whether</w:t>
      </w:r>
      <w:r w:rsidR="00F27AB2">
        <w:rPr>
          <w:bCs/>
        </w:rPr>
        <w:t>, all else being equal, failure rates differ between business sales after pre-pack and trading administration</w:t>
      </w:r>
      <w:r w:rsidRPr="00632DA1">
        <w:rPr>
          <w:bCs/>
        </w:rPr>
        <w:t>.</w:t>
      </w:r>
    </w:p>
    <w:p w:rsidR="003340BA" w:rsidRDefault="003340BA">
      <w:pPr>
        <w:spacing w:line="240" w:lineRule="auto"/>
      </w:pPr>
      <w:r>
        <w:br w:type="page"/>
      </w:r>
    </w:p>
    <w:p w:rsidR="003340BA" w:rsidRDefault="003340BA" w:rsidP="003340BA">
      <w:pPr>
        <w:spacing w:before="40" w:after="40" w:line="240" w:lineRule="auto"/>
        <w:rPr>
          <w:bCs/>
        </w:rPr>
      </w:pPr>
    </w:p>
    <w:p w:rsidR="003340BA" w:rsidRPr="003340BA" w:rsidRDefault="003340BA" w:rsidP="003340BA">
      <w:pPr>
        <w:spacing w:before="40" w:after="40" w:line="240" w:lineRule="auto"/>
        <w:rPr>
          <w:b/>
        </w:rPr>
      </w:pPr>
      <w:r w:rsidRPr="003340BA">
        <w:rPr>
          <w:b/>
          <w:bCs/>
        </w:rPr>
        <w:t>III</w:t>
      </w:r>
      <w:r w:rsidRPr="003340BA">
        <w:rPr>
          <w:b/>
          <w:bCs/>
        </w:rPr>
        <w:tab/>
        <w:t>Summary of Outputs and Analysis</w:t>
      </w:r>
    </w:p>
    <w:p w:rsidR="003340BA" w:rsidRDefault="003340BA" w:rsidP="003340BA">
      <w:pPr>
        <w:spacing w:before="40" w:after="40" w:line="240" w:lineRule="auto"/>
      </w:pPr>
    </w:p>
    <w:p w:rsidR="00C12A83" w:rsidRDefault="00C12A83" w:rsidP="00C12A83">
      <w:pPr>
        <w:pStyle w:val="TableHeading"/>
        <w:spacing w:line="240" w:lineRule="auto"/>
        <w:rPr>
          <w:b w:val="0"/>
          <w:bCs/>
          <w:sz w:val="24"/>
          <w:szCs w:val="24"/>
        </w:rPr>
      </w:pPr>
      <w:r>
        <w:rPr>
          <w:b w:val="0"/>
          <w:bCs/>
          <w:sz w:val="24"/>
          <w:szCs w:val="24"/>
        </w:rPr>
        <w:t>The data points listed above (Parts A1 and B1) for, respectively pre-packs and traditional going concern sales, have been provided on respective excel spreadsheets. The most significant findings are summarised and analysed below. These findings are followed by respective regression analyses (Parts A2 and B2) along with an explanation of the model selected which underpins the regression analysis. Finally, there is a combined regression analysis (Part C) which considers the impact of whether a sale takes place in a pre-pack or trading administration on the subsequent failure of the purchaser.</w:t>
      </w:r>
    </w:p>
    <w:p w:rsidR="00C12A83" w:rsidRDefault="00C12A83" w:rsidP="00C12A83">
      <w:pPr>
        <w:pStyle w:val="TableHeading"/>
        <w:spacing w:line="240" w:lineRule="auto"/>
        <w:rPr>
          <w:b w:val="0"/>
          <w:bCs/>
          <w:sz w:val="24"/>
          <w:szCs w:val="24"/>
        </w:rPr>
      </w:pPr>
    </w:p>
    <w:p w:rsidR="00C12A83" w:rsidRPr="00567703" w:rsidRDefault="00C12A83" w:rsidP="00C12A83">
      <w:pPr>
        <w:pStyle w:val="TableHeading"/>
        <w:spacing w:line="240" w:lineRule="auto"/>
        <w:rPr>
          <w:bCs/>
          <w:i/>
          <w:sz w:val="24"/>
          <w:szCs w:val="24"/>
        </w:rPr>
      </w:pPr>
      <w:r w:rsidRPr="00567703">
        <w:rPr>
          <w:bCs/>
          <w:i/>
          <w:sz w:val="24"/>
          <w:szCs w:val="24"/>
        </w:rPr>
        <w:t>Part A Pre-packs</w:t>
      </w:r>
    </w:p>
    <w:p w:rsidR="00C12A83" w:rsidRDefault="00C12A83" w:rsidP="00C12A83">
      <w:pPr>
        <w:pStyle w:val="TableHeading"/>
        <w:spacing w:line="240" w:lineRule="auto"/>
        <w:rPr>
          <w:b w:val="0"/>
          <w:bCs/>
          <w:sz w:val="24"/>
          <w:szCs w:val="24"/>
        </w:rPr>
      </w:pPr>
    </w:p>
    <w:p w:rsidR="0074469B" w:rsidRDefault="00C12A83" w:rsidP="00C12A83">
      <w:pPr>
        <w:pStyle w:val="TableHeading"/>
        <w:spacing w:line="240" w:lineRule="auto"/>
        <w:rPr>
          <w:b w:val="0"/>
          <w:bCs/>
          <w:sz w:val="24"/>
          <w:szCs w:val="24"/>
        </w:rPr>
      </w:pPr>
      <w:r w:rsidRPr="00E1075A">
        <w:rPr>
          <w:b w:val="0"/>
          <w:bCs/>
          <w:sz w:val="24"/>
          <w:szCs w:val="24"/>
        </w:rPr>
        <w:t xml:space="preserve">Data was collected for 497 companies utilising pre-pack administrations in 2010, with 499 cases being identified to reflect a small incidence of two unique business sales emanating from one pre-packed company (“oldco”). Where the data relates to oldco, the maximum dataset is 497, whereas when it relates to the pre-pack sale and purchaser, the maximum dataset is 499. </w:t>
      </w:r>
    </w:p>
    <w:p w:rsidR="0074469B" w:rsidRDefault="0074469B"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E1075A">
        <w:rPr>
          <w:b w:val="0"/>
          <w:bCs/>
          <w:sz w:val="24"/>
          <w:szCs w:val="24"/>
        </w:rPr>
        <w:t>Reliable data could not be identified for all of the desired variables, accordingly some of the reports below refer to smaller datasets as</w:t>
      </w:r>
      <w:r w:rsidR="0074469B">
        <w:rPr>
          <w:b w:val="0"/>
          <w:bCs/>
          <w:sz w:val="24"/>
          <w:szCs w:val="24"/>
        </w:rPr>
        <w:t>,</w:t>
      </w:r>
      <w:r w:rsidRPr="00E1075A">
        <w:rPr>
          <w:b w:val="0"/>
          <w:bCs/>
          <w:sz w:val="24"/>
          <w:szCs w:val="24"/>
        </w:rPr>
        <w:t xml:space="preserve"> where necessary</w:t>
      </w:r>
      <w:r w:rsidR="0074469B">
        <w:rPr>
          <w:b w:val="0"/>
          <w:bCs/>
          <w:sz w:val="24"/>
          <w:szCs w:val="24"/>
        </w:rPr>
        <w:t>,</w:t>
      </w:r>
      <w:r w:rsidRPr="00E1075A">
        <w:rPr>
          <w:b w:val="0"/>
          <w:bCs/>
          <w:sz w:val="24"/>
          <w:szCs w:val="24"/>
        </w:rPr>
        <w:t xml:space="preserve"> any </w:t>
      </w:r>
      <w:r>
        <w:rPr>
          <w:b w:val="0"/>
          <w:bCs/>
          <w:sz w:val="24"/>
          <w:szCs w:val="24"/>
        </w:rPr>
        <w:t>“</w:t>
      </w:r>
      <w:r w:rsidRPr="00E1075A">
        <w:rPr>
          <w:b w:val="0"/>
          <w:bCs/>
          <w:sz w:val="24"/>
          <w:szCs w:val="24"/>
        </w:rPr>
        <w:t>not known</w:t>
      </w:r>
      <w:r>
        <w:rPr>
          <w:b w:val="0"/>
          <w:bCs/>
          <w:sz w:val="24"/>
          <w:szCs w:val="24"/>
        </w:rPr>
        <w:t>”</w:t>
      </w:r>
      <w:r w:rsidRPr="00E1075A">
        <w:rPr>
          <w:b w:val="0"/>
          <w:bCs/>
          <w:sz w:val="24"/>
          <w:szCs w:val="24"/>
        </w:rPr>
        <w:t xml:space="preserve"> data has been excluded.</w:t>
      </w:r>
    </w:p>
    <w:p w:rsidR="00C12A83" w:rsidRDefault="00C12A83" w:rsidP="00C12A83">
      <w:pPr>
        <w:pStyle w:val="TableHeading"/>
        <w:spacing w:line="240" w:lineRule="auto"/>
        <w:rPr>
          <w:b w:val="0"/>
          <w:bCs/>
          <w:sz w:val="24"/>
          <w:szCs w:val="24"/>
        </w:rPr>
      </w:pPr>
    </w:p>
    <w:p w:rsidR="00FC3E04" w:rsidRPr="00FC3E04" w:rsidRDefault="00FC3E04" w:rsidP="00C12A83">
      <w:pPr>
        <w:pStyle w:val="TableHeading"/>
        <w:spacing w:line="240" w:lineRule="auto"/>
        <w:rPr>
          <w:bCs/>
          <w:i/>
          <w:sz w:val="24"/>
          <w:szCs w:val="24"/>
        </w:rPr>
      </w:pPr>
      <w:r w:rsidRPr="00FC3E04">
        <w:rPr>
          <w:bCs/>
          <w:i/>
          <w:sz w:val="24"/>
          <w:szCs w:val="24"/>
        </w:rPr>
        <w:t>Part A1</w:t>
      </w:r>
    </w:p>
    <w:p w:rsidR="00FC3E04" w:rsidRDefault="00FC3E04" w:rsidP="00C12A83">
      <w:pPr>
        <w:pStyle w:val="TableHeading"/>
        <w:spacing w:line="240" w:lineRule="auto"/>
        <w:rPr>
          <w:b w:val="0"/>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 </w:t>
      </w:r>
      <w:r>
        <w:rPr>
          <w:bCs/>
          <w:sz w:val="24"/>
          <w:szCs w:val="24"/>
        </w:rPr>
        <w:tab/>
      </w:r>
      <w:r w:rsidR="00C12A83" w:rsidRPr="005B0CA4">
        <w:rPr>
          <w:bCs/>
          <w:sz w:val="24"/>
          <w:szCs w:val="24"/>
        </w:rPr>
        <w:t>Details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describe and make observational analyses of the nature of the companies, oldco, that were utilising the pre-pack process in 2010.</w:t>
      </w:r>
    </w:p>
    <w:p w:rsidR="00C12A83" w:rsidRDefault="00C12A83" w:rsidP="00C12A83">
      <w:pPr>
        <w:pStyle w:val="TableHeading"/>
        <w:spacing w:line="240" w:lineRule="auto"/>
        <w:rPr>
          <w:b w:val="0"/>
          <w:bCs/>
          <w:sz w:val="24"/>
          <w:szCs w:val="24"/>
        </w:rPr>
      </w:pPr>
    </w:p>
    <w:p w:rsidR="00C12A83" w:rsidRPr="005B0CA4" w:rsidRDefault="00632DA1" w:rsidP="00632DA1">
      <w:pPr>
        <w:pStyle w:val="TableHeading"/>
        <w:spacing w:line="240" w:lineRule="auto"/>
        <w:rPr>
          <w:bCs/>
          <w:sz w:val="24"/>
          <w:szCs w:val="24"/>
        </w:rPr>
      </w:pPr>
      <w:r>
        <w:rPr>
          <w:bCs/>
          <w:sz w:val="24"/>
          <w:szCs w:val="24"/>
        </w:rPr>
        <w:t>A1.1</w:t>
      </w:r>
      <w:r>
        <w:rPr>
          <w:bCs/>
          <w:sz w:val="24"/>
          <w:szCs w:val="24"/>
        </w:rPr>
        <w:tab/>
      </w:r>
      <w:r w:rsidR="00C12A83" w:rsidRPr="005B0CA4">
        <w:rPr>
          <w:bCs/>
          <w:sz w:val="24"/>
          <w:szCs w:val="24"/>
        </w:rPr>
        <w:t>Age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would appear that the majority of companies making use of pre-pack administrations in 2010 had been incorporated between 5 and 15 years prior to entering administration. It is notable that there are very few companies which were less than two years old at the date of the pre-pack, which suggests that the serial pre-pack was not prevalent in 2010.</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1D59FC8C" wp14:editId="203A5B4E">
            <wp:extent cx="4508205" cy="4401878"/>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a:extLst>
                        <a:ext uri="{28A0092B-C50C-407E-A947-70E740481C1C}">
                          <a14:useLocalDpi xmlns:a14="http://schemas.microsoft.com/office/drawing/2010/main" val="0"/>
                        </a:ext>
                      </a:extLst>
                    </a:blip>
                    <a:srcRect t="2783" r="5749"/>
                    <a:stretch/>
                  </pic:blipFill>
                  <pic:spPr bwMode="auto">
                    <a:xfrm>
                      <a:off x="0" y="0"/>
                      <a:ext cx="4510021" cy="4403651"/>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1.2 </w:t>
      </w:r>
      <w:r>
        <w:rPr>
          <w:bCs/>
          <w:sz w:val="24"/>
          <w:szCs w:val="24"/>
        </w:rPr>
        <w:tab/>
      </w:r>
      <w:r w:rsidR="00C12A83" w:rsidRPr="005B0CA4">
        <w:rPr>
          <w:bCs/>
          <w:sz w:val="24"/>
          <w:szCs w:val="24"/>
        </w:rPr>
        <w:t>Size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Companies were categorised, by both number of employees and level of turnover prior to their entering administration, into Micro (0-9 employees / turnover of £632,000 or less), Small (10-49 / £632k-£6.5m), Medium (50-249 / £6.5m-£12.9m) and Large (250+ / greater than £12.9m) in accordance with the latest EU Accounting Directive (</w:t>
      </w:r>
      <w:r w:rsidR="0074469B" w:rsidRPr="0074469B">
        <w:rPr>
          <w:b w:val="0"/>
          <w:bCs/>
          <w:sz w:val="24"/>
          <w:szCs w:val="24"/>
        </w:rPr>
        <w:t>Directive</w:t>
      </w:r>
      <w:r w:rsidRPr="005121BB">
        <w:rPr>
          <w:b w:val="0"/>
          <w:bCs/>
          <w:sz w:val="24"/>
          <w:szCs w:val="24"/>
        </w:rPr>
        <w:t xml:space="preserve"> 2013/34/EU</w:t>
      </w:r>
      <w:r>
        <w:rPr>
          <w:b w:val="0"/>
          <w:bCs/>
          <w:sz w:val="24"/>
          <w:szCs w:val="24"/>
        </w:rPr>
        <w: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 majority of companies reviewed utilising the pre-pack process in 2010, for which pertinent data was available, fell into the Micro/Small categories (339/438 for Employees and 355/439 for Turnover).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79CD8E02" wp14:editId="5DCDD84A">
            <wp:extent cx="2812211" cy="3200400"/>
            <wp:effectExtent l="0" t="0" r="2667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b w:val="0"/>
          <w:bCs/>
          <w:noProof/>
          <w:sz w:val="24"/>
          <w:szCs w:val="24"/>
          <w:lang w:eastAsia="en-GB"/>
        </w:rPr>
        <w:drawing>
          <wp:inline distT="0" distB="0" distL="0" distR="0" wp14:anchorId="3CEF6893" wp14:editId="478B9323">
            <wp:extent cx="2838091" cy="3200400"/>
            <wp:effectExtent l="0" t="0" r="1968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0988759" wp14:editId="068D2ED0">
            <wp:extent cx="2812211" cy="3200400"/>
            <wp:effectExtent l="0" t="0" r="2667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b w:val="0"/>
          <w:bCs/>
          <w:noProof/>
          <w:sz w:val="24"/>
          <w:szCs w:val="24"/>
          <w:lang w:eastAsia="en-GB"/>
        </w:rPr>
        <w:drawing>
          <wp:inline distT="0" distB="0" distL="0" distR="0" wp14:anchorId="71498DFE" wp14:editId="2DD93E76">
            <wp:extent cx="2812211" cy="3200400"/>
            <wp:effectExtent l="0" t="0" r="2667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1.3 </w:t>
      </w:r>
      <w:r>
        <w:rPr>
          <w:bCs/>
          <w:sz w:val="24"/>
          <w:szCs w:val="24"/>
        </w:rPr>
        <w:tab/>
      </w:r>
      <w:r w:rsidR="00C12A83" w:rsidRPr="005B0CA4">
        <w:rPr>
          <w:bCs/>
          <w:sz w:val="24"/>
          <w:szCs w:val="24"/>
        </w:rPr>
        <w:t>Reasons for failure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Commentary was gleaned from both SIP16 Reports submitted to the Insolvency Service and also, where possible in the absence of reporting in SIP16 Reports, from Statements of Proposals filed at Companies House to establish the reasons for oldco’s financial difficulties and recourse to administration. This commentary was then coded by the Insolvency Service into the following categories, and up to two key factors identified for each company:</w:t>
      </w:r>
    </w:p>
    <w:p w:rsidR="00C12A83" w:rsidRDefault="00C12A83" w:rsidP="00C12A83">
      <w:pPr>
        <w:pStyle w:val="TableHeading"/>
        <w:spacing w:line="240" w:lineRule="auto"/>
        <w:rPr>
          <w:b w:val="0"/>
          <w:bCs/>
          <w:sz w:val="24"/>
          <w:szCs w:val="24"/>
        </w:rPr>
      </w:pPr>
    </w:p>
    <w:p w:rsidR="00C12A83" w:rsidRDefault="00C12A83" w:rsidP="00C12A83">
      <w:pPr>
        <w:pStyle w:val="TableHeading"/>
        <w:numPr>
          <w:ilvl w:val="0"/>
          <w:numId w:val="34"/>
        </w:numPr>
        <w:spacing w:line="240" w:lineRule="auto"/>
        <w:rPr>
          <w:b w:val="0"/>
          <w:bCs/>
          <w:sz w:val="24"/>
          <w:szCs w:val="24"/>
        </w:rPr>
      </w:pPr>
      <w:r>
        <w:rPr>
          <w:b w:val="0"/>
          <w:bCs/>
          <w:sz w:val="24"/>
          <w:szCs w:val="24"/>
        </w:rPr>
        <w:t>Funding issues</w:t>
      </w:r>
    </w:p>
    <w:p w:rsidR="00C12A83" w:rsidRDefault="00C12A83" w:rsidP="00C12A83">
      <w:pPr>
        <w:pStyle w:val="TableHeading"/>
        <w:numPr>
          <w:ilvl w:val="0"/>
          <w:numId w:val="34"/>
        </w:numPr>
        <w:spacing w:line="240" w:lineRule="auto"/>
        <w:rPr>
          <w:b w:val="0"/>
          <w:bCs/>
          <w:sz w:val="24"/>
          <w:szCs w:val="24"/>
        </w:rPr>
      </w:pPr>
      <w:r>
        <w:rPr>
          <w:b w:val="0"/>
          <w:bCs/>
          <w:sz w:val="24"/>
          <w:szCs w:val="24"/>
        </w:rPr>
        <w:t>Market conditions</w:t>
      </w:r>
    </w:p>
    <w:p w:rsidR="00C12A83" w:rsidRDefault="00C12A83" w:rsidP="00C12A83">
      <w:pPr>
        <w:pStyle w:val="TableHeading"/>
        <w:numPr>
          <w:ilvl w:val="0"/>
          <w:numId w:val="34"/>
        </w:numPr>
        <w:spacing w:line="240" w:lineRule="auto"/>
        <w:rPr>
          <w:b w:val="0"/>
          <w:bCs/>
          <w:sz w:val="24"/>
          <w:szCs w:val="24"/>
        </w:rPr>
      </w:pPr>
      <w:r>
        <w:rPr>
          <w:b w:val="0"/>
          <w:bCs/>
          <w:sz w:val="24"/>
          <w:szCs w:val="24"/>
        </w:rPr>
        <w:t>Mismanagement</w:t>
      </w:r>
    </w:p>
    <w:p w:rsidR="00C12A83" w:rsidRDefault="00C12A83" w:rsidP="00C12A83">
      <w:pPr>
        <w:pStyle w:val="TableHeading"/>
        <w:numPr>
          <w:ilvl w:val="0"/>
          <w:numId w:val="34"/>
        </w:numPr>
        <w:spacing w:line="240" w:lineRule="auto"/>
        <w:rPr>
          <w:b w:val="0"/>
          <w:bCs/>
          <w:sz w:val="24"/>
          <w:szCs w:val="24"/>
        </w:rPr>
      </w:pPr>
      <w:r>
        <w:rPr>
          <w:b w:val="0"/>
          <w:bCs/>
          <w:sz w:val="24"/>
          <w:szCs w:val="24"/>
        </w:rPr>
        <w:t>One off event</w:t>
      </w:r>
    </w:p>
    <w:p w:rsidR="00C12A83" w:rsidRDefault="00C12A83" w:rsidP="00C12A83">
      <w:pPr>
        <w:pStyle w:val="TableHeading"/>
        <w:numPr>
          <w:ilvl w:val="0"/>
          <w:numId w:val="34"/>
        </w:numPr>
        <w:spacing w:line="240" w:lineRule="auto"/>
        <w:rPr>
          <w:b w:val="0"/>
          <w:bCs/>
          <w:sz w:val="24"/>
          <w:szCs w:val="24"/>
        </w:rPr>
      </w:pPr>
      <w:r>
        <w:rPr>
          <w:b w:val="0"/>
          <w:bCs/>
          <w:sz w:val="24"/>
          <w:szCs w:val="24"/>
        </w:rPr>
        <w:t>Problems in parent company</w:t>
      </w:r>
    </w:p>
    <w:p w:rsidR="00C12A83" w:rsidRDefault="00C12A83" w:rsidP="00C12A83">
      <w:pPr>
        <w:pStyle w:val="TableHeading"/>
        <w:numPr>
          <w:ilvl w:val="0"/>
          <w:numId w:val="34"/>
        </w:numPr>
        <w:spacing w:line="240" w:lineRule="auto"/>
        <w:rPr>
          <w:b w:val="0"/>
          <w:bCs/>
          <w:sz w:val="24"/>
          <w:szCs w:val="24"/>
        </w:rPr>
      </w:pPr>
      <w:r>
        <w:rPr>
          <w:b w:val="0"/>
          <w:bCs/>
          <w:sz w:val="24"/>
          <w:szCs w:val="24"/>
        </w:rPr>
        <w:t>Undercapitalisation / excessive debt</w:t>
      </w:r>
    </w:p>
    <w:p w:rsidR="00C12A83" w:rsidRDefault="00C12A83" w:rsidP="00C12A83">
      <w:pPr>
        <w:pStyle w:val="TableHeading"/>
        <w:numPr>
          <w:ilvl w:val="0"/>
          <w:numId w:val="34"/>
        </w:numPr>
        <w:spacing w:line="240" w:lineRule="auto"/>
        <w:rPr>
          <w:b w:val="0"/>
          <w:bCs/>
          <w:sz w:val="24"/>
          <w:szCs w:val="24"/>
        </w:rPr>
      </w:pPr>
      <w:r>
        <w:rPr>
          <w:b w:val="0"/>
          <w:bCs/>
          <w:sz w:val="24"/>
          <w:szCs w:val="24"/>
        </w:rPr>
        <w:t>Not known (where no viable reason was provided)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23E1202" wp14:editId="224581BD">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F8EED2D" wp14:editId="092DCD10">
            <wp:extent cx="5486400" cy="32004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most common factor identified by the Administrators for the failure of oldco was ‘Market conditions’ (including factors such a</w:t>
      </w:r>
      <w:r w:rsidR="0074469B">
        <w:rPr>
          <w:b w:val="0"/>
          <w:bCs/>
          <w:sz w:val="24"/>
          <w:szCs w:val="24"/>
        </w:rPr>
        <w:t>s a</w:t>
      </w:r>
      <w:r>
        <w:rPr>
          <w:b w:val="0"/>
          <w:bCs/>
          <w:sz w:val="24"/>
          <w:szCs w:val="24"/>
        </w:rPr>
        <w:t xml:space="preserve"> downturn in trading due to wider economic conditions, increased cost of raw materials, and the strength of sterling against foreign currencies), accounting for a third of all stated reasons and almost twice as prevalent as the next factor, ‘One off event’.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is important to note that these factors are based on a categorisation of self-reporting by the </w:t>
      </w:r>
      <w:r w:rsidR="0074469B">
        <w:rPr>
          <w:b w:val="0"/>
          <w:bCs/>
          <w:sz w:val="24"/>
          <w:szCs w:val="24"/>
        </w:rPr>
        <w:t>IP</w:t>
      </w:r>
      <w:r>
        <w:rPr>
          <w:b w:val="0"/>
          <w:bCs/>
          <w:sz w:val="24"/>
          <w:szCs w:val="24"/>
        </w:rPr>
        <w:t xml:space="preserve">s. Reasons were not always given, and the prevalence of ‘Market conditions’ and ‘One off event’ (which included bad debts caused by debtor insolvency) could be oversimplifying the situation.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‘Mismanagement’ was only identified in around a fifth of all cases (107 out of 497), and often was not expressed as such in the reporting reviewed. For example, an expansion into an unfamiliar area that coincided with the 2008 global downturn has been categorised as ‘Mismanagement’. Furthermore, it is unlikely that an </w:t>
      </w:r>
      <w:r w:rsidR="0074469B">
        <w:rPr>
          <w:b w:val="0"/>
          <w:bCs/>
          <w:sz w:val="24"/>
          <w:szCs w:val="24"/>
        </w:rPr>
        <w:t>IP</w:t>
      </w:r>
      <w:r>
        <w:rPr>
          <w:b w:val="0"/>
          <w:bCs/>
          <w:sz w:val="24"/>
          <w:szCs w:val="24"/>
        </w:rPr>
        <w:t xml:space="preserve"> would cite mismanagement prior to selling the business to a purchaser controlled by the same management (see section </w:t>
      </w:r>
      <w:r w:rsidR="0074469B">
        <w:rPr>
          <w:b w:val="0"/>
          <w:bCs/>
          <w:sz w:val="24"/>
          <w:szCs w:val="24"/>
        </w:rPr>
        <w:t>A</w:t>
      </w:r>
      <w:r>
        <w:rPr>
          <w:b w:val="0"/>
          <w:bCs/>
          <w:sz w:val="24"/>
          <w:szCs w:val="24"/>
        </w:rPr>
        <w:t>2.1 below for details of connected sales).</w:t>
      </w:r>
    </w:p>
    <w:p w:rsidR="00C12A83" w:rsidRDefault="00C12A83" w:rsidP="00C12A83">
      <w:pPr>
        <w:pStyle w:val="TableHeading"/>
        <w:spacing w:line="240" w:lineRule="auto"/>
        <w:rPr>
          <w:b w:val="0"/>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1.4 </w:t>
      </w:r>
      <w:r>
        <w:rPr>
          <w:bCs/>
          <w:sz w:val="24"/>
          <w:szCs w:val="24"/>
        </w:rPr>
        <w:tab/>
      </w:r>
      <w:r w:rsidR="00C12A83" w:rsidRPr="005B0CA4">
        <w:rPr>
          <w:bCs/>
          <w:sz w:val="24"/>
          <w:szCs w:val="24"/>
        </w:rPr>
        <w:t>Sector in which oldco operated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Although there is often a popular perception that pre-packs are particularly prevalent in certain sectors (such as the printing and transport industries), the data collected does not show this to be the case.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Each company has been categorised by the relevant SIC (Standard Industrial Classification) 2007 2-digit code, which identified 55 different classifications (not including those for which the SIC 2007 code could not identified), though no obvious pattern emerges (see Appendix 1 for detail). These were further categorised into eleven related groups in an attempt to identify any pattern (see Appendix 2 for detail). Whilst it is clear that certain groups are more prevalent</w:t>
      </w:r>
      <w:r w:rsidR="0074469B">
        <w:rPr>
          <w:b w:val="0"/>
          <w:bCs/>
          <w:sz w:val="24"/>
          <w:szCs w:val="24"/>
        </w:rPr>
        <w:t xml:space="preserve"> than others</w:t>
      </w:r>
      <w:r>
        <w:rPr>
          <w:b w:val="0"/>
          <w:bCs/>
          <w:sz w:val="24"/>
          <w:szCs w:val="24"/>
        </w:rPr>
        <w:t>, there is no clear group which dominates the use of pre-packs.</w:t>
      </w:r>
    </w:p>
    <w:p w:rsidR="00C12A83" w:rsidRDefault="00C12A83" w:rsidP="00C12A83">
      <w:pPr>
        <w:pStyle w:val="TableHeading"/>
        <w:spacing w:line="240" w:lineRule="auto"/>
        <w:rPr>
          <w:b w:val="0"/>
          <w:bCs/>
          <w:sz w:val="24"/>
          <w:szCs w:val="24"/>
        </w:rPr>
      </w:pPr>
    </w:p>
    <w:p w:rsidR="00C12A83" w:rsidRDefault="0074469B" w:rsidP="00C12A83">
      <w:pPr>
        <w:pStyle w:val="TableHeading"/>
        <w:keepNext/>
        <w:spacing w:line="240" w:lineRule="auto"/>
      </w:pPr>
      <w:r w:rsidRPr="0074469B">
        <w:rPr>
          <w:b w:val="0"/>
          <w:bCs/>
          <w:noProof/>
          <w:sz w:val="24"/>
          <w:szCs w:val="24"/>
          <w:lang w:eastAsia="en-GB"/>
        </w:rPr>
        <w:lastRenderedPageBreak/>
        <mc:AlternateContent>
          <mc:Choice Requires="wps">
            <w:drawing>
              <wp:anchor distT="0" distB="0" distL="114300" distR="114300" simplePos="0" relativeHeight="251665408" behindDoc="0" locked="0" layoutInCell="1" allowOverlap="1" wp14:anchorId="112FDE88" wp14:editId="7478D46E">
                <wp:simplePos x="0" y="0"/>
                <wp:positionH relativeFrom="column">
                  <wp:posOffset>1190625</wp:posOffset>
                </wp:positionH>
                <wp:positionV relativeFrom="paragraph">
                  <wp:posOffset>-167004</wp:posOffset>
                </wp:positionV>
                <wp:extent cx="3181350" cy="323850"/>
                <wp:effectExtent l="0" t="0" r="19050"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23850"/>
                        </a:xfrm>
                        <a:prstGeom prst="rect">
                          <a:avLst/>
                        </a:prstGeom>
                        <a:solidFill>
                          <a:srgbClr val="FFFFFF"/>
                        </a:solidFill>
                        <a:ln w="9525">
                          <a:solidFill>
                            <a:srgbClr val="000000"/>
                          </a:solidFill>
                          <a:miter lim="800000"/>
                          <a:headEnd/>
                          <a:tailEnd/>
                        </a:ln>
                      </wps:spPr>
                      <wps:txbx>
                        <w:txbxContent>
                          <w:p w:rsidR="00265B0B" w:rsidRPr="00992CE2" w:rsidRDefault="00265B0B" w:rsidP="0074469B">
                            <w:pPr>
                              <w:jc w:val="center"/>
                              <w:rPr>
                                <w:b/>
                                <w:sz w:val="28"/>
                              </w:rPr>
                            </w:pPr>
                            <w:r w:rsidRPr="00992CE2">
                              <w:rPr>
                                <w:b/>
                                <w:sz w:val="28"/>
                              </w:rPr>
                              <w:t>5 Most Popular Sector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75pt;margin-top:-13.15pt;width:250.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">
                <v:textbox>
                  <w:txbxContent>
                    <w:p w:rsidR="00265B0B" w:rsidRPr="00992CE2" w:rsidRDefault="00265B0B" w:rsidP="0074469B">
                      <w:pPr>
                        <w:jc w:val="center"/>
                        <w:rPr>
                          <w:b/>
                          <w:sz w:val="28"/>
                        </w:rPr>
                      </w:pPr>
                      <w:r w:rsidRPr="00992CE2">
                        <w:rPr>
                          <w:b/>
                          <w:sz w:val="28"/>
                        </w:rPr>
                        <w:t>5 Most Popular Sector Groups</w:t>
                      </w:r>
                    </w:p>
                  </w:txbxContent>
                </v:textbox>
              </v:shape>
            </w:pict>
          </mc:Fallback>
        </mc:AlternateContent>
      </w:r>
      <w:r w:rsidR="00C12A83">
        <w:rPr>
          <w:b w:val="0"/>
          <w:bCs/>
          <w:noProof/>
          <w:sz w:val="24"/>
          <w:szCs w:val="24"/>
          <w:lang w:eastAsia="en-GB"/>
        </w:rPr>
        <w:drawing>
          <wp:inline distT="0" distB="0" distL="0" distR="0" wp14:anchorId="3D20A000" wp14:editId="27A6FAE4">
            <wp:extent cx="5486400" cy="37719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2A83" w:rsidRDefault="00C12A83" w:rsidP="00C12A83">
      <w:pPr>
        <w:pStyle w:val="TableHeading"/>
        <w:spacing w:line="240" w:lineRule="auto"/>
        <w:rPr>
          <w:b w:val="0"/>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1.5 </w:t>
      </w:r>
      <w:r>
        <w:rPr>
          <w:bCs/>
          <w:sz w:val="24"/>
          <w:szCs w:val="24"/>
        </w:rPr>
        <w:tab/>
      </w:r>
      <w:r w:rsidR="00C12A83" w:rsidRPr="005B0CA4">
        <w:rPr>
          <w:bCs/>
          <w:sz w:val="24"/>
          <w:szCs w:val="24"/>
        </w:rPr>
        <w:t>Presence of group 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From the information contained in the SIP16 Reports and administration filings at Companies House, </w:t>
      </w:r>
      <w:r w:rsidR="00B457E4">
        <w:rPr>
          <w:b w:val="0"/>
          <w:bCs/>
          <w:sz w:val="24"/>
          <w:szCs w:val="24"/>
        </w:rPr>
        <w:t xml:space="preserve">it was apparent that </w:t>
      </w:r>
      <w:r>
        <w:rPr>
          <w:b w:val="0"/>
          <w:bCs/>
          <w:sz w:val="24"/>
          <w:szCs w:val="24"/>
        </w:rPr>
        <w:t>just over two fifths of companies that entered a pre-pack were part of a group of companies</w:t>
      </w:r>
      <w:r w:rsidR="00B457E4">
        <w:rPr>
          <w:b w:val="0"/>
          <w:bCs/>
          <w:sz w:val="24"/>
          <w:szCs w:val="24"/>
        </w:rPr>
        <w:t>. However</w:t>
      </w:r>
      <w:r>
        <w:rPr>
          <w:b w:val="0"/>
          <w:bCs/>
          <w:sz w:val="24"/>
          <w:szCs w:val="24"/>
        </w:rPr>
        <w:t xml:space="preserve">, only 59 sales concerned collections of group companies (comprising 101 oldco companies selling their businesses to either single or multiple purchasers).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4BF3BCF7" wp14:editId="60A53C26">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2A83" w:rsidRDefault="00C12A83" w:rsidP="00C12A83">
      <w:pPr>
        <w:pStyle w:val="TableHeading"/>
        <w:spacing w:line="240" w:lineRule="auto"/>
        <w:rPr>
          <w:b w:val="0"/>
          <w:bCs/>
          <w:sz w:val="24"/>
          <w:szCs w:val="24"/>
        </w:rPr>
      </w:pPr>
    </w:p>
    <w:p w:rsidR="00C12A83" w:rsidRPr="005B0CA4" w:rsidRDefault="00632DA1" w:rsidP="00C12A83">
      <w:pPr>
        <w:pStyle w:val="TableHeading"/>
        <w:spacing w:line="240" w:lineRule="auto"/>
        <w:rPr>
          <w:bCs/>
          <w:sz w:val="24"/>
          <w:szCs w:val="24"/>
        </w:rPr>
      </w:pPr>
      <w:r>
        <w:rPr>
          <w:bCs/>
          <w:sz w:val="24"/>
          <w:szCs w:val="24"/>
        </w:rPr>
        <w:t>A</w:t>
      </w:r>
      <w:r w:rsidR="00C12A83" w:rsidRPr="005B0CA4">
        <w:rPr>
          <w:bCs/>
          <w:sz w:val="24"/>
          <w:szCs w:val="24"/>
        </w:rPr>
        <w:t xml:space="preserve">1.6 </w:t>
      </w:r>
      <w:r>
        <w:rPr>
          <w:bCs/>
          <w:sz w:val="24"/>
          <w:szCs w:val="24"/>
        </w:rPr>
        <w:tab/>
      </w:r>
      <w:r w:rsidR="00C12A83" w:rsidRPr="005B0CA4">
        <w:rPr>
          <w:bCs/>
          <w:sz w:val="24"/>
          <w:szCs w:val="24"/>
        </w:rPr>
        <w:t>Nature of appointment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out of court appointment of administrators by the directors or company pursuant to paragraph 22 of Schedule B1 of the Insolvency Act 1986 (“IA 1986”) was the most popular appointment process, used in over 70% of all cases. In a number of cases this arose due to the absence of a qualified floating charge holder, however</w:t>
      </w:r>
      <w:r w:rsidR="00B457E4">
        <w:rPr>
          <w:b w:val="0"/>
          <w:bCs/>
          <w:sz w:val="24"/>
          <w:szCs w:val="24"/>
        </w:rPr>
        <w:t>,</w:t>
      </w:r>
      <w:r>
        <w:rPr>
          <w:b w:val="0"/>
          <w:bCs/>
          <w:sz w:val="24"/>
          <w:szCs w:val="24"/>
        </w:rPr>
        <w:t xml:space="preserve"> it was apparent that a large number of appointments were made either with the consent of a qualified floating charge holder or after the expiry of the five working day notice period.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small number of court appointments pursuant to paragraph 10 appear to have arisen where oldco was subject to a winding up petition and there was no qualifying floating charge holder.</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3E0177A3" wp14:editId="59578F64">
            <wp:extent cx="5486400" cy="32004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1.7 </w:t>
      </w:r>
      <w:r>
        <w:rPr>
          <w:bCs/>
          <w:sz w:val="24"/>
          <w:szCs w:val="24"/>
        </w:rPr>
        <w:tab/>
      </w:r>
      <w:r w:rsidR="00C12A83" w:rsidRPr="005B0CA4">
        <w:rPr>
          <w:bCs/>
          <w:sz w:val="24"/>
          <w:szCs w:val="24"/>
        </w:rPr>
        <w:t>Non-UK registered 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 small number of companies (6 out of 497) not incorporated in the United Kingdom made use of the pre-pack process in 2010. Five of these companies are from the infamous Hellas Communications group of companies. Whilst the pre-pack process has therefore been used by non-UK companies, its use </w:t>
      </w:r>
      <w:r w:rsidR="00B457E4">
        <w:rPr>
          <w:b w:val="0"/>
          <w:bCs/>
          <w:sz w:val="24"/>
          <w:szCs w:val="24"/>
        </w:rPr>
        <w:t>wa</w:t>
      </w:r>
      <w:r>
        <w:rPr>
          <w:b w:val="0"/>
          <w:bCs/>
          <w:sz w:val="24"/>
          <w:szCs w:val="24"/>
        </w:rPr>
        <w:t xml:space="preserve">s not </w:t>
      </w:r>
      <w:r w:rsidR="00B457E4">
        <w:rPr>
          <w:b w:val="0"/>
          <w:bCs/>
          <w:sz w:val="24"/>
          <w:szCs w:val="24"/>
        </w:rPr>
        <w:t>widespread on the data reviewed. Any suggestion that the UK is being used as a “bankruptcy brothel” in relation to pre-packs appears not to be supported by the evidence.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0F24CDBE" wp14:editId="11F5A068">
            <wp:extent cx="5486400" cy="3717985"/>
            <wp:effectExtent l="0" t="0" r="1905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2 </w:t>
      </w:r>
      <w:r>
        <w:rPr>
          <w:bCs/>
          <w:sz w:val="24"/>
          <w:szCs w:val="24"/>
        </w:rPr>
        <w:tab/>
      </w:r>
      <w:r w:rsidR="00C12A83" w:rsidRPr="005B0CA4">
        <w:rPr>
          <w:bCs/>
          <w:sz w:val="24"/>
          <w:szCs w:val="24"/>
        </w:rPr>
        <w:t>Details of the pre-pack</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look at the details of the pre-packaged administration sales from 2010 that have been reviewed.</w:t>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2.1 </w:t>
      </w:r>
      <w:r>
        <w:rPr>
          <w:bCs/>
          <w:sz w:val="24"/>
          <w:szCs w:val="24"/>
        </w:rPr>
        <w:tab/>
      </w:r>
      <w:r w:rsidR="00C12A83" w:rsidRPr="005B0CA4">
        <w:rPr>
          <w:bCs/>
          <w:sz w:val="24"/>
          <w:szCs w:val="24"/>
        </w:rPr>
        <w:t>Connected purchase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Sales of the business and assets of the pre-packaged company to a party connected to oldco dominated the sample reviewed. Almost two thirds of purchasers were connected to oldco for the purposes of s.249 IA 1986. The information recorded relied heavily on self-reporting by the administrators in the SIP16 Reports and filings at Companies House.</w:t>
      </w:r>
    </w:p>
    <w:p w:rsidR="00C12A83" w:rsidRDefault="00C12A83" w:rsidP="00C12A83">
      <w:pPr>
        <w:pStyle w:val="TableHeading"/>
        <w:spacing w:line="240" w:lineRule="auto"/>
        <w:rPr>
          <w:b w:val="0"/>
          <w:bCs/>
          <w:sz w:val="24"/>
          <w:szCs w:val="24"/>
        </w:rPr>
      </w:pPr>
    </w:p>
    <w:tbl>
      <w:tblPr>
        <w:tblW w:w="6840" w:type="dxa"/>
        <w:jc w:val="center"/>
        <w:tblInd w:w="93" w:type="dxa"/>
        <w:tblLook w:val="04A0" w:firstRow="1" w:lastRow="0" w:firstColumn="1" w:lastColumn="0" w:noHBand="0" w:noVBand="1"/>
      </w:tblPr>
      <w:tblGrid>
        <w:gridCol w:w="2280"/>
        <w:gridCol w:w="2280"/>
        <w:gridCol w:w="2280"/>
      </w:tblGrid>
      <w:tr w:rsidR="00C12A83" w:rsidRPr="00827364" w:rsidTr="00820FE6">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b/>
                <w:bCs/>
                <w:color w:val="000000"/>
                <w:lang w:eastAsia="en-GB"/>
              </w:rPr>
            </w:pPr>
            <w:r w:rsidRPr="00827364">
              <w:rPr>
                <w:rFonts w:ascii="Calibri" w:hAnsi="Calibri"/>
                <w:b/>
                <w:bCs/>
                <w:color w:val="000000"/>
                <w:lang w:eastAsia="en-GB"/>
              </w:rPr>
              <w:t>Pre-pack</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b/>
                <w:bCs/>
                <w:color w:val="000000"/>
                <w:lang w:eastAsia="en-GB"/>
              </w:rPr>
            </w:pPr>
            <w:r w:rsidRPr="00827364">
              <w:rPr>
                <w:rFonts w:ascii="Calibri" w:hAnsi="Calibri"/>
                <w:b/>
                <w:bCs/>
                <w:color w:val="000000"/>
                <w:lang w:eastAsia="en-GB"/>
              </w:rPr>
              <w:t>Proportion</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Connected Sale</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316</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63.3%</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Not Connected Sale</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182</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36.5%</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N/K</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1</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0.2%</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Total</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499</w:t>
            </w:r>
          </w:p>
        </w:tc>
        <w:tc>
          <w:tcPr>
            <w:tcW w:w="2280" w:type="dxa"/>
            <w:tcBorders>
              <w:top w:val="nil"/>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r w:rsidRPr="00827364">
              <w:rPr>
                <w:rFonts w:ascii="Calibri" w:hAnsi="Calibri"/>
                <w:color w:val="000000"/>
                <w:lang w:eastAsia="en-GB"/>
              </w:rPr>
              <w:t>100.0%</w:t>
            </w:r>
          </w:p>
        </w:tc>
      </w:tr>
    </w:tbl>
    <w:p w:rsidR="00C12A83" w:rsidRDefault="00C12A83" w:rsidP="00C12A83">
      <w:pPr>
        <w:pStyle w:val="TableHeading"/>
        <w:spacing w:line="240" w:lineRule="auto"/>
        <w:rPr>
          <w:b w:val="0"/>
          <w:bCs/>
          <w:sz w:val="24"/>
          <w:szCs w:val="24"/>
        </w:rPr>
      </w:pPr>
    </w:p>
    <w:p w:rsidR="00567703" w:rsidRDefault="00567703" w:rsidP="00C12A83">
      <w:pPr>
        <w:pStyle w:val="TableHeading"/>
        <w:spacing w:line="240" w:lineRule="auto"/>
        <w:rPr>
          <w:bCs/>
          <w:sz w:val="24"/>
          <w:szCs w:val="24"/>
        </w:rPr>
      </w:pPr>
    </w:p>
    <w:p w:rsidR="00567703" w:rsidRDefault="00567703" w:rsidP="00C12A83">
      <w:pPr>
        <w:pStyle w:val="TableHeading"/>
        <w:spacing w:line="240" w:lineRule="auto"/>
        <w:rPr>
          <w:bCs/>
          <w:sz w:val="24"/>
          <w:szCs w:val="24"/>
        </w:rPr>
      </w:pPr>
    </w:p>
    <w:p w:rsidR="00C12A83" w:rsidRPr="005B0CA4" w:rsidRDefault="00567703" w:rsidP="00C12A83">
      <w:pPr>
        <w:pStyle w:val="TableHeading"/>
        <w:spacing w:line="240" w:lineRule="auto"/>
        <w:rPr>
          <w:bCs/>
          <w:sz w:val="24"/>
          <w:szCs w:val="24"/>
        </w:rPr>
      </w:pPr>
      <w:r>
        <w:rPr>
          <w:bCs/>
          <w:sz w:val="24"/>
          <w:szCs w:val="24"/>
        </w:rPr>
        <w:lastRenderedPageBreak/>
        <w:t>A</w:t>
      </w:r>
      <w:r w:rsidR="00C12A83" w:rsidRPr="005B0CA4">
        <w:rPr>
          <w:bCs/>
          <w:sz w:val="24"/>
          <w:szCs w:val="24"/>
        </w:rPr>
        <w:t>2.2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 significant finding of the research was the extent to which deferred consideration was utilised in pre-packaged sales in 2010. Over half of all sales (264/499) included an element of deferred consideration. The majority of these (171/264) took some form of security, normally in the form of a personal guarantee from the directors, though various other methods were used, including debentures over the assets of the purchaser, retention of title in the assets and fixed charges over property.</w:t>
      </w:r>
    </w:p>
    <w:p w:rsidR="00C12A83" w:rsidRDefault="00C12A83" w:rsidP="00C12A83">
      <w:pPr>
        <w:pStyle w:val="TableHeading"/>
        <w:spacing w:line="240" w:lineRule="auto"/>
        <w:rPr>
          <w:b w:val="0"/>
          <w:bCs/>
          <w:sz w:val="24"/>
          <w:szCs w:val="24"/>
        </w:rPr>
      </w:pPr>
    </w:p>
    <w:tbl>
      <w:tblPr>
        <w:tblW w:w="6840" w:type="dxa"/>
        <w:jc w:val="center"/>
        <w:tblInd w:w="93" w:type="dxa"/>
        <w:tblLook w:val="04A0" w:firstRow="1" w:lastRow="0" w:firstColumn="1" w:lastColumn="0" w:noHBand="0" w:noVBand="1"/>
      </w:tblPr>
      <w:tblGrid>
        <w:gridCol w:w="2280"/>
        <w:gridCol w:w="2280"/>
        <w:gridCol w:w="2280"/>
      </w:tblGrid>
      <w:tr w:rsidR="00C12A83" w:rsidRPr="00E63733" w:rsidTr="00820FE6">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E63733" w:rsidRDefault="00C12A83" w:rsidP="00820FE6">
            <w:pPr>
              <w:rPr>
                <w:rFonts w:ascii="Calibri" w:hAnsi="Calibri"/>
                <w:color w:val="000000"/>
                <w:lang w:eastAsia="en-GB"/>
              </w:rPr>
            </w:pPr>
            <w:r w:rsidRPr="00E63733">
              <w:rPr>
                <w:rFonts w:ascii="Calibri" w:hAnsi="Calibri"/>
                <w:color w:val="000000"/>
                <w:lang w:eastAsia="en-GB"/>
              </w:rPr>
              <w:t> </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E63733" w:rsidRDefault="00C12A83" w:rsidP="00820FE6">
            <w:pPr>
              <w:jc w:val="center"/>
              <w:rPr>
                <w:rFonts w:ascii="Calibri" w:hAnsi="Calibri"/>
                <w:b/>
                <w:bCs/>
                <w:color w:val="000000"/>
                <w:lang w:eastAsia="en-GB"/>
              </w:rPr>
            </w:pPr>
            <w:r w:rsidRPr="00E63733">
              <w:rPr>
                <w:rFonts w:ascii="Calibri" w:hAnsi="Calibri"/>
                <w:b/>
                <w:bCs/>
                <w:color w:val="000000"/>
                <w:lang w:eastAsia="en-GB"/>
              </w:rPr>
              <w:t>Pre-pack</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E63733" w:rsidRDefault="00C12A83" w:rsidP="00820FE6">
            <w:pPr>
              <w:jc w:val="center"/>
              <w:rPr>
                <w:rFonts w:ascii="Calibri" w:hAnsi="Calibri"/>
                <w:b/>
                <w:bCs/>
                <w:color w:val="000000"/>
                <w:lang w:eastAsia="en-GB"/>
              </w:rPr>
            </w:pPr>
            <w:r w:rsidRPr="00E63733">
              <w:rPr>
                <w:rFonts w:ascii="Calibri" w:hAnsi="Calibri"/>
                <w:b/>
                <w:bCs/>
                <w:color w:val="000000"/>
                <w:lang w:eastAsia="en-GB"/>
              </w:rPr>
              <w:t>Proportion</w:t>
            </w:r>
          </w:p>
        </w:tc>
      </w:tr>
      <w:tr w:rsidR="00C12A83" w:rsidRPr="00E63733" w:rsidTr="00820FE6">
        <w:trPr>
          <w:trHeight w:val="6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Deferred Consideration</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264</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52.9%</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B457E4" w:rsidRDefault="00C12A83" w:rsidP="00820FE6">
            <w:pPr>
              <w:rPr>
                <w:rFonts w:ascii="Calibri" w:hAnsi="Calibri"/>
                <w:b/>
                <w:bCs/>
                <w:i/>
                <w:color w:val="000000"/>
                <w:lang w:eastAsia="en-GB"/>
              </w:rPr>
            </w:pPr>
            <w:r w:rsidRPr="00B457E4">
              <w:rPr>
                <w:rFonts w:ascii="Calibri" w:hAnsi="Calibri"/>
                <w:b/>
                <w:bCs/>
                <w:i/>
                <w:color w:val="000000"/>
                <w:lang w:eastAsia="en-GB"/>
              </w:rPr>
              <w:t>- with security</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171</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64.8%</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B457E4" w:rsidRDefault="00C12A83" w:rsidP="00820FE6">
            <w:pPr>
              <w:rPr>
                <w:rFonts w:ascii="Calibri" w:hAnsi="Calibri"/>
                <w:b/>
                <w:bCs/>
                <w:i/>
                <w:color w:val="000000"/>
                <w:lang w:eastAsia="en-GB"/>
              </w:rPr>
            </w:pPr>
            <w:r w:rsidRPr="00B457E4">
              <w:rPr>
                <w:rFonts w:ascii="Calibri" w:hAnsi="Calibri"/>
                <w:b/>
                <w:bCs/>
                <w:i/>
                <w:color w:val="000000"/>
                <w:lang w:eastAsia="en-GB"/>
              </w:rPr>
              <w:t>- without security</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77</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29.2%</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B457E4" w:rsidRDefault="00C12A83" w:rsidP="00820FE6">
            <w:pPr>
              <w:rPr>
                <w:rFonts w:ascii="Calibri" w:hAnsi="Calibri"/>
                <w:b/>
                <w:bCs/>
                <w:i/>
                <w:color w:val="000000"/>
                <w:lang w:eastAsia="en-GB"/>
              </w:rPr>
            </w:pPr>
            <w:r w:rsidRPr="00B457E4">
              <w:rPr>
                <w:rFonts w:ascii="Calibri" w:hAnsi="Calibri"/>
                <w:b/>
                <w:bCs/>
                <w:i/>
                <w:color w:val="000000"/>
                <w:lang w:eastAsia="en-GB"/>
              </w:rPr>
              <w:t>- security taken N/K</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16</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B457E4" w:rsidRDefault="00C12A83" w:rsidP="00820FE6">
            <w:pPr>
              <w:jc w:val="center"/>
              <w:rPr>
                <w:rFonts w:ascii="Calibri" w:hAnsi="Calibri"/>
                <w:i/>
                <w:color w:val="000000"/>
                <w:lang w:eastAsia="en-GB"/>
              </w:rPr>
            </w:pPr>
            <w:r w:rsidRPr="00B457E4">
              <w:rPr>
                <w:rFonts w:ascii="Calibri" w:hAnsi="Calibri"/>
                <w:i/>
                <w:color w:val="000000"/>
                <w:lang w:eastAsia="en-GB"/>
              </w:rPr>
              <w:t>6.1%</w:t>
            </w:r>
          </w:p>
        </w:tc>
      </w:tr>
      <w:tr w:rsidR="00C12A83" w:rsidRPr="00E63733" w:rsidTr="00820FE6">
        <w:trPr>
          <w:trHeight w:val="6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No Deferred Consideration</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233</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46.7%</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N/K</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2</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0.4%</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Total</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499</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Pr="00E63733" w:rsidRDefault="00C12A83" w:rsidP="00820FE6">
            <w:pPr>
              <w:jc w:val="center"/>
              <w:rPr>
                <w:rFonts w:ascii="Calibri" w:hAnsi="Calibri"/>
                <w:color w:val="000000"/>
                <w:lang w:eastAsia="en-GB"/>
              </w:rPr>
            </w:pPr>
            <w:r w:rsidRPr="00E63733">
              <w:rPr>
                <w:rFonts w:ascii="Calibri" w:hAnsi="Calibri"/>
                <w:color w:val="000000"/>
                <w:lang w:eastAsia="en-GB"/>
              </w:rPr>
              <w:t>100.0%</w:t>
            </w:r>
          </w:p>
        </w:tc>
      </w:tr>
    </w:tbl>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Where the purchase price was paid on a deferred basis, in the majority of cases (223/242 where data available) the deferred sum was due within 12 months of the purchase. However, in only a very few cases was the deferred consideration payable within two months of the sale completing (38/242), </w:t>
      </w:r>
      <w:r w:rsidR="00B457E4">
        <w:rPr>
          <w:b w:val="0"/>
          <w:bCs/>
          <w:sz w:val="24"/>
          <w:szCs w:val="24"/>
        </w:rPr>
        <w:t xml:space="preserve">that is, </w:t>
      </w:r>
      <w:r>
        <w:rPr>
          <w:b w:val="0"/>
          <w:bCs/>
          <w:sz w:val="24"/>
          <w:szCs w:val="24"/>
        </w:rPr>
        <w:t xml:space="preserve">before the administrator’s proposals need to be distributed to creditors in accordance with paragraph 49 of Schedule B1 IA 1986. </w:t>
      </w:r>
    </w:p>
    <w:p w:rsidR="00C12A83" w:rsidRDefault="00C12A83" w:rsidP="00C12A83">
      <w:pPr>
        <w:pStyle w:val="TableHeading"/>
        <w:spacing w:line="240" w:lineRule="auto"/>
        <w:rPr>
          <w:b w:val="0"/>
          <w:bCs/>
          <w:sz w:val="24"/>
          <w:szCs w:val="24"/>
        </w:rPr>
      </w:pPr>
    </w:p>
    <w:p w:rsidR="00C12A83" w:rsidRDefault="00B457E4" w:rsidP="00C12A83">
      <w:pPr>
        <w:pStyle w:val="TableHeading"/>
        <w:spacing w:line="240" w:lineRule="auto"/>
        <w:rPr>
          <w:b w:val="0"/>
          <w:bCs/>
          <w:sz w:val="24"/>
          <w:szCs w:val="24"/>
        </w:rPr>
      </w:pPr>
      <w:r>
        <w:rPr>
          <w:b w:val="0"/>
          <w:bCs/>
          <w:sz w:val="24"/>
          <w:szCs w:val="24"/>
        </w:rPr>
        <w:t>I</w:t>
      </w:r>
      <w:r w:rsidR="00C12A83">
        <w:rPr>
          <w:b w:val="0"/>
          <w:bCs/>
          <w:sz w:val="24"/>
          <w:szCs w:val="24"/>
        </w:rPr>
        <w:t xml:space="preserve">n </w:t>
      </w:r>
      <w:r>
        <w:rPr>
          <w:b w:val="0"/>
          <w:bCs/>
          <w:sz w:val="24"/>
          <w:szCs w:val="24"/>
        </w:rPr>
        <w:t xml:space="preserve">239 </w:t>
      </w:r>
      <w:r w:rsidR="00992CE2">
        <w:rPr>
          <w:b w:val="0"/>
          <w:bCs/>
          <w:sz w:val="24"/>
          <w:szCs w:val="24"/>
        </w:rPr>
        <w:t>(</w:t>
      </w:r>
      <w:r>
        <w:rPr>
          <w:b w:val="0"/>
          <w:bCs/>
          <w:sz w:val="24"/>
          <w:szCs w:val="24"/>
        </w:rPr>
        <w:t>of the total 264</w:t>
      </w:r>
      <w:r w:rsidR="00992CE2">
        <w:rPr>
          <w:b w:val="0"/>
          <w:bCs/>
          <w:sz w:val="24"/>
          <w:szCs w:val="24"/>
        </w:rPr>
        <w:t>)</w:t>
      </w:r>
      <w:r>
        <w:rPr>
          <w:b w:val="0"/>
          <w:bCs/>
          <w:sz w:val="24"/>
          <w:szCs w:val="24"/>
        </w:rPr>
        <w:t xml:space="preserve"> cases </w:t>
      </w:r>
      <w:r w:rsidR="00C12A83">
        <w:rPr>
          <w:b w:val="0"/>
          <w:bCs/>
          <w:sz w:val="24"/>
          <w:szCs w:val="24"/>
        </w:rPr>
        <w:t>deferred consideration was agreed</w:t>
      </w:r>
      <w:r>
        <w:rPr>
          <w:b w:val="0"/>
          <w:bCs/>
          <w:sz w:val="24"/>
          <w:szCs w:val="24"/>
        </w:rPr>
        <w:t xml:space="preserve"> and </w:t>
      </w:r>
      <w:r w:rsidR="00C12A83">
        <w:rPr>
          <w:b w:val="0"/>
          <w:bCs/>
          <w:sz w:val="24"/>
          <w:szCs w:val="24"/>
        </w:rPr>
        <w:t>was</w:t>
      </w:r>
      <w:r w:rsidR="00992CE2">
        <w:rPr>
          <w:b w:val="0"/>
          <w:bCs/>
          <w:sz w:val="24"/>
          <w:szCs w:val="24"/>
        </w:rPr>
        <w:t xml:space="preserve"> known to be</w:t>
      </w:r>
      <w:r w:rsidR="00C12A83">
        <w:rPr>
          <w:b w:val="0"/>
          <w:bCs/>
          <w:sz w:val="24"/>
          <w:szCs w:val="24"/>
        </w:rPr>
        <w:t xml:space="preserve"> payable within 36 months of the pre-pack sale completing</w:t>
      </w:r>
      <w:r>
        <w:rPr>
          <w:b w:val="0"/>
          <w:bCs/>
          <w:sz w:val="24"/>
          <w:szCs w:val="24"/>
        </w:rPr>
        <w:t xml:space="preserve">. Of these 239 cases, </w:t>
      </w:r>
      <w:r w:rsidR="00C12A83">
        <w:rPr>
          <w:b w:val="0"/>
          <w:bCs/>
          <w:sz w:val="24"/>
          <w:szCs w:val="24"/>
        </w:rPr>
        <w:t>the deferred consideration was not paid in full</w:t>
      </w:r>
      <w:r>
        <w:rPr>
          <w:b w:val="0"/>
          <w:bCs/>
          <w:sz w:val="24"/>
          <w:szCs w:val="24"/>
        </w:rPr>
        <w:t xml:space="preserve"> on 43 occasions</w:t>
      </w:r>
      <w:r w:rsidR="00C12A83">
        <w:rPr>
          <w:b w:val="0"/>
          <w:bCs/>
          <w:sz w:val="24"/>
          <w:szCs w:val="24"/>
        </w:rPr>
        <w:t>. This failure to pay deferred consideration can be put down to a number of factors, the most common being the subsequent failure of the purchaser (28/43).</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7F5FD0AF" wp14:editId="19D5B64C">
            <wp:extent cx="5874589" cy="3200400"/>
            <wp:effectExtent l="0" t="0" r="1206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2A83" w:rsidRDefault="00C12A83" w:rsidP="00C12A83">
      <w:pPr>
        <w:pStyle w:val="TableHeading"/>
        <w:spacing w:line="240" w:lineRule="auto"/>
        <w:rPr>
          <w:b w:val="0"/>
          <w:bCs/>
          <w:sz w:val="24"/>
          <w:szCs w:val="24"/>
        </w:rPr>
      </w:pPr>
    </w:p>
    <w:tbl>
      <w:tblPr>
        <w:tblW w:w="9260" w:type="dxa"/>
        <w:tblInd w:w="93" w:type="dxa"/>
        <w:tblLook w:val="04A0" w:firstRow="1" w:lastRow="0" w:firstColumn="1" w:lastColumn="0" w:noHBand="0" w:noVBand="1"/>
      </w:tblPr>
      <w:tblGrid>
        <w:gridCol w:w="960"/>
        <w:gridCol w:w="1660"/>
        <w:gridCol w:w="1660"/>
        <w:gridCol w:w="1660"/>
        <w:gridCol w:w="1660"/>
        <w:gridCol w:w="1660"/>
      </w:tblGrid>
      <w:tr w:rsidR="00C12A83" w:rsidRPr="008025CC" w:rsidTr="00820FE6">
        <w:trPr>
          <w:trHeight w:val="12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 </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within 1 month</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within 2 months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within 6 months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within 12 months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C12A83" w:rsidRPr="008025CC" w:rsidRDefault="00C12A83" w:rsidP="00820FE6">
            <w:pPr>
              <w:rPr>
                <w:rFonts w:ascii="Calibri" w:hAnsi="Calibri"/>
                <w:b/>
                <w:bCs/>
                <w:color w:val="000000"/>
                <w:lang w:eastAsia="en-GB"/>
              </w:rPr>
            </w:pPr>
            <w:r w:rsidRPr="008025CC">
              <w:rPr>
                <w:rFonts w:ascii="Calibri" w:hAnsi="Calibri"/>
                <w:b/>
                <w:bCs/>
                <w:color w:val="000000"/>
                <w:lang w:eastAsia="en-GB"/>
              </w:rPr>
              <w:t>Total deferred consideration due after 12 months</w:t>
            </w:r>
          </w:p>
        </w:tc>
      </w:tr>
      <w:tr w:rsidR="00C12A83" w:rsidRPr="008025CC" w:rsidTr="00820F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Yes</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18</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38</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148</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223</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19</w:t>
            </w:r>
          </w:p>
        </w:tc>
      </w:tr>
      <w:tr w:rsidR="00C12A83" w:rsidRPr="008025CC" w:rsidTr="00820F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No</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204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94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19</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223</w:t>
            </w:r>
          </w:p>
        </w:tc>
      </w:tr>
      <w:tr w:rsidR="00C12A83" w:rsidRPr="008025CC" w:rsidTr="00820F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N/K</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22</w:t>
            </w:r>
          </w:p>
        </w:tc>
      </w:tr>
      <w:tr w:rsidR="00C12A83" w:rsidRPr="008025CC" w:rsidTr="00820F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025CC" w:rsidRDefault="00C12A83" w:rsidP="00820FE6">
            <w:pPr>
              <w:rPr>
                <w:rFonts w:ascii="Calibri" w:hAnsi="Calibri"/>
                <w:color w:val="000000"/>
                <w:lang w:eastAsia="en-GB"/>
              </w:rPr>
            </w:pPr>
            <w:r w:rsidRPr="008025CC">
              <w:rPr>
                <w:rFonts w:ascii="Calibri" w:hAnsi="Calibri"/>
                <w:color w:val="000000"/>
                <w:lang w:eastAsia="en-GB"/>
              </w:rPr>
              <w:t>Total</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c>
          <w:tcPr>
            <w:tcW w:w="1660" w:type="dxa"/>
            <w:tcBorders>
              <w:top w:val="nil"/>
              <w:left w:val="nil"/>
              <w:bottom w:val="single" w:sz="4" w:space="0" w:color="auto"/>
              <w:right w:val="single" w:sz="4" w:space="0" w:color="auto"/>
            </w:tcBorders>
            <w:shd w:val="clear" w:color="auto" w:fill="auto"/>
            <w:noWrap/>
            <w:vAlign w:val="bottom"/>
            <w:hideMark/>
          </w:tcPr>
          <w:p w:rsidR="00C12A83" w:rsidRPr="008025CC" w:rsidRDefault="00C12A83" w:rsidP="00820FE6">
            <w:pPr>
              <w:jc w:val="right"/>
              <w:rPr>
                <w:rFonts w:ascii="Calibri" w:hAnsi="Calibri"/>
                <w:color w:val="000000"/>
                <w:lang w:eastAsia="en-GB"/>
              </w:rPr>
            </w:pPr>
            <w:r w:rsidRPr="008025CC">
              <w:rPr>
                <w:rFonts w:ascii="Calibri" w:hAnsi="Calibri"/>
                <w:color w:val="000000"/>
                <w:lang w:eastAsia="en-GB"/>
              </w:rPr>
              <w:t>264</w:t>
            </w:r>
          </w:p>
        </w:tc>
      </w:tr>
    </w:tbl>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Pr>
          <w:bCs/>
          <w:sz w:val="24"/>
          <w:szCs w:val="24"/>
        </w:rPr>
        <w:t>2</w:t>
      </w:r>
      <w:r w:rsidR="00C12A83" w:rsidRPr="005B0CA4">
        <w:rPr>
          <w:bCs/>
          <w:sz w:val="24"/>
          <w:szCs w:val="24"/>
        </w:rPr>
        <w:t xml:space="preserve">.3 </w:t>
      </w:r>
      <w:r>
        <w:rPr>
          <w:bCs/>
          <w:sz w:val="24"/>
          <w:szCs w:val="24"/>
        </w:rPr>
        <w:tab/>
      </w:r>
      <w:r w:rsidR="00C12A83" w:rsidRPr="005B0CA4">
        <w:rPr>
          <w:bCs/>
          <w:sz w:val="24"/>
          <w:szCs w:val="24"/>
        </w:rPr>
        <w:t>Marketing undertaken prior to the pre-pack administration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the majority of cases reviewed</w:t>
      </w:r>
      <w:r w:rsidR="00992CE2">
        <w:rPr>
          <w:b w:val="0"/>
          <w:bCs/>
          <w:sz w:val="24"/>
          <w:szCs w:val="24"/>
        </w:rPr>
        <w:t>,</w:t>
      </w:r>
      <w:r>
        <w:rPr>
          <w:b w:val="0"/>
          <w:bCs/>
          <w:sz w:val="24"/>
          <w:szCs w:val="24"/>
        </w:rPr>
        <w:t xml:space="preserve"> the administrators reported that marketing was carried out prior to the pre-pack sale (303/497). We note that this data is based on self-reporting by the administrators in the SIP16 Reports</w:t>
      </w:r>
      <w:r w:rsidR="00992CE2">
        <w:rPr>
          <w:b w:val="0"/>
          <w:bCs/>
          <w:sz w:val="24"/>
          <w:szCs w:val="24"/>
        </w:rPr>
        <w:t>. Furthermore,</w:t>
      </w:r>
      <w:r>
        <w:rPr>
          <w:b w:val="0"/>
          <w:bCs/>
          <w:sz w:val="24"/>
          <w:szCs w:val="24"/>
        </w:rPr>
        <w:t xml:space="preserve"> there appear</w:t>
      </w:r>
      <w:r w:rsidR="00992CE2">
        <w:rPr>
          <w:b w:val="0"/>
          <w:bCs/>
          <w:sz w:val="24"/>
          <w:szCs w:val="24"/>
        </w:rPr>
        <w:t>s</w:t>
      </w:r>
      <w:r>
        <w:rPr>
          <w:b w:val="0"/>
          <w:bCs/>
          <w:sz w:val="24"/>
          <w:szCs w:val="24"/>
        </w:rPr>
        <w:t xml:space="preserve"> to be a wide disparity as to the level of marketing taking place. Please see </w:t>
      </w:r>
      <w:r w:rsidR="00992CE2">
        <w:rPr>
          <w:b w:val="0"/>
          <w:bCs/>
          <w:sz w:val="24"/>
          <w:szCs w:val="24"/>
        </w:rPr>
        <w:t>Part</w:t>
      </w:r>
      <w:r>
        <w:rPr>
          <w:b w:val="0"/>
          <w:bCs/>
          <w:sz w:val="24"/>
          <w:szCs w:val="24"/>
        </w:rPr>
        <w:t xml:space="preserve"> IV of this report for further comment.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In over a third of all cases where marketing was carried out, it would appear it began prior to the </w:t>
      </w:r>
      <w:r w:rsidR="00992CE2">
        <w:rPr>
          <w:b w:val="0"/>
          <w:bCs/>
          <w:sz w:val="24"/>
          <w:szCs w:val="24"/>
        </w:rPr>
        <w:t>IP</w:t>
      </w:r>
      <w:r>
        <w:rPr>
          <w:b w:val="0"/>
          <w:bCs/>
          <w:sz w:val="24"/>
          <w:szCs w:val="24"/>
        </w:rPr>
        <w:t>s’ involvement with oldco, suggesting that a reasonable number of companies using pre-packs in 2010 (103/497) had sought outside investment or interest prior to seeking specialist insolvency advice.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36BF4AAA" wp14:editId="63A0396B">
            <wp:extent cx="5486400" cy="3864634"/>
            <wp:effectExtent l="0" t="0" r="19050" b="215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2A83" w:rsidRDefault="00C12A83" w:rsidP="00C12A83">
      <w:pPr>
        <w:pStyle w:val="TableHeading"/>
        <w:spacing w:line="240" w:lineRule="auto"/>
        <w:rPr>
          <w:b w:val="0"/>
          <w:bCs/>
          <w:sz w:val="24"/>
          <w:szCs w:val="24"/>
        </w:rPr>
      </w:pPr>
    </w:p>
    <w:tbl>
      <w:tblPr>
        <w:tblW w:w="4160" w:type="dxa"/>
        <w:jc w:val="center"/>
        <w:tblInd w:w="93" w:type="dxa"/>
        <w:tblLook w:val="04A0" w:firstRow="1" w:lastRow="0" w:firstColumn="1" w:lastColumn="0" w:noHBand="0" w:noVBand="1"/>
      </w:tblPr>
      <w:tblGrid>
        <w:gridCol w:w="2142"/>
        <w:gridCol w:w="2018"/>
      </w:tblGrid>
      <w:tr w:rsidR="00C12A83" w:rsidRPr="00343E2E" w:rsidTr="00820FE6">
        <w:trPr>
          <w:trHeight w:val="60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A83" w:rsidRPr="00343E2E" w:rsidRDefault="00C12A83" w:rsidP="00820FE6">
            <w:pPr>
              <w:jc w:val="center"/>
              <w:rPr>
                <w:rFonts w:ascii="Calibri" w:hAnsi="Calibri"/>
                <w:b/>
                <w:bCs/>
                <w:color w:val="000000"/>
                <w:lang w:eastAsia="en-GB"/>
              </w:rPr>
            </w:pPr>
            <w:r w:rsidRPr="00343E2E">
              <w:rPr>
                <w:rFonts w:ascii="Calibri" w:hAnsi="Calibri"/>
                <w:b/>
                <w:bCs/>
                <w:color w:val="000000"/>
                <w:lang w:eastAsia="en-GB"/>
              </w:rPr>
              <w:t>Marketing</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C12A83" w:rsidRPr="00343E2E" w:rsidRDefault="00C12A83" w:rsidP="00820FE6">
            <w:pPr>
              <w:jc w:val="center"/>
              <w:rPr>
                <w:rFonts w:ascii="Calibri" w:hAnsi="Calibri"/>
                <w:b/>
                <w:bCs/>
                <w:color w:val="000000"/>
                <w:lang w:eastAsia="en-GB"/>
              </w:rPr>
            </w:pPr>
            <w:r w:rsidRPr="00343E2E">
              <w:rPr>
                <w:rFonts w:ascii="Calibri" w:hAnsi="Calibri"/>
                <w:b/>
                <w:bCs/>
                <w:color w:val="000000"/>
                <w:lang w:eastAsia="en-GB"/>
              </w:rPr>
              <w:t>Count</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sidRPr="00343E2E">
              <w:rPr>
                <w:rFonts w:ascii="Calibri" w:hAnsi="Calibri"/>
                <w:color w:val="000000"/>
                <w:lang w:eastAsia="en-GB"/>
              </w:rPr>
              <w:t>Yes</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303</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Pr>
                <w:rFonts w:ascii="Calibri" w:hAnsi="Calibri"/>
                <w:color w:val="000000"/>
                <w:lang w:eastAsia="en-GB"/>
              </w:rPr>
              <w:t>- p</w:t>
            </w:r>
            <w:r w:rsidRPr="00343E2E">
              <w:rPr>
                <w:rFonts w:ascii="Calibri" w:hAnsi="Calibri"/>
                <w:color w:val="000000"/>
                <w:lang w:eastAsia="en-GB"/>
              </w:rPr>
              <w:t>re-IP involvement</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103</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Pr>
                <w:rFonts w:ascii="Calibri" w:hAnsi="Calibri"/>
                <w:color w:val="000000"/>
                <w:lang w:eastAsia="en-GB"/>
              </w:rPr>
              <w:t>- p</w:t>
            </w:r>
            <w:r w:rsidRPr="00343E2E">
              <w:rPr>
                <w:rFonts w:ascii="Calibri" w:hAnsi="Calibri"/>
                <w:color w:val="000000"/>
                <w:lang w:eastAsia="en-GB"/>
              </w:rPr>
              <w:t>ost-IP involvement</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196</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Pr>
                <w:rFonts w:ascii="Calibri" w:hAnsi="Calibri"/>
                <w:color w:val="000000"/>
                <w:lang w:eastAsia="en-GB"/>
              </w:rPr>
              <w:t>- n</w:t>
            </w:r>
            <w:r w:rsidRPr="00343E2E">
              <w:rPr>
                <w:rFonts w:ascii="Calibri" w:hAnsi="Calibri"/>
                <w:color w:val="000000"/>
                <w:lang w:eastAsia="en-GB"/>
              </w:rPr>
              <w:t>ot known</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4</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sidRPr="00343E2E">
              <w:rPr>
                <w:rFonts w:ascii="Calibri" w:hAnsi="Calibri"/>
                <w:color w:val="000000"/>
                <w:lang w:eastAsia="en-GB"/>
              </w:rPr>
              <w:t>No</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189</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sidRPr="00343E2E">
              <w:rPr>
                <w:rFonts w:ascii="Calibri" w:hAnsi="Calibri"/>
                <w:color w:val="000000"/>
                <w:lang w:eastAsia="en-GB"/>
              </w:rPr>
              <w:t>Not known</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5</w:t>
            </w:r>
          </w:p>
        </w:tc>
      </w:tr>
      <w:tr w:rsidR="00C12A83" w:rsidRPr="00343E2E" w:rsidTr="00820FE6">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12A83" w:rsidRPr="00343E2E" w:rsidRDefault="00C12A83" w:rsidP="00820FE6">
            <w:pPr>
              <w:rPr>
                <w:rFonts w:ascii="Calibri" w:hAnsi="Calibri"/>
                <w:color w:val="000000"/>
                <w:lang w:eastAsia="en-GB"/>
              </w:rPr>
            </w:pPr>
            <w:r w:rsidRPr="00343E2E">
              <w:rPr>
                <w:rFonts w:ascii="Calibri" w:hAnsi="Calibri"/>
                <w:color w:val="000000"/>
                <w:lang w:eastAsia="en-GB"/>
              </w:rPr>
              <w:t>Total</w:t>
            </w:r>
          </w:p>
        </w:tc>
        <w:tc>
          <w:tcPr>
            <w:tcW w:w="2018" w:type="dxa"/>
            <w:tcBorders>
              <w:top w:val="nil"/>
              <w:left w:val="nil"/>
              <w:bottom w:val="single" w:sz="4" w:space="0" w:color="auto"/>
              <w:right w:val="single" w:sz="4" w:space="0" w:color="auto"/>
            </w:tcBorders>
            <w:shd w:val="clear" w:color="auto" w:fill="auto"/>
            <w:noWrap/>
            <w:vAlign w:val="bottom"/>
            <w:hideMark/>
          </w:tcPr>
          <w:p w:rsidR="00C12A83" w:rsidRPr="00343E2E" w:rsidRDefault="00C12A83" w:rsidP="00820FE6">
            <w:pPr>
              <w:jc w:val="center"/>
              <w:rPr>
                <w:rFonts w:ascii="Calibri" w:hAnsi="Calibri"/>
                <w:color w:val="000000"/>
                <w:lang w:eastAsia="en-GB"/>
              </w:rPr>
            </w:pPr>
            <w:r w:rsidRPr="00343E2E">
              <w:rPr>
                <w:rFonts w:ascii="Calibri" w:hAnsi="Calibri"/>
                <w:color w:val="000000"/>
                <w:lang w:eastAsia="en-GB"/>
              </w:rPr>
              <w:t>497</w:t>
            </w:r>
          </w:p>
        </w:tc>
      </w:tr>
    </w:tbl>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Generally, where marketing was carried out, in the small number of cases for which data can be ascertained, it largely appears to have been conducted within the month prior to the pre-pack sale completing (117/185). However, for over a third of cases there is no clear evidence </w:t>
      </w:r>
      <w:r w:rsidR="00992CE2">
        <w:rPr>
          <w:b w:val="0"/>
          <w:bCs/>
          <w:sz w:val="24"/>
          <w:szCs w:val="24"/>
        </w:rPr>
        <w:t xml:space="preserve">from the SIP16 Reports </w:t>
      </w:r>
      <w:r>
        <w:rPr>
          <w:b w:val="0"/>
          <w:bCs/>
          <w:sz w:val="24"/>
          <w:szCs w:val="24"/>
        </w:rPr>
        <w:t>as to when the marketing was carried out.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14C799A9" wp14:editId="485EAF6D">
            <wp:extent cx="5486400" cy="32004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Pr>
          <w:bCs/>
          <w:sz w:val="24"/>
          <w:szCs w:val="24"/>
        </w:rPr>
        <w:t>2</w:t>
      </w:r>
      <w:r w:rsidR="00C12A83" w:rsidRPr="005B0CA4">
        <w:rPr>
          <w:bCs/>
          <w:sz w:val="24"/>
          <w:szCs w:val="24"/>
        </w:rPr>
        <w:t xml:space="preserve">.4 </w:t>
      </w:r>
      <w:r>
        <w:rPr>
          <w:bCs/>
          <w:sz w:val="24"/>
          <w:szCs w:val="24"/>
        </w:rPr>
        <w:tab/>
      </w:r>
      <w:r w:rsidR="00C12A83" w:rsidRPr="005B0CA4">
        <w:rPr>
          <w:bCs/>
          <w:sz w:val="24"/>
          <w:szCs w:val="24"/>
        </w:rPr>
        <w:t>Independent valuation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In the overwhelming majority of cases, an independent valuation was conducted as part of the pre-pack process. Please see our comments in </w:t>
      </w:r>
      <w:r w:rsidR="00992CE2">
        <w:rPr>
          <w:b w:val="0"/>
          <w:bCs/>
          <w:sz w:val="24"/>
          <w:szCs w:val="24"/>
        </w:rPr>
        <w:t xml:space="preserve">Part </w:t>
      </w:r>
      <w:r>
        <w:rPr>
          <w:b w:val="0"/>
          <w:bCs/>
          <w:sz w:val="24"/>
          <w:szCs w:val="24"/>
        </w:rPr>
        <w:t>IV about the limitations of certain valuations.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37CC9ED" wp14:editId="155B876E">
            <wp:extent cx="5486400" cy="32004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lastRenderedPageBreak/>
        <w:t>A</w:t>
      </w:r>
      <w:r w:rsidR="00C12A83">
        <w:rPr>
          <w:bCs/>
          <w:sz w:val="24"/>
          <w:szCs w:val="24"/>
        </w:rPr>
        <w:t>2</w:t>
      </w:r>
      <w:r w:rsidR="00C12A83" w:rsidRPr="005B0CA4">
        <w:rPr>
          <w:bCs/>
          <w:sz w:val="24"/>
          <w:szCs w:val="24"/>
        </w:rPr>
        <w:t>.5 Details of Insolvency Practitioner Firms involved in pre-packs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There were 103 different IP firms (“Firms”) engaged in the 497 pre-pack administrations reviewed. Of these, 52 Firms took only one appointment and a further 15 Firms took only two appointments.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 following ten Firms accounted for almost half of the appointments (238/498 – </w:t>
      </w:r>
      <w:r w:rsidR="00992CE2">
        <w:rPr>
          <w:b w:val="0"/>
          <w:bCs/>
          <w:sz w:val="24"/>
          <w:szCs w:val="24"/>
        </w:rPr>
        <w:t xml:space="preserve">NB </w:t>
      </w:r>
      <w:r>
        <w:rPr>
          <w:b w:val="0"/>
          <w:bCs/>
          <w:sz w:val="24"/>
          <w:szCs w:val="24"/>
        </w:rPr>
        <w:t>one appointment was shared between two Firms):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36743E0" wp14:editId="5BA3DC10">
            <wp:extent cx="5486400" cy="32004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Of the 10</w:t>
      </w:r>
      <w:r w:rsidR="00992CE2">
        <w:rPr>
          <w:b w:val="0"/>
          <w:bCs/>
          <w:sz w:val="24"/>
          <w:szCs w:val="24"/>
        </w:rPr>
        <w:t>3</w:t>
      </w:r>
      <w:r>
        <w:rPr>
          <w:b w:val="0"/>
          <w:bCs/>
          <w:sz w:val="24"/>
          <w:szCs w:val="24"/>
        </w:rPr>
        <w:t xml:space="preserve"> Firms involved in pre-packs, 67 made use of deferred consideration, 77 sold the business and assets to a connected party and 58 completed purchases to a connected party involving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ten Firms with the greatest number of appointments were involved in transactions including deferred consideration and/or connected sales as follows:</w:t>
      </w: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r w:rsidRPr="00992CE2">
        <w:rPr>
          <w:b w:val="0"/>
          <w:bCs/>
          <w:noProof/>
          <w:sz w:val="24"/>
          <w:szCs w:val="24"/>
          <w:lang w:eastAsia="en-GB"/>
        </w:rPr>
        <w:lastRenderedPageBreak/>
        <mc:AlternateContent>
          <mc:Choice Requires="wps">
            <w:drawing>
              <wp:anchor distT="0" distB="0" distL="114300" distR="114300" simplePos="0" relativeHeight="251667456" behindDoc="0" locked="0" layoutInCell="1" allowOverlap="1" wp14:anchorId="6945318B" wp14:editId="1E8A8826">
                <wp:simplePos x="0" y="0"/>
                <wp:positionH relativeFrom="column">
                  <wp:align>center</wp:align>
                </wp:positionH>
                <wp:positionV relativeFrom="paragraph">
                  <wp:posOffset>0</wp:posOffset>
                </wp:positionV>
                <wp:extent cx="3486150" cy="600075"/>
                <wp:effectExtent l="0" t="0" r="19050" b="285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00075"/>
                        </a:xfrm>
                        <a:prstGeom prst="rect">
                          <a:avLst/>
                        </a:prstGeom>
                        <a:solidFill>
                          <a:srgbClr val="FFFFFF"/>
                        </a:solidFill>
                        <a:ln w="9525">
                          <a:solidFill>
                            <a:srgbClr val="000000"/>
                          </a:solidFill>
                          <a:miter lim="800000"/>
                          <a:headEnd/>
                          <a:tailEnd/>
                        </a:ln>
                      </wps:spPr>
                      <wps:txbx>
                        <w:txbxContent>
                          <w:p w:rsidR="00265B0B" w:rsidRPr="00992CE2" w:rsidRDefault="00265B0B" w:rsidP="00992CE2">
                            <w:pPr>
                              <w:jc w:val="center"/>
                              <w:rPr>
                                <w:b/>
                                <w:sz w:val="28"/>
                              </w:rPr>
                            </w:pPr>
                            <w:r w:rsidRPr="00992CE2">
                              <w:rPr>
                                <w:b/>
                                <w:sz w:val="28"/>
                              </w:rPr>
                              <w:t>IP Firm Use of Deferred Consideration and Connected Sale</w:t>
                            </w:r>
                          </w:p>
                          <w:p w:rsidR="00265B0B" w:rsidRDefault="00265B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274.5pt;height:47.2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">
                <v:textbox>
                  <w:txbxContent>
                    <w:p w:rsidR="00265B0B" w:rsidRPr="00992CE2" w:rsidRDefault="00265B0B" w:rsidP="00992CE2">
                      <w:pPr>
                        <w:jc w:val="center"/>
                        <w:rPr>
                          <w:b/>
                          <w:sz w:val="28"/>
                        </w:rPr>
                      </w:pPr>
                      <w:r w:rsidRPr="00992CE2">
                        <w:rPr>
                          <w:b/>
                          <w:sz w:val="28"/>
                        </w:rPr>
                        <w:t>IP Firm Use of Deferred Consideration and Connected Sale</w:t>
                      </w:r>
                    </w:p>
                    <w:p w:rsidR="00265B0B" w:rsidRDefault="00265B0B"/>
                  </w:txbxContent>
                </v:textbox>
              </v:shape>
            </w:pict>
          </mc:Fallback>
        </mc:AlternateContent>
      </w:r>
    </w:p>
    <w:p w:rsidR="00992CE2" w:rsidRDefault="00992CE2" w:rsidP="00C12A83">
      <w:pPr>
        <w:pStyle w:val="TableHeading"/>
        <w:spacing w:line="240" w:lineRule="auto"/>
        <w:rPr>
          <w:b w:val="0"/>
          <w:bCs/>
          <w:sz w:val="24"/>
          <w:szCs w:val="24"/>
        </w:rPr>
      </w:pPr>
    </w:p>
    <w:p w:rsidR="00992CE2" w:rsidRDefault="00992CE2"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383E3D09" wp14:editId="46B85956">
            <wp:extent cx="5486400" cy="4779034"/>
            <wp:effectExtent l="0" t="0" r="19050" b="215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As can be seen from the above chart, the prevalence of sales to a connected party and/or sales involving deferred consideration is not uniform, with deferred consideration in particular used in very few cases by each of KPMG, Baker Tilly and Grant Thornton.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Across all 10</w:t>
      </w:r>
      <w:r w:rsidR="00992CE2">
        <w:rPr>
          <w:b w:val="0"/>
          <w:bCs/>
          <w:sz w:val="24"/>
          <w:szCs w:val="24"/>
        </w:rPr>
        <w:t>3</w:t>
      </w:r>
      <w:r>
        <w:rPr>
          <w:b w:val="0"/>
          <w:bCs/>
          <w:sz w:val="24"/>
          <w:szCs w:val="24"/>
        </w:rPr>
        <w:t xml:space="preserve"> Firms, Begbies Traynor, Leonard Curtis, RSM Tenon and Shipleys are the Firms with the greatest number of pre-pack sales involving a connected sale and/or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Full details of the appointment taking </w:t>
      </w:r>
      <w:r w:rsidR="00992CE2">
        <w:rPr>
          <w:b w:val="0"/>
          <w:bCs/>
          <w:sz w:val="24"/>
          <w:szCs w:val="24"/>
        </w:rPr>
        <w:t>F</w:t>
      </w:r>
      <w:r>
        <w:rPr>
          <w:b w:val="0"/>
          <w:bCs/>
          <w:sz w:val="24"/>
          <w:szCs w:val="24"/>
        </w:rPr>
        <w:t>irms is set out in Appendix 3.</w:t>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2.6 </w:t>
      </w:r>
      <w:r>
        <w:rPr>
          <w:bCs/>
          <w:sz w:val="24"/>
          <w:szCs w:val="24"/>
        </w:rPr>
        <w:tab/>
      </w:r>
      <w:r w:rsidR="00C12A83" w:rsidRPr="005B0CA4">
        <w:rPr>
          <w:bCs/>
          <w:sz w:val="24"/>
          <w:szCs w:val="24"/>
        </w:rPr>
        <w:t>Purchase Price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can be seen from the chart below that whilst there was a wide spread of purchase prices in pre-packs in 2010, from negligible sums to purchase prices in excess of </w:t>
      </w:r>
      <w:r>
        <w:rPr>
          <w:b w:val="0"/>
          <w:bCs/>
          <w:sz w:val="24"/>
          <w:szCs w:val="24"/>
        </w:rPr>
        <w:lastRenderedPageBreak/>
        <w:t>£20</w:t>
      </w:r>
      <w:r w:rsidR="00992CE2">
        <w:rPr>
          <w:b w:val="0"/>
          <w:bCs/>
          <w:sz w:val="24"/>
          <w:szCs w:val="24"/>
        </w:rPr>
        <w:t>million, the majority of sales we</w:t>
      </w:r>
      <w:r>
        <w:rPr>
          <w:b w:val="0"/>
          <w:bCs/>
          <w:sz w:val="24"/>
          <w:szCs w:val="24"/>
        </w:rPr>
        <w:t>re completed for sums below £100,000. This suggests that pre-packs are dominated by smaller business sales</w:t>
      </w:r>
      <w:r w:rsidR="00992CE2">
        <w:rPr>
          <w:b w:val="0"/>
          <w:bCs/>
          <w:sz w:val="24"/>
          <w:szCs w:val="24"/>
        </w:rPr>
        <w:t xml:space="preserve"> as is reflected by the number of Micro/Small companies utilising the pre-pack process referred to in A1.2 above.</w:t>
      </w:r>
    </w:p>
    <w:p w:rsidR="00C12A83" w:rsidRDefault="00C12A83" w:rsidP="00C12A83">
      <w:pPr>
        <w:pStyle w:val="TableHeading"/>
        <w:spacing w:line="240" w:lineRule="auto"/>
        <w:jc w:val="center"/>
        <w:rPr>
          <w:b w:val="0"/>
          <w:bCs/>
          <w:sz w:val="24"/>
          <w:szCs w:val="24"/>
        </w:rPr>
      </w:pPr>
      <w:r>
        <w:rPr>
          <w:noProof/>
          <w:lang w:eastAsia="en-GB"/>
        </w:rPr>
        <w:drawing>
          <wp:inline distT="0" distB="0" distL="0" distR="0" wp14:anchorId="294814A1" wp14:editId="4D4C3CE7">
            <wp:extent cx="5284381" cy="5560828"/>
            <wp:effectExtent l="0" t="0" r="0" b="1905"/>
            <wp:docPr id="61" name="Picture 6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7">
                      <a:extLst>
                        <a:ext uri="{28A0092B-C50C-407E-A947-70E740481C1C}">
                          <a14:useLocalDpi xmlns:a14="http://schemas.microsoft.com/office/drawing/2010/main" val="0"/>
                        </a:ext>
                      </a:extLst>
                    </a:blip>
                    <a:srcRect t="2788" r="7764"/>
                    <a:stretch/>
                  </pic:blipFill>
                  <pic:spPr bwMode="auto">
                    <a:xfrm>
                      <a:off x="0" y="0"/>
                      <a:ext cx="5286509" cy="5563068"/>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Pr="005B0CA4" w:rsidRDefault="00567703" w:rsidP="00C12A83">
      <w:pPr>
        <w:pStyle w:val="TableHeading"/>
        <w:spacing w:line="240" w:lineRule="auto"/>
        <w:rPr>
          <w:bCs/>
          <w:sz w:val="24"/>
          <w:szCs w:val="24"/>
        </w:rPr>
      </w:pPr>
      <w:r>
        <w:rPr>
          <w:bCs/>
          <w:sz w:val="24"/>
          <w:szCs w:val="24"/>
        </w:rPr>
        <w:t>A</w:t>
      </w:r>
      <w:r w:rsidR="00C12A83" w:rsidRPr="005B0CA4">
        <w:rPr>
          <w:bCs/>
          <w:sz w:val="24"/>
          <w:szCs w:val="24"/>
        </w:rPr>
        <w:t xml:space="preserve">2.7 </w:t>
      </w:r>
      <w:r>
        <w:rPr>
          <w:bCs/>
          <w:sz w:val="24"/>
          <w:szCs w:val="24"/>
        </w:rPr>
        <w:tab/>
      </w:r>
      <w:r w:rsidR="00C12A83" w:rsidRPr="005B0CA4">
        <w:rPr>
          <w:bCs/>
          <w:sz w:val="24"/>
          <w:szCs w:val="24"/>
        </w:rPr>
        <w:t>Employment preservation by purchaser in pre-packs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 large number of SIP16 Reports cite the preservation of employment pursuant to the provisions of the Transfer of Undertakings (Protection of Employment) Regulations 2006 (“TUPE”) as one of the reasons for / benefits of using a pre-pack administration. The benefit is often reported as an outright preservation of jobs, but more usually as achieving a reduction in the likely preferential and unsecured creditor claims were the employees to be made redundant as a result of oldco’s insolvency.</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lastRenderedPageBreak/>
        <w:t xml:space="preserve">Despite this, the information regarding employment preservation reported in the SIP16 Reports is often poor and lacking in clarity. It would appear that where all of the jobs have been preserved pursuant to TUPE this is reported. However, where less than 100% employment preservation is achieved the </w:t>
      </w:r>
      <w:r w:rsidR="00992CE2">
        <w:rPr>
          <w:b w:val="0"/>
          <w:bCs/>
          <w:sz w:val="24"/>
          <w:szCs w:val="24"/>
        </w:rPr>
        <w:t>data</w:t>
      </w:r>
      <w:r>
        <w:rPr>
          <w:b w:val="0"/>
          <w:bCs/>
          <w:sz w:val="24"/>
          <w:szCs w:val="24"/>
        </w:rPr>
        <w:t xml:space="preserve"> become less </w:t>
      </w:r>
      <w:r w:rsidR="00992CE2">
        <w:rPr>
          <w:b w:val="0"/>
          <w:bCs/>
          <w:sz w:val="24"/>
          <w:szCs w:val="24"/>
        </w:rPr>
        <w:t>clear</w:t>
      </w:r>
      <w:r>
        <w:rPr>
          <w:b w:val="0"/>
          <w:bCs/>
          <w:sz w:val="24"/>
          <w:szCs w:val="24"/>
        </w:rPr>
        <w:t xml:space="preserv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From the data available both in the filed SIP16 Reports </w:t>
      </w:r>
      <w:r w:rsidR="00992CE2">
        <w:rPr>
          <w:b w:val="0"/>
          <w:bCs/>
          <w:sz w:val="24"/>
          <w:szCs w:val="24"/>
        </w:rPr>
        <w:t xml:space="preserve">and in the data available </w:t>
      </w:r>
      <w:r>
        <w:rPr>
          <w:b w:val="0"/>
          <w:bCs/>
          <w:sz w:val="24"/>
          <w:szCs w:val="24"/>
        </w:rPr>
        <w:t>at Companies House it would appear that the majority of pre-packs preserve 100% of employment</w:t>
      </w:r>
      <w:r w:rsidR="00992CE2">
        <w:rPr>
          <w:b w:val="0"/>
          <w:bCs/>
          <w:sz w:val="24"/>
          <w:szCs w:val="24"/>
        </w:rPr>
        <w:t>. Conversely</w:t>
      </w:r>
      <w:r>
        <w:rPr>
          <w:b w:val="0"/>
          <w:bCs/>
          <w:sz w:val="24"/>
          <w:szCs w:val="24"/>
        </w:rPr>
        <w:t>, very few (20/499) result in no employment preservation – and these tend to be cases where the business was shut down prior to IP involvement and all employees had already been made redundant. The veracity of these figures cannot be confirmed, and it is not possible on the data presented to provide comment on the extent of employment preservation in the 51 cases categorised as ‘Some’.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0C950A6" wp14:editId="4627A4E8">
            <wp:extent cx="5486400" cy="356271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2A83" w:rsidRDefault="00C12A83" w:rsidP="00C12A83">
      <w:pPr>
        <w:pStyle w:val="TableHeading"/>
        <w:spacing w:line="240" w:lineRule="auto"/>
        <w:rPr>
          <w:b w:val="0"/>
          <w:bCs/>
          <w:sz w:val="24"/>
          <w:szCs w:val="24"/>
        </w:rPr>
      </w:pPr>
    </w:p>
    <w:p w:rsidR="00C12A83" w:rsidRPr="00787124" w:rsidRDefault="00567703" w:rsidP="00C12A83">
      <w:pPr>
        <w:pStyle w:val="TableHeading"/>
        <w:spacing w:line="240" w:lineRule="auto"/>
        <w:rPr>
          <w:bCs/>
          <w:sz w:val="24"/>
          <w:szCs w:val="24"/>
        </w:rPr>
      </w:pPr>
      <w:r>
        <w:rPr>
          <w:bCs/>
          <w:sz w:val="24"/>
          <w:szCs w:val="24"/>
        </w:rPr>
        <w:t>A</w:t>
      </w:r>
      <w:r w:rsidR="00C12A83" w:rsidRPr="00787124">
        <w:rPr>
          <w:bCs/>
          <w:sz w:val="24"/>
          <w:szCs w:val="24"/>
        </w:rPr>
        <w:t xml:space="preserve">2.8 </w:t>
      </w:r>
      <w:r>
        <w:rPr>
          <w:bCs/>
          <w:sz w:val="24"/>
          <w:szCs w:val="24"/>
        </w:rPr>
        <w:tab/>
      </w:r>
      <w:r w:rsidR="00C12A83" w:rsidRPr="00787124">
        <w:rPr>
          <w:bCs/>
          <w:sz w:val="24"/>
          <w:szCs w:val="24"/>
        </w:rPr>
        <w:t>Length of administration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majority of pre-pack</w:t>
      </w:r>
      <w:r w:rsidR="00500D31">
        <w:rPr>
          <w:b w:val="0"/>
          <w:bCs/>
          <w:sz w:val="24"/>
          <w:szCs w:val="24"/>
        </w:rPr>
        <w:t xml:space="preserve"> administrations</w:t>
      </w:r>
      <w:r>
        <w:rPr>
          <w:b w:val="0"/>
          <w:bCs/>
          <w:sz w:val="24"/>
          <w:szCs w:val="24"/>
        </w:rPr>
        <w:t xml:space="preserve"> appear to be completed within the statutory 12 month period set out in paragraph 76(1) Schedule B1</w:t>
      </w:r>
      <w:r w:rsidR="00500D31">
        <w:rPr>
          <w:b w:val="0"/>
          <w:bCs/>
          <w:sz w:val="24"/>
          <w:szCs w:val="24"/>
        </w:rPr>
        <w:t xml:space="preserve"> IA 1986</w:t>
      </w:r>
      <w:r>
        <w:rPr>
          <w:b w:val="0"/>
          <w:bCs/>
          <w:sz w:val="24"/>
          <w:szCs w:val="24"/>
        </w:rPr>
        <w:t xml:space="preserve">, and certainly over 90% of administrations have completed within the further six months allowed pursuant to paragraph 76(2)(b) Schedule B1 </w:t>
      </w:r>
      <w:r w:rsidR="00500D31">
        <w:rPr>
          <w:b w:val="0"/>
          <w:bCs/>
          <w:sz w:val="24"/>
          <w:szCs w:val="24"/>
        </w:rPr>
        <w:t xml:space="preserve">IA 1986 </w:t>
      </w:r>
      <w:r>
        <w:rPr>
          <w:b w:val="0"/>
          <w:bCs/>
          <w:sz w:val="24"/>
          <w:szCs w:val="24"/>
        </w:rPr>
        <w:t xml:space="preserve">(though it cannot be said on the data collected that this is how these administrations were extended).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500D31" w:rsidP="00C12A83">
      <w:pPr>
        <w:pStyle w:val="TableHeading"/>
        <w:spacing w:line="240" w:lineRule="auto"/>
        <w:jc w:val="center"/>
        <w:rPr>
          <w:b w:val="0"/>
          <w:bCs/>
          <w:sz w:val="24"/>
          <w:szCs w:val="24"/>
        </w:rPr>
      </w:pPr>
      <w:r w:rsidRPr="00500D31">
        <w:rPr>
          <w:b w:val="0"/>
          <w:bCs/>
          <w:noProof/>
          <w:sz w:val="24"/>
          <w:szCs w:val="24"/>
          <w:lang w:eastAsia="en-GB"/>
        </w:rPr>
        <w:lastRenderedPageBreak/>
        <mc:AlternateContent>
          <mc:Choice Requires="wps">
            <w:drawing>
              <wp:anchor distT="0" distB="0" distL="114300" distR="114300" simplePos="0" relativeHeight="251669504" behindDoc="0" locked="0" layoutInCell="1" allowOverlap="1" wp14:anchorId="5BBD7F7D" wp14:editId="0FD0B2B5">
                <wp:simplePos x="0" y="0"/>
                <wp:positionH relativeFrom="column">
                  <wp:posOffset>1628775</wp:posOffset>
                </wp:positionH>
                <wp:positionV relativeFrom="paragraph">
                  <wp:posOffset>-167006</wp:posOffset>
                </wp:positionV>
                <wp:extent cx="3257550" cy="647065"/>
                <wp:effectExtent l="0" t="0" r="19050" b="1968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47065"/>
                        </a:xfrm>
                        <a:prstGeom prst="rect">
                          <a:avLst/>
                        </a:prstGeom>
                        <a:solidFill>
                          <a:srgbClr val="FFFFFF"/>
                        </a:solidFill>
                        <a:ln w="9525">
                          <a:solidFill>
                            <a:srgbClr val="000000"/>
                          </a:solidFill>
                          <a:miter lim="800000"/>
                          <a:headEnd/>
                          <a:tailEnd/>
                        </a:ln>
                      </wps:spPr>
                      <wps:txbx>
                        <w:txbxContent>
                          <w:p w:rsidR="00265B0B" w:rsidRPr="00500D31" w:rsidRDefault="00265B0B" w:rsidP="00500D31">
                            <w:pPr>
                              <w:jc w:val="center"/>
                              <w:rPr>
                                <w:b/>
                                <w:sz w:val="28"/>
                              </w:rPr>
                            </w:pPr>
                            <w:r w:rsidRPr="00500D31">
                              <w:rPr>
                                <w:b/>
                                <w:sz w:val="28"/>
                              </w:rPr>
                              <w:t>Length of Pre-pack Administrations (in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8.25pt;margin-top:-13.15pt;width:256.5pt;height:5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">
                <v:textbox>
                  <w:txbxContent>
                    <w:p w:rsidR="00265B0B" w:rsidRPr="00500D31" w:rsidRDefault="00265B0B" w:rsidP="00500D31">
                      <w:pPr>
                        <w:jc w:val="center"/>
                        <w:rPr>
                          <w:b/>
                          <w:sz w:val="28"/>
                        </w:rPr>
                      </w:pPr>
                      <w:r w:rsidRPr="00500D31">
                        <w:rPr>
                          <w:b/>
                          <w:sz w:val="28"/>
                        </w:rPr>
                        <w:t>Length of Pre-pack Administrations (in days)</w:t>
                      </w:r>
                    </w:p>
                  </w:txbxContent>
                </v:textbox>
              </v:shape>
            </w:pict>
          </mc:Fallback>
        </mc:AlternateContent>
      </w:r>
      <w:r w:rsidR="00C12A83">
        <w:rPr>
          <w:noProof/>
          <w:lang w:eastAsia="en-GB"/>
        </w:rPr>
        <w:drawing>
          <wp:inline distT="0" distB="0" distL="0" distR="0" wp14:anchorId="79EE1F63" wp14:editId="3F370CBB">
            <wp:extent cx="4551288" cy="4752753"/>
            <wp:effectExtent l="0" t="0" r="1905"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9">
                      <a:extLst>
                        <a:ext uri="{28A0092B-C50C-407E-A947-70E740481C1C}">
                          <a14:useLocalDpi xmlns:a14="http://schemas.microsoft.com/office/drawing/2010/main" val="0"/>
                        </a:ext>
                      </a:extLst>
                    </a:blip>
                    <a:srcRect t="3531" r="7764"/>
                    <a:stretch/>
                  </pic:blipFill>
                  <pic:spPr bwMode="auto">
                    <a:xfrm>
                      <a:off x="0" y="0"/>
                      <a:ext cx="4551288" cy="4752753"/>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Cs/>
          <w:sz w:val="24"/>
          <w:szCs w:val="24"/>
        </w:rPr>
      </w:pPr>
    </w:p>
    <w:p w:rsidR="00C12A83" w:rsidRPr="00787124" w:rsidRDefault="00567703" w:rsidP="00C12A83">
      <w:pPr>
        <w:pStyle w:val="TableHeading"/>
        <w:spacing w:line="240" w:lineRule="auto"/>
        <w:rPr>
          <w:bCs/>
          <w:sz w:val="24"/>
          <w:szCs w:val="24"/>
        </w:rPr>
      </w:pPr>
      <w:r>
        <w:rPr>
          <w:bCs/>
          <w:sz w:val="24"/>
          <w:szCs w:val="24"/>
        </w:rPr>
        <w:t>A</w:t>
      </w:r>
      <w:r w:rsidR="00C12A83" w:rsidRPr="00787124">
        <w:rPr>
          <w:bCs/>
          <w:sz w:val="24"/>
          <w:szCs w:val="24"/>
        </w:rPr>
        <w:t xml:space="preserve">2.9 </w:t>
      </w:r>
      <w:r>
        <w:rPr>
          <w:bCs/>
          <w:sz w:val="24"/>
          <w:szCs w:val="24"/>
        </w:rPr>
        <w:tab/>
      </w:r>
      <w:r w:rsidR="00C12A83" w:rsidRPr="00787124">
        <w:rPr>
          <w:bCs/>
          <w:sz w:val="24"/>
          <w:szCs w:val="24"/>
        </w:rPr>
        <w:t>End of the administration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majority of pre-pack administrations ended in either Creditors’ Voluntary Liquidation (219/497) pursuant to paragraph 83 of Schedule B1 IA 1986 or Dissolution (242/497) pursuant to paragraph 84 of Schedule B1 IA 1986. A small number of cases (22/497) did not end in the conventional manner, with a range of alternatives falling within the categorisation of ‘Other’, including where nothing appears to have been done following the end of the initial 12 month administration period, resulting in oldco returning to the Register of Companies as an apparently solvent company until such time as a compulsory striking off action is pursued by the Registrar.</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is noteworthy that, over three years on, 14 administrations were ongoing as at 1 February 2014.</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3DF02DD6" wp14:editId="421B44A8">
            <wp:extent cx="5486400" cy="32004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12A83" w:rsidRDefault="00C12A83" w:rsidP="00C12A83">
      <w:pPr>
        <w:pStyle w:val="TableHeading"/>
        <w:spacing w:line="240" w:lineRule="auto"/>
        <w:rPr>
          <w:b w:val="0"/>
          <w:bCs/>
          <w:sz w:val="24"/>
          <w:szCs w:val="24"/>
        </w:rPr>
      </w:pPr>
    </w:p>
    <w:p w:rsidR="00C12A83" w:rsidRPr="00787124" w:rsidRDefault="00567703" w:rsidP="00C12A83">
      <w:pPr>
        <w:pStyle w:val="TableHeading"/>
        <w:spacing w:line="240" w:lineRule="auto"/>
        <w:rPr>
          <w:bCs/>
          <w:sz w:val="24"/>
          <w:szCs w:val="24"/>
        </w:rPr>
      </w:pPr>
      <w:r>
        <w:rPr>
          <w:bCs/>
          <w:sz w:val="24"/>
          <w:szCs w:val="24"/>
        </w:rPr>
        <w:t>A</w:t>
      </w:r>
      <w:r w:rsidR="00C12A83" w:rsidRPr="00787124">
        <w:rPr>
          <w:bCs/>
          <w:sz w:val="24"/>
          <w:szCs w:val="24"/>
        </w:rPr>
        <w:t xml:space="preserve">2.10 </w:t>
      </w:r>
      <w:r>
        <w:rPr>
          <w:bCs/>
          <w:sz w:val="24"/>
          <w:szCs w:val="24"/>
        </w:rPr>
        <w:tab/>
      </w:r>
      <w:r w:rsidR="00C12A83" w:rsidRPr="00787124">
        <w:rPr>
          <w:bCs/>
          <w:sz w:val="24"/>
          <w:szCs w:val="24"/>
        </w:rPr>
        <w:t>Debt profile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is observed that the majority of companies being pre-packed had a small to medium unsecured debt profile at the point of insolvency, with the middle fifty per cent of cases falling between £260,000 and £1.4million.</w:t>
      </w:r>
    </w:p>
    <w:p w:rsidR="00500D31" w:rsidRDefault="00500D31" w:rsidP="00C12A83">
      <w:pPr>
        <w:pStyle w:val="TableHeading"/>
        <w:spacing w:line="240" w:lineRule="auto"/>
        <w:rPr>
          <w:b w:val="0"/>
          <w:bCs/>
          <w:sz w:val="24"/>
          <w:szCs w:val="24"/>
        </w:rPr>
      </w:pPr>
    </w:p>
    <w:p w:rsidR="00500D31" w:rsidRDefault="00500D31" w:rsidP="00C12A83">
      <w:pPr>
        <w:pStyle w:val="TableHeading"/>
        <w:spacing w:line="240" w:lineRule="auto"/>
        <w:rPr>
          <w:b w:val="0"/>
          <w:bCs/>
          <w:sz w:val="24"/>
          <w:szCs w:val="24"/>
        </w:rPr>
      </w:pPr>
      <w:r>
        <w:rPr>
          <w:b w:val="0"/>
          <w:bCs/>
          <w:sz w:val="24"/>
          <w:szCs w:val="24"/>
        </w:rPr>
        <w:t>It is worth noting that the data collected may duplicate debt figures in group situations. As noted in A1.5 above, in over 200 cases, oldco was part of a group of companies where frequently companies cross guaranteed one another’s debts (although the evidence for this was not consistently reported so it is not possible to give precise individual company debt figures).</w:t>
      </w: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2B25B9AC" wp14:editId="6150D0C0">
            <wp:extent cx="5380074" cy="552893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1">
                      <a:extLst>
                        <a:ext uri="{28A0092B-C50C-407E-A947-70E740481C1C}">
                          <a14:useLocalDpi xmlns:a14="http://schemas.microsoft.com/office/drawing/2010/main" val="0"/>
                        </a:ext>
                      </a:extLst>
                    </a:blip>
                    <a:srcRect t="3346" r="6094"/>
                    <a:stretch/>
                  </pic:blipFill>
                  <pic:spPr bwMode="auto">
                    <a:xfrm>
                      <a:off x="0" y="0"/>
                      <a:ext cx="5382241" cy="5531157"/>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Further, it would appear that HMRC was owed less than may have been expected. However, it must be noted that this figure is based on the Statements of Affairs filed by directors, or, in their absence, on the estimations of the Administrators based on the company records, such as they were. Accordingly the reliability of this data is questionable. It could not be quantified in the majority of cases, as the Administrators only infrequently made reference to filed claims by HMRC and often these were not verified given the unlikelihood of any dividend being paid.</w:t>
      </w: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74654AB6" wp14:editId="6CF016B5">
            <wp:extent cx="5263116" cy="552893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2">
                      <a:extLst>
                        <a:ext uri="{28A0092B-C50C-407E-A947-70E740481C1C}">
                          <a14:useLocalDpi xmlns:a14="http://schemas.microsoft.com/office/drawing/2010/main" val="0"/>
                        </a:ext>
                      </a:extLst>
                    </a:blip>
                    <a:srcRect t="3346" r="8136"/>
                    <a:stretch/>
                  </pic:blipFill>
                  <pic:spPr bwMode="auto">
                    <a:xfrm>
                      <a:off x="0" y="0"/>
                      <a:ext cx="5265236" cy="5531157"/>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Pr="00787124" w:rsidRDefault="00567703" w:rsidP="00C12A83">
      <w:pPr>
        <w:pStyle w:val="TableHeading"/>
        <w:spacing w:line="240" w:lineRule="auto"/>
        <w:rPr>
          <w:bCs/>
          <w:sz w:val="24"/>
          <w:szCs w:val="24"/>
        </w:rPr>
      </w:pPr>
      <w:r>
        <w:rPr>
          <w:bCs/>
          <w:sz w:val="24"/>
          <w:szCs w:val="24"/>
        </w:rPr>
        <w:t>A</w:t>
      </w:r>
      <w:r w:rsidR="00C12A83" w:rsidRPr="00787124">
        <w:rPr>
          <w:bCs/>
          <w:sz w:val="24"/>
          <w:szCs w:val="24"/>
        </w:rPr>
        <w:t>2.11 Distributions to unsecured creditors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is observed that in the majority of cases no distribution was made to unsecured creditors in a pre-pack. This does not include a small number of cases w</w:t>
      </w:r>
      <w:r w:rsidR="00500D31">
        <w:rPr>
          <w:b w:val="0"/>
          <w:bCs/>
          <w:sz w:val="24"/>
          <w:szCs w:val="24"/>
        </w:rPr>
        <w:t>h</w:t>
      </w:r>
      <w:r>
        <w:rPr>
          <w:b w:val="0"/>
          <w:bCs/>
          <w:sz w:val="24"/>
          <w:szCs w:val="24"/>
        </w:rPr>
        <w:t>ere a subsequent liquidation (or in 14 cases the administration itself) are ongoing and there remains a possibility, though not a certainty, of a distribution being made to unsecured creditors.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Where a distribution has been made, it tends to be small when compared to the overall unsecured debt figures. </w:t>
      </w:r>
    </w:p>
    <w:p w:rsidR="00CD08BB" w:rsidRDefault="00CD08BB" w:rsidP="00C12A83">
      <w:pPr>
        <w:pStyle w:val="TableHeading"/>
        <w:spacing w:line="240" w:lineRule="auto"/>
        <w:rPr>
          <w:b w:val="0"/>
          <w:bCs/>
          <w:sz w:val="24"/>
          <w:szCs w:val="24"/>
        </w:rPr>
      </w:pPr>
    </w:p>
    <w:p w:rsidR="00CD08BB" w:rsidRDefault="00CD08BB"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51A421DA" wp14:editId="20B38B07">
            <wp:extent cx="5305647" cy="550766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3">
                      <a:extLst>
                        <a:ext uri="{28A0092B-C50C-407E-A947-70E740481C1C}">
                          <a14:useLocalDpi xmlns:a14="http://schemas.microsoft.com/office/drawing/2010/main" val="0"/>
                        </a:ext>
                      </a:extLst>
                    </a:blip>
                    <a:srcRect t="3717" r="7393"/>
                    <a:stretch/>
                  </pic:blipFill>
                  <pic:spPr bwMode="auto">
                    <a:xfrm>
                      <a:off x="0" y="0"/>
                      <a:ext cx="5307784" cy="5509883"/>
                    </a:xfrm>
                    <a:prstGeom prst="rect">
                      <a:avLst/>
                    </a:prstGeom>
                    <a:noFill/>
                    <a:ln>
                      <a:noFill/>
                    </a:ln>
                    <a:extLst>
                      <a:ext uri="{53640926-AAD7-44D8-BBD7-CCE9431645EC}">
                        <a14:shadowObscured xmlns:a14="http://schemas.microsoft.com/office/drawing/2010/main"/>
                      </a:ext>
                    </a:extLst>
                  </pic:spPr>
                </pic:pic>
              </a:graphicData>
            </a:graphic>
          </wp:inline>
        </w:drawing>
      </w:r>
    </w:p>
    <w:p w:rsidR="00CD08BB" w:rsidRDefault="00CD08BB" w:rsidP="00CD08BB">
      <w:pPr>
        <w:spacing w:line="240" w:lineRule="auto"/>
      </w:pPr>
    </w:p>
    <w:p w:rsidR="00CD08BB" w:rsidRDefault="00CD08BB" w:rsidP="00CD08BB">
      <w:pPr>
        <w:spacing w:line="240" w:lineRule="auto"/>
      </w:pPr>
      <w:r>
        <w:t xml:space="preserve">Of the 497 companies using pre-packs which were reviewed, there was known unsecured debt data for 471 companies (in 8 cases the Statement of Affairs listed a figure of £0, whilst for a further 18 there was no information available). Of these 471 companies, over 58% of cases (275/471) resulted in no dividend to unsecured creditors and for over 15% (74/471) the outcome was unknown or proceedings ongoing. </w:t>
      </w:r>
    </w:p>
    <w:p w:rsidR="00CD08BB" w:rsidRDefault="00CD08BB" w:rsidP="00CD08BB">
      <w:pPr>
        <w:spacing w:line="240" w:lineRule="auto"/>
      </w:pPr>
    </w:p>
    <w:p w:rsidR="00CD08BB" w:rsidRDefault="00CD08BB" w:rsidP="00CD08BB">
      <w:pPr>
        <w:spacing w:line="240" w:lineRule="auto"/>
      </w:pPr>
      <w:r>
        <w:t>For the 122 companies for which viable unsecured distribution data was available, the mean unsecured dividend represented 7.22% of the overall debt, though this appears to be skewed by a small number of larger distributions, with the majority of unsecured distributions within the range 0.56%-7.46%.</w:t>
      </w:r>
    </w:p>
    <w:p w:rsidR="00CD08BB" w:rsidRDefault="00CD08BB" w:rsidP="00CD08BB">
      <w:pPr>
        <w:spacing w:line="240" w:lineRule="auto"/>
      </w:pPr>
    </w:p>
    <w:p w:rsidR="00CD08BB" w:rsidRDefault="00CD08BB" w:rsidP="00CD08BB">
      <w:pPr>
        <w:spacing w:line="240" w:lineRule="auto"/>
      </w:pPr>
    </w:p>
    <w:p w:rsidR="00CD08BB" w:rsidRDefault="00CD08BB" w:rsidP="00CD08BB">
      <w:pPr>
        <w:spacing w:line="240" w:lineRule="auto"/>
      </w:pPr>
    </w:p>
    <w:p w:rsidR="00CD08BB" w:rsidRDefault="00CD08BB" w:rsidP="00CD08BB"/>
    <w:tbl>
      <w:tblPr>
        <w:tblW w:w="5915" w:type="dxa"/>
        <w:jc w:val="center"/>
        <w:tblInd w:w="93" w:type="dxa"/>
        <w:tblLook w:val="04A0" w:firstRow="1" w:lastRow="0" w:firstColumn="1" w:lastColumn="0" w:noHBand="0" w:noVBand="1"/>
      </w:tblPr>
      <w:tblGrid>
        <w:gridCol w:w="1660"/>
        <w:gridCol w:w="2172"/>
        <w:gridCol w:w="2083"/>
      </w:tblGrid>
      <w:tr w:rsidR="00CD08BB" w:rsidRPr="00BB1E49" w:rsidTr="00B457E4">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color w:val="000000"/>
                <w:sz w:val="22"/>
                <w:szCs w:val="22"/>
                <w:lang w:eastAsia="en-GB"/>
              </w:rPr>
            </w:pPr>
            <w:r w:rsidRPr="00BB1E49">
              <w:rPr>
                <w:rFonts w:ascii="Calibri" w:hAnsi="Calibri"/>
                <w:color w:val="000000"/>
                <w:sz w:val="22"/>
                <w:szCs w:val="22"/>
                <w:lang w:eastAsia="en-GB"/>
              </w:rPr>
              <w:lastRenderedPageBreak/>
              <w:t> </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Debt </w:t>
            </w:r>
            <w:r w:rsidRPr="006C1B77">
              <w:rPr>
                <w:rFonts w:ascii="Calibri" w:hAnsi="Calibri"/>
                <w:b/>
                <w:color w:val="000000"/>
                <w:sz w:val="22"/>
                <w:szCs w:val="22"/>
                <w:lang w:eastAsia="en-GB"/>
              </w:rPr>
              <w:t>as a proportion of overall debt</w:t>
            </w:r>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Dividend </w:t>
            </w:r>
            <w:r w:rsidRPr="006C1B77">
              <w:rPr>
                <w:rFonts w:ascii="Calibri" w:hAnsi="Calibri"/>
                <w:b/>
                <w:color w:val="000000"/>
                <w:sz w:val="22"/>
                <w:szCs w:val="22"/>
                <w:lang w:eastAsia="en-GB"/>
              </w:rPr>
              <w:t>as a proportion of overall debt</w:t>
            </w:r>
          </w:p>
        </w:tc>
      </w:tr>
      <w:tr w:rsidR="00CD08BB" w:rsidRPr="00BB1E49" w:rsidTr="00B457E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Mean</w:t>
            </w:r>
          </w:p>
        </w:tc>
        <w:tc>
          <w:tcPr>
            <w:tcW w:w="217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67.78%</w:t>
            </w:r>
          </w:p>
        </w:tc>
        <w:tc>
          <w:tcPr>
            <w:tcW w:w="2083"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7.22%</w:t>
            </w:r>
          </w:p>
        </w:tc>
      </w:tr>
      <w:tr w:rsidR="00CD08BB" w:rsidRPr="00BB1E49" w:rsidTr="00B457E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Median</w:t>
            </w:r>
          </w:p>
        </w:tc>
        <w:tc>
          <w:tcPr>
            <w:tcW w:w="217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75.07%</w:t>
            </w:r>
          </w:p>
        </w:tc>
        <w:tc>
          <w:tcPr>
            <w:tcW w:w="2083"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1.94%</w:t>
            </w:r>
          </w:p>
        </w:tc>
      </w:tr>
      <w:tr w:rsidR="00CD08BB" w:rsidRPr="00BB1E49" w:rsidTr="00B457E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25th Percentile</w:t>
            </w:r>
          </w:p>
        </w:tc>
        <w:tc>
          <w:tcPr>
            <w:tcW w:w="217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48.35%</w:t>
            </w:r>
          </w:p>
        </w:tc>
        <w:tc>
          <w:tcPr>
            <w:tcW w:w="2083"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0.56%</w:t>
            </w:r>
          </w:p>
        </w:tc>
      </w:tr>
      <w:tr w:rsidR="00CD08BB" w:rsidRPr="00BB1E49" w:rsidTr="00B457E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75th Percentile</w:t>
            </w:r>
          </w:p>
        </w:tc>
        <w:tc>
          <w:tcPr>
            <w:tcW w:w="217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98.77%</w:t>
            </w:r>
          </w:p>
        </w:tc>
        <w:tc>
          <w:tcPr>
            <w:tcW w:w="2083"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7.46%</w:t>
            </w:r>
          </w:p>
        </w:tc>
      </w:tr>
    </w:tbl>
    <w:p w:rsidR="00CD08BB" w:rsidRDefault="00CD08BB" w:rsidP="00CD08BB"/>
    <w:p w:rsidR="00CD08BB" w:rsidRDefault="00CD08BB" w:rsidP="00CD08BB">
      <w:pPr>
        <w:spacing w:line="240" w:lineRule="auto"/>
      </w:pPr>
      <w:r>
        <w:t>Of the 122 companies mentioned above, 71 of the companies were involved in connected sale transactions. The mean unsecured dividend drops to 6.07% and the 25</w:t>
      </w:r>
      <w:r w:rsidRPr="00A3512A">
        <w:rPr>
          <w:vertAlign w:val="superscript"/>
        </w:rPr>
        <w:t>th</w:t>
      </w:r>
      <w:r>
        <w:t>-75</w:t>
      </w:r>
      <w:r w:rsidRPr="00A3512A">
        <w:rPr>
          <w:vertAlign w:val="superscript"/>
        </w:rPr>
        <w:t>th</w:t>
      </w:r>
      <w:r>
        <w:t xml:space="preserve"> percentiles drop to 0.52%-6.81%, although the median dividend is consistent (1.93% as against 1.94%).</w:t>
      </w:r>
    </w:p>
    <w:p w:rsidR="00CD08BB" w:rsidRDefault="00CD08BB" w:rsidP="00CD08BB"/>
    <w:tbl>
      <w:tblPr>
        <w:tblW w:w="5877" w:type="dxa"/>
        <w:jc w:val="center"/>
        <w:tblInd w:w="-143" w:type="dxa"/>
        <w:tblLook w:val="04A0" w:firstRow="1" w:lastRow="0" w:firstColumn="1" w:lastColumn="0" w:noHBand="0" w:noVBand="1"/>
      </w:tblPr>
      <w:tblGrid>
        <w:gridCol w:w="1625"/>
        <w:gridCol w:w="2188"/>
        <w:gridCol w:w="2064"/>
      </w:tblGrid>
      <w:tr w:rsidR="00CD08BB" w:rsidRPr="00BB1E49" w:rsidTr="00B457E4">
        <w:trPr>
          <w:trHeight w:val="300"/>
          <w:jc w:val="center"/>
        </w:trPr>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color w:val="000000"/>
                <w:sz w:val="22"/>
                <w:szCs w:val="22"/>
                <w:lang w:eastAsia="en-GB"/>
              </w:rPr>
            </w:pPr>
            <w:r w:rsidRPr="00BB1E49">
              <w:rPr>
                <w:rFonts w:ascii="Calibri" w:hAnsi="Calibri"/>
                <w:color w:val="000000"/>
                <w:sz w:val="22"/>
                <w:szCs w:val="22"/>
                <w:lang w:eastAsia="en-GB"/>
              </w:rPr>
              <w:t> </w:t>
            </w:r>
          </w:p>
        </w:tc>
        <w:tc>
          <w:tcPr>
            <w:tcW w:w="2188"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Debt </w:t>
            </w:r>
            <w:r w:rsidRPr="006C1B77">
              <w:rPr>
                <w:rFonts w:ascii="Calibri" w:hAnsi="Calibri"/>
                <w:b/>
                <w:color w:val="000000"/>
                <w:sz w:val="22"/>
                <w:szCs w:val="22"/>
                <w:lang w:eastAsia="en-GB"/>
              </w:rPr>
              <w:t>as a proportion of overall debt</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Dividend </w:t>
            </w:r>
            <w:r w:rsidRPr="006C1B77">
              <w:rPr>
                <w:rFonts w:ascii="Calibri" w:hAnsi="Calibri"/>
                <w:b/>
                <w:color w:val="000000"/>
                <w:sz w:val="22"/>
                <w:szCs w:val="22"/>
                <w:lang w:eastAsia="en-GB"/>
              </w:rPr>
              <w:t>as a proportion of overall debt</w:t>
            </w:r>
          </w:p>
        </w:tc>
      </w:tr>
      <w:tr w:rsidR="00CD08BB" w:rsidRPr="00BB1E49" w:rsidTr="00B457E4">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Mean</w:t>
            </w:r>
          </w:p>
        </w:tc>
        <w:tc>
          <w:tcPr>
            <w:tcW w:w="2188"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70.85%</w:t>
            </w:r>
          </w:p>
        </w:tc>
        <w:tc>
          <w:tcPr>
            <w:tcW w:w="2064"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6.07%</w:t>
            </w:r>
          </w:p>
        </w:tc>
      </w:tr>
      <w:tr w:rsidR="00CD08BB" w:rsidRPr="00BB1E49" w:rsidTr="00B457E4">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Median</w:t>
            </w:r>
          </w:p>
        </w:tc>
        <w:tc>
          <w:tcPr>
            <w:tcW w:w="2188"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79.87%</w:t>
            </w:r>
          </w:p>
        </w:tc>
        <w:tc>
          <w:tcPr>
            <w:tcW w:w="2064"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1.93%</w:t>
            </w:r>
          </w:p>
        </w:tc>
      </w:tr>
      <w:tr w:rsidR="00CD08BB" w:rsidRPr="00BB1E49" w:rsidTr="00B457E4">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25th Percentile</w:t>
            </w:r>
          </w:p>
        </w:tc>
        <w:tc>
          <w:tcPr>
            <w:tcW w:w="2188"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53.68%</w:t>
            </w:r>
          </w:p>
        </w:tc>
        <w:tc>
          <w:tcPr>
            <w:tcW w:w="2064"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0.52%</w:t>
            </w:r>
          </w:p>
        </w:tc>
      </w:tr>
      <w:tr w:rsidR="00CD08BB" w:rsidRPr="00BB1E49" w:rsidTr="00B457E4">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75th Percentile</w:t>
            </w:r>
          </w:p>
        </w:tc>
        <w:tc>
          <w:tcPr>
            <w:tcW w:w="2188"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100.00%</w:t>
            </w:r>
          </w:p>
        </w:tc>
        <w:tc>
          <w:tcPr>
            <w:tcW w:w="2064"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6.81%</w:t>
            </w:r>
          </w:p>
        </w:tc>
      </w:tr>
    </w:tbl>
    <w:p w:rsidR="00CD08BB" w:rsidRDefault="00CD08BB" w:rsidP="00CD08BB"/>
    <w:p w:rsidR="00CD08BB" w:rsidRDefault="00CD08BB" w:rsidP="00CD08BB">
      <w:pPr>
        <w:spacing w:line="240" w:lineRule="auto"/>
      </w:pPr>
      <w:r>
        <w:t>Fifty-one of the 122 companies did not sell their business as a going concern to a connected party. It can be seen the mean dividend noticeably increases (8.82% as against a general figure of 7.22% and 6.07% for connected sales), although the median is only slightly higher (1.96% compared to a general figure of 1.94% and 1.93% for connected sales). The 25</w:t>
      </w:r>
      <w:r w:rsidRPr="006616D5">
        <w:rPr>
          <w:vertAlign w:val="superscript"/>
        </w:rPr>
        <w:t>th</w:t>
      </w:r>
      <w:r>
        <w:t>-75</w:t>
      </w:r>
      <w:r w:rsidRPr="006616D5">
        <w:rPr>
          <w:vertAlign w:val="superscript"/>
        </w:rPr>
        <w:t>th</w:t>
      </w:r>
      <w:r>
        <w:t xml:space="preserve"> percentile band is also noticeably higher for non-connected sales than connected sales (0.73%-8.04% as against 0.52%-6.81%).</w:t>
      </w:r>
    </w:p>
    <w:p w:rsidR="00CD08BB" w:rsidRDefault="00CD08BB" w:rsidP="00CD08BB">
      <w:pPr>
        <w:spacing w:line="240" w:lineRule="auto"/>
      </w:pPr>
    </w:p>
    <w:tbl>
      <w:tblPr>
        <w:tblW w:w="5907" w:type="dxa"/>
        <w:jc w:val="center"/>
        <w:tblInd w:w="-462" w:type="dxa"/>
        <w:tblLook w:val="04A0" w:firstRow="1" w:lastRow="0" w:firstColumn="1" w:lastColumn="0" w:noHBand="0" w:noVBand="1"/>
      </w:tblPr>
      <w:tblGrid>
        <w:gridCol w:w="1746"/>
        <w:gridCol w:w="2032"/>
        <w:gridCol w:w="2129"/>
      </w:tblGrid>
      <w:tr w:rsidR="00CD08BB" w:rsidRPr="00BB1E49" w:rsidTr="00B457E4">
        <w:trPr>
          <w:trHeight w:val="300"/>
          <w:jc w:val="center"/>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color w:val="000000"/>
                <w:sz w:val="22"/>
                <w:szCs w:val="22"/>
                <w:lang w:eastAsia="en-GB"/>
              </w:rPr>
            </w:pPr>
            <w:r w:rsidRPr="00BB1E49">
              <w:rPr>
                <w:rFonts w:ascii="Calibri" w:hAnsi="Calibri"/>
                <w:color w:val="000000"/>
                <w:sz w:val="22"/>
                <w:szCs w:val="22"/>
                <w:lang w:eastAsia="en-GB"/>
              </w:rPr>
              <w:t> </w:t>
            </w:r>
          </w:p>
        </w:tc>
        <w:tc>
          <w:tcPr>
            <w:tcW w:w="2032"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Debt </w:t>
            </w:r>
            <w:r w:rsidRPr="006C1B77">
              <w:rPr>
                <w:rFonts w:ascii="Calibri" w:hAnsi="Calibri"/>
                <w:b/>
                <w:color w:val="000000"/>
                <w:sz w:val="22"/>
                <w:szCs w:val="22"/>
                <w:lang w:eastAsia="en-GB"/>
              </w:rPr>
              <w:t>as a proportion of overall debt</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Dividend </w:t>
            </w:r>
            <w:r w:rsidRPr="006C1B77">
              <w:rPr>
                <w:rFonts w:ascii="Calibri" w:hAnsi="Calibri"/>
                <w:b/>
                <w:color w:val="000000"/>
                <w:sz w:val="22"/>
                <w:szCs w:val="22"/>
                <w:lang w:eastAsia="en-GB"/>
              </w:rPr>
              <w:t>as a proportion of overall debt</w:t>
            </w:r>
          </w:p>
        </w:tc>
      </w:tr>
      <w:tr w:rsidR="00CD08BB" w:rsidRPr="00BB1E49" w:rsidTr="00B457E4">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Mean</w:t>
            </w:r>
          </w:p>
        </w:tc>
        <w:tc>
          <w:tcPr>
            <w:tcW w:w="203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63.50%</w:t>
            </w:r>
          </w:p>
        </w:tc>
        <w:tc>
          <w:tcPr>
            <w:tcW w:w="2129"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8.82%</w:t>
            </w:r>
          </w:p>
        </w:tc>
      </w:tr>
      <w:tr w:rsidR="00CD08BB" w:rsidRPr="00BB1E49" w:rsidTr="00B457E4">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Median</w:t>
            </w:r>
          </w:p>
        </w:tc>
        <w:tc>
          <w:tcPr>
            <w:tcW w:w="203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73.17%</w:t>
            </w:r>
          </w:p>
        </w:tc>
        <w:tc>
          <w:tcPr>
            <w:tcW w:w="2129"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1.96%</w:t>
            </w:r>
          </w:p>
        </w:tc>
      </w:tr>
      <w:tr w:rsidR="00CD08BB" w:rsidRPr="00BB1E49" w:rsidTr="00B457E4">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25th Percentile</w:t>
            </w:r>
          </w:p>
        </w:tc>
        <w:tc>
          <w:tcPr>
            <w:tcW w:w="203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42.46%</w:t>
            </w:r>
          </w:p>
        </w:tc>
        <w:tc>
          <w:tcPr>
            <w:tcW w:w="2129"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0.73%</w:t>
            </w:r>
          </w:p>
        </w:tc>
      </w:tr>
      <w:tr w:rsidR="00CD08BB" w:rsidRPr="00BB1E49" w:rsidTr="00B457E4">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75th Percentile</w:t>
            </w:r>
          </w:p>
        </w:tc>
        <w:tc>
          <w:tcPr>
            <w:tcW w:w="203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93.44%</w:t>
            </w:r>
          </w:p>
        </w:tc>
        <w:tc>
          <w:tcPr>
            <w:tcW w:w="2129"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8.04%</w:t>
            </w:r>
          </w:p>
        </w:tc>
      </w:tr>
    </w:tbl>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would appear that there is a greater chance of distributions to unsecured creditors generally than to HMRC. This would seem at odds with the overwhelming presence of HMRC arrears in a large number of the pre-packs reviewed. However, this is explained by the paucity of data available from the IPs</w:t>
      </w:r>
      <w:r w:rsidR="00500D31">
        <w:rPr>
          <w:b w:val="0"/>
          <w:bCs/>
          <w:sz w:val="24"/>
          <w:szCs w:val="24"/>
        </w:rPr>
        <w:t>’</w:t>
      </w:r>
      <w:r>
        <w:rPr>
          <w:b w:val="0"/>
          <w:bCs/>
          <w:sz w:val="24"/>
          <w:szCs w:val="24"/>
        </w:rPr>
        <w:t xml:space="preserve"> filings at Companies House. Often, when a dividend is paid to the unsecured creditors, there is no breakdown as to which creditors received what. Given the standard of debt data referred to in section </w:t>
      </w:r>
      <w:r w:rsidR="00500D31">
        <w:rPr>
          <w:b w:val="0"/>
          <w:bCs/>
          <w:sz w:val="24"/>
          <w:szCs w:val="24"/>
        </w:rPr>
        <w:t>A</w:t>
      </w:r>
      <w:r>
        <w:rPr>
          <w:b w:val="0"/>
          <w:bCs/>
          <w:sz w:val="24"/>
          <w:szCs w:val="24"/>
        </w:rPr>
        <w:t xml:space="preserve">2.10 above, being that it is reliant on the company records rather than filed proofs of debt, it has not been possible to calculate possible HMRC dividends as a </w:t>
      </w:r>
      <w:r>
        <w:rPr>
          <w:b w:val="0"/>
          <w:bCs/>
          <w:sz w:val="24"/>
          <w:szCs w:val="24"/>
        </w:rPr>
        <w:lastRenderedPageBreak/>
        <w:t>proportion</w:t>
      </w:r>
      <w:r w:rsidR="00500D31">
        <w:rPr>
          <w:b w:val="0"/>
          <w:bCs/>
          <w:sz w:val="24"/>
          <w:szCs w:val="24"/>
        </w:rPr>
        <w:t xml:space="preserve"> of overall unsecured dividends</w:t>
      </w:r>
      <w:r>
        <w:rPr>
          <w:b w:val="0"/>
          <w:bCs/>
          <w:sz w:val="24"/>
          <w:szCs w:val="24"/>
        </w:rPr>
        <w:t>. Accordingly, there are large gaps in the known data which prevent the whole picture being set out.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jc w:val="center"/>
        <w:rPr>
          <w:b w:val="0"/>
          <w:bCs/>
          <w:sz w:val="24"/>
          <w:szCs w:val="24"/>
        </w:rPr>
      </w:pPr>
      <w:r>
        <w:rPr>
          <w:noProof/>
          <w:lang w:eastAsia="en-GB"/>
        </w:rPr>
        <w:drawing>
          <wp:inline distT="0" distB="0" distL="0" distR="0" wp14:anchorId="22E9556D" wp14:editId="6C7EEDD1">
            <wp:extent cx="5284381" cy="552893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4">
                      <a:extLst>
                        <a:ext uri="{28A0092B-C50C-407E-A947-70E740481C1C}">
                          <a14:useLocalDpi xmlns:a14="http://schemas.microsoft.com/office/drawing/2010/main" val="0"/>
                        </a:ext>
                      </a:extLst>
                    </a:blip>
                    <a:srcRect t="3346" r="7764"/>
                    <a:stretch/>
                  </pic:blipFill>
                  <pic:spPr bwMode="auto">
                    <a:xfrm>
                      <a:off x="0" y="0"/>
                      <a:ext cx="5286509" cy="5531157"/>
                    </a:xfrm>
                    <a:prstGeom prst="rect">
                      <a:avLst/>
                    </a:prstGeom>
                    <a:noFill/>
                    <a:ln>
                      <a:noFill/>
                    </a:ln>
                    <a:extLst>
                      <a:ext uri="{53640926-AAD7-44D8-BBD7-CCE9431645EC}">
                        <a14:shadowObscured xmlns:a14="http://schemas.microsoft.com/office/drawing/2010/main"/>
                      </a:ext>
                    </a:extLst>
                  </pic:spPr>
                </pic:pic>
              </a:graphicData>
            </a:graphic>
          </wp:inline>
        </w:drawing>
      </w:r>
    </w:p>
    <w:p w:rsidR="00CD08BB" w:rsidRDefault="00CD08BB" w:rsidP="00CD08BB"/>
    <w:p w:rsidR="00CD08BB" w:rsidRDefault="00CD08BB" w:rsidP="00CD08BB">
      <w:pPr>
        <w:spacing w:line="240" w:lineRule="auto"/>
      </w:pPr>
      <w:r>
        <w:t>Of the 497 companies using pre-packs which were reviewed, there was known data on debts to HMRC for 363 companies (in 51 cases the Statement of Affairs listed a figure of £0, whilst for a further 83 there was no information available). Of these 363 companies, around 58% of cases (210/363) resulted in no dividend to unsecured creditors and for over 27% (99/363) the outcome was unknown or proceedings ongoing (this includes cases where a dividend was paid, but no detail was provided as to the amount paid to HMRC).</w:t>
      </w:r>
    </w:p>
    <w:p w:rsidR="00CD08BB" w:rsidRDefault="00CD08BB" w:rsidP="00CD08BB">
      <w:pPr>
        <w:spacing w:line="240" w:lineRule="auto"/>
      </w:pPr>
    </w:p>
    <w:p w:rsidR="00CD08BB" w:rsidRDefault="00CD08BB" w:rsidP="00CD08BB">
      <w:pPr>
        <w:spacing w:line="240" w:lineRule="auto"/>
      </w:pPr>
      <w:r>
        <w:t xml:space="preserve">For the 54 companies for which viable data was available regarding distributions to HMRC, the mean dividend represented 2.71% of the overall debt, with the majority of distributions within the range 0.8%-4.7%. </w:t>
      </w:r>
    </w:p>
    <w:p w:rsidR="00CD08BB" w:rsidRDefault="00CD08BB" w:rsidP="00CD08BB"/>
    <w:p w:rsidR="00CD08BB" w:rsidRDefault="00CD08BB" w:rsidP="00CD08BB">
      <w:pPr>
        <w:spacing w:line="240" w:lineRule="auto"/>
      </w:pPr>
      <w:r>
        <w:lastRenderedPageBreak/>
        <w:t>The dividends to HMRC, as a proportion of recorded debt in the Statement of Affairs, were noticeably lower than those to unsecured creditors generally.</w:t>
      </w:r>
    </w:p>
    <w:p w:rsidR="00CD08BB" w:rsidRDefault="00CD08BB" w:rsidP="00CD08BB"/>
    <w:tbl>
      <w:tblPr>
        <w:tblW w:w="5907" w:type="dxa"/>
        <w:jc w:val="center"/>
        <w:tblInd w:w="-462" w:type="dxa"/>
        <w:tblLook w:val="04A0" w:firstRow="1" w:lastRow="0" w:firstColumn="1" w:lastColumn="0" w:noHBand="0" w:noVBand="1"/>
      </w:tblPr>
      <w:tblGrid>
        <w:gridCol w:w="1699"/>
        <w:gridCol w:w="2082"/>
        <w:gridCol w:w="2126"/>
      </w:tblGrid>
      <w:tr w:rsidR="00CD08BB" w:rsidRPr="00BB1E49" w:rsidTr="00B457E4">
        <w:trPr>
          <w:trHeight w:val="300"/>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color w:val="000000"/>
                <w:sz w:val="22"/>
                <w:szCs w:val="22"/>
                <w:lang w:eastAsia="en-GB"/>
              </w:rPr>
            </w:pPr>
            <w:r w:rsidRPr="00BB1E49">
              <w:rPr>
                <w:rFonts w:ascii="Calibri" w:hAnsi="Calibri"/>
                <w:color w:val="000000"/>
                <w:sz w:val="22"/>
                <w:szCs w:val="22"/>
                <w:lang w:eastAsia="en-GB"/>
              </w:rPr>
              <w:t> </w:t>
            </w:r>
          </w:p>
        </w:tc>
        <w:tc>
          <w:tcPr>
            <w:tcW w:w="2082"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Debt </w:t>
            </w:r>
            <w:r w:rsidRPr="006C1B77">
              <w:rPr>
                <w:rFonts w:ascii="Calibri" w:hAnsi="Calibri"/>
                <w:b/>
                <w:color w:val="000000"/>
                <w:sz w:val="22"/>
                <w:szCs w:val="22"/>
                <w:lang w:eastAsia="en-GB"/>
              </w:rPr>
              <w:t>as a proportion of overall debt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6C1B77">
              <w:rPr>
                <w:rFonts w:ascii="Calibri" w:hAnsi="Calibri"/>
                <w:b/>
                <w:color w:val="000000"/>
                <w:sz w:val="22"/>
                <w:szCs w:val="22"/>
                <w:lang w:eastAsia="en-GB"/>
              </w:rPr>
              <w:t xml:space="preserve">Unsecured </w:t>
            </w:r>
            <w:r w:rsidRPr="00BB1E49">
              <w:rPr>
                <w:rFonts w:ascii="Calibri" w:hAnsi="Calibri"/>
                <w:b/>
                <w:color w:val="000000"/>
                <w:sz w:val="22"/>
                <w:szCs w:val="22"/>
                <w:lang w:eastAsia="en-GB"/>
              </w:rPr>
              <w:t xml:space="preserve">Dividend </w:t>
            </w:r>
            <w:r w:rsidRPr="006C1B77">
              <w:rPr>
                <w:rFonts w:ascii="Calibri" w:hAnsi="Calibri"/>
                <w:b/>
                <w:color w:val="000000"/>
                <w:sz w:val="22"/>
                <w:szCs w:val="22"/>
                <w:lang w:eastAsia="en-GB"/>
              </w:rPr>
              <w:t>as a proportion of overall debt</w:t>
            </w:r>
          </w:p>
        </w:tc>
      </w:tr>
      <w:tr w:rsidR="00CD08BB" w:rsidRPr="00BB1E49" w:rsidTr="00B457E4">
        <w:trPr>
          <w:trHeight w:val="300"/>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Mean</w:t>
            </w:r>
          </w:p>
        </w:tc>
        <w:tc>
          <w:tcPr>
            <w:tcW w:w="208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36.69%</w:t>
            </w:r>
          </w:p>
        </w:tc>
        <w:tc>
          <w:tcPr>
            <w:tcW w:w="2126"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2.71%</w:t>
            </w:r>
          </w:p>
        </w:tc>
      </w:tr>
      <w:tr w:rsidR="00CD08BB" w:rsidRPr="00BB1E49" w:rsidTr="00B457E4">
        <w:trPr>
          <w:trHeight w:val="300"/>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Median</w:t>
            </w:r>
          </w:p>
        </w:tc>
        <w:tc>
          <w:tcPr>
            <w:tcW w:w="208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30.07%</w:t>
            </w:r>
          </w:p>
        </w:tc>
        <w:tc>
          <w:tcPr>
            <w:tcW w:w="2126"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0.80%</w:t>
            </w:r>
          </w:p>
        </w:tc>
      </w:tr>
      <w:tr w:rsidR="00CD08BB" w:rsidRPr="00BB1E49" w:rsidTr="00B457E4">
        <w:trPr>
          <w:trHeight w:val="300"/>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25th Percentile</w:t>
            </w:r>
          </w:p>
        </w:tc>
        <w:tc>
          <w:tcPr>
            <w:tcW w:w="208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11.11%</w:t>
            </w:r>
          </w:p>
        </w:tc>
        <w:tc>
          <w:tcPr>
            <w:tcW w:w="2126"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0.22%</w:t>
            </w:r>
          </w:p>
        </w:tc>
      </w:tr>
      <w:tr w:rsidR="00CD08BB" w:rsidRPr="00BB1E49" w:rsidTr="00B457E4">
        <w:trPr>
          <w:trHeight w:val="300"/>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rPr>
                <w:rFonts w:ascii="Calibri" w:hAnsi="Calibri"/>
                <w:b/>
                <w:color w:val="000000"/>
                <w:sz w:val="22"/>
                <w:szCs w:val="22"/>
                <w:lang w:eastAsia="en-GB"/>
              </w:rPr>
            </w:pPr>
            <w:r w:rsidRPr="00BB1E49">
              <w:rPr>
                <w:rFonts w:ascii="Calibri" w:hAnsi="Calibri"/>
                <w:b/>
                <w:color w:val="000000"/>
                <w:sz w:val="22"/>
                <w:szCs w:val="22"/>
                <w:lang w:eastAsia="en-GB"/>
              </w:rPr>
              <w:t>75th Percentile</w:t>
            </w:r>
          </w:p>
        </w:tc>
        <w:tc>
          <w:tcPr>
            <w:tcW w:w="2082"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57.36%</w:t>
            </w:r>
          </w:p>
        </w:tc>
        <w:tc>
          <w:tcPr>
            <w:tcW w:w="2126" w:type="dxa"/>
            <w:tcBorders>
              <w:top w:val="nil"/>
              <w:left w:val="nil"/>
              <w:bottom w:val="single" w:sz="4" w:space="0" w:color="auto"/>
              <w:right w:val="single" w:sz="4" w:space="0" w:color="auto"/>
            </w:tcBorders>
            <w:shd w:val="clear" w:color="auto" w:fill="auto"/>
            <w:noWrap/>
            <w:vAlign w:val="bottom"/>
            <w:hideMark/>
          </w:tcPr>
          <w:p w:rsidR="00CD08BB" w:rsidRPr="00BB1E49" w:rsidRDefault="00CD08BB" w:rsidP="00B457E4">
            <w:pPr>
              <w:spacing w:line="240" w:lineRule="auto"/>
              <w:jc w:val="center"/>
              <w:rPr>
                <w:rFonts w:ascii="Calibri" w:hAnsi="Calibri"/>
                <w:color w:val="000000"/>
                <w:sz w:val="22"/>
                <w:szCs w:val="22"/>
                <w:lang w:eastAsia="en-GB"/>
              </w:rPr>
            </w:pPr>
            <w:r w:rsidRPr="00BB1E49">
              <w:rPr>
                <w:rFonts w:ascii="Calibri" w:hAnsi="Calibri"/>
                <w:color w:val="000000"/>
                <w:sz w:val="22"/>
                <w:szCs w:val="22"/>
                <w:lang w:eastAsia="en-GB"/>
              </w:rPr>
              <w:t>4.70%</w:t>
            </w:r>
          </w:p>
        </w:tc>
      </w:tr>
    </w:tbl>
    <w:p w:rsidR="00C12A83" w:rsidRDefault="00C12A83" w:rsidP="00C12A83">
      <w:pPr>
        <w:pStyle w:val="TableHeading"/>
        <w:spacing w:line="240" w:lineRule="auto"/>
        <w:rPr>
          <w:b w:val="0"/>
          <w:bCs/>
          <w:sz w:val="24"/>
          <w:szCs w:val="24"/>
        </w:rPr>
      </w:pPr>
    </w:p>
    <w:p w:rsidR="00C12A83" w:rsidRPr="005B0CA4" w:rsidRDefault="00CD08BB" w:rsidP="00C12A83">
      <w:pPr>
        <w:pStyle w:val="TableHeading"/>
        <w:spacing w:line="240" w:lineRule="auto"/>
        <w:rPr>
          <w:bCs/>
          <w:sz w:val="24"/>
          <w:szCs w:val="24"/>
        </w:rPr>
      </w:pPr>
      <w:r>
        <w:rPr>
          <w:bCs/>
          <w:sz w:val="24"/>
          <w:szCs w:val="24"/>
        </w:rPr>
        <w:t>A</w:t>
      </w:r>
      <w:r w:rsidR="00C12A83">
        <w:rPr>
          <w:bCs/>
          <w:sz w:val="24"/>
          <w:szCs w:val="24"/>
        </w:rPr>
        <w:t>3</w:t>
      </w:r>
      <w:r w:rsidR="00C12A83" w:rsidRPr="005B0CA4">
        <w:rPr>
          <w:bCs/>
          <w:sz w:val="24"/>
          <w:szCs w:val="24"/>
        </w:rPr>
        <w:t xml:space="preserve"> </w:t>
      </w:r>
      <w:r>
        <w:rPr>
          <w:bCs/>
          <w:sz w:val="24"/>
          <w:szCs w:val="24"/>
        </w:rPr>
        <w:tab/>
      </w:r>
      <w:r w:rsidR="00C12A83">
        <w:rPr>
          <w:bCs/>
          <w:sz w:val="24"/>
          <w:szCs w:val="24"/>
        </w:rPr>
        <w:t>Subsequent failure of the purchaser</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investigate the incidences of subsequent insolvency of the purchaser in the pre-pack administration within three years of the sale completing, considering the various factors which may influence this subsequent failure.</w:t>
      </w:r>
    </w:p>
    <w:p w:rsidR="00C12A83" w:rsidRDefault="00C12A83" w:rsidP="00C12A83">
      <w:pPr>
        <w:pStyle w:val="TableHeading"/>
        <w:spacing w:line="240" w:lineRule="auto"/>
        <w:rPr>
          <w:b w:val="0"/>
          <w:bCs/>
          <w:sz w:val="24"/>
          <w:szCs w:val="24"/>
        </w:rPr>
      </w:pPr>
    </w:p>
    <w:p w:rsidR="00C12A83" w:rsidRPr="00C543BE" w:rsidRDefault="00CD08BB" w:rsidP="00C12A83">
      <w:pPr>
        <w:pStyle w:val="TableHeading"/>
        <w:spacing w:line="240" w:lineRule="auto"/>
        <w:rPr>
          <w:bCs/>
          <w:sz w:val="24"/>
          <w:szCs w:val="24"/>
        </w:rPr>
      </w:pPr>
      <w:r>
        <w:rPr>
          <w:bCs/>
          <w:sz w:val="24"/>
          <w:szCs w:val="24"/>
        </w:rPr>
        <w:t>A</w:t>
      </w:r>
      <w:r w:rsidR="00C12A83" w:rsidRPr="00C543BE">
        <w:rPr>
          <w:bCs/>
          <w:sz w:val="24"/>
          <w:szCs w:val="24"/>
        </w:rPr>
        <w:t xml:space="preserve">3.1 </w:t>
      </w:r>
      <w:r>
        <w:rPr>
          <w:bCs/>
          <w:sz w:val="24"/>
          <w:szCs w:val="24"/>
        </w:rPr>
        <w:tab/>
      </w:r>
      <w:r w:rsidR="00C12A83" w:rsidRPr="00C543BE">
        <w:rPr>
          <w:bCs/>
          <w:sz w:val="24"/>
          <w:szCs w:val="24"/>
        </w:rPr>
        <w:t>Rates of failure of purchasers in a pre-pack</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For the purposes of this report, a purchaser is deemed to have failed if it has entered into a formal insolvency process (including administration, liquidation and company voluntary arrangement (“CVA”)) or if steps have been taken to strike the company off the Register of 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SIP16 Reports have been reviewed for administrations which commenced between 1 January 2010 and 31 December 2010. In order to ensure a consistent comparison between administrations, failure rates for the purchasers were considered in the 36 months following the pre-pack sale, i.e. up to January 2014 for an administration which commenced in late December 2010 and the pre-packaged sale completed in early January 2011. Whilst it would have been possible to consider failure beyond 36 months for earlier pre-packs (up to 48 months in the case of a pre-pack from January 2014) this would not have provided a representative sample.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Failure </w:t>
      </w:r>
      <w:r w:rsidR="00EF0146">
        <w:rPr>
          <w:b w:val="0"/>
          <w:bCs/>
          <w:sz w:val="24"/>
          <w:szCs w:val="24"/>
        </w:rPr>
        <w:t xml:space="preserve">(or survival) </w:t>
      </w:r>
      <w:r>
        <w:rPr>
          <w:b w:val="0"/>
          <w:bCs/>
          <w:sz w:val="24"/>
          <w:szCs w:val="24"/>
        </w:rPr>
        <w:t xml:space="preserve">data was available for 475 of the 499 recorded transactions. It was generally not possible to ascertain subsequent failure where the purchaser was either an individual (though some instances of bankruptcy were apparent from the Administrators’ reports and have been included) or an overseas company (we were able to track the performance of an Isle of Man registered company, but not any of the other overseas </w:t>
      </w:r>
      <w:r w:rsidR="00EF0146">
        <w:rPr>
          <w:b w:val="0"/>
          <w:bCs/>
          <w:sz w:val="24"/>
          <w:szCs w:val="24"/>
        </w:rPr>
        <w:t xml:space="preserve">purchasing </w:t>
      </w:r>
      <w:r>
        <w:rPr>
          <w:b w:val="0"/>
          <w:bCs/>
          <w:sz w:val="24"/>
          <w:szCs w:val="24"/>
        </w:rPr>
        <w:t>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can be observed that just over 5% of all pre-packs for which data can be ascertained failed within 12 months of the sale completing, with one purchaser entering Creditors’ Voluntary Liquidation just 139 days after the pre-pack. There is a steady increase in each six month period thereafter to 36 months. By 36 months, 121 purchasers, or 25.5% of all sales, have failed.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C76661B" wp14:editId="45380B53">
            <wp:extent cx="2872596" cy="3200400"/>
            <wp:effectExtent l="0" t="0" r="2349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b w:val="0"/>
          <w:bCs/>
          <w:noProof/>
          <w:sz w:val="24"/>
          <w:szCs w:val="24"/>
          <w:lang w:eastAsia="en-GB"/>
        </w:rPr>
        <w:drawing>
          <wp:inline distT="0" distB="0" distL="0" distR="0" wp14:anchorId="1217501D" wp14:editId="23691DA9">
            <wp:extent cx="2786332" cy="3200400"/>
            <wp:effectExtent l="0" t="0" r="1460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Of the 121 purchasers that failed within 36 months of the pre-pack, it can be seen that around a third of these entered into rescue procedures (i.e. CVA or more usually administration), with two thirds facing terminal processes. This suggests that whilst 25.5% of pre-packs appear to have failed, only 17% have failed to the extent that the business is no longer viable. No further investigation has been conducted at this stage as to the outcome of these 40 cases where </w:t>
      </w:r>
      <w:r w:rsidR="00EF0146">
        <w:rPr>
          <w:b w:val="0"/>
          <w:bCs/>
          <w:sz w:val="24"/>
          <w:szCs w:val="24"/>
        </w:rPr>
        <w:t>a rescue procedure was adopted.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ratio of terminal processes to rescue processes is broadly 2:1 at 12, 24 and 36 months.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12A3ADEB" wp14:editId="2C53DBD3">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is worth noting that as at 1 February 2014</w:t>
      </w:r>
      <w:r w:rsidR="003A660E">
        <w:rPr>
          <w:b w:val="0"/>
          <w:bCs/>
          <w:sz w:val="24"/>
          <w:szCs w:val="24"/>
        </w:rPr>
        <w:t>,</w:t>
      </w:r>
      <w:r>
        <w:rPr>
          <w:b w:val="0"/>
          <w:bCs/>
          <w:sz w:val="24"/>
          <w:szCs w:val="24"/>
        </w:rPr>
        <w:t xml:space="preserve"> 158 </w:t>
      </w:r>
      <w:r w:rsidR="003A660E">
        <w:rPr>
          <w:b w:val="0"/>
          <w:bCs/>
          <w:sz w:val="24"/>
          <w:szCs w:val="24"/>
        </w:rPr>
        <w:t xml:space="preserve">out of 475 </w:t>
      </w:r>
      <w:r>
        <w:rPr>
          <w:b w:val="0"/>
          <w:bCs/>
          <w:sz w:val="24"/>
          <w:szCs w:val="24"/>
        </w:rPr>
        <w:t>purchasers had failed.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is important to note that the recorded data tracks the purchaser from each company that entered administration. Where a group of companies entered administration and the business of the group was sold to a single purchaser (or indeed to fewer purchasers than original group companies), these purchasers would have been recorded multiple times. This approach was taken as the purpose of the study was to track the survival of the business comprised in each of the companies utilising the pre-pack process. In total, there were approximately 445 purchasers, with some buying the business from multiple companies. Failure data is available for 428 of these companies, with 120 unique purchasers failing at 36 months, a failure rate of 28%. This figure, which is higher than that reported for all purchaser data set out above, would suggest that where a single purchaser has bought the business from a </w:t>
      </w:r>
      <w:r w:rsidR="003A660E">
        <w:rPr>
          <w:b w:val="0"/>
          <w:bCs/>
          <w:sz w:val="24"/>
          <w:szCs w:val="24"/>
        </w:rPr>
        <w:t>number</w:t>
      </w:r>
      <w:r>
        <w:rPr>
          <w:b w:val="0"/>
          <w:bCs/>
          <w:sz w:val="24"/>
          <w:szCs w:val="24"/>
        </w:rPr>
        <w:t xml:space="preserve"> of companies</w:t>
      </w:r>
      <w:r w:rsidR="003A660E">
        <w:rPr>
          <w:b w:val="0"/>
          <w:bCs/>
          <w:sz w:val="24"/>
          <w:szCs w:val="24"/>
        </w:rPr>
        <w:t>,</w:t>
      </w:r>
      <w:r>
        <w:rPr>
          <w:b w:val="0"/>
          <w:bCs/>
          <w:sz w:val="24"/>
          <w:szCs w:val="24"/>
        </w:rPr>
        <w:t xml:space="preserve"> it is more likely to have survived to 36 months after the pre-pack.</w:t>
      </w:r>
    </w:p>
    <w:p w:rsidR="00C12A83" w:rsidRDefault="00C12A83" w:rsidP="00C12A83">
      <w:pPr>
        <w:pStyle w:val="TableHeading"/>
        <w:spacing w:line="240" w:lineRule="auto"/>
        <w:rPr>
          <w:b w:val="0"/>
          <w:bCs/>
          <w:sz w:val="24"/>
          <w:szCs w:val="24"/>
        </w:rPr>
      </w:pPr>
    </w:p>
    <w:p w:rsidR="00C12A83" w:rsidRDefault="00CD08BB" w:rsidP="00C12A83">
      <w:pPr>
        <w:pStyle w:val="TableHeading"/>
        <w:spacing w:line="240" w:lineRule="auto"/>
        <w:rPr>
          <w:b w:val="0"/>
          <w:bCs/>
          <w:sz w:val="24"/>
          <w:szCs w:val="24"/>
        </w:rPr>
      </w:pPr>
      <w:r>
        <w:rPr>
          <w:bCs/>
          <w:sz w:val="24"/>
          <w:szCs w:val="24"/>
        </w:rPr>
        <w:t>A</w:t>
      </w:r>
      <w:r w:rsidR="00C12A83" w:rsidRPr="003E6B8E">
        <w:rPr>
          <w:bCs/>
          <w:sz w:val="24"/>
          <w:szCs w:val="24"/>
        </w:rPr>
        <w:t xml:space="preserve">3.2 </w:t>
      </w:r>
      <w:r>
        <w:rPr>
          <w:bCs/>
          <w:sz w:val="24"/>
          <w:szCs w:val="24"/>
        </w:rPr>
        <w:tab/>
      </w:r>
      <w:r w:rsidR="00C12A83" w:rsidRPr="003E6B8E">
        <w:rPr>
          <w:bCs/>
          <w:sz w:val="24"/>
          <w:szCs w:val="24"/>
        </w:rPr>
        <w:t xml:space="preserve">Factors influencing failure </w:t>
      </w:r>
      <w:r w:rsidR="00C12A83" w:rsidRPr="00C543BE">
        <w:rPr>
          <w:bCs/>
          <w:sz w:val="24"/>
          <w:szCs w:val="24"/>
        </w:rPr>
        <w:t>of purchasers in a pre-pack</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Having established the general statistics for the failure of the purchaser, we will now consider the possible impact of various factors relating to both the sale and the nature of oldco’s business. All of the data below is based on failure at 36 months, unless stated otherwise.</w:t>
      </w:r>
    </w:p>
    <w:p w:rsidR="00C12A83" w:rsidRDefault="00C12A83" w:rsidP="00C12A83">
      <w:pPr>
        <w:pStyle w:val="TableHeading"/>
        <w:spacing w:line="240" w:lineRule="auto"/>
        <w:rPr>
          <w:bCs/>
          <w:sz w:val="24"/>
          <w:szCs w:val="24"/>
        </w:rPr>
      </w:pPr>
    </w:p>
    <w:p w:rsidR="00C12A83" w:rsidRDefault="00FC3E04" w:rsidP="00C12A83">
      <w:pPr>
        <w:pStyle w:val="TableHeading"/>
        <w:spacing w:line="240" w:lineRule="auto"/>
        <w:rPr>
          <w:bCs/>
          <w:sz w:val="24"/>
          <w:szCs w:val="24"/>
        </w:rPr>
      </w:pPr>
      <w:r>
        <w:rPr>
          <w:bCs/>
          <w:sz w:val="24"/>
          <w:szCs w:val="24"/>
        </w:rPr>
        <w:t>A</w:t>
      </w:r>
      <w:r w:rsidR="00C12A83">
        <w:rPr>
          <w:bCs/>
          <w:sz w:val="24"/>
          <w:szCs w:val="24"/>
        </w:rPr>
        <w:t>3.2.1 Impact of sale to a connected party</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As discussed at section </w:t>
      </w:r>
      <w:r w:rsidR="003A660E">
        <w:rPr>
          <w:b w:val="0"/>
          <w:bCs/>
          <w:sz w:val="24"/>
          <w:szCs w:val="24"/>
        </w:rPr>
        <w:t>A</w:t>
      </w:r>
      <w:r>
        <w:rPr>
          <w:b w:val="0"/>
          <w:bCs/>
          <w:sz w:val="24"/>
          <w:szCs w:val="24"/>
        </w:rPr>
        <w:t xml:space="preserve">2.1 above, there is a high prevalence of sales to a connected party in pre-pack administrations, with over 65% (310/475) of all sales </w:t>
      </w:r>
      <w:r w:rsidR="003A660E">
        <w:rPr>
          <w:b w:val="0"/>
          <w:bCs/>
          <w:sz w:val="24"/>
          <w:szCs w:val="24"/>
        </w:rPr>
        <w:lastRenderedPageBreak/>
        <w:t xml:space="preserve">(where survival or failure data was available) </w:t>
      </w:r>
      <w:r>
        <w:rPr>
          <w:b w:val="0"/>
          <w:bCs/>
          <w:sz w:val="24"/>
          <w:szCs w:val="24"/>
        </w:rPr>
        <w:t>being to a connected party. It is observed that there is a higher prevalence of failure of the purchaser where it was a connected party to oldco, than where it was not connected. More than three times as many connected purchasers failed within 36 months than non-connected purchasers, against a ratio of 1.8:1 connected purchasers to non-connected purchasers</w:t>
      </w:r>
      <w:r w:rsidR="003A660E">
        <w:rPr>
          <w:b w:val="0"/>
          <w:bCs/>
          <w:sz w:val="24"/>
          <w:szCs w:val="24"/>
        </w:rPr>
        <w:t xml:space="preserve"> in pre-pack sales</w:t>
      </w:r>
      <w:r>
        <w:rPr>
          <w:b w:val="0"/>
          <w:bCs/>
          <w:sz w:val="24"/>
          <w:szCs w:val="24"/>
        </w:rPr>
        <w:t xml:space="preserve"> generally.</w:t>
      </w:r>
    </w:p>
    <w:p w:rsidR="003A660E" w:rsidRDefault="003A660E" w:rsidP="00C12A83">
      <w:pPr>
        <w:pStyle w:val="TableHeading"/>
        <w:spacing w:line="240" w:lineRule="auto"/>
        <w:rPr>
          <w:b w:val="0"/>
          <w:bCs/>
          <w:sz w:val="24"/>
          <w:szCs w:val="24"/>
        </w:rPr>
      </w:pPr>
    </w:p>
    <w:p w:rsidR="00C12A83" w:rsidRDefault="003A660E" w:rsidP="00C12A83">
      <w:pPr>
        <w:pStyle w:val="TableHeading"/>
        <w:spacing w:line="240" w:lineRule="auto"/>
        <w:rPr>
          <w:b w:val="0"/>
          <w:bCs/>
          <w:sz w:val="24"/>
          <w:szCs w:val="24"/>
        </w:rPr>
      </w:pPr>
      <w:r w:rsidRPr="003A660E">
        <w:rPr>
          <w:b w:val="0"/>
          <w:bCs/>
          <w:noProof/>
          <w:sz w:val="24"/>
          <w:szCs w:val="24"/>
          <w:lang w:eastAsia="en-GB"/>
        </w:rPr>
        <mc:AlternateContent>
          <mc:Choice Requires="wps">
            <w:drawing>
              <wp:anchor distT="0" distB="0" distL="114300" distR="114300" simplePos="0" relativeHeight="251671552" behindDoc="0" locked="0" layoutInCell="1" allowOverlap="1" wp14:anchorId="2FE6DDA3" wp14:editId="46D19539">
                <wp:simplePos x="0" y="0"/>
                <wp:positionH relativeFrom="column">
                  <wp:align>center</wp:align>
                </wp:positionH>
                <wp:positionV relativeFrom="paragraph">
                  <wp:posOffset>0</wp:posOffset>
                </wp:positionV>
                <wp:extent cx="2867025" cy="1403985"/>
                <wp:effectExtent l="0" t="0" r="28575" b="1206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solidFill>
                          <a:srgbClr val="FFFFFF"/>
                        </a:solidFill>
                        <a:ln w="9525">
                          <a:solidFill>
                            <a:srgbClr val="000000"/>
                          </a:solidFill>
                          <a:miter lim="800000"/>
                          <a:headEnd/>
                          <a:tailEnd/>
                        </a:ln>
                      </wps:spPr>
                      <wps:txbx>
                        <w:txbxContent>
                          <w:p w:rsidR="00265B0B" w:rsidRPr="003A660E" w:rsidRDefault="00265B0B" w:rsidP="003A660E">
                            <w:pPr>
                              <w:jc w:val="center"/>
                              <w:rPr>
                                <w:b/>
                                <w:sz w:val="28"/>
                              </w:rPr>
                            </w:pPr>
                            <w:r w:rsidRPr="003A660E">
                              <w:rPr>
                                <w:b/>
                                <w:sz w:val="28"/>
                              </w:rPr>
                              <w:t>Failure Rate: Connected Sales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225.75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">
                <v:textbox style="mso-fit-shape-to-text:t">
                  <w:txbxContent>
                    <w:p w:rsidR="00265B0B" w:rsidRPr="003A660E" w:rsidRDefault="00265B0B" w:rsidP="003A660E">
                      <w:pPr>
                        <w:jc w:val="center"/>
                        <w:rPr>
                          <w:b/>
                          <w:sz w:val="28"/>
                        </w:rPr>
                      </w:pPr>
                      <w:r w:rsidRPr="003A660E">
                        <w:rPr>
                          <w:b/>
                          <w:sz w:val="28"/>
                        </w:rPr>
                        <w:t>Failure Rate: Connected Sales</w:t>
                      </w:r>
                    </w:p>
                  </w:txbxContent>
                </v:textbox>
              </v:shape>
            </w:pict>
          </mc:Fallback>
        </mc:AlternateContent>
      </w:r>
    </w:p>
    <w:p w:rsidR="00C12A83" w:rsidRPr="007B1E85"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15691D5" wp14:editId="21258853">
            <wp:extent cx="5486400" cy="32004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12A83" w:rsidRDefault="00C12A83" w:rsidP="00C12A83">
      <w:pPr>
        <w:pStyle w:val="TableHeading"/>
        <w:spacing w:line="240" w:lineRule="auto"/>
        <w:rPr>
          <w:bCs/>
          <w:sz w:val="24"/>
          <w:szCs w:val="24"/>
        </w:rPr>
      </w:pPr>
    </w:p>
    <w:p w:rsidR="00C12A83" w:rsidRPr="00416765" w:rsidRDefault="00FC3E04" w:rsidP="00C12A83">
      <w:pPr>
        <w:pStyle w:val="TableHeading"/>
        <w:spacing w:line="240" w:lineRule="auto"/>
        <w:rPr>
          <w:bCs/>
          <w:sz w:val="24"/>
          <w:szCs w:val="24"/>
        </w:rPr>
      </w:pPr>
      <w:r>
        <w:rPr>
          <w:bCs/>
          <w:sz w:val="24"/>
          <w:szCs w:val="24"/>
        </w:rPr>
        <w:t>A</w:t>
      </w:r>
      <w:r w:rsidR="00C12A83">
        <w:rPr>
          <w:bCs/>
          <w:sz w:val="24"/>
          <w:szCs w:val="24"/>
        </w:rPr>
        <w:t>3.2.2</w:t>
      </w:r>
      <w:r w:rsidR="00C12A83" w:rsidRPr="00416765">
        <w:rPr>
          <w:bCs/>
          <w:sz w:val="24"/>
          <w:szCs w:val="24"/>
        </w:rPr>
        <w:t xml:space="preserve"> Impact of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In addition to the strong presence of connected party sales, it has also been shown that deferred consideration was present in a majority of pre-packs sales (264/499), as discussed in section </w:t>
      </w:r>
      <w:r w:rsidR="003A660E">
        <w:rPr>
          <w:b w:val="0"/>
          <w:bCs/>
          <w:sz w:val="24"/>
          <w:szCs w:val="24"/>
        </w:rPr>
        <w:t>A</w:t>
      </w:r>
      <w:r>
        <w:rPr>
          <w:b w:val="0"/>
          <w:bCs/>
          <w:sz w:val="24"/>
          <w:szCs w:val="24"/>
        </w:rPr>
        <w:t>2.2 above.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Whilst the incidence of deferred consideration is not as great as connected sales generally, the influence of deferred consideration on subsequent failure of the purchaser appears to be greater. Of the 121 purchasers that had failed by 36 months, 101 were involved in transactions w</w:t>
      </w:r>
      <w:r w:rsidR="003A660E">
        <w:rPr>
          <w:b w:val="0"/>
          <w:bCs/>
          <w:sz w:val="24"/>
          <w:szCs w:val="24"/>
        </w:rPr>
        <w:t>h</w:t>
      </w:r>
      <w:r>
        <w:rPr>
          <w:b w:val="0"/>
          <w:bCs/>
          <w:sz w:val="24"/>
          <w:szCs w:val="24"/>
        </w:rPr>
        <w:t xml:space="preserve">ere an element of the consideration was payable on a deferred basis (a ratio of over 5:1). </w:t>
      </w:r>
    </w:p>
    <w:p w:rsidR="00C12A83" w:rsidRDefault="00C12A83"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p>
    <w:p w:rsidR="003A660E" w:rsidRDefault="003A660E" w:rsidP="00C12A83">
      <w:pPr>
        <w:pStyle w:val="TableHeading"/>
        <w:spacing w:line="240" w:lineRule="auto"/>
        <w:rPr>
          <w:b w:val="0"/>
          <w:bCs/>
          <w:sz w:val="24"/>
          <w:szCs w:val="24"/>
        </w:rPr>
      </w:pPr>
      <w:r w:rsidRPr="003A660E">
        <w:rPr>
          <w:b w:val="0"/>
          <w:bCs/>
          <w:noProof/>
          <w:sz w:val="24"/>
          <w:szCs w:val="24"/>
          <w:lang w:eastAsia="en-GB"/>
        </w:rPr>
        <w:lastRenderedPageBreak/>
        <mc:AlternateContent>
          <mc:Choice Requires="wps">
            <w:drawing>
              <wp:anchor distT="0" distB="0" distL="114300" distR="114300" simplePos="0" relativeHeight="251673600" behindDoc="0" locked="0" layoutInCell="1" allowOverlap="1" wp14:anchorId="1B3972BE" wp14:editId="05F3AEEE">
                <wp:simplePos x="0" y="0"/>
                <wp:positionH relativeFrom="column">
                  <wp:posOffset>1152525</wp:posOffset>
                </wp:positionH>
                <wp:positionV relativeFrom="paragraph">
                  <wp:posOffset>-90805</wp:posOffset>
                </wp:positionV>
                <wp:extent cx="3352800" cy="371475"/>
                <wp:effectExtent l="0" t="0" r="1905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71475"/>
                        </a:xfrm>
                        <a:prstGeom prst="rect">
                          <a:avLst/>
                        </a:prstGeom>
                        <a:solidFill>
                          <a:srgbClr val="FFFFFF"/>
                        </a:solidFill>
                        <a:ln w="9525">
                          <a:solidFill>
                            <a:srgbClr val="000000"/>
                          </a:solidFill>
                          <a:miter lim="800000"/>
                          <a:headEnd/>
                          <a:tailEnd/>
                        </a:ln>
                      </wps:spPr>
                      <wps:txbx>
                        <w:txbxContent>
                          <w:p w:rsidR="00265B0B" w:rsidRPr="003A660E" w:rsidRDefault="00265B0B" w:rsidP="003A660E">
                            <w:pPr>
                              <w:jc w:val="center"/>
                              <w:rPr>
                                <w:b/>
                                <w:sz w:val="28"/>
                              </w:rPr>
                            </w:pPr>
                            <w:r w:rsidRPr="003A660E">
                              <w:rPr>
                                <w:b/>
                                <w:sz w:val="28"/>
                              </w:rPr>
                              <w:t xml:space="preserve">Failure Rate: </w:t>
                            </w:r>
                            <w:r>
                              <w:rPr>
                                <w:b/>
                                <w:sz w:val="28"/>
                              </w:rPr>
                              <w:t>Deferred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0.75pt;margin-top:-7.15pt;width:264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">
                <v:textbox>
                  <w:txbxContent>
                    <w:p w:rsidR="00265B0B" w:rsidRPr="003A660E" w:rsidRDefault="00265B0B" w:rsidP="003A660E">
                      <w:pPr>
                        <w:jc w:val="center"/>
                        <w:rPr>
                          <w:b/>
                          <w:sz w:val="28"/>
                        </w:rPr>
                      </w:pPr>
                      <w:r w:rsidRPr="003A660E">
                        <w:rPr>
                          <w:b/>
                          <w:sz w:val="28"/>
                        </w:rPr>
                        <w:t xml:space="preserve">Failure Rate: </w:t>
                      </w:r>
                      <w:r>
                        <w:rPr>
                          <w:b/>
                          <w:sz w:val="28"/>
                        </w:rPr>
                        <w:t>Deferred Consideration</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C10D7B9" wp14:editId="0D30B7F1">
            <wp:extent cx="5486400" cy="32004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12A83" w:rsidRDefault="00C12A83" w:rsidP="00C12A83">
      <w:pPr>
        <w:pStyle w:val="TableHeading"/>
        <w:spacing w:line="240" w:lineRule="auto"/>
        <w:rPr>
          <w:b w:val="0"/>
          <w:bCs/>
          <w:sz w:val="24"/>
          <w:szCs w:val="24"/>
        </w:rPr>
      </w:pPr>
    </w:p>
    <w:p w:rsidR="00C12A83" w:rsidRDefault="00FC3E04" w:rsidP="00FC3E04">
      <w:pPr>
        <w:pStyle w:val="TableHeading"/>
        <w:spacing w:line="240" w:lineRule="auto"/>
        <w:ind w:left="833" w:hanging="833"/>
        <w:rPr>
          <w:b w:val="0"/>
          <w:bCs/>
          <w:sz w:val="24"/>
          <w:szCs w:val="24"/>
        </w:rPr>
      </w:pPr>
      <w:r>
        <w:rPr>
          <w:bCs/>
          <w:sz w:val="24"/>
          <w:szCs w:val="24"/>
        </w:rPr>
        <w:t>A</w:t>
      </w:r>
      <w:r w:rsidR="00C12A83" w:rsidRPr="009967C8">
        <w:rPr>
          <w:bCs/>
          <w:sz w:val="24"/>
          <w:szCs w:val="24"/>
        </w:rPr>
        <w:t xml:space="preserve">3.2.3 </w:t>
      </w:r>
      <w:r>
        <w:rPr>
          <w:bCs/>
          <w:sz w:val="24"/>
          <w:szCs w:val="24"/>
        </w:rPr>
        <w:tab/>
      </w:r>
      <w:r w:rsidR="00C12A83" w:rsidRPr="009967C8">
        <w:rPr>
          <w:bCs/>
          <w:sz w:val="24"/>
          <w:szCs w:val="24"/>
        </w:rPr>
        <w:t>Combined impact of</w:t>
      </w:r>
      <w:r w:rsidR="00C12A83">
        <w:rPr>
          <w:b w:val="0"/>
          <w:bCs/>
          <w:sz w:val="24"/>
          <w:szCs w:val="24"/>
        </w:rPr>
        <w:t xml:space="preserve"> </w:t>
      </w:r>
      <w:r w:rsidR="00C12A83">
        <w:rPr>
          <w:bCs/>
          <w:sz w:val="24"/>
          <w:szCs w:val="24"/>
        </w:rPr>
        <w:t>sale to a connected party and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has been seen that the incidence of both a sale to a connected party and deferred consideration individually appear to increase the rate of failure of the purchaser in a pre-pack administration. The combined effect of these two factors on the subsequent failure of the purchaser provides interesting data. As can be seen from the table below, the failure rate of a connected party sale increases from </w:t>
      </w:r>
      <w:r w:rsidR="00F27AB2">
        <w:rPr>
          <w:b w:val="0"/>
          <w:bCs/>
          <w:sz w:val="24"/>
          <w:szCs w:val="24"/>
        </w:rPr>
        <w:t>15</w:t>
      </w:r>
      <w:r>
        <w:rPr>
          <w:b w:val="0"/>
          <w:bCs/>
          <w:sz w:val="24"/>
          <w:szCs w:val="24"/>
        </w:rPr>
        <w:t xml:space="preserve">% of all cases </w:t>
      </w:r>
      <w:r w:rsidR="00F27AB2">
        <w:rPr>
          <w:b w:val="0"/>
          <w:bCs/>
          <w:sz w:val="24"/>
          <w:szCs w:val="24"/>
        </w:rPr>
        <w:t xml:space="preserve">without deferred consideration </w:t>
      </w:r>
      <w:r>
        <w:rPr>
          <w:b w:val="0"/>
          <w:bCs/>
          <w:sz w:val="24"/>
          <w:szCs w:val="24"/>
        </w:rPr>
        <w:t>to 37.0% when deferred consideration is introduced. Generally, when deferred consideration is present, whether or not a connected sale is also present, the failure rate rises considerably.</w:t>
      </w:r>
    </w:p>
    <w:p w:rsidR="00C12A83" w:rsidRDefault="00C12A83" w:rsidP="00C12A83">
      <w:pPr>
        <w:pStyle w:val="TableHeading"/>
        <w:spacing w:line="240" w:lineRule="auto"/>
        <w:rPr>
          <w:b w:val="0"/>
          <w:bCs/>
          <w:sz w:val="24"/>
          <w:szCs w:val="24"/>
        </w:rPr>
      </w:pPr>
    </w:p>
    <w:p w:rsidR="00C12A83" w:rsidRPr="003A660E" w:rsidRDefault="003A660E" w:rsidP="00C12A83">
      <w:pPr>
        <w:rPr>
          <w:rFonts w:cs="Arial"/>
          <w:i/>
          <w:lang w:eastAsia="en-GB"/>
        </w:rPr>
      </w:pPr>
      <w:r w:rsidRPr="003A660E">
        <w:rPr>
          <w:rFonts w:cs="Arial"/>
          <w:i/>
          <w:lang w:eastAsia="en-GB"/>
        </w:rPr>
        <w:t>Incidence of connected sale and/or deferred consideration in f</w:t>
      </w:r>
      <w:r w:rsidR="00C12A83" w:rsidRPr="003A660E">
        <w:rPr>
          <w:rFonts w:cs="Arial"/>
          <w:i/>
          <w:lang w:eastAsia="en-GB"/>
        </w:rPr>
        <w:t>ailure at 36 months:</w:t>
      </w:r>
    </w:p>
    <w:p w:rsidR="00C12A83" w:rsidRPr="009967C8" w:rsidRDefault="00C12A83" w:rsidP="00C12A83">
      <w:pPr>
        <w:rPr>
          <w:rFonts w:cs="Arial"/>
          <w:lang w:eastAsia="en-GB"/>
        </w:rPr>
      </w:pPr>
    </w:p>
    <w:tbl>
      <w:tblPr>
        <w:tblW w:w="9606" w:type="dxa"/>
        <w:tblCellMar>
          <w:left w:w="0" w:type="dxa"/>
          <w:right w:w="0" w:type="dxa"/>
        </w:tblCellMar>
        <w:tblLook w:val="04A0" w:firstRow="1" w:lastRow="0" w:firstColumn="1" w:lastColumn="0" w:noHBand="0" w:noVBand="1"/>
      </w:tblPr>
      <w:tblGrid>
        <w:gridCol w:w="2235"/>
        <w:gridCol w:w="2693"/>
        <w:gridCol w:w="2835"/>
        <w:gridCol w:w="1843"/>
      </w:tblGrid>
      <w:tr w:rsidR="00C12A83" w:rsidRPr="000124CC"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r w:rsidRPr="000124CC">
              <w:rPr>
                <w:rFonts w:ascii="Calibri" w:hAnsi="Calibri"/>
                <w:b/>
                <w:lang w:eastAsia="en-GB"/>
              </w:rPr>
              <w:t>Deferred consideration</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r w:rsidRPr="000124CC">
              <w:rPr>
                <w:rFonts w:ascii="Calibri" w:hAnsi="Calibri"/>
                <w:b/>
                <w:lang w:eastAsia="en-GB"/>
              </w:rPr>
              <w:t>Not deferred consideration</w:t>
            </w:r>
          </w:p>
        </w:tc>
        <w:tc>
          <w:tcPr>
            <w:tcW w:w="1843" w:type="dxa"/>
            <w:tcBorders>
              <w:top w:val="single" w:sz="8" w:space="0" w:color="auto"/>
              <w:left w:val="nil"/>
              <w:bottom w:val="single" w:sz="8" w:space="0" w:color="auto"/>
              <w:right w:val="single" w:sz="8" w:space="0" w:color="auto"/>
            </w:tcBorders>
          </w:tcPr>
          <w:p w:rsidR="00C12A83" w:rsidRPr="000124CC" w:rsidRDefault="00C12A83" w:rsidP="00820FE6">
            <w:pPr>
              <w:jc w:val="center"/>
              <w:rPr>
                <w:rFonts w:ascii="Calibri" w:hAnsi="Calibri"/>
                <w:b/>
                <w:lang w:eastAsia="en-GB"/>
              </w:rPr>
            </w:pPr>
            <w:r w:rsidRPr="000124CC">
              <w:rPr>
                <w:rFonts w:ascii="Calibri" w:hAnsi="Calibri"/>
                <w:b/>
                <w:lang w:eastAsia="en-GB"/>
              </w:rPr>
              <w:t>Total</w:t>
            </w:r>
          </w:p>
        </w:tc>
      </w:tr>
      <w:tr w:rsidR="00C12A83" w:rsidRPr="000124CC"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0124CC" w:rsidRDefault="00C12A83" w:rsidP="00820FE6">
            <w:pPr>
              <w:rPr>
                <w:rFonts w:ascii="Calibri" w:hAnsi="Calibri"/>
                <w:b/>
                <w:lang w:eastAsia="en-GB"/>
              </w:rPr>
            </w:pPr>
            <w:r w:rsidRPr="000124CC">
              <w:rPr>
                <w:rFonts w:ascii="Calibri" w:hAnsi="Calibri"/>
                <w:b/>
                <w:lang w:eastAsia="en-GB"/>
              </w:rPr>
              <w:t>Connected sale</w:t>
            </w:r>
          </w:p>
        </w:tc>
        <w:tc>
          <w:tcPr>
            <w:tcW w:w="2693" w:type="dxa"/>
            <w:tcBorders>
              <w:top w:val="nil"/>
              <w:left w:val="nil"/>
              <w:bottom w:val="single" w:sz="4" w:space="0" w:color="auto"/>
              <w:right w:val="single" w:sz="8"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37.0% (77/208)</w:t>
            </w:r>
          </w:p>
        </w:tc>
        <w:tc>
          <w:tcPr>
            <w:tcW w:w="2835" w:type="dxa"/>
            <w:tcBorders>
              <w:top w:val="nil"/>
              <w:left w:val="nil"/>
              <w:bottom w:val="single" w:sz="4" w:space="0" w:color="auto"/>
              <w:right w:val="single" w:sz="8"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15.0% (15/100)</w:t>
            </w:r>
          </w:p>
        </w:tc>
        <w:tc>
          <w:tcPr>
            <w:tcW w:w="1843" w:type="dxa"/>
            <w:tcBorders>
              <w:top w:val="nil"/>
              <w:left w:val="nil"/>
              <w:bottom w:val="single" w:sz="4" w:space="0" w:color="auto"/>
              <w:right w:val="single" w:sz="8" w:space="0" w:color="auto"/>
            </w:tcBorders>
          </w:tcPr>
          <w:p w:rsidR="00C12A83" w:rsidRPr="000124CC" w:rsidRDefault="00C12A83" w:rsidP="00820FE6">
            <w:pPr>
              <w:tabs>
                <w:tab w:val="left" w:pos="285"/>
                <w:tab w:val="center" w:pos="840"/>
              </w:tabs>
              <w:jc w:val="center"/>
              <w:rPr>
                <w:rFonts w:ascii="Calibri" w:hAnsi="Calibri"/>
                <w:lang w:eastAsia="en-GB"/>
              </w:rPr>
            </w:pPr>
            <w:r>
              <w:rPr>
                <w:rFonts w:ascii="Calibri" w:hAnsi="Calibri"/>
                <w:lang w:eastAsia="en-GB"/>
              </w:rPr>
              <w:t>29.9% (92/308)</w:t>
            </w:r>
          </w:p>
        </w:tc>
      </w:tr>
      <w:tr w:rsidR="00C12A83" w:rsidRPr="000124CC"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0124CC" w:rsidRDefault="00C12A83" w:rsidP="00820FE6">
            <w:pPr>
              <w:rPr>
                <w:rFonts w:ascii="Calibri" w:hAnsi="Calibri"/>
                <w:b/>
                <w:lang w:eastAsia="en-GB"/>
              </w:rPr>
            </w:pPr>
            <w:r w:rsidRPr="000124CC">
              <w:rPr>
                <w:rFonts w:ascii="Calibri" w:hAnsi="Calibri"/>
                <w:b/>
                <w:lang w:eastAsia="en-GB"/>
              </w:rPr>
              <w:t>Not connected sale</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46.2% (24/52)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tabs>
                <w:tab w:val="left" w:pos="915"/>
                <w:tab w:val="center" w:pos="1309"/>
              </w:tabs>
              <w:rPr>
                <w:rFonts w:ascii="Calibri" w:hAnsi="Calibri"/>
                <w:lang w:eastAsia="en-GB"/>
              </w:rPr>
            </w:pPr>
            <w:r>
              <w:rPr>
                <w:rFonts w:ascii="Calibri" w:hAnsi="Calibri"/>
                <w:lang w:eastAsia="en-GB"/>
              </w:rPr>
              <w:tab/>
              <w:t>4.7%</w:t>
            </w:r>
            <w:r>
              <w:rPr>
                <w:rFonts w:ascii="Calibri" w:hAnsi="Calibri"/>
                <w:lang w:eastAsia="en-GB"/>
              </w:rPr>
              <w:tab/>
              <w:t>(5/107)</w:t>
            </w:r>
          </w:p>
        </w:tc>
        <w:tc>
          <w:tcPr>
            <w:tcW w:w="1843" w:type="dxa"/>
            <w:tcBorders>
              <w:top w:val="single" w:sz="4" w:space="0" w:color="auto"/>
              <w:left w:val="single" w:sz="4" w:space="0" w:color="auto"/>
              <w:bottom w:val="single" w:sz="4" w:space="0" w:color="auto"/>
              <w:right w:val="single" w:sz="4" w:space="0" w:color="auto"/>
            </w:tcBorders>
          </w:tcPr>
          <w:p w:rsidR="00C12A83" w:rsidRPr="000124CC" w:rsidRDefault="00C12A83" w:rsidP="00820FE6">
            <w:pPr>
              <w:jc w:val="center"/>
              <w:rPr>
                <w:rFonts w:ascii="Calibri" w:hAnsi="Calibri"/>
                <w:lang w:eastAsia="en-GB"/>
              </w:rPr>
            </w:pPr>
            <w:r>
              <w:rPr>
                <w:rFonts w:ascii="Calibri" w:hAnsi="Calibri"/>
                <w:lang w:eastAsia="en-GB"/>
              </w:rPr>
              <w:t>18.2% (29/159)</w:t>
            </w:r>
          </w:p>
        </w:tc>
      </w:tr>
      <w:tr w:rsidR="00C12A83" w:rsidRPr="000124CC"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rPr>
                <w:rFonts w:ascii="Calibri" w:hAnsi="Calibri"/>
                <w:b/>
                <w:lang w:eastAsia="en-GB"/>
              </w:rPr>
            </w:pPr>
            <w:r w:rsidRPr="000124CC">
              <w:rPr>
                <w:rFonts w:ascii="Calibri" w:hAnsi="Calibri"/>
                <w:b/>
                <w:lang w:eastAsia="en-GB"/>
              </w:rPr>
              <w:t>Total</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38.8% (101/260)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9.7% (20/207)</w:t>
            </w:r>
          </w:p>
        </w:tc>
        <w:tc>
          <w:tcPr>
            <w:tcW w:w="1843" w:type="dxa"/>
            <w:tcBorders>
              <w:top w:val="single" w:sz="4" w:space="0" w:color="auto"/>
              <w:left w:val="single" w:sz="4" w:space="0" w:color="auto"/>
              <w:bottom w:val="single" w:sz="4" w:space="0" w:color="auto"/>
              <w:right w:val="single" w:sz="4" w:space="0" w:color="auto"/>
            </w:tcBorders>
          </w:tcPr>
          <w:p w:rsidR="00C12A83" w:rsidRPr="000124CC" w:rsidRDefault="00C12A83" w:rsidP="00820FE6">
            <w:pPr>
              <w:tabs>
                <w:tab w:val="left" w:pos="525"/>
                <w:tab w:val="center" w:pos="845"/>
              </w:tabs>
              <w:jc w:val="center"/>
              <w:rPr>
                <w:rFonts w:ascii="Calibri" w:hAnsi="Calibri"/>
                <w:lang w:eastAsia="en-GB"/>
              </w:rPr>
            </w:pPr>
            <w:r>
              <w:rPr>
                <w:rFonts w:ascii="Calibri" w:hAnsi="Calibri"/>
                <w:lang w:eastAsia="en-GB"/>
              </w:rPr>
              <w:t>25.9% (121/467)</w:t>
            </w:r>
          </w:p>
        </w:tc>
      </w:tr>
    </w:tbl>
    <w:p w:rsidR="00C12A83" w:rsidRDefault="00C12A83" w:rsidP="00C12A83">
      <w:pPr>
        <w:rPr>
          <w:rFonts w:ascii="Calibri" w:hAnsi="Calibri"/>
          <w:b/>
          <w:bCs/>
          <w:lang w:eastAsia="en-GB"/>
        </w:rPr>
      </w:pPr>
    </w:p>
    <w:p w:rsidR="00B67D97" w:rsidRDefault="00B67D97" w:rsidP="00C12A83">
      <w:pPr>
        <w:rPr>
          <w:rFonts w:ascii="Calibri" w:hAnsi="Calibri"/>
          <w:b/>
          <w:bCs/>
          <w:lang w:eastAsia="en-GB"/>
        </w:rPr>
      </w:pPr>
    </w:p>
    <w:p w:rsidR="00B67D97" w:rsidRDefault="00B67D97" w:rsidP="00C12A83">
      <w:pPr>
        <w:rPr>
          <w:rFonts w:ascii="Calibri" w:hAnsi="Calibri"/>
          <w:b/>
          <w:bCs/>
          <w:lang w:eastAsia="en-GB"/>
        </w:rPr>
      </w:pPr>
    </w:p>
    <w:p w:rsidR="00B67D97" w:rsidRDefault="00B67D97" w:rsidP="00C12A83">
      <w:pPr>
        <w:rPr>
          <w:rFonts w:ascii="Calibri" w:hAnsi="Calibri"/>
          <w:b/>
          <w:bCs/>
          <w:lang w:eastAsia="en-GB"/>
        </w:rPr>
      </w:pPr>
      <w:r w:rsidRPr="003A660E">
        <w:rPr>
          <w:b/>
          <w:bCs/>
          <w:noProof/>
          <w:lang w:eastAsia="en-GB"/>
        </w:rPr>
        <w:lastRenderedPageBreak/>
        <mc:AlternateContent>
          <mc:Choice Requires="wps">
            <w:drawing>
              <wp:anchor distT="0" distB="0" distL="114300" distR="114300" simplePos="0" relativeHeight="251675648" behindDoc="0" locked="0" layoutInCell="1" allowOverlap="1" wp14:anchorId="73853FF5" wp14:editId="59F39A21">
                <wp:simplePos x="0" y="0"/>
                <wp:positionH relativeFrom="column">
                  <wp:posOffset>0</wp:posOffset>
                </wp:positionH>
                <wp:positionV relativeFrom="paragraph">
                  <wp:posOffset>-90805</wp:posOffset>
                </wp:positionV>
                <wp:extent cx="5486400" cy="371475"/>
                <wp:effectExtent l="0" t="0" r="1905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1475"/>
                        </a:xfrm>
                        <a:prstGeom prst="rect">
                          <a:avLst/>
                        </a:prstGeom>
                        <a:solidFill>
                          <a:srgbClr val="FFFFFF"/>
                        </a:solidFill>
                        <a:ln w="9525">
                          <a:solidFill>
                            <a:srgbClr val="000000"/>
                          </a:solidFill>
                          <a:miter lim="800000"/>
                          <a:headEnd/>
                          <a:tailEnd/>
                        </a:ln>
                      </wps:spPr>
                      <wps:txbx>
                        <w:txbxContent>
                          <w:p w:rsidR="00265B0B" w:rsidRPr="003A660E" w:rsidRDefault="00265B0B" w:rsidP="00B67D97">
                            <w:pPr>
                              <w:jc w:val="center"/>
                              <w:rPr>
                                <w:b/>
                                <w:sz w:val="28"/>
                              </w:rPr>
                            </w:pPr>
                            <w:r w:rsidRPr="003A660E">
                              <w:rPr>
                                <w:b/>
                                <w:sz w:val="28"/>
                              </w:rPr>
                              <w:t>Failure Rate</w:t>
                            </w:r>
                            <w:r>
                              <w:rPr>
                                <w:b/>
                                <w:sz w:val="28"/>
                              </w:rPr>
                              <w:t>s</w:t>
                            </w:r>
                            <w:r w:rsidRPr="003A660E">
                              <w:rPr>
                                <w:b/>
                                <w:sz w:val="28"/>
                              </w:rPr>
                              <w:t xml:space="preserve">: </w:t>
                            </w:r>
                            <w:r>
                              <w:rPr>
                                <w:b/>
                                <w:sz w:val="28"/>
                              </w:rPr>
                              <w:t>Connected Sales and Deferred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7.15pt;width:6in;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">
                <v:textbox>
                  <w:txbxContent>
                    <w:p w:rsidR="00265B0B" w:rsidRPr="003A660E" w:rsidRDefault="00265B0B" w:rsidP="00B67D97">
                      <w:pPr>
                        <w:jc w:val="center"/>
                        <w:rPr>
                          <w:b/>
                          <w:sz w:val="28"/>
                        </w:rPr>
                      </w:pPr>
                      <w:r w:rsidRPr="003A660E">
                        <w:rPr>
                          <w:b/>
                          <w:sz w:val="28"/>
                        </w:rPr>
                        <w:t>Failure Rate</w:t>
                      </w:r>
                      <w:r>
                        <w:rPr>
                          <w:b/>
                          <w:sz w:val="28"/>
                        </w:rPr>
                        <w:t>s</w:t>
                      </w:r>
                      <w:r w:rsidRPr="003A660E">
                        <w:rPr>
                          <w:b/>
                          <w:sz w:val="28"/>
                        </w:rPr>
                        <w:t xml:space="preserve">: </w:t>
                      </w:r>
                      <w:r>
                        <w:rPr>
                          <w:b/>
                          <w:sz w:val="28"/>
                        </w:rPr>
                        <w:t>Connected Sales and Deferred Consideration</w:t>
                      </w:r>
                    </w:p>
                  </w:txbxContent>
                </v:textbox>
              </v:shape>
            </w:pict>
          </mc:Fallback>
        </mc:AlternateContent>
      </w:r>
    </w:p>
    <w:p w:rsidR="00C12A83" w:rsidRDefault="00C12A83" w:rsidP="00C12A83">
      <w:pPr>
        <w:rPr>
          <w:rFonts w:ascii="Calibri" w:hAnsi="Calibri"/>
          <w:b/>
          <w:bCs/>
          <w:lang w:eastAsia="en-GB"/>
        </w:rPr>
      </w:pPr>
      <w:r>
        <w:rPr>
          <w:rFonts w:ascii="Calibri" w:hAnsi="Calibri"/>
          <w:b/>
          <w:bCs/>
          <w:noProof/>
          <w:lang w:eastAsia="en-GB"/>
        </w:rPr>
        <w:drawing>
          <wp:inline distT="0" distB="0" distL="0" distR="0" wp14:anchorId="210D42F6" wp14:editId="14CEA9DE">
            <wp:extent cx="5486400" cy="32004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12A83" w:rsidRDefault="00C12A83" w:rsidP="00C12A83">
      <w:pPr>
        <w:pStyle w:val="TableHeading"/>
        <w:spacing w:line="240" w:lineRule="auto"/>
        <w:rPr>
          <w:b w:val="0"/>
          <w:bCs/>
          <w:sz w:val="24"/>
          <w:szCs w:val="24"/>
        </w:rPr>
      </w:pPr>
    </w:p>
    <w:p w:rsidR="00C12A83" w:rsidRPr="00BA1261" w:rsidRDefault="00FC3E04" w:rsidP="00C12A83">
      <w:pPr>
        <w:pStyle w:val="TableHeading"/>
        <w:spacing w:line="240" w:lineRule="auto"/>
        <w:rPr>
          <w:bCs/>
          <w:sz w:val="24"/>
          <w:szCs w:val="24"/>
        </w:rPr>
      </w:pPr>
      <w:r>
        <w:rPr>
          <w:bCs/>
          <w:sz w:val="24"/>
          <w:szCs w:val="24"/>
        </w:rPr>
        <w:t>A</w:t>
      </w:r>
      <w:r w:rsidR="00C12A83" w:rsidRPr="00BA1261">
        <w:rPr>
          <w:bCs/>
          <w:sz w:val="24"/>
          <w:szCs w:val="24"/>
        </w:rPr>
        <w:t xml:space="preserve">3.2.4 </w:t>
      </w:r>
      <w:r>
        <w:rPr>
          <w:bCs/>
          <w:sz w:val="24"/>
          <w:szCs w:val="24"/>
        </w:rPr>
        <w:tab/>
      </w:r>
      <w:r w:rsidR="00C12A83" w:rsidRPr="00BA1261">
        <w:rPr>
          <w:bCs/>
          <w:sz w:val="24"/>
          <w:szCs w:val="24"/>
        </w:rPr>
        <w:t>Impact of size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As set out in section </w:t>
      </w:r>
      <w:r w:rsidR="00B67D97">
        <w:rPr>
          <w:b w:val="0"/>
          <w:bCs/>
          <w:sz w:val="24"/>
          <w:szCs w:val="24"/>
        </w:rPr>
        <w:t>A</w:t>
      </w:r>
      <w:r>
        <w:rPr>
          <w:b w:val="0"/>
          <w:bCs/>
          <w:sz w:val="24"/>
          <w:szCs w:val="24"/>
        </w:rPr>
        <w:t>1.2 above, the majority of companies utilising the pre-pack process in 2010 fell into the Micro/Small categories (339/438 for Employees and 355/439 for Turnover). Perhaps not surprisingly, the majority of subsequent failures amongst purchasers also stemmed from businesses sold by oldcos from the Micro/Small categories (88/121 for Employees and 92/121 for Turnover). Furthermore, the failure rates across the two size categories appear to be consistent.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C4442C">
        <w:rPr>
          <w:b w:val="0"/>
          <w:bCs/>
          <w:noProof/>
          <w:sz w:val="24"/>
          <w:szCs w:val="24"/>
          <w:lang w:eastAsia="en-GB"/>
        </w:rPr>
        <w:lastRenderedPageBreak/>
        <mc:AlternateContent>
          <mc:Choice Requires="wps">
            <w:drawing>
              <wp:anchor distT="0" distB="0" distL="114300" distR="114300" simplePos="0" relativeHeight="251660288" behindDoc="0" locked="0" layoutInCell="1" allowOverlap="1" wp14:anchorId="57575C99" wp14:editId="4D884734">
                <wp:simplePos x="0" y="0"/>
                <wp:positionH relativeFrom="column">
                  <wp:posOffset>1143000</wp:posOffset>
                </wp:positionH>
                <wp:positionV relativeFrom="paragraph">
                  <wp:posOffset>38100</wp:posOffset>
                </wp:positionV>
                <wp:extent cx="3429000" cy="361950"/>
                <wp:effectExtent l="0" t="0" r="19050"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1950"/>
                        </a:xfrm>
                        <a:prstGeom prst="rect">
                          <a:avLst/>
                        </a:prstGeom>
                        <a:solidFill>
                          <a:srgbClr val="FFFFFF"/>
                        </a:solidFill>
                        <a:ln w="9525">
                          <a:solidFill>
                            <a:srgbClr val="000000"/>
                          </a:solidFill>
                          <a:miter lim="800000"/>
                          <a:headEnd/>
                          <a:tailEnd/>
                        </a:ln>
                      </wps:spPr>
                      <wps:txbx>
                        <w:txbxContent>
                          <w:p w:rsidR="00265B0B" w:rsidRPr="00C4442C" w:rsidRDefault="00265B0B" w:rsidP="00C12A83">
                            <w:pPr>
                              <w:jc w:val="center"/>
                              <w:rPr>
                                <w:b/>
                                <w:sz w:val="36"/>
                                <w:szCs w:val="36"/>
                              </w:rPr>
                            </w:pPr>
                            <w:r w:rsidRPr="00C4442C">
                              <w:rPr>
                                <w:b/>
                                <w:sz w:val="36"/>
                                <w:szCs w:val="36"/>
                              </w:rPr>
                              <w:t>Size of oldco -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0pt;margin-top:3pt;width:270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">
                <v:textbox>
                  <w:txbxContent>
                    <w:p w:rsidR="00265B0B" w:rsidRPr="00C4442C" w:rsidRDefault="00265B0B" w:rsidP="00C12A83">
                      <w:pPr>
                        <w:jc w:val="center"/>
                        <w:rPr>
                          <w:b/>
                          <w:sz w:val="36"/>
                          <w:szCs w:val="36"/>
                        </w:rPr>
                      </w:pPr>
                      <w:r w:rsidRPr="00C4442C">
                        <w:rPr>
                          <w:b/>
                          <w:sz w:val="36"/>
                          <w:szCs w:val="36"/>
                        </w:rPr>
                        <w:t xml:space="preserve">Size of </w:t>
                      </w:r>
                      <w:proofErr w:type="spellStart"/>
                      <w:r w:rsidRPr="00C4442C">
                        <w:rPr>
                          <w:b/>
                          <w:sz w:val="36"/>
                          <w:szCs w:val="36"/>
                        </w:rPr>
                        <w:t>oldco</w:t>
                      </w:r>
                      <w:proofErr w:type="spellEnd"/>
                      <w:r w:rsidRPr="00C4442C">
                        <w:rPr>
                          <w:b/>
                          <w:sz w:val="36"/>
                          <w:szCs w:val="36"/>
                        </w:rPr>
                        <w:t xml:space="preserve"> - Employees</w:t>
                      </w:r>
                    </w:p>
                  </w:txbxContent>
                </v:textbox>
              </v:shape>
            </w:pict>
          </mc:Fallback>
        </mc:AlternateConten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02065C5" wp14:editId="75ECDBCE">
            <wp:extent cx="2855343" cy="3812875"/>
            <wp:effectExtent l="0" t="0" r="21590" b="165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b w:val="0"/>
          <w:bCs/>
          <w:noProof/>
          <w:sz w:val="24"/>
          <w:szCs w:val="24"/>
          <w:lang w:eastAsia="en-GB"/>
        </w:rPr>
        <w:drawing>
          <wp:inline distT="0" distB="0" distL="0" distR="0" wp14:anchorId="1AB9523E" wp14:editId="5294E5AC">
            <wp:extent cx="2820838" cy="3812875"/>
            <wp:effectExtent l="0" t="0" r="17780"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C3E04" w:rsidRDefault="00FC3E04"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C4442C">
        <w:rPr>
          <w:b w:val="0"/>
          <w:bCs/>
          <w:noProof/>
          <w:sz w:val="24"/>
          <w:szCs w:val="24"/>
          <w:lang w:eastAsia="en-GB"/>
        </w:rPr>
        <mc:AlternateContent>
          <mc:Choice Requires="wps">
            <w:drawing>
              <wp:anchor distT="0" distB="0" distL="114300" distR="114300" simplePos="0" relativeHeight="251661312" behindDoc="0" locked="0" layoutInCell="1" allowOverlap="1" wp14:anchorId="353BC676" wp14:editId="51396193">
                <wp:simplePos x="0" y="0"/>
                <wp:positionH relativeFrom="column">
                  <wp:posOffset>1371600</wp:posOffset>
                </wp:positionH>
                <wp:positionV relativeFrom="paragraph">
                  <wp:posOffset>10795</wp:posOffset>
                </wp:positionV>
                <wp:extent cx="2914650" cy="381000"/>
                <wp:effectExtent l="0" t="0" r="1905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81000"/>
                        </a:xfrm>
                        <a:prstGeom prst="rect">
                          <a:avLst/>
                        </a:prstGeom>
                        <a:solidFill>
                          <a:srgbClr val="FFFFFF"/>
                        </a:solidFill>
                        <a:ln w="9525">
                          <a:solidFill>
                            <a:srgbClr val="000000"/>
                          </a:solidFill>
                          <a:miter lim="800000"/>
                          <a:headEnd/>
                          <a:tailEnd/>
                        </a:ln>
                      </wps:spPr>
                      <wps:txbx>
                        <w:txbxContent>
                          <w:p w:rsidR="00265B0B" w:rsidRPr="00C4442C" w:rsidRDefault="00265B0B" w:rsidP="00C12A83">
                            <w:pPr>
                              <w:jc w:val="center"/>
                              <w:rPr>
                                <w:b/>
                                <w:sz w:val="36"/>
                                <w:szCs w:val="36"/>
                              </w:rPr>
                            </w:pPr>
                            <w:r w:rsidRPr="00C4442C">
                              <w:rPr>
                                <w:b/>
                                <w:sz w:val="36"/>
                                <w:szCs w:val="36"/>
                              </w:rPr>
                              <w:t xml:space="preserve">Size of oldco - </w:t>
                            </w:r>
                            <w:r>
                              <w:rPr>
                                <w:b/>
                                <w:sz w:val="36"/>
                                <w:szCs w:val="36"/>
                              </w:rPr>
                              <w:t>Turnover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8pt;margin-top:.85pt;width:229.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">
                <v:textbox>
                  <w:txbxContent>
                    <w:p w:rsidR="00265B0B" w:rsidRPr="00C4442C" w:rsidRDefault="00265B0B" w:rsidP="00C12A83">
                      <w:pPr>
                        <w:jc w:val="center"/>
                        <w:rPr>
                          <w:b/>
                          <w:sz w:val="36"/>
                          <w:szCs w:val="36"/>
                        </w:rPr>
                      </w:pPr>
                      <w:r w:rsidRPr="00C4442C">
                        <w:rPr>
                          <w:b/>
                          <w:sz w:val="36"/>
                          <w:szCs w:val="36"/>
                        </w:rPr>
                        <w:t xml:space="preserve">Size of </w:t>
                      </w:r>
                      <w:proofErr w:type="spellStart"/>
                      <w:r w:rsidRPr="00C4442C">
                        <w:rPr>
                          <w:b/>
                          <w:sz w:val="36"/>
                          <w:szCs w:val="36"/>
                        </w:rPr>
                        <w:t>oldco</w:t>
                      </w:r>
                      <w:proofErr w:type="spellEnd"/>
                      <w:r w:rsidRPr="00C4442C">
                        <w:rPr>
                          <w:b/>
                          <w:sz w:val="36"/>
                          <w:szCs w:val="36"/>
                        </w:rPr>
                        <w:t xml:space="preserve"> - </w:t>
                      </w:r>
                      <w:r>
                        <w:rPr>
                          <w:b/>
                          <w:sz w:val="36"/>
                          <w:szCs w:val="36"/>
                        </w:rPr>
                        <w:t>Turnover</w:t>
                      </w:r>
                    </w:p>
                  </w:txbxContent>
                </v:textbox>
              </v:shape>
            </w:pict>
          </mc:Fallback>
        </mc:AlternateContent>
      </w:r>
      <w:r w:rsidRPr="00C4442C">
        <w:rPr>
          <w:b w:val="0"/>
          <w:bCs/>
          <w:noProof/>
          <w:sz w:val="24"/>
          <w:szCs w:val="24"/>
          <w:lang w:eastAsia="en-GB"/>
        </w:rPr>
        <w:t xml:space="preserve"> </w: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216133E6" wp14:editId="2910BCD2">
            <wp:extent cx="2855343" cy="3812875"/>
            <wp:effectExtent l="0" t="0" r="21590"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b w:val="0"/>
          <w:bCs/>
          <w:noProof/>
          <w:sz w:val="24"/>
          <w:szCs w:val="24"/>
          <w:lang w:eastAsia="en-GB"/>
        </w:rPr>
        <w:drawing>
          <wp:inline distT="0" distB="0" distL="0" distR="0" wp14:anchorId="02289BF6" wp14:editId="6AF3CD69">
            <wp:extent cx="2820838" cy="3812875"/>
            <wp:effectExtent l="0" t="0" r="17780" b="165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12A83" w:rsidRPr="00535141" w:rsidRDefault="00FC3E04" w:rsidP="00C12A83">
      <w:pPr>
        <w:pStyle w:val="TableHeading"/>
        <w:spacing w:line="240" w:lineRule="auto"/>
        <w:rPr>
          <w:bCs/>
          <w:sz w:val="24"/>
          <w:szCs w:val="24"/>
        </w:rPr>
      </w:pPr>
      <w:r>
        <w:rPr>
          <w:bCs/>
          <w:sz w:val="24"/>
          <w:szCs w:val="24"/>
        </w:rPr>
        <w:lastRenderedPageBreak/>
        <w:t>A</w:t>
      </w:r>
      <w:r w:rsidR="00C12A83" w:rsidRPr="00535141">
        <w:rPr>
          <w:bCs/>
          <w:sz w:val="24"/>
          <w:szCs w:val="24"/>
        </w:rPr>
        <w:t>3.2.5 Reason for failure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There does not appear to be any significant difference between the distribution of reasons for oldco failing where the purchaser subsequently fails. This is true even where the subsequent failure is broken down by connected and non-connected sales. It would have been expected that where mismanagement had been identified as the reason for oldco failing, there would be a higher prevalence of this reason where the connected party purchaser subsequently failed, however</w:t>
      </w:r>
      <w:r w:rsidR="00B67D97">
        <w:rPr>
          <w:b w:val="0"/>
          <w:bCs/>
          <w:sz w:val="24"/>
          <w:szCs w:val="24"/>
        </w:rPr>
        <w:t>, this is not the case, as is apparent from the charts below.</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261C12F6" wp14:editId="1E101B4B">
            <wp:extent cx="5486400" cy="32004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6AF3E15D" wp14:editId="291993D0">
            <wp:extent cx="5486400" cy="32004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548631C" wp14:editId="550F0D20">
            <wp:extent cx="5486400" cy="32004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3D776A4E" wp14:editId="2935F878">
            <wp:extent cx="5486400" cy="32004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1689EE09" wp14:editId="447D8BF6">
            <wp:extent cx="5486400" cy="32004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1F6F3B27" wp14:editId="093D1865">
            <wp:extent cx="5486400" cy="32004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12A83" w:rsidRDefault="00C12A83" w:rsidP="00C12A83">
      <w:pPr>
        <w:pStyle w:val="TableHeading"/>
        <w:spacing w:line="240" w:lineRule="auto"/>
        <w:rPr>
          <w:b w:val="0"/>
          <w:bCs/>
          <w:sz w:val="24"/>
          <w:szCs w:val="24"/>
        </w:rPr>
      </w:pPr>
    </w:p>
    <w:p w:rsidR="00C12A83" w:rsidRPr="00864456" w:rsidRDefault="00FC3E04" w:rsidP="00C12A83">
      <w:pPr>
        <w:pStyle w:val="TableHeading"/>
        <w:spacing w:line="240" w:lineRule="auto"/>
        <w:rPr>
          <w:bCs/>
          <w:sz w:val="24"/>
          <w:szCs w:val="24"/>
        </w:rPr>
      </w:pPr>
      <w:r>
        <w:rPr>
          <w:bCs/>
          <w:sz w:val="24"/>
          <w:szCs w:val="24"/>
        </w:rPr>
        <w:t>A</w:t>
      </w:r>
      <w:r w:rsidR="00C12A83" w:rsidRPr="00864456">
        <w:rPr>
          <w:bCs/>
          <w:sz w:val="24"/>
          <w:szCs w:val="24"/>
        </w:rPr>
        <w:t>3.2.6 Sector in which oldco operated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As with the distribution of sectors from which companies using the pre-packaged administration process are drawn (discussed in section </w:t>
      </w:r>
      <w:r w:rsidR="00B67D97">
        <w:rPr>
          <w:b w:val="0"/>
          <w:bCs/>
          <w:sz w:val="24"/>
          <w:szCs w:val="24"/>
        </w:rPr>
        <w:t>A</w:t>
      </w:r>
      <w:r>
        <w:rPr>
          <w:b w:val="0"/>
          <w:bCs/>
          <w:sz w:val="24"/>
          <w:szCs w:val="24"/>
        </w:rPr>
        <w:t xml:space="preserve">1.4 above), there is no discernable pattern of sectors linked to subsequent failure of the purchaser.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There is a small increase in the prevalence of failure in Manufacturing (SIC 2007 10-33) and Construction &amp; Real Estate (SIC 2007 41-43 &amp; 68) when compared to the </w:t>
      </w:r>
      <w:r>
        <w:rPr>
          <w:b w:val="0"/>
          <w:bCs/>
          <w:sz w:val="24"/>
          <w:szCs w:val="24"/>
        </w:rPr>
        <w:lastRenderedPageBreak/>
        <w:t xml:space="preserve">overall distribution of these sectors within all pre-packs, with around a third of all such pre-packs failing.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On the flip side, there is also small decrease in the prevalence of failure amongst purchasers buying from companies in the Communication, Finance, Insurance &amp; Professional Services sector (SIC 2007 55-66 &amp; 69-75).</w:t>
      </w:r>
    </w:p>
    <w:p w:rsidR="00B67D97" w:rsidRDefault="00B67D97" w:rsidP="00C12A83">
      <w:pPr>
        <w:pStyle w:val="TableHeading"/>
        <w:spacing w:line="240" w:lineRule="auto"/>
        <w:rPr>
          <w:b w:val="0"/>
          <w:bCs/>
          <w:sz w:val="24"/>
          <w:szCs w:val="24"/>
        </w:rPr>
      </w:pPr>
    </w:p>
    <w:p w:rsidR="00C12A83" w:rsidRDefault="00B67D97" w:rsidP="00C12A83">
      <w:pPr>
        <w:pStyle w:val="TableHeading"/>
        <w:spacing w:line="240" w:lineRule="auto"/>
        <w:rPr>
          <w:b w:val="0"/>
          <w:bCs/>
          <w:sz w:val="24"/>
          <w:szCs w:val="24"/>
        </w:rPr>
      </w:pPr>
      <w:r w:rsidRPr="00B67D97">
        <w:rPr>
          <w:b w:val="0"/>
          <w:bCs/>
          <w:noProof/>
          <w:sz w:val="24"/>
          <w:szCs w:val="24"/>
          <w:lang w:eastAsia="en-GB"/>
        </w:rPr>
        <mc:AlternateContent>
          <mc:Choice Requires="wps">
            <w:drawing>
              <wp:anchor distT="0" distB="0" distL="114300" distR="114300" simplePos="0" relativeHeight="251677696" behindDoc="0" locked="0" layoutInCell="1" allowOverlap="1" wp14:anchorId="33CFE74E" wp14:editId="49E95A47">
                <wp:simplePos x="0" y="0"/>
                <wp:positionH relativeFrom="column">
                  <wp:align>center</wp:align>
                </wp:positionH>
                <wp:positionV relativeFrom="paragraph">
                  <wp:posOffset>0</wp:posOffset>
                </wp:positionV>
                <wp:extent cx="3409950" cy="314325"/>
                <wp:effectExtent l="0" t="0" r="19050"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14325"/>
                        </a:xfrm>
                        <a:prstGeom prst="rect">
                          <a:avLst/>
                        </a:prstGeom>
                        <a:solidFill>
                          <a:srgbClr val="FFFFFF"/>
                        </a:solidFill>
                        <a:ln w="9525">
                          <a:solidFill>
                            <a:srgbClr val="000000"/>
                          </a:solidFill>
                          <a:miter lim="800000"/>
                          <a:headEnd/>
                          <a:tailEnd/>
                        </a:ln>
                      </wps:spPr>
                      <wps:txbx>
                        <w:txbxContent>
                          <w:p w:rsidR="00265B0B" w:rsidRPr="00B67D97" w:rsidRDefault="00265B0B" w:rsidP="00B67D97">
                            <w:pPr>
                              <w:jc w:val="center"/>
                              <w:rPr>
                                <w:b/>
                                <w:sz w:val="28"/>
                              </w:rPr>
                            </w:pPr>
                            <w:r w:rsidRPr="00B67D97">
                              <w:rPr>
                                <w:b/>
                                <w:sz w:val="28"/>
                              </w:rPr>
                              <w:t>Failure Rates: Sector Breakdown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268.5pt;height:24.7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">
                <v:textbox>
                  <w:txbxContent>
                    <w:p w:rsidR="00265B0B" w:rsidRPr="00B67D97" w:rsidRDefault="00265B0B" w:rsidP="00B67D97">
                      <w:pPr>
                        <w:jc w:val="center"/>
                        <w:rPr>
                          <w:b/>
                          <w:sz w:val="28"/>
                        </w:rPr>
                      </w:pPr>
                      <w:r w:rsidRPr="00B67D97">
                        <w:rPr>
                          <w:b/>
                          <w:sz w:val="28"/>
                        </w:rPr>
                        <w:t>Failure Rates: Sector Breakdown</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18391F73" wp14:editId="62784775">
            <wp:extent cx="5486400" cy="4157932"/>
            <wp:effectExtent l="0" t="0" r="19050" b="146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12A83" w:rsidRDefault="00C12A83" w:rsidP="00C12A83">
      <w:pPr>
        <w:pStyle w:val="TableHeading"/>
        <w:spacing w:line="240" w:lineRule="auto"/>
        <w:rPr>
          <w:b w:val="0"/>
          <w:bCs/>
          <w:sz w:val="24"/>
          <w:szCs w:val="24"/>
        </w:rPr>
      </w:pPr>
    </w:p>
    <w:p w:rsidR="00C12A83" w:rsidRPr="00637477" w:rsidRDefault="00FC3E04" w:rsidP="00C12A83">
      <w:pPr>
        <w:pStyle w:val="TableHeading"/>
        <w:spacing w:line="240" w:lineRule="auto"/>
        <w:rPr>
          <w:bCs/>
          <w:sz w:val="24"/>
          <w:szCs w:val="24"/>
        </w:rPr>
      </w:pPr>
      <w:r>
        <w:rPr>
          <w:bCs/>
          <w:sz w:val="24"/>
          <w:szCs w:val="24"/>
        </w:rPr>
        <w:t>A</w:t>
      </w:r>
      <w:r w:rsidR="00C12A83" w:rsidRPr="00637477">
        <w:rPr>
          <w:bCs/>
          <w:sz w:val="24"/>
          <w:szCs w:val="24"/>
        </w:rPr>
        <w:t>3.2.7 Marketing of business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around two thirds of the cases reviewed, marketing was reported to have been conducted prior to the pre-packaged sale for differing periods and both before and after the I</w:t>
      </w:r>
      <w:r w:rsidR="00B67D97">
        <w:rPr>
          <w:b w:val="0"/>
          <w:bCs/>
          <w:sz w:val="24"/>
          <w:szCs w:val="24"/>
        </w:rPr>
        <w:t>P</w:t>
      </w:r>
      <w:r>
        <w:rPr>
          <w:b w:val="0"/>
          <w:bCs/>
          <w:sz w:val="24"/>
          <w:szCs w:val="24"/>
        </w:rPr>
        <w:t>s’ involvement with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There would appear to be a stronger connection between the failure of the purchaser where no marketing has taken place (55/189) than when marketing had taken place (66/281), with a ratio of 1.25:1. It is, however, important to note the comments in section </w:t>
      </w:r>
      <w:r w:rsidR="00B67D97">
        <w:rPr>
          <w:b w:val="0"/>
          <w:bCs/>
          <w:sz w:val="24"/>
          <w:szCs w:val="24"/>
        </w:rPr>
        <w:t>A</w:t>
      </w:r>
      <w:r>
        <w:rPr>
          <w:b w:val="0"/>
          <w:bCs/>
          <w:sz w:val="24"/>
          <w:szCs w:val="24"/>
        </w:rPr>
        <w:t xml:space="preserve">2.3 above regarding </w:t>
      </w:r>
      <w:r w:rsidR="00B67D97">
        <w:rPr>
          <w:b w:val="0"/>
          <w:bCs/>
          <w:sz w:val="24"/>
          <w:szCs w:val="24"/>
        </w:rPr>
        <w:t xml:space="preserve">the lack of detail as to </w:t>
      </w:r>
      <w:r>
        <w:rPr>
          <w:b w:val="0"/>
          <w:bCs/>
          <w:sz w:val="24"/>
          <w:szCs w:val="24"/>
        </w:rPr>
        <w:t>the extent of the marketing conducted.</w:t>
      </w:r>
    </w:p>
    <w:p w:rsidR="00C12A83" w:rsidRDefault="00B67D97" w:rsidP="00C12A83">
      <w:pPr>
        <w:pStyle w:val="TableHeading"/>
        <w:spacing w:line="240" w:lineRule="auto"/>
        <w:rPr>
          <w:b w:val="0"/>
          <w:bCs/>
          <w:sz w:val="24"/>
          <w:szCs w:val="24"/>
        </w:rPr>
      </w:pPr>
      <w:r w:rsidRPr="00B67D97">
        <w:rPr>
          <w:b w:val="0"/>
          <w:bCs/>
          <w:noProof/>
          <w:sz w:val="24"/>
          <w:szCs w:val="24"/>
          <w:lang w:eastAsia="en-GB"/>
        </w:rPr>
        <w:lastRenderedPageBreak/>
        <mc:AlternateContent>
          <mc:Choice Requires="wps">
            <w:drawing>
              <wp:anchor distT="0" distB="0" distL="114300" distR="114300" simplePos="0" relativeHeight="251679744" behindDoc="0" locked="0" layoutInCell="1" allowOverlap="1" wp14:anchorId="01A10814" wp14:editId="19BFA1CA">
                <wp:simplePos x="0" y="0"/>
                <wp:positionH relativeFrom="column">
                  <wp:posOffset>1762125</wp:posOffset>
                </wp:positionH>
                <wp:positionV relativeFrom="paragraph">
                  <wp:posOffset>62230</wp:posOffset>
                </wp:positionV>
                <wp:extent cx="2374265" cy="285750"/>
                <wp:effectExtent l="0" t="0" r="12700"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solidFill>
                          <a:srgbClr val="FFFFFF"/>
                        </a:solidFill>
                        <a:ln w="9525">
                          <a:solidFill>
                            <a:srgbClr val="000000"/>
                          </a:solidFill>
                          <a:miter lim="800000"/>
                          <a:headEnd/>
                          <a:tailEnd/>
                        </a:ln>
                      </wps:spPr>
                      <wps:txbx>
                        <w:txbxContent>
                          <w:p w:rsidR="00265B0B" w:rsidRPr="00B67D97" w:rsidRDefault="00265B0B" w:rsidP="00B67D97">
                            <w:pPr>
                              <w:jc w:val="center"/>
                              <w:rPr>
                                <w:b/>
                                <w:sz w:val="28"/>
                              </w:rPr>
                            </w:pPr>
                            <w:r w:rsidRPr="00B67D97">
                              <w:rPr>
                                <w:b/>
                                <w:sz w:val="28"/>
                              </w:rPr>
                              <w:t>Failure Rates: Marketing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138.75pt;margin-top:4.9pt;width:186.95pt;height:22.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gIKQIAAE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">
                <v:textbox>
                  <w:txbxContent>
                    <w:p w:rsidR="00265B0B" w:rsidRPr="00B67D97" w:rsidRDefault="00265B0B" w:rsidP="00B67D97">
                      <w:pPr>
                        <w:jc w:val="center"/>
                        <w:rPr>
                          <w:b/>
                          <w:sz w:val="28"/>
                        </w:rPr>
                      </w:pPr>
                      <w:r w:rsidRPr="00B67D97">
                        <w:rPr>
                          <w:b/>
                          <w:sz w:val="28"/>
                        </w:rPr>
                        <w:t>Failure Rates: Marketing</w:t>
                      </w:r>
                    </w:p>
                  </w:txbxContent>
                </v:textbox>
              </v:shape>
            </w:pict>
          </mc:Fallback>
        </mc:AlternateContent>
      </w:r>
      <w:r w:rsidR="00C12A83">
        <w:rPr>
          <w:b w:val="0"/>
          <w:bCs/>
          <w:noProof/>
          <w:sz w:val="24"/>
          <w:szCs w:val="24"/>
          <w:lang w:eastAsia="en-GB"/>
        </w:rPr>
        <w:drawing>
          <wp:inline distT="0" distB="0" distL="0" distR="0" wp14:anchorId="17866953" wp14:editId="1A834FE6">
            <wp:extent cx="5486400" cy="32004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12A83" w:rsidRDefault="00C12A83" w:rsidP="00C12A83">
      <w:pPr>
        <w:pStyle w:val="TableHeading"/>
        <w:spacing w:line="240" w:lineRule="auto"/>
        <w:rPr>
          <w:b w:val="0"/>
          <w:bCs/>
          <w:sz w:val="24"/>
          <w:szCs w:val="24"/>
        </w:rPr>
      </w:pPr>
    </w:p>
    <w:p w:rsidR="00C12A83" w:rsidRDefault="00FC3E04" w:rsidP="00C12A83">
      <w:pPr>
        <w:pStyle w:val="TableHeading"/>
        <w:spacing w:line="240" w:lineRule="auto"/>
        <w:rPr>
          <w:b w:val="0"/>
          <w:bCs/>
          <w:sz w:val="24"/>
          <w:szCs w:val="24"/>
        </w:rPr>
      </w:pPr>
      <w:r>
        <w:rPr>
          <w:bCs/>
          <w:sz w:val="24"/>
          <w:szCs w:val="24"/>
        </w:rPr>
        <w:t>A</w:t>
      </w:r>
      <w:r w:rsidR="00C12A83" w:rsidRPr="00873CAE">
        <w:rPr>
          <w:bCs/>
          <w:sz w:val="24"/>
          <w:szCs w:val="24"/>
        </w:rPr>
        <w:t>3.2.8 Insolvency</w:t>
      </w:r>
      <w:r w:rsidR="00C12A83" w:rsidRPr="005B0CA4">
        <w:rPr>
          <w:bCs/>
          <w:sz w:val="24"/>
          <w:szCs w:val="24"/>
        </w:rPr>
        <w:t xml:space="preserve"> Practitioner Firms </w:t>
      </w:r>
      <w:r w:rsidR="00C12A83">
        <w:rPr>
          <w:bCs/>
          <w:sz w:val="24"/>
          <w:szCs w:val="24"/>
        </w:rPr>
        <w:t xml:space="preserve">appointed in </w:t>
      </w:r>
      <w:r w:rsidR="00C12A83" w:rsidRPr="005B0CA4">
        <w:rPr>
          <w:bCs/>
          <w:sz w:val="24"/>
          <w:szCs w:val="24"/>
        </w:rPr>
        <w:t>pre-packs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Of the 103 IP Firms whose IPs were appointed as administrators in the pre-packs reviewed from 2010, there is failure data for the purchasers for 99 of those Firms.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Over half of these Firms were not involved in pre-packs where the purchaser subsequently failed (56/99), although this changes quite significantly when Firms with only one appointment are excluded. </w:t>
      </w:r>
      <w:r w:rsidR="00B67D97">
        <w:rPr>
          <w:b w:val="0"/>
          <w:bCs/>
          <w:sz w:val="24"/>
          <w:szCs w:val="24"/>
        </w:rPr>
        <w:t>Fifty</w:t>
      </w:r>
      <w:r>
        <w:rPr>
          <w:b w:val="0"/>
          <w:bCs/>
          <w:sz w:val="24"/>
          <w:szCs w:val="24"/>
        </w:rPr>
        <w:t xml:space="preserve"> Firms were involved in two or more pre-packs, with just 17 not linked to a subsequent purchaser failure. A fifth of Firms taking more than one appointment saw at least half of the purchasers subsequently fail (10/50), whilst two Firms saw all of the pre-packs they were involved in fail (both Firms taking two appointments).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ten Firms with the greatest number of appointments had very different results when we consider the subsequent failure of the purchaser. Four Firms saw less than a fifth of purchasers fail within 36 months of the pre-pack (Baker Tilly – 0, BDO – 1, Grant Thornton – 1, and MCR – 3). At the other end of the scale, three Firms were involved in sales where the purchaser failed in at least 40% of cases (Leonard Curtis – 19/36, Shipleys – 9/20, and FRP Advisory/Vantis – 8/19).</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DE1D83">
        <w:rPr>
          <w:b w:val="0"/>
          <w:bCs/>
          <w:noProof/>
          <w:sz w:val="24"/>
          <w:szCs w:val="24"/>
          <w:lang w:eastAsia="en-GB"/>
        </w:rPr>
        <w:lastRenderedPageBreak/>
        <mc:AlternateContent>
          <mc:Choice Requires="wps">
            <w:drawing>
              <wp:anchor distT="0" distB="0" distL="114300" distR="114300" simplePos="0" relativeHeight="251659264" behindDoc="0" locked="0" layoutInCell="1" allowOverlap="1" wp14:anchorId="3A9CED9E" wp14:editId="31548FAE">
                <wp:simplePos x="0" y="0"/>
                <wp:positionH relativeFrom="column">
                  <wp:posOffset>1017905</wp:posOffset>
                </wp:positionH>
                <wp:positionV relativeFrom="paragraph">
                  <wp:posOffset>0</wp:posOffset>
                </wp:positionV>
                <wp:extent cx="3962400" cy="704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04850"/>
                        </a:xfrm>
                        <a:prstGeom prst="rect">
                          <a:avLst/>
                        </a:prstGeom>
                        <a:solidFill>
                          <a:srgbClr val="FFFFFF"/>
                        </a:solidFill>
                        <a:ln w="9525">
                          <a:solidFill>
                            <a:srgbClr val="000000"/>
                          </a:solidFill>
                          <a:miter lim="800000"/>
                          <a:headEnd/>
                          <a:tailEnd/>
                        </a:ln>
                      </wps:spPr>
                      <wps:txbx>
                        <w:txbxContent>
                          <w:p w:rsidR="00265B0B" w:rsidRPr="00DE1D83" w:rsidRDefault="00265B0B" w:rsidP="00C12A83">
                            <w:pPr>
                              <w:jc w:val="center"/>
                              <w:rPr>
                                <w:b/>
                                <w:sz w:val="32"/>
                              </w:rPr>
                            </w:pPr>
                            <w:r w:rsidRPr="00DE1D83">
                              <w:rPr>
                                <w:b/>
                                <w:sz w:val="32"/>
                              </w:rPr>
                              <w:t>Subsequent Failures for Top 10 IP Firms by number of appointments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0.15pt;margin-top:0;width:312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">
                <v:textbox>
                  <w:txbxContent>
                    <w:p w:rsidR="00265B0B" w:rsidRPr="00DE1D83" w:rsidRDefault="00265B0B" w:rsidP="00C12A83">
                      <w:pPr>
                        <w:jc w:val="center"/>
                        <w:rPr>
                          <w:b/>
                          <w:sz w:val="32"/>
                        </w:rPr>
                      </w:pPr>
                      <w:r w:rsidRPr="00DE1D83">
                        <w:rPr>
                          <w:b/>
                          <w:sz w:val="32"/>
                        </w:rPr>
                        <w:t>Subsequent Failures for Top 10 IP Firms by number of appointments</w:t>
                      </w:r>
                    </w:p>
                  </w:txbxContent>
                </v:textbox>
              </v:shape>
            </w:pict>
          </mc:Fallback>
        </mc:AlternateContent>
      </w:r>
      <w:r>
        <w:rPr>
          <w:b w:val="0"/>
          <w:bCs/>
          <w:noProof/>
          <w:sz w:val="24"/>
          <w:szCs w:val="24"/>
          <w:lang w:eastAsia="en-GB"/>
        </w:rPr>
        <w:drawing>
          <wp:inline distT="0" distB="0" distL="0" distR="0" wp14:anchorId="1418D26B" wp14:editId="174CFBEF">
            <wp:extent cx="5949538" cy="4809506"/>
            <wp:effectExtent l="0" t="0" r="13335"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 xml:space="preserve">It can also be seen that those Firms making greater use of sales to connected parties and/or sales with deferred consideration see a greater number of these cases failing. This is not wholly surprising given the observations about the impact of connected sales and deferred consideration on subsequent failure of the purchaser discussed in Sections </w:t>
      </w:r>
      <w:r w:rsidR="00B67D97">
        <w:rPr>
          <w:b w:val="0"/>
          <w:bCs/>
          <w:sz w:val="24"/>
          <w:szCs w:val="24"/>
        </w:rPr>
        <w:t>A</w:t>
      </w:r>
      <w:r>
        <w:rPr>
          <w:b w:val="0"/>
          <w:bCs/>
          <w:sz w:val="24"/>
          <w:szCs w:val="24"/>
        </w:rPr>
        <w:t xml:space="preserve">3.2.1-3.2.3 above. KPMG and Baker Tilly appear to be an exception to this general observation. In the case of the former, this may be due to the specific nature of the appointments involved and the impact of the level of purchase price. Please see the comments in Section </w:t>
      </w:r>
      <w:r w:rsidR="00B67D97">
        <w:rPr>
          <w:b w:val="0"/>
          <w:bCs/>
          <w:sz w:val="24"/>
          <w:szCs w:val="24"/>
        </w:rPr>
        <w:t>A</w:t>
      </w:r>
      <w:r>
        <w:rPr>
          <w:b w:val="0"/>
          <w:bCs/>
          <w:sz w:val="24"/>
          <w:szCs w:val="24"/>
        </w:rPr>
        <w:t>4 below on this point.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7F69C7FA" wp14:editId="1829BEF4">
            <wp:extent cx="6151418" cy="7517081"/>
            <wp:effectExtent l="0" t="0" r="20955" b="273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Full details of the appointment taking IP Firms is set out in Appendix 5.</w:t>
      </w:r>
    </w:p>
    <w:p w:rsidR="00C12A83" w:rsidRDefault="00C12A83" w:rsidP="00C12A83">
      <w:pPr>
        <w:pStyle w:val="TableHeading"/>
        <w:spacing w:line="240" w:lineRule="auto"/>
        <w:rPr>
          <w:b w:val="0"/>
          <w:bCs/>
          <w:sz w:val="24"/>
          <w:szCs w:val="24"/>
        </w:rPr>
      </w:pPr>
    </w:p>
    <w:p w:rsidR="00C12A83" w:rsidRDefault="00C12A83" w:rsidP="00C12A83">
      <w:pPr>
        <w:rPr>
          <w:b/>
          <w:bCs/>
        </w:rPr>
      </w:pPr>
      <w:r>
        <w:rPr>
          <w:bCs/>
        </w:rPr>
        <w:br w:type="page"/>
      </w:r>
    </w:p>
    <w:p w:rsidR="00FC3E04" w:rsidRPr="00FC3E04" w:rsidRDefault="00FC3E04" w:rsidP="00C12A83">
      <w:pPr>
        <w:pStyle w:val="TableHeading"/>
        <w:spacing w:line="240" w:lineRule="auto"/>
        <w:rPr>
          <w:bCs/>
          <w:i/>
          <w:sz w:val="24"/>
          <w:szCs w:val="24"/>
        </w:rPr>
      </w:pPr>
      <w:r w:rsidRPr="00FC3E04">
        <w:rPr>
          <w:bCs/>
          <w:i/>
          <w:sz w:val="24"/>
          <w:szCs w:val="24"/>
        </w:rPr>
        <w:lastRenderedPageBreak/>
        <w:t>Part A2</w:t>
      </w:r>
    </w:p>
    <w:p w:rsidR="00FC3E04" w:rsidRDefault="00FC3E04" w:rsidP="00C12A83">
      <w:pPr>
        <w:pStyle w:val="TableHeading"/>
        <w:spacing w:line="240" w:lineRule="auto"/>
        <w:rPr>
          <w:bCs/>
          <w:sz w:val="24"/>
          <w:szCs w:val="24"/>
        </w:rPr>
      </w:pPr>
    </w:p>
    <w:p w:rsidR="00C12A83" w:rsidRPr="004E19B2" w:rsidRDefault="00FC3E04" w:rsidP="00FC3E04">
      <w:pPr>
        <w:pStyle w:val="TableHeading"/>
        <w:spacing w:line="240" w:lineRule="auto"/>
        <w:ind w:left="720" w:hanging="720"/>
        <w:rPr>
          <w:bCs/>
          <w:sz w:val="24"/>
          <w:szCs w:val="24"/>
        </w:rPr>
      </w:pPr>
      <w:r>
        <w:rPr>
          <w:bCs/>
          <w:sz w:val="24"/>
          <w:szCs w:val="24"/>
        </w:rPr>
        <w:t>A</w:t>
      </w:r>
      <w:r w:rsidR="00C12A83" w:rsidRPr="004E19B2">
        <w:rPr>
          <w:bCs/>
          <w:sz w:val="24"/>
          <w:szCs w:val="24"/>
        </w:rPr>
        <w:t xml:space="preserve">4 </w:t>
      </w:r>
      <w:r>
        <w:rPr>
          <w:bCs/>
          <w:sz w:val="24"/>
          <w:szCs w:val="24"/>
        </w:rPr>
        <w:tab/>
      </w:r>
      <w:r w:rsidR="00C12A83" w:rsidRPr="004E19B2">
        <w:rPr>
          <w:bCs/>
          <w:sz w:val="24"/>
          <w:szCs w:val="24"/>
        </w:rPr>
        <w:t>Regression Analysis: Factors affecting failure of the purchaser in a pre-pack over time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 regression analysis has been conducted on the data collected in respect of the sample of 497 companies that utilised the pre-pack procedure in 2010, to identify the influence of a number of key variables on the outcome for the purchaser in the pre-pack process. A</w:t>
      </w:r>
      <w:r w:rsidRPr="00375B0B">
        <w:rPr>
          <w:b w:val="0"/>
          <w:bCs/>
          <w:sz w:val="24"/>
          <w:szCs w:val="24"/>
        </w:rPr>
        <w:t xml:space="preserve"> binomial logistic regression (with logit link) </w:t>
      </w:r>
      <w:r>
        <w:rPr>
          <w:b w:val="0"/>
          <w:bCs/>
          <w:sz w:val="24"/>
          <w:szCs w:val="24"/>
        </w:rPr>
        <w:t xml:space="preserve">has been carried out </w:t>
      </w:r>
      <w:r w:rsidRPr="00375B0B">
        <w:rPr>
          <w:b w:val="0"/>
          <w:bCs/>
          <w:sz w:val="24"/>
          <w:szCs w:val="24"/>
        </w:rPr>
        <w:t xml:space="preserve">on the 466 cases for which data is available for the </w:t>
      </w:r>
      <w:r>
        <w:rPr>
          <w:b w:val="0"/>
          <w:bCs/>
          <w:sz w:val="24"/>
          <w:szCs w:val="24"/>
        </w:rPr>
        <w:t xml:space="preserve">three </w:t>
      </w:r>
      <w:r w:rsidRPr="00375B0B">
        <w:rPr>
          <w:b w:val="0"/>
          <w:bCs/>
          <w:sz w:val="24"/>
          <w:szCs w:val="24"/>
        </w:rPr>
        <w:t>response</w:t>
      </w:r>
      <w:r>
        <w:rPr>
          <w:b w:val="0"/>
          <w:bCs/>
          <w:sz w:val="24"/>
          <w:szCs w:val="24"/>
        </w:rPr>
        <w:t>s</w:t>
      </w:r>
      <w:r w:rsidRPr="00375B0B">
        <w:rPr>
          <w:b w:val="0"/>
          <w:bCs/>
          <w:sz w:val="24"/>
          <w:szCs w:val="24"/>
        </w:rPr>
        <w:t xml:space="preserve"> (failure of purchaser within </w:t>
      </w:r>
      <w:r>
        <w:rPr>
          <w:b w:val="0"/>
          <w:bCs/>
          <w:sz w:val="24"/>
          <w:szCs w:val="24"/>
        </w:rPr>
        <w:t xml:space="preserve">12, 24 and </w:t>
      </w:r>
      <w:r w:rsidRPr="00375B0B">
        <w:rPr>
          <w:b w:val="0"/>
          <w:bCs/>
          <w:sz w:val="24"/>
          <w:szCs w:val="24"/>
        </w:rPr>
        <w:t>36 months)</w:t>
      </w:r>
      <w:r w:rsidR="00B67D97" w:rsidRPr="00B67D97">
        <w:rPr>
          <w:rFonts w:eastAsia="Calibri" w:cs="Arial"/>
          <w:b w:val="0"/>
          <w:vertAlign w:val="superscript"/>
        </w:rPr>
        <w:t xml:space="preserve"> </w:t>
      </w:r>
      <w:r w:rsidR="00B67D97" w:rsidRPr="00253281">
        <w:rPr>
          <w:rFonts w:eastAsia="Calibri" w:cs="Arial"/>
          <w:b w:val="0"/>
          <w:vertAlign w:val="superscript"/>
        </w:rPr>
        <w:footnoteReference w:id="2"/>
      </w:r>
      <w:r w:rsidRPr="00375B0B">
        <w:rPr>
          <w:b w:val="0"/>
          <w:bCs/>
          <w:sz w:val="24"/>
          <w:szCs w:val="24"/>
        </w:rPr>
        <w:t xml:space="preserve"> and </w:t>
      </w:r>
      <w:r w:rsidRPr="00FC7C60">
        <w:rPr>
          <w:b w:val="0"/>
          <w:bCs/>
          <w:sz w:val="24"/>
          <w:szCs w:val="24"/>
        </w:rPr>
        <w:t>the following variables were found to be</w:t>
      </w:r>
      <w:r>
        <w:rPr>
          <w:b w:val="0"/>
          <w:bCs/>
          <w:sz w:val="24"/>
          <w:szCs w:val="24"/>
        </w:rPr>
        <w:t xml:space="preserve"> significant:</w:t>
      </w:r>
    </w:p>
    <w:p w:rsidR="00C12A83" w:rsidRDefault="00C12A83" w:rsidP="00C12A83">
      <w:pPr>
        <w:pStyle w:val="TableHeading"/>
        <w:numPr>
          <w:ilvl w:val="0"/>
          <w:numId w:val="35"/>
        </w:numPr>
        <w:spacing w:line="240" w:lineRule="auto"/>
        <w:rPr>
          <w:b w:val="0"/>
          <w:bCs/>
          <w:sz w:val="24"/>
          <w:szCs w:val="24"/>
        </w:rPr>
      </w:pPr>
      <w:r w:rsidRPr="00375B0B">
        <w:rPr>
          <w:b w:val="0"/>
          <w:bCs/>
          <w:sz w:val="24"/>
          <w:szCs w:val="24"/>
        </w:rPr>
        <w:t>whether deferred consideration was payable; and</w:t>
      </w:r>
    </w:p>
    <w:p w:rsidR="00C12A83" w:rsidRDefault="00C12A83" w:rsidP="00C12A83">
      <w:pPr>
        <w:pStyle w:val="TableHeading"/>
        <w:numPr>
          <w:ilvl w:val="0"/>
          <w:numId w:val="35"/>
        </w:numPr>
        <w:spacing w:line="240" w:lineRule="auto"/>
        <w:rPr>
          <w:b w:val="0"/>
          <w:bCs/>
          <w:sz w:val="24"/>
          <w:szCs w:val="24"/>
        </w:rPr>
      </w:pPr>
      <w:r w:rsidRPr="00375B0B">
        <w:rPr>
          <w:b w:val="0"/>
          <w:bCs/>
          <w:sz w:val="24"/>
          <w:szCs w:val="24"/>
        </w:rPr>
        <w:t>if there was a sale to a connected party; and</w:t>
      </w:r>
    </w:p>
    <w:p w:rsidR="00C12A83" w:rsidRDefault="00C12A83" w:rsidP="00C12A83">
      <w:pPr>
        <w:pStyle w:val="TableHeading"/>
        <w:numPr>
          <w:ilvl w:val="0"/>
          <w:numId w:val="35"/>
        </w:numPr>
        <w:spacing w:line="240" w:lineRule="auto"/>
        <w:rPr>
          <w:b w:val="0"/>
          <w:bCs/>
          <w:sz w:val="24"/>
          <w:szCs w:val="24"/>
        </w:rPr>
      </w:pPr>
      <w:r w:rsidRPr="00375B0B">
        <w:rPr>
          <w:b w:val="0"/>
          <w:bCs/>
          <w:sz w:val="24"/>
          <w:szCs w:val="24"/>
        </w:rPr>
        <w:t>level of purchase price.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results of each of the models (i.e. looking at failure at 12, 24 and 36 months) are set out below. The data is set out in Appendix 6 for completeness.</w:t>
      </w:r>
    </w:p>
    <w:p w:rsidR="00C12A83" w:rsidRDefault="00C12A83" w:rsidP="00C12A83">
      <w:pPr>
        <w:pStyle w:val="TableHeading"/>
        <w:spacing w:line="240" w:lineRule="auto"/>
        <w:rPr>
          <w:b w:val="0"/>
          <w:bCs/>
          <w:sz w:val="24"/>
          <w:szCs w:val="24"/>
        </w:rPr>
      </w:pPr>
    </w:p>
    <w:p w:rsidR="00C12A83" w:rsidRPr="00375B0B" w:rsidRDefault="00C12A83" w:rsidP="00C12A83">
      <w:pPr>
        <w:pStyle w:val="TableHeading"/>
        <w:spacing w:line="240" w:lineRule="auto"/>
        <w:rPr>
          <w:b w:val="0"/>
          <w:bCs/>
          <w:sz w:val="24"/>
          <w:szCs w:val="24"/>
        </w:rPr>
      </w:pPr>
      <w:r w:rsidRPr="008E5925">
        <w:rPr>
          <w:b w:val="0"/>
          <w:bCs/>
          <w:sz w:val="24"/>
          <w:szCs w:val="24"/>
        </w:rPr>
        <w:t>The impact of other variables</w:t>
      </w:r>
      <w:r>
        <w:rPr>
          <w:b w:val="0"/>
          <w:bCs/>
          <w:sz w:val="24"/>
          <w:szCs w:val="24"/>
        </w:rPr>
        <w:t xml:space="preserve"> not referred to below</w:t>
      </w:r>
      <w:r w:rsidRPr="008E5925">
        <w:rPr>
          <w:b w:val="0"/>
          <w:bCs/>
          <w:sz w:val="24"/>
          <w:szCs w:val="24"/>
        </w:rPr>
        <w:t xml:space="preserve"> was investigated</w:t>
      </w:r>
      <w:r>
        <w:rPr>
          <w:b w:val="0"/>
          <w:bCs/>
          <w:sz w:val="24"/>
          <w:szCs w:val="24"/>
        </w:rPr>
        <w:t>,</w:t>
      </w:r>
      <w:r w:rsidRPr="008E5925">
        <w:rPr>
          <w:b w:val="0"/>
          <w:bCs/>
          <w:sz w:val="24"/>
          <w:szCs w:val="24"/>
        </w:rPr>
        <w:t xml:space="preserve"> but none were found to be significant. It should be borne in mind that this does not necessarily imply that there is no relationship between these variables and chances of failure of the </w:t>
      </w:r>
      <w:r>
        <w:rPr>
          <w:b w:val="0"/>
          <w:bCs/>
          <w:sz w:val="24"/>
          <w:szCs w:val="24"/>
        </w:rPr>
        <w:t>purchaser</w:t>
      </w:r>
      <w:r w:rsidRPr="008E5925">
        <w:rPr>
          <w:b w:val="0"/>
          <w:bCs/>
          <w:sz w:val="24"/>
          <w:szCs w:val="24"/>
        </w:rPr>
        <w:t>, but that variation in the chances of survival are already accounted for by variables already in the model.</w:t>
      </w:r>
    </w:p>
    <w:p w:rsidR="00C12A83" w:rsidRDefault="00C12A83" w:rsidP="00C12A83">
      <w:pPr>
        <w:pStyle w:val="TableHeading"/>
        <w:spacing w:line="240" w:lineRule="auto"/>
        <w:rPr>
          <w:b w:val="0"/>
          <w:bCs/>
          <w:sz w:val="24"/>
          <w:szCs w:val="24"/>
        </w:rPr>
      </w:pPr>
      <w:r>
        <w:rPr>
          <w:b w:val="0"/>
          <w:bCs/>
          <w:sz w:val="24"/>
          <w:szCs w:val="24"/>
        </w:rPr>
        <w:t xml:space="preserve"> </w:t>
      </w:r>
    </w:p>
    <w:p w:rsidR="00C12A83" w:rsidRPr="00375B0B" w:rsidRDefault="00FC3E04" w:rsidP="00C12A83">
      <w:pPr>
        <w:pStyle w:val="TableHeading"/>
        <w:spacing w:line="240" w:lineRule="auto"/>
        <w:rPr>
          <w:bCs/>
          <w:sz w:val="24"/>
          <w:szCs w:val="24"/>
        </w:rPr>
      </w:pPr>
      <w:r>
        <w:rPr>
          <w:bCs/>
          <w:sz w:val="24"/>
          <w:szCs w:val="24"/>
        </w:rPr>
        <w:t>A</w:t>
      </w:r>
      <w:r w:rsidR="00C12A83" w:rsidRPr="00375B0B">
        <w:rPr>
          <w:bCs/>
          <w:sz w:val="24"/>
          <w:szCs w:val="24"/>
        </w:rPr>
        <w:t xml:space="preserve">4.1 </w:t>
      </w:r>
      <w:r>
        <w:rPr>
          <w:bCs/>
          <w:sz w:val="24"/>
          <w:szCs w:val="24"/>
        </w:rPr>
        <w:tab/>
      </w:r>
      <w:r w:rsidR="00C12A83" w:rsidRPr="00375B0B">
        <w:rPr>
          <w:bCs/>
          <w:sz w:val="24"/>
          <w:szCs w:val="24"/>
        </w:rPr>
        <w:t>Failure of purchaser at 36 months</w:t>
      </w:r>
    </w:p>
    <w:p w:rsidR="00C12A83" w:rsidRDefault="00C12A83" w:rsidP="00C12A83">
      <w:pPr>
        <w:pStyle w:val="TableHeading"/>
        <w:spacing w:line="240" w:lineRule="auto"/>
        <w:rPr>
          <w:b w:val="0"/>
          <w:bCs/>
          <w:sz w:val="24"/>
          <w:szCs w:val="24"/>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 xml:space="preserve">The model shows that the presence of deferred consideration, a connected sale and/or a ‘small’ purchase price (i.e. £1.5 million or less) all increase the chance of failure of the purchaser.   </w:t>
      </w:r>
    </w:p>
    <w:p w:rsidR="00C12A83" w:rsidRPr="00253281" w:rsidRDefault="00C12A83" w:rsidP="002C664E">
      <w:pPr>
        <w:tabs>
          <w:tab w:val="center" w:pos="4513"/>
          <w:tab w:val="right" w:pos="9026"/>
        </w:tabs>
        <w:spacing w:before="40" w:after="40" w:line="240" w:lineRule="auto"/>
        <w:rPr>
          <w:rFonts w:eastAsia="Calibri" w:cs="Arial"/>
        </w:rPr>
      </w:pPr>
    </w:p>
    <w:p w:rsidR="00C12A83" w:rsidRDefault="00C12A83" w:rsidP="002C664E">
      <w:pPr>
        <w:tabs>
          <w:tab w:val="center" w:pos="4513"/>
          <w:tab w:val="right" w:pos="9026"/>
        </w:tabs>
        <w:spacing w:before="40" w:after="40" w:line="240" w:lineRule="auto"/>
        <w:rPr>
          <w:rFonts w:eastAsia="Calibri" w:cs="Arial"/>
        </w:rPr>
      </w:pPr>
      <w:r w:rsidRPr="00253281">
        <w:rPr>
          <w:rFonts w:eastAsia="Calibri" w:cs="Arial"/>
        </w:rPr>
        <w:t>There is</w:t>
      </w:r>
      <w:r>
        <w:rPr>
          <w:rFonts w:eastAsia="Calibri" w:cs="Arial"/>
        </w:rPr>
        <w:t>,</w:t>
      </w:r>
      <w:r w:rsidRPr="00253281">
        <w:rPr>
          <w:rFonts w:eastAsia="Calibri" w:cs="Arial"/>
        </w:rPr>
        <w:t xml:space="preserve"> however</w:t>
      </w:r>
      <w:r>
        <w:rPr>
          <w:rFonts w:eastAsia="Calibri" w:cs="Arial"/>
        </w:rPr>
        <w:t>,</w:t>
      </w:r>
      <w:r w:rsidRPr="00253281">
        <w:rPr>
          <w:rFonts w:eastAsia="Calibri" w:cs="Arial"/>
        </w:rPr>
        <w:t xml:space="preserve"> a significant negative </w:t>
      </w:r>
      <w:r>
        <w:rPr>
          <w:rFonts w:eastAsia="Calibri" w:cs="Arial"/>
        </w:rPr>
        <w:t>interaction between c</w:t>
      </w:r>
      <w:r w:rsidRPr="00253281">
        <w:rPr>
          <w:rFonts w:eastAsia="Calibri" w:cs="Arial"/>
        </w:rPr>
        <w:t xml:space="preserve">onnected </w:t>
      </w:r>
      <w:r>
        <w:rPr>
          <w:rFonts w:eastAsia="Calibri" w:cs="Arial"/>
        </w:rPr>
        <w:t>s</w:t>
      </w:r>
      <w:r w:rsidRPr="00253281">
        <w:rPr>
          <w:rFonts w:eastAsia="Calibri" w:cs="Arial"/>
        </w:rPr>
        <w:t>ale</w:t>
      </w:r>
      <w:r>
        <w:rPr>
          <w:rFonts w:eastAsia="Calibri" w:cs="Arial"/>
        </w:rPr>
        <w:t>s</w:t>
      </w:r>
      <w:r w:rsidRPr="00253281">
        <w:rPr>
          <w:rFonts w:eastAsia="Calibri" w:cs="Arial"/>
        </w:rPr>
        <w:t xml:space="preserve"> and </w:t>
      </w:r>
      <w:r>
        <w:rPr>
          <w:rFonts w:eastAsia="Calibri" w:cs="Arial"/>
        </w:rPr>
        <w:t>d</w:t>
      </w:r>
      <w:r w:rsidRPr="00253281">
        <w:rPr>
          <w:rFonts w:eastAsia="Calibri" w:cs="Arial"/>
        </w:rPr>
        <w:t xml:space="preserve">eferred </w:t>
      </w:r>
      <w:r>
        <w:rPr>
          <w:rFonts w:eastAsia="Calibri" w:cs="Arial"/>
        </w:rPr>
        <w:t>consideration</w:t>
      </w:r>
      <w:r w:rsidRPr="00253281">
        <w:rPr>
          <w:rFonts w:eastAsia="Calibri" w:cs="Arial"/>
        </w:rPr>
        <w:t xml:space="preserve">.  The presence of either deferred consideration or a connected sale increases the chance of a subsequent failure of the purchaser. However, where both are present, whilst there is an increased chance of failure than if neither were present, subsequent failure is less prevalent that may have been expected. </w:t>
      </w:r>
      <w:r>
        <w:rPr>
          <w:rFonts w:eastAsia="Calibri" w:cs="Arial"/>
        </w:rPr>
        <w:t>O</w:t>
      </w:r>
      <w:r w:rsidRPr="00253281">
        <w:rPr>
          <w:rFonts w:eastAsia="Calibri" w:cs="Arial"/>
        </w:rPr>
        <w:t>n the data modelled</w:t>
      </w:r>
      <w:r>
        <w:rPr>
          <w:rFonts w:eastAsia="Calibri" w:cs="Arial"/>
        </w:rPr>
        <w:t>,</w:t>
      </w:r>
      <w:r w:rsidRPr="00253281">
        <w:rPr>
          <w:rFonts w:eastAsia="Calibri" w:cs="Arial"/>
        </w:rPr>
        <w:t xml:space="preserve"> </w:t>
      </w:r>
      <w:r>
        <w:rPr>
          <w:rFonts w:eastAsia="Calibri" w:cs="Arial"/>
        </w:rPr>
        <w:t>w</w:t>
      </w:r>
      <w:r w:rsidRPr="00253281">
        <w:rPr>
          <w:rFonts w:eastAsia="Calibri" w:cs="Arial"/>
        </w:rPr>
        <w:t>here deferred consideration is present, if a connected sale is also present it does not further increase the chance of failure, but potentially increases the ch</w:t>
      </w:r>
      <w:r>
        <w:rPr>
          <w:rFonts w:eastAsia="Calibri" w:cs="Arial"/>
        </w:rPr>
        <w:t>ance of the purchaser’s survival</w:t>
      </w:r>
      <w:r w:rsidRPr="00253281">
        <w:rPr>
          <w:rFonts w:eastAsia="Calibri" w:cs="Arial"/>
        </w:rPr>
        <w:t>. It must be noted that there are a number of additional variables which may be contributing to this effect.</w:t>
      </w:r>
    </w:p>
    <w:p w:rsidR="00C12A83" w:rsidRDefault="00C12A83" w:rsidP="002C664E">
      <w:pPr>
        <w:tabs>
          <w:tab w:val="center" w:pos="4513"/>
          <w:tab w:val="right" w:pos="9026"/>
        </w:tabs>
        <w:spacing w:before="40" w:after="40" w:line="240" w:lineRule="auto"/>
        <w:rPr>
          <w:rFonts w:eastAsia="Calibri" w:cs="Arial"/>
        </w:rPr>
      </w:pPr>
    </w:p>
    <w:p w:rsidR="00B67D97" w:rsidRDefault="00B67D97" w:rsidP="002C664E">
      <w:pPr>
        <w:tabs>
          <w:tab w:val="center" w:pos="4513"/>
          <w:tab w:val="right" w:pos="9026"/>
        </w:tabs>
        <w:spacing w:before="40" w:after="40" w:line="240" w:lineRule="auto"/>
        <w:rPr>
          <w:rFonts w:eastAsia="Calibri" w:cs="Arial"/>
        </w:rPr>
      </w:pPr>
    </w:p>
    <w:p w:rsidR="00B67D97" w:rsidRPr="00253281" w:rsidRDefault="00B67D97" w:rsidP="002C664E">
      <w:pPr>
        <w:tabs>
          <w:tab w:val="center" w:pos="4513"/>
          <w:tab w:val="right" w:pos="9026"/>
        </w:tabs>
        <w:spacing w:before="40" w:after="40" w:line="240" w:lineRule="auto"/>
        <w:rPr>
          <w:rFonts w:eastAsia="Calibri" w:cs="Arial"/>
        </w:rPr>
      </w:pPr>
    </w:p>
    <w:p w:rsidR="00C12A83" w:rsidRDefault="00FC3E04" w:rsidP="00B67D97">
      <w:pPr>
        <w:tabs>
          <w:tab w:val="center" w:pos="4513"/>
          <w:tab w:val="right" w:pos="9026"/>
        </w:tabs>
        <w:spacing w:before="40" w:after="40" w:line="240" w:lineRule="auto"/>
        <w:rPr>
          <w:rFonts w:eastAsia="Calibri" w:cs="Arial"/>
        </w:rPr>
      </w:pPr>
      <w:r>
        <w:rPr>
          <w:rFonts w:eastAsia="Calibri" w:cs="Arial"/>
          <w:b/>
        </w:rPr>
        <w:lastRenderedPageBreak/>
        <w:t>A</w:t>
      </w:r>
      <w:r w:rsidR="00C12A83">
        <w:rPr>
          <w:rFonts w:eastAsia="Calibri" w:cs="Arial"/>
          <w:b/>
        </w:rPr>
        <w:t xml:space="preserve">4.1.1 </w:t>
      </w:r>
      <w:r w:rsidR="00B725B7">
        <w:rPr>
          <w:rFonts w:eastAsia="Calibri" w:cs="Arial"/>
          <w:b/>
        </w:rPr>
        <w:t>P</w:t>
      </w:r>
      <w:r w:rsidR="00C12A83" w:rsidRPr="00253281">
        <w:rPr>
          <w:rFonts w:eastAsia="Calibri" w:cs="Arial"/>
          <w:b/>
        </w:rPr>
        <w:t xml:space="preserve">oints </w:t>
      </w:r>
      <w:r w:rsidR="00B725B7">
        <w:rPr>
          <w:rFonts w:eastAsia="Calibri" w:cs="Arial"/>
          <w:b/>
        </w:rPr>
        <w:t>t</w:t>
      </w:r>
      <w:r w:rsidR="00C12A83" w:rsidRPr="00253281">
        <w:rPr>
          <w:rFonts w:eastAsia="Calibri" w:cs="Arial"/>
          <w:b/>
        </w:rPr>
        <w:t>o note</w:t>
      </w:r>
    </w:p>
    <w:p w:rsidR="00B67D97" w:rsidRPr="00253281" w:rsidRDefault="00B67D97" w:rsidP="00B67D97">
      <w:pPr>
        <w:tabs>
          <w:tab w:val="center" w:pos="4513"/>
          <w:tab w:val="right" w:pos="9026"/>
        </w:tabs>
        <w:spacing w:before="40" w:after="40" w:line="240" w:lineRule="auto"/>
        <w:rPr>
          <w:rFonts w:eastAsia="Calibri" w:cs="Arial"/>
        </w:rPr>
      </w:pPr>
    </w:p>
    <w:p w:rsidR="00C12A83" w:rsidRPr="00253281" w:rsidRDefault="00C12A83" w:rsidP="00C12A83">
      <w:pPr>
        <w:numPr>
          <w:ilvl w:val="0"/>
          <w:numId w:val="36"/>
        </w:numPr>
        <w:tabs>
          <w:tab w:val="center" w:pos="4513"/>
          <w:tab w:val="right" w:pos="9026"/>
        </w:tabs>
        <w:spacing w:before="40" w:after="40" w:line="240" w:lineRule="auto"/>
        <w:rPr>
          <w:rFonts w:eastAsia="Calibri" w:cs="Arial"/>
        </w:rPr>
      </w:pPr>
      <w:r w:rsidRPr="00253281">
        <w:rPr>
          <w:rFonts w:eastAsia="Calibri" w:cs="Arial"/>
        </w:rPr>
        <w:t>26.0% (121/466) of purchasers in a pre-pack have failed within 36 months of the sale completing.</w:t>
      </w:r>
    </w:p>
    <w:p w:rsidR="00C12A83" w:rsidRPr="00253281" w:rsidRDefault="00C12A83" w:rsidP="00C12A83">
      <w:pPr>
        <w:numPr>
          <w:ilvl w:val="0"/>
          <w:numId w:val="36"/>
        </w:numPr>
        <w:tabs>
          <w:tab w:val="center" w:pos="4513"/>
          <w:tab w:val="right" w:pos="9026"/>
        </w:tabs>
        <w:spacing w:before="40" w:after="40" w:line="240" w:lineRule="auto"/>
        <w:rPr>
          <w:rFonts w:eastAsia="Calibri" w:cs="Arial"/>
        </w:rPr>
      </w:pPr>
      <w:r w:rsidRPr="00253281">
        <w:rPr>
          <w:rFonts w:eastAsia="Calibri" w:cs="Arial"/>
        </w:rPr>
        <w:t xml:space="preserve">Connected Sale and Deferred Consideration were present (either individually or together) in 77.0% of </w:t>
      </w:r>
      <w:r w:rsidR="00B725B7">
        <w:rPr>
          <w:rFonts w:eastAsia="Calibri" w:cs="Arial"/>
        </w:rPr>
        <w:t xml:space="preserve">all </w:t>
      </w:r>
      <w:r w:rsidRPr="00253281">
        <w:rPr>
          <w:rFonts w:eastAsia="Calibri" w:cs="Arial"/>
        </w:rPr>
        <w:t>cases</w:t>
      </w:r>
      <w:r w:rsidR="00B725B7">
        <w:rPr>
          <w:rFonts w:eastAsia="Calibri" w:cs="Arial"/>
        </w:rPr>
        <w:t>,</w:t>
      </w:r>
      <w:r w:rsidR="00B67D97">
        <w:rPr>
          <w:rFonts w:eastAsia="Calibri" w:cs="Arial"/>
        </w:rPr>
        <w:t xml:space="preserve"> </w:t>
      </w:r>
      <w:r w:rsidRPr="00253281">
        <w:rPr>
          <w:rFonts w:eastAsia="Calibri" w:cs="Arial"/>
        </w:rPr>
        <w:t xml:space="preserve">and hence both were absent in 23.0% of </w:t>
      </w:r>
      <w:r w:rsidR="00B725B7">
        <w:rPr>
          <w:rFonts w:eastAsia="Calibri" w:cs="Arial"/>
        </w:rPr>
        <w:t xml:space="preserve">all </w:t>
      </w:r>
      <w:r w:rsidRPr="00253281">
        <w:rPr>
          <w:rFonts w:eastAsia="Calibri" w:cs="Arial"/>
        </w:rPr>
        <w:t xml:space="preserve">cases. (This contrasts sharply with the Trading Administration data where both were absent in 63.4% of </w:t>
      </w:r>
      <w:r w:rsidR="00B725B7">
        <w:rPr>
          <w:rFonts w:eastAsia="Calibri" w:cs="Arial"/>
        </w:rPr>
        <w:t xml:space="preserve">all </w:t>
      </w:r>
      <w:r w:rsidRPr="00253281">
        <w:rPr>
          <w:rFonts w:eastAsia="Calibri" w:cs="Arial"/>
        </w:rPr>
        <w:t>cases</w:t>
      </w:r>
      <w:r>
        <w:rPr>
          <w:rFonts w:eastAsia="Calibri" w:cs="Arial"/>
        </w:rPr>
        <w:t xml:space="preserve"> – see analysis </w:t>
      </w:r>
      <w:r w:rsidR="00B67D97">
        <w:rPr>
          <w:rFonts w:eastAsia="Calibri" w:cs="Arial"/>
        </w:rPr>
        <w:t xml:space="preserve">in Section B4 </w:t>
      </w:r>
      <w:r>
        <w:rPr>
          <w:rFonts w:eastAsia="Calibri" w:cs="Arial"/>
        </w:rPr>
        <w:t>below</w:t>
      </w:r>
      <w:r w:rsidRPr="00253281">
        <w:rPr>
          <w:rFonts w:eastAsia="Calibri" w:cs="Arial"/>
        </w:rPr>
        <w:t>).</w:t>
      </w:r>
    </w:p>
    <w:p w:rsidR="00C12A83" w:rsidRPr="00253281" w:rsidRDefault="00C12A83" w:rsidP="00C12A83">
      <w:pPr>
        <w:numPr>
          <w:ilvl w:val="0"/>
          <w:numId w:val="36"/>
        </w:numPr>
        <w:tabs>
          <w:tab w:val="center" w:pos="4513"/>
          <w:tab w:val="right" w:pos="9026"/>
        </w:tabs>
        <w:spacing w:before="40" w:after="40" w:line="240" w:lineRule="auto"/>
        <w:rPr>
          <w:rFonts w:eastAsia="Calibri" w:cs="Arial"/>
        </w:rPr>
      </w:pPr>
      <w:r w:rsidRPr="00253281">
        <w:rPr>
          <w:rFonts w:eastAsia="Calibri" w:cs="Arial"/>
        </w:rPr>
        <w:t xml:space="preserve">Both Connected Sale and Deferred Consideration were present in 44.6% of </w:t>
      </w:r>
      <w:r w:rsidR="00B725B7">
        <w:rPr>
          <w:rFonts w:eastAsia="Calibri" w:cs="Arial"/>
        </w:rPr>
        <w:t xml:space="preserve">all </w:t>
      </w:r>
      <w:r w:rsidRPr="00253281">
        <w:rPr>
          <w:rFonts w:eastAsia="Calibri" w:cs="Arial"/>
        </w:rPr>
        <w:t>cases, (as opposed to only 8.6% in the trading administration data).</w:t>
      </w:r>
    </w:p>
    <w:p w:rsidR="00C12A83" w:rsidRPr="00253281" w:rsidRDefault="00C12A83" w:rsidP="00C12A83">
      <w:pPr>
        <w:tabs>
          <w:tab w:val="center" w:pos="4513"/>
          <w:tab w:val="right" w:pos="9026"/>
        </w:tabs>
        <w:spacing w:before="40" w:after="40"/>
        <w:rPr>
          <w:rFonts w:eastAsia="Calibri" w:cs="Arial"/>
        </w:rPr>
      </w:pPr>
    </w:p>
    <w:p w:rsidR="00C12A83" w:rsidRPr="00253281" w:rsidRDefault="00FC3E04" w:rsidP="00FC3E04">
      <w:pPr>
        <w:tabs>
          <w:tab w:val="center" w:pos="4513"/>
          <w:tab w:val="right" w:pos="9026"/>
        </w:tabs>
        <w:spacing w:before="40" w:after="40" w:line="240" w:lineRule="auto"/>
        <w:ind w:left="870" w:hanging="870"/>
        <w:rPr>
          <w:rFonts w:eastAsia="Calibri" w:cs="Arial"/>
          <w:b/>
        </w:rPr>
      </w:pPr>
      <w:r>
        <w:rPr>
          <w:rFonts w:eastAsia="Calibri" w:cs="Arial"/>
          <w:b/>
        </w:rPr>
        <w:t>A</w:t>
      </w:r>
      <w:r w:rsidR="00C12A83">
        <w:rPr>
          <w:rFonts w:eastAsia="Calibri" w:cs="Arial"/>
          <w:b/>
        </w:rPr>
        <w:t xml:space="preserve">4.1.2 </w:t>
      </w:r>
      <w:r>
        <w:rPr>
          <w:rFonts w:eastAsia="Calibri" w:cs="Arial"/>
          <w:b/>
        </w:rPr>
        <w:tab/>
      </w:r>
      <w:r w:rsidR="00C12A83" w:rsidRPr="00253281">
        <w:rPr>
          <w:rFonts w:eastAsia="Calibri" w:cs="Arial"/>
          <w:b/>
        </w:rPr>
        <w:t>Failure rate at 36 months: Impact of Deferred Consideration and Connected Sale</w:t>
      </w:r>
    </w:p>
    <w:p w:rsidR="00C12A83" w:rsidRPr="00253281" w:rsidRDefault="00C12A83" w:rsidP="00C12A83">
      <w:pPr>
        <w:tabs>
          <w:tab w:val="center" w:pos="4513"/>
          <w:tab w:val="right" w:pos="9026"/>
        </w:tabs>
        <w:rPr>
          <w:rFonts w:eastAsia="Calibri" w:cs="Arial"/>
        </w:rPr>
      </w:pPr>
    </w:p>
    <w:tbl>
      <w:tblPr>
        <w:tblW w:w="9039" w:type="dxa"/>
        <w:tblCellMar>
          <w:left w:w="0" w:type="dxa"/>
          <w:right w:w="0" w:type="dxa"/>
        </w:tblCellMar>
        <w:tblLook w:val="04A0" w:firstRow="1" w:lastRow="0" w:firstColumn="1" w:lastColumn="0" w:noHBand="0" w:noVBand="1"/>
      </w:tblPr>
      <w:tblGrid>
        <w:gridCol w:w="2235"/>
        <w:gridCol w:w="2268"/>
        <w:gridCol w:w="2126"/>
        <w:gridCol w:w="2410"/>
      </w:tblGrid>
      <w:tr w:rsidR="00C12A83" w:rsidRPr="00253281"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eastAsia="Calibri" w:cs="Arial"/>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Deferred consideration</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Not deferred consideration</w:t>
            </w:r>
          </w:p>
        </w:tc>
        <w:tc>
          <w:tcPr>
            <w:tcW w:w="2410" w:type="dxa"/>
            <w:tcBorders>
              <w:top w:val="single" w:sz="8" w:space="0" w:color="auto"/>
              <w:left w:val="nil"/>
              <w:bottom w:val="single" w:sz="8" w:space="0" w:color="auto"/>
              <w:right w:val="single" w:sz="8" w:space="0" w:color="auto"/>
            </w:tcBorders>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Total</w:t>
            </w:r>
          </w:p>
        </w:tc>
      </w:tr>
      <w:tr w:rsidR="00C12A83" w:rsidRPr="00253281"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Connected sale</w:t>
            </w:r>
          </w:p>
        </w:tc>
        <w:tc>
          <w:tcPr>
            <w:tcW w:w="226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37.0% (77/208)</w:t>
            </w:r>
          </w:p>
        </w:tc>
        <w:tc>
          <w:tcPr>
            <w:tcW w:w="212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253281" w:rsidRDefault="00C12A83" w:rsidP="00820FE6">
            <w:pPr>
              <w:tabs>
                <w:tab w:val="left" w:pos="851"/>
                <w:tab w:val="center" w:pos="1309"/>
              </w:tabs>
              <w:spacing w:after="160" w:line="259" w:lineRule="auto"/>
              <w:jc w:val="center"/>
              <w:rPr>
                <w:rFonts w:cs="Arial"/>
                <w:lang w:eastAsia="en-GB"/>
              </w:rPr>
            </w:pPr>
            <w:r w:rsidRPr="00253281">
              <w:rPr>
                <w:rFonts w:cs="Arial"/>
                <w:lang w:eastAsia="en-GB"/>
              </w:rPr>
              <w:t>15.0% (15/100)</w:t>
            </w:r>
          </w:p>
        </w:tc>
        <w:tc>
          <w:tcPr>
            <w:tcW w:w="2410" w:type="dxa"/>
            <w:tcBorders>
              <w:top w:val="nil"/>
              <w:left w:val="nil"/>
              <w:bottom w:val="single" w:sz="4" w:space="0" w:color="auto"/>
              <w:right w:val="single" w:sz="8" w:space="0" w:color="auto"/>
            </w:tcBorders>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30.0% (92/308)</w:t>
            </w:r>
          </w:p>
        </w:tc>
      </w:tr>
      <w:tr w:rsidR="00C12A83" w:rsidRPr="00253281"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Not connected sale</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47.1% (24/51)</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tabs>
                <w:tab w:val="left" w:pos="1089"/>
                <w:tab w:val="center" w:pos="1309"/>
              </w:tabs>
              <w:spacing w:after="160" w:line="259" w:lineRule="auto"/>
              <w:jc w:val="center"/>
              <w:rPr>
                <w:rFonts w:cs="Arial"/>
                <w:lang w:eastAsia="en-GB"/>
              </w:rPr>
            </w:pPr>
            <w:r w:rsidRPr="00253281">
              <w:rPr>
                <w:rFonts w:cs="Arial"/>
                <w:lang w:eastAsia="en-GB"/>
              </w:rPr>
              <w:t>4.7% (5/107)</w:t>
            </w:r>
          </w:p>
        </w:tc>
        <w:tc>
          <w:tcPr>
            <w:tcW w:w="2410" w:type="dxa"/>
            <w:tcBorders>
              <w:top w:val="single" w:sz="4" w:space="0" w:color="auto"/>
              <w:left w:val="single" w:sz="4" w:space="0" w:color="auto"/>
              <w:bottom w:val="single" w:sz="4" w:space="0" w:color="auto"/>
              <w:right w:val="single" w:sz="4" w:space="0" w:color="auto"/>
            </w:tcBorders>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18.4% (29/158)</w:t>
            </w:r>
          </w:p>
        </w:tc>
      </w:tr>
      <w:tr w:rsidR="00C12A83" w:rsidRPr="00253281"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b/>
                <w:lang w:eastAsia="en-GB"/>
              </w:rPr>
            </w:pPr>
            <w:r w:rsidRPr="00253281">
              <w:rPr>
                <w:rFonts w:cs="Arial"/>
                <w:b/>
                <w:lang w:eastAsia="en-GB"/>
              </w:rPr>
              <w:t>Total</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39.0% (101/259)</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9.7% (20/207)</w:t>
            </w:r>
          </w:p>
        </w:tc>
        <w:tc>
          <w:tcPr>
            <w:tcW w:w="2410" w:type="dxa"/>
            <w:tcBorders>
              <w:top w:val="single" w:sz="4" w:space="0" w:color="auto"/>
              <w:left w:val="single" w:sz="4" w:space="0" w:color="auto"/>
              <w:bottom w:val="single" w:sz="4" w:space="0" w:color="auto"/>
              <w:right w:val="single" w:sz="4" w:space="0" w:color="auto"/>
            </w:tcBorders>
            <w:vAlign w:val="center"/>
            <w:hideMark/>
          </w:tcPr>
          <w:p w:rsidR="00C12A83" w:rsidRPr="00253281" w:rsidRDefault="00C12A83" w:rsidP="00820FE6">
            <w:pPr>
              <w:spacing w:after="160" w:line="259" w:lineRule="auto"/>
              <w:jc w:val="center"/>
              <w:rPr>
                <w:rFonts w:cs="Arial"/>
                <w:lang w:eastAsia="en-GB"/>
              </w:rPr>
            </w:pPr>
            <w:r w:rsidRPr="00253281">
              <w:rPr>
                <w:rFonts w:cs="Arial"/>
                <w:lang w:eastAsia="en-GB"/>
              </w:rPr>
              <w:t>26.0% (121/466)</w:t>
            </w:r>
          </w:p>
        </w:tc>
      </w:tr>
    </w:tbl>
    <w:p w:rsidR="00C12A83" w:rsidRPr="00253281" w:rsidRDefault="00C12A83" w:rsidP="002C664E">
      <w:pPr>
        <w:tabs>
          <w:tab w:val="center" w:pos="4513"/>
          <w:tab w:val="right" w:pos="9026"/>
        </w:tabs>
        <w:spacing w:before="40" w:after="40" w:line="240" w:lineRule="auto"/>
        <w:rPr>
          <w:rFonts w:eastAsia="Calibri" w:cs="Arial"/>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From the table above we see that, ignoring the presence or absence of deferred consideration and the level of the purchase price, in the observed data 30.0% of connected sales fail. Similarly, ignoring the presence or absence of a connected sale and the level of the purchase price, 39.0% of pre</w:t>
      </w:r>
      <w:r>
        <w:rPr>
          <w:rFonts w:eastAsia="Calibri" w:cs="Arial"/>
        </w:rPr>
        <w:t>-</w:t>
      </w:r>
      <w:r w:rsidRPr="00253281">
        <w:rPr>
          <w:rFonts w:eastAsia="Calibri" w:cs="Arial"/>
        </w:rPr>
        <w:t>packs where deferred consideration is present fail. These headline figures are somewhat misleading</w:t>
      </w:r>
      <w:r>
        <w:rPr>
          <w:rFonts w:eastAsia="Calibri" w:cs="Arial"/>
        </w:rPr>
        <w:t>,</w:t>
      </w:r>
      <w:r w:rsidRPr="00253281">
        <w:rPr>
          <w:rFonts w:eastAsia="Calibri" w:cs="Arial"/>
        </w:rPr>
        <w:t xml:space="preserve"> however, as the interaction between deferred consideration and connected sales is interesting, strong and significant, and must be taken into account.  </w:t>
      </w:r>
    </w:p>
    <w:p w:rsidR="00C12A83" w:rsidRPr="00253281" w:rsidRDefault="00C12A83" w:rsidP="002C664E">
      <w:pPr>
        <w:tabs>
          <w:tab w:val="center" w:pos="4513"/>
          <w:tab w:val="right" w:pos="9026"/>
        </w:tabs>
        <w:spacing w:before="40" w:after="40" w:line="240" w:lineRule="auto"/>
        <w:rPr>
          <w:rFonts w:eastAsia="Calibri" w:cs="Arial"/>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 xml:space="preserve">On their own, the presence of deferred consideration and the presence of a connected sale </w:t>
      </w:r>
      <w:r w:rsidRPr="00253281">
        <w:rPr>
          <w:rFonts w:eastAsia="Calibri" w:cs="Arial"/>
          <w:i/>
        </w:rPr>
        <w:t>only</w:t>
      </w:r>
      <w:r w:rsidRPr="00253281">
        <w:rPr>
          <w:rFonts w:eastAsia="Calibri" w:cs="Arial"/>
        </w:rPr>
        <w:t xml:space="preserve"> are estimated to </w:t>
      </w:r>
      <w:r w:rsidR="00F27AB2">
        <w:rPr>
          <w:rFonts w:eastAsia="Calibri" w:cs="Arial"/>
        </w:rPr>
        <w:t>multiply</w:t>
      </w:r>
      <w:r w:rsidR="00F27AB2" w:rsidRPr="00253281">
        <w:rPr>
          <w:rFonts w:eastAsia="Calibri" w:cs="Arial"/>
        </w:rPr>
        <w:t xml:space="preserve"> </w:t>
      </w:r>
      <w:r w:rsidRPr="00253281">
        <w:rPr>
          <w:rFonts w:eastAsia="Calibri" w:cs="Arial"/>
        </w:rPr>
        <w:t xml:space="preserve">the failure:survival ratio by factors of  15.95 and 3.57 respectively. If no interaction were present, the combined effect of both being present would be a factor of 56.94 (i.e. 15.95 x 3.57). However, on the data reviewed, the presence of the interaction (i.e. deferred consideration and connected sale) actually appears to lessen the combined effect of the two factors: the presence of both only being forecast to </w:t>
      </w:r>
      <w:r w:rsidR="00F27AB2">
        <w:rPr>
          <w:rFonts w:eastAsia="Calibri" w:cs="Arial"/>
        </w:rPr>
        <w:t>multiply</w:t>
      </w:r>
      <w:r w:rsidR="00F27AB2" w:rsidRPr="00253281">
        <w:rPr>
          <w:rFonts w:eastAsia="Calibri" w:cs="Arial"/>
        </w:rPr>
        <w:t xml:space="preserve"> </w:t>
      </w:r>
      <w:r w:rsidRPr="00253281">
        <w:rPr>
          <w:rFonts w:eastAsia="Calibri" w:cs="Arial"/>
        </w:rPr>
        <w:t>the failure to survival ratio by a factor of 10.80 (as against the expected 56.94). It should be noted that given the large amount of variation in the data, it is feasible to conclude that if deferred consideration is present, the addition of the presence of a connected sale does not increase the chances of failure.</w:t>
      </w:r>
    </w:p>
    <w:p w:rsidR="00C12A83" w:rsidRPr="00253281" w:rsidRDefault="00C12A83" w:rsidP="002C664E">
      <w:pPr>
        <w:tabs>
          <w:tab w:val="center" w:pos="4513"/>
          <w:tab w:val="right" w:pos="9026"/>
        </w:tabs>
        <w:spacing w:before="40" w:after="40" w:line="240" w:lineRule="auto"/>
        <w:rPr>
          <w:rFonts w:eastAsia="Calibri" w:cs="Arial"/>
        </w:rPr>
      </w:pPr>
    </w:p>
    <w:p w:rsidR="00FC3E04" w:rsidRDefault="00FC3E04">
      <w:pPr>
        <w:spacing w:line="240" w:lineRule="auto"/>
        <w:rPr>
          <w:rFonts w:eastAsia="Calibri" w:cs="Arial"/>
          <w:b/>
        </w:rPr>
      </w:pPr>
      <w:r>
        <w:rPr>
          <w:rFonts w:eastAsia="Calibri" w:cs="Arial"/>
          <w:b/>
        </w:rPr>
        <w:br w:type="page"/>
      </w:r>
    </w:p>
    <w:p w:rsidR="00C12A83" w:rsidRPr="00253281" w:rsidRDefault="00FC3E04" w:rsidP="002C664E">
      <w:pPr>
        <w:tabs>
          <w:tab w:val="center" w:pos="4513"/>
          <w:tab w:val="right" w:pos="9026"/>
        </w:tabs>
        <w:spacing w:before="40" w:after="40" w:line="240" w:lineRule="auto"/>
        <w:rPr>
          <w:rFonts w:eastAsia="Calibri" w:cs="Arial"/>
        </w:rPr>
      </w:pPr>
      <w:r>
        <w:rPr>
          <w:rFonts w:eastAsia="Calibri" w:cs="Arial"/>
          <w:b/>
        </w:rPr>
        <w:lastRenderedPageBreak/>
        <w:t>A</w:t>
      </w:r>
      <w:r w:rsidR="00C12A83">
        <w:rPr>
          <w:rFonts w:eastAsia="Calibri" w:cs="Arial"/>
          <w:b/>
        </w:rPr>
        <w:t xml:space="preserve">4.1.3 </w:t>
      </w:r>
      <w:r>
        <w:rPr>
          <w:rFonts w:eastAsia="Calibri" w:cs="Arial"/>
          <w:b/>
        </w:rPr>
        <w:tab/>
      </w:r>
      <w:r w:rsidR="00C12A83" w:rsidRPr="00253281">
        <w:rPr>
          <w:rFonts w:eastAsia="Calibri" w:cs="Arial"/>
          <w:b/>
        </w:rPr>
        <w:t>Impact of purchase price and company size on failure</w:t>
      </w:r>
    </w:p>
    <w:p w:rsidR="00C12A83" w:rsidRPr="00253281" w:rsidRDefault="00C12A83" w:rsidP="002C664E">
      <w:pPr>
        <w:tabs>
          <w:tab w:val="center" w:pos="4513"/>
          <w:tab w:val="right" w:pos="9026"/>
        </w:tabs>
        <w:spacing w:before="40" w:after="40" w:line="240" w:lineRule="auto"/>
        <w:rPr>
          <w:rFonts w:eastAsia="Calibri" w:cs="Arial"/>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 xml:space="preserve">As stated, the model shows that the presence of a connected sale, the presence of deferred consideration and a ‘small’ purchase price all increase the chance of failure of the purchaser at 36 months. </w:t>
      </w:r>
    </w:p>
    <w:p w:rsidR="00C12A83" w:rsidRPr="00253281" w:rsidRDefault="00C12A83" w:rsidP="002C664E">
      <w:pPr>
        <w:tabs>
          <w:tab w:val="center" w:pos="4513"/>
          <w:tab w:val="right" w:pos="9026"/>
        </w:tabs>
        <w:spacing w:before="40" w:after="40" w:line="240" w:lineRule="auto"/>
        <w:rPr>
          <w:rFonts w:eastAsia="Calibri" w:cs="Arial"/>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 xml:space="preserve">If two pre-pack administrations are identical regarding deferred consideration and connected sale status, a ‘small’ purchase price is estimated to, on average, </w:t>
      </w:r>
      <w:r w:rsidR="00F27AB2">
        <w:rPr>
          <w:rFonts w:eastAsia="Calibri" w:cs="Arial"/>
        </w:rPr>
        <w:t>multiply</w:t>
      </w:r>
      <w:r w:rsidR="00F27AB2" w:rsidRPr="00253281">
        <w:rPr>
          <w:rFonts w:eastAsia="Calibri" w:cs="Arial"/>
        </w:rPr>
        <w:t xml:space="preserve"> </w:t>
      </w:r>
      <w:r w:rsidRPr="00253281">
        <w:rPr>
          <w:rFonts w:eastAsia="Calibri" w:cs="Arial"/>
        </w:rPr>
        <w:t>the ratio of failure:survival by a  factor of 4.31.</w:t>
      </w:r>
    </w:p>
    <w:p w:rsidR="00FC3E04" w:rsidRDefault="00FC3E04" w:rsidP="002C664E">
      <w:pPr>
        <w:tabs>
          <w:tab w:val="center" w:pos="4513"/>
          <w:tab w:val="right" w:pos="9026"/>
        </w:tabs>
        <w:spacing w:before="40" w:after="40" w:line="240" w:lineRule="auto"/>
        <w:rPr>
          <w:rFonts w:eastAsia="Calibri" w:cs="Arial"/>
          <w:b/>
        </w:rPr>
      </w:pPr>
    </w:p>
    <w:p w:rsidR="00C12A83" w:rsidRPr="00253281" w:rsidRDefault="00FC3E04" w:rsidP="002C664E">
      <w:pPr>
        <w:tabs>
          <w:tab w:val="center" w:pos="4513"/>
          <w:tab w:val="right" w:pos="9026"/>
        </w:tabs>
        <w:spacing w:before="40" w:after="40" w:line="240" w:lineRule="auto"/>
        <w:rPr>
          <w:rFonts w:eastAsia="Calibri" w:cs="Arial"/>
          <w:b/>
        </w:rPr>
      </w:pPr>
      <w:r>
        <w:rPr>
          <w:rFonts w:eastAsia="Calibri" w:cs="Arial"/>
          <w:b/>
        </w:rPr>
        <w:t>A</w:t>
      </w:r>
      <w:r w:rsidR="00C12A83">
        <w:rPr>
          <w:rFonts w:eastAsia="Calibri" w:cs="Arial"/>
          <w:b/>
        </w:rPr>
        <w:t xml:space="preserve">4.1.4 </w:t>
      </w:r>
      <w:r w:rsidR="00C12A83" w:rsidRPr="00253281">
        <w:rPr>
          <w:rFonts w:eastAsia="Calibri" w:cs="Arial"/>
          <w:b/>
        </w:rPr>
        <w:t xml:space="preserve">Impact of </w:t>
      </w:r>
      <w:r w:rsidR="002F1A3E">
        <w:rPr>
          <w:rFonts w:eastAsia="Calibri" w:cs="Arial"/>
          <w:b/>
        </w:rPr>
        <w:t>s</w:t>
      </w:r>
      <w:r w:rsidR="00C12A83" w:rsidRPr="00253281">
        <w:rPr>
          <w:rFonts w:eastAsia="Calibri" w:cs="Arial"/>
          <w:b/>
        </w:rPr>
        <w:t xml:space="preserve">ize of </w:t>
      </w:r>
      <w:r w:rsidR="002F1A3E">
        <w:rPr>
          <w:rFonts w:eastAsia="Calibri" w:cs="Arial"/>
          <w:b/>
        </w:rPr>
        <w:t>c</w:t>
      </w:r>
      <w:r w:rsidR="00C12A83" w:rsidRPr="00253281">
        <w:rPr>
          <w:rFonts w:eastAsia="Calibri" w:cs="Arial"/>
          <w:b/>
        </w:rPr>
        <w:t>ompany</w:t>
      </w:r>
    </w:p>
    <w:p w:rsidR="00C12A83" w:rsidRPr="00253281" w:rsidRDefault="00C12A83" w:rsidP="002C664E">
      <w:pPr>
        <w:tabs>
          <w:tab w:val="center" w:pos="4513"/>
          <w:tab w:val="right" w:pos="9026"/>
        </w:tabs>
        <w:spacing w:before="40" w:after="40" w:line="240" w:lineRule="auto"/>
        <w:rPr>
          <w:rFonts w:eastAsia="Calibri" w:cs="Arial"/>
          <w:b/>
        </w:rPr>
      </w:pPr>
    </w:p>
    <w:p w:rsidR="00C12A83" w:rsidRPr="00253281" w:rsidRDefault="00C12A83" w:rsidP="002C664E">
      <w:pPr>
        <w:tabs>
          <w:tab w:val="center" w:pos="4513"/>
          <w:tab w:val="right" w:pos="9026"/>
        </w:tabs>
        <w:spacing w:before="40" w:after="40" w:line="240" w:lineRule="auto"/>
        <w:rPr>
          <w:rFonts w:eastAsia="Calibri" w:cs="Arial"/>
        </w:rPr>
      </w:pPr>
      <w:r w:rsidRPr="00253281">
        <w:rPr>
          <w:rFonts w:eastAsia="Calibri" w:cs="Arial"/>
        </w:rPr>
        <w:t>It is also worth noting that there is a connection between a ‘large’ purchase price for a business (i.e. greater than £1.5 million) and where the pre-packed company was large in terms of turnover and employee numbers. Accordingly, similar statements to that made for purchase price may also be made concerning large values of these oldco size variables, though the connection is not as strong. This is of course to be expected, as a company with a large turnover (and large employee base) is likely to be more valuable to a purchaser if a going concern sale is considered viable (i.e. the continued employee liabilities are outweighed by the potential profitability).</w:t>
      </w:r>
    </w:p>
    <w:p w:rsidR="00C12A83" w:rsidRPr="00253281" w:rsidRDefault="00C12A83" w:rsidP="002C664E">
      <w:pPr>
        <w:pStyle w:val="TableHeading"/>
        <w:spacing w:line="240" w:lineRule="auto"/>
        <w:rPr>
          <w:rFonts w:cs="Arial"/>
          <w:b w:val="0"/>
          <w:bCs/>
          <w:sz w:val="24"/>
          <w:szCs w:val="24"/>
        </w:rPr>
      </w:pPr>
    </w:p>
    <w:p w:rsidR="00C12A83" w:rsidRPr="00375B0B" w:rsidRDefault="00FC3E04" w:rsidP="002C664E">
      <w:pPr>
        <w:pStyle w:val="TableHeading"/>
        <w:spacing w:line="240" w:lineRule="auto"/>
        <w:rPr>
          <w:bCs/>
          <w:sz w:val="24"/>
          <w:szCs w:val="24"/>
        </w:rPr>
      </w:pPr>
      <w:r>
        <w:rPr>
          <w:bCs/>
          <w:sz w:val="24"/>
          <w:szCs w:val="24"/>
        </w:rPr>
        <w:t>A</w:t>
      </w:r>
      <w:r w:rsidR="00C12A83" w:rsidRPr="00375B0B">
        <w:rPr>
          <w:bCs/>
          <w:sz w:val="24"/>
          <w:szCs w:val="24"/>
        </w:rPr>
        <w:t>4.2 Failure of purchaser at 24 months</w:t>
      </w:r>
    </w:p>
    <w:p w:rsidR="00C12A83" w:rsidRDefault="00C12A83" w:rsidP="002C664E">
      <w:pPr>
        <w:pStyle w:val="TableHeading"/>
        <w:spacing w:line="240" w:lineRule="auto"/>
        <w:rPr>
          <w:b w:val="0"/>
          <w:bCs/>
          <w:sz w:val="24"/>
          <w:szCs w:val="24"/>
        </w:rPr>
      </w:pPr>
    </w:p>
    <w:p w:rsidR="00C12A83" w:rsidRPr="00243DBF" w:rsidRDefault="00C12A83" w:rsidP="002C664E">
      <w:pPr>
        <w:tabs>
          <w:tab w:val="center" w:pos="4513"/>
          <w:tab w:val="right" w:pos="9026"/>
        </w:tabs>
        <w:spacing w:before="40" w:after="40" w:line="240" w:lineRule="auto"/>
        <w:rPr>
          <w:rFonts w:eastAsia="Calibri" w:cs="Arial"/>
        </w:rPr>
      </w:pPr>
      <w:r w:rsidRPr="00243DBF">
        <w:rPr>
          <w:rFonts w:eastAsia="Calibri" w:cs="Arial"/>
        </w:rPr>
        <w:t>The only variable found to be significant is whether deferred consideration is payable</w:t>
      </w:r>
      <w:r>
        <w:rPr>
          <w:rFonts w:eastAsia="Calibri" w:cs="Arial"/>
        </w:rPr>
        <w:t>.</w:t>
      </w:r>
      <w:r w:rsidRPr="00243DBF">
        <w:rPr>
          <w:rFonts w:eastAsia="Calibri" w:cs="Arial"/>
        </w:rPr>
        <w:t xml:space="preserve"> </w:t>
      </w:r>
      <w:r>
        <w:rPr>
          <w:rFonts w:eastAsia="Calibri" w:cs="Arial"/>
        </w:rPr>
        <w:t>Whilst the presence</w:t>
      </w:r>
      <w:r w:rsidRPr="00243DBF">
        <w:rPr>
          <w:rFonts w:eastAsia="Calibri" w:cs="Arial"/>
        </w:rPr>
        <w:t xml:space="preserve"> of a connected sale and/or purchase price are not significant, there is still a significant interaction between </w:t>
      </w:r>
      <w:r>
        <w:rPr>
          <w:rFonts w:eastAsia="Calibri" w:cs="Arial"/>
        </w:rPr>
        <w:t>c</w:t>
      </w:r>
      <w:r w:rsidRPr="00243DBF">
        <w:rPr>
          <w:rFonts w:eastAsia="Calibri" w:cs="Arial"/>
        </w:rPr>
        <w:t xml:space="preserve">onnected </w:t>
      </w:r>
      <w:r>
        <w:rPr>
          <w:rFonts w:eastAsia="Calibri" w:cs="Arial"/>
        </w:rPr>
        <w:t>s</w:t>
      </w:r>
      <w:r w:rsidRPr="00243DBF">
        <w:rPr>
          <w:rFonts w:eastAsia="Calibri" w:cs="Arial"/>
        </w:rPr>
        <w:t xml:space="preserve">ale and </w:t>
      </w:r>
      <w:r>
        <w:rPr>
          <w:rFonts w:eastAsia="Calibri" w:cs="Arial"/>
        </w:rPr>
        <w:t>d</w:t>
      </w:r>
      <w:r w:rsidRPr="00243DBF">
        <w:rPr>
          <w:rFonts w:eastAsia="Calibri" w:cs="Arial"/>
        </w:rPr>
        <w:t xml:space="preserve">eferred </w:t>
      </w:r>
      <w:r>
        <w:rPr>
          <w:rFonts w:eastAsia="Calibri" w:cs="Arial"/>
        </w:rPr>
        <w:t>c</w:t>
      </w:r>
      <w:r w:rsidRPr="00243DBF">
        <w:rPr>
          <w:rFonts w:eastAsia="Calibri" w:cs="Arial"/>
        </w:rPr>
        <w:t xml:space="preserve">onsideration: where there is both a connected sale and the presence of deferred consideration, failure is less prevalent than where deferred consideration is present but there is no connected sale. </w:t>
      </w:r>
    </w:p>
    <w:p w:rsidR="00C12A83" w:rsidRPr="00243DBF" w:rsidRDefault="00C12A83" w:rsidP="002C664E">
      <w:pPr>
        <w:tabs>
          <w:tab w:val="center" w:pos="4513"/>
          <w:tab w:val="right" w:pos="9026"/>
        </w:tabs>
        <w:spacing w:before="40" w:after="40" w:line="240" w:lineRule="auto"/>
        <w:rPr>
          <w:rFonts w:eastAsia="Calibri" w:cs="Arial"/>
        </w:rPr>
      </w:pPr>
    </w:p>
    <w:p w:rsidR="00C12A83" w:rsidRPr="00243DBF" w:rsidRDefault="00FC3E04" w:rsidP="002C664E">
      <w:pPr>
        <w:tabs>
          <w:tab w:val="center" w:pos="4513"/>
          <w:tab w:val="right" w:pos="9026"/>
        </w:tabs>
        <w:spacing w:before="40" w:after="40" w:line="240" w:lineRule="auto"/>
        <w:rPr>
          <w:rFonts w:eastAsia="Calibri" w:cs="Arial"/>
        </w:rPr>
      </w:pPr>
      <w:r>
        <w:rPr>
          <w:rFonts w:eastAsia="Calibri" w:cs="Arial"/>
          <w:b/>
        </w:rPr>
        <w:t>A</w:t>
      </w:r>
      <w:r w:rsidR="00C12A83">
        <w:rPr>
          <w:rFonts w:eastAsia="Calibri" w:cs="Arial"/>
          <w:b/>
        </w:rPr>
        <w:t xml:space="preserve">4.2.1 </w:t>
      </w:r>
      <w:r w:rsidR="00B725B7">
        <w:rPr>
          <w:rFonts w:eastAsia="Calibri" w:cs="Arial"/>
          <w:b/>
        </w:rPr>
        <w:t>P</w:t>
      </w:r>
      <w:r w:rsidR="00C12A83" w:rsidRPr="00243DBF">
        <w:rPr>
          <w:rFonts w:eastAsia="Calibri" w:cs="Arial"/>
          <w:b/>
        </w:rPr>
        <w:t xml:space="preserve">oints </w:t>
      </w:r>
      <w:r w:rsidR="00B725B7">
        <w:rPr>
          <w:rFonts w:eastAsia="Calibri" w:cs="Arial"/>
          <w:b/>
        </w:rPr>
        <w:t>to</w:t>
      </w:r>
      <w:r w:rsidR="00C12A83" w:rsidRPr="00243DBF">
        <w:rPr>
          <w:rFonts w:eastAsia="Calibri" w:cs="Arial"/>
          <w:b/>
        </w:rPr>
        <w:t xml:space="preserve"> note</w:t>
      </w:r>
    </w:p>
    <w:p w:rsidR="00C12A83" w:rsidRPr="00243DBF" w:rsidRDefault="00C12A83" w:rsidP="002C664E">
      <w:pPr>
        <w:tabs>
          <w:tab w:val="center" w:pos="4513"/>
          <w:tab w:val="right" w:pos="9026"/>
        </w:tabs>
        <w:spacing w:before="40" w:after="40" w:line="240" w:lineRule="auto"/>
        <w:rPr>
          <w:rFonts w:eastAsia="Calibri" w:cs="Arial"/>
        </w:rPr>
      </w:pPr>
    </w:p>
    <w:p w:rsidR="00C12A83" w:rsidRPr="00243DBF" w:rsidRDefault="00C12A83" w:rsidP="002C664E">
      <w:pPr>
        <w:numPr>
          <w:ilvl w:val="0"/>
          <w:numId w:val="36"/>
        </w:numPr>
        <w:tabs>
          <w:tab w:val="center" w:pos="4513"/>
          <w:tab w:val="right" w:pos="9026"/>
        </w:tabs>
        <w:spacing w:before="40" w:after="40" w:line="240" w:lineRule="auto"/>
        <w:rPr>
          <w:rFonts w:eastAsia="Calibri" w:cs="Arial"/>
        </w:rPr>
      </w:pPr>
      <w:r w:rsidRPr="00243DBF">
        <w:rPr>
          <w:rFonts w:eastAsia="Calibri" w:cs="Arial"/>
        </w:rPr>
        <w:t>18.</w:t>
      </w:r>
      <w:r>
        <w:rPr>
          <w:rFonts w:eastAsia="Calibri" w:cs="Arial"/>
        </w:rPr>
        <w:t>8</w:t>
      </w:r>
      <w:r w:rsidRPr="00243DBF">
        <w:rPr>
          <w:rFonts w:eastAsia="Calibri" w:cs="Arial"/>
        </w:rPr>
        <w:t>% of purchasers in a pre-pack have failed within  24 months of the sale completing</w:t>
      </w:r>
      <w:r>
        <w:rPr>
          <w:rFonts w:eastAsia="Calibri" w:cs="Arial"/>
        </w:rPr>
        <w:t>.</w:t>
      </w:r>
    </w:p>
    <w:p w:rsidR="00C12A83" w:rsidRPr="00243DBF" w:rsidRDefault="00C12A83" w:rsidP="002C664E">
      <w:pPr>
        <w:numPr>
          <w:ilvl w:val="0"/>
          <w:numId w:val="36"/>
        </w:numPr>
        <w:tabs>
          <w:tab w:val="center" w:pos="4513"/>
          <w:tab w:val="right" w:pos="9026"/>
        </w:tabs>
        <w:spacing w:before="40" w:after="40" w:line="240" w:lineRule="auto"/>
        <w:rPr>
          <w:rFonts w:eastAsia="Calibri" w:cs="Arial"/>
        </w:rPr>
      </w:pPr>
      <w:r w:rsidRPr="00243DBF">
        <w:rPr>
          <w:rFonts w:eastAsia="Calibri" w:cs="Arial"/>
        </w:rPr>
        <w:t>Connected Sale and Deferred Consideration were present (either individually or together) in 77.0 % of cases</w:t>
      </w:r>
      <w:r>
        <w:rPr>
          <w:rFonts w:eastAsia="Calibri" w:cs="Arial"/>
        </w:rPr>
        <w:t>.</w:t>
      </w:r>
    </w:p>
    <w:p w:rsidR="00C12A83" w:rsidRPr="00243DBF" w:rsidRDefault="00C12A83" w:rsidP="002C664E">
      <w:pPr>
        <w:numPr>
          <w:ilvl w:val="0"/>
          <w:numId w:val="36"/>
        </w:numPr>
        <w:tabs>
          <w:tab w:val="center" w:pos="4513"/>
          <w:tab w:val="right" w:pos="9026"/>
        </w:tabs>
        <w:spacing w:before="40" w:after="40" w:line="240" w:lineRule="auto"/>
        <w:rPr>
          <w:rFonts w:eastAsia="Calibri" w:cs="Arial"/>
        </w:rPr>
      </w:pPr>
      <w:r w:rsidRPr="00243DBF">
        <w:rPr>
          <w:rFonts w:eastAsia="Calibri" w:cs="Arial"/>
        </w:rPr>
        <w:t>Both Connected Sale and Deferred Consideration were present in 44.6% of cases</w:t>
      </w:r>
      <w:r>
        <w:rPr>
          <w:rFonts w:eastAsia="Calibri" w:cs="Arial"/>
        </w:rPr>
        <w:t>.</w:t>
      </w:r>
    </w:p>
    <w:p w:rsidR="00C12A83" w:rsidRDefault="00C12A83" w:rsidP="002C664E">
      <w:pPr>
        <w:tabs>
          <w:tab w:val="center" w:pos="4513"/>
          <w:tab w:val="right" w:pos="9026"/>
        </w:tabs>
        <w:spacing w:before="40" w:after="40" w:line="240" w:lineRule="auto"/>
        <w:rPr>
          <w:rFonts w:eastAsia="Calibri" w:cs="Arial"/>
        </w:rPr>
      </w:pPr>
    </w:p>
    <w:p w:rsidR="00B725B7" w:rsidRDefault="00B725B7" w:rsidP="002C664E">
      <w:pPr>
        <w:tabs>
          <w:tab w:val="center" w:pos="4513"/>
          <w:tab w:val="right" w:pos="9026"/>
        </w:tabs>
        <w:spacing w:before="40" w:after="40" w:line="240" w:lineRule="auto"/>
        <w:rPr>
          <w:rFonts w:eastAsia="Calibri" w:cs="Arial"/>
        </w:rPr>
      </w:pPr>
    </w:p>
    <w:p w:rsidR="00B725B7" w:rsidRDefault="00B725B7" w:rsidP="002C664E">
      <w:pPr>
        <w:tabs>
          <w:tab w:val="center" w:pos="4513"/>
          <w:tab w:val="right" w:pos="9026"/>
        </w:tabs>
        <w:spacing w:before="40" w:after="40" w:line="240" w:lineRule="auto"/>
        <w:rPr>
          <w:rFonts w:eastAsia="Calibri" w:cs="Arial"/>
        </w:rPr>
      </w:pPr>
    </w:p>
    <w:p w:rsidR="00B725B7" w:rsidRDefault="00B725B7" w:rsidP="002C664E">
      <w:pPr>
        <w:tabs>
          <w:tab w:val="center" w:pos="4513"/>
          <w:tab w:val="right" w:pos="9026"/>
        </w:tabs>
        <w:spacing w:before="40" w:after="40" w:line="240" w:lineRule="auto"/>
        <w:rPr>
          <w:rFonts w:eastAsia="Calibri" w:cs="Arial"/>
        </w:rPr>
      </w:pPr>
    </w:p>
    <w:p w:rsidR="00B725B7" w:rsidRDefault="00B725B7" w:rsidP="002C664E">
      <w:pPr>
        <w:tabs>
          <w:tab w:val="center" w:pos="4513"/>
          <w:tab w:val="right" w:pos="9026"/>
        </w:tabs>
        <w:spacing w:before="40" w:after="40" w:line="240" w:lineRule="auto"/>
        <w:rPr>
          <w:rFonts w:eastAsia="Calibri" w:cs="Arial"/>
        </w:rPr>
      </w:pPr>
    </w:p>
    <w:p w:rsidR="00B725B7" w:rsidRPr="00243DBF" w:rsidRDefault="00B725B7" w:rsidP="002C664E">
      <w:pPr>
        <w:tabs>
          <w:tab w:val="center" w:pos="4513"/>
          <w:tab w:val="right" w:pos="9026"/>
        </w:tabs>
        <w:spacing w:before="40" w:after="40" w:line="240" w:lineRule="auto"/>
        <w:rPr>
          <w:rFonts w:eastAsia="Calibri" w:cs="Arial"/>
        </w:rPr>
      </w:pPr>
    </w:p>
    <w:p w:rsidR="00C12A83" w:rsidRDefault="00FC3E04" w:rsidP="00FC3E04">
      <w:pPr>
        <w:tabs>
          <w:tab w:val="center" w:pos="4513"/>
          <w:tab w:val="right" w:pos="9026"/>
        </w:tabs>
        <w:spacing w:before="40" w:after="40" w:line="240" w:lineRule="auto"/>
        <w:ind w:left="870" w:hanging="870"/>
        <w:rPr>
          <w:rFonts w:eastAsia="Calibri" w:cs="Arial"/>
          <w:b/>
        </w:rPr>
      </w:pPr>
      <w:r>
        <w:rPr>
          <w:rFonts w:eastAsia="Calibri" w:cs="Arial"/>
          <w:b/>
        </w:rPr>
        <w:lastRenderedPageBreak/>
        <w:t>A</w:t>
      </w:r>
      <w:r w:rsidR="00C12A83">
        <w:rPr>
          <w:rFonts w:eastAsia="Calibri" w:cs="Arial"/>
          <w:b/>
        </w:rPr>
        <w:t xml:space="preserve">4.2.2 </w:t>
      </w:r>
      <w:r>
        <w:rPr>
          <w:rFonts w:eastAsia="Calibri" w:cs="Arial"/>
          <w:b/>
        </w:rPr>
        <w:tab/>
      </w:r>
      <w:r w:rsidR="00C12A83" w:rsidRPr="00243DBF">
        <w:rPr>
          <w:rFonts w:eastAsia="Calibri" w:cs="Arial"/>
          <w:b/>
        </w:rPr>
        <w:t>Failure rate at 24 months: Impact of Deferred Consideration and Connected Sale</w:t>
      </w:r>
    </w:p>
    <w:p w:rsidR="00C12A83" w:rsidRPr="00243DBF" w:rsidRDefault="00C12A83" w:rsidP="002C664E">
      <w:pPr>
        <w:tabs>
          <w:tab w:val="center" w:pos="4513"/>
          <w:tab w:val="right" w:pos="9026"/>
        </w:tabs>
        <w:spacing w:before="40" w:after="40" w:line="240" w:lineRule="auto"/>
        <w:rPr>
          <w:rFonts w:eastAsia="Calibri" w:cs="Arial"/>
        </w:rPr>
      </w:pPr>
    </w:p>
    <w:tbl>
      <w:tblPr>
        <w:tblW w:w="8897" w:type="dxa"/>
        <w:tblLayout w:type="fixed"/>
        <w:tblCellMar>
          <w:left w:w="0" w:type="dxa"/>
          <w:right w:w="0" w:type="dxa"/>
        </w:tblCellMar>
        <w:tblLook w:val="04A0" w:firstRow="1" w:lastRow="0" w:firstColumn="1" w:lastColumn="0" w:noHBand="0" w:noVBand="1"/>
      </w:tblPr>
      <w:tblGrid>
        <w:gridCol w:w="2235"/>
        <w:gridCol w:w="2268"/>
        <w:gridCol w:w="1984"/>
        <w:gridCol w:w="2410"/>
      </w:tblGrid>
      <w:tr w:rsidR="00C12A83" w:rsidRPr="009B6494"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rPr>
                <w:rFonts w:eastAsia="Calibri" w:cs="Arial"/>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b/>
                <w:lang w:eastAsia="en-GB"/>
              </w:rPr>
            </w:pPr>
            <w:r w:rsidRPr="00D5184D">
              <w:rPr>
                <w:rFonts w:cs="Arial"/>
                <w:b/>
                <w:lang w:eastAsia="en-GB"/>
              </w:rPr>
              <w:t>Deferred consideration</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b/>
                <w:lang w:eastAsia="en-GB"/>
              </w:rPr>
            </w:pPr>
            <w:r w:rsidRPr="00D5184D">
              <w:rPr>
                <w:rFonts w:cs="Arial"/>
                <w:b/>
                <w:lang w:eastAsia="en-GB"/>
              </w:rPr>
              <w:t>Not deferred consideration</w:t>
            </w:r>
          </w:p>
        </w:tc>
        <w:tc>
          <w:tcPr>
            <w:tcW w:w="2410" w:type="dxa"/>
            <w:tcBorders>
              <w:top w:val="single" w:sz="8" w:space="0" w:color="auto"/>
              <w:left w:val="nil"/>
              <w:bottom w:val="single" w:sz="8" w:space="0" w:color="auto"/>
              <w:right w:val="single" w:sz="8" w:space="0" w:color="auto"/>
            </w:tcBorders>
            <w:hideMark/>
          </w:tcPr>
          <w:p w:rsidR="00C12A83" w:rsidRPr="00D5184D" w:rsidRDefault="00C12A83" w:rsidP="00820FE6">
            <w:pPr>
              <w:spacing w:after="160" w:line="259" w:lineRule="auto"/>
              <w:jc w:val="center"/>
              <w:rPr>
                <w:rFonts w:cs="Arial"/>
                <w:b/>
                <w:lang w:eastAsia="en-GB"/>
              </w:rPr>
            </w:pPr>
            <w:r w:rsidRPr="00D5184D">
              <w:rPr>
                <w:rFonts w:cs="Arial"/>
                <w:b/>
                <w:lang w:eastAsia="en-GB"/>
              </w:rPr>
              <w:t>Total</w:t>
            </w:r>
          </w:p>
        </w:tc>
      </w:tr>
      <w:tr w:rsidR="00C12A83" w:rsidRPr="009B6494"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rPr>
                <w:rFonts w:cs="Arial"/>
                <w:b/>
                <w:lang w:eastAsia="en-GB"/>
              </w:rPr>
            </w:pPr>
            <w:r w:rsidRPr="00D5184D">
              <w:rPr>
                <w:rFonts w:cs="Arial"/>
                <w:b/>
                <w:lang w:eastAsia="en-GB"/>
              </w:rPr>
              <w:t>Connected sale</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lang w:eastAsia="en-GB"/>
              </w:rPr>
            </w:pPr>
            <w:r w:rsidRPr="00D5184D">
              <w:rPr>
                <w:rFonts w:cs="Arial"/>
                <w:lang w:eastAsia="en-GB"/>
              </w:rPr>
              <w:t>27.4%  (57/208)</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tabs>
                <w:tab w:val="left" w:pos="851"/>
                <w:tab w:val="center" w:pos="1309"/>
              </w:tabs>
              <w:spacing w:after="160" w:line="259" w:lineRule="auto"/>
              <w:jc w:val="center"/>
              <w:rPr>
                <w:rFonts w:cs="Arial"/>
                <w:lang w:eastAsia="en-GB"/>
              </w:rPr>
            </w:pPr>
            <w:r w:rsidRPr="00D5184D">
              <w:rPr>
                <w:rFonts w:cs="Arial"/>
                <w:lang w:eastAsia="en-GB"/>
              </w:rPr>
              <w:t>8.0%  (8/100)</w:t>
            </w:r>
          </w:p>
        </w:tc>
        <w:tc>
          <w:tcPr>
            <w:tcW w:w="2410" w:type="dxa"/>
            <w:tcBorders>
              <w:top w:val="nil"/>
              <w:left w:val="nil"/>
              <w:bottom w:val="single" w:sz="4" w:space="0" w:color="auto"/>
              <w:right w:val="single" w:sz="8" w:space="0" w:color="auto"/>
            </w:tcBorders>
            <w:hideMark/>
          </w:tcPr>
          <w:p w:rsidR="00C12A83" w:rsidRPr="00D5184D" w:rsidRDefault="00C12A83" w:rsidP="00820FE6">
            <w:pPr>
              <w:spacing w:after="160" w:line="259" w:lineRule="auto"/>
              <w:jc w:val="center"/>
              <w:rPr>
                <w:rFonts w:cs="Arial"/>
                <w:lang w:eastAsia="en-GB"/>
              </w:rPr>
            </w:pPr>
            <w:r w:rsidRPr="00D5184D">
              <w:rPr>
                <w:rFonts w:cs="Arial"/>
                <w:lang w:eastAsia="en-GB"/>
              </w:rPr>
              <w:t>21.1%  (65/308)</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rPr>
                <w:rFonts w:cs="Arial"/>
                <w:b/>
                <w:lang w:eastAsia="en-GB"/>
              </w:rPr>
            </w:pPr>
            <w:r w:rsidRPr="00D5184D">
              <w:rPr>
                <w:rFonts w:cs="Arial"/>
                <w:b/>
                <w:lang w:eastAsia="en-GB"/>
              </w:rPr>
              <w:t>Not connected sale</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lang w:eastAsia="en-GB"/>
              </w:rPr>
            </w:pPr>
            <w:r w:rsidRPr="00D5184D">
              <w:rPr>
                <w:rFonts w:cs="Arial"/>
                <w:lang w:eastAsia="en-GB"/>
              </w:rPr>
              <w:t>39.2%  (20/51)</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tabs>
                <w:tab w:val="left" w:pos="1089"/>
                <w:tab w:val="center" w:pos="1309"/>
              </w:tabs>
              <w:spacing w:after="160" w:line="259" w:lineRule="auto"/>
              <w:jc w:val="center"/>
              <w:rPr>
                <w:rFonts w:cs="Arial"/>
                <w:lang w:eastAsia="en-GB"/>
              </w:rPr>
            </w:pPr>
            <w:r w:rsidRPr="00D5184D">
              <w:rPr>
                <w:rFonts w:cs="Arial"/>
                <w:lang w:eastAsia="en-GB"/>
              </w:rPr>
              <w:t>2.8%  (3/107)</w:t>
            </w:r>
          </w:p>
        </w:tc>
        <w:tc>
          <w:tcPr>
            <w:tcW w:w="2410" w:type="dxa"/>
            <w:tcBorders>
              <w:top w:val="single" w:sz="4" w:space="0" w:color="auto"/>
              <w:left w:val="single" w:sz="4" w:space="0" w:color="auto"/>
              <w:bottom w:val="single" w:sz="4" w:space="0" w:color="auto"/>
              <w:right w:val="single" w:sz="4" w:space="0" w:color="auto"/>
            </w:tcBorders>
            <w:hideMark/>
          </w:tcPr>
          <w:p w:rsidR="00C12A83" w:rsidRPr="00D5184D" w:rsidRDefault="00C12A83" w:rsidP="00820FE6">
            <w:pPr>
              <w:spacing w:after="160" w:line="259" w:lineRule="auto"/>
              <w:jc w:val="center"/>
              <w:rPr>
                <w:rFonts w:cs="Arial"/>
                <w:lang w:eastAsia="en-GB"/>
              </w:rPr>
            </w:pPr>
            <w:r w:rsidRPr="00D5184D">
              <w:rPr>
                <w:rFonts w:cs="Arial"/>
                <w:lang w:eastAsia="en-GB"/>
              </w:rPr>
              <w:t>14.6% (23/158)</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rPr>
                <w:rFonts w:cs="Arial"/>
                <w:b/>
                <w:lang w:eastAsia="en-GB"/>
              </w:rPr>
            </w:pPr>
            <w:r w:rsidRPr="00D5184D">
              <w:rPr>
                <w:rFonts w:cs="Arial"/>
                <w:b/>
                <w:lang w:eastAsia="en-GB"/>
              </w:rPr>
              <w:t>Total</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lang w:eastAsia="en-GB"/>
              </w:rPr>
            </w:pPr>
            <w:r w:rsidRPr="00D5184D">
              <w:rPr>
                <w:rFonts w:cs="Arial"/>
                <w:lang w:eastAsia="en-GB"/>
              </w:rPr>
              <w:t>29.7%  (77/259)</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9" w:lineRule="auto"/>
              <w:jc w:val="center"/>
              <w:rPr>
                <w:rFonts w:cs="Arial"/>
                <w:lang w:eastAsia="en-GB"/>
              </w:rPr>
            </w:pPr>
            <w:r w:rsidRPr="00D5184D">
              <w:rPr>
                <w:rFonts w:cs="Arial"/>
                <w:lang w:eastAsia="en-GB"/>
              </w:rPr>
              <w:t>5.3%  (11/207)</w:t>
            </w:r>
          </w:p>
        </w:tc>
        <w:tc>
          <w:tcPr>
            <w:tcW w:w="2410" w:type="dxa"/>
            <w:tcBorders>
              <w:top w:val="single" w:sz="4" w:space="0" w:color="auto"/>
              <w:left w:val="single" w:sz="4" w:space="0" w:color="auto"/>
              <w:bottom w:val="single" w:sz="4" w:space="0" w:color="auto"/>
              <w:right w:val="single" w:sz="4" w:space="0" w:color="auto"/>
            </w:tcBorders>
            <w:hideMark/>
          </w:tcPr>
          <w:p w:rsidR="00C12A83" w:rsidRPr="00D5184D" w:rsidRDefault="00C12A83" w:rsidP="00820FE6">
            <w:pPr>
              <w:spacing w:after="160" w:line="259" w:lineRule="auto"/>
              <w:jc w:val="center"/>
              <w:rPr>
                <w:rFonts w:cs="Arial"/>
                <w:lang w:eastAsia="en-GB"/>
              </w:rPr>
            </w:pPr>
            <w:r w:rsidRPr="00D5184D">
              <w:rPr>
                <w:rFonts w:cs="Arial"/>
                <w:lang w:eastAsia="en-GB"/>
              </w:rPr>
              <w:t>18.8%  (88/468)</w:t>
            </w:r>
          </w:p>
        </w:tc>
      </w:tr>
    </w:tbl>
    <w:p w:rsidR="00B725B7" w:rsidRDefault="00B725B7" w:rsidP="002C664E">
      <w:pPr>
        <w:tabs>
          <w:tab w:val="center" w:pos="4513"/>
          <w:tab w:val="right" w:pos="9026"/>
        </w:tabs>
        <w:spacing w:before="40" w:after="40" w:line="240" w:lineRule="auto"/>
        <w:rPr>
          <w:rFonts w:eastAsia="Calibri" w:cs="Arial"/>
        </w:rPr>
      </w:pPr>
    </w:p>
    <w:p w:rsidR="00C12A83" w:rsidRPr="00243DBF" w:rsidRDefault="00C12A83" w:rsidP="002C664E">
      <w:pPr>
        <w:tabs>
          <w:tab w:val="center" w:pos="4513"/>
          <w:tab w:val="right" w:pos="9026"/>
        </w:tabs>
        <w:spacing w:before="40" w:after="40" w:line="240" w:lineRule="auto"/>
        <w:rPr>
          <w:rFonts w:eastAsia="Calibri" w:cs="Arial"/>
        </w:rPr>
      </w:pPr>
      <w:r w:rsidRPr="00243DBF">
        <w:rPr>
          <w:rFonts w:eastAsia="Calibri" w:cs="Arial"/>
        </w:rPr>
        <w:t>From the table above we see that, ignoring the presence or absence of deferred consideration, in the observed data 21.1% of connected sales fail within 24 months. Similarly, ignoring the presence or absence of a connected sale and the level of the purchase price, 29.7% of prepacks where deferred consideration is present fail.  As with failure at 36 months the interaction between the variables needs to be taken into account.</w:t>
      </w:r>
    </w:p>
    <w:p w:rsidR="00C12A83" w:rsidRPr="00243DBF" w:rsidRDefault="00C12A83" w:rsidP="002C664E">
      <w:pPr>
        <w:tabs>
          <w:tab w:val="center" w:pos="4513"/>
          <w:tab w:val="right" w:pos="9026"/>
        </w:tabs>
        <w:spacing w:before="40" w:after="40" w:line="240" w:lineRule="auto"/>
        <w:rPr>
          <w:rFonts w:eastAsia="Calibri" w:cs="Arial"/>
        </w:rPr>
      </w:pPr>
    </w:p>
    <w:p w:rsidR="00C12A83" w:rsidRPr="00243DBF" w:rsidRDefault="00C12A83" w:rsidP="002C664E">
      <w:pPr>
        <w:tabs>
          <w:tab w:val="center" w:pos="4513"/>
          <w:tab w:val="right" w:pos="9026"/>
        </w:tabs>
        <w:spacing w:before="40" w:after="40" w:line="240" w:lineRule="auto"/>
        <w:rPr>
          <w:rFonts w:eastAsia="Calibri" w:cs="Arial"/>
        </w:rPr>
      </w:pPr>
      <w:r w:rsidRPr="00243DBF">
        <w:rPr>
          <w:rFonts w:eastAsia="Calibri" w:cs="Arial"/>
        </w:rPr>
        <w:t xml:space="preserve">The model shows that the presence of deferred consideration </w:t>
      </w:r>
      <w:r w:rsidRPr="00243DBF">
        <w:rPr>
          <w:rFonts w:eastAsia="Calibri" w:cs="Arial"/>
          <w:i/>
        </w:rPr>
        <w:t>only</w:t>
      </w:r>
      <w:r w:rsidRPr="00243DBF">
        <w:rPr>
          <w:rFonts w:eastAsia="Calibri" w:cs="Arial"/>
        </w:rPr>
        <w:t xml:space="preserve"> </w:t>
      </w:r>
      <w:r w:rsidR="00F27AB2">
        <w:rPr>
          <w:rFonts w:eastAsia="Calibri" w:cs="Arial"/>
        </w:rPr>
        <w:t>multiplies</w:t>
      </w:r>
      <w:r w:rsidR="00F27AB2" w:rsidRPr="00243DBF">
        <w:rPr>
          <w:rFonts w:eastAsia="Calibri" w:cs="Arial"/>
        </w:rPr>
        <w:t xml:space="preserve"> </w:t>
      </w:r>
      <w:r w:rsidRPr="00243DBF">
        <w:rPr>
          <w:rFonts w:eastAsia="Calibri" w:cs="Arial"/>
        </w:rPr>
        <w:t xml:space="preserve">the failure:survival by an estimated  factor  of 22.4, however if connected sale is also present the estimated factor is only </w:t>
      </w:r>
      <w:r w:rsidR="004A5221">
        <w:rPr>
          <w:rFonts w:eastAsia="Calibri" w:cs="Arial"/>
        </w:rPr>
        <w:t>13.1</w:t>
      </w:r>
      <w:r w:rsidRPr="00243DBF">
        <w:rPr>
          <w:rFonts w:eastAsia="Calibri" w:cs="Arial"/>
        </w:rPr>
        <w:t>.</w:t>
      </w:r>
    </w:p>
    <w:p w:rsidR="00C12A83" w:rsidRDefault="00C12A83" w:rsidP="002C664E">
      <w:pPr>
        <w:pStyle w:val="TableHeading"/>
        <w:spacing w:line="240" w:lineRule="auto"/>
        <w:rPr>
          <w:b w:val="0"/>
          <w:bCs/>
          <w:sz w:val="24"/>
          <w:szCs w:val="24"/>
        </w:rPr>
      </w:pPr>
    </w:p>
    <w:p w:rsidR="00C12A83" w:rsidRPr="00375B0B" w:rsidRDefault="00FC3E04" w:rsidP="002C664E">
      <w:pPr>
        <w:pStyle w:val="TableHeading"/>
        <w:spacing w:line="240" w:lineRule="auto"/>
        <w:rPr>
          <w:bCs/>
          <w:sz w:val="24"/>
          <w:szCs w:val="24"/>
        </w:rPr>
      </w:pPr>
      <w:r>
        <w:rPr>
          <w:bCs/>
          <w:sz w:val="24"/>
          <w:szCs w:val="24"/>
        </w:rPr>
        <w:t>A</w:t>
      </w:r>
      <w:r w:rsidR="00C12A83" w:rsidRPr="00375B0B">
        <w:rPr>
          <w:bCs/>
          <w:sz w:val="24"/>
          <w:szCs w:val="24"/>
        </w:rPr>
        <w:t>4.3 Failure of purchaser at 12 months</w:t>
      </w:r>
    </w:p>
    <w:p w:rsidR="00C12A83" w:rsidRDefault="00C12A83" w:rsidP="002C664E">
      <w:pPr>
        <w:pStyle w:val="TableHeading"/>
        <w:spacing w:line="240" w:lineRule="auto"/>
        <w:rPr>
          <w:b w:val="0"/>
          <w:bCs/>
          <w:sz w:val="24"/>
          <w:szCs w:val="24"/>
        </w:rPr>
      </w:pPr>
    </w:p>
    <w:p w:rsidR="00C12A83" w:rsidRPr="00D5184D" w:rsidRDefault="00C12A83" w:rsidP="002C664E">
      <w:pPr>
        <w:tabs>
          <w:tab w:val="center" w:pos="4513"/>
          <w:tab w:val="right" w:pos="9026"/>
        </w:tabs>
        <w:spacing w:before="40" w:after="40" w:line="240" w:lineRule="auto"/>
        <w:rPr>
          <w:rFonts w:eastAsia="Calibri" w:cs="Arial"/>
        </w:rPr>
      </w:pPr>
      <w:r w:rsidRPr="00D5184D">
        <w:rPr>
          <w:rFonts w:eastAsia="Calibri" w:cs="Arial"/>
        </w:rPr>
        <w:t>Due to the small number of failures at 12 months, m</w:t>
      </w:r>
      <w:r>
        <w:rPr>
          <w:rFonts w:eastAsia="Calibri" w:cs="Arial"/>
        </w:rPr>
        <w:t>eaningful analysis is difficult.</w:t>
      </w:r>
      <w:r w:rsidRPr="00D5184D">
        <w:rPr>
          <w:rFonts w:eastAsia="Calibri" w:cs="Arial"/>
        </w:rPr>
        <w:t xml:space="preserve"> </w:t>
      </w:r>
      <w:r>
        <w:rPr>
          <w:rFonts w:eastAsia="Calibri" w:cs="Arial"/>
        </w:rPr>
        <w:t>O</w:t>
      </w:r>
      <w:r w:rsidRPr="00D5184D">
        <w:rPr>
          <w:rFonts w:eastAsia="Calibri" w:cs="Arial"/>
        </w:rPr>
        <w:t xml:space="preserve">nly the presence of deferred consideration </w:t>
      </w:r>
      <w:r>
        <w:rPr>
          <w:rFonts w:eastAsia="Calibri" w:cs="Arial"/>
        </w:rPr>
        <w:t>is</w:t>
      </w:r>
      <w:r w:rsidRPr="00D5184D">
        <w:rPr>
          <w:rFonts w:eastAsia="Calibri" w:cs="Arial"/>
        </w:rPr>
        <w:t xml:space="preserve"> (mildly) significant.</w:t>
      </w:r>
    </w:p>
    <w:p w:rsidR="00C12A83" w:rsidRPr="00D5184D" w:rsidRDefault="00C12A83" w:rsidP="002C664E">
      <w:pPr>
        <w:tabs>
          <w:tab w:val="center" w:pos="4513"/>
          <w:tab w:val="right" w:pos="9026"/>
        </w:tabs>
        <w:spacing w:before="40" w:after="40" w:line="240" w:lineRule="auto"/>
        <w:rPr>
          <w:rFonts w:eastAsia="Calibri" w:cs="Arial"/>
        </w:rPr>
      </w:pPr>
    </w:p>
    <w:p w:rsidR="00C12A83" w:rsidRPr="00D5184D" w:rsidRDefault="00FC3E04" w:rsidP="002C664E">
      <w:pPr>
        <w:tabs>
          <w:tab w:val="center" w:pos="4513"/>
          <w:tab w:val="right" w:pos="9026"/>
        </w:tabs>
        <w:spacing w:before="40" w:after="40" w:line="240" w:lineRule="auto"/>
        <w:rPr>
          <w:rFonts w:eastAsia="Calibri" w:cs="Arial"/>
        </w:rPr>
      </w:pPr>
      <w:r>
        <w:rPr>
          <w:rFonts w:eastAsia="Calibri" w:cs="Arial"/>
          <w:b/>
        </w:rPr>
        <w:t>A</w:t>
      </w:r>
      <w:r w:rsidR="00C12A83">
        <w:rPr>
          <w:rFonts w:eastAsia="Calibri" w:cs="Arial"/>
          <w:b/>
        </w:rPr>
        <w:t xml:space="preserve">4.3.1 </w:t>
      </w:r>
      <w:r w:rsidR="00B725B7">
        <w:rPr>
          <w:rFonts w:eastAsia="Calibri" w:cs="Arial"/>
          <w:b/>
        </w:rPr>
        <w:t>P</w:t>
      </w:r>
      <w:r w:rsidR="00C12A83" w:rsidRPr="00D5184D">
        <w:rPr>
          <w:rFonts w:eastAsia="Calibri" w:cs="Arial"/>
          <w:b/>
        </w:rPr>
        <w:t xml:space="preserve">oints </w:t>
      </w:r>
      <w:r w:rsidR="00B725B7">
        <w:rPr>
          <w:rFonts w:eastAsia="Calibri" w:cs="Arial"/>
          <w:b/>
        </w:rPr>
        <w:t>t</w:t>
      </w:r>
      <w:r w:rsidR="00C12A83" w:rsidRPr="00D5184D">
        <w:rPr>
          <w:rFonts w:eastAsia="Calibri" w:cs="Arial"/>
          <w:b/>
        </w:rPr>
        <w:t>o note</w:t>
      </w:r>
    </w:p>
    <w:p w:rsidR="00C12A83" w:rsidRPr="00D5184D" w:rsidRDefault="00C12A83" w:rsidP="002C664E">
      <w:pPr>
        <w:tabs>
          <w:tab w:val="center" w:pos="4513"/>
          <w:tab w:val="right" w:pos="9026"/>
        </w:tabs>
        <w:spacing w:before="40" w:after="40" w:line="240" w:lineRule="auto"/>
        <w:rPr>
          <w:rFonts w:eastAsia="Calibri" w:cs="Arial"/>
        </w:rPr>
      </w:pPr>
    </w:p>
    <w:p w:rsidR="00C12A83" w:rsidRPr="00D5184D" w:rsidRDefault="00C12A83" w:rsidP="002C664E">
      <w:pPr>
        <w:numPr>
          <w:ilvl w:val="0"/>
          <w:numId w:val="36"/>
        </w:numPr>
        <w:tabs>
          <w:tab w:val="center" w:pos="4513"/>
          <w:tab w:val="right" w:pos="9026"/>
        </w:tabs>
        <w:spacing w:before="40" w:after="40" w:line="240" w:lineRule="auto"/>
        <w:rPr>
          <w:rFonts w:eastAsia="Calibri" w:cs="Arial"/>
        </w:rPr>
      </w:pPr>
      <w:r w:rsidRPr="00D5184D">
        <w:rPr>
          <w:rFonts w:eastAsia="Calibri" w:cs="Arial"/>
        </w:rPr>
        <w:t xml:space="preserve">5.8% of purchasers in a pre-pack have failed within </w:t>
      </w:r>
      <w:r>
        <w:rPr>
          <w:rFonts w:eastAsia="Calibri" w:cs="Arial"/>
        </w:rPr>
        <w:t>1</w:t>
      </w:r>
      <w:r w:rsidRPr="00D5184D">
        <w:rPr>
          <w:rFonts w:eastAsia="Calibri" w:cs="Arial"/>
        </w:rPr>
        <w:t>2 months of the sale completing</w:t>
      </w:r>
      <w:r>
        <w:rPr>
          <w:rFonts w:eastAsia="Calibri" w:cs="Arial"/>
        </w:rPr>
        <w:t>.</w:t>
      </w:r>
    </w:p>
    <w:p w:rsidR="00C12A83" w:rsidRPr="00D5184D" w:rsidRDefault="00C12A83" w:rsidP="002C664E">
      <w:pPr>
        <w:tabs>
          <w:tab w:val="center" w:pos="4513"/>
          <w:tab w:val="right" w:pos="9026"/>
        </w:tabs>
        <w:spacing w:before="40" w:after="40" w:line="240" w:lineRule="auto"/>
        <w:rPr>
          <w:rFonts w:eastAsia="Calibri" w:cs="Arial"/>
        </w:rPr>
      </w:pPr>
    </w:p>
    <w:p w:rsidR="00C12A83" w:rsidRPr="00D5184D" w:rsidRDefault="00FC3E04" w:rsidP="00FC3E04">
      <w:pPr>
        <w:tabs>
          <w:tab w:val="center" w:pos="4513"/>
          <w:tab w:val="right" w:pos="9026"/>
        </w:tabs>
        <w:spacing w:before="40" w:after="40" w:line="240" w:lineRule="auto"/>
        <w:ind w:left="870" w:hanging="870"/>
        <w:rPr>
          <w:rFonts w:eastAsia="Calibri" w:cs="Arial"/>
          <w:b/>
        </w:rPr>
      </w:pPr>
      <w:r>
        <w:rPr>
          <w:rFonts w:eastAsia="Calibri" w:cs="Arial"/>
          <w:b/>
        </w:rPr>
        <w:t>A</w:t>
      </w:r>
      <w:r w:rsidR="00C12A83">
        <w:rPr>
          <w:rFonts w:eastAsia="Calibri" w:cs="Arial"/>
          <w:b/>
        </w:rPr>
        <w:t xml:space="preserve">4.3.2 </w:t>
      </w:r>
      <w:r>
        <w:rPr>
          <w:rFonts w:eastAsia="Calibri" w:cs="Arial"/>
          <w:b/>
        </w:rPr>
        <w:tab/>
      </w:r>
      <w:r w:rsidR="00C12A83">
        <w:rPr>
          <w:rFonts w:eastAsia="Calibri" w:cs="Arial"/>
          <w:b/>
        </w:rPr>
        <w:t>Failure rate at 12</w:t>
      </w:r>
      <w:r w:rsidR="00C12A83" w:rsidRPr="00D5184D">
        <w:rPr>
          <w:rFonts w:eastAsia="Calibri" w:cs="Arial"/>
          <w:b/>
        </w:rPr>
        <w:t xml:space="preserve"> months: Impact of Deferred Consideration and Connected Sale</w:t>
      </w:r>
    </w:p>
    <w:p w:rsidR="00C12A83" w:rsidRPr="00D5184D" w:rsidRDefault="00C12A83" w:rsidP="002C664E">
      <w:pPr>
        <w:tabs>
          <w:tab w:val="center" w:pos="4513"/>
          <w:tab w:val="right" w:pos="9026"/>
        </w:tabs>
        <w:spacing w:before="40" w:after="40" w:line="240" w:lineRule="auto"/>
        <w:rPr>
          <w:rFonts w:eastAsia="Calibri" w:cs="Arial"/>
        </w:rPr>
      </w:pPr>
    </w:p>
    <w:tbl>
      <w:tblPr>
        <w:tblW w:w="9464" w:type="dxa"/>
        <w:tblCellMar>
          <w:left w:w="0" w:type="dxa"/>
          <w:right w:w="0" w:type="dxa"/>
        </w:tblCellMar>
        <w:tblLook w:val="04A0" w:firstRow="1" w:lastRow="0" w:firstColumn="1" w:lastColumn="0" w:noHBand="0" w:noVBand="1"/>
      </w:tblPr>
      <w:tblGrid>
        <w:gridCol w:w="2235"/>
        <w:gridCol w:w="2693"/>
        <w:gridCol w:w="2835"/>
        <w:gridCol w:w="1701"/>
      </w:tblGrid>
      <w:tr w:rsidR="00C12A83" w:rsidRPr="00D5184D"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200" w:line="276" w:lineRule="auto"/>
              <w:rPr>
                <w:rFonts w:cs="Arial"/>
                <w:lang w:eastAsia="zh-CN"/>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b/>
                <w:lang w:eastAsia="en-GB"/>
              </w:rPr>
            </w:pPr>
            <w:r w:rsidRPr="00D5184D">
              <w:rPr>
                <w:rFonts w:cs="Arial"/>
                <w:b/>
                <w:lang w:eastAsia="en-GB"/>
              </w:rPr>
              <w:t>Deferred consideration</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b/>
                <w:lang w:eastAsia="en-GB"/>
              </w:rPr>
            </w:pPr>
            <w:r w:rsidRPr="00D5184D">
              <w:rPr>
                <w:rFonts w:cs="Arial"/>
                <w:b/>
                <w:lang w:eastAsia="en-GB"/>
              </w:rPr>
              <w:t>Not deferred consideration</w:t>
            </w:r>
          </w:p>
        </w:tc>
        <w:tc>
          <w:tcPr>
            <w:tcW w:w="1701" w:type="dxa"/>
            <w:tcBorders>
              <w:top w:val="single" w:sz="8" w:space="0" w:color="auto"/>
              <w:left w:val="nil"/>
              <w:bottom w:val="single" w:sz="8" w:space="0" w:color="auto"/>
              <w:right w:val="single" w:sz="8" w:space="0" w:color="auto"/>
            </w:tcBorders>
            <w:hideMark/>
          </w:tcPr>
          <w:p w:rsidR="00C12A83" w:rsidRPr="00D5184D" w:rsidRDefault="00C12A83" w:rsidP="00820FE6">
            <w:pPr>
              <w:spacing w:after="160" w:line="256" w:lineRule="auto"/>
              <w:jc w:val="center"/>
              <w:rPr>
                <w:rFonts w:cs="Arial"/>
                <w:b/>
                <w:lang w:eastAsia="en-GB"/>
              </w:rPr>
            </w:pPr>
            <w:r w:rsidRPr="00D5184D">
              <w:rPr>
                <w:rFonts w:cs="Arial"/>
                <w:b/>
                <w:lang w:eastAsia="en-GB"/>
              </w:rPr>
              <w:t>Total</w:t>
            </w:r>
          </w:p>
        </w:tc>
      </w:tr>
      <w:tr w:rsidR="00C12A83" w:rsidRPr="00D5184D"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6" w:lineRule="auto"/>
              <w:rPr>
                <w:rFonts w:cs="Arial"/>
                <w:b/>
                <w:lang w:eastAsia="en-GB"/>
              </w:rPr>
            </w:pPr>
            <w:r w:rsidRPr="00D5184D">
              <w:rPr>
                <w:rFonts w:cs="Arial"/>
                <w:b/>
                <w:lang w:eastAsia="en-GB"/>
              </w:rPr>
              <w:t>Connected sale</w:t>
            </w:r>
          </w:p>
        </w:tc>
        <w:tc>
          <w:tcPr>
            <w:tcW w:w="2693" w:type="dxa"/>
            <w:tcBorders>
              <w:top w:val="nil"/>
              <w:left w:val="nil"/>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lang w:eastAsia="en-GB"/>
              </w:rPr>
            </w:pPr>
            <w:r w:rsidRPr="00D5184D">
              <w:rPr>
                <w:rFonts w:cs="Arial"/>
                <w:lang w:eastAsia="en-GB"/>
              </w:rPr>
              <w:t>8.1%  (17/208)</w:t>
            </w:r>
          </w:p>
        </w:tc>
        <w:tc>
          <w:tcPr>
            <w:tcW w:w="2835" w:type="dxa"/>
            <w:tcBorders>
              <w:top w:val="nil"/>
              <w:left w:val="nil"/>
              <w:bottom w:val="single" w:sz="4" w:space="0" w:color="auto"/>
              <w:right w:val="single" w:sz="8" w:space="0" w:color="auto"/>
            </w:tcBorders>
            <w:tcMar>
              <w:top w:w="0" w:type="dxa"/>
              <w:left w:w="108" w:type="dxa"/>
              <w:bottom w:w="0" w:type="dxa"/>
              <w:right w:w="108" w:type="dxa"/>
            </w:tcMar>
            <w:hideMark/>
          </w:tcPr>
          <w:p w:rsidR="00C12A83" w:rsidRPr="00D5184D" w:rsidRDefault="00C12A83" w:rsidP="00820FE6">
            <w:pPr>
              <w:tabs>
                <w:tab w:val="left" w:pos="851"/>
                <w:tab w:val="center" w:pos="1309"/>
              </w:tabs>
              <w:spacing w:after="160" w:line="256" w:lineRule="auto"/>
              <w:jc w:val="center"/>
              <w:rPr>
                <w:rFonts w:cs="Arial"/>
                <w:lang w:eastAsia="en-GB"/>
              </w:rPr>
            </w:pPr>
            <w:r w:rsidRPr="00D5184D">
              <w:rPr>
                <w:rFonts w:cs="Arial"/>
                <w:lang w:eastAsia="en-GB"/>
              </w:rPr>
              <w:t>5.0%  (5/100)</w:t>
            </w:r>
          </w:p>
        </w:tc>
        <w:tc>
          <w:tcPr>
            <w:tcW w:w="1701" w:type="dxa"/>
            <w:tcBorders>
              <w:top w:val="nil"/>
              <w:left w:val="nil"/>
              <w:bottom w:val="single" w:sz="4" w:space="0" w:color="auto"/>
              <w:right w:val="single" w:sz="8" w:space="0" w:color="auto"/>
            </w:tcBorders>
            <w:hideMark/>
          </w:tcPr>
          <w:p w:rsidR="00C12A83" w:rsidRPr="00D5184D" w:rsidRDefault="00C12A83" w:rsidP="00820FE6">
            <w:pPr>
              <w:spacing w:after="160" w:line="256" w:lineRule="auto"/>
              <w:jc w:val="center"/>
              <w:rPr>
                <w:rFonts w:cs="Arial"/>
                <w:lang w:eastAsia="en-GB"/>
              </w:rPr>
            </w:pPr>
            <w:r w:rsidRPr="00D5184D">
              <w:rPr>
                <w:rFonts w:cs="Arial"/>
                <w:lang w:eastAsia="en-GB"/>
              </w:rPr>
              <w:t>7.1%  (22/308)</w:t>
            </w:r>
          </w:p>
        </w:tc>
      </w:tr>
      <w:tr w:rsidR="00C12A83" w:rsidRPr="00D5184D"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rPr>
                <w:rFonts w:cs="Arial"/>
                <w:b/>
                <w:lang w:eastAsia="en-GB"/>
              </w:rPr>
            </w:pPr>
            <w:r w:rsidRPr="00D5184D">
              <w:rPr>
                <w:rFonts w:cs="Arial"/>
                <w:b/>
                <w:lang w:eastAsia="en-GB"/>
              </w:rPr>
              <w:t>Not connected sale</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lang w:eastAsia="en-GB"/>
              </w:rPr>
            </w:pPr>
            <w:r w:rsidRPr="00D5184D">
              <w:rPr>
                <w:rFonts w:cs="Arial"/>
                <w:lang w:eastAsia="en-GB"/>
              </w:rPr>
              <w:t>5.9%  (3/51)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tabs>
                <w:tab w:val="left" w:pos="1089"/>
                <w:tab w:val="center" w:pos="1309"/>
              </w:tabs>
              <w:spacing w:after="160" w:line="256" w:lineRule="auto"/>
              <w:jc w:val="center"/>
              <w:rPr>
                <w:rFonts w:cs="Arial"/>
                <w:lang w:eastAsia="en-GB"/>
              </w:rPr>
            </w:pPr>
            <w:r w:rsidRPr="00D5184D">
              <w:rPr>
                <w:rFonts w:cs="Arial"/>
                <w:lang w:eastAsia="en-GB"/>
              </w:rPr>
              <w:t>1.9%  (2/107)</w:t>
            </w:r>
          </w:p>
        </w:tc>
        <w:tc>
          <w:tcPr>
            <w:tcW w:w="1701" w:type="dxa"/>
            <w:tcBorders>
              <w:top w:val="single" w:sz="4" w:space="0" w:color="auto"/>
              <w:left w:val="single" w:sz="4" w:space="0" w:color="auto"/>
              <w:bottom w:val="single" w:sz="4" w:space="0" w:color="auto"/>
              <w:right w:val="single" w:sz="4" w:space="0" w:color="auto"/>
            </w:tcBorders>
            <w:hideMark/>
          </w:tcPr>
          <w:p w:rsidR="00C12A83" w:rsidRPr="00D5184D" w:rsidRDefault="00C12A83" w:rsidP="00820FE6">
            <w:pPr>
              <w:spacing w:after="160" w:line="256" w:lineRule="auto"/>
              <w:jc w:val="center"/>
              <w:rPr>
                <w:rFonts w:cs="Arial"/>
                <w:lang w:eastAsia="en-GB"/>
              </w:rPr>
            </w:pPr>
            <w:r w:rsidRPr="00D5184D">
              <w:rPr>
                <w:rFonts w:cs="Arial"/>
                <w:lang w:eastAsia="en-GB"/>
              </w:rPr>
              <w:t>3.2%  (5/158)</w:t>
            </w:r>
          </w:p>
        </w:tc>
      </w:tr>
      <w:tr w:rsidR="00C12A83" w:rsidRPr="00D5184D"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rPr>
                <w:rFonts w:cs="Arial"/>
                <w:b/>
                <w:lang w:eastAsia="en-GB"/>
              </w:rPr>
            </w:pPr>
            <w:r w:rsidRPr="00D5184D">
              <w:rPr>
                <w:rFonts w:cs="Arial"/>
                <w:b/>
                <w:lang w:eastAsia="en-GB"/>
              </w:rPr>
              <w:t>Total</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lang w:eastAsia="en-GB"/>
              </w:rPr>
            </w:pPr>
            <w:r w:rsidRPr="00D5184D">
              <w:rPr>
                <w:rFonts w:cs="Arial"/>
                <w:lang w:eastAsia="en-GB"/>
              </w:rPr>
              <w:t>7.7%  (20/259)</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D5184D" w:rsidRDefault="00C12A83" w:rsidP="00820FE6">
            <w:pPr>
              <w:spacing w:after="160" w:line="256" w:lineRule="auto"/>
              <w:jc w:val="center"/>
              <w:rPr>
                <w:rFonts w:cs="Arial"/>
                <w:lang w:eastAsia="en-GB"/>
              </w:rPr>
            </w:pPr>
            <w:r w:rsidRPr="00D5184D">
              <w:rPr>
                <w:rFonts w:cs="Arial"/>
                <w:lang w:eastAsia="en-GB"/>
              </w:rPr>
              <w:t>3.4%  (7/207)</w:t>
            </w:r>
          </w:p>
        </w:tc>
        <w:tc>
          <w:tcPr>
            <w:tcW w:w="1701" w:type="dxa"/>
            <w:tcBorders>
              <w:top w:val="single" w:sz="4" w:space="0" w:color="auto"/>
              <w:left w:val="single" w:sz="4" w:space="0" w:color="auto"/>
              <w:bottom w:val="single" w:sz="4" w:space="0" w:color="auto"/>
              <w:right w:val="single" w:sz="4" w:space="0" w:color="auto"/>
            </w:tcBorders>
            <w:hideMark/>
          </w:tcPr>
          <w:p w:rsidR="00C12A83" w:rsidRPr="00D5184D" w:rsidRDefault="00C12A83" w:rsidP="00820FE6">
            <w:pPr>
              <w:spacing w:after="160" w:line="256" w:lineRule="auto"/>
              <w:jc w:val="center"/>
              <w:rPr>
                <w:rFonts w:cs="Arial"/>
                <w:lang w:eastAsia="en-GB"/>
              </w:rPr>
            </w:pPr>
            <w:r w:rsidRPr="00D5184D">
              <w:rPr>
                <w:rFonts w:cs="Arial"/>
                <w:lang w:eastAsia="en-GB"/>
              </w:rPr>
              <w:t>5.8%  (27/466)</w:t>
            </w:r>
          </w:p>
        </w:tc>
      </w:tr>
    </w:tbl>
    <w:p w:rsidR="002C664E" w:rsidRDefault="002C664E" w:rsidP="00C12A83">
      <w:pPr>
        <w:pStyle w:val="TableHeading"/>
        <w:spacing w:line="240" w:lineRule="auto"/>
        <w:rPr>
          <w:rFonts w:eastAsia="Calibri" w:cs="Arial"/>
          <w:b w:val="0"/>
          <w:sz w:val="24"/>
          <w:szCs w:val="24"/>
        </w:rPr>
      </w:pPr>
    </w:p>
    <w:p w:rsidR="00C12A83" w:rsidRPr="00D5184D" w:rsidRDefault="00C12A83" w:rsidP="00C12A83">
      <w:pPr>
        <w:pStyle w:val="TableHeading"/>
        <w:spacing w:line="240" w:lineRule="auto"/>
        <w:rPr>
          <w:rFonts w:cs="Arial"/>
          <w:b w:val="0"/>
          <w:bCs/>
          <w:sz w:val="24"/>
          <w:szCs w:val="24"/>
        </w:rPr>
      </w:pPr>
      <w:r w:rsidRPr="00D5184D">
        <w:rPr>
          <w:rFonts w:eastAsia="Calibri" w:cs="Arial"/>
          <w:b w:val="0"/>
          <w:sz w:val="24"/>
          <w:szCs w:val="24"/>
        </w:rPr>
        <w:t>The model shows that the presence of Deferred Consideration increases the chance of failure at 12 months.  Where there is deferred consideration present, the ratio of the failure to survival is estimate</w:t>
      </w:r>
      <w:r>
        <w:rPr>
          <w:rFonts w:eastAsia="Calibri" w:cs="Arial"/>
          <w:b w:val="0"/>
          <w:sz w:val="24"/>
          <w:szCs w:val="24"/>
        </w:rPr>
        <w:t xml:space="preserve">d to be, on average, 2.4 times </w:t>
      </w:r>
      <w:r w:rsidRPr="00D5184D">
        <w:rPr>
          <w:rFonts w:eastAsia="Calibri" w:cs="Arial"/>
          <w:b w:val="0"/>
          <w:sz w:val="24"/>
          <w:szCs w:val="24"/>
        </w:rPr>
        <w:t>greater than if there is no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Default="00C12A83" w:rsidP="00C12A83">
      <w:pPr>
        <w:rPr>
          <w:bCs/>
        </w:rPr>
      </w:pPr>
      <w:r>
        <w:rPr>
          <w:b/>
          <w:bCs/>
        </w:rPr>
        <w:br w:type="page"/>
      </w:r>
    </w:p>
    <w:p w:rsidR="002C664E" w:rsidRDefault="002C664E" w:rsidP="00C12A83">
      <w:pPr>
        <w:pStyle w:val="TableHeading"/>
        <w:spacing w:line="240" w:lineRule="auto"/>
        <w:rPr>
          <w:b w:val="0"/>
          <w:bCs/>
          <w:i/>
          <w:sz w:val="24"/>
          <w:szCs w:val="24"/>
        </w:rPr>
      </w:pPr>
    </w:p>
    <w:p w:rsidR="00C12A83" w:rsidRPr="00635528" w:rsidRDefault="00C12A83" w:rsidP="00C12A83">
      <w:pPr>
        <w:pStyle w:val="TableHeading"/>
        <w:spacing w:line="240" w:lineRule="auto"/>
        <w:rPr>
          <w:bCs/>
          <w:i/>
          <w:sz w:val="24"/>
          <w:szCs w:val="24"/>
        </w:rPr>
      </w:pPr>
      <w:r w:rsidRPr="00635528">
        <w:rPr>
          <w:bCs/>
          <w:i/>
          <w:sz w:val="24"/>
          <w:szCs w:val="24"/>
        </w:rPr>
        <w:t>Part B Counterfactual – Trading Administrations with a sale as a going concern</w:t>
      </w:r>
    </w:p>
    <w:p w:rsidR="00C12A83" w:rsidRPr="00635528" w:rsidRDefault="00C12A83" w:rsidP="00635528">
      <w:pPr>
        <w:pStyle w:val="TableHeading"/>
        <w:spacing w:line="240" w:lineRule="auto"/>
        <w:ind w:firstLine="720"/>
        <w:rPr>
          <w:bCs/>
          <w:sz w:val="24"/>
          <w:szCs w:val="24"/>
        </w:rPr>
      </w:pPr>
    </w:p>
    <w:p w:rsidR="005869A7" w:rsidRPr="00635528" w:rsidRDefault="005869A7" w:rsidP="00C12A83">
      <w:pPr>
        <w:pStyle w:val="TableHeading"/>
        <w:spacing w:line="240" w:lineRule="auto"/>
        <w:rPr>
          <w:bCs/>
          <w:i/>
          <w:sz w:val="24"/>
          <w:szCs w:val="24"/>
        </w:rPr>
      </w:pPr>
      <w:r w:rsidRPr="00635528">
        <w:rPr>
          <w:bCs/>
          <w:i/>
          <w:sz w:val="24"/>
          <w:szCs w:val="24"/>
        </w:rPr>
        <w:t>Part B1</w:t>
      </w:r>
    </w:p>
    <w:p w:rsidR="005869A7" w:rsidRDefault="005869A7"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0B2C52">
        <w:rPr>
          <w:b w:val="0"/>
          <w:bCs/>
          <w:sz w:val="24"/>
          <w:szCs w:val="24"/>
        </w:rPr>
        <w:t xml:space="preserve">Data was collected for 99 companies which were identified as effecting a sale of the business as a going concern from the Administrators’ filings at Companies House during a trading administration in 2010, with 110 cases being identified to reflect the incidence of more than one business sale emanating from one company (“oldco”). Where the data relates to oldco, the maximum dataset is 99, whereas when it relates to the going concern sale and purchaser, the maximum dataset is 110. Reliable data could not be identified for all of the desired variables, accordingly some of the reports below refer to smaller datasets, as where necessary any </w:t>
      </w:r>
      <w:r>
        <w:rPr>
          <w:b w:val="0"/>
          <w:bCs/>
          <w:sz w:val="24"/>
          <w:szCs w:val="24"/>
        </w:rPr>
        <w:t>“</w:t>
      </w:r>
      <w:r w:rsidRPr="000B2C52">
        <w:rPr>
          <w:b w:val="0"/>
          <w:bCs/>
          <w:sz w:val="24"/>
          <w:szCs w:val="24"/>
        </w:rPr>
        <w:t>not known</w:t>
      </w:r>
      <w:r>
        <w:rPr>
          <w:b w:val="0"/>
          <w:bCs/>
          <w:sz w:val="24"/>
          <w:szCs w:val="24"/>
        </w:rPr>
        <w:t>”</w:t>
      </w:r>
      <w:r w:rsidRPr="000B2C52">
        <w:rPr>
          <w:b w:val="0"/>
          <w:bCs/>
          <w:sz w:val="24"/>
          <w:szCs w:val="24"/>
        </w:rPr>
        <w:t xml:space="preserve"> data ha</w:t>
      </w:r>
      <w:r w:rsidR="00635528">
        <w:rPr>
          <w:b w:val="0"/>
          <w:bCs/>
          <w:sz w:val="24"/>
          <w:szCs w:val="24"/>
        </w:rPr>
        <w:t>s</w:t>
      </w:r>
      <w:r w:rsidRPr="000B2C52">
        <w:rPr>
          <w:b w:val="0"/>
          <w:bCs/>
          <w:sz w:val="24"/>
          <w:szCs w:val="24"/>
        </w:rPr>
        <w:t xml:space="preserve"> been excluded.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the analysis below, comparisons will be made against the observations for pre-pack administration sales in Part A above, where the data is available. It is important to caveat any comparison with the following key points:</w:t>
      </w:r>
    </w:p>
    <w:p w:rsidR="00C12A83" w:rsidRDefault="00C12A83" w:rsidP="00C12A83">
      <w:pPr>
        <w:pStyle w:val="TableHeading"/>
        <w:spacing w:line="240" w:lineRule="auto"/>
        <w:rPr>
          <w:b w:val="0"/>
          <w:bCs/>
          <w:sz w:val="24"/>
          <w:szCs w:val="24"/>
        </w:rPr>
      </w:pPr>
    </w:p>
    <w:p w:rsidR="00C12A83" w:rsidRDefault="00C12A83" w:rsidP="00C12A83">
      <w:pPr>
        <w:pStyle w:val="TableHeading"/>
        <w:numPr>
          <w:ilvl w:val="0"/>
          <w:numId w:val="37"/>
        </w:numPr>
        <w:spacing w:line="240" w:lineRule="auto"/>
        <w:rPr>
          <w:b w:val="0"/>
          <w:bCs/>
          <w:sz w:val="24"/>
          <w:szCs w:val="24"/>
        </w:rPr>
      </w:pPr>
      <w:r>
        <w:rPr>
          <w:b w:val="0"/>
          <w:bCs/>
          <w:sz w:val="24"/>
          <w:szCs w:val="24"/>
        </w:rPr>
        <w:t>The sample for trading administration sales is considerably smaller than for pre-pack administrations; and</w:t>
      </w:r>
    </w:p>
    <w:p w:rsidR="00C12A83" w:rsidRDefault="00C12A83" w:rsidP="00C12A83">
      <w:pPr>
        <w:pStyle w:val="TableHeading"/>
        <w:spacing w:line="240" w:lineRule="auto"/>
        <w:ind w:left="720"/>
        <w:rPr>
          <w:b w:val="0"/>
          <w:bCs/>
          <w:sz w:val="24"/>
          <w:szCs w:val="24"/>
        </w:rPr>
      </w:pPr>
    </w:p>
    <w:p w:rsidR="00C12A83" w:rsidRDefault="00C12A83" w:rsidP="00C12A83">
      <w:pPr>
        <w:pStyle w:val="TableHeading"/>
        <w:numPr>
          <w:ilvl w:val="0"/>
          <w:numId w:val="37"/>
        </w:numPr>
        <w:spacing w:line="240" w:lineRule="auto"/>
        <w:rPr>
          <w:b w:val="0"/>
          <w:bCs/>
          <w:sz w:val="24"/>
          <w:szCs w:val="24"/>
        </w:rPr>
      </w:pPr>
      <w:r>
        <w:rPr>
          <w:b w:val="0"/>
          <w:bCs/>
          <w:sz w:val="24"/>
          <w:szCs w:val="24"/>
        </w:rPr>
        <w:t>Whereas for pre-pack administrations the SIP16 Reports filed with the Insolvency Service provided a ready-made list of companies which had been involved in a pre-pack administration going concern sale in 2010, no equivalent list was available for trading administration sales. In order to identify the sample, a list of all administrations commenced in 2010 obtained from Geoff Swire (</w:t>
      </w:r>
      <w:hyperlink r:id="rId55" w:history="1">
        <w:r w:rsidRPr="00D95C44">
          <w:rPr>
            <w:rStyle w:val="Hyperlink"/>
            <w:b w:val="0"/>
            <w:bCs/>
            <w:sz w:val="24"/>
            <w:szCs w:val="24"/>
          </w:rPr>
          <w:t>www.geoffswire.co.uk/services</w:t>
        </w:r>
      </w:hyperlink>
      <w:r>
        <w:rPr>
          <w:b w:val="0"/>
          <w:bCs/>
          <w:sz w:val="24"/>
          <w:szCs w:val="24"/>
        </w:rPr>
        <w:t>), with all pre-pack administrations of which the Insolvency Service was aware removed, was reviewed. In order to ensure a representative sample, we attempted to collect data for 20 companies (or as many as there was data for) from each active audit size listed (Group, Full, Medium, Small and Exempt). In some cases the identification process was relatively straightforward, whereas in others it proved time consuming and often fruitless. Certain sectors were observed to be less likely to use a going concern sale outside of a pre-pack, such as in the property development sector.</w:t>
      </w:r>
    </w:p>
    <w:p w:rsidR="00C12A83" w:rsidRDefault="00C12A83" w:rsidP="00C12A83">
      <w:pPr>
        <w:pStyle w:val="TableHeading"/>
        <w:spacing w:line="240" w:lineRule="auto"/>
        <w:rPr>
          <w:b w:val="0"/>
          <w:bCs/>
          <w:sz w:val="24"/>
          <w:szCs w:val="24"/>
        </w:rPr>
      </w:pPr>
    </w:p>
    <w:p w:rsidR="00C12A83" w:rsidRPr="005B0CA4" w:rsidRDefault="00FC3E04" w:rsidP="00C12A83">
      <w:pPr>
        <w:pStyle w:val="TableHeading"/>
        <w:spacing w:line="240" w:lineRule="auto"/>
        <w:rPr>
          <w:bCs/>
          <w:sz w:val="24"/>
          <w:szCs w:val="24"/>
        </w:rPr>
      </w:pPr>
      <w:r>
        <w:rPr>
          <w:bCs/>
          <w:sz w:val="24"/>
          <w:szCs w:val="24"/>
        </w:rPr>
        <w:t>B</w:t>
      </w:r>
      <w:r w:rsidR="00C12A83" w:rsidRPr="005B0CA4">
        <w:rPr>
          <w:bCs/>
          <w:sz w:val="24"/>
          <w:szCs w:val="24"/>
        </w:rPr>
        <w:t>1 Details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describe and make observational analyses of the nature of the companies, oldco, that appear to have effected a sale as a going concern in administration in 2010.</w:t>
      </w:r>
    </w:p>
    <w:p w:rsidR="00C12A83" w:rsidRDefault="00C12A83" w:rsidP="00C12A83">
      <w:pPr>
        <w:pStyle w:val="TableHeading"/>
        <w:spacing w:line="240" w:lineRule="auto"/>
        <w:rPr>
          <w:bCs/>
          <w:sz w:val="24"/>
          <w:szCs w:val="24"/>
        </w:rPr>
      </w:pPr>
    </w:p>
    <w:p w:rsidR="005869A7" w:rsidRDefault="005869A7" w:rsidP="00C12A83">
      <w:pPr>
        <w:pStyle w:val="TableHeading"/>
        <w:spacing w:line="240" w:lineRule="auto"/>
        <w:rPr>
          <w:bCs/>
          <w:sz w:val="24"/>
          <w:szCs w:val="24"/>
        </w:rPr>
      </w:pPr>
    </w:p>
    <w:p w:rsidR="005869A7" w:rsidRDefault="005869A7" w:rsidP="00C12A83">
      <w:pPr>
        <w:pStyle w:val="TableHeading"/>
        <w:spacing w:line="240" w:lineRule="auto"/>
        <w:rPr>
          <w:bCs/>
          <w:sz w:val="24"/>
          <w:szCs w:val="24"/>
        </w:rPr>
      </w:pPr>
    </w:p>
    <w:p w:rsidR="005869A7" w:rsidRDefault="005869A7" w:rsidP="00C12A83">
      <w:pPr>
        <w:pStyle w:val="TableHeading"/>
        <w:spacing w:line="240" w:lineRule="auto"/>
        <w:rPr>
          <w:bCs/>
          <w:sz w:val="24"/>
          <w:szCs w:val="24"/>
        </w:rPr>
      </w:pPr>
    </w:p>
    <w:p w:rsidR="00C12A83" w:rsidRDefault="005869A7" w:rsidP="00C12A83">
      <w:pPr>
        <w:pStyle w:val="TableHeading"/>
        <w:spacing w:line="240" w:lineRule="auto"/>
        <w:rPr>
          <w:bCs/>
          <w:sz w:val="24"/>
          <w:szCs w:val="24"/>
        </w:rPr>
      </w:pPr>
      <w:r>
        <w:rPr>
          <w:bCs/>
          <w:sz w:val="24"/>
          <w:szCs w:val="24"/>
        </w:rPr>
        <w:t>B</w:t>
      </w:r>
      <w:r w:rsidR="00C12A83">
        <w:rPr>
          <w:bCs/>
          <w:sz w:val="24"/>
          <w:szCs w:val="24"/>
        </w:rPr>
        <w:t>1.1 Age of oldco</w:t>
      </w:r>
    </w:p>
    <w:p w:rsidR="00C12A83" w:rsidRDefault="00C12A83" w:rsidP="00C12A83">
      <w:pPr>
        <w:pStyle w:val="TableHeading"/>
        <w:spacing w:line="240" w:lineRule="auto"/>
        <w:rPr>
          <w:bCs/>
          <w:sz w:val="24"/>
          <w:szCs w:val="24"/>
        </w:rPr>
      </w:pPr>
    </w:p>
    <w:p w:rsidR="00C12A83" w:rsidRPr="000B2C52" w:rsidRDefault="00C12A83" w:rsidP="00C12A83">
      <w:pPr>
        <w:pStyle w:val="TableHeading"/>
        <w:spacing w:line="240" w:lineRule="auto"/>
        <w:rPr>
          <w:b w:val="0"/>
          <w:bCs/>
          <w:sz w:val="24"/>
          <w:szCs w:val="24"/>
        </w:rPr>
      </w:pPr>
      <w:r>
        <w:rPr>
          <w:b w:val="0"/>
          <w:bCs/>
          <w:sz w:val="24"/>
          <w:szCs w:val="24"/>
        </w:rPr>
        <w:t>The majority of companies for which the businesses were sold as a going concern in a trading administration</w:t>
      </w:r>
      <w:r w:rsidR="00635528">
        <w:rPr>
          <w:b w:val="0"/>
          <w:bCs/>
          <w:sz w:val="24"/>
          <w:szCs w:val="24"/>
        </w:rPr>
        <w:t xml:space="preserve">, </w:t>
      </w:r>
      <w:r>
        <w:rPr>
          <w:b w:val="0"/>
          <w:bCs/>
          <w:sz w:val="24"/>
          <w:szCs w:val="24"/>
        </w:rPr>
        <w:t>as opposed to a pre-pack sale, were incorporated between 6 and 26 years prior to the administration commencing. This is a considerably wider and older profile than for those companies using pre-pack sales in 2010.</w:t>
      </w: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jc w:val="center"/>
        <w:rPr>
          <w:bCs/>
          <w:sz w:val="24"/>
          <w:szCs w:val="24"/>
        </w:rPr>
      </w:pPr>
      <w:r>
        <w:rPr>
          <w:noProof/>
          <w:lang w:eastAsia="en-GB"/>
        </w:rPr>
        <w:drawing>
          <wp:inline distT="0" distB="0" distL="0" distR="0" wp14:anchorId="745305F0" wp14:editId="3017B309">
            <wp:extent cx="4230806" cy="4380930"/>
            <wp:effectExtent l="0" t="0" r="0" b="635"/>
            <wp:docPr id="44" name="Picture 4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56">
                      <a:extLst>
                        <a:ext uri="{28A0092B-C50C-407E-A947-70E740481C1C}">
                          <a14:useLocalDpi xmlns:a14="http://schemas.microsoft.com/office/drawing/2010/main" val="0"/>
                        </a:ext>
                      </a:extLst>
                    </a:blip>
                    <a:srcRect t="3346" r="6650"/>
                    <a:stretch/>
                  </pic:blipFill>
                  <pic:spPr bwMode="auto">
                    <a:xfrm>
                      <a:off x="0" y="0"/>
                      <a:ext cx="4242682" cy="4393227"/>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Cs/>
          <w:sz w:val="24"/>
          <w:szCs w:val="24"/>
        </w:rPr>
      </w:pPr>
    </w:p>
    <w:p w:rsidR="00C12A83" w:rsidRDefault="005869A7" w:rsidP="00C12A83">
      <w:pPr>
        <w:pStyle w:val="TableHeading"/>
        <w:spacing w:line="240" w:lineRule="auto"/>
        <w:rPr>
          <w:bCs/>
          <w:sz w:val="24"/>
          <w:szCs w:val="24"/>
        </w:rPr>
      </w:pPr>
      <w:r>
        <w:rPr>
          <w:bCs/>
          <w:sz w:val="24"/>
          <w:szCs w:val="24"/>
        </w:rPr>
        <w:t>B</w:t>
      </w:r>
      <w:r w:rsidR="00C12A83">
        <w:rPr>
          <w:bCs/>
          <w:sz w:val="24"/>
          <w:szCs w:val="24"/>
        </w:rPr>
        <w:t>1.2 Size of oldco</w:t>
      </w: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 w:val="0"/>
          <w:bCs/>
          <w:sz w:val="24"/>
          <w:szCs w:val="24"/>
        </w:rPr>
      </w:pPr>
      <w:r>
        <w:rPr>
          <w:b w:val="0"/>
          <w:bCs/>
          <w:sz w:val="24"/>
          <w:szCs w:val="24"/>
        </w:rPr>
        <w:t>As in Part A, the companies were categorised, by both number of employees and level of turnover prior to their entering administration, into Micro (0-9 employees / turnover of £632,000 or less), Small (10-49 / £632k-£6.5m), Medium (50-249 / £6.5m-£12.9m) and Large (250+ / greater than £12.9m) in accordance with the latest EU Accounting Directive (</w:t>
      </w:r>
      <w:r w:rsidR="00635528">
        <w:rPr>
          <w:b w:val="0"/>
          <w:bCs/>
          <w:sz w:val="24"/>
          <w:szCs w:val="24"/>
        </w:rPr>
        <w:t xml:space="preserve">Directive </w:t>
      </w:r>
      <w:r w:rsidRPr="005121BB">
        <w:rPr>
          <w:b w:val="0"/>
          <w:bCs/>
          <w:sz w:val="24"/>
          <w:szCs w:val="24"/>
        </w:rPr>
        <w:t>2013/34/EU</w:t>
      </w:r>
      <w:r>
        <w:rPr>
          <w:b w:val="0"/>
          <w:bCs/>
          <w:sz w:val="24"/>
          <w:szCs w:val="24"/>
        </w:rPr>
        <w:t>).</w:t>
      </w:r>
    </w:p>
    <w:p w:rsidR="00C12A83" w:rsidRDefault="00C12A83" w:rsidP="00C12A83">
      <w:pPr>
        <w:pStyle w:val="TableHeading"/>
        <w:spacing w:line="240" w:lineRule="auto"/>
        <w:rPr>
          <w:b w:val="0"/>
          <w:bCs/>
          <w:sz w:val="24"/>
          <w:szCs w:val="24"/>
        </w:rPr>
      </w:pPr>
    </w:p>
    <w:p w:rsidR="00C12A83" w:rsidRPr="00C45313" w:rsidRDefault="00C12A83" w:rsidP="00C12A83">
      <w:pPr>
        <w:pStyle w:val="TableHeading"/>
        <w:spacing w:line="240" w:lineRule="auto"/>
        <w:rPr>
          <w:b w:val="0"/>
          <w:bCs/>
          <w:sz w:val="24"/>
          <w:szCs w:val="24"/>
        </w:rPr>
      </w:pPr>
      <w:r w:rsidRPr="00C45313">
        <w:rPr>
          <w:b w:val="0"/>
          <w:bCs/>
          <w:sz w:val="24"/>
          <w:szCs w:val="24"/>
        </w:rPr>
        <w:t xml:space="preserve">As with pre-pack administrations, the majority of companies reviewed, for which pertinent data was available, fell into the Micro/Small categories for Turnover (72/99). However, there was a greater prevalence of Medium sized companies (29/99) in the counterfactual data. The difference is likely down to the stratified sampling technique adopted (see above), although it is noted that from the </w:t>
      </w:r>
      <w:r w:rsidRPr="00C45313">
        <w:rPr>
          <w:b w:val="0"/>
          <w:bCs/>
          <w:sz w:val="24"/>
          <w:szCs w:val="24"/>
        </w:rPr>
        <w:lastRenderedPageBreak/>
        <w:t>categorisation sampled, only 16 ‘Medium’ sized companies could be identified that had utilised a going concern sale in a trading administration.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183C3ADC" wp14:editId="59AAD48D">
            <wp:extent cx="2812211" cy="3200400"/>
            <wp:effectExtent l="0" t="0" r="2667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b w:val="0"/>
          <w:bCs/>
          <w:noProof/>
          <w:sz w:val="24"/>
          <w:szCs w:val="24"/>
          <w:lang w:eastAsia="en-GB"/>
        </w:rPr>
        <w:drawing>
          <wp:inline distT="0" distB="0" distL="0" distR="0" wp14:anchorId="09A8FBC5" wp14:editId="32CF602D">
            <wp:extent cx="2838091" cy="3200400"/>
            <wp:effectExtent l="0" t="0" r="19685"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8A96D3F" wp14:editId="76D0EDFD">
            <wp:extent cx="2812211" cy="3200400"/>
            <wp:effectExtent l="0" t="0" r="2667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b w:val="0"/>
          <w:bCs/>
          <w:noProof/>
          <w:sz w:val="24"/>
          <w:szCs w:val="24"/>
          <w:lang w:eastAsia="en-GB"/>
        </w:rPr>
        <w:drawing>
          <wp:inline distT="0" distB="0" distL="0" distR="0" wp14:anchorId="4846F686" wp14:editId="656C5702">
            <wp:extent cx="2812211" cy="3200400"/>
            <wp:effectExtent l="0" t="0" r="2667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12A83" w:rsidRDefault="00C12A83" w:rsidP="00C12A83">
      <w:pPr>
        <w:pStyle w:val="TableHeading"/>
        <w:spacing w:line="240" w:lineRule="auto"/>
        <w:rPr>
          <w:b w:val="0"/>
          <w:bCs/>
          <w:sz w:val="24"/>
          <w:szCs w:val="24"/>
        </w:rPr>
      </w:pPr>
    </w:p>
    <w:p w:rsidR="00C12A83" w:rsidRPr="00C45313" w:rsidRDefault="005869A7" w:rsidP="00C12A83">
      <w:pPr>
        <w:pStyle w:val="TableHeading"/>
        <w:spacing w:line="240" w:lineRule="auto"/>
        <w:rPr>
          <w:bCs/>
          <w:sz w:val="24"/>
          <w:szCs w:val="24"/>
        </w:rPr>
      </w:pPr>
      <w:r>
        <w:rPr>
          <w:bCs/>
          <w:sz w:val="24"/>
          <w:szCs w:val="24"/>
        </w:rPr>
        <w:t>B</w:t>
      </w:r>
      <w:r w:rsidR="00C12A83" w:rsidRPr="00C45313">
        <w:rPr>
          <w:bCs/>
          <w:sz w:val="24"/>
          <w:szCs w:val="24"/>
        </w:rPr>
        <w:t>1.3 Reasons for failure of oldco</w:t>
      </w:r>
    </w:p>
    <w:p w:rsidR="00C12A83" w:rsidRDefault="00C12A83" w:rsidP="00C12A83">
      <w:pPr>
        <w:pStyle w:val="TableHeading"/>
        <w:spacing w:line="240" w:lineRule="auto"/>
        <w:rPr>
          <w:b w:val="0"/>
          <w:bCs/>
          <w:sz w:val="24"/>
          <w:szCs w:val="24"/>
        </w:rPr>
      </w:pPr>
    </w:p>
    <w:p w:rsidR="00C12A83" w:rsidRPr="00A65675" w:rsidRDefault="00C12A83" w:rsidP="00C12A83">
      <w:pPr>
        <w:pStyle w:val="TableHeading"/>
        <w:spacing w:line="240" w:lineRule="auto"/>
        <w:rPr>
          <w:b w:val="0"/>
          <w:bCs/>
          <w:sz w:val="24"/>
          <w:szCs w:val="24"/>
        </w:rPr>
      </w:pPr>
      <w:r w:rsidRPr="00A65675">
        <w:rPr>
          <w:b w:val="0"/>
          <w:bCs/>
          <w:sz w:val="24"/>
          <w:szCs w:val="24"/>
        </w:rPr>
        <w:t>Commentary taken from Statements of Proposals filed at Companies House was again categorised by the Insolvency Service in the same manner as for Part A, namely up to two of the following factors were identified for each company:</w:t>
      </w:r>
    </w:p>
    <w:p w:rsidR="00C12A83" w:rsidRPr="00A65675" w:rsidRDefault="00C12A83" w:rsidP="00C12A83">
      <w:pPr>
        <w:pStyle w:val="TableHeading"/>
        <w:spacing w:line="240" w:lineRule="auto"/>
        <w:rPr>
          <w:b w:val="0"/>
          <w:bCs/>
          <w:sz w:val="24"/>
          <w:szCs w:val="24"/>
        </w:rPr>
      </w:pP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Funding issues</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Market conditions</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Mismanagement</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One off event</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Problems in parent company</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Undercapitalisation / excessive debt</w:t>
      </w:r>
    </w:p>
    <w:p w:rsidR="00C12A83" w:rsidRPr="00A65675" w:rsidRDefault="00C12A83" w:rsidP="00C12A83">
      <w:pPr>
        <w:pStyle w:val="TableHeading"/>
        <w:numPr>
          <w:ilvl w:val="0"/>
          <w:numId w:val="34"/>
        </w:numPr>
        <w:spacing w:line="240" w:lineRule="auto"/>
        <w:rPr>
          <w:b w:val="0"/>
          <w:bCs/>
          <w:sz w:val="24"/>
          <w:szCs w:val="24"/>
        </w:rPr>
      </w:pPr>
      <w:r w:rsidRPr="00A65675">
        <w:rPr>
          <w:b w:val="0"/>
          <w:bCs/>
          <w:sz w:val="24"/>
          <w:szCs w:val="24"/>
        </w:rPr>
        <w:t>Not known (where no viable reason was provided)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852C9E3" wp14:editId="6B17BAFD">
            <wp:extent cx="5486400" cy="32004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86D7E97" wp14:editId="6B9E11F0">
            <wp:extent cx="5486400" cy="32004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12A83" w:rsidRDefault="00C12A83" w:rsidP="00C12A83">
      <w:pPr>
        <w:pStyle w:val="TableHeading"/>
        <w:spacing w:line="240" w:lineRule="auto"/>
        <w:rPr>
          <w:b w:val="0"/>
          <w:bCs/>
          <w:sz w:val="24"/>
          <w:szCs w:val="24"/>
        </w:rPr>
      </w:pPr>
    </w:p>
    <w:p w:rsidR="00C12A83" w:rsidRPr="00A65675" w:rsidRDefault="00C12A83" w:rsidP="00C12A83">
      <w:pPr>
        <w:pStyle w:val="TableHeading"/>
        <w:spacing w:line="240" w:lineRule="auto"/>
        <w:rPr>
          <w:b w:val="0"/>
          <w:bCs/>
          <w:sz w:val="24"/>
          <w:szCs w:val="24"/>
        </w:rPr>
      </w:pPr>
      <w:r w:rsidRPr="00A65675">
        <w:rPr>
          <w:b w:val="0"/>
          <w:bCs/>
          <w:sz w:val="24"/>
          <w:szCs w:val="24"/>
        </w:rPr>
        <w:t xml:space="preserve">Similarly to pre-packs, and perhaps not surprisingly given the economic climate in 2010, the most common factor identified by the Administrators for the failure of oldco was ‘Market conditions’, though accounting for just over a quarter of all stated reasons (as opposed to a third in the pre-pack data). </w:t>
      </w:r>
      <w:r>
        <w:rPr>
          <w:b w:val="0"/>
          <w:bCs/>
          <w:sz w:val="24"/>
          <w:szCs w:val="24"/>
        </w:rPr>
        <w:t xml:space="preserve">Interestingly, </w:t>
      </w:r>
      <w:r w:rsidRPr="00A65675">
        <w:rPr>
          <w:b w:val="0"/>
          <w:bCs/>
          <w:sz w:val="24"/>
          <w:szCs w:val="24"/>
        </w:rPr>
        <w:t>‘Mismanagement’ was identified</w:t>
      </w:r>
      <w:r>
        <w:rPr>
          <w:b w:val="0"/>
          <w:bCs/>
          <w:sz w:val="24"/>
          <w:szCs w:val="24"/>
        </w:rPr>
        <w:t xml:space="preserve"> almost as often as ‘Market conditions’ (38 times compared to 42), yet it appeared in less than a sixth of cases in pre-packs. This disparity could be down to a number of factors, including the greater proportion of larger companies in the counterfactual sample, the greater propensity of connected sales in pre-packs (see section </w:t>
      </w:r>
      <w:r w:rsidR="00635528">
        <w:rPr>
          <w:b w:val="0"/>
          <w:bCs/>
          <w:sz w:val="24"/>
          <w:szCs w:val="24"/>
        </w:rPr>
        <w:t>B</w:t>
      </w:r>
      <w:r>
        <w:rPr>
          <w:b w:val="0"/>
          <w:bCs/>
          <w:sz w:val="24"/>
          <w:szCs w:val="24"/>
        </w:rPr>
        <w:t xml:space="preserve">2.1 below) or even the coding strategy. </w:t>
      </w:r>
    </w:p>
    <w:p w:rsidR="00C12A83" w:rsidRDefault="00C12A83" w:rsidP="00C12A83">
      <w:pPr>
        <w:pStyle w:val="TableHeading"/>
        <w:spacing w:line="240" w:lineRule="auto"/>
        <w:rPr>
          <w:b w:val="0"/>
          <w:bCs/>
          <w:i/>
          <w:sz w:val="24"/>
          <w:szCs w:val="24"/>
        </w:rPr>
      </w:pPr>
    </w:p>
    <w:p w:rsidR="00C12A83" w:rsidRPr="00057BDF" w:rsidRDefault="00C12A83" w:rsidP="00C12A83">
      <w:pPr>
        <w:pStyle w:val="TableHeading"/>
        <w:spacing w:line="240" w:lineRule="auto"/>
        <w:rPr>
          <w:b w:val="0"/>
          <w:bCs/>
          <w:sz w:val="24"/>
          <w:szCs w:val="24"/>
        </w:rPr>
      </w:pPr>
      <w:r w:rsidRPr="00057BDF">
        <w:rPr>
          <w:b w:val="0"/>
          <w:bCs/>
          <w:sz w:val="24"/>
          <w:szCs w:val="24"/>
        </w:rPr>
        <w:t>Finally,</w:t>
      </w:r>
      <w:r>
        <w:rPr>
          <w:b w:val="0"/>
          <w:bCs/>
          <w:sz w:val="24"/>
          <w:szCs w:val="24"/>
        </w:rPr>
        <w:t xml:space="preserve"> a far greater proportion of pre-pack companies suffered a ‘One off event’ than those whose business was sold in a trading administration.</w:t>
      </w:r>
    </w:p>
    <w:p w:rsidR="00C12A83" w:rsidRPr="00A65675" w:rsidRDefault="00C12A83" w:rsidP="00C12A83">
      <w:pPr>
        <w:pStyle w:val="TableHeading"/>
        <w:spacing w:line="240" w:lineRule="auto"/>
        <w:rPr>
          <w:b w:val="0"/>
          <w:bCs/>
          <w:i/>
          <w:sz w:val="24"/>
          <w:szCs w:val="24"/>
        </w:rPr>
      </w:pPr>
    </w:p>
    <w:p w:rsidR="00C12A83" w:rsidRPr="005B0CA4" w:rsidRDefault="005869A7" w:rsidP="00C12A83">
      <w:pPr>
        <w:pStyle w:val="TableHeading"/>
        <w:spacing w:line="240" w:lineRule="auto"/>
        <w:rPr>
          <w:bCs/>
          <w:sz w:val="24"/>
          <w:szCs w:val="24"/>
        </w:rPr>
      </w:pPr>
      <w:r>
        <w:rPr>
          <w:bCs/>
          <w:sz w:val="24"/>
          <w:szCs w:val="24"/>
        </w:rPr>
        <w:t>B</w:t>
      </w:r>
      <w:r w:rsidR="00C12A83" w:rsidRPr="005B0CA4">
        <w:rPr>
          <w:bCs/>
          <w:sz w:val="24"/>
          <w:szCs w:val="24"/>
        </w:rPr>
        <w:t>1.4 Sector in which oldco operated</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176F0D">
        <w:rPr>
          <w:b w:val="0"/>
          <w:bCs/>
          <w:sz w:val="24"/>
          <w:szCs w:val="24"/>
        </w:rPr>
        <w:t>Again, each company has been categorised by the relevant SIC (Standard Industrial Classification) 2007 2-digit code, which identified 30 different classifications (not including those for which the SIC 2007 code could not identified), though no obvious pattern emerges (see Appendix 7 for detail). These were further categorised into same related groups as for pre-packs in an attempt to identify any pattern (see Appendix 8 for detail).</w:t>
      </w:r>
      <w:r>
        <w:rPr>
          <w:b w:val="0"/>
          <w:bCs/>
          <w:sz w:val="24"/>
          <w:szCs w:val="24"/>
        </w:rPr>
        <w:t xml:space="preserve"> It would appear that companies within the Wholesale, Retail, Transport, Storage, Accommodation &amp; Food Services category dominated. </w:t>
      </w:r>
      <w:r w:rsidR="00635528">
        <w:rPr>
          <w:b w:val="0"/>
          <w:bCs/>
          <w:sz w:val="24"/>
          <w:szCs w:val="24"/>
        </w:rPr>
        <w:t>I</w:t>
      </w:r>
      <w:r>
        <w:rPr>
          <w:b w:val="0"/>
          <w:bCs/>
          <w:sz w:val="24"/>
          <w:szCs w:val="24"/>
        </w:rPr>
        <w:t>t is worth noting that these were also prevalent in pre-pack sales.</w:t>
      </w:r>
    </w:p>
    <w:p w:rsidR="00C12A83" w:rsidRDefault="00C12A83"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p>
    <w:p w:rsidR="00635528" w:rsidRDefault="00635528" w:rsidP="00C12A83">
      <w:pPr>
        <w:pStyle w:val="TableHeading"/>
        <w:spacing w:line="240" w:lineRule="auto"/>
        <w:rPr>
          <w:b w:val="0"/>
          <w:bCs/>
          <w:sz w:val="24"/>
          <w:szCs w:val="24"/>
        </w:rPr>
      </w:pPr>
      <w:r w:rsidRPr="00635528">
        <w:rPr>
          <w:b w:val="0"/>
          <w:bCs/>
          <w:noProof/>
          <w:sz w:val="24"/>
          <w:szCs w:val="24"/>
          <w:lang w:eastAsia="en-GB"/>
        </w:rPr>
        <w:lastRenderedPageBreak/>
        <mc:AlternateContent>
          <mc:Choice Requires="wps">
            <w:drawing>
              <wp:anchor distT="0" distB="0" distL="114300" distR="114300" simplePos="0" relativeHeight="251681792" behindDoc="0" locked="0" layoutInCell="1" allowOverlap="1" wp14:anchorId="2A230F09" wp14:editId="1E04A6DC">
                <wp:simplePos x="0" y="0"/>
                <wp:positionH relativeFrom="column">
                  <wp:posOffset>895350</wp:posOffset>
                </wp:positionH>
                <wp:positionV relativeFrom="paragraph">
                  <wp:posOffset>-113029</wp:posOffset>
                </wp:positionV>
                <wp:extent cx="3867150" cy="628650"/>
                <wp:effectExtent l="0" t="0" r="1905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628650"/>
                        </a:xfrm>
                        <a:prstGeom prst="rect">
                          <a:avLst/>
                        </a:prstGeom>
                        <a:solidFill>
                          <a:srgbClr val="FFFFFF"/>
                        </a:solidFill>
                        <a:ln w="9525">
                          <a:solidFill>
                            <a:srgbClr val="000000"/>
                          </a:solidFill>
                          <a:miter lim="800000"/>
                          <a:headEnd/>
                          <a:tailEnd/>
                        </a:ln>
                      </wps:spPr>
                      <wps:txbx>
                        <w:txbxContent>
                          <w:p w:rsidR="00265B0B" w:rsidRDefault="00265B0B" w:rsidP="00635528">
                            <w:pPr>
                              <w:jc w:val="center"/>
                              <w:rPr>
                                <w:b/>
                                <w:sz w:val="28"/>
                              </w:rPr>
                            </w:pPr>
                            <w:r w:rsidRPr="00635528">
                              <w:rPr>
                                <w:b/>
                                <w:sz w:val="28"/>
                              </w:rPr>
                              <w:t xml:space="preserve">5 Most Popular Sector Groups: </w:t>
                            </w:r>
                          </w:p>
                          <w:p w:rsidR="00265B0B" w:rsidRPr="00635528" w:rsidRDefault="00265B0B" w:rsidP="00635528">
                            <w:pPr>
                              <w:jc w:val="center"/>
                              <w:rPr>
                                <w:b/>
                                <w:sz w:val="28"/>
                              </w:rPr>
                            </w:pPr>
                            <w:r w:rsidRPr="00635528">
                              <w:rPr>
                                <w:b/>
                                <w:sz w:val="28"/>
                              </w:rPr>
                              <w:t>Pre-packs and Trading Administrations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0.5pt;margin-top:-8.9pt;width:304.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">
                <v:textbox>
                  <w:txbxContent>
                    <w:p w:rsidR="00265B0B" w:rsidRDefault="00265B0B" w:rsidP="00635528">
                      <w:pPr>
                        <w:jc w:val="center"/>
                        <w:rPr>
                          <w:b/>
                          <w:sz w:val="28"/>
                        </w:rPr>
                      </w:pPr>
                      <w:r w:rsidRPr="00635528">
                        <w:rPr>
                          <w:b/>
                          <w:sz w:val="28"/>
                        </w:rPr>
                        <w:t xml:space="preserve">5 Most Popular Sector Groups: </w:t>
                      </w:r>
                    </w:p>
                    <w:p w:rsidR="00265B0B" w:rsidRPr="00635528" w:rsidRDefault="00265B0B" w:rsidP="00635528">
                      <w:pPr>
                        <w:jc w:val="center"/>
                        <w:rPr>
                          <w:b/>
                          <w:sz w:val="28"/>
                        </w:rPr>
                      </w:pPr>
                      <w:r w:rsidRPr="00635528">
                        <w:rPr>
                          <w:b/>
                          <w:sz w:val="28"/>
                        </w:rPr>
                        <w:t>Pre-packs and Trading Administrations</w:t>
                      </w:r>
                    </w:p>
                  </w:txbxContent>
                </v:textbox>
              </v:shape>
            </w:pict>
          </mc:Fallback>
        </mc:AlternateContent>
      </w:r>
    </w:p>
    <w:p w:rsidR="00635528" w:rsidRDefault="00635528" w:rsidP="00C12A83">
      <w:pPr>
        <w:pStyle w:val="TableHeading"/>
        <w:spacing w:line="240" w:lineRule="auto"/>
        <w:rPr>
          <w:b w:val="0"/>
          <w:bCs/>
          <w:sz w:val="24"/>
          <w:szCs w:val="24"/>
        </w:rPr>
      </w:pPr>
    </w:p>
    <w:p w:rsidR="00C12A83" w:rsidRDefault="00C12A83" w:rsidP="00C12A83">
      <w:pPr>
        <w:pStyle w:val="TableHeading"/>
        <w:keepNext/>
        <w:spacing w:line="240" w:lineRule="auto"/>
      </w:pPr>
      <w:r>
        <w:rPr>
          <w:b w:val="0"/>
          <w:bCs/>
          <w:noProof/>
          <w:sz w:val="24"/>
          <w:szCs w:val="24"/>
          <w:lang w:eastAsia="en-GB"/>
        </w:rPr>
        <w:drawing>
          <wp:inline distT="0" distB="0" distL="0" distR="0" wp14:anchorId="3382108D" wp14:editId="1FC1C7C4">
            <wp:extent cx="5486400" cy="4157932"/>
            <wp:effectExtent l="0" t="0" r="19050" b="1460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12A83" w:rsidRDefault="00C12A83" w:rsidP="00C12A83">
      <w:pPr>
        <w:pStyle w:val="TableHeading"/>
        <w:spacing w:line="240" w:lineRule="auto"/>
        <w:rPr>
          <w:b w:val="0"/>
          <w:bCs/>
          <w:sz w:val="24"/>
          <w:szCs w:val="24"/>
        </w:rPr>
      </w:pPr>
    </w:p>
    <w:p w:rsidR="00C12A83" w:rsidRPr="005B0CA4" w:rsidRDefault="005869A7" w:rsidP="00C12A83">
      <w:pPr>
        <w:pStyle w:val="TableHeading"/>
        <w:spacing w:line="240" w:lineRule="auto"/>
        <w:rPr>
          <w:bCs/>
          <w:sz w:val="24"/>
          <w:szCs w:val="24"/>
        </w:rPr>
      </w:pPr>
      <w:r>
        <w:rPr>
          <w:bCs/>
          <w:sz w:val="24"/>
          <w:szCs w:val="24"/>
        </w:rPr>
        <w:t>B</w:t>
      </w:r>
      <w:r w:rsidR="00C12A83" w:rsidRPr="005B0CA4">
        <w:rPr>
          <w:bCs/>
          <w:sz w:val="24"/>
          <w:szCs w:val="24"/>
        </w:rPr>
        <w:t>1.5 Presence of group companies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From the documentation reviewed, it appears that almost half of the companies whose business was sold as a going concern in a trading administration formed part of a group of companies (49/99) and of the sample 28 were part of a sale of group companies. This is a higher proportion than that observed for pre-packs. However, the stratified sampling technique referred to above would likely have affected this.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68197C2C" wp14:editId="34BD9940">
            <wp:extent cx="5486400" cy="3200400"/>
            <wp:effectExtent l="0" t="0" r="1905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12A83" w:rsidRDefault="00C12A83" w:rsidP="00C12A83">
      <w:pPr>
        <w:pStyle w:val="TableHeading"/>
        <w:spacing w:line="240" w:lineRule="auto"/>
        <w:rPr>
          <w:b w:val="0"/>
          <w:bCs/>
          <w:sz w:val="24"/>
          <w:szCs w:val="24"/>
        </w:rPr>
      </w:pPr>
    </w:p>
    <w:p w:rsidR="00C12A83" w:rsidRPr="005B0CA4" w:rsidRDefault="005869A7" w:rsidP="00C12A83">
      <w:pPr>
        <w:pStyle w:val="TableHeading"/>
        <w:spacing w:line="240" w:lineRule="auto"/>
        <w:rPr>
          <w:bCs/>
          <w:sz w:val="24"/>
          <w:szCs w:val="24"/>
        </w:rPr>
      </w:pPr>
      <w:r>
        <w:rPr>
          <w:bCs/>
          <w:sz w:val="24"/>
          <w:szCs w:val="24"/>
        </w:rPr>
        <w:t>B</w:t>
      </w:r>
      <w:r w:rsidR="00C12A83" w:rsidRPr="005B0CA4">
        <w:rPr>
          <w:bCs/>
          <w:sz w:val="24"/>
          <w:szCs w:val="24"/>
        </w:rPr>
        <w:t xml:space="preserve">2 Details of the </w:t>
      </w:r>
      <w:r w:rsidR="00C12A83" w:rsidRPr="003B2568">
        <w:rPr>
          <w:bCs/>
          <w:sz w:val="24"/>
          <w:szCs w:val="24"/>
        </w:rPr>
        <w:t>trading administration going concern sale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look at the details of the trading administration going concern sales from 2010 that have been reviewed.</w:t>
      </w:r>
    </w:p>
    <w:p w:rsidR="00C12A83" w:rsidRPr="00E17A6C" w:rsidRDefault="00C12A83" w:rsidP="00C12A83">
      <w:pPr>
        <w:pStyle w:val="TableHeading"/>
        <w:spacing w:line="240" w:lineRule="auto"/>
        <w:rPr>
          <w:bCs/>
          <w:sz w:val="24"/>
          <w:szCs w:val="24"/>
        </w:rPr>
      </w:pPr>
    </w:p>
    <w:p w:rsidR="00C12A83" w:rsidRPr="00E17A6C" w:rsidRDefault="005869A7" w:rsidP="00C12A83">
      <w:pPr>
        <w:pStyle w:val="TableHeading"/>
        <w:spacing w:line="240" w:lineRule="auto"/>
        <w:rPr>
          <w:bCs/>
          <w:sz w:val="24"/>
          <w:szCs w:val="24"/>
        </w:rPr>
      </w:pPr>
      <w:r>
        <w:rPr>
          <w:bCs/>
          <w:sz w:val="24"/>
          <w:szCs w:val="24"/>
        </w:rPr>
        <w:t>B</w:t>
      </w:r>
      <w:r w:rsidR="00C12A83" w:rsidRPr="00E17A6C">
        <w:rPr>
          <w:bCs/>
          <w:sz w:val="24"/>
          <w:szCs w:val="24"/>
        </w:rPr>
        <w:t>2.1 Connected purchase</w:t>
      </w:r>
    </w:p>
    <w:p w:rsidR="00C12A83" w:rsidRPr="00E17A6C" w:rsidRDefault="00C12A83" w:rsidP="00C12A83">
      <w:pPr>
        <w:pStyle w:val="TableHeading"/>
        <w:spacing w:line="240" w:lineRule="auto"/>
        <w:rPr>
          <w:b w:val="0"/>
          <w:bCs/>
          <w:i/>
          <w:sz w:val="24"/>
          <w:szCs w:val="24"/>
        </w:rPr>
      </w:pPr>
    </w:p>
    <w:p w:rsidR="00C12A83" w:rsidRPr="00DB35FD" w:rsidRDefault="00C12A83" w:rsidP="00C12A83">
      <w:pPr>
        <w:pStyle w:val="TableHeading"/>
        <w:spacing w:line="240" w:lineRule="auto"/>
        <w:rPr>
          <w:b w:val="0"/>
          <w:bCs/>
          <w:sz w:val="24"/>
          <w:szCs w:val="24"/>
        </w:rPr>
      </w:pPr>
      <w:r w:rsidRPr="00DB35FD">
        <w:rPr>
          <w:b w:val="0"/>
          <w:bCs/>
          <w:sz w:val="24"/>
          <w:szCs w:val="24"/>
        </w:rPr>
        <w:t xml:space="preserve">Whereas going concern sales to a connected party dominated the sample of pre-packs reviewed, the opposite is observed for going concern sales in a trading administration. Only around a </w:t>
      </w:r>
      <w:r w:rsidR="00426FB2">
        <w:rPr>
          <w:b w:val="0"/>
          <w:bCs/>
          <w:sz w:val="24"/>
          <w:szCs w:val="24"/>
        </w:rPr>
        <w:t>fifth</w:t>
      </w:r>
      <w:r w:rsidRPr="00DB35FD">
        <w:rPr>
          <w:b w:val="0"/>
          <w:bCs/>
          <w:sz w:val="24"/>
          <w:szCs w:val="24"/>
        </w:rPr>
        <w:t xml:space="preserve"> of purchasers were connected to oldco for the purposes of s.249 of the</w:t>
      </w:r>
      <w:r>
        <w:rPr>
          <w:b w:val="0"/>
          <w:bCs/>
          <w:sz w:val="24"/>
          <w:szCs w:val="24"/>
        </w:rPr>
        <w:t xml:space="preserve"> IA</w:t>
      </w:r>
      <w:r w:rsidRPr="00DB35FD">
        <w:rPr>
          <w:b w:val="0"/>
          <w:bCs/>
          <w:sz w:val="24"/>
          <w:szCs w:val="24"/>
        </w:rPr>
        <w:t xml:space="preserve"> 1986, as compared to almost two thirds in pre-packs. Again, the information recorded relied on self-reporting by the administrators in filings at Companies House.</w:t>
      </w:r>
    </w:p>
    <w:p w:rsidR="00C12A83" w:rsidRDefault="00C12A83" w:rsidP="00C12A83">
      <w:pPr>
        <w:pStyle w:val="TableHeading"/>
        <w:spacing w:line="240" w:lineRule="auto"/>
        <w:rPr>
          <w:b w:val="0"/>
          <w:bCs/>
          <w:sz w:val="24"/>
          <w:szCs w:val="24"/>
        </w:rPr>
      </w:pPr>
    </w:p>
    <w:tbl>
      <w:tblPr>
        <w:tblW w:w="6840" w:type="dxa"/>
        <w:jc w:val="center"/>
        <w:tblInd w:w="93" w:type="dxa"/>
        <w:tblLook w:val="04A0" w:firstRow="1" w:lastRow="0" w:firstColumn="1" w:lastColumn="0" w:noHBand="0" w:noVBand="1"/>
      </w:tblPr>
      <w:tblGrid>
        <w:gridCol w:w="2280"/>
        <w:gridCol w:w="2439"/>
        <w:gridCol w:w="2121"/>
      </w:tblGrid>
      <w:tr w:rsidR="00C12A83" w:rsidRPr="00827364" w:rsidTr="00820FE6">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color w:val="000000"/>
                <w:lang w:eastAsia="en-GB"/>
              </w:rPr>
            </w:pPr>
          </w:p>
        </w:tc>
        <w:tc>
          <w:tcPr>
            <w:tcW w:w="2439" w:type="dxa"/>
            <w:tcBorders>
              <w:top w:val="single" w:sz="4" w:space="0" w:color="auto"/>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b/>
                <w:bCs/>
                <w:color w:val="000000"/>
                <w:lang w:eastAsia="en-GB"/>
              </w:rPr>
            </w:pPr>
            <w:r>
              <w:rPr>
                <w:rFonts w:ascii="Calibri" w:hAnsi="Calibri"/>
                <w:b/>
                <w:bCs/>
                <w:color w:val="000000"/>
                <w:lang w:eastAsia="en-GB"/>
              </w:rPr>
              <w:t>Trading Administration</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rsidR="00C12A83" w:rsidRPr="00827364" w:rsidRDefault="00C12A83" w:rsidP="00820FE6">
            <w:pPr>
              <w:jc w:val="center"/>
              <w:rPr>
                <w:rFonts w:ascii="Calibri" w:hAnsi="Calibri"/>
                <w:b/>
                <w:bCs/>
                <w:color w:val="000000"/>
                <w:lang w:eastAsia="en-GB"/>
              </w:rPr>
            </w:pPr>
            <w:r w:rsidRPr="00827364">
              <w:rPr>
                <w:rFonts w:ascii="Calibri" w:hAnsi="Calibri"/>
                <w:b/>
                <w:bCs/>
                <w:color w:val="000000"/>
                <w:lang w:eastAsia="en-GB"/>
              </w:rPr>
              <w:t>Proportion</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Connected Sale</w:t>
            </w:r>
          </w:p>
        </w:tc>
        <w:tc>
          <w:tcPr>
            <w:tcW w:w="2439"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20</w:t>
            </w:r>
          </w:p>
        </w:tc>
        <w:tc>
          <w:tcPr>
            <w:tcW w:w="2121"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18.2%</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Not Connected Sale</w:t>
            </w:r>
          </w:p>
        </w:tc>
        <w:tc>
          <w:tcPr>
            <w:tcW w:w="2439"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86</w:t>
            </w:r>
          </w:p>
        </w:tc>
        <w:tc>
          <w:tcPr>
            <w:tcW w:w="2121"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78.2%</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N/K</w:t>
            </w:r>
          </w:p>
        </w:tc>
        <w:tc>
          <w:tcPr>
            <w:tcW w:w="2439"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4</w:t>
            </w:r>
          </w:p>
        </w:tc>
        <w:tc>
          <w:tcPr>
            <w:tcW w:w="2121"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3.6%</w:t>
            </w:r>
          </w:p>
        </w:tc>
      </w:tr>
      <w:tr w:rsidR="00C12A83" w:rsidRPr="00827364"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C12A83" w:rsidRPr="00827364" w:rsidRDefault="00C12A83" w:rsidP="00820FE6">
            <w:pPr>
              <w:rPr>
                <w:rFonts w:ascii="Calibri" w:hAnsi="Calibri"/>
                <w:b/>
                <w:bCs/>
                <w:color w:val="000000"/>
                <w:lang w:eastAsia="en-GB"/>
              </w:rPr>
            </w:pPr>
            <w:r w:rsidRPr="00827364">
              <w:rPr>
                <w:rFonts w:ascii="Calibri" w:hAnsi="Calibri"/>
                <w:b/>
                <w:bCs/>
                <w:color w:val="000000"/>
                <w:lang w:eastAsia="en-GB"/>
              </w:rPr>
              <w:t>Total</w:t>
            </w:r>
          </w:p>
        </w:tc>
        <w:tc>
          <w:tcPr>
            <w:tcW w:w="2439"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110</w:t>
            </w:r>
          </w:p>
        </w:tc>
        <w:tc>
          <w:tcPr>
            <w:tcW w:w="2121" w:type="dxa"/>
            <w:tcBorders>
              <w:top w:val="nil"/>
              <w:left w:val="nil"/>
              <w:bottom w:val="single" w:sz="4" w:space="0" w:color="auto"/>
              <w:right w:val="single" w:sz="4" w:space="0" w:color="auto"/>
            </w:tcBorders>
            <w:shd w:val="clear" w:color="auto" w:fill="auto"/>
            <w:noWrap/>
            <w:vAlign w:val="bottom"/>
            <w:hideMark/>
          </w:tcPr>
          <w:p w:rsidR="00C12A83" w:rsidRDefault="00C12A83" w:rsidP="00820FE6">
            <w:pPr>
              <w:jc w:val="center"/>
              <w:rPr>
                <w:rFonts w:ascii="Calibri" w:hAnsi="Calibri"/>
                <w:color w:val="000000"/>
              </w:rPr>
            </w:pPr>
            <w:r>
              <w:rPr>
                <w:rFonts w:ascii="Calibri" w:hAnsi="Calibri"/>
                <w:color w:val="000000"/>
              </w:rPr>
              <w:t>100.0%</w:t>
            </w:r>
          </w:p>
        </w:tc>
      </w:tr>
    </w:tbl>
    <w:p w:rsidR="00C12A83" w:rsidRDefault="00C12A83" w:rsidP="00C12A83">
      <w:pPr>
        <w:pStyle w:val="TableHeading"/>
        <w:spacing w:line="240" w:lineRule="auto"/>
        <w:rPr>
          <w:b w:val="0"/>
          <w:bCs/>
          <w:sz w:val="24"/>
          <w:szCs w:val="24"/>
        </w:rPr>
      </w:pPr>
    </w:p>
    <w:p w:rsidR="002C664E" w:rsidRDefault="002C664E" w:rsidP="00C12A83">
      <w:pPr>
        <w:pStyle w:val="TableHeading"/>
        <w:spacing w:line="240" w:lineRule="auto"/>
        <w:rPr>
          <w:bCs/>
          <w:sz w:val="24"/>
          <w:szCs w:val="24"/>
        </w:rPr>
      </w:pPr>
    </w:p>
    <w:p w:rsidR="005869A7" w:rsidRDefault="005869A7" w:rsidP="00C12A83">
      <w:pPr>
        <w:pStyle w:val="TableHeading"/>
        <w:spacing w:line="240" w:lineRule="auto"/>
        <w:rPr>
          <w:bCs/>
          <w:sz w:val="24"/>
          <w:szCs w:val="24"/>
        </w:rPr>
      </w:pPr>
    </w:p>
    <w:p w:rsidR="00C12A83" w:rsidRPr="00DB35FD" w:rsidRDefault="005869A7" w:rsidP="00C12A83">
      <w:pPr>
        <w:pStyle w:val="TableHeading"/>
        <w:spacing w:line="240" w:lineRule="auto"/>
        <w:rPr>
          <w:bCs/>
          <w:sz w:val="24"/>
          <w:szCs w:val="24"/>
        </w:rPr>
      </w:pPr>
      <w:r>
        <w:rPr>
          <w:bCs/>
          <w:sz w:val="24"/>
          <w:szCs w:val="24"/>
        </w:rPr>
        <w:lastRenderedPageBreak/>
        <w:t>B</w:t>
      </w:r>
      <w:r w:rsidR="00C12A83" w:rsidRPr="00DB35FD">
        <w:rPr>
          <w:bCs/>
          <w:sz w:val="24"/>
          <w:szCs w:val="24"/>
        </w:rPr>
        <w:t>2.2 Deferred Consideration</w:t>
      </w:r>
    </w:p>
    <w:p w:rsidR="00C12A83" w:rsidRPr="00E17A6C" w:rsidRDefault="00C12A83" w:rsidP="00C12A83">
      <w:pPr>
        <w:pStyle w:val="TableHeading"/>
        <w:spacing w:line="240" w:lineRule="auto"/>
        <w:rPr>
          <w:b w:val="0"/>
          <w:bCs/>
          <w:i/>
          <w:sz w:val="24"/>
          <w:szCs w:val="24"/>
        </w:rPr>
      </w:pPr>
    </w:p>
    <w:p w:rsidR="00C12A83" w:rsidRPr="00DB35FD" w:rsidRDefault="00C12A83" w:rsidP="00C12A83">
      <w:pPr>
        <w:pStyle w:val="TableHeading"/>
        <w:spacing w:line="240" w:lineRule="auto"/>
        <w:rPr>
          <w:b w:val="0"/>
          <w:bCs/>
          <w:sz w:val="24"/>
          <w:szCs w:val="24"/>
        </w:rPr>
      </w:pPr>
      <w:r w:rsidRPr="00DB35FD">
        <w:rPr>
          <w:b w:val="0"/>
          <w:bCs/>
          <w:sz w:val="24"/>
          <w:szCs w:val="24"/>
        </w:rPr>
        <w:t>Similarly, whilst the use of some element of deferred consideration was</w:t>
      </w:r>
      <w:r w:rsidR="00635528">
        <w:rPr>
          <w:b w:val="0"/>
          <w:bCs/>
          <w:sz w:val="24"/>
          <w:szCs w:val="24"/>
        </w:rPr>
        <w:t xml:space="preserve"> apparent</w:t>
      </w:r>
      <w:r w:rsidRPr="00DB35FD">
        <w:rPr>
          <w:b w:val="0"/>
          <w:bCs/>
          <w:sz w:val="24"/>
          <w:szCs w:val="24"/>
        </w:rPr>
        <w:t xml:space="preserve"> in the majority in pre-pack sales (264/499), it was used in less than a quarter of all the trading administration sales reviewed (25/110). Furthermore, where it was used in a trading administration sale, security was rarely taken (only in 8 out of 25 cases).</w:t>
      </w:r>
      <w:r>
        <w:rPr>
          <w:b w:val="0"/>
          <w:bCs/>
          <w:sz w:val="24"/>
          <w:szCs w:val="24"/>
        </w:rPr>
        <w:t xml:space="preserve"> There is therefore greater certainty</w:t>
      </w:r>
      <w:r w:rsidR="00635528">
        <w:rPr>
          <w:b w:val="0"/>
          <w:bCs/>
          <w:sz w:val="24"/>
          <w:szCs w:val="24"/>
        </w:rPr>
        <w:t>,</w:t>
      </w:r>
      <w:r>
        <w:rPr>
          <w:b w:val="0"/>
          <w:bCs/>
          <w:sz w:val="24"/>
          <w:szCs w:val="24"/>
        </w:rPr>
        <w:t xml:space="preserve"> </w:t>
      </w:r>
      <w:r w:rsidR="00635528">
        <w:rPr>
          <w:b w:val="0"/>
          <w:bCs/>
          <w:sz w:val="24"/>
          <w:szCs w:val="24"/>
        </w:rPr>
        <w:t xml:space="preserve">in terms of asset realisations, </w:t>
      </w:r>
      <w:r>
        <w:rPr>
          <w:b w:val="0"/>
          <w:bCs/>
          <w:sz w:val="24"/>
          <w:szCs w:val="24"/>
        </w:rPr>
        <w:t>for creditors in the trading administration sales reviewed.</w:t>
      </w:r>
    </w:p>
    <w:p w:rsidR="00C12A83" w:rsidRDefault="00C12A83" w:rsidP="00C12A83">
      <w:pPr>
        <w:pStyle w:val="TableHeading"/>
        <w:spacing w:line="240" w:lineRule="auto"/>
        <w:rPr>
          <w:b w:val="0"/>
          <w:bCs/>
          <w:sz w:val="24"/>
          <w:szCs w:val="24"/>
        </w:rPr>
      </w:pPr>
    </w:p>
    <w:tbl>
      <w:tblPr>
        <w:tblW w:w="6840" w:type="dxa"/>
        <w:jc w:val="center"/>
        <w:tblInd w:w="93" w:type="dxa"/>
        <w:tblLook w:val="04A0" w:firstRow="1" w:lastRow="0" w:firstColumn="1" w:lastColumn="0" w:noHBand="0" w:noVBand="1"/>
      </w:tblPr>
      <w:tblGrid>
        <w:gridCol w:w="2280"/>
        <w:gridCol w:w="2280"/>
        <w:gridCol w:w="2280"/>
      </w:tblGrid>
      <w:tr w:rsidR="00C12A83" w:rsidRPr="00E63733" w:rsidTr="00820FE6">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A83" w:rsidRPr="00E63733" w:rsidRDefault="00C12A83" w:rsidP="00820FE6">
            <w:pPr>
              <w:rPr>
                <w:rFonts w:ascii="Calibri" w:hAnsi="Calibri"/>
                <w:color w:val="000000"/>
                <w:lang w:eastAsia="en-GB"/>
              </w:rPr>
            </w:pPr>
            <w:r w:rsidRPr="00E63733">
              <w:rPr>
                <w:rFonts w:ascii="Calibri" w:hAnsi="Calibri"/>
                <w:color w:val="000000"/>
                <w:lang w:eastAsia="en-GB"/>
              </w:rPr>
              <w:t> </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E63733" w:rsidRDefault="00635528" w:rsidP="00820FE6">
            <w:pPr>
              <w:jc w:val="center"/>
              <w:rPr>
                <w:rFonts w:ascii="Calibri" w:hAnsi="Calibri"/>
                <w:b/>
                <w:bCs/>
                <w:color w:val="000000"/>
                <w:lang w:eastAsia="en-GB"/>
              </w:rPr>
            </w:pPr>
            <w:r>
              <w:rPr>
                <w:rFonts w:ascii="Calibri" w:hAnsi="Calibri"/>
                <w:b/>
                <w:bCs/>
                <w:color w:val="000000"/>
                <w:lang w:eastAsia="en-GB"/>
              </w:rPr>
              <w:t>Trading Administration</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C12A83" w:rsidRPr="00E63733" w:rsidRDefault="00C12A83" w:rsidP="00820FE6">
            <w:pPr>
              <w:jc w:val="center"/>
              <w:rPr>
                <w:rFonts w:ascii="Calibri" w:hAnsi="Calibri"/>
                <w:b/>
                <w:bCs/>
                <w:color w:val="000000"/>
                <w:lang w:eastAsia="en-GB"/>
              </w:rPr>
            </w:pPr>
            <w:r w:rsidRPr="00E63733">
              <w:rPr>
                <w:rFonts w:ascii="Calibri" w:hAnsi="Calibri"/>
                <w:b/>
                <w:bCs/>
                <w:color w:val="000000"/>
                <w:lang w:eastAsia="en-GB"/>
              </w:rPr>
              <w:t>Proportion</w:t>
            </w:r>
          </w:p>
        </w:tc>
      </w:tr>
      <w:tr w:rsidR="00C12A83" w:rsidRPr="00E63733" w:rsidTr="00820FE6">
        <w:trPr>
          <w:trHeight w:val="6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Deferred Consideration</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25</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22.7%</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Pr>
                <w:rFonts w:ascii="Calibri" w:hAnsi="Calibri"/>
                <w:b/>
                <w:bCs/>
                <w:color w:val="000000"/>
                <w:lang w:eastAsia="en-GB"/>
              </w:rPr>
              <w:t xml:space="preserve">- </w:t>
            </w:r>
            <w:r w:rsidRPr="00E63733">
              <w:rPr>
                <w:rFonts w:ascii="Calibri" w:hAnsi="Calibri"/>
                <w:b/>
                <w:bCs/>
                <w:color w:val="000000"/>
                <w:lang w:eastAsia="en-GB"/>
              </w:rPr>
              <w:t>with security</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8</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32.0%</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Pr>
                <w:rFonts w:ascii="Calibri" w:hAnsi="Calibri"/>
                <w:b/>
                <w:bCs/>
                <w:color w:val="000000"/>
                <w:lang w:eastAsia="en-GB"/>
              </w:rPr>
              <w:t xml:space="preserve">- </w:t>
            </w:r>
            <w:r w:rsidRPr="00E63733">
              <w:rPr>
                <w:rFonts w:ascii="Calibri" w:hAnsi="Calibri"/>
                <w:b/>
                <w:bCs/>
                <w:color w:val="000000"/>
                <w:lang w:eastAsia="en-GB"/>
              </w:rPr>
              <w:t>without security</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17</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68.0%</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Pr>
                <w:rFonts w:ascii="Calibri" w:hAnsi="Calibri"/>
                <w:b/>
                <w:bCs/>
                <w:color w:val="000000"/>
                <w:lang w:eastAsia="en-GB"/>
              </w:rPr>
              <w:t xml:space="preserve">- </w:t>
            </w:r>
            <w:r w:rsidRPr="00E63733">
              <w:rPr>
                <w:rFonts w:ascii="Calibri" w:hAnsi="Calibri"/>
                <w:b/>
                <w:bCs/>
                <w:color w:val="000000"/>
                <w:lang w:eastAsia="en-GB"/>
              </w:rPr>
              <w:t>security taken N/K</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0</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0.0%</w:t>
            </w:r>
          </w:p>
        </w:tc>
      </w:tr>
      <w:tr w:rsidR="00C12A83" w:rsidRPr="00E63733" w:rsidTr="00820FE6">
        <w:trPr>
          <w:trHeight w:val="6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No Deferred Consideration</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83</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75.5%</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N/K</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2</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1.8%</w:t>
            </w:r>
          </w:p>
        </w:tc>
      </w:tr>
      <w:tr w:rsidR="00C12A83" w:rsidRPr="00E63733" w:rsidTr="00820FE6">
        <w:trPr>
          <w:trHeight w:val="300"/>
          <w:jc w:val="center"/>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C12A83" w:rsidRPr="00E63733" w:rsidRDefault="00C12A83" w:rsidP="00820FE6">
            <w:pPr>
              <w:rPr>
                <w:rFonts w:ascii="Calibri" w:hAnsi="Calibri"/>
                <w:b/>
                <w:bCs/>
                <w:color w:val="000000"/>
                <w:lang w:eastAsia="en-GB"/>
              </w:rPr>
            </w:pPr>
            <w:r w:rsidRPr="00E63733">
              <w:rPr>
                <w:rFonts w:ascii="Calibri" w:hAnsi="Calibri"/>
                <w:b/>
                <w:bCs/>
                <w:color w:val="000000"/>
                <w:lang w:eastAsia="en-GB"/>
              </w:rPr>
              <w:t>Total</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110</w:t>
            </w:r>
          </w:p>
        </w:tc>
        <w:tc>
          <w:tcPr>
            <w:tcW w:w="2280" w:type="dxa"/>
            <w:tcBorders>
              <w:top w:val="nil"/>
              <w:left w:val="nil"/>
              <w:bottom w:val="single" w:sz="4" w:space="0" w:color="auto"/>
              <w:right w:val="single" w:sz="4" w:space="0" w:color="auto"/>
            </w:tcBorders>
            <w:shd w:val="clear" w:color="auto" w:fill="auto"/>
            <w:noWrap/>
            <w:vAlign w:val="center"/>
            <w:hideMark/>
          </w:tcPr>
          <w:p w:rsidR="00C12A83" w:rsidRDefault="00C12A83" w:rsidP="00820FE6">
            <w:pPr>
              <w:jc w:val="center"/>
              <w:rPr>
                <w:rFonts w:ascii="Calibri" w:hAnsi="Calibri"/>
                <w:color w:val="000000"/>
              </w:rPr>
            </w:pPr>
            <w:r>
              <w:rPr>
                <w:rFonts w:ascii="Calibri" w:hAnsi="Calibri"/>
                <w:color w:val="000000"/>
              </w:rPr>
              <w:t>100.0%</w:t>
            </w:r>
          </w:p>
        </w:tc>
      </w:tr>
    </w:tbl>
    <w:p w:rsidR="00C12A83" w:rsidRDefault="00C12A83" w:rsidP="00C12A83">
      <w:pPr>
        <w:pStyle w:val="TableHeading"/>
        <w:spacing w:line="240" w:lineRule="auto"/>
        <w:rPr>
          <w:b w:val="0"/>
          <w:bCs/>
          <w:sz w:val="24"/>
          <w:szCs w:val="24"/>
        </w:rPr>
      </w:pPr>
    </w:p>
    <w:p w:rsidR="00C12A83" w:rsidRPr="00DB35FD" w:rsidRDefault="005869A7" w:rsidP="00C12A83">
      <w:pPr>
        <w:pStyle w:val="TableHeading"/>
        <w:spacing w:line="240" w:lineRule="auto"/>
        <w:rPr>
          <w:bCs/>
          <w:sz w:val="24"/>
          <w:szCs w:val="24"/>
        </w:rPr>
      </w:pPr>
      <w:r>
        <w:rPr>
          <w:bCs/>
          <w:sz w:val="24"/>
          <w:szCs w:val="24"/>
        </w:rPr>
        <w:t>B</w:t>
      </w:r>
      <w:r w:rsidR="00C12A83" w:rsidRPr="00DB35FD">
        <w:rPr>
          <w:bCs/>
          <w:sz w:val="24"/>
          <w:szCs w:val="24"/>
        </w:rPr>
        <w:t>2.3 Purchase Price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85336A">
        <w:rPr>
          <w:b w:val="0"/>
          <w:bCs/>
          <w:sz w:val="24"/>
          <w:szCs w:val="24"/>
        </w:rPr>
        <w:t>It can be seen from the chart below that</w:t>
      </w:r>
      <w:r>
        <w:rPr>
          <w:b w:val="0"/>
          <w:bCs/>
          <w:sz w:val="24"/>
          <w:szCs w:val="24"/>
        </w:rPr>
        <w:t xml:space="preserve"> as with pre-pack sales, there was a wide spread of purchase prices in trading administration going concern sales in 2010, though none in excess of £20million. However, whereas pre-pack sales were dominated by sales below £100,000, the trading administration going concern sale prices appear to have a more evenly distributed, with a large number falling into the £100,000-£250,000 and £1million-£5million brackets. This may well have been affected by the sampling method</w:t>
      </w:r>
      <w:r w:rsidR="00365239">
        <w:rPr>
          <w:b w:val="0"/>
          <w:bCs/>
          <w:sz w:val="24"/>
          <w:szCs w:val="24"/>
        </w:rPr>
        <w:t>,</w:t>
      </w:r>
      <w:r>
        <w:rPr>
          <w:b w:val="0"/>
          <w:bCs/>
          <w:sz w:val="24"/>
          <w:szCs w:val="24"/>
        </w:rPr>
        <w:t xml:space="preserve"> however, with a greater proportion of medium and large companies selected from the data available.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jc w:val="center"/>
        <w:rPr>
          <w:b w:val="0"/>
          <w:bCs/>
          <w:sz w:val="24"/>
          <w:szCs w:val="24"/>
        </w:rPr>
      </w:pPr>
      <w:r>
        <w:rPr>
          <w:noProof/>
          <w:lang w:eastAsia="en-GB"/>
        </w:rPr>
        <w:lastRenderedPageBreak/>
        <w:drawing>
          <wp:inline distT="0" distB="0" distL="0" distR="0" wp14:anchorId="68ACE9FD" wp14:editId="4C998286">
            <wp:extent cx="5316279" cy="5539563"/>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a:extLst>
                        <a:ext uri="{28A0092B-C50C-407E-A947-70E740481C1C}">
                          <a14:useLocalDpi xmlns:a14="http://schemas.microsoft.com/office/drawing/2010/main" val="0"/>
                        </a:ext>
                      </a:extLst>
                    </a:blip>
                    <a:srcRect t="3159" r="7208"/>
                    <a:stretch/>
                  </pic:blipFill>
                  <pic:spPr bwMode="auto">
                    <a:xfrm>
                      <a:off x="0" y="0"/>
                      <a:ext cx="5318420" cy="5541794"/>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Pr="00851BC5" w:rsidRDefault="005869A7" w:rsidP="00C12A83">
      <w:pPr>
        <w:pStyle w:val="TableHeading"/>
        <w:spacing w:line="240" w:lineRule="auto"/>
        <w:rPr>
          <w:bCs/>
          <w:sz w:val="24"/>
          <w:szCs w:val="24"/>
        </w:rPr>
      </w:pPr>
      <w:r>
        <w:rPr>
          <w:bCs/>
          <w:sz w:val="24"/>
          <w:szCs w:val="24"/>
        </w:rPr>
        <w:t>B</w:t>
      </w:r>
      <w:r w:rsidR="00C12A83" w:rsidRPr="00851BC5">
        <w:rPr>
          <w:bCs/>
          <w:sz w:val="24"/>
          <w:szCs w:val="24"/>
        </w:rPr>
        <w:t>2.4 Debt profile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E36595">
        <w:rPr>
          <w:b w:val="0"/>
          <w:bCs/>
          <w:sz w:val="24"/>
          <w:szCs w:val="24"/>
        </w:rPr>
        <w:t>As with pre-packaged administrations, it is observed that the majority of companies using trading administration going concern sales had a small to medium unsecured debt profile at the point of insolvency, though the middle fifty per cent of cases falling slighter higher, between £420,000 and £1.83million (as opposed to £260,000 and £1.4million).</w:t>
      </w:r>
    </w:p>
    <w:p w:rsidR="00365239" w:rsidRDefault="00365239" w:rsidP="00C12A83">
      <w:pPr>
        <w:pStyle w:val="TableHeading"/>
        <w:spacing w:line="240" w:lineRule="auto"/>
        <w:rPr>
          <w:b w:val="0"/>
          <w:bCs/>
          <w:sz w:val="24"/>
          <w:szCs w:val="24"/>
        </w:rPr>
      </w:pPr>
    </w:p>
    <w:p w:rsidR="00365239" w:rsidRPr="00E36595" w:rsidRDefault="00365239" w:rsidP="00C12A83">
      <w:pPr>
        <w:pStyle w:val="TableHeading"/>
        <w:spacing w:line="240" w:lineRule="auto"/>
        <w:rPr>
          <w:b w:val="0"/>
          <w:bCs/>
          <w:sz w:val="24"/>
          <w:szCs w:val="24"/>
        </w:rPr>
      </w:pPr>
      <w:r>
        <w:rPr>
          <w:b w:val="0"/>
          <w:bCs/>
          <w:sz w:val="24"/>
          <w:szCs w:val="24"/>
        </w:rPr>
        <w:t>As reflected in section A2.10 above, it is worth noting that the data collected may duplicate debt figures in group situations. As noted in B1.5 above, in around half of cases reviewed, oldco was part of a group of companies where frequently companies cross guaranteed one another’s debts (although the evidence for this was not consistently reported so it is not possible to give precise individual company debt figures).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noProof/>
          <w:lang w:eastAsia="en-GB"/>
        </w:rPr>
        <w:lastRenderedPageBreak/>
        <w:drawing>
          <wp:inline distT="0" distB="0" distL="0" distR="0" wp14:anchorId="383132EF" wp14:editId="527BD603">
            <wp:extent cx="5380074" cy="559272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t="2231" r="6094"/>
                    <a:stretch/>
                  </pic:blipFill>
                  <pic:spPr bwMode="auto">
                    <a:xfrm>
                      <a:off x="0" y="0"/>
                      <a:ext cx="5382241" cy="5594978"/>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profile of debts owed to HMRC is observed to be similar to that of the pre-pack companies described in Part A above</w:t>
      </w:r>
      <w:r w:rsidR="00365239">
        <w:rPr>
          <w:b w:val="0"/>
          <w:bCs/>
          <w:sz w:val="24"/>
          <w:szCs w:val="24"/>
        </w:rPr>
        <w:t>, despite the slightly differing profiles of the companies involved</w:t>
      </w:r>
      <w:r>
        <w:rPr>
          <w:b w:val="0"/>
          <w:bCs/>
          <w:sz w:val="24"/>
          <w:szCs w:val="24"/>
        </w:rPr>
        <w: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noProof/>
          <w:lang w:eastAsia="en-GB"/>
        </w:rPr>
        <w:lastRenderedPageBreak/>
        <w:drawing>
          <wp:inline distT="0" distB="0" distL="0" distR="0" wp14:anchorId="73CE0D19" wp14:editId="42D97A62">
            <wp:extent cx="5390707" cy="5539563"/>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t="3159" r="5908"/>
                    <a:stretch/>
                  </pic:blipFill>
                  <pic:spPr bwMode="auto">
                    <a:xfrm>
                      <a:off x="0" y="0"/>
                      <a:ext cx="5392878" cy="5541794"/>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C12A83" w:rsidRDefault="005869A7" w:rsidP="00C12A83">
      <w:pPr>
        <w:pStyle w:val="TableHeading"/>
        <w:spacing w:line="240" w:lineRule="auto"/>
        <w:rPr>
          <w:bCs/>
          <w:sz w:val="24"/>
          <w:szCs w:val="24"/>
        </w:rPr>
      </w:pPr>
      <w:r>
        <w:rPr>
          <w:bCs/>
          <w:sz w:val="24"/>
          <w:szCs w:val="24"/>
        </w:rPr>
        <w:t>B</w:t>
      </w:r>
      <w:r w:rsidR="00C12A83">
        <w:rPr>
          <w:bCs/>
          <w:sz w:val="24"/>
          <w:szCs w:val="24"/>
        </w:rPr>
        <w:t>2.5 Distributions to unsecured creditors of oldco</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As with the data observed for pre-pack sales, it appears that in the majority of cases no distribution was made to unsecured creditors in a going concern trading administration sale. Again, this does not include a small number of cases w</w:t>
      </w:r>
      <w:r w:rsidR="00365239">
        <w:rPr>
          <w:b w:val="0"/>
          <w:bCs/>
          <w:sz w:val="24"/>
          <w:szCs w:val="24"/>
        </w:rPr>
        <w:t>h</w:t>
      </w:r>
      <w:r>
        <w:rPr>
          <w:b w:val="0"/>
          <w:bCs/>
          <w:sz w:val="24"/>
          <w:szCs w:val="24"/>
        </w:rPr>
        <w:t xml:space="preserve">ere a subsequent liquidation (or in 1 case the administration itself) </w:t>
      </w:r>
      <w:r w:rsidR="00365239">
        <w:rPr>
          <w:b w:val="0"/>
          <w:bCs/>
          <w:sz w:val="24"/>
          <w:szCs w:val="24"/>
        </w:rPr>
        <w:t>is</w:t>
      </w:r>
      <w:r>
        <w:rPr>
          <w:b w:val="0"/>
          <w:bCs/>
          <w:sz w:val="24"/>
          <w:szCs w:val="24"/>
        </w:rPr>
        <w:t xml:space="preserve"> ongoing and there remains a possibility, though not a certainty, of a distribution being made to unsecured creditors.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Where a distribution has been made, it tends to be small when compared to the overall unsecured debt figures. There are</w:t>
      </w:r>
      <w:r w:rsidR="00365239">
        <w:rPr>
          <w:b w:val="0"/>
          <w:bCs/>
          <w:sz w:val="24"/>
          <w:szCs w:val="24"/>
        </w:rPr>
        <w:t>,</w:t>
      </w:r>
      <w:r>
        <w:rPr>
          <w:b w:val="0"/>
          <w:bCs/>
          <w:sz w:val="24"/>
          <w:szCs w:val="24"/>
        </w:rPr>
        <w:t xml:space="preserve"> however</w:t>
      </w:r>
      <w:r w:rsidR="00365239">
        <w:rPr>
          <w:b w:val="0"/>
          <w:bCs/>
          <w:sz w:val="24"/>
          <w:szCs w:val="24"/>
        </w:rPr>
        <w:t>,</w:t>
      </w:r>
      <w:r>
        <w:rPr>
          <w:b w:val="0"/>
          <w:bCs/>
          <w:sz w:val="24"/>
          <w:szCs w:val="24"/>
        </w:rPr>
        <w:t xml:space="preserve"> a small number of more significant distributions to unsecured creditors.</w:t>
      </w:r>
    </w:p>
    <w:p w:rsidR="00C12A83" w:rsidRDefault="00C12A83" w:rsidP="00C12A83">
      <w:pPr>
        <w:pStyle w:val="TableHeading"/>
        <w:spacing w:line="240" w:lineRule="auto"/>
        <w:rPr>
          <w:b w:val="0"/>
          <w:bCs/>
          <w:sz w:val="24"/>
          <w:szCs w:val="24"/>
        </w:rPr>
      </w:pPr>
      <w:r>
        <w:rPr>
          <w:noProof/>
          <w:lang w:eastAsia="en-GB"/>
        </w:rPr>
        <w:lastRenderedPageBreak/>
        <w:drawing>
          <wp:inline distT="0" distB="0" distL="0" distR="0" wp14:anchorId="2C38D6A6" wp14:editId="1B8F5801">
            <wp:extent cx="5358809" cy="560335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a:extLst>
                        <a:ext uri="{28A0092B-C50C-407E-A947-70E740481C1C}">
                          <a14:useLocalDpi xmlns:a14="http://schemas.microsoft.com/office/drawing/2010/main" val="0"/>
                        </a:ext>
                      </a:extLst>
                    </a:blip>
                    <a:srcRect t="2045" r="6465"/>
                    <a:stretch/>
                  </pic:blipFill>
                  <pic:spPr bwMode="auto">
                    <a:xfrm>
                      <a:off x="0" y="0"/>
                      <a:ext cx="5360967" cy="5605615"/>
                    </a:xfrm>
                    <a:prstGeom prst="rect">
                      <a:avLst/>
                    </a:prstGeom>
                    <a:noFill/>
                    <a:ln>
                      <a:noFill/>
                    </a:ln>
                    <a:extLst>
                      <a:ext uri="{53640926-AAD7-44D8-BBD7-CCE9431645EC}">
                        <a14:shadowObscured xmlns:a14="http://schemas.microsoft.com/office/drawing/2010/main"/>
                      </a:ext>
                    </a:extLst>
                  </pic:spPr>
                </pic:pic>
              </a:graphicData>
            </a:graphic>
          </wp:inline>
        </w:drawing>
      </w:r>
    </w:p>
    <w:p w:rsidR="00C12A83" w:rsidRDefault="00C12A83" w:rsidP="00C12A83">
      <w:pPr>
        <w:pStyle w:val="TableHeading"/>
        <w:spacing w:line="240" w:lineRule="auto"/>
        <w:rPr>
          <w:b w:val="0"/>
          <w:bCs/>
          <w:sz w:val="24"/>
          <w:szCs w:val="24"/>
        </w:rPr>
      </w:pPr>
    </w:p>
    <w:p w:rsidR="009C2695" w:rsidRPr="00B24ED6" w:rsidRDefault="009C2695" w:rsidP="009C2695">
      <w:pPr>
        <w:spacing w:line="240" w:lineRule="auto"/>
      </w:pPr>
      <w:r w:rsidRPr="00B24ED6">
        <w:t xml:space="preserve">Of the 99 companies whose business was sold as a going concern in a trading administration which were reviewed, there was known unsecured debt data for 95 companies (in 2 cases the Statement of Affairs listed a figure of £0, whilst for a further 2 there was no information available). Of these 95 companies, over 50% of cases (49/95) resulted in no dividend to unsecured creditors and for over 23% (22/95) the outcome was unknown or proceedings ongoing. </w:t>
      </w:r>
    </w:p>
    <w:p w:rsidR="009C2695" w:rsidRPr="00B24ED6" w:rsidRDefault="009C2695" w:rsidP="009C2695">
      <w:pPr>
        <w:spacing w:line="240" w:lineRule="auto"/>
      </w:pPr>
    </w:p>
    <w:p w:rsidR="009C2695" w:rsidRPr="00B24ED6" w:rsidRDefault="009C2695" w:rsidP="009C2695">
      <w:pPr>
        <w:spacing w:line="240" w:lineRule="auto"/>
      </w:pPr>
      <w:r w:rsidRPr="00B24ED6">
        <w:t>For the 24 companies for which viable unsecured distribution data was available, the mean unsecured dividend represented 13.06% of the overall debt, though this appears to be skewed by a two significant larger distributions, with the majority of unsecured distributions within the range 0.48%-8.40%. The mean figure is significant higher than that witnessed for pre-packs, although the median is lower and the range is wider.</w:t>
      </w:r>
    </w:p>
    <w:p w:rsidR="009C2695" w:rsidRPr="00B24ED6" w:rsidRDefault="009C2695" w:rsidP="009C2695">
      <w:pPr>
        <w:spacing w:line="240" w:lineRule="auto"/>
      </w:pPr>
    </w:p>
    <w:p w:rsidR="009C2695" w:rsidRPr="00B24ED6" w:rsidRDefault="009C2695" w:rsidP="009C2695">
      <w:pPr>
        <w:spacing w:line="240" w:lineRule="auto"/>
      </w:pPr>
    </w:p>
    <w:p w:rsidR="009C2695" w:rsidRPr="00B24ED6" w:rsidRDefault="009C2695" w:rsidP="009C2695">
      <w:pPr>
        <w:spacing w:line="240" w:lineRule="auto"/>
      </w:pPr>
    </w:p>
    <w:p w:rsidR="009C2695" w:rsidRPr="00B24ED6" w:rsidRDefault="009C2695" w:rsidP="009C2695"/>
    <w:tbl>
      <w:tblPr>
        <w:tblW w:w="5915" w:type="dxa"/>
        <w:jc w:val="center"/>
        <w:tblInd w:w="93" w:type="dxa"/>
        <w:tblLook w:val="04A0" w:firstRow="1" w:lastRow="0" w:firstColumn="1" w:lastColumn="0" w:noHBand="0" w:noVBand="1"/>
      </w:tblPr>
      <w:tblGrid>
        <w:gridCol w:w="1660"/>
        <w:gridCol w:w="2172"/>
        <w:gridCol w:w="2083"/>
      </w:tblGrid>
      <w:tr w:rsidR="009C2695" w:rsidRPr="00B24ED6" w:rsidTr="009C2695">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color w:val="000000"/>
                <w:sz w:val="22"/>
                <w:szCs w:val="22"/>
                <w:lang w:eastAsia="en-GB"/>
              </w:rPr>
            </w:pPr>
            <w:r w:rsidRPr="00B24ED6">
              <w:rPr>
                <w:rFonts w:ascii="Calibri" w:hAnsi="Calibri"/>
                <w:color w:val="000000"/>
                <w:sz w:val="22"/>
                <w:szCs w:val="22"/>
                <w:lang w:eastAsia="en-GB"/>
              </w:rPr>
              <w:t> </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Debt as a proportion of overall debt</w:t>
            </w:r>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Dividend as a proportion of overall debt</w:t>
            </w:r>
          </w:p>
        </w:tc>
      </w:tr>
      <w:tr w:rsidR="009C2695" w:rsidRPr="00B24ED6" w:rsidTr="009C269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Mean</w:t>
            </w:r>
          </w:p>
        </w:tc>
        <w:tc>
          <w:tcPr>
            <w:tcW w:w="217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48.92%</w:t>
            </w:r>
          </w:p>
        </w:tc>
        <w:tc>
          <w:tcPr>
            <w:tcW w:w="2083"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13.06%</w:t>
            </w:r>
          </w:p>
        </w:tc>
      </w:tr>
      <w:tr w:rsidR="009C2695" w:rsidRPr="00B24ED6" w:rsidTr="009C269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Median</w:t>
            </w:r>
          </w:p>
        </w:tc>
        <w:tc>
          <w:tcPr>
            <w:tcW w:w="217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40.61%</w:t>
            </w:r>
          </w:p>
        </w:tc>
        <w:tc>
          <w:tcPr>
            <w:tcW w:w="2083"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1.49%</w:t>
            </w:r>
          </w:p>
        </w:tc>
      </w:tr>
      <w:tr w:rsidR="009C2695" w:rsidRPr="00B24ED6" w:rsidTr="009C269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25th Percentile</w:t>
            </w:r>
          </w:p>
        </w:tc>
        <w:tc>
          <w:tcPr>
            <w:tcW w:w="217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20.47%</w:t>
            </w:r>
          </w:p>
        </w:tc>
        <w:tc>
          <w:tcPr>
            <w:tcW w:w="2083"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0.48%</w:t>
            </w:r>
          </w:p>
        </w:tc>
      </w:tr>
      <w:tr w:rsidR="009C2695" w:rsidRPr="00B24ED6" w:rsidTr="009C269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75th Percentile</w:t>
            </w:r>
          </w:p>
        </w:tc>
        <w:tc>
          <w:tcPr>
            <w:tcW w:w="217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79.45%</w:t>
            </w:r>
          </w:p>
        </w:tc>
        <w:tc>
          <w:tcPr>
            <w:tcW w:w="2083"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8.40%</w:t>
            </w:r>
          </w:p>
        </w:tc>
      </w:tr>
    </w:tbl>
    <w:p w:rsidR="009C2695" w:rsidRPr="00B24ED6" w:rsidRDefault="009C2695" w:rsidP="009C2695"/>
    <w:p w:rsidR="009C2695" w:rsidRPr="00B24ED6" w:rsidRDefault="009C2695" w:rsidP="009C2695">
      <w:pPr>
        <w:spacing w:line="240" w:lineRule="auto"/>
      </w:pPr>
      <w:r w:rsidRPr="00B24ED6">
        <w:t>Of the 24 companies mentioned above, 4 of the companies were involved in connected sale transactions. The mean unsecured dividend drops to 3.21% and the 25</w:t>
      </w:r>
      <w:r w:rsidRPr="00B24ED6">
        <w:rPr>
          <w:vertAlign w:val="superscript"/>
        </w:rPr>
        <w:t>th</w:t>
      </w:r>
      <w:r w:rsidRPr="00B24ED6">
        <w:t>-75</w:t>
      </w:r>
      <w:r w:rsidRPr="00B24ED6">
        <w:rPr>
          <w:vertAlign w:val="superscript"/>
        </w:rPr>
        <w:t>th</w:t>
      </w:r>
      <w:r w:rsidRPr="00B24ED6">
        <w:t xml:space="preserve"> percentiles drop to 0.42%-3.79%. Whilst these figures are lower than for pre-packs, there is insufficient data to comment in any detail.</w:t>
      </w:r>
    </w:p>
    <w:p w:rsidR="009C2695" w:rsidRPr="00B24ED6" w:rsidRDefault="009C2695" w:rsidP="009C2695"/>
    <w:tbl>
      <w:tblPr>
        <w:tblW w:w="5877" w:type="dxa"/>
        <w:jc w:val="center"/>
        <w:tblInd w:w="-143" w:type="dxa"/>
        <w:tblLook w:val="04A0" w:firstRow="1" w:lastRow="0" w:firstColumn="1" w:lastColumn="0" w:noHBand="0" w:noVBand="1"/>
      </w:tblPr>
      <w:tblGrid>
        <w:gridCol w:w="1625"/>
        <w:gridCol w:w="2188"/>
        <w:gridCol w:w="2064"/>
      </w:tblGrid>
      <w:tr w:rsidR="009C2695" w:rsidRPr="00B24ED6" w:rsidTr="009C2695">
        <w:trPr>
          <w:trHeight w:val="300"/>
          <w:jc w:val="center"/>
        </w:trPr>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color w:val="000000"/>
                <w:sz w:val="22"/>
                <w:szCs w:val="22"/>
                <w:lang w:eastAsia="en-GB"/>
              </w:rPr>
            </w:pPr>
            <w:r w:rsidRPr="00B24ED6">
              <w:rPr>
                <w:rFonts w:ascii="Calibri" w:hAnsi="Calibri"/>
                <w:color w:val="000000"/>
                <w:sz w:val="22"/>
                <w:szCs w:val="22"/>
                <w:lang w:eastAsia="en-GB"/>
              </w:rPr>
              <w:t> </w:t>
            </w:r>
          </w:p>
        </w:tc>
        <w:tc>
          <w:tcPr>
            <w:tcW w:w="2188"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Debt as a proportion of overall debt</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Dividend as a proportion of overall debt</w:t>
            </w:r>
          </w:p>
        </w:tc>
      </w:tr>
      <w:tr w:rsidR="009C2695" w:rsidRPr="00B24ED6" w:rsidTr="009C2695">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Mean</w:t>
            </w:r>
          </w:p>
        </w:tc>
        <w:tc>
          <w:tcPr>
            <w:tcW w:w="2188"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61.90%</w:t>
            </w:r>
          </w:p>
        </w:tc>
        <w:tc>
          <w:tcPr>
            <w:tcW w:w="2064"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3.217%</w:t>
            </w:r>
          </w:p>
        </w:tc>
      </w:tr>
      <w:tr w:rsidR="009C2695" w:rsidRPr="00B24ED6" w:rsidTr="009C2695">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Median</w:t>
            </w:r>
          </w:p>
        </w:tc>
        <w:tc>
          <w:tcPr>
            <w:tcW w:w="2188"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62.03%</w:t>
            </w:r>
          </w:p>
        </w:tc>
        <w:tc>
          <w:tcPr>
            <w:tcW w:w="2064"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1.00%</w:t>
            </w:r>
          </w:p>
        </w:tc>
      </w:tr>
      <w:tr w:rsidR="009C2695" w:rsidRPr="00B24ED6" w:rsidTr="009C2695">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25th Percentile</w:t>
            </w:r>
          </w:p>
        </w:tc>
        <w:tc>
          <w:tcPr>
            <w:tcW w:w="2188"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48.88%</w:t>
            </w:r>
          </w:p>
        </w:tc>
        <w:tc>
          <w:tcPr>
            <w:tcW w:w="2064"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0.42%</w:t>
            </w:r>
          </w:p>
        </w:tc>
      </w:tr>
      <w:tr w:rsidR="009C2695" w:rsidRPr="00B24ED6" w:rsidTr="009C2695">
        <w:trPr>
          <w:trHeight w:val="300"/>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75th Percentile</w:t>
            </w:r>
          </w:p>
        </w:tc>
        <w:tc>
          <w:tcPr>
            <w:tcW w:w="2188"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74.25%</w:t>
            </w:r>
          </w:p>
        </w:tc>
        <w:tc>
          <w:tcPr>
            <w:tcW w:w="2064"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3.79%</w:t>
            </w:r>
          </w:p>
        </w:tc>
      </w:tr>
    </w:tbl>
    <w:p w:rsidR="009C2695" w:rsidRPr="00B24ED6" w:rsidRDefault="009C2695" w:rsidP="009C2695"/>
    <w:p w:rsidR="009C2695" w:rsidRPr="00B24ED6" w:rsidRDefault="009C2695" w:rsidP="009C2695">
      <w:pPr>
        <w:spacing w:line="240" w:lineRule="auto"/>
      </w:pPr>
      <w:r w:rsidRPr="00B24ED6">
        <w:t>Eighteen of the 24 companies did not sell their business as a going concern to a connected party (the data is not known for 2 companies). The figures are broadly similar to those for all companies, save for the 75</w:t>
      </w:r>
      <w:r w:rsidRPr="00B24ED6">
        <w:rPr>
          <w:vertAlign w:val="superscript"/>
        </w:rPr>
        <w:t>th</w:t>
      </w:r>
      <w:r w:rsidRPr="00B24ED6">
        <w:t xml:space="preserve"> percentile which has declined.</w:t>
      </w:r>
    </w:p>
    <w:p w:rsidR="009C2695" w:rsidRPr="00B24ED6" w:rsidRDefault="009C2695" w:rsidP="009C2695">
      <w:pPr>
        <w:spacing w:line="240" w:lineRule="auto"/>
      </w:pPr>
    </w:p>
    <w:tbl>
      <w:tblPr>
        <w:tblW w:w="5907" w:type="dxa"/>
        <w:jc w:val="center"/>
        <w:tblInd w:w="-462" w:type="dxa"/>
        <w:tblLook w:val="04A0" w:firstRow="1" w:lastRow="0" w:firstColumn="1" w:lastColumn="0" w:noHBand="0" w:noVBand="1"/>
      </w:tblPr>
      <w:tblGrid>
        <w:gridCol w:w="1746"/>
        <w:gridCol w:w="2032"/>
        <w:gridCol w:w="2129"/>
      </w:tblGrid>
      <w:tr w:rsidR="009C2695" w:rsidRPr="00B24ED6" w:rsidTr="009C2695">
        <w:trPr>
          <w:trHeight w:val="300"/>
          <w:jc w:val="center"/>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color w:val="000000"/>
                <w:sz w:val="22"/>
                <w:szCs w:val="22"/>
                <w:lang w:eastAsia="en-GB"/>
              </w:rPr>
            </w:pPr>
            <w:r w:rsidRPr="00B24ED6">
              <w:rPr>
                <w:rFonts w:ascii="Calibri" w:hAnsi="Calibri"/>
                <w:color w:val="000000"/>
                <w:sz w:val="22"/>
                <w:szCs w:val="22"/>
                <w:lang w:eastAsia="en-GB"/>
              </w:rPr>
              <w:t> </w:t>
            </w:r>
          </w:p>
        </w:tc>
        <w:tc>
          <w:tcPr>
            <w:tcW w:w="2032"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Debt as a proportion of overall debt</w:t>
            </w:r>
          </w:p>
        </w:tc>
        <w:tc>
          <w:tcPr>
            <w:tcW w:w="2129" w:type="dxa"/>
            <w:tcBorders>
              <w:top w:val="single" w:sz="4" w:space="0" w:color="auto"/>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Unsecured Dividend as a proportion of overall debt</w:t>
            </w:r>
          </w:p>
        </w:tc>
      </w:tr>
      <w:tr w:rsidR="009C2695" w:rsidRPr="00B24ED6" w:rsidTr="009C2695">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Mean</w:t>
            </w:r>
          </w:p>
        </w:tc>
        <w:tc>
          <w:tcPr>
            <w:tcW w:w="203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42.63%</w:t>
            </w:r>
          </w:p>
        </w:tc>
        <w:tc>
          <w:tcPr>
            <w:tcW w:w="2129"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13.67%</w:t>
            </w:r>
          </w:p>
        </w:tc>
      </w:tr>
      <w:tr w:rsidR="009C2695" w:rsidRPr="00B24ED6" w:rsidTr="009C2695">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Median</w:t>
            </w:r>
          </w:p>
        </w:tc>
        <w:tc>
          <w:tcPr>
            <w:tcW w:w="203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38.90%</w:t>
            </w:r>
          </w:p>
        </w:tc>
        <w:tc>
          <w:tcPr>
            <w:tcW w:w="2129"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1.45%</w:t>
            </w:r>
          </w:p>
        </w:tc>
      </w:tr>
      <w:tr w:rsidR="009C2695" w:rsidRPr="00B24ED6" w:rsidTr="009C2695">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25th Percentile</w:t>
            </w:r>
          </w:p>
        </w:tc>
        <w:tc>
          <w:tcPr>
            <w:tcW w:w="203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18.15%</w:t>
            </w:r>
          </w:p>
        </w:tc>
        <w:tc>
          <w:tcPr>
            <w:tcW w:w="2129"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0.42%</w:t>
            </w:r>
          </w:p>
        </w:tc>
      </w:tr>
      <w:tr w:rsidR="009C2695" w:rsidRPr="00B24ED6" w:rsidTr="009C2695">
        <w:trPr>
          <w:trHeight w:val="300"/>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rPr>
                <w:rFonts w:ascii="Calibri" w:hAnsi="Calibri"/>
                <w:b/>
                <w:color w:val="000000"/>
                <w:sz w:val="22"/>
                <w:szCs w:val="22"/>
                <w:lang w:eastAsia="en-GB"/>
              </w:rPr>
            </w:pPr>
            <w:r w:rsidRPr="00B24ED6">
              <w:rPr>
                <w:rFonts w:ascii="Calibri" w:hAnsi="Calibri"/>
                <w:b/>
                <w:color w:val="000000"/>
                <w:sz w:val="22"/>
                <w:szCs w:val="22"/>
                <w:lang w:eastAsia="en-GB"/>
              </w:rPr>
              <w:t>75th Percentile</w:t>
            </w:r>
          </w:p>
        </w:tc>
        <w:tc>
          <w:tcPr>
            <w:tcW w:w="2032"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70.45%</w:t>
            </w:r>
          </w:p>
        </w:tc>
        <w:tc>
          <w:tcPr>
            <w:tcW w:w="2129" w:type="dxa"/>
            <w:tcBorders>
              <w:top w:val="nil"/>
              <w:left w:val="nil"/>
              <w:bottom w:val="single" w:sz="4" w:space="0" w:color="auto"/>
              <w:right w:val="single" w:sz="4" w:space="0" w:color="auto"/>
            </w:tcBorders>
            <w:shd w:val="clear" w:color="auto" w:fill="auto"/>
            <w:noWrap/>
            <w:vAlign w:val="bottom"/>
            <w:hideMark/>
          </w:tcPr>
          <w:p w:rsidR="009C2695" w:rsidRPr="00B24ED6" w:rsidRDefault="009C2695" w:rsidP="009C2695">
            <w:pPr>
              <w:spacing w:line="240" w:lineRule="auto"/>
              <w:jc w:val="center"/>
              <w:rPr>
                <w:rFonts w:ascii="Calibri" w:hAnsi="Calibri"/>
                <w:color w:val="000000"/>
                <w:sz w:val="22"/>
                <w:szCs w:val="22"/>
                <w:lang w:eastAsia="en-GB"/>
              </w:rPr>
            </w:pPr>
            <w:r w:rsidRPr="00B24ED6">
              <w:rPr>
                <w:rFonts w:ascii="Calibri" w:hAnsi="Calibri"/>
                <w:color w:val="000000"/>
                <w:sz w:val="22"/>
                <w:szCs w:val="22"/>
                <w:lang w:eastAsia="en-GB"/>
              </w:rPr>
              <w:t>6.76%</w:t>
            </w:r>
          </w:p>
        </w:tc>
      </w:tr>
    </w:tbl>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r>
        <w:rPr>
          <w:b w:val="0"/>
          <w:bCs/>
          <w:sz w:val="24"/>
          <w:szCs w:val="24"/>
        </w:rPr>
        <w:t>The data available does not show a substantial difference between the levels of distributions to unsecured creditors, as a proportion of overall debts, made in either pre-pack or trading administrations.</w:t>
      </w:r>
    </w:p>
    <w:p w:rsidR="009C2695" w:rsidRDefault="009C2695"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It has not be</w:t>
      </w:r>
      <w:r w:rsidR="009C2695">
        <w:rPr>
          <w:b w:val="0"/>
          <w:bCs/>
          <w:sz w:val="24"/>
          <w:szCs w:val="24"/>
        </w:rPr>
        <w:t>en</w:t>
      </w:r>
      <w:r>
        <w:rPr>
          <w:b w:val="0"/>
          <w:bCs/>
          <w:sz w:val="24"/>
          <w:szCs w:val="24"/>
        </w:rPr>
        <w:t xml:space="preserve"> possible to analyse distributions to HMRC based on the data available.</w:t>
      </w: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p>
    <w:p w:rsidR="00C12A83" w:rsidRPr="005B0CA4" w:rsidRDefault="005869A7" w:rsidP="00C12A83">
      <w:pPr>
        <w:pStyle w:val="TableHeading"/>
        <w:spacing w:line="240" w:lineRule="auto"/>
        <w:rPr>
          <w:bCs/>
          <w:sz w:val="24"/>
          <w:szCs w:val="24"/>
        </w:rPr>
      </w:pPr>
      <w:r>
        <w:rPr>
          <w:bCs/>
          <w:sz w:val="24"/>
          <w:szCs w:val="24"/>
        </w:rPr>
        <w:lastRenderedPageBreak/>
        <w:t>B</w:t>
      </w:r>
      <w:r w:rsidR="00C12A83">
        <w:rPr>
          <w:bCs/>
          <w:sz w:val="24"/>
          <w:szCs w:val="24"/>
        </w:rPr>
        <w:t>3</w:t>
      </w:r>
      <w:r w:rsidR="00C12A83" w:rsidRPr="005B0CA4">
        <w:rPr>
          <w:bCs/>
          <w:sz w:val="24"/>
          <w:szCs w:val="24"/>
        </w:rPr>
        <w:t xml:space="preserve"> </w:t>
      </w:r>
      <w:r w:rsidR="00C12A83">
        <w:rPr>
          <w:bCs/>
          <w:sz w:val="24"/>
          <w:szCs w:val="24"/>
        </w:rPr>
        <w:t>Subsequent failure of the purchaser</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In this section, we investigate the incidences of subsequent insolvency of the purchaser in a trading administration going concern sale within three years of the sale completing, considering the various factors which may influence this subsequent failure.</w:t>
      </w:r>
    </w:p>
    <w:p w:rsidR="00C12A83" w:rsidRDefault="00C12A83" w:rsidP="00C12A83">
      <w:pPr>
        <w:pStyle w:val="TableHeading"/>
        <w:spacing w:line="240" w:lineRule="auto"/>
        <w:rPr>
          <w:b w:val="0"/>
          <w:bCs/>
          <w:sz w:val="24"/>
          <w:szCs w:val="24"/>
        </w:rPr>
      </w:pPr>
    </w:p>
    <w:p w:rsidR="00C12A83" w:rsidRPr="00C543BE" w:rsidRDefault="005869A7" w:rsidP="005869A7">
      <w:pPr>
        <w:pStyle w:val="TableHeading"/>
        <w:spacing w:line="240" w:lineRule="auto"/>
        <w:ind w:left="720" w:hanging="720"/>
        <w:rPr>
          <w:bCs/>
          <w:sz w:val="24"/>
          <w:szCs w:val="24"/>
        </w:rPr>
      </w:pPr>
      <w:r>
        <w:rPr>
          <w:bCs/>
          <w:sz w:val="24"/>
          <w:szCs w:val="24"/>
        </w:rPr>
        <w:t>B</w:t>
      </w:r>
      <w:r w:rsidR="00C12A83" w:rsidRPr="00C543BE">
        <w:rPr>
          <w:bCs/>
          <w:sz w:val="24"/>
          <w:szCs w:val="24"/>
        </w:rPr>
        <w:t xml:space="preserve">3.1 </w:t>
      </w:r>
      <w:r>
        <w:rPr>
          <w:bCs/>
          <w:sz w:val="24"/>
          <w:szCs w:val="24"/>
        </w:rPr>
        <w:tab/>
      </w:r>
      <w:r w:rsidR="00C12A83" w:rsidRPr="00C543BE">
        <w:rPr>
          <w:bCs/>
          <w:sz w:val="24"/>
          <w:szCs w:val="24"/>
        </w:rPr>
        <w:t xml:space="preserve">Rates of failure of purchasers in a </w:t>
      </w:r>
      <w:r w:rsidR="00C12A83" w:rsidRPr="003B2568">
        <w:rPr>
          <w:bCs/>
          <w:sz w:val="24"/>
          <w:szCs w:val="24"/>
        </w:rPr>
        <w:t>trading administration going concern sale</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The same approach was adopted as for the pre-pack study in Part A above to establish subsequent failure of the purchasers.</w:t>
      </w:r>
    </w:p>
    <w:p w:rsidR="00C12A83" w:rsidRDefault="00C12A83" w:rsidP="00C12A83">
      <w:pPr>
        <w:pStyle w:val="TableHeading"/>
        <w:spacing w:line="240" w:lineRule="auto"/>
        <w:rPr>
          <w:b w:val="0"/>
          <w:bCs/>
          <w:sz w:val="24"/>
          <w:szCs w:val="24"/>
        </w:rPr>
      </w:pPr>
    </w:p>
    <w:p w:rsidR="00C12A83" w:rsidRPr="00434DBE" w:rsidRDefault="00C12A83" w:rsidP="00C12A83">
      <w:pPr>
        <w:pStyle w:val="TableHeading"/>
        <w:spacing w:line="240" w:lineRule="auto"/>
        <w:rPr>
          <w:b w:val="0"/>
          <w:bCs/>
          <w:i/>
          <w:sz w:val="24"/>
          <w:szCs w:val="24"/>
        </w:rPr>
      </w:pPr>
      <w:r w:rsidRPr="0053001E">
        <w:rPr>
          <w:b w:val="0"/>
          <w:bCs/>
          <w:sz w:val="24"/>
          <w:szCs w:val="24"/>
        </w:rPr>
        <w:t>Failure data was available for 97 of the 110 recorded transactions. It was generally not possible to ascertain subsequent failure where the purchaser was either an individual or an overseas company</w:t>
      </w:r>
      <w:r w:rsidRPr="00434DBE">
        <w:rPr>
          <w:b w:val="0"/>
          <w:bCs/>
          <w:i/>
          <w:sz w:val="24"/>
          <w:szCs w:val="24"/>
        </w:rPr>
        <w:t>.</w:t>
      </w:r>
    </w:p>
    <w:p w:rsidR="00C12A83" w:rsidRPr="00434DBE" w:rsidRDefault="00C12A83" w:rsidP="00C12A83">
      <w:pPr>
        <w:pStyle w:val="TableHeading"/>
        <w:spacing w:line="240" w:lineRule="auto"/>
        <w:rPr>
          <w:b w:val="0"/>
          <w:bCs/>
          <w:i/>
          <w:sz w:val="24"/>
          <w:szCs w:val="24"/>
        </w:rPr>
      </w:pPr>
    </w:p>
    <w:p w:rsidR="00C12A83" w:rsidRPr="0071382B" w:rsidRDefault="00C12A83" w:rsidP="00C12A83">
      <w:pPr>
        <w:pStyle w:val="TableHeading"/>
        <w:spacing w:line="240" w:lineRule="auto"/>
        <w:rPr>
          <w:b w:val="0"/>
          <w:bCs/>
          <w:sz w:val="24"/>
          <w:szCs w:val="24"/>
        </w:rPr>
      </w:pPr>
      <w:r w:rsidRPr="0071382B">
        <w:rPr>
          <w:b w:val="0"/>
          <w:bCs/>
          <w:sz w:val="24"/>
          <w:szCs w:val="24"/>
        </w:rPr>
        <w:t xml:space="preserve">It can be observed that just over 5% of all </w:t>
      </w:r>
      <w:r w:rsidR="00365239">
        <w:rPr>
          <w:b w:val="0"/>
          <w:bCs/>
          <w:sz w:val="24"/>
          <w:szCs w:val="24"/>
        </w:rPr>
        <w:t>trading administration going concern sales</w:t>
      </w:r>
      <w:r w:rsidRPr="0071382B">
        <w:rPr>
          <w:b w:val="0"/>
          <w:bCs/>
          <w:sz w:val="24"/>
          <w:szCs w:val="24"/>
        </w:rPr>
        <w:t xml:space="preserve"> for which data can be ascertained failed within 12 months of the sale completing. There is a steady increase in each six month period thereafter to 30 months, and by 36 months 19 purchasers, or 19.6% of all sales, have failed.</w:t>
      </w:r>
      <w:r>
        <w:rPr>
          <w:b w:val="0"/>
          <w:bCs/>
          <w:sz w:val="24"/>
          <w:szCs w:val="24"/>
        </w:rPr>
        <w:t xml:space="preserve"> The initial failure statistics closely resemble those for pre-packs, however</w:t>
      </w:r>
      <w:r w:rsidR="00365239">
        <w:rPr>
          <w:b w:val="0"/>
          <w:bCs/>
          <w:sz w:val="24"/>
          <w:szCs w:val="24"/>
        </w:rPr>
        <w:t>,</w:t>
      </w:r>
      <w:r>
        <w:rPr>
          <w:b w:val="0"/>
          <w:bCs/>
          <w:sz w:val="24"/>
          <w:szCs w:val="24"/>
        </w:rPr>
        <w:t xml:space="preserve"> it can be seen that after 12 months the failure rate increases at a slower </w:t>
      </w:r>
      <w:r w:rsidR="00365239">
        <w:rPr>
          <w:b w:val="0"/>
          <w:bCs/>
          <w:sz w:val="24"/>
          <w:szCs w:val="24"/>
        </w:rPr>
        <w:t xml:space="preserve">pace </w:t>
      </w:r>
      <w:r>
        <w:rPr>
          <w:b w:val="0"/>
          <w:bCs/>
          <w:sz w:val="24"/>
          <w:szCs w:val="24"/>
        </w:rPr>
        <w:t xml:space="preserve">and appears to tail off after 30 months, with only </w:t>
      </w:r>
      <w:r w:rsidR="00365239">
        <w:rPr>
          <w:b w:val="0"/>
          <w:bCs/>
          <w:sz w:val="24"/>
          <w:szCs w:val="24"/>
        </w:rPr>
        <w:t>one</w:t>
      </w:r>
      <w:r>
        <w:rPr>
          <w:b w:val="0"/>
          <w:bCs/>
          <w:sz w:val="24"/>
          <w:szCs w:val="24"/>
        </w:rPr>
        <w:t xml:space="preserve"> further failure in the period 30-36 months.</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652FCC98" wp14:editId="75C8BFD4">
            <wp:extent cx="2872596" cy="3200400"/>
            <wp:effectExtent l="0" t="0" r="23495"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b w:val="0"/>
          <w:bCs/>
          <w:noProof/>
          <w:sz w:val="24"/>
          <w:szCs w:val="24"/>
          <w:lang w:eastAsia="en-GB"/>
        </w:rPr>
        <w:drawing>
          <wp:inline distT="0" distB="0" distL="0" distR="0" wp14:anchorId="31741556" wp14:editId="4D635EAE">
            <wp:extent cx="2786332" cy="3200400"/>
            <wp:effectExtent l="0" t="0" r="14605" b="1905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12A83" w:rsidRDefault="00C12A83" w:rsidP="00C12A83">
      <w:pPr>
        <w:pStyle w:val="TableHeading"/>
        <w:spacing w:line="240" w:lineRule="auto"/>
        <w:rPr>
          <w:b w:val="0"/>
          <w:bCs/>
          <w:sz w:val="24"/>
          <w:szCs w:val="24"/>
        </w:rPr>
      </w:pPr>
    </w:p>
    <w:p w:rsidR="00C12A83" w:rsidRPr="003B2568" w:rsidRDefault="00C12A83" w:rsidP="00C12A83">
      <w:pPr>
        <w:pStyle w:val="TableHeading"/>
        <w:spacing w:line="240" w:lineRule="auto"/>
        <w:rPr>
          <w:b w:val="0"/>
          <w:bCs/>
          <w:sz w:val="24"/>
          <w:szCs w:val="24"/>
        </w:rPr>
      </w:pPr>
      <w:r w:rsidRPr="003B2568">
        <w:rPr>
          <w:b w:val="0"/>
          <w:bCs/>
          <w:sz w:val="24"/>
          <w:szCs w:val="24"/>
        </w:rPr>
        <w:t>Of the 19 purchasers that failed within 36 months of the going concern sale, it can be seen that less than a sixth of these entered into rescue procedures (all</w:t>
      </w:r>
      <w:r>
        <w:rPr>
          <w:b w:val="0"/>
          <w:bCs/>
          <w:sz w:val="24"/>
          <w:szCs w:val="24"/>
        </w:rPr>
        <w:t xml:space="preserve"> </w:t>
      </w:r>
      <w:r>
        <w:rPr>
          <w:b w:val="0"/>
          <w:bCs/>
          <w:sz w:val="24"/>
          <w:szCs w:val="24"/>
        </w:rPr>
        <w:lastRenderedPageBreak/>
        <w:t>administration),</w:t>
      </w:r>
      <w:r w:rsidRPr="003B2568">
        <w:rPr>
          <w:b w:val="0"/>
          <w:bCs/>
          <w:sz w:val="24"/>
          <w:szCs w:val="24"/>
        </w:rPr>
        <w:t xml:space="preserve"> with the remainder facing terminal processes. This compares less favourably to the incidence of subsequent rescue</w:t>
      </w:r>
      <w:r w:rsidR="00365239">
        <w:rPr>
          <w:b w:val="0"/>
          <w:bCs/>
          <w:sz w:val="24"/>
          <w:szCs w:val="24"/>
        </w:rPr>
        <w:t xml:space="preserve"> procedures</w:t>
      </w:r>
      <w:r w:rsidRPr="003B2568">
        <w:rPr>
          <w:b w:val="0"/>
          <w:bCs/>
          <w:sz w:val="24"/>
          <w:szCs w:val="24"/>
        </w:rPr>
        <w:t xml:space="preserve"> in pre-packs (around a third of companies entered a subsequent rescue process).</w:t>
      </w:r>
      <w:r w:rsidR="00365239">
        <w:rPr>
          <w:b w:val="0"/>
          <w:bCs/>
          <w:sz w:val="24"/>
          <w:szCs w:val="24"/>
        </w:rPr>
        <w:t xml:space="preserve"> It must be noted that the purchaser in a trading administration appears less likely to enter into an insolvency process, with a greater prevalence of both rescue and terminal procedures for purchasers in pre-pack administrations.</w: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8341C43" wp14:editId="022D3B7E">
            <wp:extent cx="5486400" cy="3200400"/>
            <wp:effectExtent l="0" t="0" r="19050" b="1905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12A83" w:rsidRDefault="00C12A83" w:rsidP="00C12A83">
      <w:pPr>
        <w:pStyle w:val="TableHeading"/>
        <w:spacing w:line="240" w:lineRule="auto"/>
        <w:rPr>
          <w:b w:val="0"/>
          <w:bCs/>
          <w:sz w:val="24"/>
          <w:szCs w:val="24"/>
        </w:rPr>
      </w:pPr>
    </w:p>
    <w:p w:rsidR="00C12A83" w:rsidRPr="003B2568" w:rsidRDefault="00C12A83" w:rsidP="00C12A83">
      <w:pPr>
        <w:pStyle w:val="TableHeading"/>
        <w:spacing w:line="240" w:lineRule="auto"/>
        <w:rPr>
          <w:b w:val="0"/>
          <w:bCs/>
          <w:sz w:val="24"/>
          <w:szCs w:val="24"/>
        </w:rPr>
      </w:pPr>
      <w:r w:rsidRPr="003B2568">
        <w:rPr>
          <w:b w:val="0"/>
          <w:bCs/>
          <w:sz w:val="24"/>
          <w:szCs w:val="24"/>
        </w:rPr>
        <w:t>As at 1 February 2014, only one further purchaser had failed, leaving a total of 20 failures.</w:t>
      </w:r>
    </w:p>
    <w:p w:rsidR="00C12A83" w:rsidRPr="00434DBE" w:rsidRDefault="00C12A83" w:rsidP="00C12A83">
      <w:pPr>
        <w:pStyle w:val="TableHeading"/>
        <w:spacing w:line="240" w:lineRule="auto"/>
        <w:rPr>
          <w:b w:val="0"/>
          <w:bCs/>
          <w:i/>
          <w:sz w:val="24"/>
          <w:szCs w:val="24"/>
        </w:rPr>
      </w:pPr>
    </w:p>
    <w:p w:rsidR="00C12A83" w:rsidRPr="003B2568" w:rsidRDefault="00C12A83" w:rsidP="00C12A83">
      <w:pPr>
        <w:pStyle w:val="TableHeading"/>
        <w:spacing w:line="240" w:lineRule="auto"/>
        <w:rPr>
          <w:b w:val="0"/>
          <w:bCs/>
          <w:sz w:val="24"/>
          <w:szCs w:val="24"/>
        </w:rPr>
      </w:pPr>
      <w:r w:rsidRPr="003B2568">
        <w:rPr>
          <w:b w:val="0"/>
          <w:bCs/>
          <w:sz w:val="24"/>
          <w:szCs w:val="24"/>
        </w:rPr>
        <w:t xml:space="preserve">Again, as was the case for the pre-pack data, it is important to note that the recorded data tracks the purchaser from each company that entered administration. Where a group of companies entered administration and the business of the group was sold to a single purchaser (or indeed to fewer purchasers than original group companies), these purchasers would have been recorded multiple times. This approach was taken to be consistent with the pre-pack data, for which the purpose of the study was to track the survival of the business comprised in each of the companies utilising the pre-pack process. In total, there were approximately 90 purchasers, with some buying the business from multiple companies. Failure data is available for 83 of these companies, with 16 unique purchasers failing at 36 months, a failure rate of 19.3%. This figure is marginally lower than that reported for all purchaser data set out above. This contrasts with the data presented for pre-packs, where the failure percentage increased when the data was </w:t>
      </w:r>
      <w:r>
        <w:rPr>
          <w:b w:val="0"/>
          <w:bCs/>
          <w:sz w:val="24"/>
          <w:szCs w:val="24"/>
        </w:rPr>
        <w:t>pared</w:t>
      </w:r>
      <w:r w:rsidRPr="003B2568">
        <w:rPr>
          <w:b w:val="0"/>
          <w:bCs/>
          <w:sz w:val="24"/>
          <w:szCs w:val="24"/>
        </w:rPr>
        <w:t xml:space="preserve"> down to unique purchasers, suggesting that a group sale has little impact on subsequent failure for going concern sales in a trading administration.</w:t>
      </w:r>
    </w:p>
    <w:p w:rsidR="00C12A83" w:rsidRDefault="00C12A83" w:rsidP="00C12A83">
      <w:pPr>
        <w:pStyle w:val="TableHeading"/>
        <w:spacing w:line="240" w:lineRule="auto"/>
        <w:rPr>
          <w:b w:val="0"/>
          <w:bCs/>
          <w:i/>
          <w:sz w:val="24"/>
          <w:szCs w:val="24"/>
        </w:rPr>
      </w:pPr>
    </w:p>
    <w:p w:rsidR="009C2695" w:rsidRDefault="009C2695" w:rsidP="00C12A83">
      <w:pPr>
        <w:pStyle w:val="TableHeading"/>
        <w:spacing w:line="240" w:lineRule="auto"/>
        <w:rPr>
          <w:b w:val="0"/>
          <w:bCs/>
          <w:i/>
          <w:sz w:val="24"/>
          <w:szCs w:val="24"/>
        </w:rPr>
      </w:pPr>
    </w:p>
    <w:p w:rsidR="009C2695" w:rsidRPr="00434DBE" w:rsidRDefault="009C2695" w:rsidP="00C12A83">
      <w:pPr>
        <w:pStyle w:val="TableHeading"/>
        <w:spacing w:line="240" w:lineRule="auto"/>
        <w:rPr>
          <w:b w:val="0"/>
          <w:bCs/>
          <w:i/>
          <w:sz w:val="24"/>
          <w:szCs w:val="24"/>
        </w:rPr>
      </w:pPr>
    </w:p>
    <w:p w:rsidR="00C12A83" w:rsidRPr="003B2568" w:rsidRDefault="005869A7" w:rsidP="005869A7">
      <w:pPr>
        <w:pStyle w:val="TableHeading"/>
        <w:spacing w:line="240" w:lineRule="auto"/>
        <w:ind w:left="720" w:hanging="720"/>
        <w:rPr>
          <w:b w:val="0"/>
          <w:bCs/>
          <w:sz w:val="24"/>
          <w:szCs w:val="24"/>
        </w:rPr>
      </w:pPr>
      <w:r>
        <w:rPr>
          <w:bCs/>
          <w:sz w:val="24"/>
          <w:szCs w:val="24"/>
        </w:rPr>
        <w:lastRenderedPageBreak/>
        <w:t>B</w:t>
      </w:r>
      <w:r w:rsidR="00C12A83" w:rsidRPr="003B2568">
        <w:rPr>
          <w:bCs/>
          <w:sz w:val="24"/>
          <w:szCs w:val="24"/>
        </w:rPr>
        <w:t xml:space="preserve">3.2 </w:t>
      </w:r>
      <w:r>
        <w:rPr>
          <w:bCs/>
          <w:sz w:val="24"/>
          <w:szCs w:val="24"/>
        </w:rPr>
        <w:tab/>
      </w:r>
      <w:r w:rsidR="00C12A83" w:rsidRPr="003B2568">
        <w:rPr>
          <w:bCs/>
          <w:sz w:val="24"/>
          <w:szCs w:val="24"/>
        </w:rPr>
        <w:t>Factors influencing failure of purchasers in a trading administration going concern sale</w:t>
      </w:r>
    </w:p>
    <w:p w:rsidR="00C12A83" w:rsidRPr="00434DBE" w:rsidRDefault="00C12A83" w:rsidP="00C12A83">
      <w:pPr>
        <w:pStyle w:val="TableHeading"/>
        <w:spacing w:line="240" w:lineRule="auto"/>
        <w:rPr>
          <w:b w:val="0"/>
          <w:bCs/>
          <w:i/>
          <w:sz w:val="24"/>
          <w:szCs w:val="24"/>
        </w:rPr>
      </w:pPr>
    </w:p>
    <w:p w:rsidR="00C12A83" w:rsidRPr="003B2568" w:rsidRDefault="00C12A83" w:rsidP="00C12A83">
      <w:pPr>
        <w:pStyle w:val="TableHeading"/>
        <w:spacing w:line="240" w:lineRule="auto"/>
        <w:rPr>
          <w:b w:val="0"/>
          <w:bCs/>
          <w:sz w:val="24"/>
          <w:szCs w:val="24"/>
        </w:rPr>
      </w:pPr>
      <w:r w:rsidRPr="003B2568">
        <w:rPr>
          <w:b w:val="0"/>
          <w:bCs/>
          <w:sz w:val="24"/>
          <w:szCs w:val="24"/>
        </w:rPr>
        <w:t>Having established the general statistics for the failure of the purchaser, we will now consider the possible impact of various factors relating to both the sale and the nature of oldco’s business. All of the data below is based on failure at 36 months, unless stated otherwise.</w:t>
      </w:r>
    </w:p>
    <w:p w:rsidR="00C12A83" w:rsidRDefault="00C12A83" w:rsidP="00C12A83">
      <w:pPr>
        <w:pStyle w:val="TableHeading"/>
        <w:spacing w:line="240" w:lineRule="auto"/>
        <w:rPr>
          <w:bCs/>
          <w:sz w:val="24"/>
          <w:szCs w:val="24"/>
        </w:rPr>
      </w:pPr>
    </w:p>
    <w:p w:rsidR="00C12A83" w:rsidRPr="003B2568" w:rsidRDefault="005869A7" w:rsidP="00C12A83">
      <w:pPr>
        <w:pStyle w:val="TableHeading"/>
        <w:spacing w:line="240" w:lineRule="auto"/>
        <w:rPr>
          <w:bCs/>
          <w:sz w:val="24"/>
          <w:szCs w:val="24"/>
        </w:rPr>
      </w:pPr>
      <w:r>
        <w:rPr>
          <w:bCs/>
          <w:sz w:val="24"/>
          <w:szCs w:val="24"/>
        </w:rPr>
        <w:t>B</w:t>
      </w:r>
      <w:r w:rsidR="00C12A83">
        <w:rPr>
          <w:bCs/>
          <w:sz w:val="24"/>
          <w:szCs w:val="24"/>
        </w:rPr>
        <w:t>3.2.1 Impact of sale to a connected party</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603972">
        <w:rPr>
          <w:b w:val="0"/>
          <w:bCs/>
          <w:sz w:val="24"/>
          <w:szCs w:val="24"/>
        </w:rPr>
        <w:t xml:space="preserve">It </w:t>
      </w:r>
      <w:r>
        <w:rPr>
          <w:b w:val="0"/>
          <w:bCs/>
          <w:sz w:val="24"/>
          <w:szCs w:val="24"/>
        </w:rPr>
        <w:t>is observed that more purchasers failed at 36 months where the sale was to a connected party than if it was not (11:8), and over half of connected sales resulted in failure of the purchaser</w:t>
      </w:r>
      <w:r w:rsidR="00552702">
        <w:rPr>
          <w:b w:val="0"/>
          <w:bCs/>
          <w:sz w:val="24"/>
          <w:szCs w:val="24"/>
        </w:rPr>
        <w:t xml:space="preserve"> (11/18)</w:t>
      </w:r>
      <w:r>
        <w:rPr>
          <w:b w:val="0"/>
          <w:bCs/>
          <w:sz w:val="24"/>
          <w:szCs w:val="24"/>
        </w:rPr>
        <w:t>. However, generally connected sales were far less prevalent in trading administration sales than pre-packs.</w:t>
      </w:r>
    </w:p>
    <w:p w:rsidR="00552702" w:rsidRPr="00603972" w:rsidRDefault="00851563" w:rsidP="00C12A83">
      <w:pPr>
        <w:pStyle w:val="TableHeading"/>
        <w:spacing w:line="240" w:lineRule="auto"/>
        <w:rPr>
          <w:b w:val="0"/>
          <w:bCs/>
          <w:sz w:val="24"/>
          <w:szCs w:val="24"/>
        </w:rPr>
      </w:pPr>
      <w:r w:rsidRPr="00552702">
        <w:rPr>
          <w:b w:val="0"/>
          <w:bCs/>
          <w:noProof/>
          <w:sz w:val="24"/>
          <w:szCs w:val="24"/>
          <w:lang w:eastAsia="en-GB"/>
        </w:rPr>
        <mc:AlternateContent>
          <mc:Choice Requires="wps">
            <w:drawing>
              <wp:anchor distT="0" distB="0" distL="114300" distR="114300" simplePos="0" relativeHeight="251683840" behindDoc="0" locked="0" layoutInCell="1" allowOverlap="1" wp14:anchorId="1C4FFBB6" wp14:editId="43782BAB">
                <wp:simplePos x="0" y="0"/>
                <wp:positionH relativeFrom="column">
                  <wp:posOffset>1379855</wp:posOffset>
                </wp:positionH>
                <wp:positionV relativeFrom="paragraph">
                  <wp:posOffset>95250</wp:posOffset>
                </wp:positionV>
                <wp:extent cx="2867025" cy="304800"/>
                <wp:effectExtent l="0" t="0" r="28575"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04800"/>
                        </a:xfrm>
                        <a:prstGeom prst="rect">
                          <a:avLst/>
                        </a:prstGeom>
                        <a:solidFill>
                          <a:srgbClr val="FFFFFF"/>
                        </a:solidFill>
                        <a:ln w="9525">
                          <a:solidFill>
                            <a:srgbClr val="000000"/>
                          </a:solidFill>
                          <a:miter lim="800000"/>
                          <a:headEnd/>
                          <a:tailEnd/>
                        </a:ln>
                      </wps:spPr>
                      <wps:txbx>
                        <w:txbxContent>
                          <w:p w:rsidR="00265B0B" w:rsidRPr="00552702" w:rsidRDefault="00265B0B" w:rsidP="00552702">
                            <w:pPr>
                              <w:jc w:val="center"/>
                              <w:rPr>
                                <w:b/>
                                <w:sz w:val="28"/>
                              </w:rPr>
                            </w:pPr>
                            <w:r w:rsidRPr="00552702">
                              <w:rPr>
                                <w:b/>
                                <w:sz w:val="28"/>
                              </w:rPr>
                              <w:t xml:space="preserve">Failure Rate: Connected </w:t>
                            </w:r>
                            <w:r>
                              <w:rPr>
                                <w:b/>
                                <w:sz w:val="28"/>
                              </w:rPr>
                              <w:t>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8.65pt;margin-top:7.5pt;width:225.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">
                <v:textbox>
                  <w:txbxContent>
                    <w:p w:rsidR="00265B0B" w:rsidRPr="00552702" w:rsidRDefault="00265B0B" w:rsidP="00552702">
                      <w:pPr>
                        <w:jc w:val="center"/>
                        <w:rPr>
                          <w:b/>
                          <w:sz w:val="28"/>
                        </w:rPr>
                      </w:pPr>
                      <w:r w:rsidRPr="00552702">
                        <w:rPr>
                          <w:b/>
                          <w:sz w:val="28"/>
                        </w:rPr>
                        <w:t xml:space="preserve">Failure Rate: Connected </w:t>
                      </w:r>
                      <w:r>
                        <w:rPr>
                          <w:b/>
                          <w:sz w:val="28"/>
                        </w:rPr>
                        <w:t>Sales</w:t>
                      </w:r>
                    </w:p>
                  </w:txbxContent>
                </v:textbox>
              </v:shape>
            </w:pict>
          </mc:Fallback>
        </mc:AlternateContent>
      </w:r>
    </w:p>
    <w:p w:rsidR="00C12A83" w:rsidRDefault="00C12A83" w:rsidP="00C12A83">
      <w:pPr>
        <w:pStyle w:val="TableHeading"/>
        <w:spacing w:line="240" w:lineRule="auto"/>
        <w:rPr>
          <w:b w:val="0"/>
          <w:bCs/>
          <w:sz w:val="24"/>
          <w:szCs w:val="24"/>
        </w:rPr>
      </w:pPr>
    </w:p>
    <w:p w:rsidR="00C12A83" w:rsidRPr="007B1E85"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74301297" wp14:editId="73461207">
            <wp:extent cx="5486400" cy="2352675"/>
            <wp:effectExtent l="0" t="0" r="19050" b="952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12A83" w:rsidRDefault="00C12A83" w:rsidP="00C12A83">
      <w:pPr>
        <w:pStyle w:val="TableHeading"/>
        <w:spacing w:line="240" w:lineRule="auto"/>
        <w:rPr>
          <w:bCs/>
          <w:sz w:val="24"/>
          <w:szCs w:val="24"/>
        </w:rPr>
      </w:pPr>
    </w:p>
    <w:p w:rsidR="00C12A83" w:rsidRPr="00416765" w:rsidRDefault="005869A7" w:rsidP="00C12A83">
      <w:pPr>
        <w:pStyle w:val="TableHeading"/>
        <w:spacing w:line="240" w:lineRule="auto"/>
        <w:rPr>
          <w:bCs/>
          <w:sz w:val="24"/>
          <w:szCs w:val="24"/>
        </w:rPr>
      </w:pPr>
      <w:r>
        <w:rPr>
          <w:bCs/>
          <w:sz w:val="24"/>
          <w:szCs w:val="24"/>
        </w:rPr>
        <w:t>B</w:t>
      </w:r>
      <w:r w:rsidR="00C12A83">
        <w:rPr>
          <w:bCs/>
          <w:sz w:val="24"/>
          <w:szCs w:val="24"/>
        </w:rPr>
        <w:t>3.2.2</w:t>
      </w:r>
      <w:r w:rsidR="00C12A83" w:rsidRPr="00416765">
        <w:rPr>
          <w:bCs/>
          <w:sz w:val="24"/>
          <w:szCs w:val="24"/>
        </w:rPr>
        <w:t xml:space="preserve"> Impact of deferred consideration</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Deferred consideration was also utilised less often in trading administration sales and does not appear to be a significant factor in subsequent failure of the purchaser (unlike for pre-pack sales where deferred consideration was present in almost 85% of transactions</w:t>
      </w:r>
      <w:r w:rsidR="00851563">
        <w:rPr>
          <w:b w:val="0"/>
          <w:bCs/>
          <w:sz w:val="24"/>
          <w:szCs w:val="24"/>
        </w:rPr>
        <w:t xml:space="preserve"> resulting in failure of the purchaser</w:t>
      </w:r>
      <w:r>
        <w:rPr>
          <w:b w:val="0"/>
          <w:bCs/>
          <w:sz w:val="24"/>
          <w:szCs w:val="24"/>
        </w:rPr>
        <w:t>). A higher proportion of purchasers do appear to fail where deferred consideration is present in a trading administration sale</w:t>
      </w:r>
      <w:r w:rsidR="00851563">
        <w:rPr>
          <w:b w:val="0"/>
          <w:bCs/>
          <w:sz w:val="24"/>
          <w:szCs w:val="24"/>
        </w:rPr>
        <w:t xml:space="preserve"> (9/24 compared to 10/73)</w:t>
      </w:r>
      <w:r>
        <w:rPr>
          <w:b w:val="0"/>
          <w:bCs/>
          <w:sz w:val="24"/>
          <w:szCs w:val="24"/>
        </w:rPr>
        <w:t>.</w:t>
      </w: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851563" w:rsidRDefault="00851563" w:rsidP="00C12A83">
      <w:pPr>
        <w:pStyle w:val="TableHeading"/>
        <w:spacing w:line="240" w:lineRule="auto"/>
        <w:rPr>
          <w:b w:val="0"/>
          <w:bCs/>
          <w:sz w:val="24"/>
          <w:szCs w:val="24"/>
        </w:rPr>
      </w:pPr>
      <w:r w:rsidRPr="00552702">
        <w:rPr>
          <w:b w:val="0"/>
          <w:bCs/>
          <w:noProof/>
          <w:sz w:val="24"/>
          <w:szCs w:val="24"/>
          <w:lang w:eastAsia="en-GB"/>
        </w:rPr>
        <w:lastRenderedPageBreak/>
        <mc:AlternateContent>
          <mc:Choice Requires="wps">
            <w:drawing>
              <wp:anchor distT="0" distB="0" distL="114300" distR="114300" simplePos="0" relativeHeight="251685888" behindDoc="0" locked="0" layoutInCell="1" allowOverlap="1" wp14:anchorId="622E9B64" wp14:editId="310C271E">
                <wp:simplePos x="0" y="0"/>
                <wp:positionH relativeFrom="column">
                  <wp:posOffset>1171575</wp:posOffset>
                </wp:positionH>
                <wp:positionV relativeFrom="paragraph">
                  <wp:posOffset>100965</wp:posOffset>
                </wp:positionV>
                <wp:extent cx="3343275" cy="304800"/>
                <wp:effectExtent l="0" t="0" r="28575" b="190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04800"/>
                        </a:xfrm>
                        <a:prstGeom prst="rect">
                          <a:avLst/>
                        </a:prstGeom>
                        <a:solidFill>
                          <a:srgbClr val="FFFFFF"/>
                        </a:solidFill>
                        <a:ln w="9525">
                          <a:solidFill>
                            <a:srgbClr val="000000"/>
                          </a:solidFill>
                          <a:miter lim="800000"/>
                          <a:headEnd/>
                          <a:tailEnd/>
                        </a:ln>
                      </wps:spPr>
                      <wps:txbx>
                        <w:txbxContent>
                          <w:p w:rsidR="00265B0B" w:rsidRPr="00552702" w:rsidRDefault="00265B0B" w:rsidP="00851563">
                            <w:pPr>
                              <w:jc w:val="center"/>
                              <w:rPr>
                                <w:b/>
                                <w:sz w:val="28"/>
                              </w:rPr>
                            </w:pPr>
                            <w:r w:rsidRPr="00552702">
                              <w:rPr>
                                <w:b/>
                                <w:sz w:val="28"/>
                              </w:rPr>
                              <w:t xml:space="preserve">Failure Rate: </w:t>
                            </w:r>
                            <w:r>
                              <w:rPr>
                                <w:b/>
                                <w:sz w:val="28"/>
                              </w:rPr>
                              <w:t>Deferred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2.25pt;margin-top:7.95pt;width:263.2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">
                <v:textbox>
                  <w:txbxContent>
                    <w:p w:rsidR="00265B0B" w:rsidRPr="00552702" w:rsidRDefault="00265B0B" w:rsidP="00851563">
                      <w:pPr>
                        <w:jc w:val="center"/>
                        <w:rPr>
                          <w:b/>
                          <w:sz w:val="28"/>
                        </w:rPr>
                      </w:pPr>
                      <w:r w:rsidRPr="00552702">
                        <w:rPr>
                          <w:b/>
                          <w:sz w:val="28"/>
                        </w:rPr>
                        <w:t xml:space="preserve">Failure Rate: </w:t>
                      </w:r>
                      <w:r>
                        <w:rPr>
                          <w:b/>
                          <w:sz w:val="28"/>
                        </w:rPr>
                        <w:t>Deferred Consideration</w:t>
                      </w:r>
                    </w:p>
                  </w:txbxContent>
                </v:textbox>
              </v:shape>
            </w:pict>
          </mc:Fallback>
        </mc:AlternateConten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3A4570EE" wp14:editId="150A3BCC">
            <wp:extent cx="5486400" cy="2524125"/>
            <wp:effectExtent l="0" t="0" r="19050" b="952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12A83" w:rsidRDefault="00C12A83" w:rsidP="00C12A83">
      <w:pPr>
        <w:pStyle w:val="TableHeading"/>
        <w:spacing w:line="240" w:lineRule="auto"/>
        <w:rPr>
          <w:b w:val="0"/>
          <w:bCs/>
          <w:sz w:val="24"/>
          <w:szCs w:val="24"/>
        </w:rPr>
      </w:pPr>
    </w:p>
    <w:p w:rsidR="00C12A83" w:rsidRDefault="005869A7" w:rsidP="005869A7">
      <w:pPr>
        <w:pStyle w:val="TableHeading"/>
        <w:spacing w:line="240" w:lineRule="auto"/>
        <w:ind w:left="833" w:hanging="833"/>
        <w:rPr>
          <w:b w:val="0"/>
          <w:bCs/>
          <w:sz w:val="24"/>
          <w:szCs w:val="24"/>
        </w:rPr>
      </w:pPr>
      <w:r>
        <w:rPr>
          <w:bCs/>
          <w:sz w:val="24"/>
          <w:szCs w:val="24"/>
        </w:rPr>
        <w:t>B</w:t>
      </w:r>
      <w:r w:rsidR="00C12A83" w:rsidRPr="009967C8">
        <w:rPr>
          <w:bCs/>
          <w:sz w:val="24"/>
          <w:szCs w:val="24"/>
        </w:rPr>
        <w:t xml:space="preserve">3.2.3 </w:t>
      </w:r>
      <w:r>
        <w:rPr>
          <w:bCs/>
          <w:sz w:val="24"/>
          <w:szCs w:val="24"/>
        </w:rPr>
        <w:tab/>
      </w:r>
      <w:r w:rsidR="00C12A83" w:rsidRPr="009967C8">
        <w:rPr>
          <w:bCs/>
          <w:sz w:val="24"/>
          <w:szCs w:val="24"/>
        </w:rPr>
        <w:t>Combined impact of</w:t>
      </w:r>
      <w:r w:rsidR="00C12A83">
        <w:rPr>
          <w:b w:val="0"/>
          <w:bCs/>
          <w:sz w:val="24"/>
          <w:szCs w:val="24"/>
        </w:rPr>
        <w:t xml:space="preserve"> </w:t>
      </w:r>
      <w:r w:rsidR="00C12A83">
        <w:rPr>
          <w:bCs/>
          <w:sz w:val="24"/>
          <w:szCs w:val="24"/>
        </w:rPr>
        <w:t>sale to a connected party and deferred consideration</w:t>
      </w:r>
    </w:p>
    <w:p w:rsidR="00C12A83" w:rsidRDefault="00C12A83" w:rsidP="00C12A83">
      <w:pPr>
        <w:pStyle w:val="TableHeading"/>
        <w:spacing w:line="240" w:lineRule="auto"/>
        <w:rPr>
          <w:b w:val="0"/>
          <w:bCs/>
          <w:sz w:val="24"/>
          <w:szCs w:val="24"/>
        </w:rPr>
      </w:pPr>
    </w:p>
    <w:p w:rsidR="00C12A83" w:rsidRPr="00692F8B" w:rsidRDefault="00C12A83" w:rsidP="00C12A83">
      <w:pPr>
        <w:pStyle w:val="TableHeading"/>
        <w:spacing w:line="240" w:lineRule="auto"/>
        <w:rPr>
          <w:b w:val="0"/>
          <w:bCs/>
          <w:sz w:val="24"/>
          <w:szCs w:val="24"/>
        </w:rPr>
      </w:pPr>
      <w:r w:rsidRPr="00692F8B">
        <w:rPr>
          <w:b w:val="0"/>
          <w:bCs/>
          <w:sz w:val="24"/>
          <w:szCs w:val="24"/>
        </w:rPr>
        <w:t>It has been seen that a higher proportion of sales involving either a connected party or deferred consideration appear to result in the purchaser failing than if not present. It is therefore not surprising that where both appear, the observed failure rate further increases. From the available data, it would</w:t>
      </w:r>
      <w:r w:rsidR="00851563">
        <w:rPr>
          <w:b w:val="0"/>
          <w:bCs/>
          <w:sz w:val="24"/>
          <w:szCs w:val="24"/>
        </w:rPr>
        <w:t>,</w:t>
      </w:r>
      <w:r w:rsidRPr="00692F8B">
        <w:rPr>
          <w:b w:val="0"/>
          <w:bCs/>
          <w:sz w:val="24"/>
          <w:szCs w:val="24"/>
        </w:rPr>
        <w:t xml:space="preserve"> however</w:t>
      </w:r>
      <w:r w:rsidR="00851563">
        <w:rPr>
          <w:b w:val="0"/>
          <w:bCs/>
          <w:sz w:val="24"/>
          <w:szCs w:val="24"/>
        </w:rPr>
        <w:t>,</w:t>
      </w:r>
      <w:r w:rsidRPr="00692F8B">
        <w:rPr>
          <w:b w:val="0"/>
          <w:bCs/>
          <w:sz w:val="24"/>
          <w:szCs w:val="24"/>
        </w:rPr>
        <w:t xml:space="preserve"> appear that sales to a connected party are more likely to lead to the purchaser failing than a sale with deferred consideration.</w:t>
      </w:r>
    </w:p>
    <w:p w:rsidR="00C12A83" w:rsidRDefault="00C12A83" w:rsidP="00C12A83">
      <w:pPr>
        <w:pStyle w:val="TableHeading"/>
        <w:spacing w:line="240" w:lineRule="auto"/>
        <w:rPr>
          <w:b w:val="0"/>
          <w:bCs/>
          <w:sz w:val="24"/>
          <w:szCs w:val="24"/>
        </w:rPr>
      </w:pPr>
    </w:p>
    <w:p w:rsidR="00C12A83" w:rsidRPr="00851563" w:rsidRDefault="00851563" w:rsidP="00C12A83">
      <w:pPr>
        <w:rPr>
          <w:rFonts w:cs="Arial"/>
          <w:i/>
          <w:lang w:eastAsia="en-GB"/>
        </w:rPr>
      </w:pPr>
      <w:r w:rsidRPr="00851563">
        <w:rPr>
          <w:rFonts w:cs="Arial"/>
          <w:i/>
          <w:lang w:eastAsia="en-GB"/>
        </w:rPr>
        <w:t>Incidence of connected sale and</w:t>
      </w:r>
      <w:r>
        <w:rPr>
          <w:rFonts w:cs="Arial"/>
          <w:i/>
          <w:lang w:eastAsia="en-GB"/>
        </w:rPr>
        <w:t>/or</w:t>
      </w:r>
      <w:r w:rsidRPr="00851563">
        <w:rPr>
          <w:rFonts w:cs="Arial"/>
          <w:i/>
          <w:lang w:eastAsia="en-GB"/>
        </w:rPr>
        <w:t xml:space="preserve"> deferred consideration in f</w:t>
      </w:r>
      <w:r w:rsidR="002C664E" w:rsidRPr="00851563">
        <w:rPr>
          <w:rFonts w:cs="Arial"/>
          <w:i/>
          <w:lang w:eastAsia="en-GB"/>
        </w:rPr>
        <w:t>ailure at 36 months:</w:t>
      </w:r>
    </w:p>
    <w:tbl>
      <w:tblPr>
        <w:tblW w:w="9606" w:type="dxa"/>
        <w:tblCellMar>
          <w:left w:w="0" w:type="dxa"/>
          <w:right w:w="0" w:type="dxa"/>
        </w:tblCellMar>
        <w:tblLook w:val="04A0" w:firstRow="1" w:lastRow="0" w:firstColumn="1" w:lastColumn="0" w:noHBand="0" w:noVBand="1"/>
      </w:tblPr>
      <w:tblGrid>
        <w:gridCol w:w="2235"/>
        <w:gridCol w:w="2693"/>
        <w:gridCol w:w="2835"/>
        <w:gridCol w:w="1843"/>
      </w:tblGrid>
      <w:tr w:rsidR="00C12A83" w:rsidRPr="000124CC"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r w:rsidRPr="000124CC">
              <w:rPr>
                <w:rFonts w:ascii="Calibri" w:hAnsi="Calibri"/>
                <w:b/>
                <w:lang w:eastAsia="en-GB"/>
              </w:rPr>
              <w:t>Deferred consideration</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124CC" w:rsidRDefault="00C12A83" w:rsidP="00820FE6">
            <w:pPr>
              <w:jc w:val="center"/>
              <w:rPr>
                <w:rFonts w:ascii="Calibri" w:hAnsi="Calibri"/>
                <w:b/>
                <w:lang w:eastAsia="en-GB"/>
              </w:rPr>
            </w:pPr>
            <w:r w:rsidRPr="000124CC">
              <w:rPr>
                <w:rFonts w:ascii="Calibri" w:hAnsi="Calibri"/>
                <w:b/>
                <w:lang w:eastAsia="en-GB"/>
              </w:rPr>
              <w:t>Not deferred consideration</w:t>
            </w:r>
          </w:p>
        </w:tc>
        <w:tc>
          <w:tcPr>
            <w:tcW w:w="1843" w:type="dxa"/>
            <w:tcBorders>
              <w:top w:val="single" w:sz="8" w:space="0" w:color="auto"/>
              <w:left w:val="nil"/>
              <w:bottom w:val="single" w:sz="8" w:space="0" w:color="auto"/>
              <w:right w:val="single" w:sz="8" w:space="0" w:color="auto"/>
            </w:tcBorders>
          </w:tcPr>
          <w:p w:rsidR="00C12A83" w:rsidRPr="000124CC" w:rsidRDefault="00C12A83" w:rsidP="00820FE6">
            <w:pPr>
              <w:jc w:val="center"/>
              <w:rPr>
                <w:rFonts w:ascii="Calibri" w:hAnsi="Calibri"/>
                <w:b/>
                <w:lang w:eastAsia="en-GB"/>
              </w:rPr>
            </w:pPr>
            <w:r w:rsidRPr="000124CC">
              <w:rPr>
                <w:rFonts w:ascii="Calibri" w:hAnsi="Calibri"/>
                <w:b/>
                <w:lang w:eastAsia="en-GB"/>
              </w:rPr>
              <w:t>Total</w:t>
            </w:r>
          </w:p>
        </w:tc>
      </w:tr>
      <w:tr w:rsidR="00C12A83" w:rsidRPr="000124CC"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0124CC" w:rsidRDefault="00C12A83" w:rsidP="00820FE6">
            <w:pPr>
              <w:rPr>
                <w:rFonts w:ascii="Calibri" w:hAnsi="Calibri"/>
                <w:b/>
                <w:lang w:eastAsia="en-GB"/>
              </w:rPr>
            </w:pPr>
            <w:r w:rsidRPr="000124CC">
              <w:rPr>
                <w:rFonts w:ascii="Calibri" w:hAnsi="Calibri"/>
                <w:b/>
                <w:lang w:eastAsia="en-GB"/>
              </w:rPr>
              <w:t>Connected sale</w:t>
            </w:r>
          </w:p>
        </w:tc>
        <w:tc>
          <w:tcPr>
            <w:tcW w:w="2693" w:type="dxa"/>
            <w:tcBorders>
              <w:top w:val="nil"/>
              <w:left w:val="nil"/>
              <w:bottom w:val="single" w:sz="4" w:space="0" w:color="auto"/>
              <w:right w:val="single" w:sz="8" w:space="0" w:color="auto"/>
            </w:tcBorders>
            <w:tcMar>
              <w:top w:w="0" w:type="dxa"/>
              <w:left w:w="108" w:type="dxa"/>
              <w:bottom w:w="0" w:type="dxa"/>
              <w:right w:w="108" w:type="dxa"/>
            </w:tcMar>
          </w:tcPr>
          <w:p w:rsidR="00C12A83" w:rsidRPr="000124CC" w:rsidRDefault="00C12A83" w:rsidP="00820FE6">
            <w:pPr>
              <w:tabs>
                <w:tab w:val="left" w:pos="900"/>
                <w:tab w:val="center" w:pos="1238"/>
              </w:tabs>
              <w:jc w:val="center"/>
              <w:rPr>
                <w:rFonts w:ascii="Calibri" w:hAnsi="Calibri"/>
                <w:lang w:eastAsia="en-GB"/>
              </w:rPr>
            </w:pPr>
            <w:r>
              <w:rPr>
                <w:rFonts w:ascii="Calibri" w:hAnsi="Calibri"/>
                <w:lang w:eastAsia="en-GB"/>
              </w:rPr>
              <w:t>62.5% (5/8)</w:t>
            </w:r>
          </w:p>
        </w:tc>
        <w:tc>
          <w:tcPr>
            <w:tcW w:w="2835" w:type="dxa"/>
            <w:tcBorders>
              <w:top w:val="nil"/>
              <w:left w:val="nil"/>
              <w:bottom w:val="single" w:sz="4" w:space="0" w:color="auto"/>
              <w:right w:val="single" w:sz="8"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60% (6/10)</w:t>
            </w:r>
          </w:p>
        </w:tc>
        <w:tc>
          <w:tcPr>
            <w:tcW w:w="1843" w:type="dxa"/>
            <w:tcBorders>
              <w:top w:val="nil"/>
              <w:left w:val="nil"/>
              <w:bottom w:val="single" w:sz="4" w:space="0" w:color="auto"/>
              <w:right w:val="single" w:sz="8" w:space="0" w:color="auto"/>
            </w:tcBorders>
          </w:tcPr>
          <w:p w:rsidR="00C12A83" w:rsidRPr="000124CC" w:rsidRDefault="00C12A83" w:rsidP="00820FE6">
            <w:pPr>
              <w:tabs>
                <w:tab w:val="left" w:pos="285"/>
                <w:tab w:val="center" w:pos="840"/>
              </w:tabs>
              <w:jc w:val="center"/>
              <w:rPr>
                <w:rFonts w:ascii="Calibri" w:hAnsi="Calibri"/>
                <w:lang w:eastAsia="en-GB"/>
              </w:rPr>
            </w:pPr>
            <w:r>
              <w:rPr>
                <w:rFonts w:ascii="Calibri" w:hAnsi="Calibri"/>
                <w:lang w:eastAsia="en-GB"/>
              </w:rPr>
              <w:t>61.1% (11/18)</w:t>
            </w:r>
          </w:p>
        </w:tc>
      </w:tr>
      <w:tr w:rsidR="00C12A83" w:rsidRPr="000124CC"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0124CC" w:rsidRDefault="00C12A83" w:rsidP="00820FE6">
            <w:pPr>
              <w:rPr>
                <w:rFonts w:ascii="Calibri" w:hAnsi="Calibri"/>
                <w:b/>
                <w:lang w:eastAsia="en-GB"/>
              </w:rPr>
            </w:pPr>
            <w:r w:rsidRPr="000124CC">
              <w:rPr>
                <w:rFonts w:ascii="Calibri" w:hAnsi="Calibri"/>
                <w:b/>
                <w:lang w:eastAsia="en-GB"/>
              </w:rPr>
              <w:t>Not connected sale</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25% (4/16)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tabs>
                <w:tab w:val="left" w:pos="765"/>
                <w:tab w:val="center" w:pos="1309"/>
              </w:tabs>
              <w:jc w:val="center"/>
              <w:rPr>
                <w:rFonts w:ascii="Calibri" w:hAnsi="Calibri"/>
                <w:lang w:eastAsia="en-GB"/>
              </w:rPr>
            </w:pPr>
            <w:r>
              <w:rPr>
                <w:rFonts w:ascii="Calibri" w:hAnsi="Calibri"/>
                <w:lang w:eastAsia="en-GB"/>
              </w:rPr>
              <w:t>6.6% (4/61)</w:t>
            </w:r>
          </w:p>
        </w:tc>
        <w:tc>
          <w:tcPr>
            <w:tcW w:w="1843" w:type="dxa"/>
            <w:tcBorders>
              <w:top w:val="single" w:sz="4" w:space="0" w:color="auto"/>
              <w:left w:val="single" w:sz="4" w:space="0" w:color="auto"/>
              <w:bottom w:val="single" w:sz="4" w:space="0" w:color="auto"/>
              <w:right w:val="single" w:sz="4" w:space="0" w:color="auto"/>
            </w:tcBorders>
          </w:tcPr>
          <w:p w:rsidR="00C12A83" w:rsidRPr="000124CC" w:rsidRDefault="00C12A83" w:rsidP="00820FE6">
            <w:pPr>
              <w:jc w:val="center"/>
              <w:rPr>
                <w:rFonts w:ascii="Calibri" w:hAnsi="Calibri"/>
                <w:lang w:eastAsia="en-GB"/>
              </w:rPr>
            </w:pPr>
            <w:r>
              <w:rPr>
                <w:rFonts w:ascii="Calibri" w:hAnsi="Calibri"/>
                <w:lang w:eastAsia="en-GB"/>
              </w:rPr>
              <w:t>10.4% (8/77)</w:t>
            </w:r>
          </w:p>
        </w:tc>
      </w:tr>
      <w:tr w:rsidR="00C12A83" w:rsidRPr="000124CC"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rPr>
                <w:rFonts w:ascii="Calibri" w:hAnsi="Calibri"/>
                <w:b/>
                <w:lang w:eastAsia="en-GB"/>
              </w:rPr>
            </w:pPr>
            <w:r w:rsidRPr="000124CC">
              <w:rPr>
                <w:rFonts w:ascii="Calibri" w:hAnsi="Calibri"/>
                <w:b/>
                <w:lang w:eastAsia="en-GB"/>
              </w:rPr>
              <w:t>Total</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37.5% (9/24)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12A83" w:rsidRPr="000124CC" w:rsidRDefault="00C12A83" w:rsidP="00820FE6">
            <w:pPr>
              <w:jc w:val="center"/>
              <w:rPr>
                <w:rFonts w:ascii="Calibri" w:hAnsi="Calibri"/>
                <w:lang w:eastAsia="en-GB"/>
              </w:rPr>
            </w:pPr>
            <w:r>
              <w:rPr>
                <w:rFonts w:ascii="Calibri" w:hAnsi="Calibri"/>
                <w:lang w:eastAsia="en-GB"/>
              </w:rPr>
              <w:t>14.1% (10/71)</w:t>
            </w:r>
          </w:p>
        </w:tc>
        <w:tc>
          <w:tcPr>
            <w:tcW w:w="1843" w:type="dxa"/>
            <w:tcBorders>
              <w:top w:val="single" w:sz="4" w:space="0" w:color="auto"/>
              <w:left w:val="single" w:sz="4" w:space="0" w:color="auto"/>
              <w:bottom w:val="single" w:sz="4" w:space="0" w:color="auto"/>
              <w:right w:val="single" w:sz="4" w:space="0" w:color="auto"/>
            </w:tcBorders>
          </w:tcPr>
          <w:p w:rsidR="00C12A83" w:rsidRPr="000124CC" w:rsidRDefault="00C12A83" w:rsidP="00820FE6">
            <w:pPr>
              <w:tabs>
                <w:tab w:val="left" w:pos="645"/>
                <w:tab w:val="center" w:pos="916"/>
              </w:tabs>
              <w:jc w:val="center"/>
              <w:rPr>
                <w:rFonts w:ascii="Calibri" w:hAnsi="Calibri"/>
                <w:lang w:eastAsia="en-GB"/>
              </w:rPr>
            </w:pPr>
            <w:r>
              <w:rPr>
                <w:rFonts w:ascii="Calibri" w:hAnsi="Calibri"/>
                <w:lang w:eastAsia="en-GB"/>
              </w:rPr>
              <w:t>20.0% (19/95)</w:t>
            </w:r>
          </w:p>
        </w:tc>
      </w:tr>
    </w:tbl>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9C2695" w:rsidRDefault="009C2695" w:rsidP="00C12A83">
      <w:pPr>
        <w:rPr>
          <w:rFonts w:cs="Arial"/>
          <w:lang w:eastAsia="en-GB"/>
        </w:rPr>
      </w:pPr>
    </w:p>
    <w:p w:rsidR="00851563" w:rsidRDefault="00851563" w:rsidP="00C12A83">
      <w:pPr>
        <w:rPr>
          <w:rFonts w:cs="Arial"/>
          <w:lang w:eastAsia="en-GB"/>
        </w:rPr>
      </w:pPr>
      <w:r w:rsidRPr="00851563">
        <w:rPr>
          <w:rFonts w:cs="Arial"/>
          <w:noProof/>
          <w:lang w:eastAsia="en-GB"/>
        </w:rPr>
        <w:lastRenderedPageBreak/>
        <mc:AlternateContent>
          <mc:Choice Requires="wps">
            <w:drawing>
              <wp:anchor distT="0" distB="0" distL="114300" distR="114300" simplePos="0" relativeHeight="251687936" behindDoc="0" locked="0" layoutInCell="1" allowOverlap="1" wp14:anchorId="44A4B2B6" wp14:editId="7D68D365">
                <wp:simplePos x="0" y="0"/>
                <wp:positionH relativeFrom="column">
                  <wp:posOffset>114300</wp:posOffset>
                </wp:positionH>
                <wp:positionV relativeFrom="paragraph">
                  <wp:posOffset>190500</wp:posOffset>
                </wp:positionV>
                <wp:extent cx="5486400" cy="333375"/>
                <wp:effectExtent l="0" t="0" r="19050" b="285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3375"/>
                        </a:xfrm>
                        <a:prstGeom prst="rect">
                          <a:avLst/>
                        </a:prstGeom>
                        <a:solidFill>
                          <a:srgbClr val="FFFFFF"/>
                        </a:solidFill>
                        <a:ln w="9525">
                          <a:solidFill>
                            <a:srgbClr val="000000"/>
                          </a:solidFill>
                          <a:miter lim="800000"/>
                          <a:headEnd/>
                          <a:tailEnd/>
                        </a:ln>
                      </wps:spPr>
                      <wps:txbx>
                        <w:txbxContent>
                          <w:p w:rsidR="00265B0B" w:rsidRPr="00851563" w:rsidRDefault="00265B0B" w:rsidP="00851563">
                            <w:pPr>
                              <w:jc w:val="center"/>
                              <w:rPr>
                                <w:b/>
                                <w:sz w:val="28"/>
                              </w:rPr>
                            </w:pPr>
                            <w:r w:rsidRPr="003A660E">
                              <w:rPr>
                                <w:b/>
                                <w:sz w:val="28"/>
                              </w:rPr>
                              <w:t>Failure Rate</w:t>
                            </w:r>
                            <w:r>
                              <w:rPr>
                                <w:b/>
                                <w:sz w:val="28"/>
                              </w:rPr>
                              <w:t>s</w:t>
                            </w:r>
                            <w:r w:rsidRPr="003A660E">
                              <w:rPr>
                                <w:b/>
                                <w:sz w:val="28"/>
                              </w:rPr>
                              <w:t xml:space="preserve">: </w:t>
                            </w:r>
                            <w:r>
                              <w:rPr>
                                <w:b/>
                                <w:sz w:val="28"/>
                              </w:rPr>
                              <w:t>Connected Sales and Deferred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pt;margin-top:15pt;width:6in;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">
                <v:textbox>
                  <w:txbxContent>
                    <w:p w:rsidR="00265B0B" w:rsidRPr="00851563" w:rsidRDefault="00265B0B" w:rsidP="00851563">
                      <w:pPr>
                        <w:jc w:val="center"/>
                        <w:rPr>
                          <w:b/>
                          <w:sz w:val="28"/>
                        </w:rPr>
                      </w:pPr>
                      <w:r w:rsidRPr="003A660E">
                        <w:rPr>
                          <w:b/>
                          <w:sz w:val="28"/>
                        </w:rPr>
                        <w:t>Failure Rate</w:t>
                      </w:r>
                      <w:r>
                        <w:rPr>
                          <w:b/>
                          <w:sz w:val="28"/>
                        </w:rPr>
                        <w:t>s</w:t>
                      </w:r>
                      <w:r w:rsidRPr="003A660E">
                        <w:rPr>
                          <w:b/>
                          <w:sz w:val="28"/>
                        </w:rPr>
                        <w:t xml:space="preserve">: </w:t>
                      </w:r>
                      <w:r>
                        <w:rPr>
                          <w:b/>
                          <w:sz w:val="28"/>
                        </w:rPr>
                        <w:t>Connected Sales and Deferred Consideration</w:t>
                      </w:r>
                    </w:p>
                  </w:txbxContent>
                </v:textbox>
              </v:shape>
            </w:pict>
          </mc:Fallback>
        </mc:AlternateContent>
      </w:r>
    </w:p>
    <w:p w:rsidR="00C12A83" w:rsidRDefault="00C12A83" w:rsidP="00851563">
      <w:pPr>
        <w:jc w:val="center"/>
        <w:rPr>
          <w:rFonts w:ascii="Calibri" w:hAnsi="Calibri"/>
          <w:b/>
          <w:bCs/>
          <w:lang w:eastAsia="en-GB"/>
        </w:rPr>
      </w:pPr>
      <w:r>
        <w:rPr>
          <w:rFonts w:ascii="Calibri" w:hAnsi="Calibri"/>
          <w:b/>
          <w:bCs/>
          <w:noProof/>
          <w:lang w:eastAsia="en-GB"/>
        </w:rPr>
        <w:drawing>
          <wp:inline distT="0" distB="0" distL="0" distR="0" wp14:anchorId="3982BD62" wp14:editId="67A81D75">
            <wp:extent cx="5486400" cy="3200400"/>
            <wp:effectExtent l="0" t="0" r="19050" b="1905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C2695" w:rsidRDefault="009C2695" w:rsidP="00C12A83">
      <w:pPr>
        <w:pStyle w:val="TableHeading"/>
        <w:spacing w:line="240" w:lineRule="auto"/>
        <w:rPr>
          <w:bCs/>
          <w:sz w:val="24"/>
          <w:szCs w:val="24"/>
        </w:rPr>
      </w:pPr>
    </w:p>
    <w:p w:rsidR="00C12A83" w:rsidRPr="00BA1261" w:rsidRDefault="005869A7" w:rsidP="00C12A83">
      <w:pPr>
        <w:pStyle w:val="TableHeading"/>
        <w:spacing w:line="240" w:lineRule="auto"/>
        <w:rPr>
          <w:bCs/>
          <w:sz w:val="24"/>
          <w:szCs w:val="24"/>
        </w:rPr>
      </w:pPr>
      <w:r>
        <w:rPr>
          <w:bCs/>
          <w:sz w:val="24"/>
          <w:szCs w:val="24"/>
        </w:rPr>
        <w:t>B</w:t>
      </w:r>
      <w:r w:rsidR="00C12A83" w:rsidRPr="00BA1261">
        <w:rPr>
          <w:bCs/>
          <w:sz w:val="24"/>
          <w:szCs w:val="24"/>
        </w:rPr>
        <w:t>3.2.4 Impact of size of oldco</w:t>
      </w:r>
    </w:p>
    <w:p w:rsidR="00C12A83" w:rsidRDefault="00C12A83" w:rsidP="00C12A83">
      <w:pPr>
        <w:pStyle w:val="TableHeading"/>
        <w:spacing w:line="240" w:lineRule="auto"/>
        <w:rPr>
          <w:b w:val="0"/>
          <w:bCs/>
          <w:sz w:val="24"/>
          <w:szCs w:val="24"/>
        </w:rPr>
      </w:pPr>
    </w:p>
    <w:p w:rsidR="005869A7" w:rsidRDefault="00C12A83" w:rsidP="00C12A83">
      <w:pPr>
        <w:pStyle w:val="TableHeading"/>
        <w:spacing w:line="240" w:lineRule="auto"/>
        <w:rPr>
          <w:b w:val="0"/>
          <w:bCs/>
          <w:sz w:val="24"/>
          <w:szCs w:val="24"/>
        </w:rPr>
      </w:pPr>
      <w:r>
        <w:rPr>
          <w:b w:val="0"/>
          <w:bCs/>
          <w:sz w:val="24"/>
          <w:szCs w:val="24"/>
        </w:rPr>
        <w:t>It was observed at</w:t>
      </w:r>
      <w:r w:rsidR="00851563">
        <w:rPr>
          <w:b w:val="0"/>
          <w:bCs/>
          <w:sz w:val="24"/>
          <w:szCs w:val="24"/>
        </w:rPr>
        <w:t xml:space="preserve"> section B</w:t>
      </w:r>
      <w:r>
        <w:rPr>
          <w:b w:val="0"/>
          <w:bCs/>
          <w:sz w:val="24"/>
          <w:szCs w:val="24"/>
        </w:rPr>
        <w:t xml:space="preserve">1.2 above that a greater </w:t>
      </w:r>
      <w:r w:rsidR="00851563">
        <w:rPr>
          <w:b w:val="0"/>
          <w:bCs/>
          <w:sz w:val="24"/>
          <w:szCs w:val="24"/>
        </w:rPr>
        <w:t>proportion</w:t>
      </w:r>
      <w:r>
        <w:rPr>
          <w:b w:val="0"/>
          <w:bCs/>
          <w:sz w:val="24"/>
          <w:szCs w:val="24"/>
        </w:rPr>
        <w:t xml:space="preserve"> of medium sized companies, by number of employees, were included in the counterfactual dataset, although the majority of companies fell into the Micro/Small categories. Perhaps not surprisingly, the majority of subsequent failures fell out of businesses sold by oldcos from the same categories. Although there is a greater prevalence of failure of large companies for trading administration sales, this is out of a very small sample (1/5 for Employees and 3/9 for Turnover).</w:t>
      </w:r>
    </w:p>
    <w:p w:rsidR="002C664E" w:rsidRDefault="002C664E" w:rsidP="00C12A83">
      <w:pPr>
        <w:pStyle w:val="TableHeading"/>
        <w:spacing w:line="240" w:lineRule="auto"/>
        <w:rPr>
          <w:b w:val="0"/>
          <w:bCs/>
          <w:sz w:val="24"/>
          <w:szCs w:val="24"/>
        </w:rPr>
      </w:pPr>
    </w:p>
    <w:p w:rsidR="002C664E" w:rsidRDefault="002C664E"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p>
    <w:p w:rsidR="009C2695" w:rsidRDefault="009C2695" w:rsidP="00C12A83">
      <w:pPr>
        <w:pStyle w:val="TableHeading"/>
        <w:spacing w:line="240" w:lineRule="auto"/>
        <w:rPr>
          <w:b w:val="0"/>
          <w:bCs/>
          <w:sz w:val="24"/>
          <w:szCs w:val="24"/>
        </w:rPr>
      </w:pPr>
      <w:r w:rsidRPr="00C4442C">
        <w:rPr>
          <w:b w:val="0"/>
          <w:bCs/>
          <w:noProof/>
          <w:sz w:val="24"/>
          <w:szCs w:val="24"/>
          <w:lang w:eastAsia="en-GB"/>
        </w:rPr>
        <w:lastRenderedPageBreak/>
        <mc:AlternateContent>
          <mc:Choice Requires="wps">
            <w:drawing>
              <wp:anchor distT="0" distB="0" distL="114300" distR="114300" simplePos="0" relativeHeight="251662336" behindDoc="0" locked="0" layoutInCell="1" allowOverlap="1" wp14:anchorId="377F0EEF" wp14:editId="206CC337">
                <wp:simplePos x="0" y="0"/>
                <wp:positionH relativeFrom="column">
                  <wp:posOffset>1247775</wp:posOffset>
                </wp:positionH>
                <wp:positionV relativeFrom="paragraph">
                  <wp:posOffset>-105410</wp:posOffset>
                </wp:positionV>
                <wp:extent cx="3362325" cy="314325"/>
                <wp:effectExtent l="0" t="0" r="2857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14325"/>
                        </a:xfrm>
                        <a:prstGeom prst="rect">
                          <a:avLst/>
                        </a:prstGeom>
                        <a:solidFill>
                          <a:srgbClr val="FFFFFF"/>
                        </a:solidFill>
                        <a:ln w="9525">
                          <a:solidFill>
                            <a:srgbClr val="000000"/>
                          </a:solidFill>
                          <a:miter lim="800000"/>
                          <a:headEnd/>
                          <a:tailEnd/>
                        </a:ln>
                      </wps:spPr>
                      <wps:txbx>
                        <w:txbxContent>
                          <w:p w:rsidR="00265B0B" w:rsidRPr="002C664E" w:rsidRDefault="00265B0B" w:rsidP="00C12A83">
                            <w:pPr>
                              <w:jc w:val="center"/>
                              <w:rPr>
                                <w:b/>
                                <w:sz w:val="32"/>
                                <w:szCs w:val="36"/>
                              </w:rPr>
                            </w:pPr>
                            <w:r w:rsidRPr="002C664E">
                              <w:rPr>
                                <w:b/>
                                <w:sz w:val="32"/>
                                <w:szCs w:val="36"/>
                              </w:rPr>
                              <w:t>Size of oldco -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8.25pt;margin-top:-8.3pt;width:264.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lJJQIAAE4EAAAOAAAAZHJzL2Uyb0RvYy54bWysVNtu2zAMfR+wfxD0vjh2ki4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">
                <v:textbox>
                  <w:txbxContent>
                    <w:p w:rsidR="00265B0B" w:rsidRPr="002C664E" w:rsidRDefault="00265B0B" w:rsidP="00C12A83">
                      <w:pPr>
                        <w:jc w:val="center"/>
                        <w:rPr>
                          <w:b/>
                          <w:sz w:val="32"/>
                          <w:szCs w:val="36"/>
                        </w:rPr>
                      </w:pPr>
                      <w:r w:rsidRPr="002C664E">
                        <w:rPr>
                          <w:b/>
                          <w:sz w:val="32"/>
                          <w:szCs w:val="36"/>
                        </w:rPr>
                        <w:t xml:space="preserve">Size of </w:t>
                      </w:r>
                      <w:proofErr w:type="spellStart"/>
                      <w:r w:rsidRPr="002C664E">
                        <w:rPr>
                          <w:b/>
                          <w:sz w:val="32"/>
                          <w:szCs w:val="36"/>
                        </w:rPr>
                        <w:t>oldco</w:t>
                      </w:r>
                      <w:proofErr w:type="spellEnd"/>
                      <w:r w:rsidRPr="002C664E">
                        <w:rPr>
                          <w:b/>
                          <w:sz w:val="32"/>
                          <w:szCs w:val="36"/>
                        </w:rPr>
                        <w:t xml:space="preserve"> - Employees</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789C709" wp14:editId="4BA564A2">
            <wp:extent cx="2855343" cy="3812875"/>
            <wp:effectExtent l="0" t="0" r="21590" b="1651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b w:val="0"/>
          <w:bCs/>
          <w:noProof/>
          <w:sz w:val="24"/>
          <w:szCs w:val="24"/>
          <w:lang w:eastAsia="en-GB"/>
        </w:rPr>
        <w:drawing>
          <wp:inline distT="0" distB="0" distL="0" distR="0" wp14:anchorId="231275D1" wp14:editId="163E9A09">
            <wp:extent cx="2820838" cy="3812875"/>
            <wp:effectExtent l="0" t="0" r="17780" b="1651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51563" w:rsidRDefault="00C12A83" w:rsidP="00C12A83">
      <w:pPr>
        <w:pStyle w:val="TableHeading"/>
        <w:spacing w:line="240" w:lineRule="auto"/>
        <w:rPr>
          <w:b w:val="0"/>
          <w:bCs/>
          <w:sz w:val="24"/>
          <w:szCs w:val="24"/>
        </w:rPr>
      </w:pPr>
      <w:r w:rsidRPr="00C4442C">
        <w:rPr>
          <w:b w:val="0"/>
          <w:bCs/>
          <w:noProof/>
          <w:sz w:val="24"/>
          <w:szCs w:val="24"/>
          <w:lang w:eastAsia="en-GB"/>
        </w:rPr>
        <w:t xml:space="preserve"> </w:t>
      </w:r>
    </w:p>
    <w:p w:rsidR="00851563" w:rsidRDefault="00851563" w:rsidP="00C12A83">
      <w:pPr>
        <w:pStyle w:val="TableHeading"/>
        <w:spacing w:line="240" w:lineRule="auto"/>
        <w:rPr>
          <w:b w:val="0"/>
          <w:bCs/>
          <w:sz w:val="24"/>
          <w:szCs w:val="24"/>
        </w:rPr>
      </w:pPr>
      <w:r w:rsidRPr="00C4442C">
        <w:rPr>
          <w:b w:val="0"/>
          <w:bCs/>
          <w:noProof/>
          <w:sz w:val="24"/>
          <w:szCs w:val="24"/>
          <w:lang w:eastAsia="en-GB"/>
        </w:rPr>
        <mc:AlternateContent>
          <mc:Choice Requires="wps">
            <w:drawing>
              <wp:anchor distT="0" distB="0" distL="114300" distR="114300" simplePos="0" relativeHeight="251663360" behindDoc="0" locked="0" layoutInCell="1" allowOverlap="1" wp14:anchorId="7AA80D34" wp14:editId="1C0F7E1A">
                <wp:simplePos x="0" y="0"/>
                <wp:positionH relativeFrom="column">
                  <wp:posOffset>1543050</wp:posOffset>
                </wp:positionH>
                <wp:positionV relativeFrom="paragraph">
                  <wp:posOffset>-97155</wp:posOffset>
                </wp:positionV>
                <wp:extent cx="2679065" cy="304800"/>
                <wp:effectExtent l="0" t="0" r="2603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304800"/>
                        </a:xfrm>
                        <a:prstGeom prst="rect">
                          <a:avLst/>
                        </a:prstGeom>
                        <a:solidFill>
                          <a:srgbClr val="FFFFFF"/>
                        </a:solidFill>
                        <a:ln w="9525">
                          <a:solidFill>
                            <a:srgbClr val="000000"/>
                          </a:solidFill>
                          <a:miter lim="800000"/>
                          <a:headEnd/>
                          <a:tailEnd/>
                        </a:ln>
                      </wps:spPr>
                      <wps:txbx>
                        <w:txbxContent>
                          <w:p w:rsidR="00265B0B" w:rsidRPr="002C664E" w:rsidRDefault="00265B0B" w:rsidP="00C12A83">
                            <w:pPr>
                              <w:jc w:val="center"/>
                              <w:rPr>
                                <w:b/>
                                <w:sz w:val="32"/>
                                <w:szCs w:val="36"/>
                              </w:rPr>
                            </w:pPr>
                            <w:r w:rsidRPr="002C664E">
                              <w:rPr>
                                <w:b/>
                                <w:sz w:val="32"/>
                                <w:szCs w:val="36"/>
                              </w:rPr>
                              <w:t>Size of oldco - Turnover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1.5pt;margin-top:-7.65pt;width:210.9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4FKwIAAE4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">
                <v:textbox>
                  <w:txbxContent>
                    <w:p w:rsidR="00265B0B" w:rsidRPr="002C664E" w:rsidRDefault="00265B0B" w:rsidP="00C12A83">
                      <w:pPr>
                        <w:jc w:val="center"/>
                        <w:rPr>
                          <w:b/>
                          <w:sz w:val="32"/>
                          <w:szCs w:val="36"/>
                        </w:rPr>
                      </w:pPr>
                      <w:r w:rsidRPr="002C664E">
                        <w:rPr>
                          <w:b/>
                          <w:sz w:val="32"/>
                          <w:szCs w:val="36"/>
                        </w:rPr>
                        <w:t xml:space="preserve">Size of </w:t>
                      </w:r>
                      <w:proofErr w:type="spellStart"/>
                      <w:r w:rsidRPr="002C664E">
                        <w:rPr>
                          <w:b/>
                          <w:sz w:val="32"/>
                          <w:szCs w:val="36"/>
                        </w:rPr>
                        <w:t>oldco</w:t>
                      </w:r>
                      <w:proofErr w:type="spellEnd"/>
                      <w:r w:rsidRPr="002C664E">
                        <w:rPr>
                          <w:b/>
                          <w:sz w:val="32"/>
                          <w:szCs w:val="36"/>
                        </w:rPr>
                        <w:t xml:space="preserve"> - Turnover</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196568D0" wp14:editId="6272C455">
            <wp:extent cx="2855343" cy="3812875"/>
            <wp:effectExtent l="0" t="0" r="21590" b="1651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b w:val="0"/>
          <w:bCs/>
          <w:noProof/>
          <w:sz w:val="24"/>
          <w:szCs w:val="24"/>
          <w:lang w:eastAsia="en-GB"/>
        </w:rPr>
        <w:drawing>
          <wp:inline distT="0" distB="0" distL="0" distR="0" wp14:anchorId="67E2E9BC" wp14:editId="072DD0FA">
            <wp:extent cx="2820838" cy="3812875"/>
            <wp:effectExtent l="0" t="0" r="17780" b="1651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51563" w:rsidRDefault="00851563" w:rsidP="00C12A83">
      <w:pPr>
        <w:pStyle w:val="TableHeading"/>
        <w:spacing w:line="240" w:lineRule="auto"/>
        <w:rPr>
          <w:bCs/>
          <w:sz w:val="24"/>
          <w:szCs w:val="24"/>
        </w:rPr>
      </w:pPr>
    </w:p>
    <w:p w:rsidR="00C12A83" w:rsidRPr="00535141" w:rsidRDefault="005869A7" w:rsidP="00C12A83">
      <w:pPr>
        <w:pStyle w:val="TableHeading"/>
        <w:spacing w:line="240" w:lineRule="auto"/>
        <w:rPr>
          <w:bCs/>
          <w:sz w:val="24"/>
          <w:szCs w:val="24"/>
        </w:rPr>
      </w:pPr>
      <w:r>
        <w:rPr>
          <w:bCs/>
          <w:sz w:val="24"/>
          <w:szCs w:val="24"/>
        </w:rPr>
        <w:lastRenderedPageBreak/>
        <w:t>B</w:t>
      </w:r>
      <w:r w:rsidR="00C12A83" w:rsidRPr="00535141">
        <w:rPr>
          <w:bCs/>
          <w:sz w:val="24"/>
          <w:szCs w:val="24"/>
        </w:rPr>
        <w:t>3.2.5 Reason for failure of oldco</w:t>
      </w:r>
    </w:p>
    <w:p w:rsidR="00C12A83" w:rsidRDefault="00C12A83" w:rsidP="00C12A83">
      <w:pPr>
        <w:pStyle w:val="TableHeading"/>
        <w:spacing w:line="240" w:lineRule="auto"/>
        <w:rPr>
          <w:b w:val="0"/>
          <w:bCs/>
          <w:sz w:val="24"/>
          <w:szCs w:val="24"/>
        </w:rPr>
      </w:pPr>
    </w:p>
    <w:p w:rsidR="00C12A83" w:rsidRPr="0042580A" w:rsidRDefault="00C12A83" w:rsidP="00C12A83">
      <w:pPr>
        <w:pStyle w:val="TableHeading"/>
        <w:spacing w:line="240" w:lineRule="auto"/>
        <w:rPr>
          <w:b w:val="0"/>
          <w:bCs/>
          <w:sz w:val="24"/>
          <w:szCs w:val="24"/>
        </w:rPr>
      </w:pPr>
      <w:r w:rsidRPr="0042580A">
        <w:rPr>
          <w:b w:val="0"/>
          <w:bCs/>
          <w:sz w:val="24"/>
          <w:szCs w:val="24"/>
        </w:rPr>
        <w:t>There does not appear to be any significant difference between the distribution of reasons for oldco failing where the purchaser subsequently fails. This is broadly true where the subsequent failure is broken down by connected and non-connected sales, although it is interesting that mismanagement appears less frequently and funding issues more frequently where the sale is to a connected party. It would have been expected that where mismanagement had been identified as the reason for oldco failing, there would be a higher prevalence of this reason where the connected party purchaser subsequently failed, however</w:t>
      </w:r>
      <w:r w:rsidR="00851563">
        <w:rPr>
          <w:b w:val="0"/>
          <w:bCs/>
          <w:sz w:val="24"/>
          <w:szCs w:val="24"/>
        </w:rPr>
        <w:t>,</w:t>
      </w:r>
      <w:r w:rsidRPr="0042580A">
        <w:rPr>
          <w:b w:val="0"/>
          <w:bCs/>
          <w:sz w:val="24"/>
          <w:szCs w:val="24"/>
        </w:rPr>
        <w:t xml:space="preserve"> this is not the case.</w:t>
      </w:r>
      <w:r>
        <w:rPr>
          <w:b w:val="0"/>
          <w:bCs/>
          <w:sz w:val="24"/>
          <w:szCs w:val="24"/>
        </w:rPr>
        <w:t xml:space="preserve"> It must be noted that these are very small samples once the data is further broken down in this way.</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3B6CE15" wp14:editId="170CA524">
            <wp:extent cx="5486400" cy="3076575"/>
            <wp:effectExtent l="0" t="0" r="19050" b="952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51563" w:rsidRDefault="0085156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5B2821AE" wp14:editId="2DA0F49E">
            <wp:extent cx="5486400" cy="2790825"/>
            <wp:effectExtent l="0" t="0" r="19050" b="9525"/>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C664E" w:rsidRDefault="002C664E"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12D5142A" wp14:editId="13733CAB">
            <wp:extent cx="5486400" cy="3200400"/>
            <wp:effectExtent l="0" t="0" r="19050" b="1905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46EB2272" wp14:editId="45953D57">
            <wp:extent cx="5486400" cy="3200400"/>
            <wp:effectExtent l="0" t="0" r="19050" b="1905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C664E" w:rsidRDefault="002C664E"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lastRenderedPageBreak/>
        <w:drawing>
          <wp:inline distT="0" distB="0" distL="0" distR="0" wp14:anchorId="095F08DA" wp14:editId="1DE3494C">
            <wp:extent cx="5486400" cy="3200400"/>
            <wp:effectExtent l="0" t="0" r="19050" b="1905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337FA1A2" wp14:editId="42688018">
            <wp:extent cx="5486400" cy="3200400"/>
            <wp:effectExtent l="0" t="0" r="19050" b="1905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p>
    <w:p w:rsidR="00851563" w:rsidRDefault="00851563" w:rsidP="00C12A83">
      <w:pPr>
        <w:pStyle w:val="TableHeading"/>
        <w:spacing w:line="240" w:lineRule="auto"/>
        <w:rPr>
          <w:bCs/>
          <w:sz w:val="24"/>
          <w:szCs w:val="24"/>
        </w:rPr>
      </w:pPr>
    </w:p>
    <w:p w:rsidR="00851563" w:rsidRDefault="00851563" w:rsidP="00C12A83">
      <w:pPr>
        <w:pStyle w:val="TableHeading"/>
        <w:spacing w:line="240" w:lineRule="auto"/>
        <w:rPr>
          <w:bCs/>
          <w:sz w:val="24"/>
          <w:szCs w:val="24"/>
        </w:rPr>
      </w:pPr>
    </w:p>
    <w:p w:rsidR="00C12A83" w:rsidRPr="00864456" w:rsidRDefault="005869A7" w:rsidP="00C12A83">
      <w:pPr>
        <w:pStyle w:val="TableHeading"/>
        <w:spacing w:line="240" w:lineRule="auto"/>
        <w:rPr>
          <w:bCs/>
          <w:sz w:val="24"/>
          <w:szCs w:val="24"/>
        </w:rPr>
      </w:pPr>
      <w:r>
        <w:rPr>
          <w:bCs/>
          <w:sz w:val="24"/>
          <w:szCs w:val="24"/>
        </w:rPr>
        <w:lastRenderedPageBreak/>
        <w:t>B</w:t>
      </w:r>
      <w:r w:rsidR="00C12A83" w:rsidRPr="00864456">
        <w:rPr>
          <w:bCs/>
          <w:sz w:val="24"/>
          <w:szCs w:val="24"/>
        </w:rPr>
        <w:t>3.2.6 Sector in which oldco operated</w:t>
      </w:r>
    </w:p>
    <w:p w:rsidR="00C12A83" w:rsidRDefault="00C12A83" w:rsidP="00C12A83">
      <w:pPr>
        <w:pStyle w:val="TableHeading"/>
        <w:spacing w:line="240" w:lineRule="auto"/>
        <w:rPr>
          <w:b w:val="0"/>
          <w:bCs/>
          <w:sz w:val="24"/>
          <w:szCs w:val="24"/>
        </w:rPr>
      </w:pPr>
    </w:p>
    <w:p w:rsidR="00C12A83" w:rsidRPr="0042580A" w:rsidRDefault="00C12A83" w:rsidP="00C12A83">
      <w:pPr>
        <w:pStyle w:val="TableHeading"/>
        <w:spacing w:line="240" w:lineRule="auto"/>
        <w:rPr>
          <w:b w:val="0"/>
          <w:bCs/>
          <w:sz w:val="24"/>
          <w:szCs w:val="24"/>
        </w:rPr>
      </w:pPr>
      <w:r>
        <w:rPr>
          <w:b w:val="0"/>
          <w:bCs/>
          <w:sz w:val="24"/>
          <w:szCs w:val="24"/>
        </w:rPr>
        <w:t>There does not appear to be a discernable pattern of the sectors from whi</w:t>
      </w:r>
      <w:r w:rsidR="00851563">
        <w:rPr>
          <w:b w:val="0"/>
          <w:bCs/>
          <w:sz w:val="24"/>
          <w:szCs w:val="24"/>
        </w:rPr>
        <w:t>ch oldco was drawn linking</w:t>
      </w:r>
      <w:r>
        <w:rPr>
          <w:b w:val="0"/>
          <w:bCs/>
          <w:sz w:val="24"/>
          <w:szCs w:val="24"/>
        </w:rPr>
        <w:t xml:space="preserve"> to subsequent failure of the purchaser. The failure data is too small to draw any conclusions when distributed in this manner.</w:t>
      </w:r>
    </w:p>
    <w:p w:rsidR="0096050E" w:rsidRDefault="0096050E" w:rsidP="00C12A83">
      <w:pPr>
        <w:pStyle w:val="TableHeading"/>
        <w:spacing w:line="240" w:lineRule="auto"/>
        <w:rPr>
          <w:b w:val="0"/>
          <w:bCs/>
          <w:sz w:val="24"/>
          <w:szCs w:val="24"/>
        </w:rPr>
      </w:pPr>
    </w:p>
    <w:p w:rsidR="0096050E" w:rsidRDefault="0096050E" w:rsidP="00C12A83">
      <w:pPr>
        <w:pStyle w:val="TableHeading"/>
        <w:spacing w:line="240" w:lineRule="auto"/>
        <w:rPr>
          <w:b w:val="0"/>
          <w:bCs/>
          <w:sz w:val="24"/>
          <w:szCs w:val="24"/>
        </w:rPr>
      </w:pPr>
      <w:r w:rsidRPr="0096050E">
        <w:rPr>
          <w:b w:val="0"/>
          <w:bCs/>
          <w:noProof/>
          <w:sz w:val="24"/>
          <w:szCs w:val="24"/>
          <w:lang w:eastAsia="en-GB"/>
        </w:rPr>
        <mc:AlternateContent>
          <mc:Choice Requires="wps">
            <w:drawing>
              <wp:anchor distT="0" distB="0" distL="114300" distR="114300" simplePos="0" relativeHeight="251689984" behindDoc="0" locked="0" layoutInCell="1" allowOverlap="1" wp14:anchorId="3E06F40F" wp14:editId="2BCDA709">
                <wp:simplePos x="0" y="0"/>
                <wp:positionH relativeFrom="column">
                  <wp:align>center</wp:align>
                </wp:positionH>
                <wp:positionV relativeFrom="paragraph">
                  <wp:posOffset>0</wp:posOffset>
                </wp:positionV>
                <wp:extent cx="3098800" cy="304800"/>
                <wp:effectExtent l="0" t="0" r="25400" b="190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04800"/>
                        </a:xfrm>
                        <a:prstGeom prst="rect">
                          <a:avLst/>
                        </a:prstGeom>
                        <a:solidFill>
                          <a:srgbClr val="FFFFFF"/>
                        </a:solidFill>
                        <a:ln w="9525">
                          <a:solidFill>
                            <a:srgbClr val="000000"/>
                          </a:solidFill>
                          <a:miter lim="800000"/>
                          <a:headEnd/>
                          <a:tailEnd/>
                        </a:ln>
                      </wps:spPr>
                      <wps:txbx>
                        <w:txbxContent>
                          <w:p w:rsidR="00265B0B" w:rsidRPr="0096050E" w:rsidRDefault="00265B0B" w:rsidP="0096050E">
                            <w:pPr>
                              <w:jc w:val="center"/>
                              <w:rPr>
                                <w:b/>
                                <w:sz w:val="28"/>
                              </w:rPr>
                            </w:pPr>
                            <w:r>
                              <w:rPr>
                                <w:b/>
                                <w:sz w:val="28"/>
                              </w:rPr>
                              <w:t>Failure Rates: Sector Breakdown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0;width:244pt;height:24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">
                <v:textbox>
                  <w:txbxContent>
                    <w:p w:rsidR="00265B0B" w:rsidRPr="0096050E" w:rsidRDefault="00265B0B" w:rsidP="0096050E">
                      <w:pPr>
                        <w:jc w:val="center"/>
                        <w:rPr>
                          <w:b/>
                          <w:sz w:val="28"/>
                        </w:rPr>
                      </w:pPr>
                      <w:r>
                        <w:rPr>
                          <w:b/>
                          <w:sz w:val="28"/>
                        </w:rPr>
                        <w:t>Failure Rates: Sector Breakdown</w:t>
                      </w:r>
                    </w:p>
                  </w:txbxContent>
                </v:textbox>
              </v:shape>
            </w:pict>
          </mc:Fallback>
        </mc:AlternateContent>
      </w:r>
    </w:p>
    <w:p w:rsidR="00C12A83" w:rsidRDefault="00C12A83" w:rsidP="00C12A83">
      <w:pPr>
        <w:pStyle w:val="TableHeading"/>
        <w:spacing w:line="240" w:lineRule="auto"/>
        <w:rPr>
          <w:b w:val="0"/>
          <w:bCs/>
          <w:sz w:val="24"/>
          <w:szCs w:val="24"/>
        </w:rPr>
      </w:pPr>
      <w:r>
        <w:rPr>
          <w:b w:val="0"/>
          <w:bCs/>
          <w:noProof/>
          <w:sz w:val="24"/>
          <w:szCs w:val="24"/>
          <w:lang w:eastAsia="en-GB"/>
        </w:rPr>
        <w:drawing>
          <wp:inline distT="0" distB="0" distL="0" distR="0" wp14:anchorId="0B8DD7F8" wp14:editId="5BA2F472">
            <wp:extent cx="5486400" cy="4157932"/>
            <wp:effectExtent l="0" t="0" r="19050" b="1460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12A83" w:rsidRDefault="00C12A83" w:rsidP="00C12A83">
      <w:pPr>
        <w:pStyle w:val="TableHeading"/>
        <w:spacing w:line="240" w:lineRule="auto"/>
        <w:rPr>
          <w:b w:val="0"/>
          <w:bCs/>
          <w:sz w:val="24"/>
          <w:szCs w:val="24"/>
        </w:rPr>
      </w:pPr>
    </w:p>
    <w:p w:rsidR="005869A7" w:rsidRPr="005869A7" w:rsidRDefault="005869A7" w:rsidP="00C12A83">
      <w:pPr>
        <w:pStyle w:val="TableHeading"/>
        <w:spacing w:line="240" w:lineRule="auto"/>
        <w:rPr>
          <w:bCs/>
          <w:i/>
          <w:sz w:val="24"/>
          <w:szCs w:val="24"/>
        </w:rPr>
      </w:pPr>
      <w:r w:rsidRPr="005869A7">
        <w:rPr>
          <w:bCs/>
          <w:i/>
          <w:sz w:val="24"/>
          <w:szCs w:val="24"/>
        </w:rPr>
        <w:t>Part B2</w:t>
      </w:r>
    </w:p>
    <w:p w:rsidR="005869A7" w:rsidRDefault="005869A7" w:rsidP="00C12A83">
      <w:pPr>
        <w:pStyle w:val="TableHeading"/>
        <w:spacing w:line="240" w:lineRule="auto"/>
        <w:rPr>
          <w:bCs/>
          <w:sz w:val="24"/>
          <w:szCs w:val="24"/>
        </w:rPr>
      </w:pPr>
    </w:p>
    <w:p w:rsidR="00C12A83" w:rsidRPr="004E19B2" w:rsidRDefault="005869A7" w:rsidP="005869A7">
      <w:pPr>
        <w:pStyle w:val="TableHeading"/>
        <w:spacing w:line="240" w:lineRule="auto"/>
        <w:ind w:left="720" w:hanging="720"/>
        <w:rPr>
          <w:bCs/>
          <w:sz w:val="24"/>
          <w:szCs w:val="24"/>
        </w:rPr>
      </w:pPr>
      <w:r>
        <w:rPr>
          <w:bCs/>
          <w:sz w:val="24"/>
          <w:szCs w:val="24"/>
        </w:rPr>
        <w:t>B</w:t>
      </w:r>
      <w:r w:rsidR="00C12A83" w:rsidRPr="004E19B2">
        <w:rPr>
          <w:bCs/>
          <w:sz w:val="24"/>
          <w:szCs w:val="24"/>
        </w:rPr>
        <w:t xml:space="preserve">4 </w:t>
      </w:r>
      <w:r>
        <w:rPr>
          <w:bCs/>
          <w:sz w:val="24"/>
          <w:szCs w:val="24"/>
        </w:rPr>
        <w:tab/>
      </w:r>
      <w:r w:rsidR="00C12A83" w:rsidRPr="004E19B2">
        <w:rPr>
          <w:bCs/>
          <w:sz w:val="24"/>
          <w:szCs w:val="24"/>
        </w:rPr>
        <w:t xml:space="preserve">Regression Analysis: Factors affecting failure of the purchaser in a </w:t>
      </w:r>
      <w:r w:rsidR="0096050E">
        <w:rPr>
          <w:bCs/>
          <w:sz w:val="24"/>
          <w:szCs w:val="24"/>
        </w:rPr>
        <w:t>trading administration going concern sale</w:t>
      </w:r>
      <w:r w:rsidR="00C12A83" w:rsidRPr="004E19B2">
        <w:rPr>
          <w:bCs/>
          <w:sz w:val="24"/>
          <w:szCs w:val="24"/>
        </w:rPr>
        <w:t xml:space="preserve"> over time</w:t>
      </w:r>
    </w:p>
    <w:p w:rsidR="00C12A83" w:rsidRDefault="00C12A83" w:rsidP="00C12A83">
      <w:pPr>
        <w:pStyle w:val="TableHeading"/>
        <w:spacing w:line="240" w:lineRule="auto"/>
        <w:rPr>
          <w:b w:val="0"/>
          <w:bCs/>
          <w:sz w:val="24"/>
          <w:szCs w:val="24"/>
        </w:rPr>
      </w:pPr>
    </w:p>
    <w:p w:rsidR="00C12A83" w:rsidRPr="007C04D7" w:rsidRDefault="00C12A83" w:rsidP="00C12A83">
      <w:pPr>
        <w:pStyle w:val="TableHeading"/>
        <w:spacing w:line="240" w:lineRule="auto"/>
        <w:rPr>
          <w:b w:val="0"/>
          <w:bCs/>
          <w:sz w:val="24"/>
          <w:szCs w:val="24"/>
        </w:rPr>
      </w:pPr>
      <w:r w:rsidRPr="007C04D7">
        <w:rPr>
          <w:b w:val="0"/>
          <w:bCs/>
          <w:sz w:val="24"/>
          <w:szCs w:val="24"/>
        </w:rPr>
        <w:t>A regression analysis has been conducted on the data collected in respect of the sample of 99 identified companies that effected a sale as a going concern in a trading administration in 2010, to identify the influence of a number of key variables on the outcome for the purchaser in the process. A binomial logistic regression (with logit link) has been carried out on the 93 cases for which data is available for the three responses (failure of purchaser within 12, 24 and 36 months) and the following variables were found to be significant:</w:t>
      </w:r>
    </w:p>
    <w:p w:rsidR="00C12A83" w:rsidRPr="007C04D7" w:rsidRDefault="00C12A83" w:rsidP="00C12A83">
      <w:pPr>
        <w:pStyle w:val="TableHeading"/>
        <w:numPr>
          <w:ilvl w:val="0"/>
          <w:numId w:val="38"/>
        </w:numPr>
        <w:spacing w:line="240" w:lineRule="auto"/>
        <w:rPr>
          <w:b w:val="0"/>
          <w:bCs/>
          <w:sz w:val="24"/>
          <w:szCs w:val="24"/>
        </w:rPr>
      </w:pPr>
      <w:r w:rsidRPr="007C04D7">
        <w:rPr>
          <w:b w:val="0"/>
          <w:bCs/>
          <w:sz w:val="24"/>
          <w:szCs w:val="24"/>
        </w:rPr>
        <w:t>whether deferred consideration was payable; and</w:t>
      </w:r>
    </w:p>
    <w:p w:rsidR="00C12A83" w:rsidRPr="007C04D7" w:rsidRDefault="00C12A83" w:rsidP="00C12A83">
      <w:pPr>
        <w:pStyle w:val="TableHeading"/>
        <w:numPr>
          <w:ilvl w:val="0"/>
          <w:numId w:val="38"/>
        </w:numPr>
        <w:spacing w:line="240" w:lineRule="auto"/>
        <w:rPr>
          <w:b w:val="0"/>
          <w:bCs/>
          <w:sz w:val="24"/>
          <w:szCs w:val="24"/>
        </w:rPr>
      </w:pPr>
      <w:r w:rsidRPr="007C04D7">
        <w:rPr>
          <w:b w:val="0"/>
          <w:bCs/>
          <w:sz w:val="24"/>
          <w:szCs w:val="24"/>
        </w:rPr>
        <w:t>if there was a sale to a connected party.</w:t>
      </w:r>
    </w:p>
    <w:p w:rsidR="00C12A83" w:rsidRPr="007C04D7"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7C04D7">
        <w:rPr>
          <w:b w:val="0"/>
          <w:bCs/>
          <w:sz w:val="24"/>
          <w:szCs w:val="24"/>
        </w:rPr>
        <w:lastRenderedPageBreak/>
        <w:t xml:space="preserve">It should be remembered that as this is a much smaller sample than for the </w:t>
      </w:r>
      <w:r>
        <w:rPr>
          <w:b w:val="0"/>
          <w:bCs/>
          <w:sz w:val="24"/>
          <w:szCs w:val="24"/>
        </w:rPr>
        <w:t xml:space="preserve">regression analysis conducted for the </w:t>
      </w:r>
      <w:r w:rsidRPr="007C04D7">
        <w:rPr>
          <w:b w:val="0"/>
          <w:bCs/>
          <w:sz w:val="24"/>
          <w:szCs w:val="24"/>
        </w:rPr>
        <w:t>pre</w:t>
      </w:r>
      <w:r>
        <w:rPr>
          <w:b w:val="0"/>
          <w:bCs/>
          <w:sz w:val="24"/>
          <w:szCs w:val="24"/>
        </w:rPr>
        <w:t>-</w:t>
      </w:r>
      <w:r w:rsidRPr="007C04D7">
        <w:rPr>
          <w:b w:val="0"/>
          <w:bCs/>
          <w:sz w:val="24"/>
          <w:szCs w:val="24"/>
        </w:rPr>
        <w:t>packs</w:t>
      </w:r>
      <w:r>
        <w:rPr>
          <w:b w:val="0"/>
          <w:bCs/>
          <w:sz w:val="24"/>
          <w:szCs w:val="24"/>
        </w:rPr>
        <w:t>,</w:t>
      </w:r>
      <w:r w:rsidRPr="007C04D7">
        <w:rPr>
          <w:b w:val="0"/>
          <w:bCs/>
          <w:sz w:val="24"/>
          <w:szCs w:val="24"/>
        </w:rPr>
        <w:t xml:space="preserve"> </w:t>
      </w:r>
      <w:r w:rsidR="0096050E">
        <w:rPr>
          <w:b w:val="0"/>
          <w:bCs/>
          <w:sz w:val="24"/>
          <w:szCs w:val="24"/>
        </w:rPr>
        <w:t>‘</w:t>
      </w:r>
      <w:r>
        <w:rPr>
          <w:b w:val="0"/>
          <w:bCs/>
          <w:sz w:val="24"/>
          <w:szCs w:val="24"/>
        </w:rPr>
        <w:t>significant evidence</w:t>
      </w:r>
      <w:r w:rsidR="0096050E">
        <w:rPr>
          <w:b w:val="0"/>
          <w:bCs/>
          <w:sz w:val="24"/>
          <w:szCs w:val="24"/>
        </w:rPr>
        <w:t>’</w:t>
      </w:r>
      <w:r>
        <w:rPr>
          <w:b w:val="0"/>
          <w:bCs/>
          <w:sz w:val="24"/>
          <w:szCs w:val="24"/>
        </w:rPr>
        <w:t xml:space="preserve"> is harder to obtain.</w:t>
      </w:r>
    </w:p>
    <w:p w:rsidR="00C12A83" w:rsidRDefault="00C12A83" w:rsidP="00C12A83">
      <w:pPr>
        <w:pStyle w:val="TableHeading"/>
        <w:spacing w:line="240" w:lineRule="auto"/>
        <w:rPr>
          <w:b w:val="0"/>
          <w:bCs/>
          <w:sz w:val="24"/>
          <w:szCs w:val="24"/>
        </w:rPr>
      </w:pPr>
    </w:p>
    <w:p w:rsidR="00C12A83" w:rsidRPr="007C04D7" w:rsidRDefault="00C12A83" w:rsidP="00C12A83">
      <w:pPr>
        <w:pStyle w:val="TableHeading"/>
        <w:spacing w:line="240" w:lineRule="auto"/>
        <w:rPr>
          <w:b w:val="0"/>
          <w:bCs/>
          <w:sz w:val="24"/>
          <w:szCs w:val="24"/>
        </w:rPr>
      </w:pPr>
      <w:r w:rsidRPr="007C04D7">
        <w:rPr>
          <w:b w:val="0"/>
          <w:bCs/>
          <w:sz w:val="24"/>
          <w:szCs w:val="24"/>
        </w:rPr>
        <w:t>The results of each of the models (i.e. looking at failure at 12, 24 and 36 months) are set out below. The model data is set out in Appendix 10 for completeness.</w:t>
      </w:r>
    </w:p>
    <w:p w:rsidR="00C12A83" w:rsidRPr="00FE57A9" w:rsidRDefault="00C12A83" w:rsidP="00C12A83">
      <w:pPr>
        <w:pStyle w:val="TableHeading"/>
        <w:spacing w:line="240" w:lineRule="auto"/>
        <w:rPr>
          <w:b w:val="0"/>
          <w:bCs/>
          <w:i/>
          <w:sz w:val="24"/>
          <w:szCs w:val="24"/>
        </w:rPr>
      </w:pPr>
    </w:p>
    <w:p w:rsidR="00C12A83" w:rsidRPr="007C04D7" w:rsidRDefault="00C12A83" w:rsidP="00C12A83">
      <w:pPr>
        <w:pStyle w:val="TableHeading"/>
        <w:spacing w:line="240" w:lineRule="auto"/>
        <w:rPr>
          <w:b w:val="0"/>
          <w:bCs/>
          <w:sz w:val="24"/>
          <w:szCs w:val="24"/>
        </w:rPr>
      </w:pPr>
      <w:r w:rsidRPr="007C04D7">
        <w:rPr>
          <w:b w:val="0"/>
          <w:bCs/>
          <w:sz w:val="24"/>
          <w:szCs w:val="24"/>
        </w:rPr>
        <w:t>The impact of other variables not referred to below was investigated, but none were found to be significant. It should be borne in mind that this does not necessarily imply that there is no relationship between these variables and chances of failure of the purchaser, but that variation in the chances of survival are already accounted for by variables already in the model.</w:t>
      </w:r>
    </w:p>
    <w:p w:rsidR="00C12A83" w:rsidRDefault="00C12A83" w:rsidP="00C12A83">
      <w:pPr>
        <w:pStyle w:val="TableHeading"/>
        <w:spacing w:line="240" w:lineRule="auto"/>
        <w:rPr>
          <w:b w:val="0"/>
          <w:bCs/>
          <w:sz w:val="24"/>
          <w:szCs w:val="24"/>
        </w:rPr>
      </w:pPr>
      <w:r>
        <w:rPr>
          <w:b w:val="0"/>
          <w:bCs/>
          <w:sz w:val="24"/>
          <w:szCs w:val="24"/>
        </w:rPr>
        <w:t xml:space="preserve"> </w:t>
      </w:r>
    </w:p>
    <w:p w:rsidR="00C12A83" w:rsidRPr="00375B0B" w:rsidRDefault="005869A7" w:rsidP="00C12A83">
      <w:pPr>
        <w:pStyle w:val="TableHeading"/>
        <w:spacing w:line="240" w:lineRule="auto"/>
        <w:rPr>
          <w:bCs/>
          <w:sz w:val="24"/>
          <w:szCs w:val="24"/>
        </w:rPr>
      </w:pPr>
      <w:r>
        <w:rPr>
          <w:bCs/>
          <w:sz w:val="24"/>
          <w:szCs w:val="24"/>
        </w:rPr>
        <w:t>B</w:t>
      </w:r>
      <w:r w:rsidR="00C12A83" w:rsidRPr="00375B0B">
        <w:rPr>
          <w:bCs/>
          <w:sz w:val="24"/>
          <w:szCs w:val="24"/>
        </w:rPr>
        <w:t>4.1 Failure of purchaser at 36 months</w:t>
      </w:r>
    </w:p>
    <w:p w:rsidR="00C12A83" w:rsidRPr="00DE3885" w:rsidRDefault="00C12A83" w:rsidP="00C12A83">
      <w:pPr>
        <w:pStyle w:val="TableHeading"/>
        <w:spacing w:line="240" w:lineRule="auto"/>
        <w:rPr>
          <w:b w:val="0"/>
          <w:bCs/>
          <w:sz w:val="24"/>
          <w:szCs w:val="24"/>
        </w:rPr>
      </w:pPr>
    </w:p>
    <w:p w:rsidR="00C12A83" w:rsidRPr="007C04D7" w:rsidRDefault="005869A7" w:rsidP="00C12A83">
      <w:pPr>
        <w:pStyle w:val="TableHeading"/>
        <w:spacing w:line="240" w:lineRule="auto"/>
        <w:rPr>
          <w:bCs/>
          <w:sz w:val="24"/>
          <w:szCs w:val="24"/>
        </w:rPr>
      </w:pPr>
      <w:r>
        <w:rPr>
          <w:bCs/>
          <w:sz w:val="24"/>
          <w:szCs w:val="24"/>
        </w:rPr>
        <w:t>B</w:t>
      </w:r>
      <w:r w:rsidR="00C12A83" w:rsidRPr="007C04D7">
        <w:rPr>
          <w:bCs/>
          <w:sz w:val="24"/>
          <w:szCs w:val="24"/>
        </w:rPr>
        <w:t xml:space="preserve">4.1.1. </w:t>
      </w:r>
      <w:r w:rsidR="0096050E">
        <w:rPr>
          <w:bCs/>
          <w:sz w:val="24"/>
          <w:szCs w:val="24"/>
        </w:rPr>
        <w:t>P</w:t>
      </w:r>
      <w:r w:rsidR="00C12A83" w:rsidRPr="007C04D7">
        <w:rPr>
          <w:bCs/>
          <w:sz w:val="24"/>
          <w:szCs w:val="24"/>
        </w:rPr>
        <w:t xml:space="preserve">oints </w:t>
      </w:r>
      <w:r w:rsidR="0096050E">
        <w:rPr>
          <w:bCs/>
          <w:sz w:val="24"/>
          <w:szCs w:val="24"/>
        </w:rPr>
        <w:t>to</w:t>
      </w:r>
      <w:r w:rsidR="00C12A83" w:rsidRPr="007C04D7">
        <w:rPr>
          <w:bCs/>
          <w:sz w:val="24"/>
          <w:szCs w:val="24"/>
        </w:rPr>
        <w:t xml:space="preserve"> note</w:t>
      </w:r>
    </w:p>
    <w:p w:rsidR="00C12A83" w:rsidRPr="007C04D7" w:rsidRDefault="00C12A83" w:rsidP="00C12A83">
      <w:pPr>
        <w:pStyle w:val="TableHeading"/>
        <w:spacing w:line="240" w:lineRule="auto"/>
        <w:rPr>
          <w:b w:val="0"/>
          <w:bCs/>
          <w:sz w:val="24"/>
          <w:szCs w:val="24"/>
        </w:rPr>
      </w:pPr>
    </w:p>
    <w:p w:rsidR="00C12A83" w:rsidRPr="007C04D7" w:rsidRDefault="00C12A83" w:rsidP="00C12A83">
      <w:pPr>
        <w:pStyle w:val="TableHeading"/>
        <w:numPr>
          <w:ilvl w:val="0"/>
          <w:numId w:val="36"/>
        </w:numPr>
        <w:spacing w:line="240" w:lineRule="auto"/>
        <w:rPr>
          <w:b w:val="0"/>
          <w:bCs/>
          <w:sz w:val="24"/>
          <w:szCs w:val="24"/>
        </w:rPr>
      </w:pPr>
      <w:r w:rsidRPr="007C04D7">
        <w:rPr>
          <w:b w:val="0"/>
          <w:bCs/>
          <w:sz w:val="24"/>
          <w:szCs w:val="24"/>
        </w:rPr>
        <w:t>20.4% of purchasers</w:t>
      </w:r>
      <w:r>
        <w:rPr>
          <w:b w:val="0"/>
          <w:bCs/>
          <w:sz w:val="24"/>
          <w:szCs w:val="24"/>
        </w:rPr>
        <w:t xml:space="preserve"> in a trading administration </w:t>
      </w:r>
      <w:r w:rsidRPr="007C04D7">
        <w:rPr>
          <w:b w:val="0"/>
          <w:bCs/>
          <w:sz w:val="24"/>
          <w:szCs w:val="24"/>
        </w:rPr>
        <w:t>have failed within 36 months of the sale completing</w:t>
      </w:r>
      <w:r>
        <w:rPr>
          <w:b w:val="0"/>
          <w:bCs/>
          <w:sz w:val="24"/>
          <w:szCs w:val="24"/>
        </w:rPr>
        <w:t>.</w:t>
      </w:r>
    </w:p>
    <w:p w:rsidR="00C12A83" w:rsidRPr="007C04D7" w:rsidRDefault="00C12A83" w:rsidP="00C12A83">
      <w:pPr>
        <w:pStyle w:val="TableHeading"/>
        <w:numPr>
          <w:ilvl w:val="0"/>
          <w:numId w:val="36"/>
        </w:numPr>
        <w:spacing w:line="240" w:lineRule="auto"/>
        <w:rPr>
          <w:b w:val="0"/>
          <w:bCs/>
          <w:sz w:val="24"/>
          <w:szCs w:val="24"/>
        </w:rPr>
      </w:pPr>
      <w:r>
        <w:rPr>
          <w:b w:val="0"/>
          <w:bCs/>
          <w:sz w:val="24"/>
          <w:szCs w:val="24"/>
        </w:rPr>
        <w:t>C</w:t>
      </w:r>
      <w:r w:rsidRPr="007C04D7">
        <w:rPr>
          <w:b w:val="0"/>
          <w:bCs/>
          <w:sz w:val="24"/>
          <w:szCs w:val="24"/>
        </w:rPr>
        <w:t xml:space="preserve">onnected Sale and Deferred Consideration were present (either individually or together) in 36.6% of cases. </w:t>
      </w:r>
      <w:r>
        <w:rPr>
          <w:b w:val="0"/>
          <w:bCs/>
          <w:sz w:val="24"/>
          <w:szCs w:val="24"/>
        </w:rPr>
        <w:t>T</w:t>
      </w:r>
      <w:r w:rsidRPr="007C04D7">
        <w:rPr>
          <w:b w:val="0"/>
          <w:bCs/>
          <w:sz w:val="24"/>
          <w:szCs w:val="24"/>
        </w:rPr>
        <w:t>his is nearly half the corres</w:t>
      </w:r>
      <w:r>
        <w:rPr>
          <w:b w:val="0"/>
          <w:bCs/>
          <w:sz w:val="24"/>
          <w:szCs w:val="24"/>
        </w:rPr>
        <w:t>ponding percentage for pre-packs</w:t>
      </w:r>
      <w:r w:rsidRPr="007C04D7">
        <w:rPr>
          <w:b w:val="0"/>
          <w:bCs/>
          <w:sz w:val="24"/>
          <w:szCs w:val="24"/>
        </w:rPr>
        <w:t>.</w:t>
      </w:r>
    </w:p>
    <w:p w:rsidR="00C12A83" w:rsidRDefault="00C12A83" w:rsidP="00C12A83">
      <w:pPr>
        <w:pStyle w:val="TableHeading"/>
        <w:numPr>
          <w:ilvl w:val="0"/>
          <w:numId w:val="36"/>
        </w:numPr>
        <w:spacing w:line="240" w:lineRule="auto"/>
        <w:rPr>
          <w:b w:val="0"/>
          <w:bCs/>
          <w:sz w:val="24"/>
          <w:szCs w:val="24"/>
        </w:rPr>
      </w:pPr>
      <w:r w:rsidRPr="007C04D7">
        <w:rPr>
          <w:b w:val="0"/>
          <w:bCs/>
          <w:sz w:val="24"/>
          <w:szCs w:val="24"/>
        </w:rPr>
        <w:t>Both Connected Sale and Deferred Consideration were present in 8.6% of cases</w:t>
      </w:r>
      <w:r>
        <w:rPr>
          <w:b w:val="0"/>
          <w:bCs/>
          <w:sz w:val="24"/>
          <w:szCs w:val="24"/>
        </w:rPr>
        <w:t xml:space="preserve">, </w:t>
      </w:r>
      <w:r w:rsidRPr="007C04D7">
        <w:rPr>
          <w:b w:val="0"/>
          <w:bCs/>
          <w:sz w:val="24"/>
          <w:szCs w:val="24"/>
        </w:rPr>
        <w:t xml:space="preserve">as opposed </w:t>
      </w:r>
      <w:r>
        <w:rPr>
          <w:b w:val="0"/>
          <w:bCs/>
          <w:sz w:val="24"/>
          <w:szCs w:val="24"/>
        </w:rPr>
        <w:t>to 44.6% of cases for pre-packs.</w:t>
      </w:r>
    </w:p>
    <w:p w:rsidR="00C12A83" w:rsidRPr="007C04D7" w:rsidRDefault="00C12A83" w:rsidP="00C12A83">
      <w:pPr>
        <w:pStyle w:val="TableHeading"/>
        <w:numPr>
          <w:ilvl w:val="0"/>
          <w:numId w:val="36"/>
        </w:numPr>
        <w:spacing w:line="240" w:lineRule="auto"/>
        <w:rPr>
          <w:b w:val="0"/>
          <w:bCs/>
          <w:sz w:val="24"/>
          <w:szCs w:val="24"/>
        </w:rPr>
      </w:pPr>
      <w:r>
        <w:rPr>
          <w:b w:val="0"/>
          <w:bCs/>
          <w:sz w:val="24"/>
          <w:szCs w:val="24"/>
        </w:rPr>
        <w:t xml:space="preserve">There is </w:t>
      </w:r>
      <w:r w:rsidRPr="00724550">
        <w:rPr>
          <w:b w:val="0"/>
          <w:bCs/>
          <w:sz w:val="24"/>
          <w:szCs w:val="24"/>
        </w:rPr>
        <w:t xml:space="preserve">no significant interaction between </w:t>
      </w:r>
      <w:r>
        <w:rPr>
          <w:b w:val="0"/>
          <w:bCs/>
          <w:sz w:val="24"/>
          <w:szCs w:val="24"/>
        </w:rPr>
        <w:t>c</w:t>
      </w:r>
      <w:r w:rsidRPr="00724550">
        <w:rPr>
          <w:b w:val="0"/>
          <w:bCs/>
          <w:sz w:val="24"/>
          <w:szCs w:val="24"/>
        </w:rPr>
        <w:t xml:space="preserve">onnected </w:t>
      </w:r>
      <w:r>
        <w:rPr>
          <w:b w:val="0"/>
          <w:bCs/>
          <w:sz w:val="24"/>
          <w:szCs w:val="24"/>
        </w:rPr>
        <w:t>sale</w:t>
      </w:r>
      <w:r w:rsidRPr="00724550">
        <w:rPr>
          <w:b w:val="0"/>
          <w:bCs/>
          <w:sz w:val="24"/>
          <w:szCs w:val="24"/>
        </w:rPr>
        <w:t xml:space="preserve"> and </w:t>
      </w:r>
      <w:r>
        <w:rPr>
          <w:b w:val="0"/>
          <w:bCs/>
          <w:sz w:val="24"/>
          <w:szCs w:val="24"/>
        </w:rPr>
        <w:t>d</w:t>
      </w:r>
      <w:r w:rsidRPr="00724550">
        <w:rPr>
          <w:b w:val="0"/>
          <w:bCs/>
          <w:sz w:val="24"/>
          <w:szCs w:val="24"/>
        </w:rPr>
        <w:t xml:space="preserve">eferred </w:t>
      </w:r>
      <w:r>
        <w:rPr>
          <w:b w:val="0"/>
          <w:bCs/>
          <w:sz w:val="24"/>
          <w:szCs w:val="24"/>
        </w:rPr>
        <w:t>consideration, however</w:t>
      </w:r>
      <w:r w:rsidRPr="00724550">
        <w:rPr>
          <w:b w:val="0"/>
          <w:bCs/>
          <w:sz w:val="24"/>
          <w:szCs w:val="24"/>
        </w:rPr>
        <w:t xml:space="preserve"> the interaction term has been retained in the model to reflect the pre</w:t>
      </w:r>
      <w:r>
        <w:rPr>
          <w:b w:val="0"/>
          <w:bCs/>
          <w:sz w:val="24"/>
          <w:szCs w:val="24"/>
        </w:rPr>
        <w:t>-</w:t>
      </w:r>
      <w:r w:rsidRPr="00724550">
        <w:rPr>
          <w:b w:val="0"/>
          <w:bCs/>
          <w:sz w:val="24"/>
          <w:szCs w:val="24"/>
        </w:rPr>
        <w:t>pack</w:t>
      </w:r>
      <w:r>
        <w:rPr>
          <w:b w:val="0"/>
          <w:bCs/>
          <w:sz w:val="24"/>
          <w:szCs w:val="24"/>
        </w:rPr>
        <w:t xml:space="preserve"> model.</w:t>
      </w:r>
    </w:p>
    <w:p w:rsidR="00C12A83" w:rsidRPr="007C04D7" w:rsidRDefault="00C12A83" w:rsidP="00C12A83">
      <w:pPr>
        <w:pStyle w:val="TableHeading"/>
        <w:spacing w:line="240" w:lineRule="auto"/>
        <w:rPr>
          <w:b w:val="0"/>
          <w:bCs/>
          <w:sz w:val="24"/>
          <w:szCs w:val="24"/>
        </w:rPr>
      </w:pPr>
    </w:p>
    <w:p w:rsidR="00C12A83" w:rsidRPr="007C04D7" w:rsidRDefault="005869A7" w:rsidP="005869A7">
      <w:pPr>
        <w:pStyle w:val="TableHeading"/>
        <w:spacing w:line="240" w:lineRule="auto"/>
        <w:ind w:left="833" w:hanging="833"/>
        <w:rPr>
          <w:bCs/>
          <w:sz w:val="24"/>
          <w:szCs w:val="24"/>
        </w:rPr>
      </w:pPr>
      <w:r>
        <w:rPr>
          <w:bCs/>
          <w:sz w:val="24"/>
          <w:szCs w:val="24"/>
        </w:rPr>
        <w:t>B</w:t>
      </w:r>
      <w:r w:rsidR="00C12A83" w:rsidRPr="007C04D7">
        <w:rPr>
          <w:bCs/>
          <w:sz w:val="24"/>
          <w:szCs w:val="24"/>
        </w:rPr>
        <w:t xml:space="preserve">4.1.2 </w:t>
      </w:r>
      <w:r>
        <w:rPr>
          <w:bCs/>
          <w:sz w:val="24"/>
          <w:szCs w:val="24"/>
        </w:rPr>
        <w:tab/>
      </w:r>
      <w:r w:rsidR="00C12A83" w:rsidRPr="007C04D7">
        <w:rPr>
          <w:bCs/>
          <w:sz w:val="24"/>
          <w:szCs w:val="24"/>
        </w:rPr>
        <w:t>Failure rate at 36 months: Impact of Deferred Consideration and Connected Sale</w:t>
      </w:r>
    </w:p>
    <w:p w:rsidR="00C12A83" w:rsidRDefault="00C12A83" w:rsidP="00C12A83">
      <w:pPr>
        <w:pStyle w:val="TableHeading"/>
        <w:spacing w:line="240" w:lineRule="auto"/>
        <w:rPr>
          <w:b w:val="0"/>
          <w:bCs/>
          <w:sz w:val="24"/>
          <w:szCs w:val="24"/>
        </w:rPr>
      </w:pPr>
    </w:p>
    <w:tbl>
      <w:tblPr>
        <w:tblW w:w="9464" w:type="dxa"/>
        <w:tblCellMar>
          <w:left w:w="0" w:type="dxa"/>
          <w:right w:w="0" w:type="dxa"/>
        </w:tblCellMar>
        <w:tblLook w:val="04A0" w:firstRow="1" w:lastRow="0" w:firstColumn="1" w:lastColumn="0" w:noHBand="0" w:noVBand="1"/>
      </w:tblPr>
      <w:tblGrid>
        <w:gridCol w:w="2235"/>
        <w:gridCol w:w="2551"/>
        <w:gridCol w:w="2552"/>
        <w:gridCol w:w="2126"/>
      </w:tblGrid>
      <w:tr w:rsidR="00C12A83" w:rsidRPr="009B6494"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7C04D7" w:rsidRDefault="00C12A83" w:rsidP="00820FE6">
            <w:pPr>
              <w:spacing w:after="160" w:line="259" w:lineRule="auto"/>
              <w:rPr>
                <w:rFonts w:eastAsia="Calibri" w:cs="Arial"/>
              </w:rPr>
            </w:pP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7C04D7" w:rsidRDefault="00C12A83" w:rsidP="00820FE6">
            <w:pPr>
              <w:spacing w:after="160" w:line="259" w:lineRule="auto"/>
              <w:jc w:val="center"/>
              <w:rPr>
                <w:rFonts w:cs="Arial"/>
                <w:b/>
                <w:lang w:eastAsia="en-GB"/>
              </w:rPr>
            </w:pPr>
            <w:r w:rsidRPr="007C04D7">
              <w:rPr>
                <w:rFonts w:cs="Arial"/>
                <w:b/>
                <w:lang w:eastAsia="en-GB"/>
              </w:rPr>
              <w:t>Deferred consideration</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7C04D7" w:rsidRDefault="00C12A83" w:rsidP="00820FE6">
            <w:pPr>
              <w:spacing w:after="160" w:line="259" w:lineRule="auto"/>
              <w:jc w:val="center"/>
              <w:rPr>
                <w:rFonts w:cs="Arial"/>
                <w:b/>
                <w:lang w:eastAsia="en-GB"/>
              </w:rPr>
            </w:pPr>
            <w:r w:rsidRPr="007C04D7">
              <w:rPr>
                <w:rFonts w:cs="Arial"/>
                <w:b/>
                <w:lang w:eastAsia="en-GB"/>
              </w:rPr>
              <w:t>Not deferred consideration</w:t>
            </w:r>
          </w:p>
        </w:tc>
        <w:tc>
          <w:tcPr>
            <w:tcW w:w="2126" w:type="dxa"/>
            <w:tcBorders>
              <w:top w:val="single" w:sz="8" w:space="0" w:color="auto"/>
              <w:left w:val="nil"/>
              <w:bottom w:val="single" w:sz="8" w:space="0" w:color="auto"/>
              <w:right w:val="single" w:sz="8" w:space="0" w:color="auto"/>
            </w:tcBorders>
            <w:hideMark/>
          </w:tcPr>
          <w:p w:rsidR="00C12A83" w:rsidRPr="007C04D7" w:rsidRDefault="00C12A83" w:rsidP="00820FE6">
            <w:pPr>
              <w:spacing w:after="160" w:line="259" w:lineRule="auto"/>
              <w:jc w:val="center"/>
              <w:rPr>
                <w:rFonts w:cs="Arial"/>
                <w:b/>
                <w:lang w:eastAsia="en-GB"/>
              </w:rPr>
            </w:pPr>
            <w:r w:rsidRPr="007C04D7">
              <w:rPr>
                <w:rFonts w:cs="Arial"/>
                <w:b/>
                <w:lang w:eastAsia="en-GB"/>
              </w:rPr>
              <w:t>Total</w:t>
            </w:r>
          </w:p>
        </w:tc>
      </w:tr>
      <w:tr w:rsidR="00C12A83" w:rsidRPr="009B6494"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7C04D7" w:rsidRDefault="00C12A83" w:rsidP="00820FE6">
            <w:pPr>
              <w:spacing w:after="160" w:line="259" w:lineRule="auto"/>
              <w:rPr>
                <w:rFonts w:cs="Arial"/>
                <w:b/>
                <w:lang w:eastAsia="en-GB"/>
              </w:rPr>
            </w:pPr>
            <w:r w:rsidRPr="007C04D7">
              <w:rPr>
                <w:rFonts w:cs="Arial"/>
                <w:b/>
                <w:lang w:eastAsia="en-GB"/>
              </w:rPr>
              <w:t>Connected sale</w:t>
            </w:r>
          </w:p>
        </w:tc>
        <w:tc>
          <w:tcPr>
            <w:tcW w:w="255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7C04D7" w:rsidRDefault="00C12A83" w:rsidP="00820FE6">
            <w:pPr>
              <w:spacing w:after="160" w:line="259" w:lineRule="auto"/>
              <w:jc w:val="center"/>
              <w:rPr>
                <w:rFonts w:cs="Arial"/>
                <w:lang w:eastAsia="en-GB"/>
              </w:rPr>
            </w:pPr>
            <w:r w:rsidRPr="007C04D7">
              <w:rPr>
                <w:rFonts w:cs="Arial"/>
                <w:lang w:eastAsia="en-GB"/>
              </w:rPr>
              <w:t>67.5% (5/8)</w:t>
            </w:r>
          </w:p>
        </w:tc>
        <w:tc>
          <w:tcPr>
            <w:tcW w:w="255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7C04D7" w:rsidRDefault="00C12A83" w:rsidP="00820FE6">
            <w:pPr>
              <w:tabs>
                <w:tab w:val="left" w:pos="851"/>
                <w:tab w:val="center" w:pos="1309"/>
              </w:tabs>
              <w:spacing w:after="160" w:line="259" w:lineRule="auto"/>
              <w:jc w:val="center"/>
              <w:rPr>
                <w:rFonts w:cs="Arial"/>
                <w:lang w:eastAsia="en-GB"/>
              </w:rPr>
            </w:pPr>
            <w:r w:rsidRPr="007C04D7">
              <w:rPr>
                <w:rFonts w:cs="Arial"/>
                <w:lang w:eastAsia="en-GB"/>
              </w:rPr>
              <w:t>60.0% (6/10)</w:t>
            </w:r>
          </w:p>
        </w:tc>
        <w:tc>
          <w:tcPr>
            <w:tcW w:w="2126" w:type="dxa"/>
            <w:tcBorders>
              <w:top w:val="nil"/>
              <w:left w:val="nil"/>
              <w:bottom w:val="single" w:sz="4" w:space="0" w:color="auto"/>
              <w:right w:val="single" w:sz="8" w:space="0" w:color="auto"/>
            </w:tcBorders>
            <w:vAlign w:val="center"/>
            <w:hideMark/>
          </w:tcPr>
          <w:p w:rsidR="00C12A83" w:rsidRPr="007C04D7" w:rsidRDefault="00C12A83" w:rsidP="00820FE6">
            <w:pPr>
              <w:spacing w:after="160" w:line="259" w:lineRule="auto"/>
              <w:jc w:val="center"/>
              <w:rPr>
                <w:rFonts w:cs="Arial"/>
                <w:lang w:eastAsia="en-GB"/>
              </w:rPr>
            </w:pPr>
            <w:r>
              <w:rPr>
                <w:rFonts w:cs="Arial"/>
                <w:lang w:eastAsia="en-GB"/>
              </w:rPr>
              <w:t>61.1</w:t>
            </w:r>
            <w:r w:rsidRPr="007C04D7">
              <w:rPr>
                <w:rFonts w:cs="Arial"/>
                <w:lang w:eastAsia="en-GB"/>
              </w:rPr>
              <w:t>% (11/18)</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7C04D7" w:rsidRDefault="00C12A83" w:rsidP="00820FE6">
            <w:pPr>
              <w:spacing w:after="160" w:line="259" w:lineRule="auto"/>
              <w:rPr>
                <w:rFonts w:cs="Arial"/>
                <w:b/>
                <w:lang w:eastAsia="en-GB"/>
              </w:rPr>
            </w:pPr>
            <w:r w:rsidRPr="007C04D7">
              <w:rPr>
                <w:rFonts w:cs="Arial"/>
                <w:b/>
                <w:lang w:eastAsia="en-GB"/>
              </w:rPr>
              <w:t>Not connected sale</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C04D7" w:rsidRDefault="00C12A83" w:rsidP="00820FE6">
            <w:pPr>
              <w:spacing w:after="160" w:line="259" w:lineRule="auto"/>
              <w:jc w:val="center"/>
              <w:rPr>
                <w:rFonts w:cs="Arial"/>
                <w:lang w:eastAsia="en-GB"/>
              </w:rPr>
            </w:pPr>
            <w:r w:rsidRPr="007C04D7">
              <w:rPr>
                <w:rFonts w:cs="Arial"/>
                <w:lang w:eastAsia="en-GB"/>
              </w:rPr>
              <w:t>25.0% (4/16)</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C04D7" w:rsidRDefault="00C12A83" w:rsidP="00820FE6">
            <w:pPr>
              <w:tabs>
                <w:tab w:val="left" w:pos="1089"/>
                <w:tab w:val="center" w:pos="1309"/>
              </w:tabs>
              <w:spacing w:after="160" w:line="259" w:lineRule="auto"/>
              <w:jc w:val="center"/>
              <w:rPr>
                <w:rFonts w:cs="Arial"/>
                <w:lang w:eastAsia="en-GB"/>
              </w:rPr>
            </w:pPr>
            <w:r w:rsidRPr="007C04D7">
              <w:rPr>
                <w:rFonts w:cs="Arial"/>
                <w:lang w:eastAsia="en-GB"/>
              </w:rPr>
              <w:t>6.8% (4/59)</w:t>
            </w:r>
          </w:p>
        </w:tc>
        <w:tc>
          <w:tcPr>
            <w:tcW w:w="2126" w:type="dxa"/>
            <w:tcBorders>
              <w:top w:val="single" w:sz="4" w:space="0" w:color="auto"/>
              <w:left w:val="single" w:sz="4" w:space="0" w:color="auto"/>
              <w:bottom w:val="single" w:sz="4" w:space="0" w:color="auto"/>
              <w:right w:val="single" w:sz="4" w:space="0" w:color="auto"/>
            </w:tcBorders>
            <w:vAlign w:val="center"/>
            <w:hideMark/>
          </w:tcPr>
          <w:p w:rsidR="00C12A83" w:rsidRPr="007C04D7" w:rsidRDefault="00C12A83" w:rsidP="00820FE6">
            <w:pPr>
              <w:spacing w:after="160" w:line="259" w:lineRule="auto"/>
              <w:jc w:val="center"/>
              <w:rPr>
                <w:rFonts w:cs="Arial"/>
                <w:lang w:eastAsia="en-GB"/>
              </w:rPr>
            </w:pPr>
            <w:r>
              <w:rPr>
                <w:rFonts w:cs="Arial"/>
                <w:lang w:eastAsia="en-GB"/>
              </w:rPr>
              <w:t>10.6</w:t>
            </w:r>
            <w:r w:rsidRPr="007C04D7">
              <w:rPr>
                <w:rFonts w:cs="Arial"/>
                <w:lang w:eastAsia="en-GB"/>
              </w:rPr>
              <w:t>% (8/75)</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7C04D7" w:rsidRDefault="00C12A83" w:rsidP="00820FE6">
            <w:pPr>
              <w:spacing w:after="160" w:line="259" w:lineRule="auto"/>
              <w:rPr>
                <w:rFonts w:cs="Arial"/>
                <w:b/>
                <w:lang w:eastAsia="en-GB"/>
              </w:rPr>
            </w:pPr>
            <w:r w:rsidRPr="007C04D7">
              <w:rPr>
                <w:rFonts w:cs="Arial"/>
                <w:b/>
                <w:lang w:eastAsia="en-GB"/>
              </w:rPr>
              <w:t>Total</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C04D7" w:rsidRDefault="00C12A83" w:rsidP="00820FE6">
            <w:pPr>
              <w:spacing w:after="160" w:line="259" w:lineRule="auto"/>
              <w:jc w:val="center"/>
              <w:rPr>
                <w:rFonts w:cs="Arial"/>
                <w:lang w:eastAsia="en-GB"/>
              </w:rPr>
            </w:pPr>
            <w:r w:rsidRPr="007C04D7">
              <w:rPr>
                <w:rFonts w:cs="Arial"/>
                <w:lang w:eastAsia="en-GB"/>
              </w:rPr>
              <w:t>3</w:t>
            </w:r>
            <w:r>
              <w:rPr>
                <w:rFonts w:cs="Arial"/>
                <w:lang w:eastAsia="en-GB"/>
              </w:rPr>
              <w:t>7.5</w:t>
            </w:r>
            <w:r w:rsidRPr="007C04D7">
              <w:rPr>
                <w:rFonts w:cs="Arial"/>
                <w:lang w:eastAsia="en-GB"/>
              </w:rPr>
              <w:t>% (9/24)</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C04D7" w:rsidRDefault="00C12A83" w:rsidP="00820FE6">
            <w:pPr>
              <w:spacing w:after="160" w:line="259" w:lineRule="auto"/>
              <w:jc w:val="center"/>
              <w:rPr>
                <w:rFonts w:cs="Arial"/>
                <w:lang w:eastAsia="en-GB"/>
              </w:rPr>
            </w:pPr>
            <w:r>
              <w:rPr>
                <w:rFonts w:cs="Arial"/>
                <w:lang w:eastAsia="en-GB"/>
              </w:rPr>
              <w:t>14.5</w:t>
            </w:r>
            <w:r w:rsidRPr="007C04D7">
              <w:rPr>
                <w:rFonts w:cs="Arial"/>
                <w:lang w:eastAsia="en-GB"/>
              </w:rPr>
              <w:t>% (10/69)</w:t>
            </w:r>
          </w:p>
        </w:tc>
        <w:tc>
          <w:tcPr>
            <w:tcW w:w="2126" w:type="dxa"/>
            <w:tcBorders>
              <w:top w:val="single" w:sz="4" w:space="0" w:color="auto"/>
              <w:left w:val="single" w:sz="4" w:space="0" w:color="auto"/>
              <w:bottom w:val="single" w:sz="4" w:space="0" w:color="auto"/>
              <w:right w:val="single" w:sz="4" w:space="0" w:color="auto"/>
            </w:tcBorders>
            <w:vAlign w:val="center"/>
            <w:hideMark/>
          </w:tcPr>
          <w:p w:rsidR="00C12A83" w:rsidRPr="007C04D7" w:rsidRDefault="00C12A83" w:rsidP="00820FE6">
            <w:pPr>
              <w:spacing w:after="160" w:line="259" w:lineRule="auto"/>
              <w:jc w:val="center"/>
              <w:rPr>
                <w:rFonts w:cs="Arial"/>
                <w:lang w:eastAsia="en-GB"/>
              </w:rPr>
            </w:pPr>
            <w:r>
              <w:rPr>
                <w:rFonts w:cs="Arial"/>
                <w:lang w:eastAsia="en-GB"/>
              </w:rPr>
              <w:t>20.4</w:t>
            </w:r>
            <w:r w:rsidRPr="007C04D7">
              <w:rPr>
                <w:rFonts w:cs="Arial"/>
                <w:lang w:eastAsia="en-GB"/>
              </w:rPr>
              <w:t>% (19/93)</w:t>
            </w:r>
          </w:p>
        </w:tc>
      </w:tr>
    </w:tbl>
    <w:p w:rsidR="00C12A83" w:rsidRDefault="00C12A83" w:rsidP="00C12A83">
      <w:pPr>
        <w:pStyle w:val="TableHeading"/>
        <w:spacing w:line="240" w:lineRule="auto"/>
        <w:rPr>
          <w:b w:val="0"/>
          <w:bCs/>
          <w:sz w:val="24"/>
          <w:szCs w:val="24"/>
        </w:rPr>
      </w:pPr>
    </w:p>
    <w:p w:rsidR="00C12A83" w:rsidRPr="00950823" w:rsidRDefault="00C12A83" w:rsidP="00C12A83">
      <w:pPr>
        <w:pStyle w:val="TableHeading"/>
        <w:spacing w:line="240" w:lineRule="auto"/>
        <w:rPr>
          <w:b w:val="0"/>
          <w:bCs/>
          <w:sz w:val="24"/>
          <w:szCs w:val="24"/>
        </w:rPr>
      </w:pPr>
      <w:r w:rsidRPr="00950823">
        <w:rPr>
          <w:b w:val="0"/>
          <w:bCs/>
          <w:sz w:val="24"/>
          <w:szCs w:val="24"/>
        </w:rPr>
        <w:t xml:space="preserve">From the table above we see that, ignoring the presence or absence of deferred consideration, in the observed data 61.1% of connected sales fail within 36 months. Similarly, ignoring the presence or absence of a connected sale, 37.5% of </w:t>
      </w:r>
      <w:r>
        <w:rPr>
          <w:b w:val="0"/>
          <w:bCs/>
          <w:sz w:val="24"/>
          <w:szCs w:val="24"/>
        </w:rPr>
        <w:lastRenderedPageBreak/>
        <w:t>purchasers in trading administration sales</w:t>
      </w:r>
      <w:r w:rsidRPr="00950823">
        <w:rPr>
          <w:b w:val="0"/>
          <w:bCs/>
          <w:sz w:val="24"/>
          <w:szCs w:val="24"/>
        </w:rPr>
        <w:t xml:space="preserve"> where deferred consideration is present fail</w:t>
      </w:r>
      <w:r>
        <w:rPr>
          <w:b w:val="0"/>
          <w:bCs/>
          <w:sz w:val="24"/>
          <w:szCs w:val="24"/>
        </w:rPr>
        <w:t xml:space="preserve"> within 36 months</w:t>
      </w:r>
      <w:r w:rsidRPr="00950823">
        <w:rPr>
          <w:b w:val="0"/>
          <w:bCs/>
          <w:sz w:val="24"/>
          <w:szCs w:val="24"/>
        </w:rPr>
        <w:t>.</w:t>
      </w:r>
    </w:p>
    <w:p w:rsidR="00C12A83" w:rsidRDefault="00C12A83" w:rsidP="00C12A83">
      <w:pPr>
        <w:pStyle w:val="TableHeading"/>
        <w:spacing w:line="240" w:lineRule="auto"/>
        <w:rPr>
          <w:b w:val="0"/>
          <w:bCs/>
          <w:i/>
          <w:sz w:val="24"/>
          <w:szCs w:val="24"/>
        </w:rPr>
      </w:pPr>
    </w:p>
    <w:p w:rsidR="00C12A83" w:rsidRPr="00950823" w:rsidRDefault="00C12A83" w:rsidP="00C12A83">
      <w:pPr>
        <w:pStyle w:val="TableHeading"/>
        <w:spacing w:line="240" w:lineRule="auto"/>
        <w:rPr>
          <w:b w:val="0"/>
          <w:bCs/>
          <w:sz w:val="24"/>
          <w:szCs w:val="24"/>
        </w:rPr>
      </w:pPr>
      <w:r w:rsidRPr="00950823">
        <w:rPr>
          <w:b w:val="0"/>
          <w:bCs/>
          <w:sz w:val="24"/>
          <w:szCs w:val="24"/>
        </w:rPr>
        <w:t>The model shows that the presence of deferred consideration only increases the failure to survival ratio by an estimated factor of 4.57. The presence of connected sale only increases the failure to survival ratio by an estimated factor of 20.6.</w:t>
      </w:r>
    </w:p>
    <w:p w:rsidR="00C12A83" w:rsidRPr="0095082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950823">
        <w:rPr>
          <w:b w:val="0"/>
          <w:bCs/>
          <w:sz w:val="24"/>
          <w:szCs w:val="24"/>
        </w:rPr>
        <w:t xml:space="preserve">The model shows that the presence of a connected </w:t>
      </w:r>
      <w:r>
        <w:rPr>
          <w:b w:val="0"/>
          <w:bCs/>
          <w:sz w:val="24"/>
          <w:szCs w:val="24"/>
        </w:rPr>
        <w:t>s</w:t>
      </w:r>
      <w:r w:rsidRPr="00950823">
        <w:rPr>
          <w:b w:val="0"/>
          <w:bCs/>
          <w:sz w:val="24"/>
          <w:szCs w:val="24"/>
        </w:rPr>
        <w:t xml:space="preserve">ale and the presence of </w:t>
      </w:r>
      <w:r>
        <w:rPr>
          <w:b w:val="0"/>
          <w:bCs/>
          <w:sz w:val="24"/>
          <w:szCs w:val="24"/>
        </w:rPr>
        <w:t>d</w:t>
      </w:r>
      <w:r w:rsidRPr="00950823">
        <w:rPr>
          <w:b w:val="0"/>
          <w:bCs/>
          <w:sz w:val="24"/>
          <w:szCs w:val="24"/>
        </w:rPr>
        <w:t xml:space="preserve">eferred </w:t>
      </w:r>
      <w:r>
        <w:rPr>
          <w:b w:val="0"/>
          <w:bCs/>
          <w:sz w:val="24"/>
          <w:szCs w:val="24"/>
        </w:rPr>
        <w:t>c</w:t>
      </w:r>
      <w:r w:rsidRPr="00950823">
        <w:rPr>
          <w:b w:val="0"/>
          <w:bCs/>
          <w:sz w:val="24"/>
          <w:szCs w:val="24"/>
        </w:rPr>
        <w:t xml:space="preserve">onsideration both increase the </w:t>
      </w:r>
      <w:r>
        <w:rPr>
          <w:b w:val="0"/>
          <w:bCs/>
          <w:sz w:val="24"/>
          <w:szCs w:val="24"/>
        </w:rPr>
        <w:t>chance of failure at 36 months.</w:t>
      </w:r>
      <w:r w:rsidRPr="00950823">
        <w:rPr>
          <w:b w:val="0"/>
          <w:bCs/>
          <w:sz w:val="24"/>
          <w:szCs w:val="24"/>
        </w:rPr>
        <w:t xml:space="preserve"> Where there is no deferred consideration present, </w:t>
      </w:r>
      <w:r>
        <w:rPr>
          <w:b w:val="0"/>
          <w:bCs/>
          <w:sz w:val="24"/>
          <w:szCs w:val="24"/>
        </w:rPr>
        <w:t xml:space="preserve">the ratio of the probabilities </w:t>
      </w:r>
      <w:r w:rsidRPr="00950823">
        <w:rPr>
          <w:b w:val="0"/>
          <w:bCs/>
          <w:sz w:val="24"/>
          <w:szCs w:val="24"/>
        </w:rPr>
        <w:t xml:space="preserve">of the </w:t>
      </w:r>
      <w:r>
        <w:rPr>
          <w:b w:val="0"/>
          <w:bCs/>
          <w:sz w:val="24"/>
          <w:szCs w:val="24"/>
        </w:rPr>
        <w:t>purchaser failing to succeeding</w:t>
      </w:r>
      <w:r w:rsidRPr="00950823">
        <w:rPr>
          <w:b w:val="0"/>
          <w:bCs/>
          <w:sz w:val="24"/>
          <w:szCs w:val="24"/>
        </w:rPr>
        <w:t xml:space="preserve"> is estimated</w:t>
      </w:r>
      <w:r>
        <w:rPr>
          <w:b w:val="0"/>
          <w:bCs/>
          <w:sz w:val="24"/>
          <w:szCs w:val="24"/>
        </w:rPr>
        <w:t xml:space="preserve"> to be, on average, 20.6 times greater</w:t>
      </w:r>
      <w:r w:rsidRPr="00950823">
        <w:rPr>
          <w:b w:val="0"/>
          <w:bCs/>
          <w:sz w:val="24"/>
          <w:szCs w:val="24"/>
        </w:rPr>
        <w:t xml:space="preserve"> if there is a connected sale, than if the </w:t>
      </w:r>
      <w:r>
        <w:rPr>
          <w:b w:val="0"/>
          <w:bCs/>
          <w:sz w:val="24"/>
          <w:szCs w:val="24"/>
        </w:rPr>
        <w:t>sale is to an unconnected party</w:t>
      </w:r>
      <w:r w:rsidRPr="00950823">
        <w:rPr>
          <w:b w:val="0"/>
          <w:bCs/>
          <w:sz w:val="24"/>
          <w:szCs w:val="24"/>
        </w:rPr>
        <w:t xml:space="preserve">. Similarly, where there is no connected sale, the ratio of the probability of the </w:t>
      </w:r>
      <w:r>
        <w:rPr>
          <w:b w:val="0"/>
          <w:bCs/>
          <w:sz w:val="24"/>
          <w:szCs w:val="24"/>
        </w:rPr>
        <w:t>purchaser failing to succeeding</w:t>
      </w:r>
      <w:r w:rsidRPr="00950823">
        <w:rPr>
          <w:b w:val="0"/>
          <w:bCs/>
          <w:sz w:val="24"/>
          <w:szCs w:val="24"/>
        </w:rPr>
        <w:t xml:space="preserve"> is estimate</w:t>
      </w:r>
      <w:r>
        <w:rPr>
          <w:b w:val="0"/>
          <w:bCs/>
          <w:sz w:val="24"/>
          <w:szCs w:val="24"/>
        </w:rPr>
        <w:t>d to be, on average, 4.57 times</w:t>
      </w:r>
      <w:r w:rsidRPr="00950823">
        <w:rPr>
          <w:b w:val="0"/>
          <w:bCs/>
          <w:sz w:val="24"/>
          <w:szCs w:val="24"/>
        </w:rPr>
        <w:t xml:space="preserve"> greater if </w:t>
      </w:r>
      <w:r>
        <w:rPr>
          <w:b w:val="0"/>
          <w:bCs/>
          <w:sz w:val="24"/>
          <w:szCs w:val="24"/>
        </w:rPr>
        <w:t>there is deferred consideration</w:t>
      </w:r>
      <w:r w:rsidRPr="00950823">
        <w:rPr>
          <w:b w:val="0"/>
          <w:bCs/>
          <w:sz w:val="24"/>
          <w:szCs w:val="24"/>
        </w:rPr>
        <w:t xml:space="preserve">, than if there is not.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950823">
        <w:rPr>
          <w:b w:val="0"/>
          <w:bCs/>
          <w:sz w:val="24"/>
          <w:szCs w:val="24"/>
        </w:rPr>
        <w:t>If both deferred consideration and connected sale are present, the ratio of failing to succeeding is estimated to be, on average, 22.9</w:t>
      </w:r>
      <w:r>
        <w:rPr>
          <w:b w:val="0"/>
          <w:bCs/>
          <w:sz w:val="24"/>
          <w:szCs w:val="24"/>
        </w:rPr>
        <w:t xml:space="preserve"> times greater</w:t>
      </w:r>
      <w:r w:rsidRPr="00950823">
        <w:rPr>
          <w:b w:val="0"/>
          <w:bCs/>
          <w:sz w:val="24"/>
          <w:szCs w:val="24"/>
        </w:rPr>
        <w:t xml:space="preserve"> than if neither is present. </w:t>
      </w:r>
      <w:r>
        <w:rPr>
          <w:b w:val="0"/>
          <w:bCs/>
          <w:sz w:val="24"/>
          <w:szCs w:val="24"/>
        </w:rPr>
        <w:t xml:space="preserve">As with the observations from the </w:t>
      </w:r>
      <w:r w:rsidRPr="00950823">
        <w:rPr>
          <w:b w:val="0"/>
          <w:bCs/>
          <w:sz w:val="24"/>
          <w:szCs w:val="24"/>
        </w:rPr>
        <w:t>pre</w:t>
      </w:r>
      <w:r>
        <w:rPr>
          <w:b w:val="0"/>
          <w:bCs/>
          <w:sz w:val="24"/>
          <w:szCs w:val="24"/>
        </w:rPr>
        <w:t>-</w:t>
      </w:r>
      <w:r w:rsidRPr="00950823">
        <w:rPr>
          <w:b w:val="0"/>
          <w:bCs/>
          <w:sz w:val="24"/>
          <w:szCs w:val="24"/>
        </w:rPr>
        <w:t xml:space="preserve">pack </w:t>
      </w:r>
      <w:r>
        <w:rPr>
          <w:b w:val="0"/>
          <w:bCs/>
          <w:sz w:val="24"/>
          <w:szCs w:val="24"/>
        </w:rPr>
        <w:t>model</w:t>
      </w:r>
      <w:r w:rsidRPr="00950823">
        <w:rPr>
          <w:b w:val="0"/>
          <w:bCs/>
          <w:sz w:val="24"/>
          <w:szCs w:val="24"/>
        </w:rPr>
        <w:t>, this indicates that the presence of both deferred consideration and connected sale appears t</w:t>
      </w:r>
      <w:r>
        <w:rPr>
          <w:b w:val="0"/>
          <w:bCs/>
          <w:sz w:val="24"/>
          <w:szCs w:val="24"/>
        </w:rPr>
        <w:t>o have a very similar effect to</w:t>
      </w:r>
      <w:r w:rsidRPr="00950823">
        <w:rPr>
          <w:b w:val="0"/>
          <w:bCs/>
          <w:sz w:val="24"/>
          <w:szCs w:val="24"/>
        </w:rPr>
        <w:t xml:space="preserve"> the presence of the variable with the larger associated factor </w:t>
      </w:r>
      <w:r>
        <w:rPr>
          <w:b w:val="0"/>
          <w:bCs/>
          <w:sz w:val="24"/>
          <w:szCs w:val="24"/>
        </w:rPr>
        <w:t xml:space="preserve">(here connected sale) </w:t>
      </w:r>
      <w:r w:rsidRPr="00950823">
        <w:rPr>
          <w:b w:val="0"/>
          <w:bCs/>
          <w:sz w:val="24"/>
          <w:szCs w:val="24"/>
        </w:rPr>
        <w:t>taken independently.</w:t>
      </w:r>
    </w:p>
    <w:p w:rsidR="00C12A83" w:rsidRDefault="00C12A83" w:rsidP="00C12A83">
      <w:pPr>
        <w:pStyle w:val="TableHeading"/>
        <w:spacing w:line="240" w:lineRule="auto"/>
        <w:rPr>
          <w:b w:val="0"/>
          <w:bCs/>
          <w:sz w:val="24"/>
          <w:szCs w:val="24"/>
        </w:rPr>
      </w:pPr>
    </w:p>
    <w:p w:rsidR="00C12A83" w:rsidRPr="00375B0B" w:rsidRDefault="005869A7" w:rsidP="00C12A83">
      <w:pPr>
        <w:pStyle w:val="TableHeading"/>
        <w:spacing w:line="240" w:lineRule="auto"/>
        <w:rPr>
          <w:bCs/>
          <w:sz w:val="24"/>
          <w:szCs w:val="24"/>
        </w:rPr>
      </w:pPr>
      <w:r>
        <w:rPr>
          <w:bCs/>
          <w:sz w:val="24"/>
          <w:szCs w:val="24"/>
        </w:rPr>
        <w:t>B</w:t>
      </w:r>
      <w:r w:rsidR="00C12A83">
        <w:rPr>
          <w:bCs/>
          <w:sz w:val="24"/>
          <w:szCs w:val="24"/>
        </w:rPr>
        <w:t>4.2</w:t>
      </w:r>
      <w:r w:rsidR="00C12A83" w:rsidRPr="00375B0B">
        <w:rPr>
          <w:bCs/>
          <w:sz w:val="24"/>
          <w:szCs w:val="24"/>
        </w:rPr>
        <w:t xml:space="preserve"> Failure of purchaser at </w:t>
      </w:r>
      <w:r w:rsidR="00C12A83">
        <w:rPr>
          <w:bCs/>
          <w:sz w:val="24"/>
          <w:szCs w:val="24"/>
        </w:rPr>
        <w:t>24</w:t>
      </w:r>
      <w:r w:rsidR="00C12A83" w:rsidRPr="00375B0B">
        <w:rPr>
          <w:bCs/>
          <w:sz w:val="24"/>
          <w:szCs w:val="24"/>
        </w:rPr>
        <w:t xml:space="preserve"> months</w:t>
      </w:r>
    </w:p>
    <w:p w:rsidR="00C12A83" w:rsidRPr="00DE3885" w:rsidRDefault="00C12A83" w:rsidP="00C12A83">
      <w:pPr>
        <w:pStyle w:val="TableHeading"/>
        <w:spacing w:line="240" w:lineRule="auto"/>
        <w:rPr>
          <w:b w:val="0"/>
          <w:bCs/>
          <w:sz w:val="24"/>
          <w:szCs w:val="24"/>
        </w:rPr>
      </w:pPr>
    </w:p>
    <w:p w:rsidR="00C12A83" w:rsidRPr="007C04D7" w:rsidRDefault="005869A7" w:rsidP="00C12A83">
      <w:pPr>
        <w:pStyle w:val="TableHeading"/>
        <w:spacing w:line="240" w:lineRule="auto"/>
        <w:rPr>
          <w:bCs/>
          <w:sz w:val="24"/>
          <w:szCs w:val="24"/>
        </w:rPr>
      </w:pPr>
      <w:r>
        <w:rPr>
          <w:bCs/>
          <w:sz w:val="24"/>
          <w:szCs w:val="24"/>
        </w:rPr>
        <w:t>B</w:t>
      </w:r>
      <w:r w:rsidR="00C12A83" w:rsidRPr="007C04D7">
        <w:rPr>
          <w:bCs/>
          <w:sz w:val="24"/>
          <w:szCs w:val="24"/>
        </w:rPr>
        <w:t>4.</w:t>
      </w:r>
      <w:r w:rsidR="00C12A83">
        <w:rPr>
          <w:bCs/>
          <w:sz w:val="24"/>
          <w:szCs w:val="24"/>
        </w:rPr>
        <w:t>2</w:t>
      </w:r>
      <w:r w:rsidR="00C12A83" w:rsidRPr="007C04D7">
        <w:rPr>
          <w:bCs/>
          <w:sz w:val="24"/>
          <w:szCs w:val="24"/>
        </w:rPr>
        <w:t xml:space="preserve">.1. </w:t>
      </w:r>
      <w:r w:rsidR="0096050E">
        <w:rPr>
          <w:bCs/>
          <w:sz w:val="24"/>
          <w:szCs w:val="24"/>
        </w:rPr>
        <w:t>P</w:t>
      </w:r>
      <w:r w:rsidR="00C12A83" w:rsidRPr="007C04D7">
        <w:rPr>
          <w:bCs/>
          <w:sz w:val="24"/>
          <w:szCs w:val="24"/>
        </w:rPr>
        <w:t xml:space="preserve">oints </w:t>
      </w:r>
      <w:r w:rsidR="0096050E">
        <w:rPr>
          <w:bCs/>
          <w:sz w:val="24"/>
          <w:szCs w:val="24"/>
        </w:rPr>
        <w:t>to</w:t>
      </w:r>
      <w:r w:rsidR="00C12A83" w:rsidRPr="007C04D7">
        <w:rPr>
          <w:bCs/>
          <w:sz w:val="24"/>
          <w:szCs w:val="24"/>
        </w:rPr>
        <w:t xml:space="preserve"> note</w:t>
      </w:r>
    </w:p>
    <w:p w:rsidR="00C12A83" w:rsidRDefault="00C12A83" w:rsidP="00C12A83">
      <w:pPr>
        <w:pStyle w:val="TableHeading"/>
        <w:spacing w:line="240" w:lineRule="auto"/>
        <w:rPr>
          <w:b w:val="0"/>
          <w:bCs/>
          <w:sz w:val="24"/>
          <w:szCs w:val="24"/>
        </w:rPr>
      </w:pPr>
    </w:p>
    <w:p w:rsidR="00C12A83" w:rsidRDefault="00C12A83" w:rsidP="00C12A83">
      <w:pPr>
        <w:pStyle w:val="TableHeading"/>
        <w:numPr>
          <w:ilvl w:val="0"/>
          <w:numId w:val="39"/>
        </w:numPr>
        <w:spacing w:line="240" w:lineRule="auto"/>
        <w:rPr>
          <w:b w:val="0"/>
          <w:bCs/>
          <w:sz w:val="24"/>
          <w:szCs w:val="24"/>
        </w:rPr>
      </w:pPr>
      <w:r w:rsidRPr="00724550">
        <w:rPr>
          <w:b w:val="0"/>
          <w:bCs/>
          <w:sz w:val="24"/>
          <w:szCs w:val="24"/>
        </w:rPr>
        <w:t>15.1% of purchas</w:t>
      </w:r>
      <w:r>
        <w:rPr>
          <w:b w:val="0"/>
          <w:bCs/>
          <w:sz w:val="24"/>
          <w:szCs w:val="24"/>
        </w:rPr>
        <w:t>ers in a trading administration have failed within</w:t>
      </w:r>
      <w:r w:rsidRPr="00724550">
        <w:rPr>
          <w:b w:val="0"/>
          <w:bCs/>
          <w:sz w:val="24"/>
          <w:szCs w:val="24"/>
        </w:rPr>
        <w:t xml:space="preserve"> 24 months of the sale completing</w:t>
      </w:r>
      <w:r>
        <w:rPr>
          <w:b w:val="0"/>
          <w:bCs/>
          <w:sz w:val="24"/>
          <w:szCs w:val="24"/>
        </w:rPr>
        <w:t>.</w:t>
      </w:r>
    </w:p>
    <w:p w:rsidR="00C12A83" w:rsidRDefault="00C12A83" w:rsidP="00C12A83">
      <w:pPr>
        <w:pStyle w:val="TableHeading"/>
        <w:numPr>
          <w:ilvl w:val="0"/>
          <w:numId w:val="39"/>
        </w:numPr>
        <w:spacing w:line="240" w:lineRule="auto"/>
        <w:rPr>
          <w:b w:val="0"/>
          <w:bCs/>
          <w:sz w:val="24"/>
          <w:szCs w:val="24"/>
        </w:rPr>
      </w:pPr>
      <w:r w:rsidRPr="00724550">
        <w:rPr>
          <w:b w:val="0"/>
          <w:bCs/>
          <w:sz w:val="24"/>
          <w:szCs w:val="24"/>
        </w:rPr>
        <w:t xml:space="preserve">There is no significant interaction between </w:t>
      </w:r>
      <w:r>
        <w:rPr>
          <w:b w:val="0"/>
          <w:bCs/>
          <w:sz w:val="24"/>
          <w:szCs w:val="24"/>
        </w:rPr>
        <w:t>c</w:t>
      </w:r>
      <w:r w:rsidRPr="00724550">
        <w:rPr>
          <w:b w:val="0"/>
          <w:bCs/>
          <w:sz w:val="24"/>
          <w:szCs w:val="24"/>
        </w:rPr>
        <w:t xml:space="preserve">onnected </w:t>
      </w:r>
      <w:r>
        <w:rPr>
          <w:b w:val="0"/>
          <w:bCs/>
          <w:sz w:val="24"/>
          <w:szCs w:val="24"/>
        </w:rPr>
        <w:t>sale</w:t>
      </w:r>
      <w:r w:rsidRPr="00724550">
        <w:rPr>
          <w:b w:val="0"/>
          <w:bCs/>
          <w:sz w:val="24"/>
          <w:szCs w:val="24"/>
        </w:rPr>
        <w:t xml:space="preserve"> and </w:t>
      </w:r>
      <w:r>
        <w:rPr>
          <w:b w:val="0"/>
          <w:bCs/>
          <w:sz w:val="24"/>
          <w:szCs w:val="24"/>
        </w:rPr>
        <w:t>d</w:t>
      </w:r>
      <w:r w:rsidRPr="00724550">
        <w:rPr>
          <w:b w:val="0"/>
          <w:bCs/>
          <w:sz w:val="24"/>
          <w:szCs w:val="24"/>
        </w:rPr>
        <w:t xml:space="preserve">eferred </w:t>
      </w:r>
      <w:r>
        <w:rPr>
          <w:b w:val="0"/>
          <w:bCs/>
          <w:sz w:val="24"/>
          <w:szCs w:val="24"/>
        </w:rPr>
        <w:t>consideration, however</w:t>
      </w:r>
      <w:r w:rsidRPr="00724550">
        <w:rPr>
          <w:b w:val="0"/>
          <w:bCs/>
          <w:sz w:val="24"/>
          <w:szCs w:val="24"/>
        </w:rPr>
        <w:t xml:space="preserve"> the interaction term has been retained in the model to reflect the pre</w:t>
      </w:r>
      <w:r>
        <w:rPr>
          <w:b w:val="0"/>
          <w:bCs/>
          <w:sz w:val="24"/>
          <w:szCs w:val="24"/>
        </w:rPr>
        <w:t>-</w:t>
      </w:r>
      <w:r w:rsidRPr="00724550">
        <w:rPr>
          <w:b w:val="0"/>
          <w:bCs/>
          <w:sz w:val="24"/>
          <w:szCs w:val="24"/>
        </w:rPr>
        <w:t>pack</w:t>
      </w:r>
      <w:r>
        <w:rPr>
          <w:b w:val="0"/>
          <w:bCs/>
          <w:sz w:val="24"/>
          <w:szCs w:val="24"/>
        </w:rPr>
        <w:t xml:space="preserve"> model.</w:t>
      </w:r>
    </w:p>
    <w:p w:rsidR="00C12A83" w:rsidRPr="007C04D7" w:rsidRDefault="00C12A83" w:rsidP="00C12A83">
      <w:pPr>
        <w:pStyle w:val="TableHeading"/>
        <w:spacing w:line="240" w:lineRule="auto"/>
        <w:rPr>
          <w:b w:val="0"/>
          <w:bCs/>
          <w:sz w:val="24"/>
          <w:szCs w:val="24"/>
        </w:rPr>
      </w:pPr>
    </w:p>
    <w:p w:rsidR="00C12A83" w:rsidRPr="007C04D7" w:rsidRDefault="005869A7" w:rsidP="005869A7">
      <w:pPr>
        <w:pStyle w:val="TableHeading"/>
        <w:spacing w:line="240" w:lineRule="auto"/>
        <w:ind w:left="833" w:hanging="833"/>
        <w:rPr>
          <w:bCs/>
          <w:sz w:val="24"/>
          <w:szCs w:val="24"/>
        </w:rPr>
      </w:pPr>
      <w:r>
        <w:rPr>
          <w:bCs/>
          <w:sz w:val="24"/>
          <w:szCs w:val="24"/>
        </w:rPr>
        <w:t>B</w:t>
      </w:r>
      <w:r w:rsidR="00C12A83" w:rsidRPr="007C04D7">
        <w:rPr>
          <w:bCs/>
          <w:sz w:val="24"/>
          <w:szCs w:val="24"/>
        </w:rPr>
        <w:t>4.</w:t>
      </w:r>
      <w:r w:rsidR="00C12A83">
        <w:rPr>
          <w:bCs/>
          <w:sz w:val="24"/>
          <w:szCs w:val="24"/>
        </w:rPr>
        <w:t>2</w:t>
      </w:r>
      <w:r w:rsidR="00C12A83" w:rsidRPr="007C04D7">
        <w:rPr>
          <w:bCs/>
          <w:sz w:val="24"/>
          <w:szCs w:val="24"/>
        </w:rPr>
        <w:t xml:space="preserve">.2 </w:t>
      </w:r>
      <w:r>
        <w:rPr>
          <w:bCs/>
          <w:sz w:val="24"/>
          <w:szCs w:val="24"/>
        </w:rPr>
        <w:tab/>
      </w:r>
      <w:r w:rsidR="00C12A83">
        <w:rPr>
          <w:bCs/>
          <w:sz w:val="24"/>
          <w:szCs w:val="24"/>
        </w:rPr>
        <w:t>Failure rate at 24</w:t>
      </w:r>
      <w:r w:rsidR="00C12A83" w:rsidRPr="007C04D7">
        <w:rPr>
          <w:bCs/>
          <w:sz w:val="24"/>
          <w:szCs w:val="24"/>
        </w:rPr>
        <w:t xml:space="preserve"> months: Impact of Deferred Consideration and Connected Sale</w:t>
      </w:r>
    </w:p>
    <w:p w:rsidR="00C12A83" w:rsidRDefault="00C12A83" w:rsidP="00C12A83">
      <w:pPr>
        <w:pStyle w:val="TableHeading"/>
        <w:spacing w:line="240" w:lineRule="auto"/>
        <w:rPr>
          <w:bCs/>
          <w:sz w:val="24"/>
          <w:szCs w:val="24"/>
        </w:rPr>
      </w:pPr>
    </w:p>
    <w:tbl>
      <w:tblPr>
        <w:tblW w:w="9570" w:type="dxa"/>
        <w:tblCellMar>
          <w:left w:w="0" w:type="dxa"/>
          <w:right w:w="0" w:type="dxa"/>
        </w:tblCellMar>
        <w:tblLook w:val="04A0" w:firstRow="1" w:lastRow="0" w:firstColumn="1" w:lastColumn="0" w:noHBand="0" w:noVBand="1"/>
      </w:tblPr>
      <w:tblGrid>
        <w:gridCol w:w="2260"/>
        <w:gridCol w:w="2723"/>
        <w:gridCol w:w="2638"/>
        <w:gridCol w:w="1949"/>
      </w:tblGrid>
      <w:tr w:rsidR="00C12A83" w:rsidRPr="00724550" w:rsidTr="00820FE6">
        <w:trPr>
          <w:trHeight w:val="379"/>
        </w:trPr>
        <w:tc>
          <w:tcPr>
            <w:tcW w:w="2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724550" w:rsidRDefault="00C12A83" w:rsidP="00820FE6">
            <w:pPr>
              <w:spacing w:after="160" w:line="259" w:lineRule="auto"/>
              <w:rPr>
                <w:rFonts w:eastAsia="Calibri" w:cs="Arial"/>
              </w:rPr>
            </w:pPr>
          </w:p>
        </w:tc>
        <w:tc>
          <w:tcPr>
            <w:tcW w:w="27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724550" w:rsidRDefault="00C12A83" w:rsidP="00820FE6">
            <w:pPr>
              <w:spacing w:after="160" w:line="259" w:lineRule="auto"/>
              <w:jc w:val="center"/>
              <w:rPr>
                <w:rFonts w:cs="Arial"/>
                <w:b/>
                <w:lang w:eastAsia="en-GB"/>
              </w:rPr>
            </w:pPr>
            <w:r w:rsidRPr="00724550">
              <w:rPr>
                <w:rFonts w:cs="Arial"/>
                <w:b/>
                <w:lang w:eastAsia="en-GB"/>
              </w:rPr>
              <w:t>Deferred consideration</w:t>
            </w:r>
          </w:p>
        </w:tc>
        <w:tc>
          <w:tcPr>
            <w:tcW w:w="26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724550" w:rsidRDefault="00C12A83" w:rsidP="00820FE6">
            <w:pPr>
              <w:spacing w:after="160" w:line="259" w:lineRule="auto"/>
              <w:jc w:val="center"/>
              <w:rPr>
                <w:rFonts w:cs="Arial"/>
                <w:b/>
                <w:lang w:eastAsia="en-GB"/>
              </w:rPr>
            </w:pPr>
            <w:r w:rsidRPr="00724550">
              <w:rPr>
                <w:rFonts w:cs="Arial"/>
                <w:b/>
                <w:lang w:eastAsia="en-GB"/>
              </w:rPr>
              <w:t>Not deferred consideration</w:t>
            </w:r>
          </w:p>
        </w:tc>
        <w:tc>
          <w:tcPr>
            <w:tcW w:w="1949" w:type="dxa"/>
            <w:tcBorders>
              <w:top w:val="single" w:sz="8" w:space="0" w:color="auto"/>
              <w:left w:val="nil"/>
              <w:bottom w:val="single" w:sz="8" w:space="0" w:color="auto"/>
              <w:right w:val="single" w:sz="8" w:space="0" w:color="auto"/>
            </w:tcBorders>
            <w:hideMark/>
          </w:tcPr>
          <w:p w:rsidR="00C12A83" w:rsidRPr="00724550" w:rsidRDefault="00C12A83" w:rsidP="00820FE6">
            <w:pPr>
              <w:spacing w:after="160" w:line="259" w:lineRule="auto"/>
              <w:jc w:val="center"/>
              <w:rPr>
                <w:rFonts w:cs="Arial"/>
                <w:b/>
                <w:lang w:eastAsia="en-GB"/>
              </w:rPr>
            </w:pPr>
            <w:r w:rsidRPr="00724550">
              <w:rPr>
                <w:rFonts w:cs="Arial"/>
                <w:b/>
                <w:lang w:eastAsia="en-GB"/>
              </w:rPr>
              <w:t>Total</w:t>
            </w:r>
          </w:p>
        </w:tc>
      </w:tr>
      <w:tr w:rsidR="00C12A83" w:rsidRPr="00724550" w:rsidTr="00820FE6">
        <w:trPr>
          <w:trHeight w:val="392"/>
        </w:trPr>
        <w:tc>
          <w:tcPr>
            <w:tcW w:w="22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724550" w:rsidRDefault="00C12A83" w:rsidP="00820FE6">
            <w:pPr>
              <w:spacing w:after="160" w:line="259" w:lineRule="auto"/>
              <w:rPr>
                <w:rFonts w:cs="Arial"/>
                <w:b/>
                <w:lang w:eastAsia="en-GB"/>
              </w:rPr>
            </w:pPr>
            <w:r w:rsidRPr="00724550">
              <w:rPr>
                <w:rFonts w:cs="Arial"/>
                <w:b/>
                <w:lang w:eastAsia="en-GB"/>
              </w:rPr>
              <w:t>Connected sale</w:t>
            </w:r>
          </w:p>
        </w:tc>
        <w:tc>
          <w:tcPr>
            <w:tcW w:w="272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724550" w:rsidRDefault="00C12A83" w:rsidP="00820FE6">
            <w:pPr>
              <w:spacing w:after="160" w:line="259" w:lineRule="auto"/>
              <w:jc w:val="center"/>
              <w:rPr>
                <w:rFonts w:cs="Arial"/>
                <w:lang w:eastAsia="en-GB"/>
              </w:rPr>
            </w:pPr>
            <w:r w:rsidRPr="00724550">
              <w:rPr>
                <w:rFonts w:cs="Arial"/>
                <w:lang w:eastAsia="en-GB"/>
              </w:rPr>
              <w:t>50</w:t>
            </w:r>
            <w:r>
              <w:rPr>
                <w:rFonts w:cs="Arial"/>
                <w:lang w:eastAsia="en-GB"/>
              </w:rPr>
              <w:t>.0</w:t>
            </w:r>
            <w:r w:rsidRPr="00724550">
              <w:rPr>
                <w:rFonts w:cs="Arial"/>
                <w:lang w:eastAsia="en-GB"/>
              </w:rPr>
              <w:t>% (4/8)</w:t>
            </w:r>
          </w:p>
        </w:tc>
        <w:tc>
          <w:tcPr>
            <w:tcW w:w="263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724550" w:rsidRDefault="00C12A83" w:rsidP="00820FE6">
            <w:pPr>
              <w:tabs>
                <w:tab w:val="left" w:pos="851"/>
                <w:tab w:val="center" w:pos="1309"/>
              </w:tabs>
              <w:spacing w:after="160" w:line="259" w:lineRule="auto"/>
              <w:jc w:val="center"/>
              <w:rPr>
                <w:rFonts w:cs="Arial"/>
                <w:lang w:eastAsia="en-GB"/>
              </w:rPr>
            </w:pPr>
            <w:r w:rsidRPr="00724550">
              <w:rPr>
                <w:rFonts w:cs="Arial"/>
                <w:lang w:eastAsia="en-GB"/>
              </w:rPr>
              <w:t>40.0% (4/10)</w:t>
            </w:r>
          </w:p>
        </w:tc>
        <w:tc>
          <w:tcPr>
            <w:tcW w:w="1949" w:type="dxa"/>
            <w:tcBorders>
              <w:top w:val="nil"/>
              <w:left w:val="nil"/>
              <w:bottom w:val="single" w:sz="4" w:space="0" w:color="auto"/>
              <w:right w:val="single" w:sz="8" w:space="0" w:color="auto"/>
            </w:tcBorders>
            <w:vAlign w:val="center"/>
            <w:hideMark/>
          </w:tcPr>
          <w:p w:rsidR="00C12A83" w:rsidRPr="00724550" w:rsidRDefault="00C12A83" w:rsidP="00820FE6">
            <w:pPr>
              <w:spacing w:after="160" w:line="259" w:lineRule="auto"/>
              <w:jc w:val="center"/>
              <w:rPr>
                <w:rFonts w:cs="Arial"/>
                <w:lang w:eastAsia="en-GB"/>
              </w:rPr>
            </w:pPr>
            <w:r>
              <w:rPr>
                <w:rFonts w:cs="Arial"/>
                <w:lang w:eastAsia="en-GB"/>
              </w:rPr>
              <w:t>44.4</w:t>
            </w:r>
            <w:r w:rsidRPr="00724550">
              <w:rPr>
                <w:rFonts w:cs="Arial"/>
                <w:lang w:eastAsia="en-GB"/>
              </w:rPr>
              <w:t>% (8/18)</w:t>
            </w:r>
          </w:p>
        </w:tc>
      </w:tr>
      <w:tr w:rsidR="00C12A83" w:rsidRPr="00724550" w:rsidTr="00820FE6">
        <w:trPr>
          <w:trHeight w:val="367"/>
        </w:trPr>
        <w:tc>
          <w:tcPr>
            <w:tcW w:w="2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724550" w:rsidRDefault="00C12A83" w:rsidP="00820FE6">
            <w:pPr>
              <w:spacing w:after="160" w:line="259" w:lineRule="auto"/>
              <w:rPr>
                <w:rFonts w:cs="Arial"/>
                <w:b/>
                <w:lang w:eastAsia="en-GB"/>
              </w:rPr>
            </w:pPr>
            <w:r w:rsidRPr="00724550">
              <w:rPr>
                <w:rFonts w:cs="Arial"/>
                <w:b/>
                <w:lang w:eastAsia="en-GB"/>
              </w:rPr>
              <w:t>Not connected sale</w:t>
            </w:r>
          </w:p>
        </w:tc>
        <w:tc>
          <w:tcPr>
            <w:tcW w:w="27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24550" w:rsidRDefault="00C12A83" w:rsidP="00820FE6">
            <w:pPr>
              <w:spacing w:after="160" w:line="259" w:lineRule="auto"/>
              <w:jc w:val="center"/>
              <w:rPr>
                <w:rFonts w:cs="Arial"/>
                <w:lang w:eastAsia="en-GB"/>
              </w:rPr>
            </w:pPr>
            <w:r w:rsidRPr="00724550">
              <w:rPr>
                <w:rFonts w:cs="Arial"/>
                <w:lang w:eastAsia="en-GB"/>
              </w:rPr>
              <w:t>25.0% (4/16)</w:t>
            </w:r>
          </w:p>
        </w:tc>
        <w:tc>
          <w:tcPr>
            <w:tcW w:w="26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24550" w:rsidRDefault="00C12A83" w:rsidP="00820FE6">
            <w:pPr>
              <w:tabs>
                <w:tab w:val="left" w:pos="1089"/>
                <w:tab w:val="center" w:pos="1309"/>
              </w:tabs>
              <w:spacing w:after="160" w:line="259" w:lineRule="auto"/>
              <w:jc w:val="center"/>
              <w:rPr>
                <w:rFonts w:cs="Arial"/>
                <w:lang w:eastAsia="en-GB"/>
              </w:rPr>
            </w:pPr>
            <w:r w:rsidRPr="00724550">
              <w:rPr>
                <w:rFonts w:cs="Arial"/>
                <w:lang w:eastAsia="en-GB"/>
              </w:rPr>
              <w:t>3.4%(2/59)</w:t>
            </w:r>
          </w:p>
        </w:tc>
        <w:tc>
          <w:tcPr>
            <w:tcW w:w="1949" w:type="dxa"/>
            <w:tcBorders>
              <w:top w:val="single" w:sz="4" w:space="0" w:color="auto"/>
              <w:left w:val="single" w:sz="4" w:space="0" w:color="auto"/>
              <w:bottom w:val="single" w:sz="4" w:space="0" w:color="auto"/>
              <w:right w:val="single" w:sz="4" w:space="0" w:color="auto"/>
            </w:tcBorders>
            <w:vAlign w:val="center"/>
            <w:hideMark/>
          </w:tcPr>
          <w:p w:rsidR="00C12A83" w:rsidRPr="00724550" w:rsidRDefault="00C12A83" w:rsidP="00820FE6">
            <w:pPr>
              <w:spacing w:after="160" w:line="259" w:lineRule="auto"/>
              <w:jc w:val="center"/>
              <w:rPr>
                <w:rFonts w:cs="Arial"/>
                <w:lang w:eastAsia="en-GB"/>
              </w:rPr>
            </w:pPr>
            <w:r>
              <w:rPr>
                <w:rFonts w:cs="Arial"/>
                <w:lang w:eastAsia="en-GB"/>
              </w:rPr>
              <w:t>8.0</w:t>
            </w:r>
            <w:r w:rsidRPr="00724550">
              <w:rPr>
                <w:rFonts w:cs="Arial"/>
                <w:lang w:eastAsia="en-GB"/>
              </w:rPr>
              <w:t>%(6/75)</w:t>
            </w:r>
          </w:p>
        </w:tc>
      </w:tr>
      <w:tr w:rsidR="00C12A83" w:rsidRPr="00724550" w:rsidTr="00820FE6">
        <w:trPr>
          <w:trHeight w:val="379"/>
        </w:trPr>
        <w:tc>
          <w:tcPr>
            <w:tcW w:w="2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724550" w:rsidRDefault="00C12A83" w:rsidP="00820FE6">
            <w:pPr>
              <w:spacing w:after="160" w:line="259" w:lineRule="auto"/>
              <w:rPr>
                <w:rFonts w:cs="Arial"/>
                <w:b/>
                <w:lang w:eastAsia="en-GB"/>
              </w:rPr>
            </w:pPr>
            <w:r w:rsidRPr="00724550">
              <w:rPr>
                <w:rFonts w:cs="Arial"/>
                <w:b/>
                <w:lang w:eastAsia="en-GB"/>
              </w:rPr>
              <w:t>Total</w:t>
            </w:r>
          </w:p>
        </w:tc>
        <w:tc>
          <w:tcPr>
            <w:tcW w:w="27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24550" w:rsidRDefault="00C12A83" w:rsidP="00820FE6">
            <w:pPr>
              <w:spacing w:after="160" w:line="259" w:lineRule="auto"/>
              <w:jc w:val="center"/>
              <w:rPr>
                <w:rFonts w:cs="Arial"/>
                <w:lang w:eastAsia="en-GB"/>
              </w:rPr>
            </w:pPr>
            <w:r>
              <w:rPr>
                <w:rFonts w:cs="Arial"/>
                <w:lang w:eastAsia="en-GB"/>
              </w:rPr>
              <w:t>33.3</w:t>
            </w:r>
            <w:r w:rsidRPr="00724550">
              <w:rPr>
                <w:rFonts w:cs="Arial"/>
                <w:lang w:eastAsia="en-GB"/>
              </w:rPr>
              <w:t>% (8/24)</w:t>
            </w:r>
          </w:p>
        </w:tc>
        <w:tc>
          <w:tcPr>
            <w:tcW w:w="26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724550" w:rsidRDefault="00C12A83" w:rsidP="00820FE6">
            <w:pPr>
              <w:spacing w:after="160" w:line="259" w:lineRule="auto"/>
              <w:jc w:val="center"/>
              <w:rPr>
                <w:rFonts w:cs="Arial"/>
                <w:lang w:eastAsia="en-GB"/>
              </w:rPr>
            </w:pPr>
            <w:r>
              <w:rPr>
                <w:rFonts w:cs="Arial"/>
                <w:lang w:eastAsia="en-GB"/>
              </w:rPr>
              <w:t>8.7</w:t>
            </w:r>
            <w:r w:rsidRPr="00724550">
              <w:rPr>
                <w:rFonts w:cs="Arial"/>
                <w:lang w:eastAsia="en-GB"/>
              </w:rPr>
              <w:t>% (6/69)</w:t>
            </w:r>
          </w:p>
        </w:tc>
        <w:tc>
          <w:tcPr>
            <w:tcW w:w="1949" w:type="dxa"/>
            <w:tcBorders>
              <w:top w:val="single" w:sz="4" w:space="0" w:color="auto"/>
              <w:left w:val="single" w:sz="4" w:space="0" w:color="auto"/>
              <w:bottom w:val="single" w:sz="4" w:space="0" w:color="auto"/>
              <w:right w:val="single" w:sz="4" w:space="0" w:color="auto"/>
            </w:tcBorders>
            <w:vAlign w:val="center"/>
            <w:hideMark/>
          </w:tcPr>
          <w:p w:rsidR="00C12A83" w:rsidRPr="00724550" w:rsidRDefault="00C12A83" w:rsidP="00820FE6">
            <w:pPr>
              <w:spacing w:after="160" w:line="259" w:lineRule="auto"/>
              <w:jc w:val="center"/>
              <w:rPr>
                <w:rFonts w:cs="Arial"/>
                <w:lang w:eastAsia="en-GB"/>
              </w:rPr>
            </w:pPr>
            <w:r w:rsidRPr="00724550">
              <w:rPr>
                <w:rFonts w:cs="Arial"/>
                <w:lang w:eastAsia="en-GB"/>
              </w:rPr>
              <w:t>15.1% (14/93)</w:t>
            </w:r>
          </w:p>
        </w:tc>
      </w:tr>
    </w:tbl>
    <w:p w:rsidR="00C12A83" w:rsidRDefault="00C12A83" w:rsidP="00C12A83">
      <w:pPr>
        <w:pStyle w:val="TableHeading"/>
        <w:spacing w:line="240" w:lineRule="auto"/>
        <w:rPr>
          <w:bCs/>
          <w:sz w:val="24"/>
          <w:szCs w:val="24"/>
        </w:rPr>
      </w:pPr>
    </w:p>
    <w:p w:rsidR="00C12A83" w:rsidRPr="00724550" w:rsidRDefault="00C12A83" w:rsidP="00C12A83">
      <w:pPr>
        <w:pStyle w:val="TableHeading"/>
        <w:spacing w:line="240" w:lineRule="auto"/>
        <w:rPr>
          <w:b w:val="0"/>
          <w:bCs/>
          <w:sz w:val="24"/>
          <w:szCs w:val="24"/>
        </w:rPr>
      </w:pPr>
      <w:r w:rsidRPr="00724550">
        <w:rPr>
          <w:b w:val="0"/>
          <w:bCs/>
          <w:sz w:val="24"/>
          <w:szCs w:val="24"/>
        </w:rPr>
        <w:lastRenderedPageBreak/>
        <w:t>From the table above we see that, ignoring the presence or absence of deferred consideration, in the observed data 44.4% of connected sales fail within 24 months. Similarly, ignoring the presence or absence of a connected sale, 33.3% of purchasers in trading administration sales where deferred consideration is present fail</w:t>
      </w:r>
      <w:r>
        <w:rPr>
          <w:b w:val="0"/>
          <w:bCs/>
          <w:sz w:val="24"/>
          <w:szCs w:val="24"/>
        </w:rPr>
        <w:t xml:space="preserve"> within 24 months</w:t>
      </w:r>
      <w:r w:rsidRPr="00724550">
        <w:rPr>
          <w:b w:val="0"/>
          <w:bCs/>
          <w:sz w:val="24"/>
          <w:szCs w:val="24"/>
        </w:rPr>
        <w:t xml:space="preserve">.  </w:t>
      </w:r>
    </w:p>
    <w:p w:rsidR="00C12A83" w:rsidRDefault="00C12A83" w:rsidP="00C12A83">
      <w:pPr>
        <w:pStyle w:val="TableHeading"/>
        <w:spacing w:line="240" w:lineRule="auto"/>
        <w:rPr>
          <w:b w:val="0"/>
          <w:bCs/>
          <w:i/>
          <w:sz w:val="24"/>
          <w:szCs w:val="24"/>
        </w:rPr>
      </w:pPr>
    </w:p>
    <w:p w:rsidR="00C12A83" w:rsidRPr="00724550" w:rsidRDefault="00C12A83" w:rsidP="00C12A83">
      <w:pPr>
        <w:pStyle w:val="TableHeading"/>
        <w:spacing w:line="240" w:lineRule="auto"/>
        <w:rPr>
          <w:b w:val="0"/>
          <w:bCs/>
          <w:sz w:val="24"/>
          <w:szCs w:val="24"/>
        </w:rPr>
      </w:pPr>
      <w:r w:rsidRPr="00724550">
        <w:rPr>
          <w:b w:val="0"/>
          <w:bCs/>
          <w:sz w:val="24"/>
          <w:szCs w:val="24"/>
        </w:rPr>
        <w:t xml:space="preserve">The model shows that the presence of deferred consideration only increases the failure to survival ratio by an estimated factor of 9.5, and that the presence of connected sale only increases the failure to survival ratio by an estimated factor of 19.0. If both are present, the estimated factor is </w:t>
      </w:r>
      <w:r w:rsidR="00065A24">
        <w:rPr>
          <w:b w:val="0"/>
          <w:bCs/>
          <w:sz w:val="24"/>
          <w:szCs w:val="24"/>
        </w:rPr>
        <w:t>28.5</w:t>
      </w:r>
      <w:r w:rsidRPr="00724550">
        <w:rPr>
          <w:b w:val="0"/>
          <w:bCs/>
          <w:sz w:val="24"/>
          <w:szCs w:val="24"/>
        </w:rPr>
        <w:t>.</w:t>
      </w:r>
    </w:p>
    <w:p w:rsidR="00C12A83" w:rsidRDefault="00C12A83" w:rsidP="00C12A83">
      <w:pPr>
        <w:pStyle w:val="TableHeading"/>
        <w:spacing w:line="240" w:lineRule="auto"/>
        <w:rPr>
          <w:bCs/>
          <w:sz w:val="24"/>
          <w:szCs w:val="24"/>
        </w:rPr>
      </w:pPr>
    </w:p>
    <w:p w:rsidR="00C12A83" w:rsidRPr="00375B0B" w:rsidRDefault="005869A7" w:rsidP="00C12A83">
      <w:pPr>
        <w:pStyle w:val="TableHeading"/>
        <w:spacing w:line="240" w:lineRule="auto"/>
        <w:rPr>
          <w:bCs/>
          <w:sz w:val="24"/>
          <w:szCs w:val="24"/>
        </w:rPr>
      </w:pPr>
      <w:r>
        <w:rPr>
          <w:bCs/>
          <w:sz w:val="24"/>
          <w:szCs w:val="24"/>
        </w:rPr>
        <w:t>B</w:t>
      </w:r>
      <w:r w:rsidR="00C12A83">
        <w:rPr>
          <w:bCs/>
          <w:sz w:val="24"/>
          <w:szCs w:val="24"/>
        </w:rPr>
        <w:t>4.3</w:t>
      </w:r>
      <w:r w:rsidR="00C12A83" w:rsidRPr="00375B0B">
        <w:rPr>
          <w:bCs/>
          <w:sz w:val="24"/>
          <w:szCs w:val="24"/>
        </w:rPr>
        <w:t xml:space="preserve"> Failure of purchaser at </w:t>
      </w:r>
      <w:r w:rsidR="00C12A83">
        <w:rPr>
          <w:bCs/>
          <w:sz w:val="24"/>
          <w:szCs w:val="24"/>
        </w:rPr>
        <w:t>12</w:t>
      </w:r>
      <w:r w:rsidR="00C12A83" w:rsidRPr="00375B0B">
        <w:rPr>
          <w:bCs/>
          <w:sz w:val="24"/>
          <w:szCs w:val="24"/>
        </w:rPr>
        <w:t xml:space="preserve"> months</w:t>
      </w:r>
    </w:p>
    <w:p w:rsidR="00C12A83" w:rsidRPr="00DE3885" w:rsidRDefault="00C12A83" w:rsidP="00C12A83">
      <w:pPr>
        <w:pStyle w:val="TableHeading"/>
        <w:spacing w:line="240" w:lineRule="auto"/>
        <w:rPr>
          <w:b w:val="0"/>
          <w:bCs/>
          <w:sz w:val="24"/>
          <w:szCs w:val="24"/>
        </w:rPr>
      </w:pPr>
    </w:p>
    <w:p w:rsidR="00C12A83" w:rsidRDefault="005869A7" w:rsidP="00C12A83">
      <w:pPr>
        <w:pStyle w:val="TableHeading"/>
        <w:spacing w:line="240" w:lineRule="auto"/>
        <w:rPr>
          <w:bCs/>
          <w:sz w:val="24"/>
          <w:szCs w:val="24"/>
        </w:rPr>
      </w:pPr>
      <w:r>
        <w:rPr>
          <w:bCs/>
          <w:sz w:val="24"/>
          <w:szCs w:val="24"/>
        </w:rPr>
        <w:t>B</w:t>
      </w:r>
      <w:r w:rsidR="00C12A83" w:rsidRPr="007C04D7">
        <w:rPr>
          <w:bCs/>
          <w:sz w:val="24"/>
          <w:szCs w:val="24"/>
        </w:rPr>
        <w:t>4.</w:t>
      </w:r>
      <w:r w:rsidR="00C12A83">
        <w:rPr>
          <w:bCs/>
          <w:sz w:val="24"/>
          <w:szCs w:val="24"/>
        </w:rPr>
        <w:t>3</w:t>
      </w:r>
      <w:r w:rsidR="00C12A83" w:rsidRPr="007C04D7">
        <w:rPr>
          <w:bCs/>
          <w:sz w:val="24"/>
          <w:szCs w:val="24"/>
        </w:rPr>
        <w:t xml:space="preserve">.1. </w:t>
      </w:r>
      <w:r w:rsidR="0096050E">
        <w:rPr>
          <w:bCs/>
          <w:sz w:val="24"/>
          <w:szCs w:val="24"/>
        </w:rPr>
        <w:t>P</w:t>
      </w:r>
      <w:r w:rsidR="00C12A83" w:rsidRPr="007C04D7">
        <w:rPr>
          <w:bCs/>
          <w:sz w:val="24"/>
          <w:szCs w:val="24"/>
        </w:rPr>
        <w:t xml:space="preserve">oints </w:t>
      </w:r>
      <w:r w:rsidR="0096050E">
        <w:rPr>
          <w:bCs/>
          <w:sz w:val="24"/>
          <w:szCs w:val="24"/>
        </w:rPr>
        <w:t>to</w:t>
      </w:r>
      <w:r w:rsidR="00C12A83" w:rsidRPr="007C04D7">
        <w:rPr>
          <w:bCs/>
          <w:sz w:val="24"/>
          <w:szCs w:val="24"/>
        </w:rPr>
        <w:t xml:space="preserve"> note</w:t>
      </w:r>
    </w:p>
    <w:p w:rsidR="00C12A83" w:rsidRDefault="00C12A83" w:rsidP="00C12A83">
      <w:pPr>
        <w:pStyle w:val="TableHeading"/>
        <w:spacing w:line="240" w:lineRule="auto"/>
        <w:rPr>
          <w:bCs/>
          <w:sz w:val="24"/>
          <w:szCs w:val="24"/>
        </w:rPr>
      </w:pPr>
    </w:p>
    <w:p w:rsidR="00C12A83" w:rsidRDefault="00C12A83" w:rsidP="00C12A83">
      <w:pPr>
        <w:pStyle w:val="TableHeading"/>
        <w:numPr>
          <w:ilvl w:val="0"/>
          <w:numId w:val="40"/>
        </w:numPr>
        <w:spacing w:line="240" w:lineRule="auto"/>
        <w:rPr>
          <w:b w:val="0"/>
          <w:bCs/>
          <w:sz w:val="24"/>
          <w:szCs w:val="24"/>
        </w:rPr>
      </w:pPr>
      <w:r w:rsidRPr="00025E96">
        <w:rPr>
          <w:b w:val="0"/>
          <w:bCs/>
          <w:sz w:val="24"/>
          <w:szCs w:val="24"/>
        </w:rPr>
        <w:t xml:space="preserve">5.3% of purchasers in a </w:t>
      </w:r>
      <w:r w:rsidR="0096050E">
        <w:rPr>
          <w:b w:val="0"/>
          <w:bCs/>
          <w:sz w:val="24"/>
          <w:szCs w:val="24"/>
        </w:rPr>
        <w:t>trading administration</w:t>
      </w:r>
      <w:r w:rsidRPr="00025E96">
        <w:rPr>
          <w:b w:val="0"/>
          <w:bCs/>
          <w:sz w:val="24"/>
          <w:szCs w:val="24"/>
        </w:rPr>
        <w:t xml:space="preserve"> have failed within  12 months of the sale completing</w:t>
      </w:r>
    </w:p>
    <w:p w:rsidR="00C12A83" w:rsidRDefault="00C12A83" w:rsidP="00C12A83">
      <w:pPr>
        <w:pStyle w:val="TableHeading"/>
        <w:numPr>
          <w:ilvl w:val="0"/>
          <w:numId w:val="40"/>
        </w:numPr>
        <w:spacing w:line="240" w:lineRule="auto"/>
        <w:rPr>
          <w:b w:val="0"/>
          <w:bCs/>
          <w:sz w:val="24"/>
          <w:szCs w:val="24"/>
        </w:rPr>
      </w:pPr>
      <w:r w:rsidRPr="00025E96">
        <w:rPr>
          <w:b w:val="0"/>
          <w:bCs/>
          <w:sz w:val="24"/>
          <w:szCs w:val="24"/>
        </w:rPr>
        <w:t xml:space="preserve">No variables were found to be significant. </w:t>
      </w:r>
      <w:r>
        <w:rPr>
          <w:b w:val="0"/>
          <w:bCs/>
          <w:sz w:val="24"/>
          <w:szCs w:val="24"/>
        </w:rPr>
        <w:t>A</w:t>
      </w:r>
      <w:r w:rsidRPr="00025E96">
        <w:rPr>
          <w:b w:val="0"/>
          <w:bCs/>
          <w:sz w:val="24"/>
          <w:szCs w:val="24"/>
        </w:rPr>
        <w:t xml:space="preserve">s only 5 out of the 93 </w:t>
      </w:r>
      <w:r>
        <w:rPr>
          <w:b w:val="0"/>
          <w:bCs/>
          <w:sz w:val="24"/>
          <w:szCs w:val="24"/>
        </w:rPr>
        <w:t>purchasers</w:t>
      </w:r>
      <w:r w:rsidRPr="00025E96">
        <w:rPr>
          <w:b w:val="0"/>
          <w:bCs/>
          <w:sz w:val="24"/>
          <w:szCs w:val="24"/>
        </w:rPr>
        <w:t xml:space="preserve"> had failed at 12 months this is unsurprising</w:t>
      </w:r>
      <w:r>
        <w:rPr>
          <w:b w:val="0"/>
          <w:bCs/>
          <w:sz w:val="24"/>
          <w:szCs w:val="24"/>
        </w:rPr>
        <w:t>.</w:t>
      </w:r>
    </w:p>
    <w:p w:rsidR="00C12A83" w:rsidRDefault="00C12A83" w:rsidP="00C12A83">
      <w:pPr>
        <w:pStyle w:val="TableHeading"/>
        <w:spacing w:line="240" w:lineRule="auto"/>
        <w:rPr>
          <w:b w:val="0"/>
          <w:bCs/>
          <w:sz w:val="24"/>
          <w:szCs w:val="24"/>
        </w:rPr>
      </w:pPr>
    </w:p>
    <w:p w:rsidR="00C12A83" w:rsidRPr="007C04D7" w:rsidRDefault="005869A7" w:rsidP="005869A7">
      <w:pPr>
        <w:pStyle w:val="TableHeading"/>
        <w:spacing w:line="240" w:lineRule="auto"/>
        <w:ind w:left="833" w:hanging="833"/>
        <w:rPr>
          <w:bCs/>
          <w:sz w:val="24"/>
          <w:szCs w:val="24"/>
        </w:rPr>
      </w:pPr>
      <w:r>
        <w:rPr>
          <w:bCs/>
          <w:sz w:val="24"/>
          <w:szCs w:val="24"/>
        </w:rPr>
        <w:t>B</w:t>
      </w:r>
      <w:r w:rsidR="00C12A83" w:rsidRPr="007C04D7">
        <w:rPr>
          <w:bCs/>
          <w:sz w:val="24"/>
          <w:szCs w:val="24"/>
        </w:rPr>
        <w:t>4.</w:t>
      </w:r>
      <w:r w:rsidR="00C12A83">
        <w:rPr>
          <w:bCs/>
          <w:sz w:val="24"/>
          <w:szCs w:val="24"/>
        </w:rPr>
        <w:t>3</w:t>
      </w:r>
      <w:r w:rsidR="00C12A83" w:rsidRPr="007C04D7">
        <w:rPr>
          <w:bCs/>
          <w:sz w:val="24"/>
          <w:szCs w:val="24"/>
        </w:rPr>
        <w:t xml:space="preserve">.2 </w:t>
      </w:r>
      <w:r>
        <w:rPr>
          <w:bCs/>
          <w:sz w:val="24"/>
          <w:szCs w:val="24"/>
        </w:rPr>
        <w:tab/>
      </w:r>
      <w:r w:rsidR="00C12A83">
        <w:rPr>
          <w:bCs/>
          <w:sz w:val="24"/>
          <w:szCs w:val="24"/>
        </w:rPr>
        <w:t>Failure rate at 12</w:t>
      </w:r>
      <w:r w:rsidR="00C12A83" w:rsidRPr="007C04D7">
        <w:rPr>
          <w:bCs/>
          <w:sz w:val="24"/>
          <w:szCs w:val="24"/>
        </w:rPr>
        <w:t xml:space="preserve"> months: Impact of Deferred Consideration and Connected Sale</w:t>
      </w:r>
    </w:p>
    <w:p w:rsidR="00C12A83" w:rsidRDefault="00C12A83" w:rsidP="00C12A83">
      <w:pPr>
        <w:pStyle w:val="TableHeading"/>
        <w:spacing w:line="240" w:lineRule="auto"/>
        <w:rPr>
          <w:b w:val="0"/>
          <w:bCs/>
          <w:sz w:val="24"/>
          <w:szCs w:val="24"/>
        </w:rPr>
      </w:pPr>
    </w:p>
    <w:tbl>
      <w:tblPr>
        <w:tblW w:w="9464" w:type="dxa"/>
        <w:tblCellMar>
          <w:left w:w="0" w:type="dxa"/>
          <w:right w:w="0" w:type="dxa"/>
        </w:tblCellMar>
        <w:tblLook w:val="04A0" w:firstRow="1" w:lastRow="0" w:firstColumn="1" w:lastColumn="0" w:noHBand="0" w:noVBand="1"/>
      </w:tblPr>
      <w:tblGrid>
        <w:gridCol w:w="2235"/>
        <w:gridCol w:w="2693"/>
        <w:gridCol w:w="2551"/>
        <w:gridCol w:w="1985"/>
      </w:tblGrid>
      <w:tr w:rsidR="00C12A83" w:rsidRPr="009B6494" w:rsidTr="00820FE6">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2A83" w:rsidRPr="00025E96" w:rsidRDefault="00C12A83" w:rsidP="00820FE6">
            <w:pPr>
              <w:spacing w:after="160" w:line="259" w:lineRule="auto"/>
              <w:rPr>
                <w:rFonts w:eastAsia="Calibri" w:cs="Arial"/>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25E96" w:rsidRDefault="00C12A83" w:rsidP="00820FE6">
            <w:pPr>
              <w:spacing w:after="160" w:line="259" w:lineRule="auto"/>
              <w:jc w:val="center"/>
              <w:rPr>
                <w:rFonts w:cs="Arial"/>
                <w:b/>
                <w:lang w:eastAsia="en-GB"/>
              </w:rPr>
            </w:pPr>
            <w:r w:rsidRPr="00025E96">
              <w:rPr>
                <w:rFonts w:cs="Arial"/>
                <w:b/>
                <w:lang w:eastAsia="en-GB"/>
              </w:rPr>
              <w:t>Deferred consideration</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2A83" w:rsidRPr="00025E96" w:rsidRDefault="00C12A83" w:rsidP="00820FE6">
            <w:pPr>
              <w:spacing w:after="160" w:line="259" w:lineRule="auto"/>
              <w:jc w:val="center"/>
              <w:rPr>
                <w:rFonts w:cs="Arial"/>
                <w:b/>
                <w:lang w:eastAsia="en-GB"/>
              </w:rPr>
            </w:pPr>
            <w:r w:rsidRPr="00025E96">
              <w:rPr>
                <w:rFonts w:cs="Arial"/>
                <w:b/>
                <w:lang w:eastAsia="en-GB"/>
              </w:rPr>
              <w:t>Not deferred consideration</w:t>
            </w:r>
          </w:p>
        </w:tc>
        <w:tc>
          <w:tcPr>
            <w:tcW w:w="1985" w:type="dxa"/>
            <w:tcBorders>
              <w:top w:val="single" w:sz="8" w:space="0" w:color="auto"/>
              <w:left w:val="nil"/>
              <w:bottom w:val="single" w:sz="8" w:space="0" w:color="auto"/>
              <w:right w:val="single" w:sz="8" w:space="0" w:color="auto"/>
            </w:tcBorders>
            <w:hideMark/>
          </w:tcPr>
          <w:p w:rsidR="00C12A83" w:rsidRPr="00025E96" w:rsidRDefault="00C12A83" w:rsidP="00820FE6">
            <w:pPr>
              <w:spacing w:after="160" w:line="259" w:lineRule="auto"/>
              <w:jc w:val="center"/>
              <w:rPr>
                <w:rFonts w:cs="Arial"/>
                <w:b/>
                <w:lang w:eastAsia="en-GB"/>
              </w:rPr>
            </w:pPr>
            <w:r w:rsidRPr="00025E96">
              <w:rPr>
                <w:rFonts w:cs="Arial"/>
                <w:b/>
                <w:lang w:eastAsia="en-GB"/>
              </w:rPr>
              <w:t>Total</w:t>
            </w:r>
          </w:p>
        </w:tc>
      </w:tr>
      <w:tr w:rsidR="00C12A83" w:rsidRPr="009B6494" w:rsidTr="00820FE6">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12A83" w:rsidRPr="00025E96" w:rsidRDefault="00C12A83" w:rsidP="00820FE6">
            <w:pPr>
              <w:spacing w:after="160" w:line="259" w:lineRule="auto"/>
              <w:rPr>
                <w:rFonts w:cs="Arial"/>
                <w:b/>
                <w:lang w:eastAsia="en-GB"/>
              </w:rPr>
            </w:pPr>
            <w:r w:rsidRPr="00025E96">
              <w:rPr>
                <w:rFonts w:cs="Arial"/>
                <w:b/>
                <w:lang w:eastAsia="en-GB"/>
              </w:rPr>
              <w:t>Connected sale</w:t>
            </w:r>
          </w:p>
        </w:tc>
        <w:tc>
          <w:tcPr>
            <w:tcW w:w="269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25.0% (2/8)</w:t>
            </w:r>
          </w:p>
        </w:tc>
        <w:tc>
          <w:tcPr>
            <w:tcW w:w="255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12A83" w:rsidRPr="00025E96" w:rsidRDefault="00C12A83" w:rsidP="00820FE6">
            <w:pPr>
              <w:tabs>
                <w:tab w:val="left" w:pos="851"/>
                <w:tab w:val="center" w:pos="1309"/>
              </w:tabs>
              <w:spacing w:after="160" w:line="259" w:lineRule="auto"/>
              <w:jc w:val="center"/>
              <w:rPr>
                <w:rFonts w:cs="Arial"/>
                <w:lang w:eastAsia="en-GB"/>
              </w:rPr>
            </w:pPr>
            <w:r w:rsidRPr="00025E96">
              <w:rPr>
                <w:rFonts w:cs="Arial"/>
                <w:lang w:eastAsia="en-GB"/>
              </w:rPr>
              <w:t>30.0% (3/10)</w:t>
            </w:r>
          </w:p>
        </w:tc>
        <w:tc>
          <w:tcPr>
            <w:tcW w:w="1985" w:type="dxa"/>
            <w:tcBorders>
              <w:top w:val="nil"/>
              <w:left w:val="nil"/>
              <w:bottom w:val="single" w:sz="4" w:space="0" w:color="auto"/>
              <w:right w:val="single" w:sz="8" w:space="0" w:color="auto"/>
            </w:tcBorders>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27.</w:t>
            </w:r>
            <w:r>
              <w:rPr>
                <w:rFonts w:cs="Arial"/>
                <w:lang w:eastAsia="en-GB"/>
              </w:rPr>
              <w:t>8</w:t>
            </w:r>
            <w:r w:rsidRPr="00025E96">
              <w:rPr>
                <w:rFonts w:cs="Arial"/>
                <w:lang w:eastAsia="en-GB"/>
              </w:rPr>
              <w:t>% (5/18)</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025E96" w:rsidRDefault="00C12A83" w:rsidP="00820FE6">
            <w:pPr>
              <w:spacing w:after="160" w:line="259" w:lineRule="auto"/>
              <w:rPr>
                <w:rFonts w:cs="Arial"/>
                <w:b/>
                <w:lang w:eastAsia="en-GB"/>
              </w:rPr>
            </w:pPr>
            <w:r w:rsidRPr="00025E96">
              <w:rPr>
                <w:rFonts w:cs="Arial"/>
                <w:b/>
                <w:lang w:eastAsia="en-GB"/>
              </w:rPr>
              <w:t>Not connected sale</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0.0% (0/16)</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025E96" w:rsidRDefault="00C12A83" w:rsidP="00820FE6">
            <w:pPr>
              <w:tabs>
                <w:tab w:val="left" w:pos="1089"/>
                <w:tab w:val="center" w:pos="1309"/>
              </w:tabs>
              <w:spacing w:after="160" w:line="259" w:lineRule="auto"/>
              <w:jc w:val="center"/>
              <w:rPr>
                <w:rFonts w:cs="Arial"/>
                <w:lang w:eastAsia="en-GB"/>
              </w:rPr>
            </w:pPr>
            <w:r w:rsidRPr="00025E96">
              <w:rPr>
                <w:rFonts w:cs="Arial"/>
                <w:lang w:eastAsia="en-GB"/>
              </w:rPr>
              <w:t>0%(0/59)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0.0%(0/75)</w:t>
            </w:r>
          </w:p>
        </w:tc>
      </w:tr>
      <w:tr w:rsidR="00C12A83" w:rsidRPr="009B6494" w:rsidTr="00820FE6">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12A83" w:rsidRPr="00025E96" w:rsidRDefault="00C12A83" w:rsidP="00820FE6">
            <w:pPr>
              <w:spacing w:after="160" w:line="259" w:lineRule="auto"/>
              <w:rPr>
                <w:rFonts w:cs="Arial"/>
                <w:b/>
                <w:lang w:eastAsia="en-GB"/>
              </w:rPr>
            </w:pPr>
            <w:r w:rsidRPr="00025E96">
              <w:rPr>
                <w:rFonts w:cs="Arial"/>
                <w:b/>
                <w:lang w:eastAsia="en-GB"/>
              </w:rPr>
              <w:t>Total</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8.3% (2/24)</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12A83" w:rsidRPr="00025E96" w:rsidRDefault="00C12A83" w:rsidP="00820FE6">
            <w:pPr>
              <w:spacing w:after="160" w:line="259" w:lineRule="auto"/>
              <w:jc w:val="center"/>
              <w:rPr>
                <w:rFonts w:cs="Arial"/>
                <w:lang w:eastAsia="en-GB"/>
              </w:rPr>
            </w:pPr>
            <w:r>
              <w:rPr>
                <w:rFonts w:cs="Arial"/>
                <w:lang w:eastAsia="en-GB"/>
              </w:rPr>
              <w:t>4</w:t>
            </w:r>
            <w:r w:rsidRPr="00025E96">
              <w:rPr>
                <w:rFonts w:cs="Arial"/>
                <w:lang w:eastAsia="en-GB"/>
              </w:rPr>
              <w:t>.3% (3/69)</w:t>
            </w:r>
          </w:p>
        </w:tc>
        <w:tc>
          <w:tcPr>
            <w:tcW w:w="1985" w:type="dxa"/>
            <w:tcBorders>
              <w:top w:val="single" w:sz="4" w:space="0" w:color="auto"/>
              <w:left w:val="single" w:sz="4" w:space="0" w:color="auto"/>
              <w:bottom w:val="single" w:sz="4" w:space="0" w:color="auto"/>
              <w:right w:val="single" w:sz="4" w:space="0" w:color="auto"/>
            </w:tcBorders>
            <w:vAlign w:val="center"/>
            <w:hideMark/>
          </w:tcPr>
          <w:p w:rsidR="00C12A83" w:rsidRPr="00025E96" w:rsidRDefault="00C12A83" w:rsidP="00820FE6">
            <w:pPr>
              <w:spacing w:after="160" w:line="259" w:lineRule="auto"/>
              <w:jc w:val="center"/>
              <w:rPr>
                <w:rFonts w:cs="Arial"/>
                <w:lang w:eastAsia="en-GB"/>
              </w:rPr>
            </w:pPr>
            <w:r w:rsidRPr="00025E96">
              <w:rPr>
                <w:rFonts w:cs="Arial"/>
                <w:lang w:eastAsia="en-GB"/>
              </w:rPr>
              <w:t>5.4% (5/93)</w:t>
            </w:r>
          </w:p>
        </w:tc>
      </w:tr>
    </w:tbl>
    <w:p w:rsidR="00C12A83" w:rsidRPr="00025E96" w:rsidRDefault="00C12A83" w:rsidP="00C12A83">
      <w:pPr>
        <w:pStyle w:val="TableHeading"/>
        <w:spacing w:line="240" w:lineRule="auto"/>
        <w:rPr>
          <w:b w:val="0"/>
          <w:bCs/>
          <w:sz w:val="24"/>
          <w:szCs w:val="24"/>
        </w:rPr>
      </w:pPr>
    </w:p>
    <w:p w:rsidR="00C12A83" w:rsidRPr="00025E96" w:rsidRDefault="00C12A83" w:rsidP="00C12A83">
      <w:pPr>
        <w:pStyle w:val="TableHeading"/>
        <w:spacing w:line="240" w:lineRule="auto"/>
        <w:rPr>
          <w:b w:val="0"/>
          <w:bCs/>
          <w:sz w:val="24"/>
          <w:szCs w:val="24"/>
        </w:rPr>
      </w:pPr>
      <w:r w:rsidRPr="00025E96">
        <w:rPr>
          <w:b w:val="0"/>
          <w:bCs/>
          <w:sz w:val="24"/>
          <w:szCs w:val="24"/>
        </w:rPr>
        <w:t xml:space="preserve">From the table above we see that, ignoring the presence or absence of deferred consideration, in the observed data 27.7% of connected sales fail within 12 months. Similarly, ignoring the presence or absence of a connected sale, 8.3% of purchasers in trading administration sales where deferred consideration is present fail within 12 months.  </w:t>
      </w:r>
    </w:p>
    <w:p w:rsidR="00C12A83" w:rsidRPr="007C04D7" w:rsidRDefault="00C12A83" w:rsidP="00C12A83">
      <w:pPr>
        <w:pStyle w:val="TableHeading"/>
        <w:spacing w:line="240" w:lineRule="auto"/>
        <w:rPr>
          <w:bCs/>
          <w:sz w:val="24"/>
          <w:szCs w:val="24"/>
        </w:rPr>
      </w:pPr>
    </w:p>
    <w:p w:rsidR="00C12A83" w:rsidRDefault="00C12A83" w:rsidP="00C12A83">
      <w:pPr>
        <w:rPr>
          <w:b/>
          <w:bCs/>
        </w:rPr>
      </w:pPr>
      <w:r>
        <w:rPr>
          <w:bCs/>
        </w:rPr>
        <w:br w:type="page"/>
      </w:r>
    </w:p>
    <w:p w:rsidR="00C12A83" w:rsidRPr="005869A7" w:rsidRDefault="00C12A83" w:rsidP="00C12A83">
      <w:pPr>
        <w:pStyle w:val="TableHeading"/>
        <w:spacing w:line="240" w:lineRule="auto"/>
        <w:rPr>
          <w:bCs/>
          <w:i/>
          <w:sz w:val="24"/>
          <w:szCs w:val="24"/>
        </w:rPr>
      </w:pPr>
      <w:r w:rsidRPr="005869A7">
        <w:rPr>
          <w:bCs/>
          <w:i/>
          <w:sz w:val="24"/>
          <w:szCs w:val="24"/>
        </w:rPr>
        <w:lastRenderedPageBreak/>
        <w:t>Part C Combined Regression Analysis</w:t>
      </w: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Cs/>
          <w:sz w:val="24"/>
          <w:szCs w:val="24"/>
        </w:rPr>
      </w:pPr>
      <w:r>
        <w:rPr>
          <w:bCs/>
          <w:sz w:val="24"/>
          <w:szCs w:val="24"/>
        </w:rPr>
        <w:t>The Complete Data: Failure of the purchaser at 36 months</w:t>
      </w:r>
    </w:p>
    <w:p w:rsidR="00C12A83" w:rsidRDefault="00C12A83" w:rsidP="00C12A83">
      <w:pPr>
        <w:pStyle w:val="TableHeading"/>
        <w:spacing w:line="240" w:lineRule="auto"/>
        <w:rPr>
          <w:bCs/>
          <w:sz w:val="24"/>
          <w:szCs w:val="24"/>
        </w:rPr>
      </w:pPr>
    </w:p>
    <w:p w:rsidR="00C12A83" w:rsidRDefault="00C12A83" w:rsidP="00C12A83">
      <w:pPr>
        <w:pStyle w:val="TableHeading"/>
        <w:spacing w:line="240" w:lineRule="auto"/>
        <w:rPr>
          <w:b w:val="0"/>
          <w:bCs/>
          <w:sz w:val="24"/>
          <w:szCs w:val="24"/>
        </w:rPr>
      </w:pPr>
      <w:r w:rsidRPr="00D83EE1">
        <w:rPr>
          <w:b w:val="0"/>
          <w:bCs/>
          <w:sz w:val="24"/>
          <w:szCs w:val="24"/>
        </w:rPr>
        <w:t>In total</w:t>
      </w:r>
      <w:r>
        <w:rPr>
          <w:b w:val="0"/>
          <w:bCs/>
          <w:sz w:val="24"/>
          <w:szCs w:val="24"/>
        </w:rPr>
        <w:t>,</w:t>
      </w:r>
      <w:r w:rsidRPr="00D83EE1">
        <w:rPr>
          <w:b w:val="0"/>
          <w:bCs/>
          <w:sz w:val="24"/>
          <w:szCs w:val="24"/>
        </w:rPr>
        <w:t xml:space="preserve"> 446 pre</w:t>
      </w:r>
      <w:r>
        <w:rPr>
          <w:b w:val="0"/>
          <w:bCs/>
          <w:sz w:val="24"/>
          <w:szCs w:val="24"/>
        </w:rPr>
        <w:t xml:space="preserve">-pack administrations </w:t>
      </w:r>
      <w:r w:rsidRPr="00D83EE1">
        <w:rPr>
          <w:b w:val="0"/>
          <w:bCs/>
          <w:sz w:val="24"/>
          <w:szCs w:val="24"/>
        </w:rPr>
        <w:t>and 93 trading administrations</w:t>
      </w:r>
      <w:r>
        <w:rPr>
          <w:b w:val="0"/>
          <w:bCs/>
          <w:sz w:val="24"/>
          <w:szCs w:val="24"/>
        </w:rPr>
        <w:t xml:space="preserve"> with going concern business sales were analysed.</w:t>
      </w:r>
      <w:r w:rsidRPr="00D83EE1">
        <w:rPr>
          <w:b w:val="0"/>
          <w:bCs/>
          <w:sz w:val="24"/>
          <w:szCs w:val="24"/>
        </w:rPr>
        <w:t xml:space="preserve"> 26.0% of </w:t>
      </w:r>
      <w:r>
        <w:rPr>
          <w:b w:val="0"/>
          <w:bCs/>
          <w:sz w:val="24"/>
          <w:szCs w:val="24"/>
        </w:rPr>
        <w:t xml:space="preserve">purchasers in </w:t>
      </w:r>
      <w:r w:rsidRPr="00D83EE1">
        <w:rPr>
          <w:b w:val="0"/>
          <w:bCs/>
          <w:sz w:val="24"/>
          <w:szCs w:val="24"/>
        </w:rPr>
        <w:t>pre</w:t>
      </w:r>
      <w:r>
        <w:rPr>
          <w:b w:val="0"/>
          <w:bCs/>
          <w:sz w:val="24"/>
          <w:szCs w:val="24"/>
        </w:rPr>
        <w:t>-</w:t>
      </w:r>
      <w:r w:rsidRPr="00D83EE1">
        <w:rPr>
          <w:b w:val="0"/>
          <w:bCs/>
          <w:sz w:val="24"/>
          <w:szCs w:val="24"/>
        </w:rPr>
        <w:t xml:space="preserve">pack administrations had failed at 36 months, as opposed to 20.4% of </w:t>
      </w:r>
      <w:r>
        <w:rPr>
          <w:b w:val="0"/>
          <w:bCs/>
          <w:sz w:val="24"/>
          <w:szCs w:val="24"/>
        </w:rPr>
        <w:t xml:space="preserve">purchasers from </w:t>
      </w:r>
      <w:r w:rsidRPr="00D83EE1">
        <w:rPr>
          <w:b w:val="0"/>
          <w:bCs/>
          <w:sz w:val="24"/>
          <w:szCs w:val="24"/>
        </w:rPr>
        <w:t>trading administrations</w:t>
      </w:r>
      <w:r>
        <w:rPr>
          <w:b w:val="0"/>
          <w:bCs/>
          <w:sz w:val="24"/>
          <w:szCs w:val="24"/>
        </w:rPr>
        <w:t>.</w:t>
      </w:r>
      <w:r w:rsidRPr="00D83EE1">
        <w:rPr>
          <w:b w:val="0"/>
          <w:bCs/>
          <w:sz w:val="24"/>
          <w:szCs w:val="24"/>
        </w:rPr>
        <w:t xml:space="preserv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A</w:t>
      </w:r>
      <w:r w:rsidRPr="00D83EE1">
        <w:rPr>
          <w:b w:val="0"/>
          <w:bCs/>
          <w:sz w:val="24"/>
          <w:szCs w:val="24"/>
        </w:rPr>
        <w:t>s noted in the discussion</w:t>
      </w:r>
      <w:r>
        <w:rPr>
          <w:b w:val="0"/>
          <w:bCs/>
          <w:sz w:val="24"/>
          <w:szCs w:val="24"/>
        </w:rPr>
        <w:t>s in section</w:t>
      </w:r>
      <w:r w:rsidR="0096050E">
        <w:rPr>
          <w:b w:val="0"/>
          <w:bCs/>
          <w:sz w:val="24"/>
          <w:szCs w:val="24"/>
        </w:rPr>
        <w:t>s</w:t>
      </w:r>
      <w:r>
        <w:rPr>
          <w:b w:val="0"/>
          <w:bCs/>
          <w:sz w:val="24"/>
          <w:szCs w:val="24"/>
        </w:rPr>
        <w:t xml:space="preserve"> </w:t>
      </w:r>
      <w:r w:rsidR="0096050E">
        <w:rPr>
          <w:b w:val="0"/>
          <w:bCs/>
          <w:sz w:val="24"/>
          <w:szCs w:val="24"/>
        </w:rPr>
        <w:t>A</w:t>
      </w:r>
      <w:r>
        <w:rPr>
          <w:b w:val="0"/>
          <w:bCs/>
          <w:sz w:val="24"/>
          <w:szCs w:val="24"/>
        </w:rPr>
        <w:t>4</w:t>
      </w:r>
      <w:r w:rsidR="0096050E">
        <w:rPr>
          <w:b w:val="0"/>
          <w:bCs/>
          <w:sz w:val="24"/>
          <w:szCs w:val="24"/>
        </w:rPr>
        <w:t xml:space="preserve"> and B4 above</w:t>
      </w:r>
      <w:r>
        <w:rPr>
          <w:b w:val="0"/>
          <w:bCs/>
          <w:sz w:val="24"/>
          <w:szCs w:val="24"/>
        </w:rPr>
        <w:t xml:space="preserve">, </w:t>
      </w:r>
      <w:r w:rsidRPr="00D83EE1">
        <w:rPr>
          <w:b w:val="0"/>
          <w:bCs/>
          <w:sz w:val="24"/>
          <w:szCs w:val="24"/>
        </w:rPr>
        <w:t>both connected sales and deferred consideration were more prevalent in pre</w:t>
      </w:r>
      <w:r>
        <w:rPr>
          <w:b w:val="0"/>
          <w:bCs/>
          <w:sz w:val="24"/>
          <w:szCs w:val="24"/>
        </w:rPr>
        <w:t>-pack administration sales</w:t>
      </w:r>
      <w:r w:rsidRPr="00D83EE1">
        <w:rPr>
          <w:b w:val="0"/>
          <w:bCs/>
          <w:sz w:val="24"/>
          <w:szCs w:val="24"/>
        </w:rPr>
        <w:t xml:space="preserve"> than trading administration</w:t>
      </w:r>
      <w:r>
        <w:rPr>
          <w:b w:val="0"/>
          <w:bCs/>
          <w:sz w:val="24"/>
          <w:szCs w:val="24"/>
        </w:rPr>
        <w:t xml:space="preserve"> sale</w:t>
      </w:r>
      <w:r w:rsidRPr="00D83EE1">
        <w:rPr>
          <w:b w:val="0"/>
          <w:bCs/>
          <w:sz w:val="24"/>
          <w:szCs w:val="24"/>
        </w:rPr>
        <w:t>s</w:t>
      </w:r>
      <w:r>
        <w:rPr>
          <w:b w:val="0"/>
          <w:bCs/>
          <w:sz w:val="24"/>
          <w:szCs w:val="24"/>
        </w:rPr>
        <w:t>.</w:t>
      </w:r>
      <w:r w:rsidRPr="00D83EE1">
        <w:rPr>
          <w:b w:val="0"/>
          <w:bCs/>
          <w:sz w:val="24"/>
          <w:szCs w:val="24"/>
        </w:rPr>
        <w:t xml:space="preserve"> </w:t>
      </w:r>
      <w:r>
        <w:rPr>
          <w:b w:val="0"/>
          <w:bCs/>
          <w:sz w:val="24"/>
          <w:szCs w:val="24"/>
        </w:rPr>
        <w:t>B</w:t>
      </w:r>
      <w:r w:rsidRPr="00D83EE1">
        <w:rPr>
          <w:b w:val="0"/>
          <w:bCs/>
          <w:sz w:val="24"/>
          <w:szCs w:val="24"/>
        </w:rPr>
        <w:t xml:space="preserve">oth </w:t>
      </w:r>
      <w:r>
        <w:rPr>
          <w:b w:val="0"/>
          <w:bCs/>
          <w:sz w:val="24"/>
          <w:szCs w:val="24"/>
        </w:rPr>
        <w:t>of these</w:t>
      </w:r>
      <w:r w:rsidRPr="00D83EE1">
        <w:rPr>
          <w:b w:val="0"/>
          <w:bCs/>
          <w:sz w:val="24"/>
          <w:szCs w:val="24"/>
        </w:rPr>
        <w:t xml:space="preserve"> factors are associated with increased likelihood of failure.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D83EE1">
        <w:rPr>
          <w:b w:val="0"/>
          <w:bCs/>
          <w:sz w:val="24"/>
          <w:szCs w:val="24"/>
        </w:rPr>
        <w:t xml:space="preserve">The primary focus of this section is to assess whether the type of administration </w:t>
      </w:r>
      <w:r>
        <w:rPr>
          <w:b w:val="0"/>
          <w:bCs/>
          <w:sz w:val="24"/>
          <w:szCs w:val="24"/>
        </w:rPr>
        <w:t>sale (i.e. pre-pack as opposed to trading administration)</w:t>
      </w:r>
      <w:r w:rsidRPr="00D83EE1">
        <w:rPr>
          <w:b w:val="0"/>
          <w:bCs/>
          <w:sz w:val="24"/>
          <w:szCs w:val="24"/>
        </w:rPr>
        <w:t xml:space="preserve"> significantly </w:t>
      </w:r>
      <w:r>
        <w:rPr>
          <w:b w:val="0"/>
          <w:bCs/>
          <w:sz w:val="24"/>
          <w:szCs w:val="24"/>
        </w:rPr>
        <w:t>a</w:t>
      </w:r>
      <w:r w:rsidRPr="00D83EE1">
        <w:rPr>
          <w:b w:val="0"/>
          <w:bCs/>
          <w:sz w:val="24"/>
          <w:szCs w:val="24"/>
        </w:rPr>
        <w:t>ffects the chances of survival</w:t>
      </w:r>
      <w:r>
        <w:rPr>
          <w:b w:val="0"/>
          <w:bCs/>
          <w:sz w:val="24"/>
          <w:szCs w:val="24"/>
        </w:rPr>
        <w:t>.</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sidRPr="00D83EE1">
        <w:rPr>
          <w:b w:val="0"/>
          <w:bCs/>
          <w:sz w:val="24"/>
          <w:szCs w:val="24"/>
        </w:rPr>
        <w:t>The model shows that, all other factor</w:t>
      </w:r>
      <w:r>
        <w:rPr>
          <w:b w:val="0"/>
          <w:bCs/>
          <w:sz w:val="24"/>
          <w:szCs w:val="24"/>
        </w:rPr>
        <w:t>s</w:t>
      </w:r>
      <w:r w:rsidRPr="00D83EE1">
        <w:rPr>
          <w:b w:val="0"/>
          <w:bCs/>
          <w:sz w:val="24"/>
          <w:szCs w:val="24"/>
        </w:rPr>
        <w:t xml:space="preserve"> being equal, the failure to success ratio is 2.4 times gre</w:t>
      </w:r>
      <w:r>
        <w:rPr>
          <w:b w:val="0"/>
          <w:bCs/>
          <w:sz w:val="24"/>
          <w:szCs w:val="24"/>
        </w:rPr>
        <w:t>ater for going concern sales in a trading administration than for pre-pack sales</w:t>
      </w:r>
      <w:r w:rsidRPr="00D83EE1">
        <w:rPr>
          <w:b w:val="0"/>
          <w:bCs/>
          <w:sz w:val="24"/>
          <w:szCs w:val="24"/>
        </w:rPr>
        <w:t>. Interestingly, the models for failure at 24 months and 12 months bot</w:t>
      </w:r>
      <w:r>
        <w:rPr>
          <w:b w:val="0"/>
          <w:bCs/>
          <w:sz w:val="24"/>
          <w:szCs w:val="24"/>
        </w:rPr>
        <w:t xml:space="preserve">h illustrate similar increased </w:t>
      </w:r>
      <w:r w:rsidRPr="00D83EE1">
        <w:rPr>
          <w:b w:val="0"/>
          <w:bCs/>
          <w:sz w:val="24"/>
          <w:szCs w:val="24"/>
        </w:rPr>
        <w:t>failure to success ratios for trading administrations as opposed to pre</w:t>
      </w:r>
      <w:r>
        <w:rPr>
          <w:b w:val="0"/>
          <w:bCs/>
          <w:sz w:val="24"/>
          <w:szCs w:val="24"/>
        </w:rPr>
        <w:t>-</w:t>
      </w:r>
      <w:r w:rsidRPr="00D83EE1">
        <w:rPr>
          <w:b w:val="0"/>
          <w:bCs/>
          <w:sz w:val="24"/>
          <w:szCs w:val="24"/>
        </w:rPr>
        <w:t>packs, the models estimating increases by factors of  2.3 and 2.6 respectively</w:t>
      </w:r>
      <w:r>
        <w:rPr>
          <w:b w:val="0"/>
          <w:bCs/>
          <w:sz w:val="24"/>
          <w:szCs w:val="24"/>
        </w:rPr>
        <w:t xml:space="preserve">. Essentially, in identical circumstances (i.e. whether or not the purchaser is connected, whether there is deferred consideration, the purchase price and the size of the insolvent vendor) save for the type of sale, pre-pack or trading administration, the model shows a greater instance of failure amongst trading administration sales. It must be acknowledged that the lower presence of deferred consideration and sales to connected parties in trading administration sales does somewhat skew the data, as we are not comparing even data sets. </w:t>
      </w:r>
    </w:p>
    <w:p w:rsidR="00C12A83" w:rsidRDefault="00C12A83" w:rsidP="00C12A83">
      <w:pPr>
        <w:pStyle w:val="TableHeading"/>
        <w:spacing w:line="240" w:lineRule="auto"/>
        <w:rPr>
          <w:b w:val="0"/>
          <w:bCs/>
          <w:sz w:val="24"/>
          <w:szCs w:val="24"/>
        </w:rPr>
      </w:pPr>
    </w:p>
    <w:p w:rsidR="00C12A83" w:rsidRDefault="00C12A83" w:rsidP="00C12A83">
      <w:pPr>
        <w:pStyle w:val="TableHeading"/>
        <w:spacing w:line="240" w:lineRule="auto"/>
        <w:rPr>
          <w:b w:val="0"/>
          <w:bCs/>
          <w:sz w:val="24"/>
          <w:szCs w:val="24"/>
        </w:rPr>
      </w:pPr>
      <w:r>
        <w:rPr>
          <w:b w:val="0"/>
          <w:bCs/>
          <w:sz w:val="24"/>
          <w:szCs w:val="24"/>
        </w:rPr>
        <w:t>Overall, on the data reviewed, there is a higher expectation of failure of purchasers in</w:t>
      </w:r>
      <w:r w:rsidR="0096050E">
        <w:rPr>
          <w:b w:val="0"/>
          <w:bCs/>
          <w:sz w:val="24"/>
          <w:szCs w:val="24"/>
        </w:rPr>
        <w:t xml:space="preserve"> a</w:t>
      </w:r>
      <w:r>
        <w:rPr>
          <w:b w:val="0"/>
          <w:bCs/>
          <w:sz w:val="24"/>
          <w:szCs w:val="24"/>
        </w:rPr>
        <w:t xml:space="preserve"> pre-pack sale given the higher probability of deferred consideration being present.</w:t>
      </w:r>
    </w:p>
    <w:p w:rsidR="00C12A83" w:rsidRDefault="00C12A83" w:rsidP="00C12A83">
      <w:pPr>
        <w:pStyle w:val="TableHeading"/>
        <w:spacing w:line="240" w:lineRule="auto"/>
        <w:rPr>
          <w:b w:val="0"/>
          <w:bCs/>
          <w:sz w:val="24"/>
          <w:szCs w:val="24"/>
        </w:rPr>
      </w:pPr>
    </w:p>
    <w:p w:rsidR="002C664E" w:rsidRDefault="00C12A83" w:rsidP="00C12A83">
      <w:pPr>
        <w:pStyle w:val="TableHeading"/>
        <w:spacing w:line="240" w:lineRule="auto"/>
        <w:rPr>
          <w:b w:val="0"/>
          <w:bCs/>
          <w:sz w:val="24"/>
          <w:szCs w:val="24"/>
        </w:rPr>
      </w:pPr>
      <w:r>
        <w:rPr>
          <w:b w:val="0"/>
          <w:bCs/>
          <w:sz w:val="24"/>
          <w:szCs w:val="24"/>
        </w:rPr>
        <w:t>T</w:t>
      </w:r>
      <w:r w:rsidRPr="00D83EE1">
        <w:rPr>
          <w:b w:val="0"/>
          <w:bCs/>
          <w:sz w:val="24"/>
          <w:szCs w:val="24"/>
        </w:rPr>
        <w:t xml:space="preserve">he analysis of the combined data is </w:t>
      </w:r>
      <w:r>
        <w:rPr>
          <w:b w:val="0"/>
          <w:bCs/>
          <w:sz w:val="24"/>
          <w:szCs w:val="24"/>
        </w:rPr>
        <w:t xml:space="preserve">also </w:t>
      </w:r>
      <w:r w:rsidRPr="00D83EE1">
        <w:rPr>
          <w:b w:val="0"/>
          <w:bCs/>
          <w:sz w:val="24"/>
          <w:szCs w:val="24"/>
        </w:rPr>
        <w:t xml:space="preserve">interesting </w:t>
      </w:r>
      <w:r>
        <w:rPr>
          <w:b w:val="0"/>
          <w:bCs/>
          <w:sz w:val="24"/>
          <w:szCs w:val="24"/>
        </w:rPr>
        <w:t>with regard to the impact of the age of the insolvent company on subsequent failure of the purchaser. W</w:t>
      </w:r>
      <w:r w:rsidRPr="00D83EE1">
        <w:rPr>
          <w:b w:val="0"/>
          <w:bCs/>
          <w:sz w:val="24"/>
          <w:szCs w:val="24"/>
        </w:rPr>
        <w:t xml:space="preserve">hilst the age of the company at time of administration was investigated and found not to be significant in </w:t>
      </w:r>
      <w:r w:rsidR="0096050E">
        <w:rPr>
          <w:b w:val="0"/>
          <w:bCs/>
          <w:sz w:val="24"/>
          <w:szCs w:val="24"/>
        </w:rPr>
        <w:t>either</w:t>
      </w:r>
      <w:r w:rsidRPr="00D83EE1">
        <w:rPr>
          <w:b w:val="0"/>
          <w:bCs/>
          <w:sz w:val="24"/>
          <w:szCs w:val="24"/>
        </w:rPr>
        <w:t xml:space="preserve"> the pre</w:t>
      </w:r>
      <w:r>
        <w:rPr>
          <w:b w:val="0"/>
          <w:bCs/>
          <w:sz w:val="24"/>
          <w:szCs w:val="24"/>
        </w:rPr>
        <w:t>-</w:t>
      </w:r>
      <w:r w:rsidRPr="00D83EE1">
        <w:rPr>
          <w:b w:val="0"/>
          <w:bCs/>
          <w:sz w:val="24"/>
          <w:szCs w:val="24"/>
        </w:rPr>
        <w:t xml:space="preserve">pack </w:t>
      </w:r>
      <w:r w:rsidR="0096050E">
        <w:rPr>
          <w:b w:val="0"/>
          <w:bCs/>
          <w:sz w:val="24"/>
          <w:szCs w:val="24"/>
        </w:rPr>
        <w:t>or</w:t>
      </w:r>
      <w:r w:rsidRPr="00D83EE1">
        <w:rPr>
          <w:b w:val="0"/>
          <w:bCs/>
          <w:sz w:val="24"/>
          <w:szCs w:val="24"/>
        </w:rPr>
        <w:t xml:space="preserve"> trading administration </w:t>
      </w:r>
      <w:r>
        <w:rPr>
          <w:b w:val="0"/>
          <w:bCs/>
          <w:sz w:val="24"/>
          <w:szCs w:val="24"/>
        </w:rPr>
        <w:t xml:space="preserve">models </w:t>
      </w:r>
      <w:r w:rsidRPr="00D83EE1">
        <w:rPr>
          <w:b w:val="0"/>
          <w:bCs/>
          <w:sz w:val="24"/>
          <w:szCs w:val="24"/>
        </w:rPr>
        <w:t xml:space="preserve">of failure at 36 months, it is significant in the combined analysis of failure at </w:t>
      </w:r>
      <w:r>
        <w:rPr>
          <w:b w:val="0"/>
          <w:bCs/>
          <w:sz w:val="24"/>
          <w:szCs w:val="24"/>
        </w:rPr>
        <w:t>36 months</w:t>
      </w:r>
      <w:r w:rsidRPr="00D83EE1">
        <w:rPr>
          <w:b w:val="0"/>
          <w:bCs/>
          <w:sz w:val="24"/>
          <w:szCs w:val="24"/>
        </w:rPr>
        <w:t xml:space="preserve">, </w:t>
      </w:r>
      <w:r>
        <w:rPr>
          <w:b w:val="0"/>
          <w:bCs/>
          <w:sz w:val="24"/>
          <w:szCs w:val="24"/>
        </w:rPr>
        <w:t xml:space="preserve">purchasers from </w:t>
      </w:r>
      <w:r w:rsidRPr="00D83EE1">
        <w:rPr>
          <w:b w:val="0"/>
          <w:bCs/>
          <w:sz w:val="24"/>
          <w:szCs w:val="24"/>
        </w:rPr>
        <w:t xml:space="preserve">older companies </w:t>
      </w:r>
      <w:r>
        <w:rPr>
          <w:b w:val="0"/>
          <w:bCs/>
          <w:sz w:val="24"/>
          <w:szCs w:val="24"/>
        </w:rPr>
        <w:t>are</w:t>
      </w:r>
      <w:r w:rsidRPr="00D83EE1">
        <w:rPr>
          <w:b w:val="0"/>
          <w:bCs/>
          <w:sz w:val="24"/>
          <w:szCs w:val="24"/>
        </w:rPr>
        <w:t xml:space="preserve">, on average, less likely to fail. It should be noted that, as illustrated by the boxplots below, the age profile of </w:t>
      </w:r>
      <w:r>
        <w:rPr>
          <w:b w:val="0"/>
          <w:bCs/>
          <w:sz w:val="24"/>
          <w:szCs w:val="24"/>
        </w:rPr>
        <w:t xml:space="preserve">the insolvent </w:t>
      </w:r>
      <w:r w:rsidRPr="00D83EE1">
        <w:rPr>
          <w:b w:val="0"/>
          <w:bCs/>
          <w:sz w:val="24"/>
          <w:szCs w:val="24"/>
        </w:rPr>
        <w:t>companies in pre</w:t>
      </w:r>
      <w:r>
        <w:rPr>
          <w:b w:val="0"/>
          <w:bCs/>
          <w:sz w:val="24"/>
          <w:szCs w:val="24"/>
        </w:rPr>
        <w:t>-</w:t>
      </w:r>
      <w:r w:rsidRPr="00D83EE1">
        <w:rPr>
          <w:b w:val="0"/>
          <w:bCs/>
          <w:sz w:val="24"/>
          <w:szCs w:val="24"/>
        </w:rPr>
        <w:t>pack administration</w:t>
      </w:r>
      <w:r>
        <w:rPr>
          <w:b w:val="0"/>
          <w:bCs/>
          <w:sz w:val="24"/>
          <w:szCs w:val="24"/>
        </w:rPr>
        <w:t>s</w:t>
      </w:r>
      <w:r w:rsidRPr="00D83EE1">
        <w:rPr>
          <w:b w:val="0"/>
          <w:bCs/>
          <w:sz w:val="24"/>
          <w:szCs w:val="24"/>
        </w:rPr>
        <w:t xml:space="preserve"> is somewhat less than that of those in trading administration</w:t>
      </w:r>
      <w:r>
        <w:rPr>
          <w:b w:val="0"/>
          <w:bCs/>
          <w:sz w:val="24"/>
          <w:szCs w:val="24"/>
        </w:rPr>
        <w:t>s;</w:t>
      </w:r>
      <w:r w:rsidRPr="00D83EE1">
        <w:rPr>
          <w:b w:val="0"/>
          <w:bCs/>
          <w:sz w:val="24"/>
          <w:szCs w:val="24"/>
        </w:rPr>
        <w:t xml:space="preserve"> the median age of pre</w:t>
      </w:r>
      <w:r>
        <w:rPr>
          <w:b w:val="0"/>
          <w:bCs/>
          <w:sz w:val="24"/>
          <w:szCs w:val="24"/>
        </w:rPr>
        <w:t xml:space="preserve">-packed companies </w:t>
      </w:r>
      <w:r w:rsidRPr="00D83EE1">
        <w:rPr>
          <w:b w:val="0"/>
          <w:bCs/>
          <w:sz w:val="24"/>
          <w:szCs w:val="24"/>
        </w:rPr>
        <w:t xml:space="preserve">being 8.7 years, and the median age of </w:t>
      </w:r>
      <w:r>
        <w:rPr>
          <w:b w:val="0"/>
          <w:bCs/>
          <w:sz w:val="24"/>
          <w:szCs w:val="24"/>
        </w:rPr>
        <w:t xml:space="preserve">companies in trading administrations </w:t>
      </w:r>
      <w:r w:rsidRPr="00D83EE1">
        <w:rPr>
          <w:b w:val="0"/>
          <w:bCs/>
          <w:sz w:val="24"/>
          <w:szCs w:val="24"/>
        </w:rPr>
        <w:t>12.5 years</w:t>
      </w:r>
      <w:r>
        <w:rPr>
          <w:b w:val="0"/>
          <w:bCs/>
          <w:sz w:val="24"/>
          <w:szCs w:val="24"/>
        </w:rPr>
        <w:t>.</w:t>
      </w:r>
      <w:r w:rsidRPr="00D83EE1">
        <w:rPr>
          <w:b w:val="0"/>
          <w:bCs/>
          <w:sz w:val="24"/>
          <w:szCs w:val="24"/>
        </w:rPr>
        <w:t xml:space="preserve"> </w:t>
      </w:r>
      <w:r>
        <w:rPr>
          <w:b w:val="0"/>
          <w:bCs/>
          <w:sz w:val="24"/>
          <w:szCs w:val="24"/>
        </w:rPr>
        <w:t>A</w:t>
      </w:r>
      <w:r w:rsidRPr="00D83EE1">
        <w:rPr>
          <w:b w:val="0"/>
          <w:bCs/>
          <w:sz w:val="24"/>
          <w:szCs w:val="24"/>
        </w:rPr>
        <w:t>lso</w:t>
      </w:r>
      <w:r>
        <w:rPr>
          <w:b w:val="0"/>
          <w:bCs/>
          <w:sz w:val="24"/>
          <w:szCs w:val="24"/>
        </w:rPr>
        <w:t>,</w:t>
      </w:r>
      <w:r w:rsidRPr="00D83EE1">
        <w:rPr>
          <w:b w:val="0"/>
          <w:bCs/>
          <w:sz w:val="24"/>
          <w:szCs w:val="24"/>
        </w:rPr>
        <w:t xml:space="preserve"> the spread of typical ages is great</w:t>
      </w:r>
      <w:r>
        <w:rPr>
          <w:b w:val="0"/>
          <w:bCs/>
          <w:sz w:val="24"/>
          <w:szCs w:val="24"/>
        </w:rPr>
        <w:t>er for trading administrations,</w:t>
      </w:r>
      <w:r w:rsidRPr="00D83EE1">
        <w:rPr>
          <w:b w:val="0"/>
          <w:bCs/>
          <w:sz w:val="24"/>
          <w:szCs w:val="24"/>
        </w:rPr>
        <w:t xml:space="preserve"> hence its inclusion in the model is advisable.</w:t>
      </w:r>
    </w:p>
    <w:p w:rsidR="002C664E" w:rsidRDefault="002C664E" w:rsidP="00C12A83">
      <w:pPr>
        <w:pStyle w:val="TableHeading"/>
        <w:spacing w:line="240" w:lineRule="auto"/>
        <w:rPr>
          <w:b w:val="0"/>
          <w:bCs/>
          <w:sz w:val="24"/>
          <w:szCs w:val="24"/>
        </w:rPr>
      </w:pPr>
      <w:r>
        <w:rPr>
          <w:rFonts w:ascii="Calibri" w:eastAsia="Calibri" w:hAnsi="Calibri"/>
          <w:b w:val="0"/>
          <w:noProof/>
          <w:lang w:eastAsia="en-GB"/>
        </w:rPr>
        <w:lastRenderedPageBreak/>
        <w:drawing>
          <wp:inline distT="0" distB="0" distL="0" distR="0" wp14:anchorId="7DAA0079" wp14:editId="7DE10FE0">
            <wp:extent cx="5733418" cy="52673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a:extLst>
                        <a:ext uri="{28A0092B-C50C-407E-A947-70E740481C1C}">
                          <a14:useLocalDpi xmlns:a14="http://schemas.microsoft.com/office/drawing/2010/main" val="0"/>
                        </a:ext>
                      </a:extLst>
                    </a:blip>
                    <a:srcRect b="7987"/>
                    <a:stretch/>
                  </pic:blipFill>
                  <pic:spPr bwMode="auto">
                    <a:xfrm>
                      <a:off x="0" y="0"/>
                      <a:ext cx="5731510" cy="5265572"/>
                    </a:xfrm>
                    <a:prstGeom prst="rect">
                      <a:avLst/>
                    </a:prstGeom>
                    <a:noFill/>
                    <a:ln>
                      <a:noFill/>
                    </a:ln>
                    <a:extLst>
                      <a:ext uri="{53640926-AAD7-44D8-BBD7-CCE9431645EC}">
                        <a14:shadowObscured xmlns:a14="http://schemas.microsoft.com/office/drawing/2010/main"/>
                      </a:ext>
                    </a:extLst>
                  </pic:spPr>
                </pic:pic>
              </a:graphicData>
            </a:graphic>
          </wp:inline>
        </w:drawing>
      </w:r>
    </w:p>
    <w:p w:rsidR="002C664E" w:rsidRDefault="002C664E" w:rsidP="00C12A83">
      <w:pPr>
        <w:pStyle w:val="TableHeading"/>
        <w:spacing w:line="240" w:lineRule="auto"/>
        <w:rPr>
          <w:b w:val="0"/>
          <w:bCs/>
          <w:sz w:val="24"/>
          <w:szCs w:val="24"/>
        </w:rPr>
      </w:pPr>
    </w:p>
    <w:p w:rsidR="00C12A83" w:rsidRPr="00D83EE1" w:rsidRDefault="002C664E" w:rsidP="00C12A83">
      <w:pPr>
        <w:pStyle w:val="TableHeading"/>
        <w:spacing w:line="240" w:lineRule="auto"/>
        <w:rPr>
          <w:b w:val="0"/>
          <w:bCs/>
          <w:sz w:val="24"/>
          <w:szCs w:val="24"/>
        </w:rPr>
      </w:pPr>
      <w:r w:rsidRPr="007C04D7">
        <w:rPr>
          <w:b w:val="0"/>
          <w:bCs/>
          <w:sz w:val="24"/>
          <w:szCs w:val="24"/>
        </w:rPr>
        <w:t>The mode</w:t>
      </w:r>
      <w:r>
        <w:rPr>
          <w:b w:val="0"/>
          <w:bCs/>
          <w:sz w:val="24"/>
          <w:szCs w:val="24"/>
        </w:rPr>
        <w:t>l data is set out in Appendix 11</w:t>
      </w:r>
      <w:r w:rsidRPr="007C04D7">
        <w:rPr>
          <w:b w:val="0"/>
          <w:bCs/>
          <w:sz w:val="24"/>
          <w:szCs w:val="24"/>
        </w:rPr>
        <w:t xml:space="preserve"> for completeness.</w:t>
      </w:r>
      <w:r w:rsidR="00C12A83" w:rsidRPr="00D83EE1">
        <w:rPr>
          <w:b w:val="0"/>
          <w:bCs/>
          <w:sz w:val="24"/>
          <w:szCs w:val="24"/>
        </w:rPr>
        <w:t xml:space="preserve">  </w:t>
      </w:r>
    </w:p>
    <w:p w:rsidR="00C12A83" w:rsidRPr="00D83EE1" w:rsidRDefault="00C12A83" w:rsidP="00C12A83">
      <w:pPr>
        <w:rPr>
          <w:bCs/>
        </w:rPr>
      </w:pPr>
    </w:p>
    <w:p w:rsidR="00C12A83" w:rsidRDefault="00C12A83" w:rsidP="00C12A83">
      <w:pPr>
        <w:rPr>
          <w:bCs/>
        </w:rPr>
      </w:pPr>
      <w:r>
        <w:rPr>
          <w:b/>
          <w:bCs/>
        </w:rPr>
        <w:br w:type="page"/>
      </w:r>
    </w:p>
    <w:p w:rsidR="003340BA" w:rsidRDefault="003340BA" w:rsidP="003340BA">
      <w:pPr>
        <w:spacing w:before="40" w:after="40" w:line="240" w:lineRule="auto"/>
      </w:pPr>
    </w:p>
    <w:p w:rsidR="003340BA" w:rsidRPr="003340BA" w:rsidRDefault="003340BA" w:rsidP="003340BA">
      <w:pPr>
        <w:spacing w:before="40" w:after="40" w:line="240" w:lineRule="auto"/>
        <w:rPr>
          <w:b/>
        </w:rPr>
      </w:pPr>
      <w:r w:rsidRPr="003340BA">
        <w:rPr>
          <w:b/>
        </w:rPr>
        <w:t>IV</w:t>
      </w:r>
      <w:r w:rsidRPr="003340BA">
        <w:rPr>
          <w:b/>
        </w:rPr>
        <w:tab/>
        <w:t>Reflections</w:t>
      </w:r>
    </w:p>
    <w:p w:rsidR="003340BA" w:rsidRDefault="003340BA" w:rsidP="003340BA">
      <w:pPr>
        <w:spacing w:before="40" w:after="40" w:line="240" w:lineRule="auto"/>
      </w:pPr>
    </w:p>
    <w:p w:rsidR="00511FEC" w:rsidRDefault="003340BA" w:rsidP="003340BA">
      <w:pPr>
        <w:spacing w:before="40" w:after="40" w:line="240" w:lineRule="auto"/>
      </w:pPr>
      <w:r>
        <w:t xml:space="preserve">In addition to the analysis detailed in Part III above, there were also a number of impressionistic observations made through the data collection process that were not recorded (or capable of being recorded) in the aforementioned spreadsheets. A number of these reflections are discussed below. </w:t>
      </w:r>
      <w:r w:rsidR="00511FEC">
        <w:t>It must be emphasised that the statistical evidence as discussed above shows clearly that a purchaser in a pre-pack administration is far more likely to fail within 36 months if the purchase price involves deferred consideration. A sale to a connected party is also a statistically significant factor in subsequent failure (a</w:t>
      </w:r>
      <w:r w:rsidR="00FB3B8C">
        <w:t>nd connected sales were found in over two thirds of all pre-packs)</w:t>
      </w:r>
      <w:r w:rsidR="00511FEC">
        <w:t>. With regard to the smaller sample of going concern sales in administration, connected sales appear to be the only significant factor in subsequent failure.</w:t>
      </w:r>
      <w:r w:rsidR="005970F2">
        <w:t xml:space="preserve"> </w:t>
      </w:r>
    </w:p>
    <w:p w:rsidR="00DA1592" w:rsidRDefault="00DA1592" w:rsidP="003340BA">
      <w:pPr>
        <w:spacing w:before="40" w:after="40" w:line="240" w:lineRule="auto"/>
      </w:pPr>
    </w:p>
    <w:p w:rsidR="00511FEC" w:rsidRDefault="00511FEC" w:rsidP="003340BA">
      <w:pPr>
        <w:spacing w:before="40" w:after="40" w:line="240" w:lineRule="auto"/>
      </w:pPr>
      <w:r>
        <w:t xml:space="preserve">The following points have not been </w:t>
      </w:r>
      <w:r w:rsidR="00DD0B7E">
        <w:t>shown to be</w:t>
      </w:r>
      <w:r>
        <w:t xml:space="preserve"> statistically </w:t>
      </w:r>
      <w:r w:rsidR="00DD0B7E">
        <w:t xml:space="preserve">significant </w:t>
      </w:r>
      <w:r>
        <w:t xml:space="preserve">but are our observations on </w:t>
      </w:r>
      <w:r w:rsidR="006468FF">
        <w:t xml:space="preserve">our experience of carrying out the </w:t>
      </w:r>
      <w:r>
        <w:t>empirical study.</w:t>
      </w:r>
    </w:p>
    <w:p w:rsidR="003340BA" w:rsidRDefault="003340BA" w:rsidP="003340BA">
      <w:pPr>
        <w:spacing w:before="40" w:after="40" w:line="240" w:lineRule="auto"/>
      </w:pPr>
    </w:p>
    <w:p w:rsidR="003340BA" w:rsidRDefault="003340BA" w:rsidP="003340BA">
      <w:pPr>
        <w:spacing w:before="40" w:after="40" w:line="240" w:lineRule="auto"/>
      </w:pPr>
      <w:r>
        <w:t>1. Quality of reported data</w:t>
      </w:r>
    </w:p>
    <w:p w:rsidR="003340BA" w:rsidRDefault="003340BA" w:rsidP="003340BA">
      <w:pPr>
        <w:spacing w:before="40" w:after="40" w:line="240" w:lineRule="auto"/>
      </w:pPr>
    </w:p>
    <w:p w:rsidR="003340BA" w:rsidRDefault="003340BA" w:rsidP="003340BA">
      <w:pPr>
        <w:spacing w:before="40" w:after="40" w:line="240" w:lineRule="auto"/>
      </w:pPr>
      <w:r>
        <w:t>The quality of information provided by SIP16 reports and that registered at Companies House is somewhat variable. In addition, there are quite often inconsistencies between what has been said in a SIP16 report and what is stated in the administrator’s subsequent statement of proposals. It would seem that a more specific prescriptive template for SIP16 reports might lead to a greater consistency between SIP16 reports and permit assessment of the pre-packs in question more readily. For example, if employment preservation is seen as an important and laudable function of pre-packs (it is often highlighted by IPs as one of the main reasons for the decision to pre-pack), then specific figures for employment preservation may usefully be included in the requisites for SIP16 reporting.</w:t>
      </w:r>
    </w:p>
    <w:p w:rsidR="003340BA" w:rsidRDefault="003340BA" w:rsidP="003340BA">
      <w:pPr>
        <w:spacing w:before="40" w:after="40" w:line="240" w:lineRule="auto"/>
      </w:pPr>
    </w:p>
    <w:p w:rsidR="003340BA" w:rsidRDefault="003340BA" w:rsidP="003340BA">
      <w:pPr>
        <w:spacing w:before="40" w:after="40" w:line="240" w:lineRule="auto"/>
      </w:pPr>
      <w:r>
        <w:t>2. Reason for utilising pre-pack procedure</w:t>
      </w:r>
    </w:p>
    <w:p w:rsidR="003340BA" w:rsidRDefault="003340BA" w:rsidP="003340BA">
      <w:pPr>
        <w:spacing w:before="40" w:after="40" w:line="240" w:lineRule="auto"/>
      </w:pPr>
    </w:p>
    <w:p w:rsidR="003340BA" w:rsidRDefault="003340BA" w:rsidP="003340BA">
      <w:pPr>
        <w:spacing w:before="40" w:after="40" w:line="240" w:lineRule="auto"/>
      </w:pPr>
      <w:r>
        <w:t xml:space="preserve">Most pre-packs are carried out where the company in question is clearly insolvent under s 123 </w:t>
      </w:r>
      <w:r w:rsidR="000D2DAB">
        <w:t>IA</w:t>
      </w:r>
      <w:r>
        <w:t xml:space="preserve"> 1986 on a cash flow basis (if not also a balance sheet basis). </w:t>
      </w:r>
      <w:r w:rsidR="00F904CF">
        <w:t xml:space="preserve">The majority of pre-packs involve an appointment by the directors (often even where a qualifying floating charge holder </w:t>
      </w:r>
      <w:r w:rsidR="001B5095">
        <w:t>has</w:t>
      </w:r>
      <w:r w:rsidR="00F904CF">
        <w:t xml:space="preserve"> the power to appoint). It is a requirement, where there is a director</w:t>
      </w:r>
      <w:r w:rsidR="001B5095">
        <w:t>s</w:t>
      </w:r>
      <w:r w:rsidR="00F904CF">
        <w:t xml:space="preserve">’ appointment, </w:t>
      </w:r>
      <w:r w:rsidR="001B5095">
        <w:t xml:space="preserve">for the directors to make a statutory declaration that the company is, or is likely to become, unable to pay its debts </w:t>
      </w:r>
      <w:r w:rsidR="00F904CF">
        <w:t>according to the s 123 definition (paras</w:t>
      </w:r>
      <w:r w:rsidR="001B5095">
        <w:t xml:space="preserve"> 27 and</w:t>
      </w:r>
      <w:r w:rsidR="00F904CF">
        <w:t xml:space="preserve"> 111</w:t>
      </w:r>
      <w:r w:rsidR="005970F2">
        <w:t xml:space="preserve"> of Sch B1</w:t>
      </w:r>
      <w:r w:rsidR="001B5095">
        <w:t>).</w:t>
      </w:r>
      <w:r w:rsidR="00F904CF">
        <w:t xml:space="preserve"> </w:t>
      </w:r>
      <w:r>
        <w:t xml:space="preserve">A relatively small number of </w:t>
      </w:r>
      <w:r w:rsidR="001B5095">
        <w:t xml:space="preserve">the </w:t>
      </w:r>
      <w:r>
        <w:t xml:space="preserve">pre-packs </w:t>
      </w:r>
      <w:r w:rsidR="001B5095">
        <w:t xml:space="preserve">surveyed </w:t>
      </w:r>
      <w:r>
        <w:t xml:space="preserve">involved what were in effect reorganisations of very large </w:t>
      </w:r>
      <w:r w:rsidR="001B5095">
        <w:t>businesses</w:t>
      </w:r>
      <w:r>
        <w:t xml:space="preserve"> which may have been balance sheet insolvent but do not appear to have been cash flow insolvent. In such circumstances, it is not always apparent why a pre-pack was needed at all</w:t>
      </w:r>
      <w:r w:rsidR="001B5095">
        <w:t xml:space="preserve"> (as there appeared to be no particular urgency)</w:t>
      </w:r>
      <w:r>
        <w:t xml:space="preserve">, especially in circumstances where the pre-pack had </w:t>
      </w:r>
      <w:r w:rsidR="004B69AD">
        <w:t xml:space="preserve">been planned for several months. The statutory meaning of inability to pay debts under s 123 has itself been the subject of significant litigation in recent years, and contrary to the meaning of inability to pay </w:t>
      </w:r>
      <w:r w:rsidR="004B69AD">
        <w:lastRenderedPageBreak/>
        <w:t>debts in individual insolvency includes balance sheet insolvency (the law on bankruptcy includes only cash flow insolvency). It might be possible to limit the use of pre-packs to cases which genuinely need the urgency of the process by requiring those making the appointment to declare the company is cash flow insolvent (narrowing the s 123 definition for this purpose).</w:t>
      </w:r>
    </w:p>
    <w:p w:rsidR="003340BA" w:rsidRDefault="003340BA" w:rsidP="003340BA">
      <w:pPr>
        <w:spacing w:before="40" w:after="40" w:line="240" w:lineRule="auto"/>
      </w:pPr>
    </w:p>
    <w:p w:rsidR="003340BA" w:rsidRDefault="003340BA" w:rsidP="003340BA">
      <w:pPr>
        <w:spacing w:before="40" w:after="40" w:line="240" w:lineRule="auto"/>
      </w:pPr>
      <w:r>
        <w:t>Most pre-packs involved relatively small companies where the IPs were instructed quite close to the date of the pre-pack, where the company was usually cash flow insolvent (and was experiencing creditor pressure) with only a relatively limited amount of time to plan the pre-pack or to market the business.</w:t>
      </w:r>
    </w:p>
    <w:p w:rsidR="003340BA" w:rsidRDefault="003340BA" w:rsidP="003340BA">
      <w:pPr>
        <w:spacing w:before="40" w:after="40" w:line="240" w:lineRule="auto"/>
      </w:pPr>
    </w:p>
    <w:p w:rsidR="004B69AD" w:rsidRDefault="003340BA" w:rsidP="003340BA">
      <w:pPr>
        <w:spacing w:before="40" w:after="40" w:line="240" w:lineRule="auto"/>
      </w:pPr>
      <w:r>
        <w:t>IPs frequently justify the use of a pre-pack sale, as opposed to a traditional adminis</w:t>
      </w:r>
      <w:r w:rsidR="004B69AD">
        <w:t>tration, by citing two factors:</w:t>
      </w:r>
    </w:p>
    <w:p w:rsidR="004B69AD" w:rsidRDefault="004B69AD" w:rsidP="003340BA">
      <w:pPr>
        <w:spacing w:before="40" w:after="40" w:line="240" w:lineRule="auto"/>
      </w:pPr>
    </w:p>
    <w:p w:rsidR="004B69AD" w:rsidRDefault="003340BA" w:rsidP="004B69AD">
      <w:pPr>
        <w:pStyle w:val="ListParagraph"/>
        <w:numPr>
          <w:ilvl w:val="0"/>
          <w:numId w:val="41"/>
        </w:numPr>
        <w:spacing w:before="40" w:after="40" w:line="240" w:lineRule="auto"/>
      </w:pPr>
      <w:r>
        <w:t xml:space="preserve">Firstly, </w:t>
      </w:r>
      <w:r w:rsidR="005970F2">
        <w:t xml:space="preserve">a pre-pack is often </w:t>
      </w:r>
      <w:r>
        <w:t xml:space="preserve">considered necessary due to lack of funds to trade in administration. This has also been cited as a reason for not marketing the business. </w:t>
      </w:r>
      <w:r w:rsidR="004B69AD">
        <w:t xml:space="preserve">These justifications appear often not to stand </w:t>
      </w:r>
      <w:r w:rsidR="00335FA4">
        <w:t>up to a great deal of scrutiny</w:t>
      </w:r>
      <w:r w:rsidR="005970F2">
        <w:t>. S</w:t>
      </w:r>
      <w:r w:rsidR="00335FA4">
        <w:t xml:space="preserve">ome comparison </w:t>
      </w:r>
      <w:r w:rsidR="005970F2">
        <w:t>of</w:t>
      </w:r>
      <w:r w:rsidR="00335FA4">
        <w:t xml:space="preserve"> IP fees charged and drawn down in both pre-packs and going concern sales may illustrate this point. In a third of the going concern sales considered, the business was sold within 14 days. In those cases, on average, the IPs charged fees </w:t>
      </w:r>
      <w:r w:rsidR="00270E0E">
        <w:t xml:space="preserve">of </w:t>
      </w:r>
      <w:r w:rsidR="00335FA4">
        <w:t>£169,929 of which £114,243 was on average drawn. In pre-packs, the average fee charged was £87,882 and the average fee drawn was £64,451. Even though the figure for going concern sales is understandably higher than in pre-packs, it is interesting to note</w:t>
      </w:r>
      <w:r w:rsidR="005970F2">
        <w:t xml:space="preserve"> that even for pre-packs, where there would appear to limited scope for IP activity post appointment, the fees charged and drawn are still significant. </w:t>
      </w:r>
      <w:r w:rsidR="00270E0E">
        <w:t>I</w:t>
      </w:r>
      <w:r w:rsidR="005970F2">
        <w:t>n many pre-packs, the same IPs who sold the business by way of a pre-pack, also charge a subsequent significant fee when acting as liquidator. Without some explanation (which is rarely if ever forthcoming) it is not clear why a lack of funds should be such an overwhelming reason vitiating against a trading administration or post appointment marketing.</w:t>
      </w:r>
    </w:p>
    <w:p w:rsidR="004B69AD" w:rsidRDefault="004B69AD" w:rsidP="004B69AD">
      <w:pPr>
        <w:pStyle w:val="ListParagraph"/>
        <w:spacing w:before="40" w:after="40" w:line="240" w:lineRule="auto"/>
      </w:pPr>
    </w:p>
    <w:p w:rsidR="003340BA" w:rsidRDefault="003340BA" w:rsidP="004B69AD">
      <w:pPr>
        <w:pStyle w:val="ListParagraph"/>
        <w:numPr>
          <w:ilvl w:val="0"/>
          <w:numId w:val="41"/>
        </w:numPr>
        <w:spacing w:before="40" w:after="40" w:line="240" w:lineRule="auto"/>
      </w:pPr>
      <w:r>
        <w:t xml:space="preserve">Secondly, IPs regularly rely on the reduction in the quantum of preferential debts achieved as a result of the pre-pack, due to the transfer of the majority, if not all, of the employees to the purchaser under TUPE. This is reported as beneficial to the unsecured creditors, as it reduces the potential claims that could dilute the funds available to them. Whilst this may be the case, this rationale does not seem obviously to fall within the scope of Paragraph 3 Schedule B1 </w:t>
      </w:r>
      <w:r w:rsidR="000D2DAB">
        <w:t xml:space="preserve">IA </w:t>
      </w:r>
      <w:r>
        <w:t>1986, nor in practice is a distribution to unsecured cred</w:t>
      </w:r>
      <w:r w:rsidR="005970F2">
        <w:t>itors often secured as a result</w:t>
      </w:r>
      <w:r w:rsidR="00270E0E">
        <w:t>. T</w:t>
      </w:r>
      <w:r w:rsidR="005970F2">
        <w:t xml:space="preserve">his reasoning </w:t>
      </w:r>
      <w:r w:rsidR="00270E0E">
        <w:t xml:space="preserve">therefore </w:t>
      </w:r>
      <w:r w:rsidR="005970F2">
        <w:t>appears less than convincing.</w:t>
      </w:r>
    </w:p>
    <w:p w:rsidR="00DA1592" w:rsidRDefault="00DA1592" w:rsidP="00027E54">
      <w:pPr>
        <w:spacing w:before="40" w:after="40" w:line="240" w:lineRule="auto"/>
      </w:pPr>
    </w:p>
    <w:p w:rsidR="00270E0E" w:rsidRDefault="00027E54" w:rsidP="00027E54">
      <w:pPr>
        <w:spacing w:before="40" w:after="40" w:line="240" w:lineRule="auto"/>
      </w:pPr>
      <w:r>
        <w:t>The circumstances where it might be appropriate to use a pre-pack, or to put it another way, the characteristics of a “good” pre-pack, remain somewhat elusive.</w:t>
      </w:r>
    </w:p>
    <w:p w:rsidR="003340BA" w:rsidRDefault="003340BA" w:rsidP="003340BA">
      <w:pPr>
        <w:spacing w:before="40" w:after="40" w:line="240" w:lineRule="auto"/>
      </w:pPr>
    </w:p>
    <w:p w:rsidR="00DA1592" w:rsidRDefault="00DA1592" w:rsidP="003340BA">
      <w:pPr>
        <w:spacing w:before="40" w:after="40" w:line="240" w:lineRule="auto"/>
      </w:pPr>
    </w:p>
    <w:p w:rsidR="00DA1592" w:rsidRDefault="00DA1592" w:rsidP="003340BA">
      <w:pPr>
        <w:spacing w:before="40" w:after="40" w:line="240" w:lineRule="auto"/>
      </w:pPr>
    </w:p>
    <w:p w:rsidR="003340BA" w:rsidRDefault="00A255A0" w:rsidP="003340BA">
      <w:pPr>
        <w:spacing w:before="40" w:after="40" w:line="240" w:lineRule="auto"/>
      </w:pPr>
      <w:r>
        <w:lastRenderedPageBreak/>
        <w:t>3</w:t>
      </w:r>
      <w:r w:rsidR="003340BA">
        <w:t>. Nature of marketing</w:t>
      </w:r>
    </w:p>
    <w:p w:rsidR="003340BA" w:rsidRDefault="003340BA" w:rsidP="003340BA">
      <w:pPr>
        <w:spacing w:before="40" w:after="40" w:line="240" w:lineRule="auto"/>
      </w:pPr>
    </w:p>
    <w:p w:rsidR="003340BA" w:rsidRDefault="003340BA" w:rsidP="003340BA">
      <w:pPr>
        <w:spacing w:before="40" w:after="40" w:line="240" w:lineRule="auto"/>
      </w:pPr>
      <w:r>
        <w:t>Marketing was often reported as occurring where in fact it was very limited, such as enquiries made within the IP firm itself with no genuine external marketing occurring. Sometimes, IPs have accepted the word of the directors that there is no ready market for the business outside the management team (or other connected parties). Another related issue here is that on occasion the business is such that the only possible buyer is the incumbent management team, due either to the management team owning the premises from which the business trades or where the business is reliant upon a third party’s consent which would not be forthcoming to an outside purchaser. This seems wrong in principle as the management team benefit from the restrictive manner in which they have previously chosen to trade.</w:t>
      </w:r>
    </w:p>
    <w:p w:rsidR="003340BA" w:rsidRDefault="003340BA" w:rsidP="003340BA">
      <w:pPr>
        <w:spacing w:before="40" w:after="40" w:line="240" w:lineRule="auto"/>
      </w:pPr>
    </w:p>
    <w:p w:rsidR="003340BA" w:rsidRDefault="003340BA" w:rsidP="003340BA">
      <w:pPr>
        <w:spacing w:before="40" w:after="40" w:line="240" w:lineRule="auto"/>
      </w:pPr>
      <w:r>
        <w:t>Independent valuations are often merely desk top valuations and it is common</w:t>
      </w:r>
      <w:r w:rsidR="005970F2">
        <w:t>,</w:t>
      </w:r>
      <w:r>
        <w:t xml:space="preserve"> where there is a connected sale</w:t>
      </w:r>
      <w:r w:rsidR="005970F2">
        <w:t>,</w:t>
      </w:r>
      <w:r>
        <w:t xml:space="preserve"> for the purchase price to match the valuation figure. There is rarely any explanation as to the valuation methods used by the valuers, and it is often limited to certain assets, normally the chattels and property, but not the intellectual property or goodwill. It would seem that more could be done to explain the valuation methodology and where the valuation coincides with the eventual purchase price whether or not the IP has divulged the valuation to the purchaser.</w:t>
      </w:r>
    </w:p>
    <w:p w:rsidR="003340BA" w:rsidRDefault="003340BA" w:rsidP="003340BA">
      <w:pPr>
        <w:spacing w:before="40" w:after="40" w:line="240" w:lineRule="auto"/>
      </w:pPr>
    </w:p>
    <w:p w:rsidR="003340BA" w:rsidRDefault="003340BA" w:rsidP="003340BA">
      <w:pPr>
        <w:spacing w:before="40" w:after="40" w:line="240" w:lineRule="auto"/>
      </w:pPr>
      <w:r>
        <w:t>Although there are some examples of serial pre-packing, this practice is not common but perhaps ought to be restricted with potential professional conduct implications for IPs who act in serial pre-packs. Many companies being pre-packed are old and established companies.</w:t>
      </w:r>
    </w:p>
    <w:p w:rsidR="003340BA" w:rsidRDefault="003340BA" w:rsidP="003340BA">
      <w:pPr>
        <w:spacing w:before="40" w:after="40" w:line="240" w:lineRule="auto"/>
      </w:pPr>
    </w:p>
    <w:p w:rsidR="003340BA" w:rsidRDefault="00A255A0" w:rsidP="003340BA">
      <w:pPr>
        <w:spacing w:before="40" w:after="40" w:line="240" w:lineRule="auto"/>
      </w:pPr>
      <w:r>
        <w:t xml:space="preserve">4. </w:t>
      </w:r>
      <w:r w:rsidR="003340BA">
        <w:t>Role of IPs and distributions to creditors</w:t>
      </w:r>
    </w:p>
    <w:p w:rsidR="003340BA" w:rsidRDefault="003340BA" w:rsidP="003340BA">
      <w:pPr>
        <w:spacing w:before="40" w:after="40" w:line="240" w:lineRule="auto"/>
      </w:pPr>
    </w:p>
    <w:p w:rsidR="003340BA" w:rsidRDefault="005F0231" w:rsidP="003340BA">
      <w:pPr>
        <w:spacing w:before="40" w:after="40" w:line="240" w:lineRule="auto"/>
      </w:pPr>
      <w:r w:rsidRPr="005F0231">
        <w:t>The evidence clearly suggests that businesses pre-packed by certain IP Firms have a better chance of survival than those pre-packed by certain other Firms.</w:t>
      </w:r>
      <w:r>
        <w:t xml:space="preserve"> </w:t>
      </w:r>
      <w:r w:rsidR="003340BA">
        <w:t>There is some evidence that the company being pre-packed is sometimes placed into liquidation with the same IP acting as liquidator (with an often significant additional fee) and although the liquidation is deemed necessary in order to make a distribution to unsecured creditors, the liquidation often results in no such distribution. There are potential issues around subsequent liquidations and the appointment of pre-pack administrators (or others within the same IP firm) as liquidators in those liquidations. An additional point of concern with many pre-packs, at least towards the bottom end of the market, is that virtually all the proceeds of sale are used up by IP fees and other costs. It might be interesting to consider a limit on IP fees restricted to a particular percentage of total realisations. This would be likely to discourage the weaker pre-packs at the bottom end. If such a restriction on IP fees applied to the aggregate of fees charged both in the pre-pack and any subsequent liquidation, a dividend to unsecured creditors would seem more likely.</w:t>
      </w:r>
    </w:p>
    <w:p w:rsidR="003340BA" w:rsidRDefault="003340BA" w:rsidP="003340BA">
      <w:pPr>
        <w:spacing w:before="40" w:after="40" w:line="240" w:lineRule="auto"/>
      </w:pPr>
    </w:p>
    <w:p w:rsidR="003340BA" w:rsidRDefault="003340BA" w:rsidP="003340BA">
      <w:pPr>
        <w:spacing w:before="40" w:after="40" w:line="240" w:lineRule="auto"/>
      </w:pPr>
      <w:r>
        <w:t xml:space="preserve">The prescribed part </w:t>
      </w:r>
      <w:r w:rsidR="00426ADB">
        <w:t xml:space="preserve">under s 176A </w:t>
      </w:r>
      <w:r>
        <w:t xml:space="preserve">was not encountered often, which was normally due to there being limited net floating charge realisations once the costs of the process were taken into account. This seems particularly common where the </w:t>
      </w:r>
      <w:r>
        <w:lastRenderedPageBreak/>
        <w:t xml:space="preserve">company’s book debts have been factored and so outside the terms of any floating charge. The widespread use of factoring appears to protect secured lenders very effectively. It might be that the policy behind the Enterprise Act 2002 in relation to s 176A and the removal of the Crown preference which coincided with the effective loss of the fixed charge on book debts </w:t>
      </w:r>
      <w:r w:rsidR="00426ADB">
        <w:t xml:space="preserve">(through case law developments) </w:t>
      </w:r>
      <w:r>
        <w:t xml:space="preserve">has been to some extent frustrated by widespread factoring </w:t>
      </w:r>
      <w:r w:rsidR="00426ADB">
        <w:t>(</w:t>
      </w:r>
      <w:r>
        <w:t>or invoice discounting</w:t>
      </w:r>
      <w:r w:rsidR="00426ADB">
        <w:t>)</w:t>
      </w:r>
      <w:r>
        <w:t>.</w:t>
      </w:r>
      <w:r w:rsidR="00426ADB">
        <w:t xml:space="preserve"> As the debt factor is able to claim the book debts outside the administration, this limits the assets available to the administrator either to trade or to pay his or her own fees</w:t>
      </w:r>
      <w:r w:rsidR="00270E0E">
        <w:t xml:space="preserve"> or disbursements</w:t>
      </w:r>
      <w:r w:rsidR="00426ADB">
        <w:t>. The charges imposed by debt factors appear worthy of separate consideration as it is commonly the case that a secured lender is paid in full (including associated additional charges) from the book debts leaving little, if anything, for unsecured creditors.</w:t>
      </w:r>
      <w:r w:rsidR="00751921">
        <w:t xml:space="preserve"> One of the main criticisms of the floating charge in the late nineteenth century was that it was a security that was executed in secret (without public registration until 1900) and that once the company in question became insolvent, the floating charge holder would sweep away all the company’s assets. The modern position of debt factors/invoice discoun</w:t>
      </w:r>
      <w:r w:rsidR="00582CB0">
        <w:t>ters bears some comparison with that Victorian concern and perhaps such factoring agreements need to be characterised as assignments by way of security rather than absolute assignments and thereby become publicly registrable.</w:t>
      </w:r>
    </w:p>
    <w:p w:rsidR="003340BA" w:rsidRDefault="003340BA" w:rsidP="003340BA">
      <w:pPr>
        <w:spacing w:before="40" w:after="40" w:line="240" w:lineRule="auto"/>
      </w:pPr>
    </w:p>
    <w:p w:rsidR="003340BA" w:rsidRDefault="003340BA" w:rsidP="003340BA">
      <w:pPr>
        <w:spacing w:before="40" w:after="40" w:line="240" w:lineRule="auto"/>
      </w:pPr>
      <w:r>
        <w:t>The rules on approval of pre-appointment fees introduced in April 2010 appear to have gained gradual acceptance by the IP profession with most IPs recording separately pre and post appointment fees and appearing to have obtained the requisite consent for pre-appointment fees by the end of 2010.</w:t>
      </w:r>
      <w:r w:rsidR="00582CB0">
        <w:t xml:space="preserve"> The rules as to whose consent if required do encourage an IP to keep secured creditors satisfied, to avoid any preferential creditors and to ensure no dividend to unsecured creditors is likely. If only secured creditors are to be paid out in the pre-pack, only the secured creditors need to consent to the administrators’ pre-appointment fees.</w:t>
      </w:r>
    </w:p>
    <w:p w:rsidR="003340BA" w:rsidRDefault="003340BA" w:rsidP="003340BA">
      <w:pPr>
        <w:spacing w:before="40" w:after="40" w:line="240" w:lineRule="auto"/>
      </w:pPr>
    </w:p>
    <w:p w:rsidR="003340BA" w:rsidRDefault="003340BA" w:rsidP="003340BA">
      <w:pPr>
        <w:spacing w:before="40" w:after="40" w:line="240" w:lineRule="auto"/>
      </w:pPr>
      <w:r>
        <w:t>There is no evidence of IPs having significant professional relationships with companies prior to their being appointed in a pre-pack.</w:t>
      </w:r>
    </w:p>
    <w:p w:rsidR="003340BA" w:rsidRDefault="003340BA" w:rsidP="003340BA">
      <w:pPr>
        <w:spacing w:before="40" w:after="40" w:line="240" w:lineRule="auto"/>
      </w:pPr>
    </w:p>
    <w:p w:rsidR="003340BA" w:rsidRDefault="00A255A0" w:rsidP="003340BA">
      <w:pPr>
        <w:spacing w:before="40" w:after="40" w:line="240" w:lineRule="auto"/>
      </w:pPr>
      <w:r>
        <w:t>5. T</w:t>
      </w:r>
      <w:r w:rsidR="003340BA">
        <w:t>raditional trading administrations</w:t>
      </w:r>
    </w:p>
    <w:p w:rsidR="003340BA" w:rsidRDefault="003340BA" w:rsidP="003340BA">
      <w:pPr>
        <w:spacing w:before="40" w:after="40" w:line="240" w:lineRule="auto"/>
      </w:pPr>
    </w:p>
    <w:p w:rsidR="003340BA" w:rsidRDefault="003340BA" w:rsidP="003340BA">
      <w:pPr>
        <w:spacing w:before="40" w:after="40" w:line="240" w:lineRule="auto"/>
      </w:pPr>
      <w:r>
        <w:t>For the counterfactual study in Part B, it was interesting to note how many non pre-pack administrations did not involve going concern sales. Although no full analysis of this phenomenon has been carried out, out of 66 medium sized companies which entered administration in 2010 (which were not pre-packs), only 16 involved going concern sales. This suggests that, pre-packs apart, going concern sales are only occurring in approximately 1 in 4 administrations.</w:t>
      </w:r>
      <w:r w:rsidR="00582CB0">
        <w:t xml:space="preserve"> One possible conclusion to draw from this is that pre-packs are taking over or have taken over traditional administrations </w:t>
      </w:r>
      <w:r w:rsidR="00270E0E">
        <w:t>(</w:t>
      </w:r>
      <w:r w:rsidR="00582CB0">
        <w:t>which lead to a going concern sale</w:t>
      </w:r>
      <w:r w:rsidR="00270E0E">
        <w:t>)</w:t>
      </w:r>
      <w:r w:rsidR="00582CB0">
        <w:t>. One of the benefits of administration</w:t>
      </w:r>
      <w:r w:rsidR="00270E0E">
        <w:t>,</w:t>
      </w:r>
      <w:r w:rsidR="00582CB0">
        <w:t xml:space="preserve"> espoused </w:t>
      </w:r>
      <w:r w:rsidR="00270E0E">
        <w:t xml:space="preserve">originally </w:t>
      </w:r>
      <w:r w:rsidR="00582CB0">
        <w:t xml:space="preserve">by the Cork </w:t>
      </w:r>
      <w:r w:rsidR="00270E0E">
        <w:t xml:space="preserve">Committee, </w:t>
      </w:r>
      <w:r w:rsidR="00582CB0">
        <w:t>is that it enables the expertise of an external manager to take control of a business and either to rescue it or to sell it on in better shape than on appointment. The increased use of pre-packs appears to be robbing these businesses of the benefit of such expertise.</w:t>
      </w:r>
    </w:p>
    <w:p w:rsidR="002C664E" w:rsidRDefault="002C664E">
      <w:pPr>
        <w:spacing w:line="240" w:lineRule="auto"/>
      </w:pPr>
      <w: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1</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Sector of company subject to pre-packaged administration – 2 Digit SIC 2007</w:t>
      </w:r>
    </w:p>
    <w:p w:rsidR="002C664E" w:rsidRDefault="002C664E" w:rsidP="002C664E">
      <w:pPr>
        <w:pStyle w:val="TableHeading"/>
        <w:spacing w:line="240" w:lineRule="auto"/>
        <w:rPr>
          <w:b w:val="0"/>
          <w:bCs/>
          <w:sz w:val="24"/>
          <w:szCs w:val="24"/>
        </w:rPr>
      </w:pPr>
    </w:p>
    <w:tbl>
      <w:tblPr>
        <w:tblW w:w="9229" w:type="dxa"/>
        <w:tblInd w:w="93" w:type="dxa"/>
        <w:tblLook w:val="04A0" w:firstRow="1" w:lastRow="0" w:firstColumn="1" w:lastColumn="0" w:noHBand="0" w:noVBand="1"/>
      </w:tblPr>
      <w:tblGrid>
        <w:gridCol w:w="2283"/>
        <w:gridCol w:w="2268"/>
        <w:gridCol w:w="2410"/>
        <w:gridCol w:w="2268"/>
      </w:tblGrid>
      <w:tr w:rsidR="002C664E" w:rsidRPr="005121BB" w:rsidTr="00820FE6">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SIC 2007 Codes (2 Digit)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Sector Name</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Prevalence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Prevalence Rate</w:t>
            </w:r>
          </w:p>
        </w:tc>
      </w:tr>
      <w:tr w:rsidR="002C664E" w:rsidRPr="005121BB" w:rsidTr="00820FE6">
        <w:trPr>
          <w:trHeight w:val="1146"/>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Crop and animal production, hunting and related service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food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2.0%</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beverages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13</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textiles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14</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wearing apparel</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201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16</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wood and of products of wood and cork, except furniture; manufacture of articles of straw and plaiting materials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63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17</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paper and paper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9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 xml:space="preserve">Printing and reproduction of </w:t>
            </w:r>
            <w:r w:rsidRPr="005121BB">
              <w:rPr>
                <w:rFonts w:ascii="Calibri" w:hAnsi="Calibri"/>
                <w:color w:val="000000"/>
                <w:lang w:eastAsia="en-GB"/>
              </w:rPr>
              <w:lastRenderedPageBreak/>
              <w:t>recorded media</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9</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1.8%</w:t>
            </w:r>
          </w:p>
        </w:tc>
      </w:tr>
      <w:tr w:rsidR="002C664E" w:rsidRPr="005121BB" w:rsidTr="000A7E74">
        <w:trPr>
          <w:trHeight w:val="922"/>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chemicals and chemical products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0A7E74">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22</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rubber and plastic products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924"/>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23</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other non-metallic mineral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1273"/>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25</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fabricated metal products, except machinery and equipment</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24</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4.8%</w:t>
            </w:r>
          </w:p>
        </w:tc>
      </w:tr>
      <w:tr w:rsidR="002C664E" w:rsidRPr="005121BB" w:rsidTr="00820FE6">
        <w:trPr>
          <w:trHeight w:val="841"/>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computer, electronic and optical products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699"/>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27</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electrical equipment</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85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machinery and equipment n.e.c.</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82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29</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motor vehicles, trailers and semi-trailers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562"/>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30</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 xml:space="preserve">Manufacture of other transport </w:t>
            </w:r>
            <w:r w:rsidRPr="005121BB">
              <w:rPr>
                <w:rFonts w:ascii="Calibri" w:hAnsi="Calibri"/>
                <w:color w:val="000000"/>
                <w:lang w:eastAsia="en-GB"/>
              </w:rPr>
              <w:lastRenderedPageBreak/>
              <w:t>equipment</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0A7E74">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31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Manufacture of furniture</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1.2%</w:t>
            </w:r>
          </w:p>
        </w:tc>
      </w:tr>
      <w:tr w:rsidR="002C664E" w:rsidRPr="005121BB" w:rsidTr="000A7E74">
        <w:trPr>
          <w:trHeight w:val="366"/>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Other manufacturing</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2.2%</w:t>
            </w:r>
          </w:p>
        </w:tc>
      </w:tr>
      <w:tr w:rsidR="002C664E" w:rsidRPr="005121BB" w:rsidTr="000A7E74">
        <w:trPr>
          <w:trHeight w:val="712"/>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35</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Electricity, gas, steam and air conditioning supply</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1177"/>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Waste collection, treatment and disposal activities; materials recovery</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Construction of buildings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3.0%</w:t>
            </w:r>
          </w:p>
        </w:tc>
      </w:tr>
      <w:tr w:rsidR="002C664E" w:rsidRPr="005121BB" w:rsidTr="00820FE6">
        <w:trPr>
          <w:trHeight w:val="65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43</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Specialised construction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6.4%</w:t>
            </w:r>
          </w:p>
        </w:tc>
      </w:tr>
      <w:tr w:rsidR="002C664E" w:rsidRPr="005121BB" w:rsidTr="00820FE6">
        <w:trPr>
          <w:trHeight w:val="986"/>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45</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Wholesale and retail trade and repair of motor vehicles and motorcycles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1.2%</w:t>
            </w:r>
          </w:p>
        </w:tc>
      </w:tr>
      <w:tr w:rsidR="002C664E" w:rsidRPr="005121BB" w:rsidTr="00820FE6">
        <w:trPr>
          <w:trHeight w:val="10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46</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Wholesale trade, except of motor vehicles and motorcycles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4.8%</w:t>
            </w:r>
          </w:p>
        </w:tc>
      </w:tr>
      <w:tr w:rsidR="002C664E" w:rsidRPr="005121BB" w:rsidTr="00820FE6">
        <w:trPr>
          <w:trHeight w:val="79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47</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Retail trade, except of motor vehicles and motorcycles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4.6%</w:t>
            </w:r>
          </w:p>
        </w:tc>
      </w:tr>
      <w:tr w:rsidR="002C664E" w:rsidRPr="005121BB" w:rsidTr="00820FE6">
        <w:trPr>
          <w:trHeight w:val="546"/>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49</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 xml:space="preserve">Land transport and transport via </w:t>
            </w:r>
            <w:r w:rsidRPr="005121BB">
              <w:rPr>
                <w:rFonts w:ascii="Calibri" w:hAnsi="Calibri"/>
                <w:color w:val="000000"/>
                <w:lang w:eastAsia="en-GB"/>
              </w:rPr>
              <w:lastRenderedPageBreak/>
              <w:t>pipelines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11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2.2%</w:t>
            </w:r>
          </w:p>
        </w:tc>
      </w:tr>
      <w:tr w:rsidR="002C664E" w:rsidRPr="005121BB" w:rsidTr="000A7E74">
        <w:trPr>
          <w:trHeight w:val="838"/>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52</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Warehousing and support activities for transportation</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0A7E74">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Accommodation</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542"/>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56</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Food and beverage service activities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25</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5.0%</w:t>
            </w:r>
          </w:p>
        </w:tc>
      </w:tr>
      <w:tr w:rsidR="002C664E" w:rsidRPr="005121BB" w:rsidTr="00820FE6">
        <w:trPr>
          <w:trHeight w:val="40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Publishing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820FE6">
        <w:trPr>
          <w:trHeight w:val="155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Motion picture, video and television programme production, sound recording and music publishing activities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1.6%</w:t>
            </w:r>
          </w:p>
        </w:tc>
      </w:tr>
      <w:tr w:rsidR="002C664E" w:rsidRPr="005121BB" w:rsidTr="00820FE6">
        <w:trPr>
          <w:trHeight w:val="353"/>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61</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Telecommunications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98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62</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Computer programming, consultancy and related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2.2%</w:t>
            </w:r>
          </w:p>
        </w:tc>
      </w:tr>
      <w:tr w:rsidR="002C664E" w:rsidRPr="005121BB" w:rsidTr="00820FE6">
        <w:trPr>
          <w:trHeight w:val="102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64</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Financial service activities, except insurance and pension funding</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29</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5.8%</w:t>
            </w:r>
          </w:p>
        </w:tc>
      </w:tr>
      <w:tr w:rsidR="002C664E" w:rsidRPr="005121BB" w:rsidTr="00820FE6">
        <w:trPr>
          <w:trHeight w:val="374"/>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Real estate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820FE6">
        <w:trPr>
          <w:trHeight w:val="551"/>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69</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Legal and accounting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856"/>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70</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 xml:space="preserve">Activities of head offices; management consultancy </w:t>
            </w:r>
            <w:r w:rsidRPr="005121BB">
              <w:rPr>
                <w:rFonts w:ascii="Calibri" w:hAnsi="Calibri"/>
                <w:color w:val="000000"/>
                <w:lang w:eastAsia="en-GB"/>
              </w:rPr>
              <w:lastRenderedPageBreak/>
              <w:t>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8</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1.6%</w:t>
            </w:r>
          </w:p>
        </w:tc>
      </w:tr>
      <w:tr w:rsidR="002C664E" w:rsidRPr="005121BB" w:rsidTr="000A7E74">
        <w:trPr>
          <w:trHeight w:val="110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71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Architectural and engineering activities; technical testing and analysis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0A7E74">
        <w:trPr>
          <w:trHeight w:val="572"/>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Scientific research and development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0A7E74">
        <w:trPr>
          <w:trHeight w:val="6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73</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Advertising and market research</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1.4%</w:t>
            </w:r>
          </w:p>
        </w:tc>
      </w:tr>
      <w:tr w:rsidR="002C664E" w:rsidRPr="005121BB" w:rsidTr="00820FE6">
        <w:trPr>
          <w:trHeight w:val="9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74</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Other professional, scientific and technical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56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77</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Rental and leasing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820FE6">
        <w:trPr>
          <w:trHeight w:val="412"/>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78</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Employment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6.4%</w:t>
            </w:r>
          </w:p>
        </w:tc>
      </w:tr>
      <w:tr w:rsidR="002C664E" w:rsidRPr="005121BB" w:rsidTr="00820FE6">
        <w:trPr>
          <w:trHeight w:val="56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80</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Security and investigation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838"/>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81</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Services to buildings and landscape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236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82</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Office administrative, office support and other business support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10.6%</w:t>
            </w:r>
          </w:p>
        </w:tc>
      </w:tr>
      <w:tr w:rsidR="002C664E" w:rsidRPr="005121BB" w:rsidTr="00820FE6">
        <w:trPr>
          <w:trHeight w:val="6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86</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Human health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1.4%</w:t>
            </w:r>
          </w:p>
        </w:tc>
      </w:tr>
      <w:tr w:rsidR="002C664E" w:rsidRPr="005121BB" w:rsidTr="000A7E74">
        <w:trPr>
          <w:trHeight w:val="1545"/>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lastRenderedPageBreak/>
              <w:t>90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Creative, arts and entertainment activities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555"/>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92</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Gambling and betting activities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0.6%</w:t>
            </w:r>
          </w:p>
        </w:tc>
      </w:tr>
      <w:tr w:rsidR="002C664E" w:rsidRPr="005121BB" w:rsidTr="000A7E74">
        <w:trPr>
          <w:trHeight w:val="847"/>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Sports activities and amusement and recreation activities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0.8%</w:t>
            </w:r>
          </w:p>
        </w:tc>
      </w:tr>
      <w:tr w:rsidR="002C664E" w:rsidRPr="005121BB" w:rsidTr="000A7E74">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94</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Activities of membership organisations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0.4%</w:t>
            </w:r>
          </w:p>
        </w:tc>
      </w:tr>
      <w:tr w:rsidR="002C664E" w:rsidRPr="005121BB" w:rsidTr="00820FE6">
        <w:trPr>
          <w:trHeight w:val="928"/>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95</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Repair of computers and personal and household goods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0.2%</w:t>
            </w:r>
          </w:p>
        </w:tc>
      </w:tr>
      <w:tr w:rsidR="002C664E" w:rsidRPr="005121BB" w:rsidTr="00820FE6">
        <w:trPr>
          <w:trHeight w:val="558"/>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96</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Other personal service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18</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3.6%</w:t>
            </w:r>
          </w:p>
        </w:tc>
      </w:tr>
      <w:tr w:rsidR="002C664E" w:rsidRPr="005121BB" w:rsidTr="00820FE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non-trading</w:t>
            </w:r>
          </w:p>
        </w:tc>
        <w:tc>
          <w:tcPr>
            <w:tcW w:w="2268" w:type="dxa"/>
            <w:tcBorders>
              <w:top w:val="nil"/>
              <w:left w:val="nil"/>
              <w:bottom w:val="single" w:sz="4" w:space="0" w:color="auto"/>
              <w:right w:val="single" w:sz="4" w:space="0" w:color="auto"/>
            </w:tcBorders>
            <w:shd w:val="clear" w:color="auto" w:fill="auto"/>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non-trading</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w:t>
            </w:r>
          </w:p>
        </w:tc>
      </w:tr>
      <w:tr w:rsidR="002C664E" w:rsidRPr="005121BB" w:rsidTr="00820FE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N/K</w:t>
            </w:r>
          </w:p>
        </w:tc>
        <w:tc>
          <w:tcPr>
            <w:tcW w:w="2268" w:type="dxa"/>
            <w:tcBorders>
              <w:top w:val="nil"/>
              <w:left w:val="nil"/>
              <w:bottom w:val="single" w:sz="4" w:space="0" w:color="auto"/>
              <w:right w:val="single" w:sz="4" w:space="0" w:color="auto"/>
            </w:tcBorders>
            <w:shd w:val="clear" w:color="auto" w:fill="auto"/>
            <w:noWrap/>
            <w:vAlign w:val="bottom"/>
            <w:hideMark/>
          </w:tcPr>
          <w:p w:rsidR="002C664E" w:rsidRPr="005121BB" w:rsidRDefault="002C664E" w:rsidP="00820FE6">
            <w:pPr>
              <w:rPr>
                <w:rFonts w:ascii="Calibri" w:hAnsi="Calibri"/>
                <w:color w:val="000000"/>
                <w:lang w:eastAsia="en-GB"/>
              </w:rPr>
            </w:pPr>
            <w:r w:rsidRPr="005121BB">
              <w:rPr>
                <w:rFonts w:ascii="Calibri" w:hAnsi="Calibri"/>
                <w:color w:val="000000"/>
                <w:lang w:eastAsia="en-GB"/>
              </w:rPr>
              <w:t>Not Known</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35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7.0%</w:t>
            </w:r>
          </w:p>
        </w:tc>
      </w:tr>
      <w:tr w:rsidR="002C664E" w:rsidRPr="005121BB" w:rsidTr="00820FE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Total</w:t>
            </w:r>
          </w:p>
        </w:tc>
        <w:tc>
          <w:tcPr>
            <w:tcW w:w="2268" w:type="dxa"/>
            <w:tcBorders>
              <w:top w:val="nil"/>
              <w:left w:val="nil"/>
              <w:bottom w:val="single" w:sz="4" w:space="0" w:color="auto"/>
              <w:right w:val="single" w:sz="4" w:space="0" w:color="auto"/>
            </w:tcBorders>
            <w:shd w:val="clear" w:color="auto" w:fill="auto"/>
            <w:noWrap/>
            <w:vAlign w:val="bottom"/>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 </w:t>
            </w:r>
          </w:p>
        </w:tc>
        <w:tc>
          <w:tcPr>
            <w:tcW w:w="2410" w:type="dxa"/>
            <w:tcBorders>
              <w:top w:val="nil"/>
              <w:left w:val="nil"/>
              <w:bottom w:val="single" w:sz="4" w:space="0" w:color="auto"/>
              <w:right w:val="single" w:sz="4" w:space="0" w:color="auto"/>
            </w:tcBorders>
            <w:shd w:val="clear" w:color="auto" w:fill="auto"/>
            <w:noWrap/>
            <w:vAlign w:val="bottom"/>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499</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5121BB" w:rsidRDefault="002C664E" w:rsidP="00820FE6">
            <w:pPr>
              <w:jc w:val="center"/>
              <w:rPr>
                <w:rFonts w:ascii="Calibri" w:hAnsi="Calibri"/>
                <w:color w:val="000000"/>
                <w:lang w:eastAsia="en-GB"/>
              </w:rPr>
            </w:pPr>
            <w:r w:rsidRPr="005121BB">
              <w:rPr>
                <w:rFonts w:ascii="Calibri" w:hAnsi="Calibri"/>
                <w:color w:val="000000"/>
                <w:lang w:eastAsia="en-GB"/>
              </w:rPr>
              <w:t>100.0%</w:t>
            </w:r>
          </w:p>
        </w:tc>
      </w:tr>
    </w:tbl>
    <w:p w:rsidR="002C664E" w:rsidRDefault="002C664E" w:rsidP="002C664E">
      <w:pPr>
        <w:pStyle w:val="TableHeading"/>
        <w:spacing w:line="240" w:lineRule="auto"/>
        <w:rPr>
          <w:b w:val="0"/>
          <w:bCs/>
          <w:sz w:val="24"/>
          <w:szCs w:val="24"/>
        </w:rPr>
      </w:pPr>
    </w:p>
    <w:p w:rsidR="002C664E" w:rsidRPr="000A7E74" w:rsidRDefault="002C664E" w:rsidP="002C664E">
      <w:pPr>
        <w:pStyle w:val="TableHeading"/>
        <w:spacing w:line="240" w:lineRule="auto"/>
        <w:rPr>
          <w:b w:val="0"/>
          <w:bCs/>
          <w:szCs w:val="24"/>
        </w:rPr>
      </w:pPr>
      <w:r w:rsidRPr="000A7E74">
        <w:rPr>
          <w:b w:val="0"/>
          <w:bCs/>
          <w:szCs w:val="24"/>
        </w:rPr>
        <w:t>NB The total of 499 includes two companies that are represented twice as there were two distinct business sales.</w:t>
      </w:r>
    </w:p>
    <w:p w:rsidR="002C664E" w:rsidRDefault="002C664E" w:rsidP="002C664E">
      <w:pPr>
        <w:rPr>
          <w:bCs/>
        </w:rPr>
      </w:pPr>
      <w:r>
        <w:rPr>
          <w:b/>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2</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Sector of company subject to pre-packaged administration – Categorised</w:t>
      </w:r>
    </w:p>
    <w:p w:rsidR="002C664E" w:rsidRDefault="002C664E" w:rsidP="002C664E">
      <w:pPr>
        <w:pStyle w:val="TableHeading"/>
        <w:spacing w:line="240" w:lineRule="auto"/>
        <w:rPr>
          <w:b w:val="0"/>
          <w:bCs/>
          <w:sz w:val="24"/>
          <w:szCs w:val="24"/>
        </w:rPr>
      </w:pPr>
    </w:p>
    <w:tbl>
      <w:tblPr>
        <w:tblW w:w="9229" w:type="dxa"/>
        <w:tblInd w:w="93" w:type="dxa"/>
        <w:tblLook w:val="04A0" w:firstRow="1" w:lastRow="0" w:firstColumn="1" w:lastColumn="0" w:noHBand="0" w:noVBand="1"/>
      </w:tblPr>
      <w:tblGrid>
        <w:gridCol w:w="2142"/>
        <w:gridCol w:w="2835"/>
        <w:gridCol w:w="2126"/>
        <w:gridCol w:w="2126"/>
      </w:tblGrid>
      <w:tr w:rsidR="002C664E" w:rsidRPr="005121BB" w:rsidTr="000A7E74">
        <w:trPr>
          <w:trHeight w:val="90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Pr>
                <w:rFonts w:ascii="Calibri" w:hAnsi="Calibri"/>
                <w:b/>
                <w:bCs/>
                <w:color w:val="000000"/>
                <w:lang w:eastAsia="en-GB"/>
              </w:rPr>
              <w:t>SIC 2007 Code Range</w:t>
            </w:r>
            <w:r w:rsidRPr="005121BB">
              <w:rPr>
                <w:rFonts w:ascii="Calibri" w:hAnsi="Calibri"/>
                <w:b/>
                <w:bCs/>
                <w:color w:val="000000"/>
                <w:lang w:eastAsia="en-GB"/>
              </w:rPr>
              <w:t xml:space="preserve"> (2 Digit)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Sector Name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Prevalence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C664E" w:rsidRPr="005121BB" w:rsidRDefault="002C664E" w:rsidP="00820FE6">
            <w:pPr>
              <w:jc w:val="center"/>
              <w:rPr>
                <w:rFonts w:ascii="Calibri" w:hAnsi="Calibri"/>
                <w:b/>
                <w:bCs/>
                <w:color w:val="000000"/>
                <w:lang w:eastAsia="en-GB"/>
              </w:rPr>
            </w:pPr>
            <w:r w:rsidRPr="005121BB">
              <w:rPr>
                <w:rFonts w:ascii="Calibri" w:hAnsi="Calibri"/>
                <w:b/>
                <w:bCs/>
                <w:color w:val="000000"/>
                <w:lang w:eastAsia="en-GB"/>
              </w:rPr>
              <w:t>Prevalence Rate</w:t>
            </w:r>
          </w:p>
        </w:tc>
      </w:tr>
      <w:tr w:rsidR="002C664E" w:rsidRPr="005121BB" w:rsidTr="000A7E74">
        <w:trPr>
          <w:trHeight w:val="600"/>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01-09</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Agriculture and Mining</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3</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0.6%</w:t>
            </w:r>
          </w:p>
        </w:tc>
      </w:tr>
      <w:tr w:rsidR="002C664E" w:rsidRPr="005121BB" w:rsidTr="000A7E74">
        <w:trPr>
          <w:trHeight w:val="600"/>
        </w:trPr>
        <w:tc>
          <w:tcPr>
            <w:tcW w:w="2142" w:type="dxa"/>
            <w:tcBorders>
              <w:top w:val="nil"/>
              <w:left w:val="single" w:sz="4" w:space="0" w:color="auto"/>
              <w:bottom w:val="single" w:sz="4" w:space="0" w:color="auto"/>
              <w:right w:val="single" w:sz="4" w:space="0" w:color="auto"/>
            </w:tcBorders>
            <w:shd w:val="clear" w:color="auto" w:fill="auto"/>
            <w:vAlign w:val="center"/>
          </w:tcPr>
          <w:p w:rsidR="002C664E" w:rsidRDefault="002C664E" w:rsidP="00820FE6">
            <w:pPr>
              <w:jc w:val="center"/>
              <w:rPr>
                <w:rFonts w:ascii="Calibri" w:hAnsi="Calibri"/>
                <w:color w:val="000000"/>
              </w:rPr>
            </w:pPr>
            <w:r>
              <w:rPr>
                <w:rFonts w:ascii="Calibri" w:hAnsi="Calibri"/>
                <w:color w:val="000000"/>
              </w:rPr>
              <w:t>10-33</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Manufacturing</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88</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17.6%</w:t>
            </w:r>
          </w:p>
        </w:tc>
      </w:tr>
      <w:tr w:rsidR="002C664E" w:rsidRPr="005121BB" w:rsidTr="000A7E74">
        <w:trPr>
          <w:trHeight w:val="600"/>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35-39</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Utility Supply</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3</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0.6%</w:t>
            </w:r>
          </w:p>
        </w:tc>
      </w:tr>
      <w:tr w:rsidR="002C664E" w:rsidRPr="005121BB" w:rsidTr="000A7E74">
        <w:trPr>
          <w:trHeight w:val="600"/>
        </w:trPr>
        <w:tc>
          <w:tcPr>
            <w:tcW w:w="2142" w:type="dxa"/>
            <w:tcBorders>
              <w:top w:val="nil"/>
              <w:left w:val="single" w:sz="4" w:space="0" w:color="auto"/>
              <w:bottom w:val="single" w:sz="4" w:space="0" w:color="auto"/>
              <w:right w:val="single" w:sz="4" w:space="0" w:color="auto"/>
            </w:tcBorders>
            <w:shd w:val="clear" w:color="auto" w:fill="auto"/>
            <w:vAlign w:val="center"/>
          </w:tcPr>
          <w:p w:rsidR="002C664E" w:rsidRDefault="002C664E" w:rsidP="00820FE6">
            <w:pPr>
              <w:jc w:val="center"/>
              <w:rPr>
                <w:rFonts w:ascii="Calibri" w:hAnsi="Calibri"/>
                <w:color w:val="000000"/>
              </w:rPr>
            </w:pPr>
            <w:r>
              <w:rPr>
                <w:rFonts w:ascii="Calibri" w:hAnsi="Calibri"/>
                <w:color w:val="000000"/>
              </w:rPr>
              <w:t>41-43 &amp; 68</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Construction / Real Estate</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51</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10.2%</w:t>
            </w:r>
          </w:p>
        </w:tc>
      </w:tr>
      <w:tr w:rsidR="002C664E" w:rsidRPr="005121BB" w:rsidTr="000A7E74">
        <w:trPr>
          <w:trHeight w:val="1331"/>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45-56</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Wholesale / Retail / Transport / Storage / Accommodation and Food Services</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96</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19.2%</w:t>
            </w:r>
          </w:p>
        </w:tc>
      </w:tr>
      <w:tr w:rsidR="002C664E" w:rsidRPr="005121BB" w:rsidTr="000A7E74">
        <w:trPr>
          <w:trHeight w:val="631"/>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58-66 &amp; 69-75</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Communication / Finance / Insurance / Professional Services</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84</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16.8%</w:t>
            </w:r>
          </w:p>
        </w:tc>
      </w:tr>
      <w:tr w:rsidR="002C664E" w:rsidRPr="005121BB" w:rsidTr="000A7E74">
        <w:trPr>
          <w:trHeight w:val="738"/>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77-82</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Administrative and Support Services</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96</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19.2%</w:t>
            </w:r>
          </w:p>
        </w:tc>
      </w:tr>
      <w:tr w:rsidR="002C664E" w:rsidRPr="005121BB" w:rsidTr="000A7E74">
        <w:trPr>
          <w:trHeight w:val="922"/>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84-88</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Public Administration / Education / Health and Social Work</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7</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1.4%</w:t>
            </w:r>
          </w:p>
        </w:tc>
      </w:tr>
      <w:tr w:rsidR="002C664E" w:rsidRPr="005121BB" w:rsidTr="000A7E74">
        <w:trPr>
          <w:trHeight w:val="748"/>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90-93</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Arts, entertainment and recreation</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10</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2.0%</w:t>
            </w:r>
          </w:p>
        </w:tc>
      </w:tr>
      <w:tr w:rsidR="002C664E" w:rsidRPr="005121BB" w:rsidTr="000A7E74">
        <w:trPr>
          <w:trHeight w:val="560"/>
        </w:trPr>
        <w:tc>
          <w:tcPr>
            <w:tcW w:w="2142" w:type="dxa"/>
            <w:tcBorders>
              <w:top w:val="nil"/>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94-96</w:t>
            </w:r>
          </w:p>
        </w:tc>
        <w:tc>
          <w:tcPr>
            <w:tcW w:w="2835" w:type="dxa"/>
            <w:tcBorders>
              <w:top w:val="nil"/>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Other service activities</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21</w:t>
            </w:r>
          </w:p>
        </w:tc>
        <w:tc>
          <w:tcPr>
            <w:tcW w:w="2126" w:type="dxa"/>
            <w:tcBorders>
              <w:top w:val="nil"/>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4.2%</w:t>
            </w:r>
          </w:p>
        </w:tc>
      </w:tr>
      <w:tr w:rsidR="002C664E" w:rsidRPr="005121BB" w:rsidTr="000A7E74">
        <w:trPr>
          <w:trHeight w:val="554"/>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Non trading</w:t>
            </w:r>
          </w:p>
        </w:tc>
        <w:tc>
          <w:tcPr>
            <w:tcW w:w="2835" w:type="dxa"/>
            <w:tcBorders>
              <w:top w:val="single" w:sz="4" w:space="0" w:color="auto"/>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Non trading</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5</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1.0%</w:t>
            </w:r>
          </w:p>
        </w:tc>
      </w:tr>
      <w:tr w:rsidR="002C664E" w:rsidRPr="005121BB" w:rsidTr="000A7E74">
        <w:trPr>
          <w:trHeight w:val="562"/>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N/K</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Not known</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35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7.0%</w:t>
            </w:r>
          </w:p>
        </w:tc>
      </w:tr>
      <w:tr w:rsidR="002C664E" w:rsidRPr="005121BB" w:rsidTr="000A7E74">
        <w:trPr>
          <w:trHeight w:val="414"/>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b/>
                <w:bCs/>
                <w:color w:val="000000"/>
              </w:rPr>
            </w:pPr>
            <w:r>
              <w:rPr>
                <w:rFonts w:ascii="Calibri" w:hAnsi="Calibri"/>
                <w:b/>
                <w:bCs/>
                <w:color w:val="000000"/>
              </w:rPr>
              <w:t>Total</w:t>
            </w:r>
          </w:p>
        </w:tc>
        <w:tc>
          <w:tcPr>
            <w:tcW w:w="2835" w:type="dxa"/>
            <w:tcBorders>
              <w:top w:val="single" w:sz="4" w:space="0" w:color="auto"/>
              <w:left w:val="nil"/>
              <w:bottom w:val="single" w:sz="4" w:space="0" w:color="auto"/>
              <w:right w:val="single" w:sz="4" w:space="0" w:color="auto"/>
            </w:tcBorders>
            <w:shd w:val="clear" w:color="auto" w:fill="auto"/>
            <w:vAlign w:val="center"/>
          </w:tcPr>
          <w:p w:rsidR="002C664E" w:rsidRDefault="002C664E" w:rsidP="00820FE6">
            <w:pPr>
              <w:rPr>
                <w:rFonts w:ascii="Calibri" w:hAnsi="Calibri"/>
                <w:color w:val="000000"/>
              </w:rPr>
            </w:pPr>
            <w:r>
              <w:rPr>
                <w:rFonts w:ascii="Calibri" w:hAnsi="Calibri"/>
                <w:color w:val="000000"/>
              </w:rPr>
              <w:t> </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499</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2C664E" w:rsidRDefault="002C664E" w:rsidP="00820FE6">
            <w:pPr>
              <w:jc w:val="center"/>
              <w:rPr>
                <w:rFonts w:ascii="Calibri" w:hAnsi="Calibri"/>
                <w:color w:val="000000"/>
              </w:rPr>
            </w:pPr>
            <w:r>
              <w:rPr>
                <w:rFonts w:ascii="Calibri" w:hAnsi="Calibri"/>
                <w:color w:val="000000"/>
              </w:rPr>
              <w:t>100.0%</w:t>
            </w:r>
          </w:p>
        </w:tc>
      </w:tr>
    </w:tbl>
    <w:p w:rsidR="002C664E" w:rsidRDefault="002C664E" w:rsidP="002C664E">
      <w:pPr>
        <w:pStyle w:val="TableHeading"/>
        <w:spacing w:line="240" w:lineRule="auto"/>
        <w:rPr>
          <w:b w:val="0"/>
          <w:bCs/>
          <w:sz w:val="24"/>
          <w:szCs w:val="24"/>
        </w:rPr>
      </w:pPr>
    </w:p>
    <w:p w:rsidR="002C664E" w:rsidRDefault="002C664E" w:rsidP="000A7E74">
      <w:pPr>
        <w:pStyle w:val="TableHeading"/>
        <w:spacing w:line="240" w:lineRule="auto"/>
        <w:rPr>
          <w:b w:val="0"/>
          <w:bCs/>
          <w:sz w:val="24"/>
          <w:szCs w:val="24"/>
        </w:rPr>
      </w:pPr>
      <w:r w:rsidRPr="002C664E">
        <w:rPr>
          <w:b w:val="0"/>
          <w:bCs/>
          <w:szCs w:val="24"/>
        </w:rPr>
        <w:lastRenderedPageBreak/>
        <w:t>NB The total of 499 includes two companies that are represented twice as there were two distinct business sales.</w:t>
      </w:r>
      <w:r>
        <w:rPr>
          <w:b w:val="0"/>
          <w:bCs/>
          <w:sz w:val="24"/>
          <w:szCs w:val="24"/>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3</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Details of Insolvency Practitioner Firms involved in pre-packs</w:t>
      </w:r>
    </w:p>
    <w:p w:rsidR="002C664E" w:rsidRDefault="002C664E" w:rsidP="002C664E">
      <w:pPr>
        <w:pStyle w:val="TableHeading"/>
        <w:spacing w:line="240" w:lineRule="auto"/>
        <w:rPr>
          <w:b w:val="0"/>
          <w:bCs/>
          <w:sz w:val="24"/>
          <w:szCs w:val="24"/>
        </w:rPr>
      </w:pPr>
    </w:p>
    <w:tbl>
      <w:tblPr>
        <w:tblW w:w="8300" w:type="dxa"/>
        <w:jc w:val="center"/>
        <w:tblInd w:w="93" w:type="dxa"/>
        <w:tblLook w:val="04A0" w:firstRow="1" w:lastRow="0" w:firstColumn="1" w:lastColumn="0" w:noHBand="0" w:noVBand="1"/>
      </w:tblPr>
      <w:tblGrid>
        <w:gridCol w:w="2666"/>
        <w:gridCol w:w="1643"/>
        <w:gridCol w:w="1421"/>
        <w:gridCol w:w="1609"/>
        <w:gridCol w:w="1609"/>
      </w:tblGrid>
      <w:tr w:rsidR="002C664E" w:rsidRPr="005B0CA4" w:rsidTr="00820FE6">
        <w:trPr>
          <w:trHeight w:val="12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Firm</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Total Appointments</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Sales to Connected Party</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Use of Deferred Consideration</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2C664E" w:rsidRPr="005B0CA4" w:rsidRDefault="002C664E" w:rsidP="00820FE6">
            <w:pPr>
              <w:jc w:val="center"/>
              <w:rPr>
                <w:rFonts w:ascii="Calibri" w:hAnsi="Calibri"/>
                <w:b/>
                <w:bCs/>
                <w:color w:val="000000"/>
                <w:lang w:eastAsia="en-GB"/>
              </w:rPr>
            </w:pPr>
            <w:r w:rsidRPr="005B0CA4">
              <w:rPr>
                <w:rFonts w:ascii="Calibri" w:hAnsi="Calibri"/>
                <w:b/>
                <w:bCs/>
                <w:color w:val="000000"/>
                <w:lang w:eastAsia="en-GB"/>
              </w:rPr>
              <w:t>Sales to Connected Party with Deferred Consideration</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Abbey Taylor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Accura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Adcroft Hilton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r>
      <w:tr w:rsidR="002C664E" w:rsidRPr="005B0CA4" w:rsidTr="00820FE6">
        <w:trPr>
          <w:trHeight w:val="26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Armstrong Watson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Atherton Bailey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B&amp;C Associates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Baines &amp; Ernst Corporate</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Baker Tilly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9</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576"/>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Barringtons Corporate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Barry Mitchell &amp; Company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BDO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17</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34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Beesley &amp; Company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Begbies Traynor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18</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BHG Chartered Accountants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6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BN Jackson Norton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Bond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r>
      <w:tr w:rsidR="002C664E" w:rsidRPr="005B0CA4" w:rsidTr="00820FE6">
        <w:trPr>
          <w:trHeight w:val="22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Brackenbury Clark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2C664E">
        <w:trPr>
          <w:trHeight w:val="72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lastRenderedPageBreak/>
              <w:t>BRI (UK)</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2C664E">
        <w:trPr>
          <w:trHeight w:val="6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Bridge Business Recovery</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2C664E">
        <w:trPr>
          <w:trHeight w:val="317"/>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Buchanan Roxburgh</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Buchlers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4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BWC Business Solutions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25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Carter Backer Winter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4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Chantrey Vellacott DFK</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Clarke Bell</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CLB Coopers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CMB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Cooper Parry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9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Cowgill Holloway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75"/>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David Rubin &amp;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Debtfocus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Deloitte</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14</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Durkan Cahill</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Ensors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Ernst &amp; Young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2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 A. Simms &amp;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Findlay James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24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Frost Business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4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FRP Advisory / Vantis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19</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FTI Consulting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8</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r>
      <w:tr w:rsidR="002C664E" w:rsidRPr="005B0CA4" w:rsidTr="00820FE6">
        <w:trPr>
          <w:trHeight w:val="24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Geoffrey Martin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514"/>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Gerald Edelman Business Recovery Professionals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Grant Thornton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Griffin &amp; King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lastRenderedPageBreak/>
              <w:t>Harris Lipman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 xml:space="preserve">Harrisons </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9</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8</w:t>
            </w:r>
          </w:p>
        </w:tc>
      </w:tr>
      <w:tr w:rsidR="002C664E" w:rsidRPr="005B0CA4" w:rsidTr="002C664E">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Hart Shaw</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2C664E">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Hazlewoods</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r>
      <w:tr w:rsidR="002C664E" w:rsidRPr="005B0CA4" w:rsidTr="002C664E">
        <w:trPr>
          <w:trHeight w:val="237"/>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HCW Recovery Solutions</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James Cowper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Janes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19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Johnston Carmichael</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19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Kallis &amp; Company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484"/>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Kelmanson Insolvency Solutions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49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Kirk Hills Insolvency Practitioners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KPMG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Leonard Curtis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36</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22</w:t>
            </w:r>
          </w:p>
        </w:tc>
      </w:tr>
      <w:tr w:rsidR="002C664E" w:rsidRPr="005B0CA4" w:rsidTr="00820FE6">
        <w:trPr>
          <w:trHeight w:val="18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MacIntyre Hudson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61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Mackenzie Goldberg Johnson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Marshman Price</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Mazars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9</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MB Insolvency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MBI Coakley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MCR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18</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r>
      <w:tr w:rsidR="002C664E" w:rsidRPr="005B0CA4" w:rsidTr="00820FE6">
        <w:trPr>
          <w:trHeight w:val="43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McTear Williams &amp; Wood</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594"/>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Milner Boardman &amp;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Moore Stephens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r>
      <w:tr w:rsidR="002C664E" w:rsidRPr="005B0CA4" w:rsidTr="00820FE6">
        <w:trPr>
          <w:trHeight w:val="38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Moorfields Corporate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lastRenderedPageBreak/>
              <w:t>Northpoint</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274"/>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Nortons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r>
      <w:tr w:rsidR="002C664E" w:rsidRPr="005B0CA4" w:rsidTr="00820FE6">
        <w:trPr>
          <w:trHeight w:val="132"/>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O'Hara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132"/>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 &amp; A Partnership</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r>
      <w:tr w:rsidR="002C664E" w:rsidRPr="005B0CA4" w:rsidTr="00820FE6">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Parker Andrews</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Peter Hall</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Peters Elworthy &amp; Moore</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Pitman Cohen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PKF</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10</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r>
      <w:tr w:rsidR="002C664E" w:rsidRPr="005B0CA4" w:rsidTr="00820FE6">
        <w:trPr>
          <w:trHeight w:val="13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Poppleton and Appleby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N/A</w:t>
            </w:r>
          </w:p>
        </w:tc>
      </w:tr>
      <w:tr w:rsidR="002C664E" w:rsidRPr="005B0CA4" w:rsidTr="00820FE6">
        <w:trPr>
          <w:trHeight w:val="29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Portland Business &amp; Financial Solutions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PricewaterhouseCoopers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7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Refresh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267"/>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ReSolve Partners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Rimes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RJC Financial Management</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1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Robson Scott Associates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RSM Tenon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19</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r>
      <w:tr w:rsidR="002C664E" w:rsidRPr="005B0CA4" w:rsidTr="00820FE6">
        <w:trPr>
          <w:trHeight w:val="193"/>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Senate Recovery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8</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8</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Shipleys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20</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15</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Silke &amp; Co</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91"/>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Smith &amp; Williamson</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Smith Cooper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SPW Poppleton &amp; Appleby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Tait Walker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6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lastRenderedPageBreak/>
              <w:t>The Business Debt Advisor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265"/>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The Redfern Partnership</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Tomlinsons</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45"/>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Turpin Barker Armstrong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2C664E">
        <w:trPr>
          <w:trHeight w:val="249"/>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UHY Hacker Young</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2C664E">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Valentine &amp; Co</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r>
      <w:tr w:rsidR="002C664E" w:rsidRPr="005B0CA4" w:rsidTr="002C664E">
        <w:trPr>
          <w:trHeight w:val="300"/>
          <w:jc w:val="center"/>
        </w:trPr>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White Maund</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205"/>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Wilkins Kennedy</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0</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Wilson Field</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7</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6</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5</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Zolfo Cooper</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13</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1</w:t>
            </w:r>
          </w:p>
        </w:tc>
      </w:tr>
      <w:tr w:rsidR="002C664E" w:rsidRPr="005B0CA4" w:rsidTr="00820FE6">
        <w:trPr>
          <w:trHeight w:val="300"/>
          <w:jc w:val="center"/>
        </w:trPr>
        <w:tc>
          <w:tcPr>
            <w:tcW w:w="2277" w:type="dxa"/>
            <w:tcBorders>
              <w:top w:val="nil"/>
              <w:left w:val="single" w:sz="4" w:space="0" w:color="auto"/>
              <w:bottom w:val="single" w:sz="4" w:space="0" w:color="auto"/>
              <w:right w:val="single" w:sz="4" w:space="0" w:color="auto"/>
            </w:tcBorders>
            <w:shd w:val="clear" w:color="auto" w:fill="auto"/>
            <w:vAlign w:val="bottom"/>
            <w:hideMark/>
          </w:tcPr>
          <w:p w:rsidR="002C664E" w:rsidRPr="005B0CA4" w:rsidRDefault="002C664E" w:rsidP="00820FE6">
            <w:pPr>
              <w:rPr>
                <w:rFonts w:ascii="Calibri" w:hAnsi="Calibri"/>
                <w:color w:val="000000"/>
                <w:lang w:eastAsia="en-GB"/>
              </w:rPr>
            </w:pPr>
            <w:r w:rsidRPr="005B0CA4">
              <w:rPr>
                <w:rFonts w:ascii="Calibri" w:hAnsi="Calibri"/>
                <w:color w:val="000000"/>
                <w:lang w:eastAsia="en-GB"/>
              </w:rPr>
              <w:t>Total</w:t>
            </w:r>
          </w:p>
        </w:tc>
        <w:tc>
          <w:tcPr>
            <w:tcW w:w="1542"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498</w:t>
            </w:r>
          </w:p>
        </w:tc>
        <w:tc>
          <w:tcPr>
            <w:tcW w:w="1421"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309</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261</w:t>
            </w:r>
          </w:p>
        </w:tc>
        <w:tc>
          <w:tcPr>
            <w:tcW w:w="1530" w:type="dxa"/>
            <w:tcBorders>
              <w:top w:val="nil"/>
              <w:left w:val="nil"/>
              <w:bottom w:val="single" w:sz="4" w:space="0" w:color="auto"/>
              <w:right w:val="single" w:sz="4" w:space="0" w:color="auto"/>
            </w:tcBorders>
            <w:shd w:val="clear" w:color="auto" w:fill="auto"/>
            <w:noWrap/>
            <w:vAlign w:val="bottom"/>
            <w:hideMark/>
          </w:tcPr>
          <w:p w:rsidR="002C664E" w:rsidRPr="005B0CA4" w:rsidRDefault="002C664E" w:rsidP="00820FE6">
            <w:pPr>
              <w:jc w:val="center"/>
              <w:rPr>
                <w:rFonts w:ascii="Calibri" w:hAnsi="Calibri"/>
                <w:color w:val="000000"/>
                <w:lang w:eastAsia="en-GB"/>
              </w:rPr>
            </w:pPr>
            <w:r w:rsidRPr="005B0CA4">
              <w:rPr>
                <w:rFonts w:ascii="Calibri" w:hAnsi="Calibri"/>
                <w:color w:val="000000"/>
                <w:lang w:eastAsia="en-GB"/>
              </w:rPr>
              <w:t>209</w:t>
            </w:r>
          </w:p>
        </w:tc>
      </w:tr>
    </w:tbl>
    <w:p w:rsidR="002C664E" w:rsidRDefault="002C664E" w:rsidP="002C664E">
      <w:pPr>
        <w:pStyle w:val="TableHeading"/>
        <w:spacing w:line="240" w:lineRule="auto"/>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pStyle w:val="TableHeading"/>
        <w:spacing w:line="240" w:lineRule="auto"/>
        <w:jc w:val="center"/>
        <w:rPr>
          <w:b w:val="0"/>
          <w:bCs/>
          <w:sz w:val="24"/>
          <w:szCs w:val="24"/>
        </w:rPr>
      </w:pPr>
    </w:p>
    <w:p w:rsidR="002C664E" w:rsidRDefault="002C664E" w:rsidP="002C664E">
      <w:pPr>
        <w:rPr>
          <w:bCs/>
        </w:rPr>
      </w:pPr>
      <w:r>
        <w:rPr>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4</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Failure data by categorised oldco sector data</w:t>
      </w:r>
      <w:r>
        <w:rPr>
          <w:bCs/>
          <w:sz w:val="24"/>
          <w:szCs w:val="24"/>
        </w:rPr>
        <w:t xml:space="preserve"> – Pre-packs</w:t>
      </w:r>
    </w:p>
    <w:p w:rsidR="002C664E" w:rsidRDefault="002C664E" w:rsidP="002C664E">
      <w:pPr>
        <w:rPr>
          <w:bCs/>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444"/>
        <w:gridCol w:w="1559"/>
        <w:gridCol w:w="1559"/>
        <w:gridCol w:w="1560"/>
        <w:gridCol w:w="1559"/>
      </w:tblGrid>
      <w:tr w:rsidR="002C664E" w:rsidRPr="008E7850" w:rsidTr="00820FE6">
        <w:trPr>
          <w:trHeight w:val="900"/>
        </w:trPr>
        <w:tc>
          <w:tcPr>
            <w:tcW w:w="2101"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SIC 2007 Categories</w:t>
            </w:r>
          </w:p>
        </w:tc>
        <w:tc>
          <w:tcPr>
            <w:tcW w:w="1444"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Prevalence (where full failure data)</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Pr>
                <w:rFonts w:ascii="Calibri" w:hAnsi="Calibri"/>
                <w:b/>
                <w:bCs/>
                <w:color w:val="000000"/>
                <w:lang w:eastAsia="en-GB"/>
              </w:rPr>
              <w:t>Prevalence Rate</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Prevalence of failure</w:t>
            </w:r>
          </w:p>
        </w:tc>
        <w:tc>
          <w:tcPr>
            <w:tcW w:w="1560"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Failure Rate (within category)</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Failure Rate (overall)</w:t>
            </w:r>
          </w:p>
        </w:tc>
      </w:tr>
      <w:tr w:rsidR="002C664E" w:rsidRPr="008E7850" w:rsidTr="00820FE6">
        <w:trPr>
          <w:trHeight w:val="6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Agriculture and Mining (01-09)</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0.2%</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0.0%</w:t>
            </w:r>
          </w:p>
        </w:tc>
      </w:tr>
      <w:tr w:rsidR="002C664E" w:rsidRPr="008E7850" w:rsidTr="00820FE6">
        <w:trPr>
          <w:trHeight w:val="6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Manufacturing (10-33)</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87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18.3%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27</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31.0%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22.3%</w:t>
            </w:r>
          </w:p>
        </w:tc>
      </w:tr>
      <w:tr w:rsidR="002C664E" w:rsidRPr="008E7850" w:rsidTr="00820FE6">
        <w:trPr>
          <w:trHeight w:val="6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Utility Supply (35-39)</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0.6%</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33.3%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r>
      <w:tr w:rsidR="002C664E" w:rsidRPr="008E7850" w:rsidTr="00820FE6">
        <w:trPr>
          <w:trHeight w:val="9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Construction / Real Estate (41-43 &amp; 68)</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49</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18</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36.7%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14.9%</w:t>
            </w:r>
          </w:p>
        </w:tc>
      </w:tr>
      <w:tr w:rsidR="002C664E" w:rsidRPr="008E7850" w:rsidTr="00820FE6">
        <w:trPr>
          <w:trHeight w:val="1491"/>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Wholesale / Retail / Transport / Storage / Accommodation and Food Services (45-56)</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91</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19.2%</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23</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25.3%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19.0%</w:t>
            </w:r>
          </w:p>
        </w:tc>
      </w:tr>
      <w:tr w:rsidR="002C664E" w:rsidRPr="008E7850" w:rsidTr="00820FE6">
        <w:trPr>
          <w:trHeight w:val="1271"/>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Communication / Finance / Insurance / Professional Services (55-66 &amp; 69-75)</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79</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16.6%</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13.9%</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9.1%</w:t>
            </w:r>
          </w:p>
        </w:tc>
      </w:tr>
      <w:tr w:rsidR="002C664E" w:rsidRPr="008E7850" w:rsidTr="00820FE6">
        <w:trPr>
          <w:trHeight w:val="9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Administrative and Support Services (77-82)</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96</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20.2%</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23</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24.0%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19.0%</w:t>
            </w:r>
          </w:p>
        </w:tc>
      </w:tr>
      <w:tr w:rsidR="002C664E" w:rsidRPr="008E7850" w:rsidTr="00820FE6">
        <w:trPr>
          <w:trHeight w:val="1487"/>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lastRenderedPageBreak/>
              <w:t>Public Administration / Education / Health and Social Work (84-88)</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1.5%</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14.3%</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r>
      <w:tr w:rsidR="002C664E" w:rsidRPr="008E7850" w:rsidTr="00820FE6">
        <w:trPr>
          <w:trHeight w:val="984"/>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Arts, entertainment and recreation (90-93)</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2.1%</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r>
      <w:tr w:rsidR="002C664E" w:rsidRPr="008E7850" w:rsidTr="00820FE6">
        <w:trPr>
          <w:trHeight w:val="6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Other service activities (94-96)</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21</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4.4%</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19.0%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3.3%</w:t>
            </w:r>
          </w:p>
        </w:tc>
      </w:tr>
      <w:tr w:rsidR="002C664E" w:rsidRPr="008E7850" w:rsidTr="00820FE6">
        <w:trPr>
          <w:trHeight w:val="3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Non trading</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25.0%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0.8%</w:t>
            </w:r>
          </w:p>
        </w:tc>
      </w:tr>
      <w:tr w:rsidR="002C664E" w:rsidRPr="008E7850" w:rsidTr="00820FE6">
        <w:trPr>
          <w:trHeight w:val="3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Not known</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5.7%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40.7%</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9.1%</w:t>
            </w:r>
          </w:p>
        </w:tc>
      </w:tr>
      <w:tr w:rsidR="002C664E" w:rsidRPr="008E7850" w:rsidTr="00820FE6">
        <w:trPr>
          <w:trHeight w:val="300"/>
        </w:trPr>
        <w:tc>
          <w:tcPr>
            <w:tcW w:w="2101" w:type="dxa"/>
            <w:shd w:val="clear" w:color="auto" w:fill="auto"/>
            <w:vAlign w:val="center"/>
            <w:hideMark/>
          </w:tcPr>
          <w:p w:rsidR="002C664E" w:rsidRPr="008E7850" w:rsidRDefault="002C664E" w:rsidP="00820FE6">
            <w:pPr>
              <w:rPr>
                <w:rFonts w:ascii="Calibri" w:hAnsi="Calibri"/>
                <w:color w:val="000000"/>
                <w:lang w:eastAsia="en-GB"/>
              </w:rPr>
            </w:pPr>
            <w:r w:rsidRPr="008E7850">
              <w:rPr>
                <w:rFonts w:ascii="Calibri" w:hAnsi="Calibri"/>
                <w:color w:val="000000"/>
                <w:lang w:eastAsia="en-GB"/>
              </w:rPr>
              <w:t>Total</w:t>
            </w:r>
          </w:p>
        </w:tc>
        <w:tc>
          <w:tcPr>
            <w:tcW w:w="1444"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475</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100.0%</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121</w:t>
            </w:r>
          </w:p>
        </w:tc>
        <w:tc>
          <w:tcPr>
            <w:tcW w:w="1560"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25.5%</w:t>
            </w:r>
          </w:p>
        </w:tc>
        <w:tc>
          <w:tcPr>
            <w:tcW w:w="1559" w:type="dxa"/>
            <w:shd w:val="clear" w:color="auto" w:fill="auto"/>
            <w:vAlign w:val="center"/>
            <w:hideMark/>
          </w:tcPr>
          <w:p w:rsidR="002C664E" w:rsidRPr="008E7850" w:rsidRDefault="002C664E" w:rsidP="00820FE6">
            <w:pPr>
              <w:jc w:val="center"/>
              <w:rPr>
                <w:rFonts w:ascii="Calibri" w:hAnsi="Calibri"/>
                <w:color w:val="000000"/>
                <w:lang w:eastAsia="en-GB"/>
              </w:rPr>
            </w:pPr>
            <w:r w:rsidRPr="008E7850">
              <w:rPr>
                <w:rFonts w:ascii="Calibri" w:hAnsi="Calibri"/>
                <w:color w:val="000000"/>
                <w:lang w:eastAsia="en-GB"/>
              </w:rPr>
              <w:t>100.0%</w:t>
            </w:r>
          </w:p>
        </w:tc>
      </w:tr>
    </w:tbl>
    <w:p w:rsidR="002C664E" w:rsidRDefault="002C664E" w:rsidP="002C664E">
      <w:pPr>
        <w:rPr>
          <w:bCs/>
        </w:rPr>
      </w:pPr>
    </w:p>
    <w:p w:rsidR="002C664E" w:rsidRDefault="002C664E" w:rsidP="002C664E">
      <w:pPr>
        <w:rPr>
          <w:bCs/>
        </w:rPr>
      </w:pPr>
      <w:r>
        <w:rPr>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Appendix 5</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Details of Insolvency Practitioner Firms involved in pre-packs</w:t>
      </w:r>
    </w:p>
    <w:p w:rsidR="002C664E" w:rsidRDefault="002C664E" w:rsidP="002C664E">
      <w:pPr>
        <w:rPr>
          <w:bCs/>
        </w:rPr>
      </w:pPr>
    </w:p>
    <w:tbl>
      <w:tblPr>
        <w:tblW w:w="10415" w:type="dxa"/>
        <w:tblInd w:w="-176" w:type="dxa"/>
        <w:tblLayout w:type="fixed"/>
        <w:tblLook w:val="04A0" w:firstRow="1" w:lastRow="0" w:firstColumn="1" w:lastColumn="0" w:noHBand="0" w:noVBand="1"/>
      </w:tblPr>
      <w:tblGrid>
        <w:gridCol w:w="1844"/>
        <w:gridCol w:w="1701"/>
        <w:gridCol w:w="1701"/>
        <w:gridCol w:w="1701"/>
        <w:gridCol w:w="1701"/>
        <w:gridCol w:w="1767"/>
      </w:tblGrid>
      <w:tr w:rsidR="002C664E" w:rsidRPr="004850C7" w:rsidTr="00820FE6">
        <w:trPr>
          <w:trHeight w:val="12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b/>
                <w:bCs/>
                <w:color w:val="000000"/>
                <w:lang w:eastAsia="en-GB"/>
              </w:rPr>
            </w:pPr>
            <w:r w:rsidRPr="004850C7">
              <w:rPr>
                <w:rFonts w:ascii="Calibri" w:hAnsi="Calibri"/>
                <w:b/>
                <w:bCs/>
                <w:color w:val="000000"/>
                <w:lang w:eastAsia="en-GB"/>
              </w:rPr>
              <w:t>Firm</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Total Appointments (</w:t>
            </w:r>
            <w:r>
              <w:rPr>
                <w:rFonts w:ascii="Calibri" w:hAnsi="Calibri"/>
                <w:b/>
                <w:bCs/>
                <w:color w:val="000000"/>
                <w:lang w:eastAsia="en-GB"/>
              </w:rPr>
              <w:t>where f</w:t>
            </w:r>
            <w:r w:rsidRPr="004850C7">
              <w:rPr>
                <w:rFonts w:ascii="Calibri" w:hAnsi="Calibri"/>
                <w:b/>
                <w:bCs/>
                <w:color w:val="000000"/>
                <w:lang w:eastAsia="en-GB"/>
              </w:rPr>
              <w:t>ull failure data)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Total Failure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Connected Sale Failure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Deferred Consideration Failure</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rsidR="002C664E" w:rsidRPr="004850C7" w:rsidRDefault="002C664E" w:rsidP="00820FE6">
            <w:pPr>
              <w:jc w:val="center"/>
              <w:rPr>
                <w:rFonts w:ascii="Calibri" w:hAnsi="Calibri"/>
                <w:b/>
                <w:bCs/>
                <w:color w:val="000000"/>
                <w:lang w:eastAsia="en-GB"/>
              </w:rPr>
            </w:pPr>
            <w:r w:rsidRPr="004850C7">
              <w:rPr>
                <w:rFonts w:ascii="Calibri" w:hAnsi="Calibri"/>
                <w:b/>
                <w:bCs/>
                <w:color w:val="000000"/>
                <w:lang w:eastAsia="en-GB"/>
              </w:rPr>
              <w:t>Connected Sale and Deferred Consideration Failure</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Abbey Taylor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Accura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Adcroft Hilton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Armstrong Watson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Atherton Bailey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B&amp;C Associates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Baines &amp; Ernst Corporate</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Baker Tilly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9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Barringtons Corporate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Barry Mitchell &amp; Company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BDO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(5.9%)</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Beesley &amp; Company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Begbies Traynor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10 (28.6%)</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7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(25.7%)</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6 (17.1%)</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BHG Chartered Accountants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BN Jackson Norton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lastRenderedPageBreak/>
              <w:t>Bond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Brackenbury Clark &amp; Co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BRI (UK)</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Bridge Business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Buchanan Roxburgh</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Buchlers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BWC Business Solutions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Carter Backer Winter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Chantrey Vellacott DFK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Clarke Bell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CLB Coopers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CMB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Cooper Parry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28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Cowgill Holloway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David Rubin &amp;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Debtfocus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Deloitte</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Durkan Cahill</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Ensors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Ernst &amp; Young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F. A. Simms &amp;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(33.3%)</w:t>
            </w:r>
          </w:p>
        </w:tc>
      </w:tr>
      <w:tr w:rsidR="002C664E" w:rsidRPr="004850C7" w:rsidTr="002C664E">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lastRenderedPageBreak/>
              <w:t>Findlay James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Frost Business Recovery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FRP Advisory / Vantis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 (42.1%)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(15.8%)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 (42.1%)</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(15.8%)</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FTI Consulting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Geoffrey Martin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r>
      <w:tr w:rsidR="002C664E" w:rsidRPr="004850C7" w:rsidTr="00820FE6">
        <w:trPr>
          <w:trHeight w:val="12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Gerald Edelman Business Recovery Professionals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Grant Thornton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Griffin &amp; King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Harris Lipman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 xml:space="preserve">Harrisons </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(36.4%)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(36.4%)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(36.4%)</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(36.4%)</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Hart Shaw</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Hazlewoods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HCW Recovery Solutions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James Cowper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Janes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Johnston Carmichael</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3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Kallis &amp; Company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9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Kelmanson Insolvency Solutions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9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lastRenderedPageBreak/>
              <w:t>Kirk Hills Insolvency Practitioners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820FE6">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KPMG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Leonard Curtis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36</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19 (52.8%)</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13 (36.1%)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18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13 (36.1%)</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MacIntyre Hudson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54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Mackenzie Goldberg Johnson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Marshman Price</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Mazars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(33.3%)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(22.2%)</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(22.2%)</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MB Insolvency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MBI Coakley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MCR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(17.6%)</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(11.8%)</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(17.6%)</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(11.8%)</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McTear Williams &amp; Wood</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52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Milner Boardman &amp;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Moore Stephens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66"/>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Moorfields Corporate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Northpoint</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r>
      <w:tr w:rsidR="002C664E" w:rsidRPr="004850C7" w:rsidTr="00820FE6">
        <w:trPr>
          <w:trHeight w:val="25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Nortons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O'Hara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6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 xml:space="preserve">P &amp; A </w:t>
            </w:r>
            <w:r w:rsidRPr="004850C7">
              <w:rPr>
                <w:rFonts w:ascii="Calibri" w:hAnsi="Calibri"/>
                <w:color w:val="000000"/>
                <w:lang w:eastAsia="en-GB"/>
              </w:rPr>
              <w:lastRenderedPageBreak/>
              <w:t>Partnership</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lastRenderedPageBreak/>
              <w:t>11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(27.3%)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(27.3%)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(27.3%)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(27.3%)</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lastRenderedPageBreak/>
              <w:t>Parker Andrews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r>
      <w:tr w:rsidR="002C664E" w:rsidRPr="004850C7" w:rsidTr="002C664E">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Peter Hall</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Peters Elworthy &amp; Moore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Pitman Cohen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(100%)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PKF</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(22.2%)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(22.2%)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Poppleton and Appleby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6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Portland Business &amp; Financial Solutions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PricewaterhouseCoopers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(8.3%)</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69"/>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Refresh Recovery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(100%)</w:t>
            </w:r>
          </w:p>
        </w:tc>
      </w:tr>
      <w:tr w:rsidR="002C664E" w:rsidRPr="004850C7" w:rsidTr="00820FE6">
        <w:trPr>
          <w:trHeight w:val="261"/>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ReSolve Partners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Rimes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RJC Financial Management</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Robson Scott Associates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820FE6">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RSM Tenon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11 (31.4%)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 (22.9%)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 (22.9%)</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 (14.3%)</w:t>
            </w:r>
          </w:p>
        </w:tc>
      </w:tr>
      <w:tr w:rsidR="002C664E" w:rsidRPr="004850C7" w:rsidTr="00820FE6">
        <w:trPr>
          <w:trHeight w:val="263"/>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Senate Recovery</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(12.5%)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(12.5%)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(12.5%)</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(12.5%)</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Shipleys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(45%)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(45%)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(45%)</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9 (45%)</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Silke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Smith &amp; Williamson</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lastRenderedPageBreak/>
              <w:t>Smith Cooper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SPW Poppleton &amp; Appleby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Tait Walker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The Business Debt Advisor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2C664E">
        <w:trPr>
          <w:trHeight w:val="6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The Redfern Partnership</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Tomlinsons</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Turpin Barker Armstrong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(50%)</w:t>
            </w:r>
          </w:p>
        </w:tc>
      </w:tr>
      <w:tr w:rsidR="002C664E" w:rsidRPr="004850C7" w:rsidTr="00820FE6">
        <w:trPr>
          <w:trHeight w:val="6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UHY Hacker Young</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5</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4 (80%)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(40%)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(60%)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 (20%)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Valentine &amp; Co</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2 (66.7%)</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White Maund</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23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Wilkins Kennedy</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Wilson Field</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3 (42.9%)</w:t>
            </w:r>
          </w:p>
        </w:tc>
      </w:tr>
      <w:tr w:rsidR="002C664E" w:rsidRPr="004850C7" w:rsidTr="00820FE6">
        <w:trPr>
          <w:trHeight w:val="300"/>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2C664E" w:rsidRPr="004850C7" w:rsidRDefault="002C664E" w:rsidP="00820FE6">
            <w:pPr>
              <w:rPr>
                <w:rFonts w:ascii="Calibri" w:hAnsi="Calibri"/>
                <w:color w:val="000000"/>
                <w:lang w:eastAsia="en-GB"/>
              </w:rPr>
            </w:pPr>
            <w:r w:rsidRPr="004850C7">
              <w:rPr>
                <w:rFonts w:ascii="Calibri" w:hAnsi="Calibri"/>
                <w:color w:val="000000"/>
                <w:lang w:eastAsia="en-GB"/>
              </w:rPr>
              <w:t>Zolfo Cooper</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8</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c>
          <w:tcPr>
            <w:tcW w:w="1767" w:type="dxa"/>
            <w:tcBorders>
              <w:top w:val="nil"/>
              <w:left w:val="nil"/>
              <w:bottom w:val="single" w:sz="4" w:space="0" w:color="auto"/>
              <w:right w:val="single" w:sz="4" w:space="0" w:color="auto"/>
            </w:tcBorders>
            <w:shd w:val="clear" w:color="auto" w:fill="auto"/>
            <w:noWrap/>
            <w:vAlign w:val="bottom"/>
            <w:hideMark/>
          </w:tcPr>
          <w:p w:rsidR="002C664E" w:rsidRPr="004850C7" w:rsidRDefault="002C664E" w:rsidP="00820FE6">
            <w:pPr>
              <w:jc w:val="center"/>
              <w:rPr>
                <w:rFonts w:ascii="Calibri" w:hAnsi="Calibri"/>
                <w:color w:val="000000"/>
                <w:lang w:eastAsia="en-GB"/>
              </w:rPr>
            </w:pPr>
            <w:r w:rsidRPr="004850C7">
              <w:rPr>
                <w:rFonts w:ascii="Calibri" w:hAnsi="Calibri"/>
                <w:color w:val="000000"/>
                <w:lang w:eastAsia="en-GB"/>
              </w:rPr>
              <w:t>0</w:t>
            </w:r>
          </w:p>
        </w:tc>
      </w:tr>
    </w:tbl>
    <w:p w:rsidR="002C664E" w:rsidRDefault="002C664E" w:rsidP="002C664E">
      <w:pPr>
        <w:rPr>
          <w:bCs/>
        </w:rPr>
      </w:pPr>
    </w:p>
    <w:p w:rsidR="002C664E" w:rsidRDefault="002C664E" w:rsidP="002C664E">
      <w:pPr>
        <w:rPr>
          <w:bCs/>
        </w:rPr>
      </w:pPr>
      <w:r>
        <w:rPr>
          <w:bCs/>
        </w:rPr>
        <w:br w:type="page"/>
      </w:r>
    </w:p>
    <w:p w:rsidR="002C664E" w:rsidRDefault="002C664E" w:rsidP="002C664E">
      <w:pPr>
        <w:rPr>
          <w:bCs/>
        </w:rPr>
      </w:pPr>
    </w:p>
    <w:p w:rsidR="002C664E" w:rsidRPr="008E5925" w:rsidRDefault="002C664E" w:rsidP="002C664E">
      <w:pPr>
        <w:jc w:val="center"/>
        <w:rPr>
          <w:b/>
          <w:bCs/>
        </w:rPr>
      </w:pPr>
      <w:r w:rsidRPr="008E5925">
        <w:rPr>
          <w:b/>
          <w:bCs/>
        </w:rPr>
        <w:t>Appendix 6</w:t>
      </w:r>
    </w:p>
    <w:p w:rsidR="002C664E" w:rsidRPr="008E5925" w:rsidRDefault="002C664E" w:rsidP="002C664E">
      <w:pPr>
        <w:jc w:val="center"/>
        <w:rPr>
          <w:b/>
          <w:bCs/>
        </w:rPr>
      </w:pPr>
    </w:p>
    <w:p w:rsidR="002C664E" w:rsidRPr="008E5925" w:rsidRDefault="002C664E" w:rsidP="002C664E">
      <w:pPr>
        <w:jc w:val="center"/>
        <w:rPr>
          <w:b/>
          <w:bCs/>
        </w:rPr>
      </w:pPr>
      <w:r w:rsidRPr="008E5925">
        <w:rPr>
          <w:b/>
          <w:bCs/>
        </w:rPr>
        <w:t xml:space="preserve">Pre-Pack Regression Analysis Model </w:t>
      </w:r>
    </w:p>
    <w:p w:rsidR="002C664E" w:rsidRDefault="002C664E" w:rsidP="002C664E">
      <w:pPr>
        <w:rPr>
          <w:bCs/>
        </w:rPr>
      </w:pPr>
    </w:p>
    <w:p w:rsidR="002C664E" w:rsidRDefault="002C664E" w:rsidP="002C664E">
      <w:pPr>
        <w:rPr>
          <w:bCs/>
        </w:rPr>
      </w:pPr>
      <w:r>
        <w:rPr>
          <w:bCs/>
        </w:rPr>
        <w:t>1. Failure of purchaser at 36 months</w:t>
      </w:r>
    </w:p>
    <w:p w:rsidR="002C664E" w:rsidRDefault="002C664E" w:rsidP="002C664E">
      <w:pPr>
        <w:rPr>
          <w:bCs/>
        </w:rPr>
      </w:pP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Call:</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glm(formula = dataPP$F36 ~ dataPP$DefCon * dataPP$Connected +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    qq(dataPP$Purchase), family = "binomial")</w:t>
      </w:r>
    </w:p>
    <w:p w:rsidR="002C664E" w:rsidRPr="002C664E" w:rsidRDefault="002C664E" w:rsidP="002C664E">
      <w:pPr>
        <w:tabs>
          <w:tab w:val="center" w:pos="4513"/>
          <w:tab w:val="right" w:pos="9026"/>
        </w:tabs>
        <w:rPr>
          <w:rFonts w:eastAsia="Calibri" w:cs="Arial"/>
          <w:sz w:val="22"/>
        </w:rPr>
      </w:pP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Coefficients:</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                                     Estimate Std. Error z value Pr(&gt;|z|)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(Intercept)                           -4.3241     0.8501  -5.086 3.65e-07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dataPP$DefConYes                       2.7693     0.5395   5.133 2.85e-07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dataPP$ConnectedYes                    1.2718     0.5394   2.358  0.01838 *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qq(dataPP$Purchase)Small               1.4607     0.7545   1.936  0.05286 .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 xml:space="preserve">dataPP$DefConYes:dataPP$ConnectedYes  -1.6619     0.6255  -2.657  0.00789 ** </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Signif. codes:  0 ‘***’ 0.001 ‘**’ 0.01 ‘*’ 0.05 ‘.’ 0.1 ‘ ’ 1</w:t>
      </w:r>
    </w:p>
    <w:p w:rsidR="002C664E" w:rsidRPr="002C664E" w:rsidRDefault="002C664E" w:rsidP="002C664E">
      <w:pPr>
        <w:tabs>
          <w:tab w:val="center" w:pos="4513"/>
          <w:tab w:val="right" w:pos="9026"/>
        </w:tabs>
        <w:rPr>
          <w:rFonts w:eastAsia="Calibri" w:cs="Arial"/>
          <w:sz w:val="22"/>
        </w:rPr>
      </w:pP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(Dispersion parameter for binomial family taken to be 1)</w:t>
      </w:r>
    </w:p>
    <w:p w:rsidR="002C664E" w:rsidRPr="002C664E" w:rsidRDefault="002C664E" w:rsidP="002C664E">
      <w:pPr>
        <w:tabs>
          <w:tab w:val="center" w:pos="4513"/>
          <w:tab w:val="right" w:pos="9026"/>
        </w:tabs>
        <w:rPr>
          <w:rFonts w:eastAsia="Calibri" w:cs="Arial"/>
          <w:sz w:val="22"/>
        </w:rPr>
      </w:pP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Null deviance: 531.34  on 461  degrees of freedom</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Residual deviance: 462.95  on 457  degrees of freedom</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(4 observations deleted due to missingness)</w:t>
      </w:r>
    </w:p>
    <w:p w:rsidR="002C664E" w:rsidRPr="002C664E" w:rsidRDefault="002C664E" w:rsidP="002C664E">
      <w:pPr>
        <w:tabs>
          <w:tab w:val="center" w:pos="4513"/>
          <w:tab w:val="right" w:pos="9026"/>
        </w:tabs>
        <w:rPr>
          <w:rFonts w:eastAsia="Calibri" w:cs="Arial"/>
          <w:sz w:val="22"/>
        </w:rPr>
      </w:pPr>
      <w:r w:rsidRPr="002C664E">
        <w:rPr>
          <w:rFonts w:eastAsia="Calibri" w:cs="Arial"/>
          <w:sz w:val="22"/>
        </w:rPr>
        <w:t>AIC: 472.95</w:t>
      </w:r>
    </w:p>
    <w:p w:rsidR="002C664E" w:rsidRDefault="002C664E" w:rsidP="002C664E">
      <w:pPr>
        <w:rPr>
          <w:bCs/>
        </w:rPr>
      </w:pPr>
    </w:p>
    <w:p w:rsidR="002C664E" w:rsidRDefault="002C664E" w:rsidP="002C664E">
      <w:pPr>
        <w:rPr>
          <w:bCs/>
        </w:rPr>
      </w:pPr>
      <w:r>
        <w:rPr>
          <w:bCs/>
        </w:rPr>
        <w:t>2. Failure of purchaser at 24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glm(formula = dataPP$F24 ~ dataPP$DefCon * dataPP$Connected,     family = "binomial")</w:t>
      </w:r>
    </w:p>
    <w:p w:rsidR="002C664E" w:rsidRPr="002C664E" w:rsidRDefault="002C664E" w:rsidP="002C664E">
      <w:pPr>
        <w:rPr>
          <w:bCs/>
          <w:sz w:val="22"/>
        </w:rPr>
      </w:pPr>
    </w:p>
    <w:p w:rsidR="002C664E" w:rsidRPr="002C664E" w:rsidRDefault="002C664E" w:rsidP="002C664E">
      <w:pPr>
        <w:rPr>
          <w:bCs/>
          <w:sz w:val="22"/>
        </w:rPr>
      </w:pPr>
      <w:r w:rsidRPr="002C664E">
        <w:rPr>
          <w:bCs/>
          <w:sz w:val="22"/>
        </w:rPr>
        <w:t>Coefficients:</w:t>
      </w:r>
    </w:p>
    <w:p w:rsidR="002C664E" w:rsidRPr="002C664E" w:rsidRDefault="002C664E" w:rsidP="002C664E">
      <w:pPr>
        <w:rPr>
          <w:bCs/>
          <w:sz w:val="22"/>
        </w:rPr>
      </w:pPr>
      <w:r w:rsidRPr="002C664E">
        <w:rPr>
          <w:bCs/>
          <w:sz w:val="22"/>
        </w:rPr>
        <w:t xml:space="preserve">                                                    Estimate        Std. Error        z value        Pr(&gt;|z|)    </w:t>
      </w:r>
    </w:p>
    <w:p w:rsidR="002C664E" w:rsidRPr="002C664E" w:rsidRDefault="002C664E" w:rsidP="002C664E">
      <w:pPr>
        <w:rPr>
          <w:bCs/>
          <w:sz w:val="22"/>
        </w:rPr>
      </w:pPr>
      <w:r w:rsidRPr="002C664E">
        <w:rPr>
          <w:bCs/>
          <w:sz w:val="22"/>
        </w:rPr>
        <w:t>(Intercept)                                  -3.5458         0.5856           -6.055           1.41e-09 ***</w:t>
      </w:r>
    </w:p>
    <w:p w:rsidR="002C664E" w:rsidRPr="002C664E" w:rsidRDefault="002C664E" w:rsidP="002C664E">
      <w:pPr>
        <w:rPr>
          <w:bCs/>
          <w:sz w:val="22"/>
        </w:rPr>
      </w:pPr>
      <w:r w:rsidRPr="002C664E">
        <w:rPr>
          <w:bCs/>
          <w:sz w:val="22"/>
        </w:rPr>
        <w:lastRenderedPageBreak/>
        <w:t>dataPP$DefConYes                    3.1075         0.6521             4.766          1.88e-06 ***</w:t>
      </w:r>
    </w:p>
    <w:p w:rsidR="002C664E" w:rsidRPr="002C664E" w:rsidRDefault="002C664E" w:rsidP="002C664E">
      <w:pPr>
        <w:rPr>
          <w:bCs/>
          <w:sz w:val="22"/>
        </w:rPr>
      </w:pPr>
      <w:r w:rsidRPr="002C664E">
        <w:rPr>
          <w:bCs/>
          <w:sz w:val="22"/>
        </w:rPr>
        <w:t xml:space="preserve">dataPP$ConnectedYes             1.1034       0.6920         1.595           0.1108    </w:t>
      </w:r>
    </w:p>
    <w:p w:rsidR="002C664E" w:rsidRPr="002C664E" w:rsidRDefault="002C664E" w:rsidP="002C664E">
      <w:pPr>
        <w:rPr>
          <w:bCs/>
          <w:sz w:val="22"/>
        </w:rPr>
      </w:pPr>
      <w:r w:rsidRPr="002C664E">
        <w:rPr>
          <w:bCs/>
          <w:sz w:val="22"/>
        </w:rPr>
        <w:t xml:space="preserve">dataPP$DefConYes:dataPP$ConnectedYes  -1.6394     0.7650  -2.143   0.0321 *  </w:t>
      </w:r>
    </w:p>
    <w:p w:rsidR="002C664E" w:rsidRPr="002C664E" w:rsidRDefault="002C664E" w:rsidP="002C664E">
      <w:pPr>
        <w:rPr>
          <w:bCs/>
          <w:sz w:val="22"/>
        </w:rPr>
      </w:pPr>
      <w:r w:rsidRPr="002C664E">
        <w:rPr>
          <w:bCs/>
          <w:sz w:val="22"/>
        </w:rPr>
        <w:t>---</w:t>
      </w:r>
    </w:p>
    <w:p w:rsidR="002C664E" w:rsidRPr="002C664E" w:rsidRDefault="002C664E" w:rsidP="002C664E">
      <w:pPr>
        <w:rPr>
          <w:bCs/>
          <w:sz w:val="22"/>
        </w:rPr>
      </w:pPr>
      <w:r w:rsidRPr="002C664E">
        <w:rPr>
          <w:bCs/>
          <w:sz w:val="22"/>
        </w:rPr>
        <w:t>Signif. codes:  0 ‘***’ 0.001 ‘**’ 0.01 ‘*’ 0.05 ‘.’ 0.1 ‘ ’ 1</w:t>
      </w:r>
    </w:p>
    <w:p w:rsidR="002C664E" w:rsidRPr="002C664E" w:rsidRDefault="002C664E" w:rsidP="002C664E">
      <w:pPr>
        <w:rPr>
          <w:bCs/>
          <w:sz w:val="22"/>
        </w:rPr>
      </w:pPr>
    </w:p>
    <w:p w:rsidR="002C664E" w:rsidRPr="002C664E" w:rsidRDefault="002C664E" w:rsidP="002C664E">
      <w:pPr>
        <w:rPr>
          <w:bCs/>
          <w:sz w:val="22"/>
        </w:rPr>
      </w:pPr>
      <w:r w:rsidRPr="002C664E">
        <w:rPr>
          <w:bCs/>
          <w:sz w:val="22"/>
        </w:rPr>
        <w:t>(Dispersion parameter for binomial family taken to be 1)</w:t>
      </w:r>
    </w:p>
    <w:p w:rsidR="002C664E" w:rsidRPr="002C664E" w:rsidRDefault="002C664E" w:rsidP="002C664E">
      <w:pPr>
        <w:rPr>
          <w:bCs/>
          <w:sz w:val="22"/>
        </w:rPr>
      </w:pPr>
    </w:p>
    <w:p w:rsidR="002C664E" w:rsidRPr="002C664E" w:rsidRDefault="002C664E" w:rsidP="002C664E">
      <w:pPr>
        <w:rPr>
          <w:bCs/>
          <w:sz w:val="22"/>
        </w:rPr>
      </w:pPr>
      <w:r w:rsidRPr="002C664E">
        <w:rPr>
          <w:bCs/>
          <w:sz w:val="22"/>
        </w:rPr>
        <w:t>Null deviance: 451.59  on 465  degrees of freedom</w:t>
      </w:r>
    </w:p>
    <w:p w:rsidR="002C664E" w:rsidRPr="002C664E" w:rsidRDefault="002C664E" w:rsidP="002C664E">
      <w:pPr>
        <w:rPr>
          <w:bCs/>
          <w:sz w:val="22"/>
        </w:rPr>
      </w:pPr>
      <w:r w:rsidRPr="002C664E">
        <w:rPr>
          <w:bCs/>
          <w:sz w:val="22"/>
        </w:rPr>
        <w:t>Residual deviance: 395.71  on 462  degrees of freedom</w:t>
      </w:r>
    </w:p>
    <w:p w:rsidR="002C664E" w:rsidRPr="002C664E" w:rsidRDefault="002C664E" w:rsidP="002C664E">
      <w:pPr>
        <w:rPr>
          <w:bCs/>
          <w:sz w:val="22"/>
        </w:rPr>
      </w:pPr>
      <w:r w:rsidRPr="002C664E">
        <w:rPr>
          <w:bCs/>
          <w:sz w:val="22"/>
        </w:rPr>
        <w:t>AIC: 403.71</w:t>
      </w:r>
    </w:p>
    <w:p w:rsidR="002C664E" w:rsidRPr="002C664E" w:rsidRDefault="002C664E" w:rsidP="002C664E">
      <w:pPr>
        <w:rPr>
          <w:bCs/>
          <w:sz w:val="22"/>
        </w:rPr>
      </w:pPr>
    </w:p>
    <w:p w:rsidR="002C664E" w:rsidRDefault="002C664E" w:rsidP="002C664E">
      <w:pPr>
        <w:rPr>
          <w:bCs/>
        </w:rPr>
      </w:pPr>
      <w:r>
        <w:rPr>
          <w:bCs/>
        </w:rPr>
        <w:t>3. Failure of purchaser at 12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glm(formula = dataPP$F12 ~ dataPP$DefCon, family = "binomial")</w:t>
      </w:r>
    </w:p>
    <w:p w:rsidR="002C664E" w:rsidRPr="002C664E" w:rsidRDefault="002C664E" w:rsidP="002C664E">
      <w:pPr>
        <w:rPr>
          <w:bCs/>
          <w:sz w:val="22"/>
        </w:rPr>
      </w:pPr>
      <w:r w:rsidRPr="002C664E">
        <w:rPr>
          <w:bCs/>
          <w:sz w:val="22"/>
        </w:rPr>
        <w:t>Coefficients:</w:t>
      </w:r>
    </w:p>
    <w:p w:rsidR="002C664E" w:rsidRPr="002C664E" w:rsidRDefault="002C664E" w:rsidP="002C664E">
      <w:pPr>
        <w:rPr>
          <w:bCs/>
          <w:sz w:val="22"/>
        </w:rPr>
      </w:pPr>
      <w:r w:rsidRPr="002C664E">
        <w:rPr>
          <w:bCs/>
          <w:sz w:val="22"/>
        </w:rPr>
        <w:t xml:space="preserve">                 Estimate Std. Error z value Pr(&gt;|z|)    </w:t>
      </w:r>
    </w:p>
    <w:p w:rsidR="002C664E" w:rsidRPr="002C664E" w:rsidRDefault="002C664E" w:rsidP="002C664E">
      <w:pPr>
        <w:rPr>
          <w:bCs/>
          <w:sz w:val="22"/>
        </w:rPr>
      </w:pPr>
      <w:r w:rsidRPr="002C664E">
        <w:rPr>
          <w:bCs/>
          <w:sz w:val="22"/>
        </w:rPr>
        <w:t>(Intercept)       -3.3524     0.3845  -8.718   &lt;2e-16 ***</w:t>
      </w:r>
    </w:p>
    <w:p w:rsidR="002C664E" w:rsidRPr="002C664E" w:rsidRDefault="002C664E" w:rsidP="002C664E">
      <w:pPr>
        <w:rPr>
          <w:bCs/>
          <w:sz w:val="22"/>
        </w:rPr>
      </w:pPr>
      <w:r w:rsidRPr="002C664E">
        <w:rPr>
          <w:bCs/>
          <w:sz w:val="22"/>
        </w:rPr>
        <w:t xml:space="preserve">dataPP$DefConYes   0.8717     0.4495   1.939   0.0525 .  </w:t>
      </w:r>
    </w:p>
    <w:p w:rsidR="002C664E" w:rsidRPr="002C664E" w:rsidRDefault="002C664E" w:rsidP="002C664E">
      <w:pPr>
        <w:rPr>
          <w:bCs/>
          <w:sz w:val="22"/>
        </w:rPr>
      </w:pPr>
      <w:r w:rsidRPr="002C664E">
        <w:rPr>
          <w:bCs/>
          <w:sz w:val="22"/>
        </w:rPr>
        <w:t>---</w:t>
      </w:r>
    </w:p>
    <w:p w:rsidR="002C664E" w:rsidRPr="002C664E" w:rsidRDefault="002C664E" w:rsidP="002C664E">
      <w:pPr>
        <w:rPr>
          <w:bCs/>
          <w:sz w:val="22"/>
        </w:rPr>
      </w:pPr>
      <w:r w:rsidRPr="002C664E">
        <w:rPr>
          <w:bCs/>
          <w:sz w:val="22"/>
        </w:rPr>
        <w:t>Signif. codes:  0 ‘***’ 0.001 ‘**’ 0.01 ‘*’ 0.05 ‘.’ 0.1 ‘ ’ 1</w:t>
      </w:r>
    </w:p>
    <w:p w:rsidR="002C664E" w:rsidRPr="002C664E" w:rsidRDefault="002C664E" w:rsidP="002C664E">
      <w:pPr>
        <w:rPr>
          <w:bCs/>
          <w:sz w:val="22"/>
        </w:rPr>
      </w:pPr>
    </w:p>
    <w:p w:rsidR="002C664E" w:rsidRPr="002C664E" w:rsidRDefault="002C664E" w:rsidP="002C664E">
      <w:pPr>
        <w:rPr>
          <w:bCs/>
          <w:sz w:val="22"/>
        </w:rPr>
      </w:pPr>
      <w:r w:rsidRPr="002C664E">
        <w:rPr>
          <w:bCs/>
          <w:sz w:val="22"/>
        </w:rPr>
        <w:t>(Dispersion parameter for binomial family taken to be 1)</w:t>
      </w:r>
    </w:p>
    <w:p w:rsidR="002C664E" w:rsidRPr="002C664E" w:rsidRDefault="002C664E" w:rsidP="002C664E">
      <w:pPr>
        <w:rPr>
          <w:bCs/>
          <w:sz w:val="22"/>
        </w:rPr>
      </w:pPr>
      <w:r w:rsidRPr="002C664E">
        <w:rPr>
          <w:bCs/>
          <w:sz w:val="22"/>
        </w:rPr>
        <w:t xml:space="preserve"> </w:t>
      </w:r>
    </w:p>
    <w:p w:rsidR="002C664E" w:rsidRPr="002C664E" w:rsidRDefault="002C664E" w:rsidP="002C664E">
      <w:pPr>
        <w:rPr>
          <w:bCs/>
          <w:sz w:val="22"/>
        </w:rPr>
      </w:pPr>
      <w:r w:rsidRPr="002C664E">
        <w:rPr>
          <w:bCs/>
          <w:sz w:val="22"/>
        </w:rPr>
        <w:t>Null deviance: 206.22  on 465  degrees of freedom</w:t>
      </w:r>
    </w:p>
    <w:p w:rsidR="002C664E" w:rsidRPr="002C664E" w:rsidRDefault="002C664E" w:rsidP="002C664E">
      <w:pPr>
        <w:rPr>
          <w:bCs/>
          <w:sz w:val="22"/>
        </w:rPr>
      </w:pPr>
      <w:r w:rsidRPr="002C664E">
        <w:rPr>
          <w:bCs/>
          <w:sz w:val="22"/>
        </w:rPr>
        <w:t>Residual deviance: 202.03  on 464  degrees of freedom</w:t>
      </w:r>
    </w:p>
    <w:p w:rsidR="002C664E" w:rsidRPr="002C664E" w:rsidRDefault="002C664E" w:rsidP="002C664E">
      <w:pPr>
        <w:rPr>
          <w:bCs/>
          <w:sz w:val="22"/>
        </w:rPr>
      </w:pPr>
      <w:r w:rsidRPr="002C664E">
        <w:rPr>
          <w:bCs/>
          <w:sz w:val="22"/>
        </w:rPr>
        <w:t>AIC: 206.03</w:t>
      </w:r>
    </w:p>
    <w:p w:rsidR="002C664E" w:rsidRPr="002C664E" w:rsidRDefault="002C664E" w:rsidP="002C664E">
      <w:pPr>
        <w:rPr>
          <w:bCs/>
          <w:sz w:val="22"/>
        </w:rPr>
      </w:pPr>
    </w:p>
    <w:p w:rsidR="002C664E" w:rsidRDefault="002C664E" w:rsidP="002C664E">
      <w:pPr>
        <w:rPr>
          <w:bCs/>
        </w:rPr>
      </w:pPr>
      <w:r>
        <w:rPr>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 xml:space="preserve">Appendix </w:t>
      </w:r>
      <w:r>
        <w:rPr>
          <w:bCs/>
          <w:sz w:val="24"/>
          <w:szCs w:val="24"/>
        </w:rPr>
        <w:t>7</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 xml:space="preserve">Sector of company </w:t>
      </w:r>
      <w:r>
        <w:rPr>
          <w:bCs/>
          <w:sz w:val="24"/>
          <w:szCs w:val="24"/>
        </w:rPr>
        <w:t>in trading</w:t>
      </w:r>
      <w:r w:rsidRPr="00C736EC">
        <w:rPr>
          <w:bCs/>
          <w:sz w:val="24"/>
          <w:szCs w:val="24"/>
        </w:rPr>
        <w:t xml:space="preserve"> administration – 2 Digit SIC 2007</w:t>
      </w:r>
    </w:p>
    <w:p w:rsidR="002C664E" w:rsidRDefault="002C664E" w:rsidP="002C664E">
      <w:pPr>
        <w:rPr>
          <w:bCs/>
        </w:rPr>
      </w:pPr>
    </w:p>
    <w:tbl>
      <w:tblPr>
        <w:tblW w:w="9229" w:type="dxa"/>
        <w:tblInd w:w="93" w:type="dxa"/>
        <w:tblLook w:val="04A0" w:firstRow="1" w:lastRow="0" w:firstColumn="1" w:lastColumn="0" w:noHBand="0" w:noVBand="1"/>
      </w:tblPr>
      <w:tblGrid>
        <w:gridCol w:w="2283"/>
        <w:gridCol w:w="2268"/>
        <w:gridCol w:w="2410"/>
        <w:gridCol w:w="2268"/>
      </w:tblGrid>
      <w:tr w:rsidR="002C664E" w:rsidRPr="00176F0D" w:rsidTr="00820FE6">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SIC 2007 Codes (2 Digit)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Sector Name</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Prevalence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Prevalence Rate</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13</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textiles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9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Printing and reproduction of recorded media</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89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20</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chemicals and chemical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24</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basic metals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108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25</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fabricated metal products, except machinery and equipment</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578"/>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26</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computer, electronic and optical products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74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28</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machinery and equipment n.e.c.</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31</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Manufacture of furniture</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114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lastRenderedPageBreak/>
              <w:t>32</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Other manufacturing</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3.6%</w:t>
            </w:r>
          </w:p>
        </w:tc>
      </w:tr>
      <w:tr w:rsidR="002C664E" w:rsidRPr="00176F0D" w:rsidTr="00820FE6">
        <w:trPr>
          <w:trHeight w:val="558"/>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Electricity, gas, steam and air conditioning supply</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100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38</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Waste collection, treatment and disposal activities; materials recovery</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41</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Construction of buildings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5.5%</w:t>
            </w:r>
          </w:p>
        </w:tc>
      </w:tr>
      <w:tr w:rsidR="002C664E" w:rsidRPr="00176F0D" w:rsidTr="00820FE6">
        <w:trPr>
          <w:trHeight w:val="3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43</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Specialised construction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131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Wholesale and retail trade and repair of motor vehicles and motorcycles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841"/>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Wholesale trade, except of motor vehicles and motorcycles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9.1%</w:t>
            </w:r>
          </w:p>
        </w:tc>
      </w:tr>
      <w:tr w:rsidR="002C664E" w:rsidRPr="00176F0D" w:rsidTr="00820FE6">
        <w:trPr>
          <w:trHeight w:val="73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47</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Retail trade, except of motor vehicles and motorcycles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8.2%</w:t>
            </w:r>
          </w:p>
        </w:tc>
      </w:tr>
      <w:tr w:rsidR="002C664E" w:rsidRPr="00176F0D" w:rsidTr="00820FE6">
        <w:trPr>
          <w:trHeight w:val="47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49</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Land transport and transport via pipelines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55</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Accommodation</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10.0%</w:t>
            </w:r>
          </w:p>
        </w:tc>
      </w:tr>
      <w:tr w:rsidR="002C664E" w:rsidRPr="00176F0D" w:rsidTr="00820FE6">
        <w:trPr>
          <w:trHeight w:val="61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lastRenderedPageBreak/>
              <w:t>56</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Food and beverage service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28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58</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Publishing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828"/>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Financial service activities, except insurance and pension funding</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w:t>
            </w:r>
          </w:p>
        </w:tc>
      </w:tr>
      <w:tr w:rsidR="002C664E" w:rsidRPr="00176F0D" w:rsidTr="00820FE6">
        <w:trPr>
          <w:trHeight w:val="304"/>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68</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Real estate activities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692"/>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71</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Architectural and engineering activities; technical testing and analysis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3.6%</w:t>
            </w:r>
          </w:p>
        </w:tc>
      </w:tr>
      <w:tr w:rsidR="002C664E" w:rsidRPr="00176F0D" w:rsidTr="00820FE6">
        <w:trPr>
          <w:trHeight w:val="90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74</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Other professional, scientific and technical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26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78</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Employment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82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82</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Office administrative, office support and other business support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5.5%</w:t>
            </w:r>
          </w:p>
        </w:tc>
      </w:tr>
      <w:tr w:rsidR="002C664E" w:rsidRPr="00176F0D" w:rsidTr="00820FE6">
        <w:trPr>
          <w:trHeight w:val="18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86</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Human health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w:t>
            </w:r>
          </w:p>
        </w:tc>
      </w:tr>
      <w:tr w:rsidR="002C664E" w:rsidRPr="00176F0D" w:rsidTr="00820FE6">
        <w:trPr>
          <w:trHeight w:val="62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93</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Sports activities and amusement and recreation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50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96</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Other personal service activities</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3.6%</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Non-trading</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Non-trading</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lastRenderedPageBreak/>
              <w:t>N/K</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Not Known</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12</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10.9%</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Total</w:t>
            </w:r>
          </w:p>
        </w:tc>
        <w:tc>
          <w:tcPr>
            <w:tcW w:w="2268" w:type="dxa"/>
            <w:tcBorders>
              <w:top w:val="nil"/>
              <w:left w:val="nil"/>
              <w:bottom w:val="single" w:sz="4" w:space="0" w:color="auto"/>
              <w:right w:val="single" w:sz="4" w:space="0" w:color="auto"/>
            </w:tcBorders>
            <w:shd w:val="clear" w:color="auto" w:fill="auto"/>
            <w:vAlign w:val="bottom"/>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 </w:t>
            </w:r>
          </w:p>
        </w:tc>
        <w:tc>
          <w:tcPr>
            <w:tcW w:w="2410"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110</w:t>
            </w:r>
          </w:p>
        </w:tc>
        <w:tc>
          <w:tcPr>
            <w:tcW w:w="2268" w:type="dxa"/>
            <w:tcBorders>
              <w:top w:val="nil"/>
              <w:left w:val="nil"/>
              <w:bottom w:val="single" w:sz="4" w:space="0" w:color="auto"/>
              <w:right w:val="single" w:sz="4" w:space="0" w:color="auto"/>
            </w:tcBorders>
            <w:shd w:val="clear" w:color="auto" w:fill="auto"/>
            <w:noWrap/>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100.0%</w:t>
            </w:r>
          </w:p>
        </w:tc>
      </w:tr>
    </w:tbl>
    <w:p w:rsidR="002C664E" w:rsidRDefault="002C664E" w:rsidP="002C664E">
      <w:pPr>
        <w:rPr>
          <w:bCs/>
        </w:rPr>
      </w:pPr>
    </w:p>
    <w:p w:rsidR="002C664E" w:rsidRDefault="002C664E" w:rsidP="002C664E">
      <w:pPr>
        <w:rPr>
          <w:bCs/>
        </w:rPr>
      </w:pPr>
      <w:r w:rsidRPr="002C664E">
        <w:rPr>
          <w:bCs/>
          <w:sz w:val="20"/>
        </w:rPr>
        <w:t xml:space="preserve">NB Total of 110 includes 6 companies that are represented twice, as there are two distinct sales, and 2 companies that are represented three times, as there are three distinct sales </w:t>
      </w:r>
      <w:r>
        <w:rPr>
          <w:bCs/>
        </w:rPr>
        <w:br w:type="page"/>
      </w:r>
    </w:p>
    <w:p w:rsidR="002C664E" w:rsidRPr="00C736EC" w:rsidRDefault="002C664E" w:rsidP="002C664E">
      <w:pPr>
        <w:pStyle w:val="TableHeading"/>
        <w:spacing w:line="240" w:lineRule="auto"/>
        <w:jc w:val="center"/>
        <w:rPr>
          <w:bCs/>
          <w:sz w:val="24"/>
          <w:szCs w:val="24"/>
        </w:rPr>
      </w:pPr>
      <w:r w:rsidRPr="00C736EC">
        <w:rPr>
          <w:bCs/>
          <w:sz w:val="24"/>
          <w:szCs w:val="24"/>
        </w:rPr>
        <w:lastRenderedPageBreak/>
        <w:t>Ap</w:t>
      </w:r>
      <w:r>
        <w:rPr>
          <w:bCs/>
          <w:sz w:val="24"/>
          <w:szCs w:val="24"/>
        </w:rPr>
        <w:t>pendix 8</w:t>
      </w:r>
    </w:p>
    <w:p w:rsidR="002C664E" w:rsidRPr="00C736EC" w:rsidRDefault="002C664E" w:rsidP="002C664E">
      <w:pPr>
        <w:pStyle w:val="TableHeading"/>
        <w:spacing w:line="240" w:lineRule="auto"/>
        <w:jc w:val="center"/>
        <w:rPr>
          <w:bCs/>
          <w:sz w:val="24"/>
          <w:szCs w:val="24"/>
        </w:rPr>
      </w:pPr>
    </w:p>
    <w:p w:rsidR="002C664E" w:rsidRPr="002C664E" w:rsidRDefault="002C664E" w:rsidP="002C664E">
      <w:pPr>
        <w:pStyle w:val="TableHeading"/>
        <w:spacing w:line="240" w:lineRule="auto"/>
        <w:jc w:val="center"/>
        <w:rPr>
          <w:bCs/>
          <w:sz w:val="24"/>
          <w:szCs w:val="24"/>
        </w:rPr>
      </w:pPr>
      <w:r w:rsidRPr="00C736EC">
        <w:rPr>
          <w:bCs/>
          <w:sz w:val="24"/>
          <w:szCs w:val="24"/>
        </w:rPr>
        <w:t xml:space="preserve">Sector of company </w:t>
      </w:r>
      <w:r>
        <w:rPr>
          <w:bCs/>
          <w:sz w:val="24"/>
          <w:szCs w:val="24"/>
        </w:rPr>
        <w:t>in trading administration – Categorised</w:t>
      </w:r>
    </w:p>
    <w:tbl>
      <w:tblPr>
        <w:tblW w:w="9229" w:type="dxa"/>
        <w:tblInd w:w="93" w:type="dxa"/>
        <w:tblLook w:val="04A0" w:firstRow="1" w:lastRow="0" w:firstColumn="1" w:lastColumn="0" w:noHBand="0" w:noVBand="1"/>
      </w:tblPr>
      <w:tblGrid>
        <w:gridCol w:w="2283"/>
        <w:gridCol w:w="2552"/>
        <w:gridCol w:w="2126"/>
        <w:gridCol w:w="2268"/>
      </w:tblGrid>
      <w:tr w:rsidR="002C664E" w:rsidRPr="00176F0D" w:rsidTr="00820FE6">
        <w:trPr>
          <w:trHeight w:val="9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SIC 2007 Codes (2 Digit)</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SIC 2007 Categories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Prevalence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Prevalence Rate</w:t>
            </w:r>
          </w:p>
        </w:tc>
      </w:tr>
      <w:tr w:rsidR="002C664E" w:rsidRPr="00176F0D" w:rsidTr="00820FE6">
        <w:trPr>
          <w:trHeight w:val="6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01-09</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Agriculture and Mining</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0.0%</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10-33</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Manufacturing</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17</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15.5%</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35-39</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Utility Supply</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1.8%</w:t>
            </w:r>
          </w:p>
        </w:tc>
      </w:tr>
      <w:tr w:rsidR="002C664E" w:rsidRPr="00176F0D" w:rsidTr="00820FE6">
        <w:trPr>
          <w:trHeight w:val="59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41-43 &amp; 68</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Construction / Real Estate</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7.3%</w:t>
            </w:r>
          </w:p>
        </w:tc>
      </w:tr>
      <w:tr w:rsidR="002C664E" w:rsidRPr="00176F0D" w:rsidTr="00820FE6">
        <w:trPr>
          <w:trHeight w:val="1121"/>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45-56</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Wholesale / Retail / Transport / Storage / Accommodation and Food Services</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38</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34.5%</w:t>
            </w:r>
          </w:p>
        </w:tc>
      </w:tr>
      <w:tr w:rsidR="002C664E" w:rsidRPr="00176F0D" w:rsidTr="00820FE6">
        <w:trPr>
          <w:trHeight w:val="854"/>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58-66 &amp; 69-75</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Communication / Finance / Insurance / Professional Services</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13</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11.8%</w:t>
            </w:r>
          </w:p>
        </w:tc>
      </w:tr>
      <w:tr w:rsidR="002C664E" w:rsidRPr="00176F0D" w:rsidTr="00820FE6">
        <w:trPr>
          <w:trHeight w:val="55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77-82</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Administrative and Support Services</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7</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6.4%</w:t>
            </w:r>
          </w:p>
        </w:tc>
      </w:tr>
      <w:tr w:rsidR="002C664E" w:rsidRPr="00176F0D" w:rsidTr="00820FE6">
        <w:trPr>
          <w:trHeight w:val="84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84-88</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Public Administration / Education / Health and Social Work</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5</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4.5%</w:t>
            </w:r>
          </w:p>
        </w:tc>
      </w:tr>
      <w:tr w:rsidR="002C664E" w:rsidRPr="00176F0D" w:rsidTr="00820FE6">
        <w:trPr>
          <w:trHeight w:val="546"/>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90-93</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Arts, entertainment and recreation</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2.7%</w:t>
            </w:r>
          </w:p>
        </w:tc>
      </w:tr>
      <w:tr w:rsidR="002C664E" w:rsidRPr="00176F0D" w:rsidTr="00820FE6">
        <w:trPr>
          <w:trHeight w:val="412"/>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94-96</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Other service activities</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4</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3.6%</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Non trading</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Non trading</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0.9%</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N/K</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Not known</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12</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10.9%</w:t>
            </w:r>
          </w:p>
        </w:tc>
      </w:tr>
      <w:tr w:rsidR="002C664E" w:rsidRPr="00176F0D" w:rsidTr="00820FE6">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b/>
                <w:bCs/>
                <w:color w:val="000000"/>
                <w:lang w:eastAsia="en-GB"/>
              </w:rPr>
            </w:pPr>
            <w:r w:rsidRPr="00176F0D">
              <w:rPr>
                <w:rFonts w:ascii="Calibri" w:hAnsi="Calibri"/>
                <w:b/>
                <w:bCs/>
                <w:color w:val="000000"/>
                <w:lang w:eastAsia="en-GB"/>
              </w:rPr>
              <w:t>Total</w:t>
            </w:r>
          </w:p>
        </w:tc>
        <w:tc>
          <w:tcPr>
            <w:tcW w:w="2552"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rPr>
                <w:rFonts w:ascii="Calibri" w:hAnsi="Calibri"/>
                <w:color w:val="000000"/>
                <w:lang w:eastAsia="en-GB"/>
              </w:rPr>
            </w:pPr>
            <w:r w:rsidRPr="00176F0D">
              <w:rPr>
                <w:rFonts w:ascii="Calibri" w:hAnsi="Calibri"/>
                <w:color w:val="000000"/>
                <w:lang w:eastAsia="en-GB"/>
              </w:rPr>
              <w:t> </w:t>
            </w:r>
          </w:p>
        </w:tc>
        <w:tc>
          <w:tcPr>
            <w:tcW w:w="2126"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110</w:t>
            </w:r>
          </w:p>
        </w:tc>
        <w:tc>
          <w:tcPr>
            <w:tcW w:w="2268" w:type="dxa"/>
            <w:tcBorders>
              <w:top w:val="nil"/>
              <w:left w:val="nil"/>
              <w:bottom w:val="single" w:sz="4" w:space="0" w:color="auto"/>
              <w:right w:val="single" w:sz="4" w:space="0" w:color="auto"/>
            </w:tcBorders>
            <w:shd w:val="clear" w:color="auto" w:fill="auto"/>
            <w:vAlign w:val="center"/>
            <w:hideMark/>
          </w:tcPr>
          <w:p w:rsidR="002C664E" w:rsidRPr="00176F0D" w:rsidRDefault="002C664E" w:rsidP="00820FE6">
            <w:pPr>
              <w:jc w:val="center"/>
              <w:rPr>
                <w:rFonts w:ascii="Calibri" w:hAnsi="Calibri"/>
                <w:color w:val="000000"/>
                <w:lang w:eastAsia="en-GB"/>
              </w:rPr>
            </w:pPr>
            <w:r w:rsidRPr="00176F0D">
              <w:rPr>
                <w:rFonts w:ascii="Calibri" w:hAnsi="Calibri"/>
                <w:color w:val="000000"/>
                <w:lang w:eastAsia="en-GB"/>
              </w:rPr>
              <w:t>100.0%</w:t>
            </w:r>
          </w:p>
        </w:tc>
      </w:tr>
    </w:tbl>
    <w:p w:rsidR="002C664E" w:rsidRDefault="002C664E" w:rsidP="002C664E">
      <w:pPr>
        <w:rPr>
          <w:bCs/>
        </w:rPr>
      </w:pPr>
    </w:p>
    <w:p w:rsidR="002C664E" w:rsidRDefault="002C664E" w:rsidP="002C664E">
      <w:pPr>
        <w:rPr>
          <w:bCs/>
        </w:rPr>
      </w:pPr>
      <w:r w:rsidRPr="002C664E">
        <w:rPr>
          <w:bCs/>
          <w:sz w:val="20"/>
        </w:rPr>
        <w:t xml:space="preserve">NB Total of 110 includes 6 companies that are represented twice, as there are two distinct sales, and 2 companies that are represented three times, as there are three distinct sales </w:t>
      </w:r>
      <w:r>
        <w:rPr>
          <w:bCs/>
        </w:rPr>
        <w:br w:type="page"/>
      </w:r>
    </w:p>
    <w:p w:rsidR="002C664E" w:rsidRPr="00C736EC" w:rsidRDefault="002C664E" w:rsidP="002C664E">
      <w:pPr>
        <w:pStyle w:val="TableHeading"/>
        <w:spacing w:line="240" w:lineRule="auto"/>
        <w:jc w:val="center"/>
        <w:rPr>
          <w:bCs/>
          <w:sz w:val="24"/>
          <w:szCs w:val="24"/>
        </w:rPr>
      </w:pPr>
      <w:r>
        <w:rPr>
          <w:bCs/>
          <w:sz w:val="24"/>
          <w:szCs w:val="24"/>
        </w:rPr>
        <w:lastRenderedPageBreak/>
        <w:t>Appendix 9</w:t>
      </w:r>
    </w:p>
    <w:p w:rsidR="002C664E" w:rsidRPr="00C736EC" w:rsidRDefault="002C664E" w:rsidP="002C664E">
      <w:pPr>
        <w:pStyle w:val="TableHeading"/>
        <w:spacing w:line="240" w:lineRule="auto"/>
        <w:jc w:val="center"/>
        <w:rPr>
          <w:bCs/>
          <w:sz w:val="24"/>
          <w:szCs w:val="24"/>
        </w:rPr>
      </w:pPr>
    </w:p>
    <w:p w:rsidR="002C664E" w:rsidRPr="00C736EC" w:rsidRDefault="002C664E" w:rsidP="002C664E">
      <w:pPr>
        <w:pStyle w:val="TableHeading"/>
        <w:spacing w:line="240" w:lineRule="auto"/>
        <w:jc w:val="center"/>
        <w:rPr>
          <w:bCs/>
          <w:sz w:val="24"/>
          <w:szCs w:val="24"/>
        </w:rPr>
      </w:pPr>
      <w:r w:rsidRPr="00C736EC">
        <w:rPr>
          <w:bCs/>
          <w:sz w:val="24"/>
          <w:szCs w:val="24"/>
        </w:rPr>
        <w:t>Failure data by categorised oldco sector data</w:t>
      </w:r>
      <w:r>
        <w:rPr>
          <w:bCs/>
          <w:sz w:val="24"/>
          <w:szCs w:val="24"/>
        </w:rPr>
        <w:t xml:space="preserve"> – Trading Administrations</w:t>
      </w:r>
    </w:p>
    <w:p w:rsidR="002C664E" w:rsidRDefault="002C664E" w:rsidP="002C664E">
      <w:pPr>
        <w:rPr>
          <w:bCs/>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444"/>
        <w:gridCol w:w="1559"/>
        <w:gridCol w:w="1559"/>
        <w:gridCol w:w="1560"/>
        <w:gridCol w:w="1559"/>
      </w:tblGrid>
      <w:tr w:rsidR="002C664E" w:rsidRPr="008E7850" w:rsidTr="00820FE6">
        <w:trPr>
          <w:trHeight w:val="900"/>
        </w:trPr>
        <w:tc>
          <w:tcPr>
            <w:tcW w:w="2101"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SIC 2007 Categories</w:t>
            </w:r>
          </w:p>
        </w:tc>
        <w:tc>
          <w:tcPr>
            <w:tcW w:w="1444"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Prevalence (where full failure data)</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Pr>
                <w:rFonts w:ascii="Calibri" w:hAnsi="Calibri"/>
                <w:b/>
                <w:bCs/>
                <w:color w:val="000000"/>
                <w:lang w:eastAsia="en-GB"/>
              </w:rPr>
              <w:t>Prevalence Rate</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Prevalence of failure</w:t>
            </w:r>
          </w:p>
        </w:tc>
        <w:tc>
          <w:tcPr>
            <w:tcW w:w="1560"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Failure Rate (within category)</w:t>
            </w:r>
          </w:p>
        </w:tc>
        <w:tc>
          <w:tcPr>
            <w:tcW w:w="1559" w:type="dxa"/>
            <w:shd w:val="clear" w:color="auto" w:fill="auto"/>
            <w:vAlign w:val="center"/>
            <w:hideMark/>
          </w:tcPr>
          <w:p w:rsidR="002C664E" w:rsidRPr="008E7850" w:rsidRDefault="002C664E" w:rsidP="00820FE6">
            <w:pPr>
              <w:jc w:val="center"/>
              <w:rPr>
                <w:rFonts w:ascii="Calibri" w:hAnsi="Calibri"/>
                <w:b/>
                <w:bCs/>
                <w:color w:val="000000"/>
                <w:lang w:eastAsia="en-GB"/>
              </w:rPr>
            </w:pPr>
            <w:r w:rsidRPr="008E7850">
              <w:rPr>
                <w:rFonts w:ascii="Calibri" w:hAnsi="Calibri"/>
                <w:b/>
                <w:bCs/>
                <w:color w:val="000000"/>
                <w:lang w:eastAsia="en-GB"/>
              </w:rPr>
              <w:t>Failure Rate (overall)</w:t>
            </w:r>
          </w:p>
        </w:tc>
      </w:tr>
      <w:tr w:rsidR="002C664E" w:rsidRPr="008E7850" w:rsidTr="00820FE6">
        <w:trPr>
          <w:trHeight w:val="545"/>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Agriculture and Mining (01-09)</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N/A</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553"/>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Manufacturing (10-33)</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15</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15.5%</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6</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40.0%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31.6%</w:t>
            </w:r>
          </w:p>
        </w:tc>
      </w:tr>
      <w:tr w:rsidR="002C664E" w:rsidRPr="008E7850" w:rsidTr="00820FE6">
        <w:trPr>
          <w:trHeight w:val="547"/>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Utility Supply (35-39)</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5.3%</w:t>
            </w:r>
          </w:p>
        </w:tc>
      </w:tr>
      <w:tr w:rsidR="002C664E" w:rsidRPr="008E7850" w:rsidTr="00820FE6">
        <w:trPr>
          <w:trHeight w:val="711"/>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Construction / Real Estate (41-43 &amp; 68)</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8</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8.2%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4</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21.1%</w:t>
            </w:r>
          </w:p>
        </w:tc>
      </w:tr>
      <w:tr w:rsidR="002C664E" w:rsidRPr="008E7850" w:rsidTr="00820FE6">
        <w:trPr>
          <w:trHeight w:val="900"/>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Wholesale / Retail / Transport / Storage / Accommodation and Food Services (45-56)</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29</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29.9%</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17.2%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26.3%</w:t>
            </w:r>
          </w:p>
        </w:tc>
      </w:tr>
      <w:tr w:rsidR="002C664E" w:rsidRPr="008E7850" w:rsidTr="00820FE6">
        <w:trPr>
          <w:trHeight w:val="2725"/>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Communication / Finance / Insurance / Professional Services (58-66 &amp; 69-75)</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13.4%</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1686"/>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Administrative and Support Services (77-82)</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7</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7.2%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900"/>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lastRenderedPageBreak/>
              <w:t>Public Administration / Education / Health and Social Work (84-88)</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900"/>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Arts, entertainment and recreation (90-93)</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616"/>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Other service activities (94-96)</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33.3%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5.3%</w:t>
            </w:r>
          </w:p>
        </w:tc>
      </w:tr>
      <w:tr w:rsidR="002C664E" w:rsidRPr="008E7850" w:rsidTr="00820FE6">
        <w:trPr>
          <w:trHeight w:val="568"/>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Non trading</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0.0%</w:t>
            </w:r>
          </w:p>
        </w:tc>
      </w:tr>
      <w:tr w:rsidR="002C664E" w:rsidRPr="008E7850" w:rsidTr="00820FE6">
        <w:trPr>
          <w:trHeight w:val="548"/>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Not known</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11</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11.3%</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2</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18.2%</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10.5%</w:t>
            </w:r>
          </w:p>
        </w:tc>
      </w:tr>
      <w:tr w:rsidR="002C664E" w:rsidRPr="008E7850" w:rsidTr="00820FE6">
        <w:trPr>
          <w:trHeight w:val="557"/>
        </w:trPr>
        <w:tc>
          <w:tcPr>
            <w:tcW w:w="2101" w:type="dxa"/>
            <w:shd w:val="clear" w:color="auto" w:fill="auto"/>
            <w:vAlign w:val="center"/>
          </w:tcPr>
          <w:p w:rsidR="002C664E" w:rsidRDefault="002C664E" w:rsidP="00820FE6">
            <w:pPr>
              <w:rPr>
                <w:rFonts w:ascii="Calibri" w:hAnsi="Calibri"/>
                <w:color w:val="000000"/>
              </w:rPr>
            </w:pPr>
            <w:r>
              <w:rPr>
                <w:rFonts w:ascii="Calibri" w:hAnsi="Calibri"/>
                <w:color w:val="000000"/>
              </w:rPr>
              <w:t>Total</w:t>
            </w:r>
          </w:p>
        </w:tc>
        <w:tc>
          <w:tcPr>
            <w:tcW w:w="1444"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97</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100.0%</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19</w:t>
            </w:r>
          </w:p>
        </w:tc>
        <w:tc>
          <w:tcPr>
            <w:tcW w:w="1560"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19.6%</w:t>
            </w:r>
          </w:p>
        </w:tc>
        <w:tc>
          <w:tcPr>
            <w:tcW w:w="1559" w:type="dxa"/>
            <w:shd w:val="clear" w:color="auto" w:fill="auto"/>
            <w:vAlign w:val="center"/>
          </w:tcPr>
          <w:p w:rsidR="002C664E" w:rsidRDefault="002C664E" w:rsidP="00820FE6">
            <w:pPr>
              <w:jc w:val="center"/>
              <w:rPr>
                <w:rFonts w:ascii="Calibri" w:hAnsi="Calibri"/>
                <w:color w:val="000000"/>
              </w:rPr>
            </w:pPr>
            <w:r>
              <w:rPr>
                <w:rFonts w:ascii="Calibri" w:hAnsi="Calibri"/>
                <w:color w:val="000000"/>
              </w:rPr>
              <w:t>100.0%</w:t>
            </w:r>
          </w:p>
        </w:tc>
      </w:tr>
    </w:tbl>
    <w:p w:rsidR="002C664E" w:rsidRDefault="002C664E" w:rsidP="002C664E">
      <w:pPr>
        <w:rPr>
          <w:bCs/>
        </w:rPr>
      </w:pPr>
    </w:p>
    <w:p w:rsidR="002C664E" w:rsidRPr="002C664E" w:rsidRDefault="002C664E" w:rsidP="002C664E">
      <w:pPr>
        <w:rPr>
          <w:bCs/>
          <w:sz w:val="20"/>
        </w:rPr>
      </w:pPr>
      <w:r w:rsidRPr="002C664E">
        <w:rPr>
          <w:bCs/>
          <w:sz w:val="20"/>
        </w:rPr>
        <w:t>NB Total of 110 includes 6 companies that are represented twice, as there are two distinct sales, and 2 companies that are represented three times, as there are three distinct sales</w:t>
      </w:r>
    </w:p>
    <w:p w:rsidR="002C664E" w:rsidRDefault="002C664E" w:rsidP="002C664E">
      <w:pPr>
        <w:rPr>
          <w:bCs/>
        </w:rPr>
      </w:pPr>
      <w:r>
        <w:rPr>
          <w:bCs/>
        </w:rPr>
        <w:br w:type="page"/>
      </w:r>
    </w:p>
    <w:p w:rsidR="002C664E" w:rsidRPr="008E5925" w:rsidRDefault="002C664E" w:rsidP="002C664E">
      <w:pPr>
        <w:jc w:val="center"/>
        <w:rPr>
          <w:b/>
          <w:bCs/>
        </w:rPr>
      </w:pPr>
      <w:r w:rsidRPr="008E5925">
        <w:rPr>
          <w:b/>
          <w:bCs/>
        </w:rPr>
        <w:lastRenderedPageBreak/>
        <w:t xml:space="preserve">Appendix </w:t>
      </w:r>
      <w:r>
        <w:rPr>
          <w:b/>
          <w:bCs/>
        </w:rPr>
        <w:t>10</w:t>
      </w:r>
    </w:p>
    <w:p w:rsidR="002C664E" w:rsidRPr="008E5925" w:rsidRDefault="002C664E" w:rsidP="002C664E">
      <w:pPr>
        <w:jc w:val="center"/>
        <w:rPr>
          <w:b/>
          <w:bCs/>
        </w:rPr>
      </w:pPr>
    </w:p>
    <w:p w:rsidR="002C664E" w:rsidRPr="008E5925" w:rsidRDefault="002C664E" w:rsidP="002C664E">
      <w:pPr>
        <w:jc w:val="center"/>
        <w:rPr>
          <w:b/>
          <w:bCs/>
        </w:rPr>
      </w:pPr>
      <w:r>
        <w:rPr>
          <w:b/>
          <w:bCs/>
        </w:rPr>
        <w:t>Counterfactual</w:t>
      </w:r>
      <w:r w:rsidRPr="008E5925">
        <w:rPr>
          <w:b/>
          <w:bCs/>
        </w:rPr>
        <w:t xml:space="preserve"> Regression Analysis Model </w:t>
      </w:r>
    </w:p>
    <w:p w:rsidR="002C664E" w:rsidRDefault="002C664E" w:rsidP="002C664E">
      <w:pPr>
        <w:rPr>
          <w:bCs/>
        </w:rPr>
      </w:pPr>
    </w:p>
    <w:p w:rsidR="002C664E" w:rsidRDefault="002C664E" w:rsidP="002C664E">
      <w:pPr>
        <w:rPr>
          <w:bCs/>
        </w:rPr>
      </w:pPr>
      <w:r>
        <w:rPr>
          <w:bCs/>
        </w:rPr>
        <w:t>1. Failure of purchaser at 36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 xml:space="preserve">glm(formula = dataTA$F36 ~ dataTA$DefCon * dataTA$Connected, </w:t>
      </w:r>
    </w:p>
    <w:p w:rsidR="002C664E" w:rsidRPr="002C664E" w:rsidRDefault="002C664E" w:rsidP="002C664E">
      <w:pPr>
        <w:rPr>
          <w:bCs/>
          <w:sz w:val="22"/>
        </w:rPr>
      </w:pPr>
      <w:r w:rsidRPr="002C664E">
        <w:rPr>
          <w:bCs/>
          <w:sz w:val="22"/>
        </w:rPr>
        <w:t xml:space="preserve">    family = "binomial")</w:t>
      </w:r>
    </w:p>
    <w:p w:rsidR="002C664E" w:rsidRPr="002C664E" w:rsidRDefault="002C664E" w:rsidP="002C664E">
      <w:pPr>
        <w:rPr>
          <w:bCs/>
          <w:sz w:val="22"/>
        </w:rPr>
      </w:pPr>
    </w:p>
    <w:p w:rsidR="002C664E" w:rsidRPr="002C664E" w:rsidRDefault="002C664E" w:rsidP="002C664E">
      <w:pPr>
        <w:rPr>
          <w:bCs/>
          <w:sz w:val="22"/>
        </w:rPr>
      </w:pPr>
      <w:r w:rsidRPr="002C664E">
        <w:rPr>
          <w:bCs/>
          <w:sz w:val="22"/>
        </w:rPr>
        <w:t>Coefficients:</w:t>
      </w:r>
    </w:p>
    <w:p w:rsidR="002C664E" w:rsidRPr="002C664E" w:rsidRDefault="002C664E" w:rsidP="002C664E">
      <w:pPr>
        <w:rPr>
          <w:bCs/>
          <w:sz w:val="22"/>
        </w:rPr>
      </w:pPr>
      <w:r w:rsidRPr="002C664E">
        <w:rPr>
          <w:bCs/>
          <w:sz w:val="22"/>
        </w:rPr>
        <w:t xml:space="preserve">                                     Estimate Std. Error z value Pr(&gt;|z|)    </w:t>
      </w:r>
    </w:p>
    <w:p w:rsidR="002C664E" w:rsidRPr="002C664E" w:rsidRDefault="002C664E" w:rsidP="002C664E">
      <w:pPr>
        <w:rPr>
          <w:bCs/>
          <w:sz w:val="22"/>
        </w:rPr>
      </w:pPr>
      <w:r w:rsidRPr="002C664E">
        <w:rPr>
          <w:bCs/>
          <w:sz w:val="22"/>
        </w:rPr>
        <w:t>(Intercept)                           -2.6210     0.5179  -5.061 4.16e-07 ***</w:t>
      </w:r>
    </w:p>
    <w:p w:rsidR="002C664E" w:rsidRPr="002C664E" w:rsidRDefault="002C664E" w:rsidP="002C664E">
      <w:pPr>
        <w:rPr>
          <w:bCs/>
          <w:sz w:val="22"/>
        </w:rPr>
      </w:pPr>
      <w:r w:rsidRPr="002C664E">
        <w:rPr>
          <w:bCs/>
          <w:sz w:val="22"/>
        </w:rPr>
        <w:t xml:space="preserve">dataTA$DefConYes                       1.5224     0.7756   1.963 0.049650 *  </w:t>
      </w:r>
    </w:p>
    <w:p w:rsidR="002C664E" w:rsidRPr="002C664E" w:rsidRDefault="002C664E" w:rsidP="002C664E">
      <w:pPr>
        <w:rPr>
          <w:bCs/>
          <w:sz w:val="22"/>
        </w:rPr>
      </w:pPr>
      <w:r w:rsidRPr="002C664E">
        <w:rPr>
          <w:bCs/>
          <w:sz w:val="22"/>
        </w:rPr>
        <w:t>dataTA$ConnectedYes                    3.0265     0.8276   3.657 0.000255 ***</w:t>
      </w:r>
    </w:p>
    <w:p w:rsidR="002C664E" w:rsidRPr="002C664E" w:rsidRDefault="002C664E" w:rsidP="002C664E">
      <w:pPr>
        <w:rPr>
          <w:bCs/>
          <w:sz w:val="22"/>
        </w:rPr>
      </w:pPr>
      <w:r w:rsidRPr="002C664E">
        <w:rPr>
          <w:bCs/>
          <w:sz w:val="22"/>
        </w:rPr>
        <w:t xml:space="preserve">dataTA$DefConYes:dataTA$ConnectedYes  -1.4171     1.2456  -1.138 0.255263    </w:t>
      </w:r>
    </w:p>
    <w:p w:rsidR="002C664E" w:rsidRPr="002C664E" w:rsidRDefault="002C664E" w:rsidP="002C664E">
      <w:pPr>
        <w:rPr>
          <w:bCs/>
          <w:sz w:val="22"/>
        </w:rPr>
      </w:pPr>
      <w:r w:rsidRPr="002C664E">
        <w:rPr>
          <w:bCs/>
          <w:sz w:val="22"/>
        </w:rPr>
        <w:t>---</w:t>
      </w:r>
    </w:p>
    <w:p w:rsidR="002C664E" w:rsidRPr="002C664E" w:rsidRDefault="002C664E" w:rsidP="002C664E">
      <w:pPr>
        <w:rPr>
          <w:bCs/>
          <w:sz w:val="22"/>
        </w:rPr>
      </w:pPr>
    </w:p>
    <w:p w:rsidR="002C664E" w:rsidRPr="002C664E" w:rsidRDefault="002C664E" w:rsidP="002C664E">
      <w:pPr>
        <w:rPr>
          <w:bCs/>
          <w:sz w:val="22"/>
        </w:rPr>
      </w:pPr>
      <w:r w:rsidRPr="002C664E">
        <w:rPr>
          <w:bCs/>
          <w:sz w:val="22"/>
        </w:rPr>
        <w:t>Signif. codes:  0 ‘***’ 0.001 ‘**’ 0.01 ‘*’ 0.05 ‘.’ 0.1 ‘ ’ 1</w:t>
      </w:r>
    </w:p>
    <w:p w:rsidR="002C664E" w:rsidRPr="002C664E" w:rsidRDefault="002C664E" w:rsidP="002C664E">
      <w:pPr>
        <w:rPr>
          <w:bCs/>
          <w:sz w:val="22"/>
        </w:rPr>
      </w:pPr>
      <w:r w:rsidRPr="002C664E">
        <w:rPr>
          <w:bCs/>
          <w:sz w:val="22"/>
        </w:rPr>
        <w:t>(Dispersion parameter for binomial family taken to be 1)</w:t>
      </w:r>
    </w:p>
    <w:p w:rsidR="002C664E" w:rsidRPr="002C664E" w:rsidRDefault="002C664E" w:rsidP="002C664E">
      <w:pPr>
        <w:rPr>
          <w:bCs/>
          <w:sz w:val="22"/>
        </w:rPr>
      </w:pPr>
    </w:p>
    <w:p w:rsidR="002C664E" w:rsidRPr="002C664E" w:rsidRDefault="002C664E" w:rsidP="002C664E">
      <w:pPr>
        <w:rPr>
          <w:bCs/>
          <w:sz w:val="22"/>
        </w:rPr>
      </w:pPr>
      <w:r w:rsidRPr="002C664E">
        <w:rPr>
          <w:bCs/>
          <w:sz w:val="22"/>
        </w:rPr>
        <w:t>Null deviance: 94.173  on 92  degrees of freedom</w:t>
      </w:r>
    </w:p>
    <w:p w:rsidR="002C664E" w:rsidRPr="002C664E" w:rsidRDefault="002C664E" w:rsidP="002C664E">
      <w:pPr>
        <w:rPr>
          <w:bCs/>
          <w:sz w:val="22"/>
        </w:rPr>
      </w:pPr>
      <w:r w:rsidRPr="002C664E">
        <w:rPr>
          <w:bCs/>
          <w:sz w:val="22"/>
        </w:rPr>
        <w:t>Residual deviance: 71.292  on 89  degrees of freedom</w:t>
      </w:r>
    </w:p>
    <w:p w:rsidR="002C664E" w:rsidRPr="002C664E" w:rsidRDefault="002C664E" w:rsidP="002C664E">
      <w:pPr>
        <w:rPr>
          <w:bCs/>
          <w:sz w:val="22"/>
        </w:rPr>
      </w:pPr>
    </w:p>
    <w:p w:rsidR="002C664E" w:rsidRPr="002C664E" w:rsidRDefault="002C664E" w:rsidP="002C664E">
      <w:pPr>
        <w:rPr>
          <w:bCs/>
          <w:sz w:val="22"/>
        </w:rPr>
      </w:pPr>
      <w:r w:rsidRPr="002C664E">
        <w:rPr>
          <w:bCs/>
          <w:sz w:val="22"/>
        </w:rPr>
        <w:t>AIC: 79.292</w:t>
      </w:r>
    </w:p>
    <w:p w:rsidR="002C664E" w:rsidRPr="002C664E" w:rsidRDefault="002C664E" w:rsidP="002C664E">
      <w:pPr>
        <w:rPr>
          <w:bCs/>
          <w:sz w:val="22"/>
        </w:rPr>
      </w:pPr>
    </w:p>
    <w:p w:rsidR="002C664E" w:rsidRDefault="002C664E" w:rsidP="002C664E">
      <w:pPr>
        <w:rPr>
          <w:bCs/>
        </w:rPr>
      </w:pPr>
    </w:p>
    <w:p w:rsidR="002C664E" w:rsidRPr="00D5184D" w:rsidRDefault="002C664E" w:rsidP="002C664E">
      <w:pPr>
        <w:rPr>
          <w:bCs/>
        </w:rPr>
      </w:pPr>
      <w:r>
        <w:rPr>
          <w:bCs/>
        </w:rPr>
        <w:t>2. Failure of purchaser at 24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 xml:space="preserve">glm(formula = dataTA$F24 ~ dataTA$DefCon * dataTA$Connected, </w:t>
      </w:r>
    </w:p>
    <w:p w:rsidR="002C664E" w:rsidRPr="002C664E" w:rsidRDefault="002C664E" w:rsidP="002C664E">
      <w:pPr>
        <w:rPr>
          <w:bCs/>
          <w:sz w:val="22"/>
        </w:rPr>
      </w:pPr>
      <w:r w:rsidRPr="002C664E">
        <w:rPr>
          <w:bCs/>
          <w:sz w:val="22"/>
        </w:rPr>
        <w:t xml:space="preserve">    family = "binomial")</w:t>
      </w:r>
    </w:p>
    <w:p w:rsidR="002C664E" w:rsidRPr="002C664E" w:rsidRDefault="002C664E" w:rsidP="002C664E">
      <w:pPr>
        <w:rPr>
          <w:bCs/>
          <w:sz w:val="22"/>
        </w:rPr>
      </w:pPr>
    </w:p>
    <w:p w:rsidR="002C664E" w:rsidRPr="002C664E" w:rsidRDefault="002C664E" w:rsidP="002C664E">
      <w:pPr>
        <w:rPr>
          <w:bCs/>
          <w:sz w:val="22"/>
        </w:rPr>
      </w:pPr>
      <w:r w:rsidRPr="002C664E">
        <w:rPr>
          <w:bCs/>
          <w:sz w:val="22"/>
        </w:rPr>
        <w:t>Coefficients:</w:t>
      </w:r>
    </w:p>
    <w:p w:rsidR="002C664E" w:rsidRPr="002C664E" w:rsidRDefault="002C664E" w:rsidP="002C664E">
      <w:pPr>
        <w:rPr>
          <w:bCs/>
          <w:sz w:val="22"/>
        </w:rPr>
      </w:pPr>
      <w:r w:rsidRPr="002C664E">
        <w:rPr>
          <w:bCs/>
          <w:sz w:val="22"/>
        </w:rPr>
        <w:t xml:space="preserve">                                     Estimate Std. Error z value Pr(&gt;|z|)    </w:t>
      </w:r>
    </w:p>
    <w:p w:rsidR="002C664E" w:rsidRPr="002C664E" w:rsidRDefault="002C664E" w:rsidP="002C664E">
      <w:pPr>
        <w:rPr>
          <w:bCs/>
          <w:sz w:val="22"/>
        </w:rPr>
      </w:pPr>
      <w:r w:rsidRPr="002C664E">
        <w:rPr>
          <w:bCs/>
          <w:sz w:val="22"/>
        </w:rPr>
        <w:t>(Intercept)                           -3.3499     0.7194  -4.656 3.22e-06 ***</w:t>
      </w:r>
    </w:p>
    <w:p w:rsidR="002C664E" w:rsidRPr="002C664E" w:rsidRDefault="002C664E" w:rsidP="002C664E">
      <w:pPr>
        <w:rPr>
          <w:bCs/>
          <w:sz w:val="22"/>
        </w:rPr>
      </w:pPr>
      <w:r w:rsidRPr="002C664E">
        <w:rPr>
          <w:bCs/>
          <w:sz w:val="22"/>
        </w:rPr>
        <w:t xml:space="preserve">dataTA$DefConYes                       2.2513     0.9224   2.441  0.01466 *  </w:t>
      </w:r>
    </w:p>
    <w:p w:rsidR="002C664E" w:rsidRPr="002C664E" w:rsidRDefault="002C664E" w:rsidP="002C664E">
      <w:pPr>
        <w:rPr>
          <w:bCs/>
          <w:sz w:val="22"/>
        </w:rPr>
      </w:pPr>
      <w:r w:rsidRPr="002C664E">
        <w:rPr>
          <w:bCs/>
          <w:sz w:val="22"/>
        </w:rPr>
        <w:lastRenderedPageBreak/>
        <w:t xml:space="preserve">dataTA$ConnectedYes                    2.9444     0.9665   3.046  0.00232 ** </w:t>
      </w:r>
    </w:p>
    <w:p w:rsidR="002C664E" w:rsidRPr="002C664E" w:rsidRDefault="002C664E" w:rsidP="002C664E">
      <w:pPr>
        <w:rPr>
          <w:bCs/>
          <w:sz w:val="22"/>
        </w:rPr>
      </w:pPr>
      <w:r w:rsidRPr="002C664E">
        <w:rPr>
          <w:bCs/>
          <w:sz w:val="22"/>
        </w:rPr>
        <w:t xml:space="preserve">dataTA$DefConYes:dataTA$ConnectedYes  -1.8458     1.3295  -1.388  0.16502    </w:t>
      </w:r>
    </w:p>
    <w:p w:rsidR="002C664E" w:rsidRPr="002C664E" w:rsidRDefault="002C664E" w:rsidP="002C664E">
      <w:pPr>
        <w:rPr>
          <w:bCs/>
          <w:sz w:val="22"/>
        </w:rPr>
      </w:pPr>
      <w:r w:rsidRPr="002C664E">
        <w:rPr>
          <w:bCs/>
          <w:sz w:val="22"/>
        </w:rPr>
        <w:t>---</w:t>
      </w:r>
    </w:p>
    <w:p w:rsidR="002C664E" w:rsidRPr="002C664E" w:rsidRDefault="002C664E" w:rsidP="002C664E">
      <w:pPr>
        <w:rPr>
          <w:bCs/>
          <w:sz w:val="22"/>
        </w:rPr>
      </w:pPr>
    </w:p>
    <w:p w:rsidR="002C664E" w:rsidRPr="002C664E" w:rsidRDefault="002C664E" w:rsidP="002C664E">
      <w:pPr>
        <w:rPr>
          <w:bCs/>
          <w:sz w:val="22"/>
        </w:rPr>
      </w:pPr>
      <w:r w:rsidRPr="002C664E">
        <w:rPr>
          <w:bCs/>
          <w:sz w:val="22"/>
        </w:rPr>
        <w:t>Signif. codes:  0 ‘***’ 0.001 ‘**’ 0.01 ‘*’ 0.05 ‘.’ 0.1 ‘ ’ 1</w:t>
      </w:r>
    </w:p>
    <w:p w:rsidR="002C664E" w:rsidRPr="002C664E" w:rsidRDefault="002C664E" w:rsidP="002C664E">
      <w:pPr>
        <w:rPr>
          <w:bCs/>
          <w:sz w:val="22"/>
        </w:rPr>
      </w:pPr>
      <w:r w:rsidRPr="002C664E">
        <w:rPr>
          <w:bCs/>
          <w:sz w:val="22"/>
        </w:rPr>
        <w:t>(Dispersion parameter for binomial family taken to be 1)</w:t>
      </w:r>
    </w:p>
    <w:p w:rsidR="002C664E" w:rsidRPr="002C664E" w:rsidRDefault="002C664E" w:rsidP="002C664E">
      <w:pPr>
        <w:rPr>
          <w:bCs/>
          <w:sz w:val="22"/>
        </w:rPr>
      </w:pPr>
    </w:p>
    <w:p w:rsidR="002C664E" w:rsidRPr="002C664E" w:rsidRDefault="002C664E" w:rsidP="002C664E">
      <w:pPr>
        <w:rPr>
          <w:bCs/>
          <w:sz w:val="22"/>
        </w:rPr>
      </w:pPr>
      <w:r w:rsidRPr="002C664E">
        <w:rPr>
          <w:bCs/>
          <w:sz w:val="22"/>
        </w:rPr>
        <w:t>Null deviance: 78.797  on 92  degrees of freedom</w:t>
      </w:r>
    </w:p>
    <w:p w:rsidR="002C664E" w:rsidRPr="002C664E" w:rsidRDefault="002C664E" w:rsidP="002C664E">
      <w:pPr>
        <w:rPr>
          <w:bCs/>
          <w:sz w:val="22"/>
        </w:rPr>
      </w:pPr>
      <w:r w:rsidRPr="002C664E">
        <w:rPr>
          <w:bCs/>
          <w:sz w:val="22"/>
        </w:rPr>
        <w:t>Residual deviance: 60.014  on 89  degrees of freedom</w:t>
      </w:r>
    </w:p>
    <w:p w:rsidR="002C664E" w:rsidRPr="002C664E" w:rsidRDefault="002C664E" w:rsidP="002C664E">
      <w:pPr>
        <w:rPr>
          <w:bCs/>
          <w:sz w:val="22"/>
        </w:rPr>
      </w:pPr>
    </w:p>
    <w:p w:rsidR="002C664E" w:rsidRPr="002C664E" w:rsidRDefault="002C664E" w:rsidP="002C664E">
      <w:pPr>
        <w:rPr>
          <w:bCs/>
          <w:sz w:val="22"/>
        </w:rPr>
      </w:pPr>
      <w:r w:rsidRPr="002C664E">
        <w:rPr>
          <w:bCs/>
          <w:sz w:val="22"/>
        </w:rPr>
        <w:t>AIC: 68.014</w:t>
      </w:r>
    </w:p>
    <w:p w:rsidR="002C664E" w:rsidRPr="002C664E" w:rsidRDefault="002C664E" w:rsidP="002C664E">
      <w:pPr>
        <w:rPr>
          <w:bCs/>
          <w:sz w:val="22"/>
        </w:rPr>
      </w:pPr>
    </w:p>
    <w:p w:rsidR="002C664E" w:rsidRDefault="002C664E" w:rsidP="002C664E">
      <w:pPr>
        <w:rPr>
          <w:bCs/>
        </w:rPr>
      </w:pPr>
    </w:p>
    <w:p w:rsidR="002C664E" w:rsidRPr="00D5184D" w:rsidRDefault="002C664E" w:rsidP="002C664E">
      <w:pPr>
        <w:rPr>
          <w:bCs/>
        </w:rPr>
      </w:pPr>
      <w:r>
        <w:rPr>
          <w:bCs/>
        </w:rPr>
        <w:t>3. Failure of purchaser at 12 months</w:t>
      </w:r>
    </w:p>
    <w:p w:rsidR="002C664E" w:rsidRPr="002C664E" w:rsidRDefault="002C664E" w:rsidP="002C664E">
      <w:pPr>
        <w:rPr>
          <w:bCs/>
          <w:sz w:val="22"/>
        </w:rPr>
      </w:pPr>
    </w:p>
    <w:p w:rsidR="002C664E" w:rsidRPr="002C664E" w:rsidRDefault="002C664E" w:rsidP="002C664E">
      <w:pPr>
        <w:rPr>
          <w:bCs/>
          <w:sz w:val="22"/>
        </w:rPr>
      </w:pPr>
      <w:r w:rsidRPr="002C664E">
        <w:rPr>
          <w:bCs/>
          <w:sz w:val="22"/>
        </w:rPr>
        <w:t>N/A</w:t>
      </w:r>
    </w:p>
    <w:p w:rsidR="002C664E" w:rsidRPr="002C664E" w:rsidRDefault="002C664E" w:rsidP="002C664E">
      <w:pPr>
        <w:spacing w:before="40" w:after="40" w:line="240" w:lineRule="auto"/>
        <w:rPr>
          <w:sz w:val="22"/>
        </w:rPr>
      </w:pPr>
    </w:p>
    <w:p w:rsidR="002C664E" w:rsidRDefault="002C664E" w:rsidP="002C664E">
      <w:pPr>
        <w:spacing w:line="240" w:lineRule="auto"/>
      </w:pPr>
      <w:r>
        <w:br w:type="page"/>
      </w:r>
    </w:p>
    <w:p w:rsidR="002C664E" w:rsidRPr="008E5925" w:rsidRDefault="002C664E" w:rsidP="002C664E">
      <w:pPr>
        <w:jc w:val="center"/>
        <w:rPr>
          <w:b/>
          <w:bCs/>
        </w:rPr>
      </w:pPr>
      <w:r w:rsidRPr="008E5925">
        <w:rPr>
          <w:b/>
          <w:bCs/>
        </w:rPr>
        <w:lastRenderedPageBreak/>
        <w:t xml:space="preserve">Appendix </w:t>
      </w:r>
      <w:r>
        <w:rPr>
          <w:b/>
          <w:bCs/>
        </w:rPr>
        <w:t>11</w:t>
      </w:r>
    </w:p>
    <w:p w:rsidR="002C664E" w:rsidRPr="008E5925" w:rsidRDefault="002C664E" w:rsidP="002C664E">
      <w:pPr>
        <w:jc w:val="center"/>
        <w:rPr>
          <w:b/>
          <w:bCs/>
        </w:rPr>
      </w:pPr>
    </w:p>
    <w:p w:rsidR="002C664E" w:rsidRPr="008E5925" w:rsidRDefault="002C664E" w:rsidP="002C664E">
      <w:pPr>
        <w:jc w:val="center"/>
        <w:rPr>
          <w:b/>
          <w:bCs/>
        </w:rPr>
      </w:pPr>
      <w:r>
        <w:rPr>
          <w:b/>
          <w:bCs/>
        </w:rPr>
        <w:t>Combined</w:t>
      </w:r>
      <w:r w:rsidRPr="008E5925">
        <w:rPr>
          <w:b/>
          <w:bCs/>
        </w:rPr>
        <w:t xml:space="preserve"> Regression Analysis Model </w:t>
      </w:r>
    </w:p>
    <w:p w:rsidR="002C664E" w:rsidRPr="00D5184D" w:rsidRDefault="002C664E" w:rsidP="002C664E">
      <w:pPr>
        <w:rPr>
          <w:bCs/>
        </w:rPr>
      </w:pPr>
      <w:r>
        <w:rPr>
          <w:bCs/>
        </w:rPr>
        <w:t>1. Failure of purchaser at 36 months</w:t>
      </w:r>
    </w:p>
    <w:p w:rsid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 xml:space="preserve">glm(formula = data$F36 ~ data$Type + data$DefCon * data$Connected + </w:t>
      </w:r>
    </w:p>
    <w:p w:rsidR="002C664E" w:rsidRPr="002C664E" w:rsidRDefault="002C664E" w:rsidP="002C664E">
      <w:pPr>
        <w:spacing w:before="40" w:after="40" w:line="240" w:lineRule="auto"/>
        <w:rPr>
          <w:sz w:val="22"/>
        </w:rPr>
      </w:pPr>
      <w:r w:rsidRPr="002C664E">
        <w:rPr>
          <w:sz w:val="22"/>
        </w:rPr>
        <w:t xml:space="preserve">    hh(data$Purchase) + log(data$Age), family = "binomial")</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Coefficients:</w:t>
      </w:r>
    </w:p>
    <w:p w:rsidR="002C664E" w:rsidRPr="002C664E" w:rsidRDefault="002C664E" w:rsidP="002C664E">
      <w:pPr>
        <w:spacing w:before="40" w:after="40" w:line="240" w:lineRule="auto"/>
        <w:rPr>
          <w:sz w:val="22"/>
        </w:rPr>
      </w:pPr>
      <w:r w:rsidRPr="002C664E">
        <w:rPr>
          <w:sz w:val="22"/>
        </w:rPr>
        <w:t xml:space="preserve">                                           </w:t>
      </w:r>
      <w:r w:rsidRPr="002C664E">
        <w:rPr>
          <w:sz w:val="22"/>
        </w:rPr>
        <w:tab/>
        <w:t xml:space="preserve">                                                             Estimate    Std. Error    z value      Pr(&gt;|z|)    </w:t>
      </w:r>
    </w:p>
    <w:p w:rsidR="002C664E" w:rsidRPr="002C664E" w:rsidRDefault="002C664E" w:rsidP="002C664E">
      <w:pPr>
        <w:spacing w:before="40" w:after="40" w:line="240" w:lineRule="auto"/>
        <w:rPr>
          <w:sz w:val="22"/>
        </w:rPr>
      </w:pPr>
      <w:r w:rsidRPr="002C664E">
        <w:rPr>
          <w:sz w:val="22"/>
        </w:rPr>
        <w:t xml:space="preserve">(Intercept)                       </w:t>
      </w:r>
      <w:r w:rsidRPr="002C664E">
        <w:rPr>
          <w:sz w:val="22"/>
        </w:rPr>
        <w:tab/>
        <w:t xml:space="preserve">                                                            -3.6127     0.6427          -5.621       1.90e-08 </w:t>
      </w:r>
    </w:p>
    <w:p w:rsidR="002C664E" w:rsidRPr="002C664E" w:rsidRDefault="002C664E" w:rsidP="002C664E">
      <w:pPr>
        <w:spacing w:before="40" w:after="40" w:line="240" w:lineRule="auto"/>
        <w:rPr>
          <w:sz w:val="22"/>
        </w:rPr>
      </w:pPr>
      <w:r w:rsidRPr="002C664E">
        <w:rPr>
          <w:sz w:val="22"/>
        </w:rPr>
        <w:t xml:space="preserve">data$TypeTA                     </w:t>
      </w:r>
      <w:r w:rsidRPr="002C664E">
        <w:rPr>
          <w:sz w:val="22"/>
        </w:rPr>
        <w:tab/>
        <w:t xml:space="preserve">                                                           0.8623     0.3602           2.394        0.016669 </w:t>
      </w:r>
    </w:p>
    <w:p w:rsidR="002C664E" w:rsidRPr="002C664E" w:rsidRDefault="002C664E" w:rsidP="002C664E">
      <w:pPr>
        <w:spacing w:before="40" w:after="40" w:line="240" w:lineRule="auto"/>
        <w:rPr>
          <w:sz w:val="22"/>
        </w:rPr>
      </w:pPr>
      <w:r w:rsidRPr="002C664E">
        <w:rPr>
          <w:sz w:val="22"/>
        </w:rPr>
        <w:t xml:space="preserve">data$DefConYes                                                                          2.5892     0.4404            5.880       4.11e-09 </w:t>
      </w:r>
    </w:p>
    <w:p w:rsidR="002C664E" w:rsidRPr="002C664E" w:rsidRDefault="002C664E" w:rsidP="002C664E">
      <w:pPr>
        <w:spacing w:before="40" w:after="40" w:line="240" w:lineRule="auto"/>
        <w:rPr>
          <w:sz w:val="22"/>
        </w:rPr>
      </w:pPr>
      <w:r w:rsidRPr="002C664E">
        <w:rPr>
          <w:sz w:val="22"/>
        </w:rPr>
        <w:t xml:space="preserve">data$ConnectedYes                                                                    1.6745     0.4456            3.758       0.000171 </w:t>
      </w:r>
    </w:p>
    <w:p w:rsidR="002C664E" w:rsidRPr="002C664E" w:rsidRDefault="002C664E" w:rsidP="002C664E">
      <w:pPr>
        <w:spacing w:before="40" w:after="40" w:line="240" w:lineRule="auto"/>
        <w:rPr>
          <w:sz w:val="22"/>
        </w:rPr>
      </w:pPr>
      <w:r w:rsidRPr="002C664E">
        <w:rPr>
          <w:sz w:val="22"/>
        </w:rPr>
        <w:t xml:space="preserve">hh(data$Purchase)NotLarge                                                     1.1988     0.5003            2.396       0.016567 </w:t>
      </w:r>
    </w:p>
    <w:p w:rsidR="002C664E" w:rsidRPr="002C664E" w:rsidRDefault="002C664E" w:rsidP="002C664E">
      <w:pPr>
        <w:spacing w:before="40" w:after="40" w:line="240" w:lineRule="auto"/>
        <w:rPr>
          <w:sz w:val="22"/>
        </w:rPr>
      </w:pPr>
      <w:r w:rsidRPr="002C664E">
        <w:rPr>
          <w:sz w:val="22"/>
        </w:rPr>
        <w:t xml:space="preserve">log(data$Age)                                                                             -0.2821     0.1231          -2.291        0.021952 </w:t>
      </w:r>
    </w:p>
    <w:p w:rsidR="002C664E" w:rsidRPr="002C664E" w:rsidRDefault="002C664E" w:rsidP="002C664E">
      <w:pPr>
        <w:spacing w:before="40" w:after="40" w:line="240" w:lineRule="auto"/>
        <w:rPr>
          <w:sz w:val="22"/>
        </w:rPr>
      </w:pPr>
      <w:r w:rsidRPr="002C664E">
        <w:rPr>
          <w:sz w:val="22"/>
        </w:rPr>
        <w:t>data$DefConYes:data$ConnectedYes                                   -1.7067     0.5198          -3.283        0.001026</w:t>
      </w:r>
    </w:p>
    <w:p w:rsidR="002C664E" w:rsidRPr="002C664E" w:rsidRDefault="002C664E" w:rsidP="002C664E">
      <w:pPr>
        <w:spacing w:before="40" w:after="40" w:line="240" w:lineRule="auto"/>
        <w:rPr>
          <w:sz w:val="22"/>
        </w:rPr>
      </w:pPr>
      <w:r w:rsidRPr="002C664E">
        <w:rPr>
          <w:sz w:val="22"/>
        </w:rPr>
        <w:t>---</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(Dispersion parameter for binomial family taken to be 1)</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Null deviance: 625.17  on 551  degrees of freedom</w:t>
      </w:r>
    </w:p>
    <w:p w:rsidR="002C664E" w:rsidRPr="002C664E" w:rsidRDefault="002C664E" w:rsidP="002C664E">
      <w:pPr>
        <w:spacing w:before="40" w:after="40" w:line="240" w:lineRule="auto"/>
        <w:rPr>
          <w:sz w:val="22"/>
        </w:rPr>
      </w:pPr>
      <w:r w:rsidRPr="002C664E">
        <w:rPr>
          <w:sz w:val="22"/>
        </w:rPr>
        <w:t xml:space="preserve">Residual deviance: 534.82  on 545  degrees </w:t>
      </w:r>
    </w:p>
    <w:p w:rsidR="002C664E" w:rsidRPr="002C664E" w:rsidRDefault="002C664E" w:rsidP="002C664E">
      <w:pPr>
        <w:spacing w:before="40" w:after="40" w:line="240" w:lineRule="auto"/>
        <w:rPr>
          <w:sz w:val="22"/>
        </w:rPr>
      </w:pPr>
      <w:r w:rsidRPr="002C664E">
        <w:rPr>
          <w:sz w:val="22"/>
        </w:rPr>
        <w:t>AIC: 548.82</w:t>
      </w:r>
    </w:p>
    <w:p w:rsidR="002C664E" w:rsidRPr="002C664E" w:rsidRDefault="002C664E" w:rsidP="002C664E">
      <w:pPr>
        <w:spacing w:before="40" w:after="40" w:line="240" w:lineRule="auto"/>
        <w:rPr>
          <w:sz w:val="22"/>
        </w:rPr>
      </w:pPr>
    </w:p>
    <w:p w:rsidR="002C664E" w:rsidRPr="00D5184D" w:rsidRDefault="002C664E" w:rsidP="002C664E">
      <w:pPr>
        <w:rPr>
          <w:bCs/>
        </w:rPr>
      </w:pPr>
      <w:r>
        <w:rPr>
          <w:bCs/>
        </w:rPr>
        <w:t>2. Failure of purchaser at 24 months</w:t>
      </w:r>
    </w:p>
    <w:p w:rsidR="002C664E" w:rsidRDefault="002C664E" w:rsidP="002C664E">
      <w:pPr>
        <w:spacing w:before="40" w:after="40" w:line="240" w:lineRule="auto"/>
      </w:pPr>
    </w:p>
    <w:p w:rsidR="002C664E" w:rsidRPr="002C664E" w:rsidRDefault="002C664E" w:rsidP="002C664E">
      <w:pPr>
        <w:spacing w:before="40" w:after="40" w:line="240" w:lineRule="auto"/>
        <w:rPr>
          <w:sz w:val="22"/>
        </w:rPr>
      </w:pPr>
      <w:r w:rsidRPr="002C664E">
        <w:rPr>
          <w:sz w:val="22"/>
        </w:rPr>
        <w:t xml:space="preserve">glm(formula = data$F24 ~ data$Type + data$DefCon * data$Connected + </w:t>
      </w:r>
    </w:p>
    <w:p w:rsidR="002C664E" w:rsidRPr="002C664E" w:rsidRDefault="002C664E" w:rsidP="002C664E">
      <w:pPr>
        <w:spacing w:before="40" w:after="40" w:line="240" w:lineRule="auto"/>
        <w:rPr>
          <w:sz w:val="22"/>
        </w:rPr>
      </w:pPr>
      <w:r w:rsidRPr="002C664E">
        <w:rPr>
          <w:sz w:val="22"/>
        </w:rPr>
        <w:t xml:space="preserve">    hh(data$Purchase) + log(data$Age), family = "binomial")</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 xml:space="preserve">Deviance Residuals: </w:t>
      </w:r>
    </w:p>
    <w:p w:rsidR="002C664E" w:rsidRPr="002C664E" w:rsidRDefault="002C664E" w:rsidP="002C664E">
      <w:pPr>
        <w:spacing w:before="40" w:after="40" w:line="240" w:lineRule="auto"/>
        <w:rPr>
          <w:sz w:val="22"/>
        </w:rPr>
      </w:pPr>
      <w:r w:rsidRPr="002C664E">
        <w:rPr>
          <w:sz w:val="22"/>
        </w:rPr>
        <w:t xml:space="preserve">    Min       1Q   Median       3Q      Max  </w:t>
      </w:r>
    </w:p>
    <w:p w:rsidR="002C664E" w:rsidRPr="002C664E" w:rsidRDefault="002C664E" w:rsidP="002C664E">
      <w:pPr>
        <w:spacing w:before="40" w:after="40" w:line="240" w:lineRule="auto"/>
        <w:rPr>
          <w:sz w:val="22"/>
        </w:rPr>
      </w:pPr>
      <w:r w:rsidRPr="002C664E">
        <w:rPr>
          <w:sz w:val="22"/>
        </w:rPr>
        <w:t xml:space="preserve">-1.3837  -0.7816  -0.3764  -0.1822   2.8866  </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Coefficients:</w:t>
      </w:r>
    </w:p>
    <w:p w:rsidR="002C664E" w:rsidRPr="002C664E" w:rsidRDefault="002C664E" w:rsidP="002C664E">
      <w:pPr>
        <w:spacing w:before="40" w:after="40" w:line="240" w:lineRule="auto"/>
        <w:rPr>
          <w:sz w:val="22"/>
        </w:rPr>
      </w:pPr>
      <w:r w:rsidRPr="002C664E">
        <w:rPr>
          <w:sz w:val="22"/>
        </w:rPr>
        <w:lastRenderedPageBreak/>
        <w:t xml:space="preserve">                                </w:t>
      </w:r>
      <w:r w:rsidRPr="002C664E">
        <w:rPr>
          <w:sz w:val="22"/>
        </w:rPr>
        <w:tab/>
        <w:t xml:space="preserve">                                     Estimate   Std. Error    z value     Pr(&gt;|z|)    </w:t>
      </w:r>
    </w:p>
    <w:p w:rsidR="002C664E" w:rsidRPr="002C664E" w:rsidRDefault="002C664E" w:rsidP="002C664E">
      <w:pPr>
        <w:spacing w:before="40" w:after="40" w:line="240" w:lineRule="auto"/>
        <w:rPr>
          <w:sz w:val="22"/>
        </w:rPr>
      </w:pPr>
      <w:r w:rsidRPr="002C664E">
        <w:rPr>
          <w:sz w:val="22"/>
        </w:rPr>
        <w:t>(Intercept)                                                      -4.3546     0.8106        -5.372    7.79e-08 ***</w:t>
      </w:r>
    </w:p>
    <w:p w:rsidR="002C664E" w:rsidRPr="002C664E" w:rsidRDefault="002C664E" w:rsidP="002C664E">
      <w:pPr>
        <w:spacing w:before="40" w:after="40" w:line="240" w:lineRule="auto"/>
        <w:rPr>
          <w:sz w:val="22"/>
        </w:rPr>
      </w:pPr>
      <w:r w:rsidRPr="002C664E">
        <w:rPr>
          <w:sz w:val="22"/>
        </w:rPr>
        <w:t xml:space="preserve">data$TypeTA                                                   0.8425     0.3987         2.113    0.03459 *  </w:t>
      </w:r>
    </w:p>
    <w:p w:rsidR="002C664E" w:rsidRPr="002C664E" w:rsidRDefault="002C664E" w:rsidP="002C664E">
      <w:pPr>
        <w:spacing w:before="40" w:after="40" w:line="240" w:lineRule="auto"/>
        <w:rPr>
          <w:sz w:val="22"/>
        </w:rPr>
      </w:pPr>
      <w:r w:rsidRPr="002C664E">
        <w:rPr>
          <w:sz w:val="22"/>
        </w:rPr>
        <w:t>data$DefConYes                                             2.9368     0.5366         5.473    4.43e-08 ***</w:t>
      </w:r>
    </w:p>
    <w:p w:rsidR="002C664E" w:rsidRPr="002C664E" w:rsidRDefault="002C664E" w:rsidP="002C664E">
      <w:pPr>
        <w:spacing w:before="40" w:after="40" w:line="240" w:lineRule="auto"/>
        <w:rPr>
          <w:sz w:val="22"/>
        </w:rPr>
      </w:pPr>
      <w:r w:rsidRPr="002C664E">
        <w:rPr>
          <w:sz w:val="22"/>
        </w:rPr>
        <w:t xml:space="preserve">data$ConnectedYes                                       1.6040     0.5693         2.817    0.00484 ** </w:t>
      </w:r>
    </w:p>
    <w:p w:rsidR="002C664E" w:rsidRPr="002C664E" w:rsidRDefault="002C664E" w:rsidP="002C664E">
      <w:pPr>
        <w:spacing w:before="40" w:after="40" w:line="240" w:lineRule="auto"/>
        <w:rPr>
          <w:sz w:val="22"/>
        </w:rPr>
      </w:pPr>
      <w:r w:rsidRPr="002C664E">
        <w:rPr>
          <w:sz w:val="22"/>
        </w:rPr>
        <w:t xml:space="preserve">hh(data$Purchase)NotLarge                        1.2993     0.6302        2.062     0.03923 *  </w:t>
      </w:r>
    </w:p>
    <w:p w:rsidR="002C664E" w:rsidRPr="002C664E" w:rsidRDefault="002C664E" w:rsidP="002C664E">
      <w:pPr>
        <w:spacing w:before="40" w:after="40" w:line="240" w:lineRule="auto"/>
        <w:rPr>
          <w:sz w:val="22"/>
        </w:rPr>
      </w:pPr>
      <w:r w:rsidRPr="002C664E">
        <w:rPr>
          <w:sz w:val="22"/>
        </w:rPr>
        <w:t xml:space="preserve">log(data$Age)                                               -0.2630     0.1362          -1.930   0.05355 .  </w:t>
      </w:r>
    </w:p>
    <w:p w:rsidR="002C664E" w:rsidRPr="002C664E" w:rsidRDefault="002C664E" w:rsidP="002C664E">
      <w:pPr>
        <w:spacing w:before="40" w:after="40" w:line="240" w:lineRule="auto"/>
        <w:rPr>
          <w:sz w:val="22"/>
        </w:rPr>
      </w:pPr>
      <w:r w:rsidRPr="002C664E">
        <w:rPr>
          <w:sz w:val="22"/>
        </w:rPr>
        <w:t xml:space="preserve">data$DefConYes:data$ConnectedYes     -1.8343     0.6327          -2.899   0.00374 ** </w:t>
      </w:r>
    </w:p>
    <w:p w:rsidR="002C664E" w:rsidRPr="002C664E" w:rsidRDefault="002C664E" w:rsidP="002C664E">
      <w:pPr>
        <w:spacing w:before="40" w:after="40" w:line="240" w:lineRule="auto"/>
        <w:rPr>
          <w:sz w:val="22"/>
        </w:rPr>
      </w:pPr>
      <w:r w:rsidRPr="002C664E">
        <w:rPr>
          <w:sz w:val="22"/>
        </w:rPr>
        <w:t>---</w:t>
      </w:r>
    </w:p>
    <w:p w:rsidR="002C664E" w:rsidRPr="002C664E" w:rsidRDefault="002C664E" w:rsidP="002C664E">
      <w:pPr>
        <w:spacing w:before="40" w:after="40" w:line="240" w:lineRule="auto"/>
        <w:rPr>
          <w:sz w:val="22"/>
        </w:rPr>
      </w:pPr>
      <w:r w:rsidRPr="002C664E">
        <w:rPr>
          <w:sz w:val="22"/>
        </w:rPr>
        <w:t>Signif. codes:  0 ‘***’ 0.001 ‘**’ 0.01 ‘*’ 0.05 ‘.’ 0.1 ‘ ’ 1</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(Dispersion parameter for binomial family taken to be 1)</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 xml:space="preserve">    Null deviance: 528.34  on 551  degrees of freedom</w:t>
      </w:r>
    </w:p>
    <w:p w:rsidR="002C664E" w:rsidRPr="002C664E" w:rsidRDefault="002C664E" w:rsidP="002C664E">
      <w:pPr>
        <w:spacing w:before="40" w:after="40" w:line="240" w:lineRule="auto"/>
        <w:rPr>
          <w:sz w:val="22"/>
        </w:rPr>
      </w:pPr>
      <w:r w:rsidRPr="002C664E">
        <w:rPr>
          <w:sz w:val="22"/>
        </w:rPr>
        <w:t>Residual deviance: 450.39  on 545  degrees of freedom</w:t>
      </w:r>
    </w:p>
    <w:p w:rsidR="002C664E" w:rsidRPr="002C664E" w:rsidRDefault="002C664E" w:rsidP="002C664E">
      <w:pPr>
        <w:spacing w:before="40" w:after="40" w:line="240" w:lineRule="auto"/>
        <w:rPr>
          <w:sz w:val="22"/>
        </w:rPr>
      </w:pPr>
      <w:r w:rsidRPr="002C664E">
        <w:rPr>
          <w:sz w:val="22"/>
        </w:rPr>
        <w:t xml:space="preserve">  (7 observations deleted due to missingness)</w:t>
      </w:r>
    </w:p>
    <w:p w:rsidR="002C664E" w:rsidRPr="002C664E" w:rsidRDefault="002C664E" w:rsidP="002C664E">
      <w:pPr>
        <w:spacing w:before="40" w:after="40" w:line="240" w:lineRule="auto"/>
        <w:rPr>
          <w:sz w:val="22"/>
        </w:rPr>
      </w:pPr>
      <w:r w:rsidRPr="002C664E">
        <w:rPr>
          <w:sz w:val="22"/>
        </w:rPr>
        <w:t>AIC: 464.39</w:t>
      </w:r>
    </w:p>
    <w:p w:rsidR="002C664E" w:rsidRPr="002C664E" w:rsidRDefault="002C664E" w:rsidP="002C664E">
      <w:pPr>
        <w:spacing w:before="40" w:after="40" w:line="240" w:lineRule="auto"/>
        <w:rPr>
          <w:sz w:val="22"/>
        </w:rPr>
      </w:pPr>
    </w:p>
    <w:p w:rsidR="002C664E" w:rsidRDefault="002C664E" w:rsidP="002C664E">
      <w:pPr>
        <w:spacing w:before="40" w:after="40" w:line="240" w:lineRule="auto"/>
      </w:pPr>
    </w:p>
    <w:p w:rsidR="002C664E" w:rsidRPr="00D5184D" w:rsidRDefault="002C664E" w:rsidP="002C664E">
      <w:pPr>
        <w:rPr>
          <w:bCs/>
        </w:rPr>
      </w:pPr>
      <w:r>
        <w:rPr>
          <w:bCs/>
        </w:rPr>
        <w:t>3. Failure of purchaser at 12 months</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Call:</w:t>
      </w:r>
    </w:p>
    <w:p w:rsidR="002C664E" w:rsidRPr="002C664E" w:rsidRDefault="002C664E" w:rsidP="002C664E">
      <w:pPr>
        <w:spacing w:before="40" w:after="40" w:line="240" w:lineRule="auto"/>
        <w:rPr>
          <w:sz w:val="22"/>
        </w:rPr>
      </w:pPr>
      <w:r w:rsidRPr="002C664E">
        <w:rPr>
          <w:sz w:val="22"/>
        </w:rPr>
        <w:t xml:space="preserve">glm(formula = data$F12 ~ data$Type + data$DefCon * data$Connected + </w:t>
      </w:r>
    </w:p>
    <w:p w:rsidR="002C664E" w:rsidRPr="002C664E" w:rsidRDefault="002C664E" w:rsidP="002C664E">
      <w:pPr>
        <w:spacing w:before="40" w:after="40" w:line="240" w:lineRule="auto"/>
        <w:rPr>
          <w:sz w:val="22"/>
        </w:rPr>
      </w:pPr>
      <w:r w:rsidRPr="002C664E">
        <w:rPr>
          <w:sz w:val="22"/>
        </w:rPr>
        <w:t xml:space="preserve">    hh(data$Purchase) + log(data$Age), family = "binomial")</w:t>
      </w:r>
    </w:p>
    <w:p w:rsidR="002C664E" w:rsidRPr="002C664E" w:rsidRDefault="002C664E" w:rsidP="002C664E">
      <w:pPr>
        <w:spacing w:before="40" w:after="40" w:line="240" w:lineRule="auto"/>
        <w:rPr>
          <w:sz w:val="22"/>
        </w:rPr>
      </w:pPr>
    </w:p>
    <w:p w:rsidR="002C664E" w:rsidRPr="002C664E" w:rsidRDefault="002C664E" w:rsidP="002C664E">
      <w:pPr>
        <w:spacing w:before="40" w:after="40" w:line="240" w:lineRule="auto"/>
        <w:rPr>
          <w:sz w:val="22"/>
        </w:rPr>
      </w:pPr>
      <w:r w:rsidRPr="002C664E">
        <w:rPr>
          <w:sz w:val="22"/>
        </w:rPr>
        <w:t>Coefficients:</w:t>
      </w:r>
    </w:p>
    <w:p w:rsidR="002C664E" w:rsidRPr="002C664E" w:rsidRDefault="002C664E" w:rsidP="002C664E">
      <w:pPr>
        <w:spacing w:before="40" w:after="40" w:line="240" w:lineRule="auto"/>
        <w:rPr>
          <w:sz w:val="22"/>
        </w:rPr>
      </w:pPr>
      <w:r w:rsidRPr="002C664E">
        <w:rPr>
          <w:sz w:val="22"/>
        </w:rPr>
        <w:t xml:space="preserve">                                                                  Estimate     Std. Error   z value     Pr(&gt;|z|)    </w:t>
      </w:r>
    </w:p>
    <w:p w:rsidR="002C664E" w:rsidRPr="002C664E" w:rsidRDefault="002C664E" w:rsidP="002C664E">
      <w:pPr>
        <w:spacing w:before="40" w:after="40" w:line="240" w:lineRule="auto"/>
        <w:rPr>
          <w:sz w:val="22"/>
        </w:rPr>
      </w:pPr>
      <w:r w:rsidRPr="002C664E">
        <w:rPr>
          <w:sz w:val="22"/>
        </w:rPr>
        <w:t xml:space="preserve">(Intercept)                                             -5.4871          1.2864      -4.265    2e-05 </w:t>
      </w:r>
    </w:p>
    <w:p w:rsidR="002C664E" w:rsidRPr="002C664E" w:rsidRDefault="002C664E" w:rsidP="002C664E">
      <w:pPr>
        <w:spacing w:before="40" w:after="40" w:line="240" w:lineRule="auto"/>
        <w:rPr>
          <w:sz w:val="22"/>
        </w:rPr>
      </w:pPr>
      <w:r w:rsidRPr="002C664E">
        <w:rPr>
          <w:sz w:val="22"/>
        </w:rPr>
        <w:t xml:space="preserve">data$TypeTA                                          0.9501          0.5772       1.646     0.0998 </w:t>
      </w:r>
    </w:p>
    <w:p w:rsidR="002C664E" w:rsidRPr="002C664E" w:rsidRDefault="002C664E" w:rsidP="002C664E">
      <w:pPr>
        <w:spacing w:before="40" w:after="40" w:line="240" w:lineRule="auto"/>
        <w:rPr>
          <w:sz w:val="22"/>
        </w:rPr>
      </w:pPr>
      <w:r w:rsidRPr="002C664E">
        <w:rPr>
          <w:sz w:val="22"/>
        </w:rPr>
        <w:t xml:space="preserve">data$DefConYes                                    1.3676          0.9364       1.460     0.1442    </w:t>
      </w:r>
    </w:p>
    <w:p w:rsidR="002C664E" w:rsidRPr="002C664E" w:rsidRDefault="002C664E" w:rsidP="002C664E">
      <w:pPr>
        <w:spacing w:before="40" w:after="40" w:line="240" w:lineRule="auto"/>
        <w:rPr>
          <w:sz w:val="22"/>
        </w:rPr>
      </w:pPr>
      <w:r w:rsidRPr="002C664E">
        <w:rPr>
          <w:sz w:val="22"/>
        </w:rPr>
        <w:t xml:space="preserve">data$ConnectedYes                              2.1186          0.8323       2.546     0.0109 </w:t>
      </w:r>
    </w:p>
    <w:p w:rsidR="002C664E" w:rsidRPr="002C664E" w:rsidRDefault="002C664E" w:rsidP="002C664E">
      <w:pPr>
        <w:spacing w:before="40" w:after="40" w:line="240" w:lineRule="auto"/>
        <w:rPr>
          <w:sz w:val="22"/>
        </w:rPr>
      </w:pPr>
      <w:r w:rsidRPr="002C664E">
        <w:rPr>
          <w:sz w:val="22"/>
        </w:rPr>
        <w:t xml:space="preserve">hh(data$Purchase)NotLarge            1.2101           1.0387       1.165     0.2440    </w:t>
      </w:r>
    </w:p>
    <w:p w:rsidR="002C664E" w:rsidRPr="002C664E" w:rsidRDefault="002C664E" w:rsidP="002C664E">
      <w:pPr>
        <w:spacing w:before="40" w:after="40" w:line="240" w:lineRule="auto"/>
        <w:rPr>
          <w:sz w:val="22"/>
        </w:rPr>
      </w:pPr>
      <w:r w:rsidRPr="002C664E">
        <w:rPr>
          <w:sz w:val="22"/>
        </w:rPr>
        <w:t xml:space="preserve">log(data$Age)                                      -0.1588            0.2154     -0.737     0.4609    </w:t>
      </w:r>
    </w:p>
    <w:p w:rsidR="002C664E" w:rsidRPr="002C664E" w:rsidRDefault="002C664E" w:rsidP="002C664E">
      <w:pPr>
        <w:spacing w:before="40" w:after="40" w:line="240" w:lineRule="auto"/>
        <w:rPr>
          <w:sz w:val="22"/>
        </w:rPr>
      </w:pPr>
      <w:r w:rsidRPr="002C664E">
        <w:rPr>
          <w:sz w:val="22"/>
        </w:rPr>
        <w:t xml:space="preserve">data$DefConYes:data$ConnectedYes  -1.2103    1.0293     -1.176     0.2397    </w:t>
      </w:r>
    </w:p>
    <w:p w:rsidR="002C664E" w:rsidRPr="002C664E" w:rsidRDefault="002C664E" w:rsidP="002C664E">
      <w:pPr>
        <w:spacing w:before="40" w:after="40" w:line="240" w:lineRule="auto"/>
        <w:rPr>
          <w:sz w:val="22"/>
        </w:rPr>
      </w:pPr>
      <w:r w:rsidRPr="002C664E">
        <w:rPr>
          <w:sz w:val="22"/>
        </w:rPr>
        <w:t>---</w:t>
      </w:r>
    </w:p>
    <w:sectPr w:rsidR="002C664E" w:rsidRPr="002C664E" w:rsidSect="00820FE6">
      <w:headerReference w:type="default" r:id="rId87"/>
      <w:footerReference w:type="default" r:id="rId8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B0B" w:rsidRDefault="00265B0B" w:rsidP="003340BA">
      <w:pPr>
        <w:spacing w:line="240" w:lineRule="auto"/>
      </w:pPr>
      <w:r>
        <w:separator/>
      </w:r>
    </w:p>
  </w:endnote>
  <w:endnote w:type="continuationSeparator" w:id="0">
    <w:p w:rsidR="00265B0B" w:rsidRDefault="00265B0B" w:rsidP="003340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414410"/>
      <w:docPartObj>
        <w:docPartGallery w:val="Page Numbers (Bottom of Page)"/>
        <w:docPartUnique/>
      </w:docPartObj>
    </w:sdtPr>
    <w:sdtEndPr/>
    <w:sdtContent>
      <w:sdt>
        <w:sdtPr>
          <w:id w:val="-1669238322"/>
          <w:docPartObj>
            <w:docPartGallery w:val="Page Numbers (Top of Page)"/>
            <w:docPartUnique/>
          </w:docPartObj>
        </w:sdtPr>
        <w:sdtEndPr/>
        <w:sdtContent>
          <w:p w:rsidR="00265B0B" w:rsidRDefault="00265B0B">
            <w:pPr>
              <w:pStyle w:val="Footer"/>
              <w:jc w:val="center"/>
            </w:pPr>
            <w:r>
              <w:t xml:space="preserve">Page </w:t>
            </w:r>
            <w:r>
              <w:rPr>
                <w:b/>
                <w:bCs/>
              </w:rPr>
              <w:fldChar w:fldCharType="begin"/>
            </w:r>
            <w:r>
              <w:rPr>
                <w:b/>
                <w:bCs/>
              </w:rPr>
              <w:instrText xml:space="preserve"> PAGE </w:instrText>
            </w:r>
            <w:r>
              <w:rPr>
                <w:b/>
                <w:bCs/>
              </w:rPr>
              <w:fldChar w:fldCharType="separate"/>
            </w:r>
            <w:r w:rsidR="00DA1592">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DA1592">
              <w:rPr>
                <w:b/>
                <w:bCs/>
                <w:noProof/>
              </w:rPr>
              <w:t>119</w:t>
            </w:r>
            <w:r>
              <w:rPr>
                <w:b/>
                <w:bCs/>
              </w:rPr>
              <w:fldChar w:fldCharType="end"/>
            </w:r>
          </w:p>
        </w:sdtContent>
      </w:sdt>
    </w:sdtContent>
  </w:sdt>
  <w:p w:rsidR="00265B0B" w:rsidRDefault="00265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B0B" w:rsidRDefault="00265B0B" w:rsidP="003340BA">
      <w:pPr>
        <w:spacing w:line="240" w:lineRule="auto"/>
      </w:pPr>
      <w:r>
        <w:separator/>
      </w:r>
    </w:p>
  </w:footnote>
  <w:footnote w:type="continuationSeparator" w:id="0">
    <w:p w:rsidR="00265B0B" w:rsidRDefault="00265B0B" w:rsidP="003340BA">
      <w:pPr>
        <w:spacing w:line="240" w:lineRule="auto"/>
      </w:pPr>
      <w:r>
        <w:continuationSeparator/>
      </w:r>
    </w:p>
  </w:footnote>
  <w:footnote w:id="1">
    <w:p w:rsidR="00265B0B" w:rsidRPr="00F547CA" w:rsidRDefault="00265B0B" w:rsidP="003340BA">
      <w:pPr>
        <w:pStyle w:val="FootnoteText"/>
      </w:pPr>
      <w:r>
        <w:rPr>
          <w:rStyle w:val="FootnoteReference"/>
        </w:rPr>
        <w:footnoteRef/>
      </w:r>
      <w:r>
        <w:t xml:space="preserve"> </w:t>
      </w:r>
      <w:r w:rsidRPr="00F547CA">
        <w:t xml:space="preserve">The terms of reference for the review can be found </w:t>
      </w:r>
      <w:r>
        <w:t>at</w:t>
      </w:r>
      <w:r w:rsidRPr="00F547CA">
        <w:t>:</w:t>
      </w:r>
    </w:p>
    <w:p w:rsidR="00265B0B" w:rsidRDefault="00265B0B" w:rsidP="003340BA">
      <w:pPr>
        <w:pStyle w:val="FootnoteText"/>
      </w:pPr>
      <w:r w:rsidRPr="00F547CA">
        <w:t>http://www.bis.gov.uk/insolvency/insolvency-profession/Pre-pack%20administration%20review</w:t>
      </w:r>
    </w:p>
  </w:footnote>
  <w:footnote w:id="2">
    <w:p w:rsidR="00265B0B" w:rsidRDefault="00265B0B" w:rsidP="00B67D97">
      <w:pPr>
        <w:pStyle w:val="FootnoteText"/>
      </w:pPr>
      <w:r>
        <w:rPr>
          <w:rStyle w:val="FootnoteReference"/>
        </w:rPr>
        <w:footnoteRef/>
      </w:r>
      <w:r>
        <w:t xml:space="preserve"> The sample in these models is smaller than that in Section A3 above due to an absence of purchase price information for one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B0B" w:rsidRDefault="00265B0B" w:rsidP="003340BA">
    <w:pPr>
      <w:pBdr>
        <w:bottom w:val="single" w:sz="6" w:space="1" w:color="auto"/>
      </w:pBdr>
      <w:tabs>
        <w:tab w:val="center" w:pos="4153"/>
        <w:tab w:val="right" w:pos="8306"/>
      </w:tabs>
      <w:spacing w:line="240" w:lineRule="auto"/>
      <w:jc w:val="both"/>
      <w:rPr>
        <w:rFonts w:ascii="Times New Roman" w:hAnsi="Times New Roman"/>
        <w:szCs w:val="20"/>
      </w:rPr>
    </w:pPr>
    <w:r>
      <w:rPr>
        <w:rFonts w:cs="Arial"/>
        <w:sz w:val="18"/>
        <w:szCs w:val="20"/>
      </w:rPr>
      <w:t>Pre-Pack Empirical Research</w:t>
    </w:r>
    <w:r w:rsidRPr="007C17A7">
      <w:rPr>
        <w:rFonts w:ascii="Times New Roman" w:hAnsi="Times New Roman"/>
        <w:szCs w:val="20"/>
      </w:rPr>
      <w:tab/>
    </w:r>
    <w:r w:rsidRPr="007C17A7">
      <w:rPr>
        <w:rFonts w:ascii="Times New Roman" w:hAnsi="Times New Roman"/>
        <w:szCs w:val="20"/>
      </w:rPr>
      <w:tab/>
    </w:r>
    <w:r>
      <w:rPr>
        <w:rFonts w:ascii="Times New Roman" w:hAnsi="Times New Roman"/>
        <w:noProof/>
        <w:szCs w:val="20"/>
        <w:lang w:eastAsia="en-GB"/>
      </w:rPr>
      <w:drawing>
        <wp:inline distT="0" distB="0" distL="0" distR="0" wp14:anchorId="3E489E4C" wp14:editId="02ED8F39">
          <wp:extent cx="1714500" cy="352425"/>
          <wp:effectExtent l="0" t="0" r="0" b="9525"/>
          <wp:docPr id="306" name="Picture 306" descr="WLV_LOGO_09_bl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V_LOGO_09_blac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352425"/>
                  </a:xfrm>
                  <a:prstGeom prst="rect">
                    <a:avLst/>
                  </a:prstGeom>
                  <a:noFill/>
                  <a:ln>
                    <a:noFill/>
                  </a:ln>
                </pic:spPr>
              </pic:pic>
            </a:graphicData>
          </a:graphic>
        </wp:inline>
      </w:drawing>
    </w:r>
  </w:p>
  <w:p w:rsidR="00265B0B" w:rsidRDefault="00265B0B" w:rsidP="003340BA">
    <w:pPr>
      <w:pBdr>
        <w:bottom w:val="single" w:sz="6" w:space="1" w:color="auto"/>
      </w:pBdr>
      <w:tabs>
        <w:tab w:val="center" w:pos="4153"/>
        <w:tab w:val="right" w:pos="8306"/>
      </w:tabs>
      <w:spacing w:line="240" w:lineRule="auto"/>
      <w:jc w:val="both"/>
      <w:rPr>
        <w:rFonts w:ascii="Times New Roman" w:hAnsi="Times New Roman"/>
        <w:szCs w:val="20"/>
      </w:rPr>
    </w:pPr>
  </w:p>
  <w:p w:rsidR="00265B0B" w:rsidRPr="003340BA" w:rsidRDefault="00265B0B" w:rsidP="003340BA">
    <w:pPr>
      <w:tabs>
        <w:tab w:val="center" w:pos="4153"/>
        <w:tab w:val="right" w:pos="8306"/>
      </w:tabs>
      <w:spacing w:line="240" w:lineRule="auto"/>
      <w:jc w:val="both"/>
      <w:rPr>
        <w:rFonts w:ascii="Times New Roman" w:hAnsi="Times New Roman"/>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5EB"/>
    <w:multiLevelType w:val="hybridMultilevel"/>
    <w:tmpl w:val="D948310E"/>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C2437D"/>
    <w:multiLevelType w:val="hybridMultilevel"/>
    <w:tmpl w:val="CB96F858"/>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4E622B"/>
    <w:multiLevelType w:val="hybridMultilevel"/>
    <w:tmpl w:val="52FCE31A"/>
    <w:lvl w:ilvl="0" w:tplc="BB1A4D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A34D1B"/>
    <w:multiLevelType w:val="hybridMultilevel"/>
    <w:tmpl w:val="80F6DCE8"/>
    <w:lvl w:ilvl="0" w:tplc="0954500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6A19F6"/>
    <w:multiLevelType w:val="hybridMultilevel"/>
    <w:tmpl w:val="65641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2739A0"/>
    <w:multiLevelType w:val="hybridMultilevel"/>
    <w:tmpl w:val="DABAC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3FC4C13"/>
    <w:multiLevelType w:val="hybridMultilevel"/>
    <w:tmpl w:val="6FA6BF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968594C"/>
    <w:multiLevelType w:val="hybridMultilevel"/>
    <w:tmpl w:val="09241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C2290C"/>
    <w:multiLevelType w:val="hybridMultilevel"/>
    <w:tmpl w:val="3C5C1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A5643B"/>
    <w:multiLevelType w:val="hybridMultilevel"/>
    <w:tmpl w:val="E86C0B28"/>
    <w:lvl w:ilvl="0" w:tplc="BB1A4D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2B5C23"/>
    <w:multiLevelType w:val="hybridMultilevel"/>
    <w:tmpl w:val="CBB4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8915D8"/>
    <w:multiLevelType w:val="hybridMultilevel"/>
    <w:tmpl w:val="6D42D8A0"/>
    <w:lvl w:ilvl="0" w:tplc="EA30DE7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1E57E9"/>
    <w:multiLevelType w:val="hybridMultilevel"/>
    <w:tmpl w:val="2E305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8173D52"/>
    <w:multiLevelType w:val="hybridMultilevel"/>
    <w:tmpl w:val="8482F4B0"/>
    <w:lvl w:ilvl="0" w:tplc="BB1A4D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A202F8"/>
    <w:multiLevelType w:val="hybridMultilevel"/>
    <w:tmpl w:val="070A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F97451"/>
    <w:multiLevelType w:val="hybridMultilevel"/>
    <w:tmpl w:val="462A0ECE"/>
    <w:lvl w:ilvl="0" w:tplc="BB1A4D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76764B"/>
    <w:multiLevelType w:val="hybridMultilevel"/>
    <w:tmpl w:val="E8B4E608"/>
    <w:lvl w:ilvl="0" w:tplc="4B1255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CD44BC1"/>
    <w:multiLevelType w:val="hybridMultilevel"/>
    <w:tmpl w:val="D45441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D3B4B45"/>
    <w:multiLevelType w:val="hybridMultilevel"/>
    <w:tmpl w:val="CE02C908"/>
    <w:lvl w:ilvl="0" w:tplc="0954500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04B41C5"/>
    <w:multiLevelType w:val="hybridMultilevel"/>
    <w:tmpl w:val="ADC6FA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39B253B"/>
    <w:multiLevelType w:val="multilevel"/>
    <w:tmpl w:val="2994737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6EA2A04"/>
    <w:multiLevelType w:val="hybridMultilevel"/>
    <w:tmpl w:val="1220DCC6"/>
    <w:lvl w:ilvl="0" w:tplc="EA30DE7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7481B1F"/>
    <w:multiLevelType w:val="hybridMultilevel"/>
    <w:tmpl w:val="D24ADCD2"/>
    <w:lvl w:ilvl="0" w:tplc="FA94BC1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2B7E84"/>
    <w:multiLevelType w:val="hybridMultilevel"/>
    <w:tmpl w:val="AD2A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5CF9131F"/>
    <w:multiLevelType w:val="hybridMultilevel"/>
    <w:tmpl w:val="21226BFE"/>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23F66E2"/>
    <w:multiLevelType w:val="multilevel"/>
    <w:tmpl w:val="422C00EE"/>
    <w:lvl w:ilvl="0">
      <w:start w:val="1"/>
      <w:numFmt w:val="decimal"/>
      <w:pStyle w:val="Heading1"/>
      <w:isLgl/>
      <w:lvlText w:val="%1."/>
      <w:lvlJc w:val="left"/>
      <w:pPr>
        <w:tabs>
          <w:tab w:val="num" w:pos="36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26">
    <w:nsid w:val="66A342E5"/>
    <w:multiLevelType w:val="hybridMultilevel"/>
    <w:tmpl w:val="E8B4E608"/>
    <w:lvl w:ilvl="0" w:tplc="4B1255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269041C"/>
    <w:multiLevelType w:val="hybridMultilevel"/>
    <w:tmpl w:val="9238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077C3B"/>
    <w:multiLevelType w:val="hybridMultilevel"/>
    <w:tmpl w:val="93D84674"/>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7474293"/>
    <w:multiLevelType w:val="hybridMultilevel"/>
    <w:tmpl w:val="A0767FD4"/>
    <w:lvl w:ilvl="0" w:tplc="F822FB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79020F1"/>
    <w:multiLevelType w:val="hybridMultilevel"/>
    <w:tmpl w:val="D6984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1F7A0A"/>
    <w:multiLevelType w:val="hybridMultilevel"/>
    <w:tmpl w:val="6292F422"/>
    <w:lvl w:ilvl="0" w:tplc="EA30DE7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C8E2391"/>
    <w:multiLevelType w:val="hybridMultilevel"/>
    <w:tmpl w:val="79BE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30"/>
  </w:num>
  <w:num w:numId="11">
    <w:abstractNumId w:val="31"/>
  </w:num>
  <w:num w:numId="12">
    <w:abstractNumId w:val="17"/>
  </w:num>
  <w:num w:numId="13">
    <w:abstractNumId w:val="2"/>
  </w:num>
  <w:num w:numId="14">
    <w:abstractNumId w:val="23"/>
  </w:num>
  <w:num w:numId="15">
    <w:abstractNumId w:val="21"/>
  </w:num>
  <w:num w:numId="16">
    <w:abstractNumId w:val="9"/>
  </w:num>
  <w:num w:numId="17">
    <w:abstractNumId w:val="13"/>
  </w:num>
  <w:num w:numId="18">
    <w:abstractNumId w:val="3"/>
  </w:num>
  <w:num w:numId="19">
    <w:abstractNumId w:val="6"/>
  </w:num>
  <w:num w:numId="20">
    <w:abstractNumId w:val="15"/>
  </w:num>
  <w:num w:numId="21">
    <w:abstractNumId w:val="18"/>
  </w:num>
  <w:num w:numId="22">
    <w:abstractNumId w:val="5"/>
  </w:num>
  <w:num w:numId="23">
    <w:abstractNumId w:val="7"/>
  </w:num>
  <w:num w:numId="24">
    <w:abstractNumId w:val="19"/>
  </w:num>
  <w:num w:numId="25">
    <w:abstractNumId w:val="4"/>
  </w:num>
  <w:num w:numId="26">
    <w:abstractNumId w:val="24"/>
  </w:num>
  <w:num w:numId="27">
    <w:abstractNumId w:val="11"/>
  </w:num>
  <w:num w:numId="28">
    <w:abstractNumId w:val="1"/>
  </w:num>
  <w:num w:numId="29">
    <w:abstractNumId w:val="29"/>
  </w:num>
  <w:num w:numId="30">
    <w:abstractNumId w:val="28"/>
  </w:num>
  <w:num w:numId="31">
    <w:abstractNumId w:val="0"/>
  </w:num>
  <w:num w:numId="32">
    <w:abstractNumId w:val="32"/>
  </w:num>
  <w:num w:numId="33">
    <w:abstractNumId w:val="20"/>
  </w:num>
  <w:num w:numId="34">
    <w:abstractNumId w:val="22"/>
  </w:num>
  <w:num w:numId="35">
    <w:abstractNumId w:val="16"/>
  </w:num>
  <w:num w:numId="36">
    <w:abstractNumId w:val="12"/>
  </w:num>
  <w:num w:numId="37">
    <w:abstractNumId w:val="8"/>
  </w:num>
  <w:num w:numId="38">
    <w:abstractNumId w:val="26"/>
  </w:num>
  <w:num w:numId="39">
    <w:abstractNumId w:val="14"/>
  </w:num>
  <w:num w:numId="40">
    <w:abstractNumId w:val="27"/>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0BA"/>
    <w:rsid w:val="00017063"/>
    <w:rsid w:val="00027E54"/>
    <w:rsid w:val="00053FB1"/>
    <w:rsid w:val="00065A24"/>
    <w:rsid w:val="00072BB0"/>
    <w:rsid w:val="000A7E74"/>
    <w:rsid w:val="000C5FE2"/>
    <w:rsid w:val="000D2DAB"/>
    <w:rsid w:val="000D6FD9"/>
    <w:rsid w:val="001B5095"/>
    <w:rsid w:val="00265B0B"/>
    <w:rsid w:val="00270E0E"/>
    <w:rsid w:val="002C664E"/>
    <w:rsid w:val="002F1A3E"/>
    <w:rsid w:val="00322460"/>
    <w:rsid w:val="003340BA"/>
    <w:rsid w:val="00335FA4"/>
    <w:rsid w:val="00365239"/>
    <w:rsid w:val="003A660E"/>
    <w:rsid w:val="003B1031"/>
    <w:rsid w:val="00405CEA"/>
    <w:rsid w:val="00426ADB"/>
    <w:rsid w:val="00426FB2"/>
    <w:rsid w:val="004A0E51"/>
    <w:rsid w:val="004A5221"/>
    <w:rsid w:val="004B69AD"/>
    <w:rsid w:val="00500D31"/>
    <w:rsid w:val="00511FEC"/>
    <w:rsid w:val="00552702"/>
    <w:rsid w:val="00567703"/>
    <w:rsid w:val="00582CB0"/>
    <w:rsid w:val="005869A7"/>
    <w:rsid w:val="005970F2"/>
    <w:rsid w:val="005B3BAB"/>
    <w:rsid w:val="005B76AC"/>
    <w:rsid w:val="005F0231"/>
    <w:rsid w:val="005F02B7"/>
    <w:rsid w:val="00632DA1"/>
    <w:rsid w:val="00635528"/>
    <w:rsid w:val="006468FF"/>
    <w:rsid w:val="006618CF"/>
    <w:rsid w:val="00721680"/>
    <w:rsid w:val="0074469B"/>
    <w:rsid w:val="00751921"/>
    <w:rsid w:val="00755D7B"/>
    <w:rsid w:val="00766134"/>
    <w:rsid w:val="00820FE6"/>
    <w:rsid w:val="00834EC7"/>
    <w:rsid w:val="008442A6"/>
    <w:rsid w:val="00851563"/>
    <w:rsid w:val="0096050E"/>
    <w:rsid w:val="00992CE2"/>
    <w:rsid w:val="009C2695"/>
    <w:rsid w:val="009F21D2"/>
    <w:rsid w:val="00A119B2"/>
    <w:rsid w:val="00A255A0"/>
    <w:rsid w:val="00AD0D1C"/>
    <w:rsid w:val="00B24ED6"/>
    <w:rsid w:val="00B42BF2"/>
    <w:rsid w:val="00B457E4"/>
    <w:rsid w:val="00B67D97"/>
    <w:rsid w:val="00B725B7"/>
    <w:rsid w:val="00C12551"/>
    <w:rsid w:val="00C12A83"/>
    <w:rsid w:val="00C465F6"/>
    <w:rsid w:val="00C471AF"/>
    <w:rsid w:val="00CB6E96"/>
    <w:rsid w:val="00CD08BB"/>
    <w:rsid w:val="00D16427"/>
    <w:rsid w:val="00D4500A"/>
    <w:rsid w:val="00DA1592"/>
    <w:rsid w:val="00DD0B7E"/>
    <w:rsid w:val="00E239D5"/>
    <w:rsid w:val="00E6661F"/>
    <w:rsid w:val="00E8531A"/>
    <w:rsid w:val="00EE6BA8"/>
    <w:rsid w:val="00EF0146"/>
    <w:rsid w:val="00F27AB2"/>
    <w:rsid w:val="00F87FEA"/>
    <w:rsid w:val="00F904CF"/>
    <w:rsid w:val="00FB3B8C"/>
    <w:rsid w:val="00FC3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0BA"/>
    <w:pPr>
      <w:spacing w:line="360" w:lineRule="auto"/>
    </w:pPr>
    <w:rPr>
      <w:rFonts w:ascii="Arial" w:hAnsi="Arial"/>
      <w:sz w:val="24"/>
      <w:szCs w:val="24"/>
    </w:rPr>
  </w:style>
  <w:style w:type="paragraph" w:styleId="Heading1">
    <w:name w:val="heading 1"/>
    <w:basedOn w:val="Normal"/>
    <w:next w:val="Normal"/>
    <w:link w:val="Heading1Char"/>
    <w:qFormat/>
    <w:rsid w:val="00E6661F"/>
    <w:pPr>
      <w:keepNext/>
      <w:numPr>
        <w:numId w:val="9"/>
      </w:numPr>
      <w:spacing w:before="120" w:after="120"/>
      <w:outlineLvl w:val="0"/>
    </w:pPr>
    <w:rPr>
      <w:b/>
      <w:bCs/>
      <w:sz w:val="32"/>
      <w:szCs w:val="32"/>
    </w:rPr>
  </w:style>
  <w:style w:type="paragraph" w:styleId="Heading2">
    <w:name w:val="heading 2"/>
    <w:basedOn w:val="Normal"/>
    <w:next w:val="Normal"/>
    <w:link w:val="Heading2Char"/>
    <w:qFormat/>
    <w:rsid w:val="00E6661F"/>
    <w:pPr>
      <w:keepNext/>
      <w:numPr>
        <w:ilvl w:val="1"/>
        <w:numId w:val="9"/>
      </w:numPr>
      <w:outlineLvl w:val="1"/>
    </w:pPr>
    <w:rPr>
      <w:b/>
      <w:sz w:val="28"/>
    </w:rPr>
  </w:style>
  <w:style w:type="paragraph" w:styleId="Heading3">
    <w:name w:val="heading 3"/>
    <w:basedOn w:val="Normal"/>
    <w:next w:val="Normal"/>
    <w:link w:val="Heading3Char"/>
    <w:qFormat/>
    <w:rsid w:val="00E6661F"/>
    <w:pPr>
      <w:keepNext/>
      <w:numPr>
        <w:ilvl w:val="2"/>
        <w:numId w:val="9"/>
      </w:numPr>
      <w:outlineLvl w:val="2"/>
    </w:pPr>
    <w:rPr>
      <w:b/>
      <w:bCs/>
    </w:rPr>
  </w:style>
  <w:style w:type="paragraph" w:styleId="Heading4">
    <w:name w:val="heading 4"/>
    <w:basedOn w:val="Normal"/>
    <w:next w:val="Normal"/>
    <w:link w:val="Heading4Char"/>
    <w:qFormat/>
    <w:rsid w:val="00E6661F"/>
    <w:pPr>
      <w:keepNext/>
      <w:numPr>
        <w:ilvl w:val="3"/>
        <w:numId w:val="9"/>
      </w:numPr>
      <w:outlineLvl w:val="3"/>
    </w:pPr>
    <w:rPr>
      <w:b/>
      <w:bCs/>
    </w:rPr>
  </w:style>
  <w:style w:type="paragraph" w:styleId="Heading5">
    <w:name w:val="heading 5"/>
    <w:basedOn w:val="Normal"/>
    <w:next w:val="Normal"/>
    <w:link w:val="Heading5Char"/>
    <w:qFormat/>
    <w:rsid w:val="00E6661F"/>
    <w:pPr>
      <w:keepNext/>
      <w:numPr>
        <w:ilvl w:val="4"/>
        <w:numId w:val="9"/>
      </w:numPr>
      <w:outlineLvl w:val="4"/>
    </w:pPr>
    <w:rPr>
      <w:b/>
      <w:bCs/>
    </w:rPr>
  </w:style>
  <w:style w:type="paragraph" w:styleId="Heading6">
    <w:name w:val="heading 6"/>
    <w:basedOn w:val="Normal"/>
    <w:next w:val="Normal"/>
    <w:link w:val="Heading6Char"/>
    <w:qFormat/>
    <w:rsid w:val="00E6661F"/>
    <w:pPr>
      <w:keepNext/>
      <w:numPr>
        <w:ilvl w:val="5"/>
        <w:numId w:val="9"/>
      </w:numPr>
      <w:outlineLvl w:val="5"/>
    </w:pPr>
    <w:rPr>
      <w:b/>
      <w:bCs/>
    </w:rPr>
  </w:style>
  <w:style w:type="paragraph" w:styleId="Heading7">
    <w:name w:val="heading 7"/>
    <w:basedOn w:val="Normal"/>
    <w:next w:val="Normal"/>
    <w:link w:val="Heading7Char"/>
    <w:qFormat/>
    <w:rsid w:val="00E6661F"/>
    <w:pPr>
      <w:keepNext/>
      <w:numPr>
        <w:ilvl w:val="6"/>
        <w:numId w:val="9"/>
      </w:numPr>
      <w:autoSpaceDE w:val="0"/>
      <w:autoSpaceDN w:val="0"/>
      <w:adjustRightInd w:val="0"/>
      <w:outlineLvl w:val="6"/>
    </w:pPr>
    <w:rPr>
      <w:b/>
      <w:bCs/>
      <w:color w:val="0000FF"/>
      <w:sz w:val="28"/>
      <w:szCs w:val="28"/>
    </w:rPr>
  </w:style>
  <w:style w:type="paragraph" w:styleId="Heading8">
    <w:name w:val="heading 8"/>
    <w:basedOn w:val="Normal"/>
    <w:next w:val="Normal"/>
    <w:link w:val="Heading8Char"/>
    <w:qFormat/>
    <w:rsid w:val="00E6661F"/>
    <w:pPr>
      <w:numPr>
        <w:ilvl w:val="7"/>
        <w:numId w:val="9"/>
      </w:numPr>
      <w:spacing w:before="240" w:after="60"/>
      <w:outlineLvl w:val="7"/>
    </w:pPr>
    <w:rPr>
      <w:rFonts w:ascii="Times New Roman" w:hAnsi="Times New Roman"/>
      <w:i/>
      <w:iCs/>
    </w:rPr>
  </w:style>
  <w:style w:type="paragraph" w:styleId="Heading9">
    <w:name w:val="heading 9"/>
    <w:basedOn w:val="Normal"/>
    <w:next w:val="Normal"/>
    <w:link w:val="Heading9Char"/>
    <w:qFormat/>
    <w:rsid w:val="00E6661F"/>
    <w:pPr>
      <w:numPr>
        <w:ilvl w:val="8"/>
        <w:numId w:val="9"/>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661F"/>
    <w:rPr>
      <w:rFonts w:ascii="Arial" w:hAnsi="Arial"/>
      <w:b/>
      <w:bCs/>
      <w:sz w:val="32"/>
      <w:szCs w:val="32"/>
    </w:rPr>
  </w:style>
  <w:style w:type="character" w:customStyle="1" w:styleId="Heading2Char">
    <w:name w:val="Heading 2 Char"/>
    <w:basedOn w:val="DefaultParagraphFont"/>
    <w:link w:val="Heading2"/>
    <w:rsid w:val="00E6661F"/>
    <w:rPr>
      <w:rFonts w:ascii="Arial" w:hAnsi="Arial"/>
      <w:b/>
      <w:sz w:val="28"/>
      <w:szCs w:val="24"/>
    </w:rPr>
  </w:style>
  <w:style w:type="character" w:customStyle="1" w:styleId="Heading3Char">
    <w:name w:val="Heading 3 Char"/>
    <w:basedOn w:val="DefaultParagraphFont"/>
    <w:link w:val="Heading3"/>
    <w:rsid w:val="00E6661F"/>
    <w:rPr>
      <w:rFonts w:ascii="Arial" w:hAnsi="Arial"/>
      <w:b/>
      <w:bCs/>
      <w:sz w:val="24"/>
      <w:szCs w:val="24"/>
    </w:rPr>
  </w:style>
  <w:style w:type="character" w:customStyle="1" w:styleId="Heading4Char">
    <w:name w:val="Heading 4 Char"/>
    <w:basedOn w:val="DefaultParagraphFont"/>
    <w:link w:val="Heading4"/>
    <w:rsid w:val="00E6661F"/>
    <w:rPr>
      <w:rFonts w:ascii="Arial" w:hAnsi="Arial"/>
      <w:b/>
      <w:bCs/>
      <w:sz w:val="24"/>
      <w:szCs w:val="24"/>
    </w:rPr>
  </w:style>
  <w:style w:type="character" w:customStyle="1" w:styleId="Heading5Char">
    <w:name w:val="Heading 5 Char"/>
    <w:basedOn w:val="DefaultParagraphFont"/>
    <w:link w:val="Heading5"/>
    <w:rsid w:val="00E6661F"/>
    <w:rPr>
      <w:rFonts w:ascii="Arial" w:hAnsi="Arial"/>
      <w:b/>
      <w:bCs/>
      <w:sz w:val="24"/>
      <w:szCs w:val="24"/>
    </w:rPr>
  </w:style>
  <w:style w:type="character" w:customStyle="1" w:styleId="Heading6Char">
    <w:name w:val="Heading 6 Char"/>
    <w:basedOn w:val="DefaultParagraphFont"/>
    <w:link w:val="Heading6"/>
    <w:rsid w:val="00E6661F"/>
    <w:rPr>
      <w:rFonts w:ascii="Arial" w:hAnsi="Arial"/>
      <w:b/>
      <w:bCs/>
      <w:sz w:val="24"/>
      <w:szCs w:val="24"/>
    </w:rPr>
  </w:style>
  <w:style w:type="character" w:customStyle="1" w:styleId="Heading7Char">
    <w:name w:val="Heading 7 Char"/>
    <w:basedOn w:val="DefaultParagraphFont"/>
    <w:link w:val="Heading7"/>
    <w:rsid w:val="00E6661F"/>
    <w:rPr>
      <w:rFonts w:ascii="Arial" w:hAnsi="Arial"/>
      <w:b/>
      <w:bCs/>
      <w:color w:val="0000FF"/>
      <w:sz w:val="28"/>
      <w:szCs w:val="28"/>
    </w:rPr>
  </w:style>
  <w:style w:type="character" w:customStyle="1" w:styleId="Heading8Char">
    <w:name w:val="Heading 8 Char"/>
    <w:basedOn w:val="DefaultParagraphFont"/>
    <w:link w:val="Heading8"/>
    <w:rsid w:val="00E6661F"/>
    <w:rPr>
      <w:i/>
      <w:iCs/>
      <w:sz w:val="24"/>
      <w:szCs w:val="24"/>
    </w:rPr>
  </w:style>
  <w:style w:type="character" w:customStyle="1" w:styleId="Heading9Char">
    <w:name w:val="Heading 9 Char"/>
    <w:basedOn w:val="DefaultParagraphFont"/>
    <w:link w:val="Heading9"/>
    <w:rsid w:val="00E6661F"/>
    <w:rPr>
      <w:rFonts w:ascii="Arial" w:hAnsi="Arial" w:cs="Arial"/>
      <w:sz w:val="24"/>
      <w:szCs w:val="22"/>
    </w:rPr>
  </w:style>
  <w:style w:type="paragraph" w:styleId="Header">
    <w:name w:val="header"/>
    <w:basedOn w:val="Normal"/>
    <w:link w:val="HeaderChar"/>
    <w:unhideWhenUsed/>
    <w:rsid w:val="003340BA"/>
    <w:pPr>
      <w:tabs>
        <w:tab w:val="center" w:pos="4513"/>
        <w:tab w:val="right" w:pos="9026"/>
      </w:tabs>
      <w:spacing w:line="240" w:lineRule="auto"/>
    </w:pPr>
  </w:style>
  <w:style w:type="character" w:customStyle="1" w:styleId="HeaderChar">
    <w:name w:val="Header Char"/>
    <w:basedOn w:val="DefaultParagraphFont"/>
    <w:link w:val="Header"/>
    <w:rsid w:val="003340BA"/>
    <w:rPr>
      <w:rFonts w:ascii="Arial" w:hAnsi="Arial"/>
      <w:sz w:val="24"/>
      <w:szCs w:val="24"/>
    </w:rPr>
  </w:style>
  <w:style w:type="paragraph" w:styleId="Footer">
    <w:name w:val="footer"/>
    <w:basedOn w:val="Normal"/>
    <w:link w:val="FooterChar"/>
    <w:uiPriority w:val="99"/>
    <w:unhideWhenUsed/>
    <w:rsid w:val="003340BA"/>
    <w:pPr>
      <w:tabs>
        <w:tab w:val="center" w:pos="4513"/>
        <w:tab w:val="right" w:pos="9026"/>
      </w:tabs>
      <w:spacing w:line="240" w:lineRule="auto"/>
    </w:pPr>
  </w:style>
  <w:style w:type="character" w:customStyle="1" w:styleId="FooterChar">
    <w:name w:val="Footer Char"/>
    <w:basedOn w:val="DefaultParagraphFont"/>
    <w:link w:val="Footer"/>
    <w:uiPriority w:val="99"/>
    <w:rsid w:val="003340BA"/>
    <w:rPr>
      <w:rFonts w:ascii="Arial" w:hAnsi="Arial"/>
      <w:sz w:val="24"/>
      <w:szCs w:val="24"/>
    </w:rPr>
  </w:style>
  <w:style w:type="paragraph" w:styleId="BalloonText">
    <w:name w:val="Balloon Text"/>
    <w:basedOn w:val="Normal"/>
    <w:link w:val="BalloonTextChar"/>
    <w:uiPriority w:val="99"/>
    <w:semiHidden/>
    <w:unhideWhenUsed/>
    <w:rsid w:val="003340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0BA"/>
    <w:rPr>
      <w:rFonts w:ascii="Tahoma" w:hAnsi="Tahoma" w:cs="Tahoma"/>
      <w:sz w:val="16"/>
      <w:szCs w:val="16"/>
    </w:rPr>
  </w:style>
  <w:style w:type="paragraph" w:customStyle="1" w:styleId="TableHeading">
    <w:name w:val="Table Heading"/>
    <w:basedOn w:val="Normal"/>
    <w:rsid w:val="003340BA"/>
    <w:pPr>
      <w:tabs>
        <w:tab w:val="left" w:pos="833"/>
        <w:tab w:val="left" w:pos="9015"/>
      </w:tabs>
      <w:spacing w:before="40" w:after="40"/>
    </w:pPr>
    <w:rPr>
      <w:b/>
      <w:sz w:val="20"/>
      <w:szCs w:val="20"/>
    </w:rPr>
  </w:style>
  <w:style w:type="paragraph" w:styleId="FootnoteText">
    <w:name w:val="footnote text"/>
    <w:basedOn w:val="Normal"/>
    <w:link w:val="FootnoteTextChar"/>
    <w:uiPriority w:val="99"/>
    <w:unhideWhenUsed/>
    <w:rsid w:val="003340BA"/>
    <w:pPr>
      <w:spacing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3340BA"/>
    <w:rPr>
      <w:rFonts w:ascii="Calibri" w:eastAsia="Calibri" w:hAnsi="Calibri"/>
    </w:rPr>
  </w:style>
  <w:style w:type="character" w:styleId="FootnoteReference">
    <w:name w:val="footnote reference"/>
    <w:uiPriority w:val="99"/>
    <w:unhideWhenUsed/>
    <w:rsid w:val="003340BA"/>
    <w:rPr>
      <w:vertAlign w:val="superscript"/>
    </w:rPr>
  </w:style>
  <w:style w:type="paragraph" w:styleId="ListParagraph">
    <w:name w:val="List Paragraph"/>
    <w:basedOn w:val="Normal"/>
    <w:uiPriority w:val="34"/>
    <w:qFormat/>
    <w:rsid w:val="003340BA"/>
    <w:pPr>
      <w:ind w:left="720"/>
      <w:contextualSpacing/>
    </w:pPr>
  </w:style>
  <w:style w:type="table" w:styleId="TableGrid">
    <w:name w:val="Table Grid"/>
    <w:basedOn w:val="TableNormal"/>
    <w:uiPriority w:val="59"/>
    <w:rsid w:val="00C12A8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12A83"/>
    <w:pPr>
      <w:spacing w:after="200" w:line="240" w:lineRule="auto"/>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C12A83"/>
    <w:rPr>
      <w:color w:val="0000FF" w:themeColor="hyperlink"/>
      <w:u w:val="single"/>
    </w:rPr>
  </w:style>
  <w:style w:type="paragraph" w:styleId="NoSpacing">
    <w:name w:val="No Spacing"/>
    <w:link w:val="NoSpacingChar"/>
    <w:uiPriority w:val="1"/>
    <w:qFormat/>
    <w:rsid w:val="000C5FE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C5FE2"/>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semiHidden/>
    <w:unhideWhenUsed/>
    <w:qFormat/>
    <w:rsid w:val="00F904CF"/>
    <w:pPr>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character" w:styleId="CommentReference">
    <w:name w:val="annotation reference"/>
    <w:basedOn w:val="DefaultParagraphFont"/>
    <w:uiPriority w:val="99"/>
    <w:semiHidden/>
    <w:unhideWhenUsed/>
    <w:rsid w:val="004A5221"/>
    <w:rPr>
      <w:sz w:val="16"/>
      <w:szCs w:val="16"/>
    </w:rPr>
  </w:style>
  <w:style w:type="paragraph" w:styleId="CommentText">
    <w:name w:val="annotation text"/>
    <w:basedOn w:val="Normal"/>
    <w:link w:val="CommentTextChar"/>
    <w:uiPriority w:val="99"/>
    <w:semiHidden/>
    <w:unhideWhenUsed/>
    <w:rsid w:val="004A5221"/>
    <w:pPr>
      <w:spacing w:line="240" w:lineRule="auto"/>
    </w:pPr>
    <w:rPr>
      <w:sz w:val="20"/>
      <w:szCs w:val="20"/>
    </w:rPr>
  </w:style>
  <w:style w:type="character" w:customStyle="1" w:styleId="CommentTextChar">
    <w:name w:val="Comment Text Char"/>
    <w:basedOn w:val="DefaultParagraphFont"/>
    <w:link w:val="CommentText"/>
    <w:uiPriority w:val="99"/>
    <w:semiHidden/>
    <w:rsid w:val="004A5221"/>
    <w:rPr>
      <w:rFonts w:ascii="Arial" w:hAnsi="Arial"/>
    </w:rPr>
  </w:style>
  <w:style w:type="paragraph" w:styleId="CommentSubject">
    <w:name w:val="annotation subject"/>
    <w:basedOn w:val="CommentText"/>
    <w:next w:val="CommentText"/>
    <w:link w:val="CommentSubjectChar"/>
    <w:uiPriority w:val="99"/>
    <w:semiHidden/>
    <w:unhideWhenUsed/>
    <w:rsid w:val="004A5221"/>
    <w:rPr>
      <w:b/>
      <w:bCs/>
    </w:rPr>
  </w:style>
  <w:style w:type="character" w:customStyle="1" w:styleId="CommentSubjectChar">
    <w:name w:val="Comment Subject Char"/>
    <w:basedOn w:val="CommentTextChar"/>
    <w:link w:val="CommentSubject"/>
    <w:uiPriority w:val="99"/>
    <w:semiHidden/>
    <w:rsid w:val="004A5221"/>
    <w:rPr>
      <w:rFonts w:ascii="Arial" w:hAnsi="Arial"/>
      <w:b/>
      <w:bCs/>
    </w:rPr>
  </w:style>
  <w:style w:type="paragraph" w:styleId="Revision">
    <w:name w:val="Revision"/>
    <w:hidden/>
    <w:uiPriority w:val="99"/>
    <w:semiHidden/>
    <w:rsid w:val="00265B0B"/>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0BA"/>
    <w:pPr>
      <w:spacing w:line="360" w:lineRule="auto"/>
    </w:pPr>
    <w:rPr>
      <w:rFonts w:ascii="Arial" w:hAnsi="Arial"/>
      <w:sz w:val="24"/>
      <w:szCs w:val="24"/>
    </w:rPr>
  </w:style>
  <w:style w:type="paragraph" w:styleId="Heading1">
    <w:name w:val="heading 1"/>
    <w:basedOn w:val="Normal"/>
    <w:next w:val="Normal"/>
    <w:link w:val="Heading1Char"/>
    <w:qFormat/>
    <w:rsid w:val="00E6661F"/>
    <w:pPr>
      <w:keepNext/>
      <w:numPr>
        <w:numId w:val="9"/>
      </w:numPr>
      <w:spacing w:before="120" w:after="120"/>
      <w:outlineLvl w:val="0"/>
    </w:pPr>
    <w:rPr>
      <w:b/>
      <w:bCs/>
      <w:sz w:val="32"/>
      <w:szCs w:val="32"/>
    </w:rPr>
  </w:style>
  <w:style w:type="paragraph" w:styleId="Heading2">
    <w:name w:val="heading 2"/>
    <w:basedOn w:val="Normal"/>
    <w:next w:val="Normal"/>
    <w:link w:val="Heading2Char"/>
    <w:qFormat/>
    <w:rsid w:val="00E6661F"/>
    <w:pPr>
      <w:keepNext/>
      <w:numPr>
        <w:ilvl w:val="1"/>
        <w:numId w:val="9"/>
      </w:numPr>
      <w:outlineLvl w:val="1"/>
    </w:pPr>
    <w:rPr>
      <w:b/>
      <w:sz w:val="28"/>
    </w:rPr>
  </w:style>
  <w:style w:type="paragraph" w:styleId="Heading3">
    <w:name w:val="heading 3"/>
    <w:basedOn w:val="Normal"/>
    <w:next w:val="Normal"/>
    <w:link w:val="Heading3Char"/>
    <w:qFormat/>
    <w:rsid w:val="00E6661F"/>
    <w:pPr>
      <w:keepNext/>
      <w:numPr>
        <w:ilvl w:val="2"/>
        <w:numId w:val="9"/>
      </w:numPr>
      <w:outlineLvl w:val="2"/>
    </w:pPr>
    <w:rPr>
      <w:b/>
      <w:bCs/>
    </w:rPr>
  </w:style>
  <w:style w:type="paragraph" w:styleId="Heading4">
    <w:name w:val="heading 4"/>
    <w:basedOn w:val="Normal"/>
    <w:next w:val="Normal"/>
    <w:link w:val="Heading4Char"/>
    <w:qFormat/>
    <w:rsid w:val="00E6661F"/>
    <w:pPr>
      <w:keepNext/>
      <w:numPr>
        <w:ilvl w:val="3"/>
        <w:numId w:val="9"/>
      </w:numPr>
      <w:outlineLvl w:val="3"/>
    </w:pPr>
    <w:rPr>
      <w:b/>
      <w:bCs/>
    </w:rPr>
  </w:style>
  <w:style w:type="paragraph" w:styleId="Heading5">
    <w:name w:val="heading 5"/>
    <w:basedOn w:val="Normal"/>
    <w:next w:val="Normal"/>
    <w:link w:val="Heading5Char"/>
    <w:qFormat/>
    <w:rsid w:val="00E6661F"/>
    <w:pPr>
      <w:keepNext/>
      <w:numPr>
        <w:ilvl w:val="4"/>
        <w:numId w:val="9"/>
      </w:numPr>
      <w:outlineLvl w:val="4"/>
    </w:pPr>
    <w:rPr>
      <w:b/>
      <w:bCs/>
    </w:rPr>
  </w:style>
  <w:style w:type="paragraph" w:styleId="Heading6">
    <w:name w:val="heading 6"/>
    <w:basedOn w:val="Normal"/>
    <w:next w:val="Normal"/>
    <w:link w:val="Heading6Char"/>
    <w:qFormat/>
    <w:rsid w:val="00E6661F"/>
    <w:pPr>
      <w:keepNext/>
      <w:numPr>
        <w:ilvl w:val="5"/>
        <w:numId w:val="9"/>
      </w:numPr>
      <w:outlineLvl w:val="5"/>
    </w:pPr>
    <w:rPr>
      <w:b/>
      <w:bCs/>
    </w:rPr>
  </w:style>
  <w:style w:type="paragraph" w:styleId="Heading7">
    <w:name w:val="heading 7"/>
    <w:basedOn w:val="Normal"/>
    <w:next w:val="Normal"/>
    <w:link w:val="Heading7Char"/>
    <w:qFormat/>
    <w:rsid w:val="00E6661F"/>
    <w:pPr>
      <w:keepNext/>
      <w:numPr>
        <w:ilvl w:val="6"/>
        <w:numId w:val="9"/>
      </w:numPr>
      <w:autoSpaceDE w:val="0"/>
      <w:autoSpaceDN w:val="0"/>
      <w:adjustRightInd w:val="0"/>
      <w:outlineLvl w:val="6"/>
    </w:pPr>
    <w:rPr>
      <w:b/>
      <w:bCs/>
      <w:color w:val="0000FF"/>
      <w:sz w:val="28"/>
      <w:szCs w:val="28"/>
    </w:rPr>
  </w:style>
  <w:style w:type="paragraph" w:styleId="Heading8">
    <w:name w:val="heading 8"/>
    <w:basedOn w:val="Normal"/>
    <w:next w:val="Normal"/>
    <w:link w:val="Heading8Char"/>
    <w:qFormat/>
    <w:rsid w:val="00E6661F"/>
    <w:pPr>
      <w:numPr>
        <w:ilvl w:val="7"/>
        <w:numId w:val="9"/>
      </w:numPr>
      <w:spacing w:before="240" w:after="60"/>
      <w:outlineLvl w:val="7"/>
    </w:pPr>
    <w:rPr>
      <w:rFonts w:ascii="Times New Roman" w:hAnsi="Times New Roman"/>
      <w:i/>
      <w:iCs/>
    </w:rPr>
  </w:style>
  <w:style w:type="paragraph" w:styleId="Heading9">
    <w:name w:val="heading 9"/>
    <w:basedOn w:val="Normal"/>
    <w:next w:val="Normal"/>
    <w:link w:val="Heading9Char"/>
    <w:qFormat/>
    <w:rsid w:val="00E6661F"/>
    <w:pPr>
      <w:numPr>
        <w:ilvl w:val="8"/>
        <w:numId w:val="9"/>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661F"/>
    <w:rPr>
      <w:rFonts w:ascii="Arial" w:hAnsi="Arial"/>
      <w:b/>
      <w:bCs/>
      <w:sz w:val="32"/>
      <w:szCs w:val="32"/>
    </w:rPr>
  </w:style>
  <w:style w:type="character" w:customStyle="1" w:styleId="Heading2Char">
    <w:name w:val="Heading 2 Char"/>
    <w:basedOn w:val="DefaultParagraphFont"/>
    <w:link w:val="Heading2"/>
    <w:rsid w:val="00E6661F"/>
    <w:rPr>
      <w:rFonts w:ascii="Arial" w:hAnsi="Arial"/>
      <w:b/>
      <w:sz w:val="28"/>
      <w:szCs w:val="24"/>
    </w:rPr>
  </w:style>
  <w:style w:type="character" w:customStyle="1" w:styleId="Heading3Char">
    <w:name w:val="Heading 3 Char"/>
    <w:basedOn w:val="DefaultParagraphFont"/>
    <w:link w:val="Heading3"/>
    <w:rsid w:val="00E6661F"/>
    <w:rPr>
      <w:rFonts w:ascii="Arial" w:hAnsi="Arial"/>
      <w:b/>
      <w:bCs/>
      <w:sz w:val="24"/>
      <w:szCs w:val="24"/>
    </w:rPr>
  </w:style>
  <w:style w:type="character" w:customStyle="1" w:styleId="Heading4Char">
    <w:name w:val="Heading 4 Char"/>
    <w:basedOn w:val="DefaultParagraphFont"/>
    <w:link w:val="Heading4"/>
    <w:rsid w:val="00E6661F"/>
    <w:rPr>
      <w:rFonts w:ascii="Arial" w:hAnsi="Arial"/>
      <w:b/>
      <w:bCs/>
      <w:sz w:val="24"/>
      <w:szCs w:val="24"/>
    </w:rPr>
  </w:style>
  <w:style w:type="character" w:customStyle="1" w:styleId="Heading5Char">
    <w:name w:val="Heading 5 Char"/>
    <w:basedOn w:val="DefaultParagraphFont"/>
    <w:link w:val="Heading5"/>
    <w:rsid w:val="00E6661F"/>
    <w:rPr>
      <w:rFonts w:ascii="Arial" w:hAnsi="Arial"/>
      <w:b/>
      <w:bCs/>
      <w:sz w:val="24"/>
      <w:szCs w:val="24"/>
    </w:rPr>
  </w:style>
  <w:style w:type="character" w:customStyle="1" w:styleId="Heading6Char">
    <w:name w:val="Heading 6 Char"/>
    <w:basedOn w:val="DefaultParagraphFont"/>
    <w:link w:val="Heading6"/>
    <w:rsid w:val="00E6661F"/>
    <w:rPr>
      <w:rFonts w:ascii="Arial" w:hAnsi="Arial"/>
      <w:b/>
      <w:bCs/>
      <w:sz w:val="24"/>
      <w:szCs w:val="24"/>
    </w:rPr>
  </w:style>
  <w:style w:type="character" w:customStyle="1" w:styleId="Heading7Char">
    <w:name w:val="Heading 7 Char"/>
    <w:basedOn w:val="DefaultParagraphFont"/>
    <w:link w:val="Heading7"/>
    <w:rsid w:val="00E6661F"/>
    <w:rPr>
      <w:rFonts w:ascii="Arial" w:hAnsi="Arial"/>
      <w:b/>
      <w:bCs/>
      <w:color w:val="0000FF"/>
      <w:sz w:val="28"/>
      <w:szCs w:val="28"/>
    </w:rPr>
  </w:style>
  <w:style w:type="character" w:customStyle="1" w:styleId="Heading8Char">
    <w:name w:val="Heading 8 Char"/>
    <w:basedOn w:val="DefaultParagraphFont"/>
    <w:link w:val="Heading8"/>
    <w:rsid w:val="00E6661F"/>
    <w:rPr>
      <w:i/>
      <w:iCs/>
      <w:sz w:val="24"/>
      <w:szCs w:val="24"/>
    </w:rPr>
  </w:style>
  <w:style w:type="character" w:customStyle="1" w:styleId="Heading9Char">
    <w:name w:val="Heading 9 Char"/>
    <w:basedOn w:val="DefaultParagraphFont"/>
    <w:link w:val="Heading9"/>
    <w:rsid w:val="00E6661F"/>
    <w:rPr>
      <w:rFonts w:ascii="Arial" w:hAnsi="Arial" w:cs="Arial"/>
      <w:sz w:val="24"/>
      <w:szCs w:val="22"/>
    </w:rPr>
  </w:style>
  <w:style w:type="paragraph" w:styleId="Header">
    <w:name w:val="header"/>
    <w:basedOn w:val="Normal"/>
    <w:link w:val="HeaderChar"/>
    <w:unhideWhenUsed/>
    <w:rsid w:val="003340BA"/>
    <w:pPr>
      <w:tabs>
        <w:tab w:val="center" w:pos="4513"/>
        <w:tab w:val="right" w:pos="9026"/>
      </w:tabs>
      <w:spacing w:line="240" w:lineRule="auto"/>
    </w:pPr>
  </w:style>
  <w:style w:type="character" w:customStyle="1" w:styleId="HeaderChar">
    <w:name w:val="Header Char"/>
    <w:basedOn w:val="DefaultParagraphFont"/>
    <w:link w:val="Header"/>
    <w:rsid w:val="003340BA"/>
    <w:rPr>
      <w:rFonts w:ascii="Arial" w:hAnsi="Arial"/>
      <w:sz w:val="24"/>
      <w:szCs w:val="24"/>
    </w:rPr>
  </w:style>
  <w:style w:type="paragraph" w:styleId="Footer">
    <w:name w:val="footer"/>
    <w:basedOn w:val="Normal"/>
    <w:link w:val="FooterChar"/>
    <w:uiPriority w:val="99"/>
    <w:unhideWhenUsed/>
    <w:rsid w:val="003340BA"/>
    <w:pPr>
      <w:tabs>
        <w:tab w:val="center" w:pos="4513"/>
        <w:tab w:val="right" w:pos="9026"/>
      </w:tabs>
      <w:spacing w:line="240" w:lineRule="auto"/>
    </w:pPr>
  </w:style>
  <w:style w:type="character" w:customStyle="1" w:styleId="FooterChar">
    <w:name w:val="Footer Char"/>
    <w:basedOn w:val="DefaultParagraphFont"/>
    <w:link w:val="Footer"/>
    <w:uiPriority w:val="99"/>
    <w:rsid w:val="003340BA"/>
    <w:rPr>
      <w:rFonts w:ascii="Arial" w:hAnsi="Arial"/>
      <w:sz w:val="24"/>
      <w:szCs w:val="24"/>
    </w:rPr>
  </w:style>
  <w:style w:type="paragraph" w:styleId="BalloonText">
    <w:name w:val="Balloon Text"/>
    <w:basedOn w:val="Normal"/>
    <w:link w:val="BalloonTextChar"/>
    <w:uiPriority w:val="99"/>
    <w:semiHidden/>
    <w:unhideWhenUsed/>
    <w:rsid w:val="003340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0BA"/>
    <w:rPr>
      <w:rFonts w:ascii="Tahoma" w:hAnsi="Tahoma" w:cs="Tahoma"/>
      <w:sz w:val="16"/>
      <w:szCs w:val="16"/>
    </w:rPr>
  </w:style>
  <w:style w:type="paragraph" w:customStyle="1" w:styleId="TableHeading">
    <w:name w:val="Table Heading"/>
    <w:basedOn w:val="Normal"/>
    <w:rsid w:val="003340BA"/>
    <w:pPr>
      <w:tabs>
        <w:tab w:val="left" w:pos="833"/>
        <w:tab w:val="left" w:pos="9015"/>
      </w:tabs>
      <w:spacing w:before="40" w:after="40"/>
    </w:pPr>
    <w:rPr>
      <w:b/>
      <w:sz w:val="20"/>
      <w:szCs w:val="20"/>
    </w:rPr>
  </w:style>
  <w:style w:type="paragraph" w:styleId="FootnoteText">
    <w:name w:val="footnote text"/>
    <w:basedOn w:val="Normal"/>
    <w:link w:val="FootnoteTextChar"/>
    <w:uiPriority w:val="99"/>
    <w:unhideWhenUsed/>
    <w:rsid w:val="003340BA"/>
    <w:pPr>
      <w:spacing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3340BA"/>
    <w:rPr>
      <w:rFonts w:ascii="Calibri" w:eastAsia="Calibri" w:hAnsi="Calibri"/>
    </w:rPr>
  </w:style>
  <w:style w:type="character" w:styleId="FootnoteReference">
    <w:name w:val="footnote reference"/>
    <w:uiPriority w:val="99"/>
    <w:unhideWhenUsed/>
    <w:rsid w:val="003340BA"/>
    <w:rPr>
      <w:vertAlign w:val="superscript"/>
    </w:rPr>
  </w:style>
  <w:style w:type="paragraph" w:styleId="ListParagraph">
    <w:name w:val="List Paragraph"/>
    <w:basedOn w:val="Normal"/>
    <w:uiPriority w:val="34"/>
    <w:qFormat/>
    <w:rsid w:val="003340BA"/>
    <w:pPr>
      <w:ind w:left="720"/>
      <w:contextualSpacing/>
    </w:pPr>
  </w:style>
  <w:style w:type="table" w:styleId="TableGrid">
    <w:name w:val="Table Grid"/>
    <w:basedOn w:val="TableNormal"/>
    <w:uiPriority w:val="59"/>
    <w:rsid w:val="00C12A8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12A83"/>
    <w:pPr>
      <w:spacing w:after="200" w:line="240" w:lineRule="auto"/>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C12A83"/>
    <w:rPr>
      <w:color w:val="0000FF" w:themeColor="hyperlink"/>
      <w:u w:val="single"/>
    </w:rPr>
  </w:style>
  <w:style w:type="paragraph" w:styleId="NoSpacing">
    <w:name w:val="No Spacing"/>
    <w:link w:val="NoSpacingChar"/>
    <w:uiPriority w:val="1"/>
    <w:qFormat/>
    <w:rsid w:val="000C5FE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C5FE2"/>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semiHidden/>
    <w:unhideWhenUsed/>
    <w:qFormat/>
    <w:rsid w:val="00F904CF"/>
    <w:pPr>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character" w:styleId="CommentReference">
    <w:name w:val="annotation reference"/>
    <w:basedOn w:val="DefaultParagraphFont"/>
    <w:uiPriority w:val="99"/>
    <w:semiHidden/>
    <w:unhideWhenUsed/>
    <w:rsid w:val="004A5221"/>
    <w:rPr>
      <w:sz w:val="16"/>
      <w:szCs w:val="16"/>
    </w:rPr>
  </w:style>
  <w:style w:type="paragraph" w:styleId="CommentText">
    <w:name w:val="annotation text"/>
    <w:basedOn w:val="Normal"/>
    <w:link w:val="CommentTextChar"/>
    <w:uiPriority w:val="99"/>
    <w:semiHidden/>
    <w:unhideWhenUsed/>
    <w:rsid w:val="004A5221"/>
    <w:pPr>
      <w:spacing w:line="240" w:lineRule="auto"/>
    </w:pPr>
    <w:rPr>
      <w:sz w:val="20"/>
      <w:szCs w:val="20"/>
    </w:rPr>
  </w:style>
  <w:style w:type="character" w:customStyle="1" w:styleId="CommentTextChar">
    <w:name w:val="Comment Text Char"/>
    <w:basedOn w:val="DefaultParagraphFont"/>
    <w:link w:val="CommentText"/>
    <w:uiPriority w:val="99"/>
    <w:semiHidden/>
    <w:rsid w:val="004A5221"/>
    <w:rPr>
      <w:rFonts w:ascii="Arial" w:hAnsi="Arial"/>
    </w:rPr>
  </w:style>
  <w:style w:type="paragraph" w:styleId="CommentSubject">
    <w:name w:val="annotation subject"/>
    <w:basedOn w:val="CommentText"/>
    <w:next w:val="CommentText"/>
    <w:link w:val="CommentSubjectChar"/>
    <w:uiPriority w:val="99"/>
    <w:semiHidden/>
    <w:unhideWhenUsed/>
    <w:rsid w:val="004A5221"/>
    <w:rPr>
      <w:b/>
      <w:bCs/>
    </w:rPr>
  </w:style>
  <w:style w:type="character" w:customStyle="1" w:styleId="CommentSubjectChar">
    <w:name w:val="Comment Subject Char"/>
    <w:basedOn w:val="CommentTextChar"/>
    <w:link w:val="CommentSubject"/>
    <w:uiPriority w:val="99"/>
    <w:semiHidden/>
    <w:rsid w:val="004A5221"/>
    <w:rPr>
      <w:rFonts w:ascii="Arial" w:hAnsi="Arial"/>
      <w:b/>
      <w:bCs/>
    </w:rPr>
  </w:style>
  <w:style w:type="paragraph" w:styleId="Revision">
    <w:name w:val="Revision"/>
    <w:hidden/>
    <w:uiPriority w:val="99"/>
    <w:semiHidden/>
    <w:rsid w:val="00265B0B"/>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5">
      <w:bodyDiv w:val="1"/>
      <w:marLeft w:val="0"/>
      <w:marRight w:val="0"/>
      <w:marTop w:val="0"/>
      <w:marBottom w:val="0"/>
      <w:divBdr>
        <w:top w:val="none" w:sz="0" w:space="0" w:color="auto"/>
        <w:left w:val="none" w:sz="0" w:space="0" w:color="auto"/>
        <w:bottom w:val="none" w:sz="0" w:space="0" w:color="auto"/>
        <w:right w:val="none" w:sz="0" w:space="0" w:color="auto"/>
      </w:divBdr>
    </w:div>
    <w:div w:id="50082950">
      <w:bodyDiv w:val="1"/>
      <w:marLeft w:val="0"/>
      <w:marRight w:val="0"/>
      <w:marTop w:val="0"/>
      <w:marBottom w:val="0"/>
      <w:divBdr>
        <w:top w:val="none" w:sz="0" w:space="0" w:color="auto"/>
        <w:left w:val="none" w:sz="0" w:space="0" w:color="auto"/>
        <w:bottom w:val="none" w:sz="0" w:space="0" w:color="auto"/>
        <w:right w:val="none" w:sz="0" w:space="0" w:color="auto"/>
      </w:divBdr>
    </w:div>
    <w:div w:id="67000476">
      <w:bodyDiv w:val="1"/>
      <w:marLeft w:val="0"/>
      <w:marRight w:val="0"/>
      <w:marTop w:val="0"/>
      <w:marBottom w:val="0"/>
      <w:divBdr>
        <w:top w:val="none" w:sz="0" w:space="0" w:color="auto"/>
        <w:left w:val="none" w:sz="0" w:space="0" w:color="auto"/>
        <w:bottom w:val="none" w:sz="0" w:space="0" w:color="auto"/>
        <w:right w:val="none" w:sz="0" w:space="0" w:color="auto"/>
      </w:divBdr>
    </w:div>
    <w:div w:id="74592902">
      <w:bodyDiv w:val="1"/>
      <w:marLeft w:val="0"/>
      <w:marRight w:val="0"/>
      <w:marTop w:val="0"/>
      <w:marBottom w:val="0"/>
      <w:divBdr>
        <w:top w:val="none" w:sz="0" w:space="0" w:color="auto"/>
        <w:left w:val="none" w:sz="0" w:space="0" w:color="auto"/>
        <w:bottom w:val="none" w:sz="0" w:space="0" w:color="auto"/>
        <w:right w:val="none" w:sz="0" w:space="0" w:color="auto"/>
      </w:divBdr>
    </w:div>
    <w:div w:id="147213355">
      <w:bodyDiv w:val="1"/>
      <w:marLeft w:val="0"/>
      <w:marRight w:val="0"/>
      <w:marTop w:val="0"/>
      <w:marBottom w:val="0"/>
      <w:divBdr>
        <w:top w:val="none" w:sz="0" w:space="0" w:color="auto"/>
        <w:left w:val="none" w:sz="0" w:space="0" w:color="auto"/>
        <w:bottom w:val="none" w:sz="0" w:space="0" w:color="auto"/>
        <w:right w:val="none" w:sz="0" w:space="0" w:color="auto"/>
      </w:divBdr>
    </w:div>
    <w:div w:id="201096568">
      <w:bodyDiv w:val="1"/>
      <w:marLeft w:val="0"/>
      <w:marRight w:val="0"/>
      <w:marTop w:val="0"/>
      <w:marBottom w:val="0"/>
      <w:divBdr>
        <w:top w:val="none" w:sz="0" w:space="0" w:color="auto"/>
        <w:left w:val="none" w:sz="0" w:space="0" w:color="auto"/>
        <w:bottom w:val="none" w:sz="0" w:space="0" w:color="auto"/>
        <w:right w:val="none" w:sz="0" w:space="0" w:color="auto"/>
      </w:divBdr>
    </w:div>
    <w:div w:id="253904641">
      <w:bodyDiv w:val="1"/>
      <w:marLeft w:val="0"/>
      <w:marRight w:val="0"/>
      <w:marTop w:val="0"/>
      <w:marBottom w:val="0"/>
      <w:divBdr>
        <w:top w:val="none" w:sz="0" w:space="0" w:color="auto"/>
        <w:left w:val="none" w:sz="0" w:space="0" w:color="auto"/>
        <w:bottom w:val="none" w:sz="0" w:space="0" w:color="auto"/>
        <w:right w:val="none" w:sz="0" w:space="0" w:color="auto"/>
      </w:divBdr>
    </w:div>
    <w:div w:id="285356179">
      <w:bodyDiv w:val="1"/>
      <w:marLeft w:val="0"/>
      <w:marRight w:val="0"/>
      <w:marTop w:val="0"/>
      <w:marBottom w:val="0"/>
      <w:divBdr>
        <w:top w:val="none" w:sz="0" w:space="0" w:color="auto"/>
        <w:left w:val="none" w:sz="0" w:space="0" w:color="auto"/>
        <w:bottom w:val="none" w:sz="0" w:space="0" w:color="auto"/>
        <w:right w:val="none" w:sz="0" w:space="0" w:color="auto"/>
      </w:divBdr>
    </w:div>
    <w:div w:id="388774551">
      <w:bodyDiv w:val="1"/>
      <w:marLeft w:val="0"/>
      <w:marRight w:val="0"/>
      <w:marTop w:val="0"/>
      <w:marBottom w:val="0"/>
      <w:divBdr>
        <w:top w:val="none" w:sz="0" w:space="0" w:color="auto"/>
        <w:left w:val="none" w:sz="0" w:space="0" w:color="auto"/>
        <w:bottom w:val="none" w:sz="0" w:space="0" w:color="auto"/>
        <w:right w:val="none" w:sz="0" w:space="0" w:color="auto"/>
      </w:divBdr>
    </w:div>
    <w:div w:id="400298138">
      <w:bodyDiv w:val="1"/>
      <w:marLeft w:val="0"/>
      <w:marRight w:val="0"/>
      <w:marTop w:val="0"/>
      <w:marBottom w:val="0"/>
      <w:divBdr>
        <w:top w:val="none" w:sz="0" w:space="0" w:color="auto"/>
        <w:left w:val="none" w:sz="0" w:space="0" w:color="auto"/>
        <w:bottom w:val="none" w:sz="0" w:space="0" w:color="auto"/>
        <w:right w:val="none" w:sz="0" w:space="0" w:color="auto"/>
      </w:divBdr>
    </w:div>
    <w:div w:id="414320926">
      <w:bodyDiv w:val="1"/>
      <w:marLeft w:val="0"/>
      <w:marRight w:val="0"/>
      <w:marTop w:val="0"/>
      <w:marBottom w:val="0"/>
      <w:divBdr>
        <w:top w:val="none" w:sz="0" w:space="0" w:color="auto"/>
        <w:left w:val="none" w:sz="0" w:space="0" w:color="auto"/>
        <w:bottom w:val="none" w:sz="0" w:space="0" w:color="auto"/>
        <w:right w:val="none" w:sz="0" w:space="0" w:color="auto"/>
      </w:divBdr>
    </w:div>
    <w:div w:id="459419979">
      <w:bodyDiv w:val="1"/>
      <w:marLeft w:val="0"/>
      <w:marRight w:val="0"/>
      <w:marTop w:val="0"/>
      <w:marBottom w:val="0"/>
      <w:divBdr>
        <w:top w:val="none" w:sz="0" w:space="0" w:color="auto"/>
        <w:left w:val="none" w:sz="0" w:space="0" w:color="auto"/>
        <w:bottom w:val="none" w:sz="0" w:space="0" w:color="auto"/>
        <w:right w:val="none" w:sz="0" w:space="0" w:color="auto"/>
      </w:divBdr>
    </w:div>
    <w:div w:id="462161449">
      <w:bodyDiv w:val="1"/>
      <w:marLeft w:val="0"/>
      <w:marRight w:val="0"/>
      <w:marTop w:val="0"/>
      <w:marBottom w:val="0"/>
      <w:divBdr>
        <w:top w:val="none" w:sz="0" w:space="0" w:color="auto"/>
        <w:left w:val="none" w:sz="0" w:space="0" w:color="auto"/>
        <w:bottom w:val="none" w:sz="0" w:space="0" w:color="auto"/>
        <w:right w:val="none" w:sz="0" w:space="0" w:color="auto"/>
      </w:divBdr>
    </w:div>
    <w:div w:id="485321436">
      <w:bodyDiv w:val="1"/>
      <w:marLeft w:val="0"/>
      <w:marRight w:val="0"/>
      <w:marTop w:val="0"/>
      <w:marBottom w:val="0"/>
      <w:divBdr>
        <w:top w:val="none" w:sz="0" w:space="0" w:color="auto"/>
        <w:left w:val="none" w:sz="0" w:space="0" w:color="auto"/>
        <w:bottom w:val="none" w:sz="0" w:space="0" w:color="auto"/>
        <w:right w:val="none" w:sz="0" w:space="0" w:color="auto"/>
      </w:divBdr>
    </w:div>
    <w:div w:id="523448086">
      <w:bodyDiv w:val="1"/>
      <w:marLeft w:val="0"/>
      <w:marRight w:val="0"/>
      <w:marTop w:val="0"/>
      <w:marBottom w:val="0"/>
      <w:divBdr>
        <w:top w:val="none" w:sz="0" w:space="0" w:color="auto"/>
        <w:left w:val="none" w:sz="0" w:space="0" w:color="auto"/>
        <w:bottom w:val="none" w:sz="0" w:space="0" w:color="auto"/>
        <w:right w:val="none" w:sz="0" w:space="0" w:color="auto"/>
      </w:divBdr>
    </w:div>
    <w:div w:id="543062188">
      <w:bodyDiv w:val="1"/>
      <w:marLeft w:val="0"/>
      <w:marRight w:val="0"/>
      <w:marTop w:val="0"/>
      <w:marBottom w:val="0"/>
      <w:divBdr>
        <w:top w:val="none" w:sz="0" w:space="0" w:color="auto"/>
        <w:left w:val="none" w:sz="0" w:space="0" w:color="auto"/>
        <w:bottom w:val="none" w:sz="0" w:space="0" w:color="auto"/>
        <w:right w:val="none" w:sz="0" w:space="0" w:color="auto"/>
      </w:divBdr>
    </w:div>
    <w:div w:id="574364320">
      <w:bodyDiv w:val="1"/>
      <w:marLeft w:val="0"/>
      <w:marRight w:val="0"/>
      <w:marTop w:val="0"/>
      <w:marBottom w:val="0"/>
      <w:divBdr>
        <w:top w:val="none" w:sz="0" w:space="0" w:color="auto"/>
        <w:left w:val="none" w:sz="0" w:space="0" w:color="auto"/>
        <w:bottom w:val="none" w:sz="0" w:space="0" w:color="auto"/>
        <w:right w:val="none" w:sz="0" w:space="0" w:color="auto"/>
      </w:divBdr>
    </w:div>
    <w:div w:id="575437899">
      <w:bodyDiv w:val="1"/>
      <w:marLeft w:val="0"/>
      <w:marRight w:val="0"/>
      <w:marTop w:val="0"/>
      <w:marBottom w:val="0"/>
      <w:divBdr>
        <w:top w:val="none" w:sz="0" w:space="0" w:color="auto"/>
        <w:left w:val="none" w:sz="0" w:space="0" w:color="auto"/>
        <w:bottom w:val="none" w:sz="0" w:space="0" w:color="auto"/>
        <w:right w:val="none" w:sz="0" w:space="0" w:color="auto"/>
      </w:divBdr>
    </w:div>
    <w:div w:id="577599049">
      <w:bodyDiv w:val="1"/>
      <w:marLeft w:val="0"/>
      <w:marRight w:val="0"/>
      <w:marTop w:val="0"/>
      <w:marBottom w:val="0"/>
      <w:divBdr>
        <w:top w:val="none" w:sz="0" w:space="0" w:color="auto"/>
        <w:left w:val="none" w:sz="0" w:space="0" w:color="auto"/>
        <w:bottom w:val="none" w:sz="0" w:space="0" w:color="auto"/>
        <w:right w:val="none" w:sz="0" w:space="0" w:color="auto"/>
      </w:divBdr>
    </w:div>
    <w:div w:id="585261795">
      <w:bodyDiv w:val="1"/>
      <w:marLeft w:val="0"/>
      <w:marRight w:val="0"/>
      <w:marTop w:val="0"/>
      <w:marBottom w:val="0"/>
      <w:divBdr>
        <w:top w:val="none" w:sz="0" w:space="0" w:color="auto"/>
        <w:left w:val="none" w:sz="0" w:space="0" w:color="auto"/>
        <w:bottom w:val="none" w:sz="0" w:space="0" w:color="auto"/>
        <w:right w:val="none" w:sz="0" w:space="0" w:color="auto"/>
      </w:divBdr>
    </w:div>
    <w:div w:id="616332383">
      <w:bodyDiv w:val="1"/>
      <w:marLeft w:val="0"/>
      <w:marRight w:val="0"/>
      <w:marTop w:val="0"/>
      <w:marBottom w:val="0"/>
      <w:divBdr>
        <w:top w:val="none" w:sz="0" w:space="0" w:color="auto"/>
        <w:left w:val="none" w:sz="0" w:space="0" w:color="auto"/>
        <w:bottom w:val="none" w:sz="0" w:space="0" w:color="auto"/>
        <w:right w:val="none" w:sz="0" w:space="0" w:color="auto"/>
      </w:divBdr>
    </w:div>
    <w:div w:id="660280205">
      <w:bodyDiv w:val="1"/>
      <w:marLeft w:val="0"/>
      <w:marRight w:val="0"/>
      <w:marTop w:val="0"/>
      <w:marBottom w:val="0"/>
      <w:divBdr>
        <w:top w:val="none" w:sz="0" w:space="0" w:color="auto"/>
        <w:left w:val="none" w:sz="0" w:space="0" w:color="auto"/>
        <w:bottom w:val="none" w:sz="0" w:space="0" w:color="auto"/>
        <w:right w:val="none" w:sz="0" w:space="0" w:color="auto"/>
      </w:divBdr>
    </w:div>
    <w:div w:id="664360021">
      <w:bodyDiv w:val="1"/>
      <w:marLeft w:val="0"/>
      <w:marRight w:val="0"/>
      <w:marTop w:val="0"/>
      <w:marBottom w:val="0"/>
      <w:divBdr>
        <w:top w:val="none" w:sz="0" w:space="0" w:color="auto"/>
        <w:left w:val="none" w:sz="0" w:space="0" w:color="auto"/>
        <w:bottom w:val="none" w:sz="0" w:space="0" w:color="auto"/>
        <w:right w:val="none" w:sz="0" w:space="0" w:color="auto"/>
      </w:divBdr>
    </w:div>
    <w:div w:id="774790503">
      <w:bodyDiv w:val="1"/>
      <w:marLeft w:val="0"/>
      <w:marRight w:val="0"/>
      <w:marTop w:val="0"/>
      <w:marBottom w:val="0"/>
      <w:divBdr>
        <w:top w:val="none" w:sz="0" w:space="0" w:color="auto"/>
        <w:left w:val="none" w:sz="0" w:space="0" w:color="auto"/>
        <w:bottom w:val="none" w:sz="0" w:space="0" w:color="auto"/>
        <w:right w:val="none" w:sz="0" w:space="0" w:color="auto"/>
      </w:divBdr>
    </w:div>
    <w:div w:id="794569502">
      <w:bodyDiv w:val="1"/>
      <w:marLeft w:val="0"/>
      <w:marRight w:val="0"/>
      <w:marTop w:val="0"/>
      <w:marBottom w:val="0"/>
      <w:divBdr>
        <w:top w:val="none" w:sz="0" w:space="0" w:color="auto"/>
        <w:left w:val="none" w:sz="0" w:space="0" w:color="auto"/>
        <w:bottom w:val="none" w:sz="0" w:space="0" w:color="auto"/>
        <w:right w:val="none" w:sz="0" w:space="0" w:color="auto"/>
      </w:divBdr>
    </w:div>
    <w:div w:id="886380000">
      <w:bodyDiv w:val="1"/>
      <w:marLeft w:val="0"/>
      <w:marRight w:val="0"/>
      <w:marTop w:val="0"/>
      <w:marBottom w:val="0"/>
      <w:divBdr>
        <w:top w:val="none" w:sz="0" w:space="0" w:color="auto"/>
        <w:left w:val="none" w:sz="0" w:space="0" w:color="auto"/>
        <w:bottom w:val="none" w:sz="0" w:space="0" w:color="auto"/>
        <w:right w:val="none" w:sz="0" w:space="0" w:color="auto"/>
      </w:divBdr>
    </w:div>
    <w:div w:id="922762172">
      <w:bodyDiv w:val="1"/>
      <w:marLeft w:val="0"/>
      <w:marRight w:val="0"/>
      <w:marTop w:val="0"/>
      <w:marBottom w:val="0"/>
      <w:divBdr>
        <w:top w:val="none" w:sz="0" w:space="0" w:color="auto"/>
        <w:left w:val="none" w:sz="0" w:space="0" w:color="auto"/>
        <w:bottom w:val="none" w:sz="0" w:space="0" w:color="auto"/>
        <w:right w:val="none" w:sz="0" w:space="0" w:color="auto"/>
      </w:divBdr>
    </w:div>
    <w:div w:id="1009678787">
      <w:bodyDiv w:val="1"/>
      <w:marLeft w:val="0"/>
      <w:marRight w:val="0"/>
      <w:marTop w:val="0"/>
      <w:marBottom w:val="0"/>
      <w:divBdr>
        <w:top w:val="none" w:sz="0" w:space="0" w:color="auto"/>
        <w:left w:val="none" w:sz="0" w:space="0" w:color="auto"/>
        <w:bottom w:val="none" w:sz="0" w:space="0" w:color="auto"/>
        <w:right w:val="none" w:sz="0" w:space="0" w:color="auto"/>
      </w:divBdr>
    </w:div>
    <w:div w:id="1040130513">
      <w:bodyDiv w:val="1"/>
      <w:marLeft w:val="0"/>
      <w:marRight w:val="0"/>
      <w:marTop w:val="0"/>
      <w:marBottom w:val="0"/>
      <w:divBdr>
        <w:top w:val="none" w:sz="0" w:space="0" w:color="auto"/>
        <w:left w:val="none" w:sz="0" w:space="0" w:color="auto"/>
        <w:bottom w:val="none" w:sz="0" w:space="0" w:color="auto"/>
        <w:right w:val="none" w:sz="0" w:space="0" w:color="auto"/>
      </w:divBdr>
    </w:div>
    <w:div w:id="1044330456">
      <w:bodyDiv w:val="1"/>
      <w:marLeft w:val="0"/>
      <w:marRight w:val="0"/>
      <w:marTop w:val="0"/>
      <w:marBottom w:val="0"/>
      <w:divBdr>
        <w:top w:val="none" w:sz="0" w:space="0" w:color="auto"/>
        <w:left w:val="none" w:sz="0" w:space="0" w:color="auto"/>
        <w:bottom w:val="none" w:sz="0" w:space="0" w:color="auto"/>
        <w:right w:val="none" w:sz="0" w:space="0" w:color="auto"/>
      </w:divBdr>
    </w:div>
    <w:div w:id="1071123828">
      <w:bodyDiv w:val="1"/>
      <w:marLeft w:val="0"/>
      <w:marRight w:val="0"/>
      <w:marTop w:val="0"/>
      <w:marBottom w:val="0"/>
      <w:divBdr>
        <w:top w:val="none" w:sz="0" w:space="0" w:color="auto"/>
        <w:left w:val="none" w:sz="0" w:space="0" w:color="auto"/>
        <w:bottom w:val="none" w:sz="0" w:space="0" w:color="auto"/>
        <w:right w:val="none" w:sz="0" w:space="0" w:color="auto"/>
      </w:divBdr>
    </w:div>
    <w:div w:id="1097674074">
      <w:bodyDiv w:val="1"/>
      <w:marLeft w:val="0"/>
      <w:marRight w:val="0"/>
      <w:marTop w:val="0"/>
      <w:marBottom w:val="0"/>
      <w:divBdr>
        <w:top w:val="none" w:sz="0" w:space="0" w:color="auto"/>
        <w:left w:val="none" w:sz="0" w:space="0" w:color="auto"/>
        <w:bottom w:val="none" w:sz="0" w:space="0" w:color="auto"/>
        <w:right w:val="none" w:sz="0" w:space="0" w:color="auto"/>
      </w:divBdr>
    </w:div>
    <w:div w:id="1100221635">
      <w:bodyDiv w:val="1"/>
      <w:marLeft w:val="0"/>
      <w:marRight w:val="0"/>
      <w:marTop w:val="0"/>
      <w:marBottom w:val="0"/>
      <w:divBdr>
        <w:top w:val="none" w:sz="0" w:space="0" w:color="auto"/>
        <w:left w:val="none" w:sz="0" w:space="0" w:color="auto"/>
        <w:bottom w:val="none" w:sz="0" w:space="0" w:color="auto"/>
        <w:right w:val="none" w:sz="0" w:space="0" w:color="auto"/>
      </w:divBdr>
    </w:div>
    <w:div w:id="1140730807">
      <w:bodyDiv w:val="1"/>
      <w:marLeft w:val="0"/>
      <w:marRight w:val="0"/>
      <w:marTop w:val="0"/>
      <w:marBottom w:val="0"/>
      <w:divBdr>
        <w:top w:val="none" w:sz="0" w:space="0" w:color="auto"/>
        <w:left w:val="none" w:sz="0" w:space="0" w:color="auto"/>
        <w:bottom w:val="none" w:sz="0" w:space="0" w:color="auto"/>
        <w:right w:val="none" w:sz="0" w:space="0" w:color="auto"/>
      </w:divBdr>
    </w:div>
    <w:div w:id="1170146867">
      <w:bodyDiv w:val="1"/>
      <w:marLeft w:val="0"/>
      <w:marRight w:val="0"/>
      <w:marTop w:val="0"/>
      <w:marBottom w:val="0"/>
      <w:divBdr>
        <w:top w:val="none" w:sz="0" w:space="0" w:color="auto"/>
        <w:left w:val="none" w:sz="0" w:space="0" w:color="auto"/>
        <w:bottom w:val="none" w:sz="0" w:space="0" w:color="auto"/>
        <w:right w:val="none" w:sz="0" w:space="0" w:color="auto"/>
      </w:divBdr>
    </w:div>
    <w:div w:id="1187017598">
      <w:bodyDiv w:val="1"/>
      <w:marLeft w:val="0"/>
      <w:marRight w:val="0"/>
      <w:marTop w:val="0"/>
      <w:marBottom w:val="0"/>
      <w:divBdr>
        <w:top w:val="none" w:sz="0" w:space="0" w:color="auto"/>
        <w:left w:val="none" w:sz="0" w:space="0" w:color="auto"/>
        <w:bottom w:val="none" w:sz="0" w:space="0" w:color="auto"/>
        <w:right w:val="none" w:sz="0" w:space="0" w:color="auto"/>
      </w:divBdr>
    </w:div>
    <w:div w:id="1190605447">
      <w:bodyDiv w:val="1"/>
      <w:marLeft w:val="0"/>
      <w:marRight w:val="0"/>
      <w:marTop w:val="0"/>
      <w:marBottom w:val="0"/>
      <w:divBdr>
        <w:top w:val="none" w:sz="0" w:space="0" w:color="auto"/>
        <w:left w:val="none" w:sz="0" w:space="0" w:color="auto"/>
        <w:bottom w:val="none" w:sz="0" w:space="0" w:color="auto"/>
        <w:right w:val="none" w:sz="0" w:space="0" w:color="auto"/>
      </w:divBdr>
    </w:div>
    <w:div w:id="1212961640">
      <w:bodyDiv w:val="1"/>
      <w:marLeft w:val="0"/>
      <w:marRight w:val="0"/>
      <w:marTop w:val="0"/>
      <w:marBottom w:val="0"/>
      <w:divBdr>
        <w:top w:val="none" w:sz="0" w:space="0" w:color="auto"/>
        <w:left w:val="none" w:sz="0" w:space="0" w:color="auto"/>
        <w:bottom w:val="none" w:sz="0" w:space="0" w:color="auto"/>
        <w:right w:val="none" w:sz="0" w:space="0" w:color="auto"/>
      </w:divBdr>
    </w:div>
    <w:div w:id="1228802014">
      <w:bodyDiv w:val="1"/>
      <w:marLeft w:val="0"/>
      <w:marRight w:val="0"/>
      <w:marTop w:val="0"/>
      <w:marBottom w:val="0"/>
      <w:divBdr>
        <w:top w:val="none" w:sz="0" w:space="0" w:color="auto"/>
        <w:left w:val="none" w:sz="0" w:space="0" w:color="auto"/>
        <w:bottom w:val="none" w:sz="0" w:space="0" w:color="auto"/>
        <w:right w:val="none" w:sz="0" w:space="0" w:color="auto"/>
      </w:divBdr>
    </w:div>
    <w:div w:id="1246723214">
      <w:bodyDiv w:val="1"/>
      <w:marLeft w:val="0"/>
      <w:marRight w:val="0"/>
      <w:marTop w:val="0"/>
      <w:marBottom w:val="0"/>
      <w:divBdr>
        <w:top w:val="none" w:sz="0" w:space="0" w:color="auto"/>
        <w:left w:val="none" w:sz="0" w:space="0" w:color="auto"/>
        <w:bottom w:val="none" w:sz="0" w:space="0" w:color="auto"/>
        <w:right w:val="none" w:sz="0" w:space="0" w:color="auto"/>
      </w:divBdr>
    </w:div>
    <w:div w:id="1286814247">
      <w:bodyDiv w:val="1"/>
      <w:marLeft w:val="0"/>
      <w:marRight w:val="0"/>
      <w:marTop w:val="0"/>
      <w:marBottom w:val="0"/>
      <w:divBdr>
        <w:top w:val="none" w:sz="0" w:space="0" w:color="auto"/>
        <w:left w:val="none" w:sz="0" w:space="0" w:color="auto"/>
        <w:bottom w:val="none" w:sz="0" w:space="0" w:color="auto"/>
        <w:right w:val="none" w:sz="0" w:space="0" w:color="auto"/>
      </w:divBdr>
    </w:div>
    <w:div w:id="1287739279">
      <w:bodyDiv w:val="1"/>
      <w:marLeft w:val="0"/>
      <w:marRight w:val="0"/>
      <w:marTop w:val="0"/>
      <w:marBottom w:val="0"/>
      <w:divBdr>
        <w:top w:val="none" w:sz="0" w:space="0" w:color="auto"/>
        <w:left w:val="none" w:sz="0" w:space="0" w:color="auto"/>
        <w:bottom w:val="none" w:sz="0" w:space="0" w:color="auto"/>
        <w:right w:val="none" w:sz="0" w:space="0" w:color="auto"/>
      </w:divBdr>
    </w:div>
    <w:div w:id="1309095750">
      <w:bodyDiv w:val="1"/>
      <w:marLeft w:val="0"/>
      <w:marRight w:val="0"/>
      <w:marTop w:val="0"/>
      <w:marBottom w:val="0"/>
      <w:divBdr>
        <w:top w:val="none" w:sz="0" w:space="0" w:color="auto"/>
        <w:left w:val="none" w:sz="0" w:space="0" w:color="auto"/>
        <w:bottom w:val="none" w:sz="0" w:space="0" w:color="auto"/>
        <w:right w:val="none" w:sz="0" w:space="0" w:color="auto"/>
      </w:divBdr>
    </w:div>
    <w:div w:id="1361319086">
      <w:bodyDiv w:val="1"/>
      <w:marLeft w:val="0"/>
      <w:marRight w:val="0"/>
      <w:marTop w:val="0"/>
      <w:marBottom w:val="0"/>
      <w:divBdr>
        <w:top w:val="none" w:sz="0" w:space="0" w:color="auto"/>
        <w:left w:val="none" w:sz="0" w:space="0" w:color="auto"/>
        <w:bottom w:val="none" w:sz="0" w:space="0" w:color="auto"/>
        <w:right w:val="none" w:sz="0" w:space="0" w:color="auto"/>
      </w:divBdr>
    </w:div>
    <w:div w:id="1406802939">
      <w:bodyDiv w:val="1"/>
      <w:marLeft w:val="0"/>
      <w:marRight w:val="0"/>
      <w:marTop w:val="0"/>
      <w:marBottom w:val="0"/>
      <w:divBdr>
        <w:top w:val="none" w:sz="0" w:space="0" w:color="auto"/>
        <w:left w:val="none" w:sz="0" w:space="0" w:color="auto"/>
        <w:bottom w:val="none" w:sz="0" w:space="0" w:color="auto"/>
        <w:right w:val="none" w:sz="0" w:space="0" w:color="auto"/>
      </w:divBdr>
    </w:div>
    <w:div w:id="1407914843">
      <w:bodyDiv w:val="1"/>
      <w:marLeft w:val="0"/>
      <w:marRight w:val="0"/>
      <w:marTop w:val="0"/>
      <w:marBottom w:val="0"/>
      <w:divBdr>
        <w:top w:val="none" w:sz="0" w:space="0" w:color="auto"/>
        <w:left w:val="none" w:sz="0" w:space="0" w:color="auto"/>
        <w:bottom w:val="none" w:sz="0" w:space="0" w:color="auto"/>
        <w:right w:val="none" w:sz="0" w:space="0" w:color="auto"/>
      </w:divBdr>
    </w:div>
    <w:div w:id="1459491574">
      <w:bodyDiv w:val="1"/>
      <w:marLeft w:val="0"/>
      <w:marRight w:val="0"/>
      <w:marTop w:val="0"/>
      <w:marBottom w:val="0"/>
      <w:divBdr>
        <w:top w:val="none" w:sz="0" w:space="0" w:color="auto"/>
        <w:left w:val="none" w:sz="0" w:space="0" w:color="auto"/>
        <w:bottom w:val="none" w:sz="0" w:space="0" w:color="auto"/>
        <w:right w:val="none" w:sz="0" w:space="0" w:color="auto"/>
      </w:divBdr>
    </w:div>
    <w:div w:id="1466434643">
      <w:bodyDiv w:val="1"/>
      <w:marLeft w:val="0"/>
      <w:marRight w:val="0"/>
      <w:marTop w:val="0"/>
      <w:marBottom w:val="0"/>
      <w:divBdr>
        <w:top w:val="none" w:sz="0" w:space="0" w:color="auto"/>
        <w:left w:val="none" w:sz="0" w:space="0" w:color="auto"/>
        <w:bottom w:val="none" w:sz="0" w:space="0" w:color="auto"/>
        <w:right w:val="none" w:sz="0" w:space="0" w:color="auto"/>
      </w:divBdr>
    </w:div>
    <w:div w:id="1507747878">
      <w:bodyDiv w:val="1"/>
      <w:marLeft w:val="0"/>
      <w:marRight w:val="0"/>
      <w:marTop w:val="0"/>
      <w:marBottom w:val="0"/>
      <w:divBdr>
        <w:top w:val="none" w:sz="0" w:space="0" w:color="auto"/>
        <w:left w:val="none" w:sz="0" w:space="0" w:color="auto"/>
        <w:bottom w:val="none" w:sz="0" w:space="0" w:color="auto"/>
        <w:right w:val="none" w:sz="0" w:space="0" w:color="auto"/>
      </w:divBdr>
    </w:div>
    <w:div w:id="1573851124">
      <w:bodyDiv w:val="1"/>
      <w:marLeft w:val="0"/>
      <w:marRight w:val="0"/>
      <w:marTop w:val="0"/>
      <w:marBottom w:val="0"/>
      <w:divBdr>
        <w:top w:val="none" w:sz="0" w:space="0" w:color="auto"/>
        <w:left w:val="none" w:sz="0" w:space="0" w:color="auto"/>
        <w:bottom w:val="none" w:sz="0" w:space="0" w:color="auto"/>
        <w:right w:val="none" w:sz="0" w:space="0" w:color="auto"/>
      </w:divBdr>
    </w:div>
    <w:div w:id="1658073763">
      <w:bodyDiv w:val="1"/>
      <w:marLeft w:val="0"/>
      <w:marRight w:val="0"/>
      <w:marTop w:val="0"/>
      <w:marBottom w:val="0"/>
      <w:divBdr>
        <w:top w:val="none" w:sz="0" w:space="0" w:color="auto"/>
        <w:left w:val="none" w:sz="0" w:space="0" w:color="auto"/>
        <w:bottom w:val="none" w:sz="0" w:space="0" w:color="auto"/>
        <w:right w:val="none" w:sz="0" w:space="0" w:color="auto"/>
      </w:divBdr>
    </w:div>
    <w:div w:id="1684939344">
      <w:bodyDiv w:val="1"/>
      <w:marLeft w:val="0"/>
      <w:marRight w:val="0"/>
      <w:marTop w:val="0"/>
      <w:marBottom w:val="0"/>
      <w:divBdr>
        <w:top w:val="none" w:sz="0" w:space="0" w:color="auto"/>
        <w:left w:val="none" w:sz="0" w:space="0" w:color="auto"/>
        <w:bottom w:val="none" w:sz="0" w:space="0" w:color="auto"/>
        <w:right w:val="none" w:sz="0" w:space="0" w:color="auto"/>
      </w:divBdr>
    </w:div>
    <w:div w:id="1718578612">
      <w:bodyDiv w:val="1"/>
      <w:marLeft w:val="0"/>
      <w:marRight w:val="0"/>
      <w:marTop w:val="0"/>
      <w:marBottom w:val="0"/>
      <w:divBdr>
        <w:top w:val="none" w:sz="0" w:space="0" w:color="auto"/>
        <w:left w:val="none" w:sz="0" w:space="0" w:color="auto"/>
        <w:bottom w:val="none" w:sz="0" w:space="0" w:color="auto"/>
        <w:right w:val="none" w:sz="0" w:space="0" w:color="auto"/>
      </w:divBdr>
    </w:div>
    <w:div w:id="1726951103">
      <w:bodyDiv w:val="1"/>
      <w:marLeft w:val="0"/>
      <w:marRight w:val="0"/>
      <w:marTop w:val="0"/>
      <w:marBottom w:val="0"/>
      <w:divBdr>
        <w:top w:val="none" w:sz="0" w:space="0" w:color="auto"/>
        <w:left w:val="none" w:sz="0" w:space="0" w:color="auto"/>
        <w:bottom w:val="none" w:sz="0" w:space="0" w:color="auto"/>
        <w:right w:val="none" w:sz="0" w:space="0" w:color="auto"/>
      </w:divBdr>
    </w:div>
    <w:div w:id="1735738847">
      <w:bodyDiv w:val="1"/>
      <w:marLeft w:val="0"/>
      <w:marRight w:val="0"/>
      <w:marTop w:val="0"/>
      <w:marBottom w:val="0"/>
      <w:divBdr>
        <w:top w:val="none" w:sz="0" w:space="0" w:color="auto"/>
        <w:left w:val="none" w:sz="0" w:space="0" w:color="auto"/>
        <w:bottom w:val="none" w:sz="0" w:space="0" w:color="auto"/>
        <w:right w:val="none" w:sz="0" w:space="0" w:color="auto"/>
      </w:divBdr>
    </w:div>
    <w:div w:id="1783264319">
      <w:bodyDiv w:val="1"/>
      <w:marLeft w:val="0"/>
      <w:marRight w:val="0"/>
      <w:marTop w:val="0"/>
      <w:marBottom w:val="0"/>
      <w:divBdr>
        <w:top w:val="none" w:sz="0" w:space="0" w:color="auto"/>
        <w:left w:val="none" w:sz="0" w:space="0" w:color="auto"/>
        <w:bottom w:val="none" w:sz="0" w:space="0" w:color="auto"/>
        <w:right w:val="none" w:sz="0" w:space="0" w:color="auto"/>
      </w:divBdr>
    </w:div>
    <w:div w:id="1786584043">
      <w:bodyDiv w:val="1"/>
      <w:marLeft w:val="0"/>
      <w:marRight w:val="0"/>
      <w:marTop w:val="0"/>
      <w:marBottom w:val="0"/>
      <w:divBdr>
        <w:top w:val="none" w:sz="0" w:space="0" w:color="auto"/>
        <w:left w:val="none" w:sz="0" w:space="0" w:color="auto"/>
        <w:bottom w:val="none" w:sz="0" w:space="0" w:color="auto"/>
        <w:right w:val="none" w:sz="0" w:space="0" w:color="auto"/>
      </w:divBdr>
    </w:div>
    <w:div w:id="1821076388">
      <w:bodyDiv w:val="1"/>
      <w:marLeft w:val="0"/>
      <w:marRight w:val="0"/>
      <w:marTop w:val="0"/>
      <w:marBottom w:val="0"/>
      <w:divBdr>
        <w:top w:val="none" w:sz="0" w:space="0" w:color="auto"/>
        <w:left w:val="none" w:sz="0" w:space="0" w:color="auto"/>
        <w:bottom w:val="none" w:sz="0" w:space="0" w:color="auto"/>
        <w:right w:val="none" w:sz="0" w:space="0" w:color="auto"/>
      </w:divBdr>
    </w:div>
    <w:div w:id="1822500580">
      <w:bodyDiv w:val="1"/>
      <w:marLeft w:val="0"/>
      <w:marRight w:val="0"/>
      <w:marTop w:val="0"/>
      <w:marBottom w:val="0"/>
      <w:divBdr>
        <w:top w:val="none" w:sz="0" w:space="0" w:color="auto"/>
        <w:left w:val="none" w:sz="0" w:space="0" w:color="auto"/>
        <w:bottom w:val="none" w:sz="0" w:space="0" w:color="auto"/>
        <w:right w:val="none" w:sz="0" w:space="0" w:color="auto"/>
      </w:divBdr>
    </w:div>
    <w:div w:id="1852834663">
      <w:bodyDiv w:val="1"/>
      <w:marLeft w:val="0"/>
      <w:marRight w:val="0"/>
      <w:marTop w:val="0"/>
      <w:marBottom w:val="0"/>
      <w:divBdr>
        <w:top w:val="none" w:sz="0" w:space="0" w:color="auto"/>
        <w:left w:val="none" w:sz="0" w:space="0" w:color="auto"/>
        <w:bottom w:val="none" w:sz="0" w:space="0" w:color="auto"/>
        <w:right w:val="none" w:sz="0" w:space="0" w:color="auto"/>
      </w:divBdr>
    </w:div>
    <w:div w:id="1875457505">
      <w:bodyDiv w:val="1"/>
      <w:marLeft w:val="0"/>
      <w:marRight w:val="0"/>
      <w:marTop w:val="0"/>
      <w:marBottom w:val="0"/>
      <w:divBdr>
        <w:top w:val="none" w:sz="0" w:space="0" w:color="auto"/>
        <w:left w:val="none" w:sz="0" w:space="0" w:color="auto"/>
        <w:bottom w:val="none" w:sz="0" w:space="0" w:color="auto"/>
        <w:right w:val="none" w:sz="0" w:space="0" w:color="auto"/>
      </w:divBdr>
    </w:div>
    <w:div w:id="1928615909">
      <w:bodyDiv w:val="1"/>
      <w:marLeft w:val="0"/>
      <w:marRight w:val="0"/>
      <w:marTop w:val="0"/>
      <w:marBottom w:val="0"/>
      <w:divBdr>
        <w:top w:val="none" w:sz="0" w:space="0" w:color="auto"/>
        <w:left w:val="none" w:sz="0" w:space="0" w:color="auto"/>
        <w:bottom w:val="none" w:sz="0" w:space="0" w:color="auto"/>
        <w:right w:val="none" w:sz="0" w:space="0" w:color="auto"/>
      </w:divBdr>
    </w:div>
    <w:div w:id="2040011121">
      <w:bodyDiv w:val="1"/>
      <w:marLeft w:val="0"/>
      <w:marRight w:val="0"/>
      <w:marTop w:val="0"/>
      <w:marBottom w:val="0"/>
      <w:divBdr>
        <w:top w:val="none" w:sz="0" w:space="0" w:color="auto"/>
        <w:left w:val="none" w:sz="0" w:space="0" w:color="auto"/>
        <w:bottom w:val="none" w:sz="0" w:space="0" w:color="auto"/>
        <w:right w:val="none" w:sz="0" w:space="0" w:color="auto"/>
      </w:divBdr>
    </w:div>
    <w:div w:id="2055930205">
      <w:bodyDiv w:val="1"/>
      <w:marLeft w:val="0"/>
      <w:marRight w:val="0"/>
      <w:marTop w:val="0"/>
      <w:marBottom w:val="0"/>
      <w:divBdr>
        <w:top w:val="none" w:sz="0" w:space="0" w:color="auto"/>
        <w:left w:val="none" w:sz="0" w:space="0" w:color="auto"/>
        <w:bottom w:val="none" w:sz="0" w:space="0" w:color="auto"/>
        <w:right w:val="none" w:sz="0" w:space="0" w:color="auto"/>
      </w:divBdr>
    </w:div>
    <w:div w:id="212272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3.xml"/><Relationship Id="rId21" Type="http://schemas.openxmlformats.org/officeDocument/2006/relationships/chart" Target="charts/chart11.xml"/><Relationship Id="rId34" Type="http://schemas.openxmlformats.org/officeDocument/2006/relationships/image" Target="media/image8.emf"/><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hyperlink" Target="http://www.geoffswire.co.uk/services" TargetMode="External"/><Relationship Id="rId63" Type="http://schemas.openxmlformats.org/officeDocument/2006/relationships/chart" Target="charts/chart45.xml"/><Relationship Id="rId68" Type="http://schemas.openxmlformats.org/officeDocument/2006/relationships/image" Target="media/image13.emf"/><Relationship Id="rId76" Type="http://schemas.openxmlformats.org/officeDocument/2006/relationships/chart" Target="charts/chart54.xml"/><Relationship Id="rId84" Type="http://schemas.openxmlformats.org/officeDocument/2006/relationships/chart" Target="charts/chart62.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9.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4.emf"/><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6.emf"/><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0.xml"/><Relationship Id="rId66" Type="http://schemas.openxmlformats.org/officeDocument/2006/relationships/image" Target="media/image11.emf"/><Relationship Id="rId74" Type="http://schemas.openxmlformats.org/officeDocument/2006/relationships/chart" Target="charts/chart52.xml"/><Relationship Id="rId79" Type="http://schemas.openxmlformats.org/officeDocument/2006/relationships/chart" Target="charts/chart57.xm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chart" Target="charts/chart43.xml"/><Relationship Id="rId82" Type="http://schemas.openxmlformats.org/officeDocument/2006/relationships/chart" Target="charts/chart60.xml"/><Relationship Id="rId90" Type="http://schemas.openxmlformats.org/officeDocument/2006/relationships/theme" Target="theme/theme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3.emf"/><Relationship Id="rId30" Type="http://schemas.openxmlformats.org/officeDocument/2006/relationships/chart" Target="charts/chart18.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image" Target="media/image9.emf"/><Relationship Id="rId64" Type="http://schemas.openxmlformats.org/officeDocument/2006/relationships/chart" Target="charts/chart46.xml"/><Relationship Id="rId69" Type="http://schemas.openxmlformats.org/officeDocument/2006/relationships/chart" Target="charts/chart47.xml"/><Relationship Id="rId77" Type="http://schemas.openxmlformats.org/officeDocument/2006/relationships/chart" Target="charts/chart55.xml"/><Relationship Id="rId8" Type="http://schemas.openxmlformats.org/officeDocument/2006/relationships/endnotes" Target="endnotes.xml"/><Relationship Id="rId51" Type="http://schemas.openxmlformats.org/officeDocument/2006/relationships/chart" Target="charts/chart35.xml"/><Relationship Id="rId72" Type="http://schemas.openxmlformats.org/officeDocument/2006/relationships/chart" Target="charts/chart50.xml"/><Relationship Id="rId80" Type="http://schemas.openxmlformats.org/officeDocument/2006/relationships/chart" Target="charts/chart58.xml"/><Relationship Id="rId85" Type="http://schemas.openxmlformats.org/officeDocument/2006/relationships/chart" Target="charts/chart6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7.emf"/><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1.xml"/><Relationship Id="rId67" Type="http://schemas.openxmlformats.org/officeDocument/2006/relationships/image" Target="media/image12.emf"/><Relationship Id="rId20" Type="http://schemas.openxmlformats.org/officeDocument/2006/relationships/chart" Target="charts/chart10.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4.xml"/><Relationship Id="rId70" Type="http://schemas.openxmlformats.org/officeDocument/2006/relationships/chart" Target="charts/chart48.xml"/><Relationship Id="rId75" Type="http://schemas.openxmlformats.org/officeDocument/2006/relationships/chart" Target="charts/chart53.xml"/><Relationship Id="rId83" Type="http://schemas.openxmlformats.org/officeDocument/2006/relationships/chart" Target="charts/chart61.xm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39.xml"/><Relationship Id="rId10" Type="http://schemas.openxmlformats.org/officeDocument/2006/relationships/image" Target="media/image2.emf"/><Relationship Id="rId31" Type="http://schemas.openxmlformats.org/officeDocument/2006/relationships/image" Target="media/image5.emf"/><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2.xml"/><Relationship Id="rId65" Type="http://schemas.openxmlformats.org/officeDocument/2006/relationships/image" Target="media/image10.emf"/><Relationship Id="rId73" Type="http://schemas.openxmlformats.org/officeDocument/2006/relationships/chart" Target="charts/chart51.xml"/><Relationship Id="rId78" Type="http://schemas.openxmlformats.org/officeDocument/2006/relationships/chart" Target="charts/chart56.xml"/><Relationship Id="rId81" Type="http://schemas.openxmlformats.org/officeDocument/2006/relationships/chart" Target="charts/chart59.xml"/><Relationship Id="rId86"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Size of oldco (Employees)</a:t>
            </a:r>
          </a:p>
        </c:rich>
      </c:tx>
      <c:overlay val="0"/>
    </c:title>
    <c:autoTitleDeleted val="0"/>
    <c:plotArea>
      <c:layout/>
      <c:barChart>
        <c:barDir val="col"/>
        <c:grouping val="clustered"/>
        <c:varyColors val="0"/>
        <c:ser>
          <c:idx val="0"/>
          <c:order val="0"/>
          <c:tx>
            <c:strRef>
              <c:f>Sheet1!$B$1</c:f>
              <c:strCache>
                <c:ptCount val="1"/>
                <c:pt idx="0">
                  <c:v>Size of oldco (employees)</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146</c:v>
                </c:pt>
                <c:pt idx="1">
                  <c:v>193</c:v>
                </c:pt>
                <c:pt idx="2">
                  <c:v>67</c:v>
                </c:pt>
                <c:pt idx="3">
                  <c:v>32</c:v>
                </c:pt>
                <c:pt idx="4">
                  <c:v>59</c:v>
                </c:pt>
              </c:numCache>
            </c:numRef>
          </c:val>
        </c:ser>
        <c:dLbls>
          <c:showLegendKey val="0"/>
          <c:showVal val="0"/>
          <c:showCatName val="0"/>
          <c:showSerName val="0"/>
          <c:showPercent val="0"/>
          <c:showBubbleSize val="0"/>
        </c:dLbls>
        <c:gapWidth val="150"/>
        <c:axId val="94310784"/>
        <c:axId val="94313472"/>
      </c:barChart>
      <c:catAx>
        <c:axId val="94310784"/>
        <c:scaling>
          <c:orientation val="minMax"/>
        </c:scaling>
        <c:delete val="0"/>
        <c:axPos val="b"/>
        <c:majorTickMark val="out"/>
        <c:minorTickMark val="none"/>
        <c:tickLblPos val="nextTo"/>
        <c:crossAx val="94313472"/>
        <c:crosses val="autoZero"/>
        <c:auto val="1"/>
        <c:lblAlgn val="ctr"/>
        <c:lblOffset val="100"/>
        <c:noMultiLvlLbl val="0"/>
      </c:catAx>
      <c:valAx>
        <c:axId val="94313472"/>
        <c:scaling>
          <c:orientation val="minMax"/>
        </c:scaling>
        <c:delete val="0"/>
        <c:axPos val="l"/>
        <c:majorGridlines/>
        <c:numFmt formatCode="General" sourceLinked="1"/>
        <c:majorTickMark val="out"/>
        <c:minorTickMark val="none"/>
        <c:tickLblPos val="nextTo"/>
        <c:crossAx val="9431078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Use of pre-packs by </a:t>
            </a:r>
          </a:p>
          <a:p>
            <a:pPr>
              <a:defRPr/>
            </a:pPr>
            <a:r>
              <a:rPr lang="en-US"/>
              <a:t>non-UK</a:t>
            </a:r>
            <a:r>
              <a:rPr lang="en-US" baseline="0"/>
              <a:t> incorporated companies</a:t>
            </a:r>
            <a:endParaRPr lang="en-US"/>
          </a:p>
        </c:rich>
      </c:tx>
      <c:overlay val="0"/>
    </c:title>
    <c:autoTitleDeleted val="0"/>
    <c:plotArea>
      <c:layout/>
      <c:pieChart>
        <c:varyColors val="1"/>
        <c:ser>
          <c:idx val="0"/>
          <c:order val="0"/>
          <c:tx>
            <c:strRef>
              <c:f>Sheet1!$B$1</c:f>
              <c:strCache>
                <c:ptCount val="1"/>
                <c:pt idx="0">
                  <c:v>Sales</c:v>
                </c:pt>
              </c:strCache>
            </c:strRef>
          </c:tx>
          <c:explosion val="25"/>
          <c:dLbls>
            <c:dLbl>
              <c:idx val="1"/>
              <c:layout>
                <c:manualLayout>
                  <c:x val="3.692220764071158E-2"/>
                  <c:y val="6.5807138382086058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Sheet1!$A$2:$A$3</c:f>
              <c:strCache>
                <c:ptCount val="2"/>
                <c:pt idx="0">
                  <c:v>UK incorporated companies</c:v>
                </c:pt>
                <c:pt idx="1">
                  <c:v>Non-UK incorporated companies</c:v>
                </c:pt>
              </c:strCache>
            </c:strRef>
          </c:cat>
          <c:val>
            <c:numRef>
              <c:f>Sheet1!$B$2:$B$3</c:f>
              <c:numCache>
                <c:formatCode>General</c:formatCode>
                <c:ptCount val="2"/>
                <c:pt idx="0">
                  <c:v>491</c:v>
                </c:pt>
                <c:pt idx="1">
                  <c:v>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2.9261616322389494E-2"/>
          <c:y val="0.16656761654793151"/>
          <c:w val="0.49882838799295587"/>
          <c:h val="0.73402105986751653"/>
        </c:manualLayout>
      </c:layout>
      <c:barChart>
        <c:barDir val="bar"/>
        <c:grouping val="clustered"/>
        <c:varyColors val="0"/>
        <c:ser>
          <c:idx val="0"/>
          <c:order val="0"/>
          <c:tx>
            <c:strRef>
              <c:f>Sheet1!$B$1</c:f>
              <c:strCache>
                <c:ptCount val="1"/>
                <c:pt idx="0">
                  <c:v>Deferred consideration profile</c:v>
                </c:pt>
              </c:strCache>
            </c:strRef>
          </c:tx>
          <c:invertIfNegative val="0"/>
          <c:cat>
            <c:strRef>
              <c:f>Sheet1!$A$2:$A$7</c:f>
              <c:strCache>
                <c:ptCount val="6"/>
                <c:pt idx="0">
                  <c:v>Total known cases</c:v>
                </c:pt>
                <c:pt idx="1">
                  <c:v>Total deferred consideration due after 12 months</c:v>
                </c:pt>
                <c:pt idx="2">
                  <c:v>Total deferred consideration due within 12 months</c:v>
                </c:pt>
                <c:pt idx="3">
                  <c:v>Total deferred consideration due within 6 months</c:v>
                </c:pt>
                <c:pt idx="4">
                  <c:v>Total deferred consideration due within 2 months</c:v>
                </c:pt>
                <c:pt idx="5">
                  <c:v>Total deferred consideration due within 1 month</c:v>
                </c:pt>
              </c:strCache>
            </c:strRef>
          </c:cat>
          <c:val>
            <c:numRef>
              <c:f>Sheet1!$B$2:$B$7</c:f>
              <c:numCache>
                <c:formatCode>General</c:formatCode>
                <c:ptCount val="6"/>
                <c:pt idx="0">
                  <c:v>242</c:v>
                </c:pt>
                <c:pt idx="1">
                  <c:v>19</c:v>
                </c:pt>
                <c:pt idx="2">
                  <c:v>223</c:v>
                </c:pt>
                <c:pt idx="3">
                  <c:v>148</c:v>
                </c:pt>
                <c:pt idx="4">
                  <c:v>38</c:v>
                </c:pt>
                <c:pt idx="5">
                  <c:v>18</c:v>
                </c:pt>
              </c:numCache>
            </c:numRef>
          </c:val>
        </c:ser>
        <c:dLbls>
          <c:showLegendKey val="0"/>
          <c:showVal val="0"/>
          <c:showCatName val="0"/>
          <c:showSerName val="0"/>
          <c:showPercent val="0"/>
          <c:showBubbleSize val="0"/>
        </c:dLbls>
        <c:gapWidth val="150"/>
        <c:axId val="100055680"/>
        <c:axId val="100057472"/>
      </c:barChart>
      <c:catAx>
        <c:axId val="100055680"/>
        <c:scaling>
          <c:orientation val="minMax"/>
        </c:scaling>
        <c:delete val="0"/>
        <c:axPos val="l"/>
        <c:majorTickMark val="out"/>
        <c:minorTickMark val="none"/>
        <c:tickLblPos val="high"/>
        <c:crossAx val="100057472"/>
        <c:crosses val="autoZero"/>
        <c:auto val="1"/>
        <c:lblAlgn val="ctr"/>
        <c:lblOffset val="100"/>
        <c:noMultiLvlLbl val="0"/>
      </c:catAx>
      <c:valAx>
        <c:axId val="100057472"/>
        <c:scaling>
          <c:orientation val="minMax"/>
          <c:max val="250"/>
        </c:scaling>
        <c:delete val="0"/>
        <c:axPos val="b"/>
        <c:majorGridlines/>
        <c:numFmt formatCode="General" sourceLinked="1"/>
        <c:majorTickMark val="out"/>
        <c:minorTickMark val="none"/>
        <c:tickLblPos val="nextTo"/>
        <c:crossAx val="10005568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Marketing conducted</c:v>
                </c:pt>
              </c:strCache>
            </c:strRef>
          </c:tx>
          <c:dLbls>
            <c:showLegendKey val="0"/>
            <c:showVal val="1"/>
            <c:showCatName val="0"/>
            <c:showSerName val="0"/>
            <c:showPercent val="0"/>
            <c:showBubbleSize val="0"/>
            <c:showLeaderLines val="1"/>
          </c:dLbls>
          <c:cat>
            <c:strRef>
              <c:f>Sheet1!$A$2:$A$4</c:f>
              <c:strCache>
                <c:ptCount val="3"/>
                <c:pt idx="0">
                  <c:v>Pre-IP involvement</c:v>
                </c:pt>
                <c:pt idx="1">
                  <c:v>Post-IP involvement</c:v>
                </c:pt>
                <c:pt idx="2">
                  <c:v>None</c:v>
                </c:pt>
              </c:strCache>
            </c:strRef>
          </c:cat>
          <c:val>
            <c:numRef>
              <c:f>Sheet1!$B$2:$B$4</c:f>
              <c:numCache>
                <c:formatCode>General</c:formatCode>
                <c:ptCount val="3"/>
                <c:pt idx="0">
                  <c:v>103</c:v>
                </c:pt>
                <c:pt idx="1">
                  <c:v>196</c:v>
                </c:pt>
                <c:pt idx="2">
                  <c:v>189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Marketing Period</c:v>
                </c:pt>
              </c:strCache>
            </c:strRef>
          </c:tx>
          <c:invertIfNegative val="0"/>
          <c:cat>
            <c:strRef>
              <c:f>Sheet1!$A$2:$A$9</c:f>
              <c:strCache>
                <c:ptCount val="8"/>
                <c:pt idx="0">
                  <c:v>Less than a week</c:v>
                </c:pt>
                <c:pt idx="1">
                  <c:v>1-2 weeks</c:v>
                </c:pt>
                <c:pt idx="2">
                  <c:v>2 weeks - 1 month</c:v>
                </c:pt>
                <c:pt idx="3">
                  <c:v>1-3 months</c:v>
                </c:pt>
                <c:pt idx="4">
                  <c:v>3-6 months</c:v>
                </c:pt>
                <c:pt idx="5">
                  <c:v>Longer than 6 months</c:v>
                </c:pt>
                <c:pt idx="6">
                  <c:v>Not known</c:v>
                </c:pt>
                <c:pt idx="7">
                  <c:v>None</c:v>
                </c:pt>
              </c:strCache>
            </c:strRef>
          </c:cat>
          <c:val>
            <c:numRef>
              <c:f>Sheet1!$B$2:$B$9</c:f>
              <c:numCache>
                <c:formatCode>General</c:formatCode>
                <c:ptCount val="8"/>
                <c:pt idx="0">
                  <c:v>9</c:v>
                </c:pt>
                <c:pt idx="1">
                  <c:v>54</c:v>
                </c:pt>
                <c:pt idx="2">
                  <c:v>54</c:v>
                </c:pt>
                <c:pt idx="3">
                  <c:v>43</c:v>
                </c:pt>
                <c:pt idx="4">
                  <c:v>11</c:v>
                </c:pt>
                <c:pt idx="5">
                  <c:v>19</c:v>
                </c:pt>
                <c:pt idx="6">
                  <c:v>118</c:v>
                </c:pt>
                <c:pt idx="7">
                  <c:v>189</c:v>
                </c:pt>
              </c:numCache>
            </c:numRef>
          </c:val>
        </c:ser>
        <c:dLbls>
          <c:showLegendKey val="0"/>
          <c:showVal val="0"/>
          <c:showCatName val="0"/>
          <c:showSerName val="0"/>
          <c:showPercent val="0"/>
          <c:showBubbleSize val="0"/>
        </c:dLbls>
        <c:gapWidth val="150"/>
        <c:axId val="99785344"/>
        <c:axId val="99787136"/>
      </c:barChart>
      <c:catAx>
        <c:axId val="99785344"/>
        <c:scaling>
          <c:orientation val="minMax"/>
        </c:scaling>
        <c:delete val="0"/>
        <c:axPos val="b"/>
        <c:majorTickMark val="out"/>
        <c:minorTickMark val="none"/>
        <c:tickLblPos val="nextTo"/>
        <c:crossAx val="99787136"/>
        <c:crosses val="autoZero"/>
        <c:auto val="1"/>
        <c:lblAlgn val="ctr"/>
        <c:lblOffset val="100"/>
        <c:noMultiLvlLbl val="0"/>
      </c:catAx>
      <c:valAx>
        <c:axId val="99787136"/>
        <c:scaling>
          <c:orientation val="minMax"/>
        </c:scaling>
        <c:delete val="0"/>
        <c:axPos val="l"/>
        <c:majorGridlines/>
        <c:numFmt formatCode="General" sourceLinked="1"/>
        <c:majorTickMark val="out"/>
        <c:minorTickMark val="none"/>
        <c:tickLblPos val="nextTo"/>
        <c:crossAx val="9978534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Independent valuation</c:v>
                </c:pt>
              </c:strCache>
            </c:strRef>
          </c:tx>
          <c:dLbls>
            <c:dLbl>
              <c:idx val="2"/>
              <c:layout>
                <c:manualLayout>
                  <c:x val="3.2489428404782737E-3"/>
                  <c:y val="-1.521466066741657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Sheet1!$A$2:$A$4</c:f>
              <c:strCache>
                <c:ptCount val="3"/>
                <c:pt idx="0">
                  <c:v>Yes</c:v>
                </c:pt>
                <c:pt idx="1">
                  <c:v>No</c:v>
                </c:pt>
                <c:pt idx="2">
                  <c:v>Not known</c:v>
                </c:pt>
              </c:strCache>
            </c:strRef>
          </c:cat>
          <c:val>
            <c:numRef>
              <c:f>Sheet1!$B$2:$B$4</c:f>
              <c:numCache>
                <c:formatCode>General</c:formatCode>
                <c:ptCount val="3"/>
                <c:pt idx="0">
                  <c:v>453</c:v>
                </c:pt>
                <c:pt idx="1">
                  <c:v>34</c:v>
                </c:pt>
                <c:pt idx="2">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Top 10 IP Firms by number of appointments</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Sheet1!$B$2:$B$11</c:f>
              <c:numCache>
                <c:formatCode>General</c:formatCode>
                <c:ptCount val="10"/>
                <c:pt idx="0">
                  <c:v>42</c:v>
                </c:pt>
                <c:pt idx="1">
                  <c:v>36</c:v>
                </c:pt>
                <c:pt idx="2">
                  <c:v>35</c:v>
                </c:pt>
                <c:pt idx="3">
                  <c:v>21</c:v>
                </c:pt>
                <c:pt idx="4">
                  <c:v>20</c:v>
                </c:pt>
                <c:pt idx="5">
                  <c:v>19</c:v>
                </c:pt>
                <c:pt idx="6">
                  <c:v>18</c:v>
                </c:pt>
                <c:pt idx="7">
                  <c:v>17</c:v>
                </c:pt>
                <c:pt idx="8">
                  <c:v>15</c:v>
                </c:pt>
                <c:pt idx="9">
                  <c:v>15</c:v>
                </c:pt>
              </c:numCache>
            </c:numRef>
          </c:val>
        </c:ser>
        <c:dLbls>
          <c:showLegendKey val="0"/>
          <c:showVal val="0"/>
          <c:showCatName val="0"/>
          <c:showSerName val="0"/>
          <c:showPercent val="0"/>
          <c:showBubbleSize val="0"/>
        </c:dLbls>
        <c:gapWidth val="150"/>
        <c:axId val="99937280"/>
        <c:axId val="99939072"/>
      </c:barChart>
      <c:catAx>
        <c:axId val="99937280"/>
        <c:scaling>
          <c:orientation val="minMax"/>
        </c:scaling>
        <c:delete val="0"/>
        <c:axPos val="b"/>
        <c:majorTickMark val="out"/>
        <c:minorTickMark val="none"/>
        <c:tickLblPos val="nextTo"/>
        <c:crossAx val="99939072"/>
        <c:crosses val="autoZero"/>
        <c:auto val="1"/>
        <c:lblAlgn val="ctr"/>
        <c:lblOffset val="100"/>
        <c:noMultiLvlLbl val="0"/>
      </c:catAx>
      <c:valAx>
        <c:axId val="99939072"/>
        <c:scaling>
          <c:orientation val="minMax"/>
        </c:scaling>
        <c:delete val="0"/>
        <c:axPos val="l"/>
        <c:majorGridlines/>
        <c:numFmt formatCode="General" sourceLinked="1"/>
        <c:majorTickMark val="out"/>
        <c:minorTickMark val="none"/>
        <c:tickLblPos val="nextTo"/>
        <c:crossAx val="9993728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26239428404783"/>
          <c:y val="2.8625877873180227E-2"/>
          <c:w val="0.86975594196558759"/>
          <c:h val="0.71108283933283245"/>
        </c:manualLayout>
      </c:layout>
      <c:barChart>
        <c:barDir val="col"/>
        <c:grouping val="clustered"/>
        <c:varyColors val="0"/>
        <c:ser>
          <c:idx val="0"/>
          <c:order val="0"/>
          <c:tx>
            <c:strRef>
              <c:f>Sheet1!$B$1</c:f>
              <c:strCache>
                <c:ptCount val="1"/>
                <c:pt idx="0">
                  <c:v>Number of appointments</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Sheet1!$B$2:$B$11</c:f>
              <c:numCache>
                <c:formatCode>General</c:formatCode>
                <c:ptCount val="10"/>
                <c:pt idx="0">
                  <c:v>42</c:v>
                </c:pt>
                <c:pt idx="1">
                  <c:v>36</c:v>
                </c:pt>
                <c:pt idx="2">
                  <c:v>35</c:v>
                </c:pt>
                <c:pt idx="3">
                  <c:v>21</c:v>
                </c:pt>
                <c:pt idx="4">
                  <c:v>20</c:v>
                </c:pt>
                <c:pt idx="5">
                  <c:v>19</c:v>
                </c:pt>
                <c:pt idx="6">
                  <c:v>18</c:v>
                </c:pt>
                <c:pt idx="7">
                  <c:v>17</c:v>
                </c:pt>
                <c:pt idx="8">
                  <c:v>15</c:v>
                </c:pt>
                <c:pt idx="9">
                  <c:v>15</c:v>
                </c:pt>
              </c:numCache>
            </c:numRef>
          </c:val>
        </c:ser>
        <c:ser>
          <c:idx val="1"/>
          <c:order val="1"/>
          <c:tx>
            <c:strRef>
              <c:f>Sheet1!$C$1</c:f>
              <c:strCache>
                <c:ptCount val="1"/>
                <c:pt idx="0">
                  <c:v>Sales to a connected party</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Sheet1!$C$2:$C$11</c:f>
              <c:numCache>
                <c:formatCode>General</c:formatCode>
                <c:ptCount val="10"/>
                <c:pt idx="0">
                  <c:v>23</c:v>
                </c:pt>
                <c:pt idx="1">
                  <c:v>23</c:v>
                </c:pt>
                <c:pt idx="2">
                  <c:v>25</c:v>
                </c:pt>
                <c:pt idx="3">
                  <c:v>13</c:v>
                </c:pt>
                <c:pt idx="4">
                  <c:v>15</c:v>
                </c:pt>
                <c:pt idx="5">
                  <c:v>6</c:v>
                </c:pt>
                <c:pt idx="6">
                  <c:v>6</c:v>
                </c:pt>
                <c:pt idx="7">
                  <c:v>14</c:v>
                </c:pt>
                <c:pt idx="8">
                  <c:v>9</c:v>
                </c:pt>
                <c:pt idx="9">
                  <c:v>6</c:v>
                </c:pt>
              </c:numCache>
            </c:numRef>
          </c:val>
        </c:ser>
        <c:ser>
          <c:idx val="2"/>
          <c:order val="2"/>
          <c:tx>
            <c:strRef>
              <c:f>Sheet1!$D$1</c:f>
              <c:strCache>
                <c:ptCount val="1"/>
                <c:pt idx="0">
                  <c:v>Sales with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Sheet1!$D$2:$D$11</c:f>
              <c:numCache>
                <c:formatCode>General</c:formatCode>
                <c:ptCount val="10"/>
                <c:pt idx="0">
                  <c:v>24</c:v>
                </c:pt>
                <c:pt idx="1">
                  <c:v>30</c:v>
                </c:pt>
                <c:pt idx="2">
                  <c:v>19</c:v>
                </c:pt>
                <c:pt idx="3">
                  <c:v>3</c:v>
                </c:pt>
                <c:pt idx="4">
                  <c:v>15</c:v>
                </c:pt>
                <c:pt idx="5">
                  <c:v>10</c:v>
                </c:pt>
                <c:pt idx="6">
                  <c:v>7</c:v>
                </c:pt>
                <c:pt idx="7">
                  <c:v>5</c:v>
                </c:pt>
                <c:pt idx="8">
                  <c:v>3</c:v>
                </c:pt>
                <c:pt idx="9">
                  <c:v>1</c:v>
                </c:pt>
              </c:numCache>
            </c:numRef>
          </c:val>
        </c:ser>
        <c:ser>
          <c:idx val="3"/>
          <c:order val="3"/>
          <c:tx>
            <c:strRef>
              <c:f>Sheet1!$E$1</c:f>
              <c:strCache>
                <c:ptCount val="1"/>
                <c:pt idx="0">
                  <c:v>Sales to a connected party with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Sheet1!$E$2:$E$11</c:f>
              <c:numCache>
                <c:formatCode>General</c:formatCode>
                <c:ptCount val="10"/>
                <c:pt idx="0">
                  <c:v>18</c:v>
                </c:pt>
                <c:pt idx="1">
                  <c:v>22</c:v>
                </c:pt>
                <c:pt idx="2">
                  <c:v>15</c:v>
                </c:pt>
                <c:pt idx="3">
                  <c:v>3</c:v>
                </c:pt>
                <c:pt idx="4">
                  <c:v>15</c:v>
                </c:pt>
                <c:pt idx="5">
                  <c:v>4</c:v>
                </c:pt>
                <c:pt idx="6">
                  <c:v>5</c:v>
                </c:pt>
                <c:pt idx="7">
                  <c:v>3</c:v>
                </c:pt>
                <c:pt idx="8">
                  <c:v>3</c:v>
                </c:pt>
                <c:pt idx="9">
                  <c:v>1</c:v>
                </c:pt>
              </c:numCache>
            </c:numRef>
          </c:val>
        </c:ser>
        <c:dLbls>
          <c:showLegendKey val="0"/>
          <c:showVal val="0"/>
          <c:showCatName val="0"/>
          <c:showSerName val="0"/>
          <c:showPercent val="0"/>
          <c:showBubbleSize val="0"/>
        </c:dLbls>
        <c:gapWidth val="150"/>
        <c:axId val="99867648"/>
        <c:axId val="94118656"/>
      </c:barChart>
      <c:catAx>
        <c:axId val="99867648"/>
        <c:scaling>
          <c:orientation val="minMax"/>
        </c:scaling>
        <c:delete val="0"/>
        <c:axPos val="b"/>
        <c:majorTickMark val="out"/>
        <c:minorTickMark val="none"/>
        <c:tickLblPos val="nextTo"/>
        <c:crossAx val="94118656"/>
        <c:crosses val="autoZero"/>
        <c:auto val="1"/>
        <c:lblAlgn val="ctr"/>
        <c:lblOffset val="100"/>
        <c:noMultiLvlLbl val="0"/>
      </c:catAx>
      <c:valAx>
        <c:axId val="94118656"/>
        <c:scaling>
          <c:orientation val="minMax"/>
        </c:scaling>
        <c:delete val="0"/>
        <c:axPos val="l"/>
        <c:majorGridlines/>
        <c:numFmt formatCode="General" sourceLinked="1"/>
        <c:majorTickMark val="out"/>
        <c:minorTickMark val="none"/>
        <c:tickLblPos val="nextTo"/>
        <c:crossAx val="99867648"/>
        <c:crosses val="autoZero"/>
        <c:crossBetween val="between"/>
      </c:valAx>
    </c:plotArea>
    <c:legend>
      <c:legendPos val="r"/>
      <c:layout>
        <c:manualLayout>
          <c:xMode val="edge"/>
          <c:yMode val="edge"/>
          <c:x val="0.58675907699037622"/>
          <c:y val="4.3813858036200796E-2"/>
          <c:w val="0.33453721930592012"/>
          <c:h val="0.32065559692607337"/>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Employment Preservation</c:v>
                </c:pt>
              </c:strCache>
            </c:strRef>
          </c:tx>
          <c:dLbls>
            <c:showLegendKey val="0"/>
            <c:showVal val="1"/>
            <c:showCatName val="0"/>
            <c:showSerName val="0"/>
            <c:showPercent val="0"/>
            <c:showBubbleSize val="0"/>
            <c:showLeaderLines val="1"/>
          </c:dLbls>
          <c:cat>
            <c:strRef>
              <c:f>Sheet1!$A$2:$A$6</c:f>
              <c:strCache>
                <c:ptCount val="5"/>
                <c:pt idx="0">
                  <c:v>All</c:v>
                </c:pt>
                <c:pt idx="1">
                  <c:v>Some</c:v>
                </c:pt>
                <c:pt idx="2">
                  <c:v>None</c:v>
                </c:pt>
                <c:pt idx="3">
                  <c:v>N/A (No employees)</c:v>
                </c:pt>
                <c:pt idx="4">
                  <c:v>N/K</c:v>
                </c:pt>
              </c:strCache>
            </c:strRef>
          </c:cat>
          <c:val>
            <c:numRef>
              <c:f>Sheet1!$B$2:$B$6</c:f>
              <c:numCache>
                <c:formatCode>General</c:formatCode>
                <c:ptCount val="5"/>
                <c:pt idx="0">
                  <c:v>318</c:v>
                </c:pt>
                <c:pt idx="1">
                  <c:v>51</c:v>
                </c:pt>
                <c:pt idx="2">
                  <c:v>20</c:v>
                </c:pt>
                <c:pt idx="3">
                  <c:v>40</c:v>
                </c:pt>
                <c:pt idx="4">
                  <c:v>70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End of administration of oldco</c:v>
                </c:pt>
              </c:strCache>
            </c:strRef>
          </c:tx>
          <c:invertIfNegative val="0"/>
          <c:cat>
            <c:strRef>
              <c:f>Sheet1!$A$2:$A$5</c:f>
              <c:strCache>
                <c:ptCount val="4"/>
                <c:pt idx="0">
                  <c:v>CVL</c:v>
                </c:pt>
                <c:pt idx="1">
                  <c:v>Dissolution</c:v>
                </c:pt>
                <c:pt idx="2">
                  <c:v>Other</c:v>
                </c:pt>
                <c:pt idx="3">
                  <c:v>Ongoing</c:v>
                </c:pt>
              </c:strCache>
            </c:strRef>
          </c:cat>
          <c:val>
            <c:numRef>
              <c:f>Sheet1!$B$2:$B$5</c:f>
              <c:numCache>
                <c:formatCode>General</c:formatCode>
                <c:ptCount val="4"/>
                <c:pt idx="0">
                  <c:v>219</c:v>
                </c:pt>
                <c:pt idx="1">
                  <c:v>242</c:v>
                </c:pt>
                <c:pt idx="2">
                  <c:v>22</c:v>
                </c:pt>
                <c:pt idx="3">
                  <c:v>14</c:v>
                </c:pt>
              </c:numCache>
            </c:numRef>
          </c:val>
        </c:ser>
        <c:dLbls>
          <c:showLegendKey val="0"/>
          <c:showVal val="0"/>
          <c:showCatName val="0"/>
          <c:showSerName val="0"/>
          <c:showPercent val="0"/>
          <c:showBubbleSize val="0"/>
        </c:dLbls>
        <c:gapWidth val="150"/>
        <c:axId val="100495744"/>
        <c:axId val="100497280"/>
      </c:barChart>
      <c:catAx>
        <c:axId val="100495744"/>
        <c:scaling>
          <c:orientation val="minMax"/>
        </c:scaling>
        <c:delete val="0"/>
        <c:axPos val="b"/>
        <c:majorTickMark val="out"/>
        <c:minorTickMark val="none"/>
        <c:tickLblPos val="nextTo"/>
        <c:crossAx val="100497280"/>
        <c:crosses val="autoZero"/>
        <c:auto val="1"/>
        <c:lblAlgn val="ctr"/>
        <c:lblOffset val="100"/>
        <c:noMultiLvlLbl val="0"/>
      </c:catAx>
      <c:valAx>
        <c:axId val="100497280"/>
        <c:scaling>
          <c:orientation val="minMax"/>
        </c:scaling>
        <c:delete val="0"/>
        <c:axPos val="l"/>
        <c:majorGridlines/>
        <c:numFmt formatCode="General" sourceLinked="1"/>
        <c:majorTickMark val="out"/>
        <c:minorTickMark val="none"/>
        <c:tickLblPos val="nextTo"/>
        <c:crossAx val="10049574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Failure Rates of </a:t>
            </a:r>
          </a:p>
          <a:p>
            <a:pPr>
              <a:defRPr/>
            </a:pPr>
            <a:r>
              <a:rPr lang="en-US"/>
              <a:t>pre-packs</a:t>
            </a:r>
          </a:p>
        </c:rich>
      </c:tx>
      <c:overlay val="0"/>
    </c:title>
    <c:autoTitleDeleted val="0"/>
    <c:plotArea>
      <c:layout/>
      <c:barChart>
        <c:barDir val="col"/>
        <c:grouping val="clustered"/>
        <c:varyColors val="0"/>
        <c:ser>
          <c:idx val="0"/>
          <c:order val="0"/>
          <c:tx>
            <c:strRef>
              <c:f>Sheet1!$B$1</c:f>
              <c:strCache>
                <c:ptCount val="1"/>
                <c:pt idx="0">
                  <c:v>Failure Rates of pre-packs</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2"/>
              <c:layout>
                <c:manualLayout>
                  <c:x val="0"/>
                  <c:y val="1.1904761904761904E-2"/>
                </c:manualLayout>
              </c:layout>
              <c:showLegendKey val="0"/>
              <c:showVal val="1"/>
              <c:showCatName val="0"/>
              <c:showSerName val="0"/>
              <c:showPercent val="0"/>
              <c:showBubbleSize val="0"/>
            </c:dLbl>
            <c:dLbl>
              <c:idx val="3"/>
              <c:layout>
                <c:manualLayout>
                  <c:x val="0"/>
                  <c:y val="1.1904761904761904E-2"/>
                </c:manualLayout>
              </c:layout>
              <c:showLegendKey val="0"/>
              <c:showVal val="1"/>
              <c:showCatName val="0"/>
              <c:showSerName val="0"/>
              <c:showPercent val="0"/>
              <c:showBubbleSize val="0"/>
            </c:dLbl>
            <c:dLbl>
              <c:idx val="4"/>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w/in 12 months</c:v>
                </c:pt>
                <c:pt idx="1">
                  <c:v>w/in 18 months</c:v>
                </c:pt>
                <c:pt idx="2">
                  <c:v>w/in 24 months</c:v>
                </c:pt>
                <c:pt idx="3">
                  <c:v>w/in 30 months</c:v>
                </c:pt>
                <c:pt idx="4">
                  <c:v>w/in 36 months</c:v>
                </c:pt>
              </c:strCache>
            </c:strRef>
          </c:cat>
          <c:val>
            <c:numRef>
              <c:f>Sheet1!$B$2:$B$6</c:f>
              <c:numCache>
                <c:formatCode>General</c:formatCode>
                <c:ptCount val="5"/>
                <c:pt idx="0">
                  <c:v>27</c:v>
                </c:pt>
                <c:pt idx="1">
                  <c:v>55</c:v>
                </c:pt>
                <c:pt idx="2">
                  <c:v>88</c:v>
                </c:pt>
                <c:pt idx="3">
                  <c:v>101</c:v>
                </c:pt>
                <c:pt idx="4">
                  <c:v>121</c:v>
                </c:pt>
              </c:numCache>
            </c:numRef>
          </c:val>
        </c:ser>
        <c:dLbls>
          <c:showLegendKey val="0"/>
          <c:showVal val="0"/>
          <c:showCatName val="0"/>
          <c:showSerName val="0"/>
          <c:showPercent val="0"/>
          <c:showBubbleSize val="0"/>
        </c:dLbls>
        <c:gapWidth val="150"/>
        <c:axId val="100518144"/>
        <c:axId val="100528128"/>
      </c:barChart>
      <c:catAx>
        <c:axId val="100518144"/>
        <c:scaling>
          <c:orientation val="minMax"/>
        </c:scaling>
        <c:delete val="0"/>
        <c:axPos val="b"/>
        <c:majorTickMark val="out"/>
        <c:minorTickMark val="none"/>
        <c:tickLblPos val="nextTo"/>
        <c:crossAx val="100528128"/>
        <c:crosses val="autoZero"/>
        <c:auto val="1"/>
        <c:lblAlgn val="ctr"/>
        <c:lblOffset val="100"/>
        <c:noMultiLvlLbl val="0"/>
      </c:catAx>
      <c:valAx>
        <c:axId val="100528128"/>
        <c:scaling>
          <c:orientation val="minMax"/>
        </c:scaling>
        <c:delete val="0"/>
        <c:axPos val="l"/>
        <c:majorGridlines/>
        <c:numFmt formatCode="General" sourceLinked="1"/>
        <c:majorTickMark val="out"/>
        <c:minorTickMark val="none"/>
        <c:tickLblPos val="nextTo"/>
        <c:crossAx val="1005181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Size of oldco (Turnover)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100</c:v>
                </c:pt>
                <c:pt idx="1">
                  <c:v>255</c:v>
                </c:pt>
                <c:pt idx="2">
                  <c:v>41</c:v>
                </c:pt>
                <c:pt idx="3">
                  <c:v>42</c:v>
                </c:pt>
                <c:pt idx="4">
                  <c:v>59</c:v>
                </c:pt>
              </c:numCache>
            </c:numRef>
          </c:val>
        </c:ser>
        <c:dLbls>
          <c:showLegendKey val="0"/>
          <c:showVal val="0"/>
          <c:showCatName val="0"/>
          <c:showSerName val="0"/>
          <c:showPercent val="0"/>
          <c:showBubbleSize val="0"/>
        </c:dLbls>
        <c:gapWidth val="150"/>
        <c:axId val="99449472"/>
        <c:axId val="99451264"/>
      </c:barChart>
      <c:catAx>
        <c:axId val="99449472"/>
        <c:scaling>
          <c:orientation val="minMax"/>
        </c:scaling>
        <c:delete val="0"/>
        <c:axPos val="b"/>
        <c:majorTickMark val="out"/>
        <c:minorTickMark val="none"/>
        <c:tickLblPos val="nextTo"/>
        <c:crossAx val="99451264"/>
        <c:crosses val="autoZero"/>
        <c:auto val="1"/>
        <c:lblAlgn val="ctr"/>
        <c:lblOffset val="100"/>
        <c:noMultiLvlLbl val="0"/>
      </c:catAx>
      <c:valAx>
        <c:axId val="99451264"/>
        <c:scaling>
          <c:orientation val="minMax"/>
        </c:scaling>
        <c:delete val="0"/>
        <c:axPos val="l"/>
        <c:majorGridlines/>
        <c:numFmt formatCode="General" sourceLinked="1"/>
        <c:majorTickMark val="out"/>
        <c:minorTickMark val="none"/>
        <c:tickLblPos val="nextTo"/>
        <c:crossAx val="9944947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Percentage Failure Rate</c:v>
                </c:pt>
              </c:strCache>
            </c:strRef>
          </c:tx>
          <c:invertIfNegative val="0"/>
          <c:cat>
            <c:strRef>
              <c:f>Sheet1!$A$2:$A$6</c:f>
              <c:strCache>
                <c:ptCount val="5"/>
                <c:pt idx="0">
                  <c:v>w/in 12 months</c:v>
                </c:pt>
                <c:pt idx="1">
                  <c:v>w/in 18 months</c:v>
                </c:pt>
                <c:pt idx="2">
                  <c:v>w/in 24 months</c:v>
                </c:pt>
                <c:pt idx="3">
                  <c:v>w/in 30 months</c:v>
                </c:pt>
                <c:pt idx="4">
                  <c:v>w/in 36 months</c:v>
                </c:pt>
              </c:strCache>
            </c:strRef>
          </c:cat>
          <c:val>
            <c:numRef>
              <c:f>Sheet1!$B$2:$B$6</c:f>
              <c:numCache>
                <c:formatCode>General</c:formatCode>
                <c:ptCount val="5"/>
                <c:pt idx="0">
                  <c:v>5.6842105263157895E-2</c:v>
                </c:pt>
                <c:pt idx="1">
                  <c:v>0.11578947368421053</c:v>
                </c:pt>
                <c:pt idx="2">
                  <c:v>0.18526315789473685</c:v>
                </c:pt>
                <c:pt idx="3">
                  <c:v>0.21263157894736842</c:v>
                </c:pt>
                <c:pt idx="4">
                  <c:v>0.25473684210526315</c:v>
                </c:pt>
              </c:numCache>
            </c:numRef>
          </c:val>
        </c:ser>
        <c:dLbls>
          <c:showLegendKey val="0"/>
          <c:showVal val="0"/>
          <c:showCatName val="0"/>
          <c:showSerName val="0"/>
          <c:showPercent val="0"/>
          <c:showBubbleSize val="0"/>
        </c:dLbls>
        <c:gapWidth val="150"/>
        <c:axId val="100228096"/>
        <c:axId val="100233984"/>
      </c:barChart>
      <c:catAx>
        <c:axId val="100228096"/>
        <c:scaling>
          <c:orientation val="minMax"/>
        </c:scaling>
        <c:delete val="0"/>
        <c:axPos val="b"/>
        <c:majorTickMark val="out"/>
        <c:minorTickMark val="none"/>
        <c:tickLblPos val="nextTo"/>
        <c:crossAx val="100233984"/>
        <c:crosses val="autoZero"/>
        <c:auto val="1"/>
        <c:lblAlgn val="ctr"/>
        <c:lblOffset val="100"/>
        <c:noMultiLvlLbl val="0"/>
      </c:catAx>
      <c:valAx>
        <c:axId val="100233984"/>
        <c:scaling>
          <c:orientation val="minMax"/>
        </c:scaling>
        <c:delete val="0"/>
        <c:axPos val="l"/>
        <c:majorGridlines/>
        <c:numFmt formatCode="0%" sourceLinked="0"/>
        <c:majorTickMark val="out"/>
        <c:minorTickMark val="none"/>
        <c:tickLblPos val="nextTo"/>
        <c:crossAx val="10022809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Nature of failure at 36 months</c:v>
                </c:pt>
              </c:strCache>
            </c:strRef>
          </c:tx>
          <c:dLbls>
            <c:showLegendKey val="0"/>
            <c:showVal val="1"/>
            <c:showCatName val="0"/>
            <c:showSerName val="0"/>
            <c:showPercent val="0"/>
            <c:showBubbleSize val="0"/>
            <c:showLeaderLines val="1"/>
          </c:dLbls>
          <c:cat>
            <c:strRef>
              <c:f>Sheet1!$A$2:$A$3</c:f>
              <c:strCache>
                <c:ptCount val="2"/>
                <c:pt idx="0">
                  <c:v>Terminal process</c:v>
                </c:pt>
                <c:pt idx="1">
                  <c:v>Rescue process</c:v>
                </c:pt>
              </c:strCache>
            </c:strRef>
          </c:cat>
          <c:val>
            <c:numRef>
              <c:f>Sheet1!$B$2:$B$3</c:f>
              <c:numCache>
                <c:formatCode>General</c:formatCode>
                <c:ptCount val="2"/>
                <c:pt idx="0">
                  <c:v>81</c:v>
                </c:pt>
                <c:pt idx="1">
                  <c:v>40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Connected sale</c:v>
                </c:pt>
              </c:strCache>
            </c:strRef>
          </c:tx>
          <c:invertIfNegative val="0"/>
          <c:dLbls>
            <c:showLegendKey val="0"/>
            <c:showVal val="1"/>
            <c:showCatName val="0"/>
            <c:showSerName val="0"/>
            <c:showPercent val="0"/>
            <c:showBubbleSize val="0"/>
            <c:showLeaderLines val="0"/>
          </c:dLbls>
          <c:cat>
            <c:strRef>
              <c:f>Sheet1!$A$2:$A$3</c:f>
              <c:strCache>
                <c:ptCount val="2"/>
                <c:pt idx="0">
                  <c:v>Failure</c:v>
                </c:pt>
                <c:pt idx="1">
                  <c:v>Survival</c:v>
                </c:pt>
              </c:strCache>
            </c:strRef>
          </c:cat>
          <c:val>
            <c:numRef>
              <c:f>Sheet1!$B$2:$B$3</c:f>
              <c:numCache>
                <c:formatCode>General</c:formatCode>
                <c:ptCount val="2"/>
                <c:pt idx="0">
                  <c:v>92</c:v>
                </c:pt>
                <c:pt idx="1">
                  <c:v>218</c:v>
                </c:pt>
              </c:numCache>
            </c:numRef>
          </c:val>
        </c:ser>
        <c:ser>
          <c:idx val="1"/>
          <c:order val="1"/>
          <c:tx>
            <c:strRef>
              <c:f>Sheet1!$C$1</c:f>
              <c:strCache>
                <c:ptCount val="1"/>
                <c:pt idx="0">
                  <c:v>Non-connected sale</c:v>
                </c:pt>
              </c:strCache>
            </c:strRef>
          </c:tx>
          <c:invertIfNegative val="0"/>
          <c:dLbls>
            <c:showLegendKey val="0"/>
            <c:showVal val="1"/>
            <c:showCatName val="0"/>
            <c:showSerName val="0"/>
            <c:showPercent val="0"/>
            <c:showBubbleSize val="0"/>
            <c:showLeaderLines val="0"/>
          </c:dLbls>
          <c:cat>
            <c:strRef>
              <c:f>Sheet1!$A$2:$A$3</c:f>
              <c:strCache>
                <c:ptCount val="2"/>
                <c:pt idx="0">
                  <c:v>Failure</c:v>
                </c:pt>
                <c:pt idx="1">
                  <c:v>Survival</c:v>
                </c:pt>
              </c:strCache>
            </c:strRef>
          </c:cat>
          <c:val>
            <c:numRef>
              <c:f>Sheet1!$C$2:$C$3</c:f>
              <c:numCache>
                <c:formatCode>General</c:formatCode>
                <c:ptCount val="2"/>
                <c:pt idx="0">
                  <c:v>29</c:v>
                </c:pt>
                <c:pt idx="1">
                  <c:v>136</c:v>
                </c:pt>
              </c:numCache>
            </c:numRef>
          </c:val>
        </c:ser>
        <c:dLbls>
          <c:showLegendKey val="0"/>
          <c:showVal val="0"/>
          <c:showCatName val="0"/>
          <c:showSerName val="0"/>
          <c:showPercent val="0"/>
          <c:showBubbleSize val="0"/>
        </c:dLbls>
        <c:gapWidth val="150"/>
        <c:axId val="100320384"/>
        <c:axId val="100321920"/>
      </c:barChart>
      <c:catAx>
        <c:axId val="100320384"/>
        <c:scaling>
          <c:orientation val="minMax"/>
        </c:scaling>
        <c:delete val="0"/>
        <c:axPos val="b"/>
        <c:majorTickMark val="out"/>
        <c:minorTickMark val="none"/>
        <c:tickLblPos val="nextTo"/>
        <c:crossAx val="100321920"/>
        <c:crosses val="autoZero"/>
        <c:auto val="1"/>
        <c:lblAlgn val="ctr"/>
        <c:lblOffset val="100"/>
        <c:noMultiLvlLbl val="0"/>
      </c:catAx>
      <c:valAx>
        <c:axId val="100321920"/>
        <c:scaling>
          <c:orientation val="minMax"/>
        </c:scaling>
        <c:delete val="0"/>
        <c:axPos val="l"/>
        <c:majorGridlines/>
        <c:numFmt formatCode="General" sourceLinked="1"/>
        <c:majorTickMark val="out"/>
        <c:minorTickMark val="none"/>
        <c:tickLblPos val="nextTo"/>
        <c:crossAx val="10032038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Deferred consideration</c:v>
                </c:pt>
              </c:strCache>
            </c:strRef>
          </c:tx>
          <c:invertIfNegative val="0"/>
          <c:dLbls>
            <c:showLegendKey val="0"/>
            <c:showVal val="1"/>
            <c:showCatName val="0"/>
            <c:showSerName val="0"/>
            <c:showPercent val="0"/>
            <c:showBubbleSize val="0"/>
            <c:showLeaderLines val="0"/>
          </c:dLbls>
          <c:cat>
            <c:strRef>
              <c:f>Sheet1!$A$2:$A$3</c:f>
              <c:strCache>
                <c:ptCount val="2"/>
                <c:pt idx="0">
                  <c:v>Failure</c:v>
                </c:pt>
                <c:pt idx="1">
                  <c:v>Survival</c:v>
                </c:pt>
              </c:strCache>
            </c:strRef>
          </c:cat>
          <c:val>
            <c:numRef>
              <c:f>Sheet1!$B$2:$B$3</c:f>
              <c:numCache>
                <c:formatCode>General</c:formatCode>
                <c:ptCount val="2"/>
                <c:pt idx="0">
                  <c:v>101</c:v>
                </c:pt>
                <c:pt idx="1">
                  <c:v>159</c:v>
                </c:pt>
              </c:numCache>
            </c:numRef>
          </c:val>
        </c:ser>
        <c:ser>
          <c:idx val="1"/>
          <c:order val="1"/>
          <c:tx>
            <c:strRef>
              <c:f>Sheet1!$C$1</c:f>
              <c:strCache>
                <c:ptCount val="1"/>
                <c:pt idx="0">
                  <c:v>No deferred consideration</c:v>
                </c:pt>
              </c:strCache>
            </c:strRef>
          </c:tx>
          <c:invertIfNegative val="0"/>
          <c:dLbls>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Sheet1!$A$2:$A$3</c:f>
              <c:strCache>
                <c:ptCount val="2"/>
                <c:pt idx="0">
                  <c:v>Failure</c:v>
                </c:pt>
                <c:pt idx="1">
                  <c:v>Survival</c:v>
                </c:pt>
              </c:strCache>
            </c:strRef>
          </c:cat>
          <c:val>
            <c:numRef>
              <c:f>Sheet1!$C$2:$C$3</c:f>
              <c:numCache>
                <c:formatCode>General</c:formatCode>
                <c:ptCount val="2"/>
                <c:pt idx="0">
                  <c:v>20</c:v>
                </c:pt>
                <c:pt idx="1">
                  <c:v>187</c:v>
                </c:pt>
              </c:numCache>
            </c:numRef>
          </c:val>
        </c:ser>
        <c:dLbls>
          <c:showLegendKey val="0"/>
          <c:showVal val="0"/>
          <c:showCatName val="0"/>
          <c:showSerName val="0"/>
          <c:showPercent val="0"/>
          <c:showBubbleSize val="0"/>
        </c:dLbls>
        <c:gapWidth val="150"/>
        <c:axId val="100365056"/>
        <c:axId val="100366592"/>
      </c:barChart>
      <c:catAx>
        <c:axId val="100365056"/>
        <c:scaling>
          <c:orientation val="minMax"/>
        </c:scaling>
        <c:delete val="0"/>
        <c:axPos val="b"/>
        <c:majorTickMark val="out"/>
        <c:minorTickMark val="none"/>
        <c:tickLblPos val="nextTo"/>
        <c:crossAx val="100366592"/>
        <c:crosses val="autoZero"/>
        <c:auto val="1"/>
        <c:lblAlgn val="ctr"/>
        <c:lblOffset val="100"/>
        <c:noMultiLvlLbl val="0"/>
      </c:catAx>
      <c:valAx>
        <c:axId val="100366592"/>
        <c:scaling>
          <c:orientation val="minMax"/>
        </c:scaling>
        <c:delete val="0"/>
        <c:axPos val="l"/>
        <c:majorGridlines/>
        <c:numFmt formatCode="General" sourceLinked="1"/>
        <c:majorTickMark val="out"/>
        <c:minorTickMark val="none"/>
        <c:tickLblPos val="nextTo"/>
        <c:crossAx val="10036505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Failure at 12m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Sheet1!$B$2:$B$5</c:f>
              <c:numCache>
                <c:formatCode>General</c:formatCode>
                <c:ptCount val="4"/>
                <c:pt idx="0">
                  <c:v>8.2000000000000003E-2</c:v>
                </c:pt>
                <c:pt idx="1">
                  <c:v>5.8000000000000003E-2</c:v>
                </c:pt>
                <c:pt idx="2">
                  <c:v>0.05</c:v>
                </c:pt>
                <c:pt idx="3">
                  <c:v>1.9E-2</c:v>
                </c:pt>
              </c:numCache>
            </c:numRef>
          </c:val>
        </c:ser>
        <c:ser>
          <c:idx val="1"/>
          <c:order val="1"/>
          <c:tx>
            <c:strRef>
              <c:f>Sheet1!$C$1</c:f>
              <c:strCache>
                <c:ptCount val="1"/>
                <c:pt idx="0">
                  <c:v>Failure at 24m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Sheet1!$C$2:$C$5</c:f>
              <c:numCache>
                <c:formatCode>General</c:formatCode>
                <c:ptCount val="4"/>
                <c:pt idx="0">
                  <c:v>0.27400000000000002</c:v>
                </c:pt>
                <c:pt idx="1">
                  <c:v>0.38500000000000001</c:v>
                </c:pt>
                <c:pt idx="2">
                  <c:v>0.08</c:v>
                </c:pt>
                <c:pt idx="3">
                  <c:v>2.8000000000000001E-2</c:v>
                </c:pt>
              </c:numCache>
            </c:numRef>
          </c:val>
        </c:ser>
        <c:ser>
          <c:idx val="2"/>
          <c:order val="2"/>
          <c:tx>
            <c:strRef>
              <c:f>Sheet1!$D$1</c:f>
              <c:strCache>
                <c:ptCount val="1"/>
                <c:pt idx="0">
                  <c:v>Failure at 36m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Sheet1!$D$2:$D$5</c:f>
              <c:numCache>
                <c:formatCode>General</c:formatCode>
                <c:ptCount val="4"/>
                <c:pt idx="0">
                  <c:v>0.37</c:v>
                </c:pt>
                <c:pt idx="1">
                  <c:v>0.46200000000000002</c:v>
                </c:pt>
                <c:pt idx="2">
                  <c:v>0.15</c:v>
                </c:pt>
                <c:pt idx="3">
                  <c:v>4.7E-2</c:v>
                </c:pt>
              </c:numCache>
            </c:numRef>
          </c:val>
        </c:ser>
        <c:dLbls>
          <c:showLegendKey val="0"/>
          <c:showVal val="0"/>
          <c:showCatName val="0"/>
          <c:showSerName val="0"/>
          <c:showPercent val="0"/>
          <c:showBubbleSize val="0"/>
        </c:dLbls>
        <c:gapWidth val="150"/>
        <c:axId val="100560256"/>
        <c:axId val="100566144"/>
      </c:barChart>
      <c:catAx>
        <c:axId val="100560256"/>
        <c:scaling>
          <c:orientation val="minMax"/>
        </c:scaling>
        <c:delete val="0"/>
        <c:axPos val="b"/>
        <c:majorTickMark val="out"/>
        <c:minorTickMark val="none"/>
        <c:tickLblPos val="nextTo"/>
        <c:crossAx val="100566144"/>
        <c:crosses val="autoZero"/>
        <c:auto val="1"/>
        <c:lblAlgn val="ctr"/>
        <c:lblOffset val="100"/>
        <c:noMultiLvlLbl val="0"/>
      </c:catAx>
      <c:valAx>
        <c:axId val="100566144"/>
        <c:scaling>
          <c:orientation val="minMax"/>
        </c:scaling>
        <c:delete val="0"/>
        <c:axPos val="l"/>
        <c:majorGridlines/>
        <c:numFmt formatCode="0%" sourceLinked="0"/>
        <c:majorTickMark val="out"/>
        <c:minorTickMark val="none"/>
        <c:tickLblPos val="nextTo"/>
        <c:crossAx val="100560256"/>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3771922996317476E-2"/>
          <c:w val="0.90462762467191604"/>
          <c:h val="0.73401564311456402"/>
        </c:manualLayout>
      </c:layout>
      <c:barChart>
        <c:barDir val="col"/>
        <c:grouping val="stacked"/>
        <c:varyColors val="0"/>
        <c:ser>
          <c:idx val="0"/>
          <c:order val="0"/>
          <c:tx>
            <c:strRef>
              <c:f>Sheet1!$B$1</c:f>
              <c:strCache>
                <c:ptCount val="1"/>
                <c:pt idx="0">
                  <c:v>Failure of purchaser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27</c:v>
                </c:pt>
                <c:pt idx="1">
                  <c:v>61</c:v>
                </c:pt>
                <c:pt idx="2">
                  <c:v>14</c:v>
                </c:pt>
                <c:pt idx="3">
                  <c:v>2</c:v>
                </c:pt>
                <c:pt idx="4">
                  <c:v>17</c:v>
                </c:pt>
              </c:numCache>
            </c:numRef>
          </c:val>
        </c:ser>
        <c:ser>
          <c:idx val="1"/>
          <c:order val="1"/>
          <c:tx>
            <c:strRef>
              <c:f>Sheet1!$C$1</c:f>
              <c:strCache>
                <c:ptCount val="1"/>
                <c:pt idx="0">
                  <c:v>Survival of purchaser</c:v>
                </c:pt>
              </c:strCache>
            </c:strRef>
          </c:tx>
          <c:invertIfNegative val="0"/>
          <c:cat>
            <c:strRef>
              <c:f>Sheet1!$A$2:$A$6</c:f>
              <c:strCache>
                <c:ptCount val="5"/>
                <c:pt idx="0">
                  <c:v>Micro</c:v>
                </c:pt>
                <c:pt idx="1">
                  <c:v>Small</c:v>
                </c:pt>
                <c:pt idx="2">
                  <c:v>Medium</c:v>
                </c:pt>
                <c:pt idx="3">
                  <c:v>Large</c:v>
                </c:pt>
                <c:pt idx="4">
                  <c:v>N/K</c:v>
                </c:pt>
              </c:strCache>
            </c:strRef>
          </c:cat>
          <c:val>
            <c:numRef>
              <c:f>Sheet1!$C$2:$C$6</c:f>
              <c:numCache>
                <c:formatCode>General</c:formatCode>
                <c:ptCount val="5"/>
                <c:pt idx="0">
                  <c:v>109</c:v>
                </c:pt>
                <c:pt idx="1">
                  <c:v>130</c:v>
                </c:pt>
                <c:pt idx="2">
                  <c:v>52</c:v>
                </c:pt>
                <c:pt idx="3">
                  <c:v>29</c:v>
                </c:pt>
                <c:pt idx="4">
                  <c:v>34</c:v>
                </c:pt>
              </c:numCache>
            </c:numRef>
          </c:val>
        </c:ser>
        <c:dLbls>
          <c:showLegendKey val="0"/>
          <c:showVal val="0"/>
          <c:showCatName val="0"/>
          <c:showSerName val="0"/>
          <c:showPercent val="0"/>
          <c:showBubbleSize val="0"/>
        </c:dLbls>
        <c:gapWidth val="150"/>
        <c:overlap val="100"/>
        <c:axId val="100406784"/>
        <c:axId val="100408320"/>
      </c:barChart>
      <c:catAx>
        <c:axId val="100406784"/>
        <c:scaling>
          <c:orientation val="minMax"/>
        </c:scaling>
        <c:delete val="0"/>
        <c:axPos val="b"/>
        <c:majorTickMark val="out"/>
        <c:minorTickMark val="none"/>
        <c:tickLblPos val="nextTo"/>
        <c:crossAx val="100408320"/>
        <c:crosses val="autoZero"/>
        <c:auto val="1"/>
        <c:lblAlgn val="ctr"/>
        <c:lblOffset val="100"/>
        <c:noMultiLvlLbl val="0"/>
      </c:catAx>
      <c:valAx>
        <c:axId val="100408320"/>
        <c:scaling>
          <c:orientation val="minMax"/>
          <c:max val="200"/>
        </c:scaling>
        <c:delete val="0"/>
        <c:axPos val="l"/>
        <c:majorGridlines/>
        <c:numFmt formatCode="General" sourceLinked="1"/>
        <c:majorTickMark val="out"/>
        <c:minorTickMark val="none"/>
        <c:tickLblPos val="nextTo"/>
        <c:crossAx val="100406784"/>
        <c:crosses val="autoZero"/>
        <c:crossBetween val="between"/>
      </c:valAx>
    </c:plotArea>
    <c:legend>
      <c:legendPos val="r"/>
      <c:layout>
        <c:manualLayout>
          <c:xMode val="edge"/>
          <c:yMode val="edge"/>
          <c:x val="0.21287995961663911"/>
          <c:y val="0.86594291469728835"/>
          <c:w val="0.70276209324281391"/>
          <c:h val="0.11089404963620056"/>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3.0384945743041663E-2"/>
          <c:w val="0.89502114319043458"/>
          <c:h val="0.73334260099566173"/>
        </c:manualLayout>
      </c:layout>
      <c:barChart>
        <c:barDir val="col"/>
        <c:grouping val="percentStacked"/>
        <c:varyColors val="0"/>
        <c:ser>
          <c:idx val="0"/>
          <c:order val="0"/>
          <c:tx>
            <c:strRef>
              <c:f>Sheet1!$B$1</c:f>
              <c:strCache>
                <c:ptCount val="1"/>
                <c:pt idx="0">
                  <c:v>Failure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Sheet1!$B$2:$B$7</c:f>
              <c:numCache>
                <c:formatCode>General</c:formatCode>
                <c:ptCount val="6"/>
                <c:pt idx="0">
                  <c:v>27</c:v>
                </c:pt>
                <c:pt idx="1">
                  <c:v>61</c:v>
                </c:pt>
                <c:pt idx="2">
                  <c:v>14</c:v>
                </c:pt>
                <c:pt idx="3">
                  <c:v>2</c:v>
                </c:pt>
                <c:pt idx="4">
                  <c:v>17</c:v>
                </c:pt>
                <c:pt idx="5">
                  <c:v>121</c:v>
                </c:pt>
              </c:numCache>
            </c:numRef>
          </c:val>
        </c:ser>
        <c:ser>
          <c:idx val="1"/>
          <c:order val="1"/>
          <c:tx>
            <c:strRef>
              <c:f>Sheet1!$C$1</c:f>
              <c:strCache>
                <c:ptCount val="1"/>
                <c:pt idx="0">
                  <c:v>Survival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Sheet1!$C$2:$C$7</c:f>
              <c:numCache>
                <c:formatCode>General</c:formatCode>
                <c:ptCount val="6"/>
                <c:pt idx="0">
                  <c:v>109</c:v>
                </c:pt>
                <c:pt idx="1">
                  <c:v>130</c:v>
                </c:pt>
                <c:pt idx="2">
                  <c:v>52</c:v>
                </c:pt>
                <c:pt idx="3">
                  <c:v>29</c:v>
                </c:pt>
                <c:pt idx="4">
                  <c:v>34</c:v>
                </c:pt>
                <c:pt idx="5">
                  <c:v>354</c:v>
                </c:pt>
              </c:numCache>
            </c:numRef>
          </c:val>
        </c:ser>
        <c:dLbls>
          <c:showLegendKey val="0"/>
          <c:showVal val="0"/>
          <c:showCatName val="0"/>
          <c:showSerName val="0"/>
          <c:showPercent val="0"/>
          <c:showBubbleSize val="0"/>
        </c:dLbls>
        <c:gapWidth val="150"/>
        <c:overlap val="100"/>
        <c:axId val="100420992"/>
        <c:axId val="100463744"/>
      </c:barChart>
      <c:catAx>
        <c:axId val="100420992"/>
        <c:scaling>
          <c:orientation val="minMax"/>
        </c:scaling>
        <c:delete val="0"/>
        <c:axPos val="b"/>
        <c:majorTickMark val="out"/>
        <c:minorTickMark val="none"/>
        <c:tickLblPos val="nextTo"/>
        <c:crossAx val="100463744"/>
        <c:crosses val="autoZero"/>
        <c:auto val="1"/>
        <c:lblAlgn val="ctr"/>
        <c:lblOffset val="100"/>
        <c:noMultiLvlLbl val="0"/>
      </c:catAx>
      <c:valAx>
        <c:axId val="100463744"/>
        <c:scaling>
          <c:orientation val="minMax"/>
        </c:scaling>
        <c:delete val="0"/>
        <c:axPos val="l"/>
        <c:majorGridlines/>
        <c:numFmt formatCode="0%" sourceLinked="1"/>
        <c:majorTickMark val="out"/>
        <c:minorTickMark val="none"/>
        <c:tickLblPos val="nextTo"/>
        <c:crossAx val="100420992"/>
        <c:crosses val="autoZero"/>
        <c:crossBetween val="between"/>
      </c:valAx>
    </c:plotArea>
    <c:legend>
      <c:legendPos val="r"/>
      <c:layout>
        <c:manualLayout>
          <c:xMode val="edge"/>
          <c:yMode val="edge"/>
          <c:x val="0.13851850801405341"/>
          <c:y val="0.88604683491845326"/>
          <c:w val="0.80452085515013627"/>
          <c:h val="0.11395311936530833"/>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3771922996317476E-2"/>
          <c:w val="0.90462762467191604"/>
          <c:h val="0.73401564311456402"/>
        </c:manualLayout>
      </c:layout>
      <c:barChart>
        <c:barDir val="col"/>
        <c:grouping val="stacked"/>
        <c:varyColors val="0"/>
        <c:ser>
          <c:idx val="0"/>
          <c:order val="0"/>
          <c:tx>
            <c:strRef>
              <c:f>Sheet1!$B$1</c:f>
              <c:strCache>
                <c:ptCount val="1"/>
                <c:pt idx="0">
                  <c:v>Failure of purchaser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20</c:v>
                </c:pt>
                <c:pt idx="1">
                  <c:v>72</c:v>
                </c:pt>
                <c:pt idx="2">
                  <c:v>7</c:v>
                </c:pt>
                <c:pt idx="3">
                  <c:v>5</c:v>
                </c:pt>
                <c:pt idx="4">
                  <c:v>17</c:v>
                </c:pt>
              </c:numCache>
            </c:numRef>
          </c:val>
        </c:ser>
        <c:ser>
          <c:idx val="1"/>
          <c:order val="1"/>
          <c:tx>
            <c:strRef>
              <c:f>Sheet1!$C$1</c:f>
              <c:strCache>
                <c:ptCount val="1"/>
                <c:pt idx="0">
                  <c:v>Survival of purchaser</c:v>
                </c:pt>
              </c:strCache>
            </c:strRef>
          </c:tx>
          <c:invertIfNegative val="0"/>
          <c:cat>
            <c:strRef>
              <c:f>Sheet1!$A$2:$A$6</c:f>
              <c:strCache>
                <c:ptCount val="5"/>
                <c:pt idx="0">
                  <c:v>Micro</c:v>
                </c:pt>
                <c:pt idx="1">
                  <c:v>Small</c:v>
                </c:pt>
                <c:pt idx="2">
                  <c:v>Medium</c:v>
                </c:pt>
                <c:pt idx="3">
                  <c:v>Large</c:v>
                </c:pt>
                <c:pt idx="4">
                  <c:v>N/K</c:v>
                </c:pt>
              </c:strCache>
            </c:strRef>
          </c:cat>
          <c:val>
            <c:numRef>
              <c:f>Sheet1!$C$2:$C$6</c:f>
              <c:numCache>
                <c:formatCode>General</c:formatCode>
                <c:ptCount val="5"/>
                <c:pt idx="0">
                  <c:v>73</c:v>
                </c:pt>
                <c:pt idx="1">
                  <c:v>178</c:v>
                </c:pt>
                <c:pt idx="2">
                  <c:v>34</c:v>
                </c:pt>
                <c:pt idx="3">
                  <c:v>35</c:v>
                </c:pt>
                <c:pt idx="4">
                  <c:v>34</c:v>
                </c:pt>
              </c:numCache>
            </c:numRef>
          </c:val>
        </c:ser>
        <c:dLbls>
          <c:showLegendKey val="0"/>
          <c:showVal val="0"/>
          <c:showCatName val="0"/>
          <c:showSerName val="0"/>
          <c:showPercent val="0"/>
          <c:showBubbleSize val="0"/>
        </c:dLbls>
        <c:gapWidth val="150"/>
        <c:overlap val="100"/>
        <c:axId val="110528384"/>
        <c:axId val="110529920"/>
      </c:barChart>
      <c:catAx>
        <c:axId val="110528384"/>
        <c:scaling>
          <c:orientation val="minMax"/>
        </c:scaling>
        <c:delete val="0"/>
        <c:axPos val="b"/>
        <c:majorTickMark val="out"/>
        <c:minorTickMark val="none"/>
        <c:tickLblPos val="nextTo"/>
        <c:crossAx val="110529920"/>
        <c:crosses val="autoZero"/>
        <c:auto val="1"/>
        <c:lblAlgn val="ctr"/>
        <c:lblOffset val="100"/>
        <c:noMultiLvlLbl val="0"/>
      </c:catAx>
      <c:valAx>
        <c:axId val="110529920"/>
        <c:scaling>
          <c:orientation val="minMax"/>
          <c:max val="250"/>
        </c:scaling>
        <c:delete val="0"/>
        <c:axPos val="l"/>
        <c:majorGridlines/>
        <c:numFmt formatCode="General" sourceLinked="1"/>
        <c:majorTickMark val="out"/>
        <c:minorTickMark val="none"/>
        <c:tickLblPos val="nextTo"/>
        <c:crossAx val="110528384"/>
        <c:crosses val="autoZero"/>
        <c:crossBetween val="between"/>
      </c:valAx>
    </c:plotArea>
    <c:legend>
      <c:legendPos val="r"/>
      <c:layout>
        <c:manualLayout>
          <c:xMode val="edge"/>
          <c:yMode val="edge"/>
          <c:x val="0.21287995961663911"/>
          <c:y val="0.86594291469728835"/>
          <c:w val="0.70276209324281391"/>
          <c:h val="0.11089404963620056"/>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3.0384945743041663E-2"/>
          <c:w val="0.89502114319043458"/>
          <c:h val="0.73334260099566173"/>
        </c:manualLayout>
      </c:layout>
      <c:barChart>
        <c:barDir val="col"/>
        <c:grouping val="percentStacked"/>
        <c:varyColors val="0"/>
        <c:ser>
          <c:idx val="0"/>
          <c:order val="0"/>
          <c:tx>
            <c:strRef>
              <c:f>Sheet1!$B$1</c:f>
              <c:strCache>
                <c:ptCount val="1"/>
                <c:pt idx="0">
                  <c:v>Failure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Sheet1!$B$2:$B$7</c:f>
              <c:numCache>
                <c:formatCode>General</c:formatCode>
                <c:ptCount val="6"/>
                <c:pt idx="0">
                  <c:v>20</c:v>
                </c:pt>
                <c:pt idx="1">
                  <c:v>72</c:v>
                </c:pt>
                <c:pt idx="2">
                  <c:v>7</c:v>
                </c:pt>
                <c:pt idx="3">
                  <c:v>5</c:v>
                </c:pt>
                <c:pt idx="4">
                  <c:v>17</c:v>
                </c:pt>
                <c:pt idx="5">
                  <c:v>121</c:v>
                </c:pt>
              </c:numCache>
            </c:numRef>
          </c:val>
        </c:ser>
        <c:ser>
          <c:idx val="1"/>
          <c:order val="1"/>
          <c:tx>
            <c:strRef>
              <c:f>Sheet1!$C$1</c:f>
              <c:strCache>
                <c:ptCount val="1"/>
                <c:pt idx="0">
                  <c:v>Survival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Sheet1!$C$2:$C$7</c:f>
              <c:numCache>
                <c:formatCode>General</c:formatCode>
                <c:ptCount val="6"/>
                <c:pt idx="0">
                  <c:v>73</c:v>
                </c:pt>
                <c:pt idx="1">
                  <c:v>178</c:v>
                </c:pt>
                <c:pt idx="2">
                  <c:v>34</c:v>
                </c:pt>
                <c:pt idx="3">
                  <c:v>35</c:v>
                </c:pt>
                <c:pt idx="4">
                  <c:v>34</c:v>
                </c:pt>
                <c:pt idx="5">
                  <c:v>354</c:v>
                </c:pt>
              </c:numCache>
            </c:numRef>
          </c:val>
        </c:ser>
        <c:dLbls>
          <c:showLegendKey val="0"/>
          <c:showVal val="0"/>
          <c:showCatName val="0"/>
          <c:showSerName val="0"/>
          <c:showPercent val="0"/>
          <c:showBubbleSize val="0"/>
        </c:dLbls>
        <c:gapWidth val="150"/>
        <c:overlap val="100"/>
        <c:axId val="110596096"/>
        <c:axId val="110597632"/>
      </c:barChart>
      <c:catAx>
        <c:axId val="110596096"/>
        <c:scaling>
          <c:orientation val="minMax"/>
        </c:scaling>
        <c:delete val="0"/>
        <c:axPos val="b"/>
        <c:majorTickMark val="out"/>
        <c:minorTickMark val="none"/>
        <c:tickLblPos val="nextTo"/>
        <c:crossAx val="110597632"/>
        <c:crosses val="autoZero"/>
        <c:auto val="1"/>
        <c:lblAlgn val="ctr"/>
        <c:lblOffset val="100"/>
        <c:noMultiLvlLbl val="0"/>
      </c:catAx>
      <c:valAx>
        <c:axId val="110597632"/>
        <c:scaling>
          <c:orientation val="minMax"/>
        </c:scaling>
        <c:delete val="0"/>
        <c:axPos val="l"/>
        <c:majorGridlines/>
        <c:numFmt formatCode="0%" sourceLinked="1"/>
        <c:majorTickMark val="out"/>
        <c:minorTickMark val="none"/>
        <c:tickLblPos val="nextTo"/>
        <c:crossAx val="110596096"/>
        <c:crosses val="autoZero"/>
        <c:crossBetween val="between"/>
      </c:valAx>
    </c:plotArea>
    <c:legend>
      <c:legendPos val="r"/>
      <c:layout>
        <c:manualLayout>
          <c:xMode val="edge"/>
          <c:yMode val="edge"/>
          <c:x val="0.13851850801405341"/>
          <c:y val="0.88604683491845326"/>
          <c:w val="0.8253214115805303"/>
          <c:h val="0.11395311936530833"/>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7</c:v>
                </c:pt>
                <c:pt idx="1">
                  <c:v>29</c:v>
                </c:pt>
                <c:pt idx="2">
                  <c:v>2</c:v>
                </c:pt>
                <c:pt idx="3">
                  <c:v>32</c:v>
                </c:pt>
                <c:pt idx="4">
                  <c:v>33</c:v>
                </c:pt>
                <c:pt idx="5">
                  <c:v>56</c:v>
                </c:pt>
                <c:pt idx="6">
                  <c:v>13</c:v>
                </c:pt>
              </c:numCache>
            </c:numRef>
          </c:val>
        </c:ser>
        <c:dLbls>
          <c:showLegendKey val="0"/>
          <c:showVal val="0"/>
          <c:showCatName val="0"/>
          <c:showSerName val="0"/>
          <c:showPercent val="0"/>
          <c:showBubbleSize val="0"/>
        </c:dLbls>
        <c:gapWidth val="150"/>
        <c:axId val="110614016"/>
        <c:axId val="110615552"/>
      </c:barChart>
      <c:catAx>
        <c:axId val="110614016"/>
        <c:scaling>
          <c:orientation val="minMax"/>
        </c:scaling>
        <c:delete val="0"/>
        <c:axPos val="l"/>
        <c:majorTickMark val="out"/>
        <c:minorTickMark val="none"/>
        <c:tickLblPos val="nextTo"/>
        <c:crossAx val="110615552"/>
        <c:crosses val="autoZero"/>
        <c:auto val="1"/>
        <c:lblAlgn val="ctr"/>
        <c:lblOffset val="100"/>
        <c:noMultiLvlLbl val="0"/>
      </c:catAx>
      <c:valAx>
        <c:axId val="110615552"/>
        <c:scaling>
          <c:orientation val="minMax"/>
        </c:scaling>
        <c:delete val="0"/>
        <c:axPos val="b"/>
        <c:majorGridlines/>
        <c:numFmt formatCode="General" sourceLinked="1"/>
        <c:majorTickMark val="out"/>
        <c:minorTickMark val="none"/>
        <c:tickLblPos val="nextTo"/>
        <c:crossAx val="1106140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Size of oldco (Employees)</c:v>
                </c:pt>
              </c:strCache>
            </c:strRef>
          </c:tx>
          <c:dLbls>
            <c:showLegendKey val="0"/>
            <c:showVal val="1"/>
            <c:showCatName val="0"/>
            <c:showSerName val="0"/>
            <c:showPercent val="0"/>
            <c:showBubbleSize val="0"/>
            <c:showLeaderLines val="1"/>
          </c:dLbls>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146</c:v>
                </c:pt>
                <c:pt idx="1">
                  <c:v>193</c:v>
                </c:pt>
                <c:pt idx="2">
                  <c:v>67</c:v>
                </c:pt>
                <c:pt idx="3">
                  <c:v>32</c:v>
                </c:pt>
                <c:pt idx="4">
                  <c:v>59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c:v>
                </c:pt>
              </c:strCache>
            </c:strRef>
          </c:tx>
          <c:dLbls>
            <c:showLegendKey val="0"/>
            <c:showVal val="1"/>
            <c:showCatName val="0"/>
            <c:showSerName val="0"/>
            <c:showPercent val="0"/>
            <c:showBubbleSize val="0"/>
            <c:showLeaderLines val="1"/>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7</c:v>
                </c:pt>
                <c:pt idx="1">
                  <c:v>29</c:v>
                </c:pt>
                <c:pt idx="2">
                  <c:v>2</c:v>
                </c:pt>
                <c:pt idx="3">
                  <c:v>32</c:v>
                </c:pt>
                <c:pt idx="4">
                  <c:v>33</c:v>
                </c:pt>
                <c:pt idx="5">
                  <c:v>56</c:v>
                </c:pt>
                <c:pt idx="6">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 and connected sale</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5</c:v>
                </c:pt>
                <c:pt idx="1">
                  <c:v>21</c:v>
                </c:pt>
                <c:pt idx="2">
                  <c:v>0</c:v>
                </c:pt>
                <c:pt idx="3">
                  <c:v>25</c:v>
                </c:pt>
                <c:pt idx="4">
                  <c:v>27</c:v>
                </c:pt>
                <c:pt idx="5">
                  <c:v>42</c:v>
                </c:pt>
                <c:pt idx="6">
                  <c:v>11</c:v>
                </c:pt>
              </c:numCache>
            </c:numRef>
          </c:val>
        </c:ser>
        <c:dLbls>
          <c:showLegendKey val="0"/>
          <c:showVal val="0"/>
          <c:showCatName val="0"/>
          <c:showSerName val="0"/>
          <c:showPercent val="0"/>
          <c:showBubbleSize val="0"/>
        </c:dLbls>
        <c:gapWidth val="150"/>
        <c:axId val="100800000"/>
        <c:axId val="100801536"/>
      </c:barChart>
      <c:catAx>
        <c:axId val="100800000"/>
        <c:scaling>
          <c:orientation val="minMax"/>
        </c:scaling>
        <c:delete val="0"/>
        <c:axPos val="l"/>
        <c:majorTickMark val="out"/>
        <c:minorTickMark val="none"/>
        <c:tickLblPos val="nextTo"/>
        <c:crossAx val="100801536"/>
        <c:crosses val="autoZero"/>
        <c:auto val="1"/>
        <c:lblAlgn val="ctr"/>
        <c:lblOffset val="100"/>
        <c:noMultiLvlLbl val="0"/>
      </c:catAx>
      <c:valAx>
        <c:axId val="100801536"/>
        <c:scaling>
          <c:orientation val="minMax"/>
        </c:scaling>
        <c:delete val="0"/>
        <c:axPos val="b"/>
        <c:majorGridlines/>
        <c:numFmt formatCode="General" sourceLinked="1"/>
        <c:majorTickMark val="out"/>
        <c:minorTickMark val="none"/>
        <c:tickLblPos val="nextTo"/>
        <c:crossAx val="100800000"/>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 and connected sale</c:v>
                </c:pt>
              </c:strCache>
            </c:strRef>
          </c:tx>
          <c:dLbls>
            <c:dLbl>
              <c:idx val="2"/>
              <c:layout>
                <c:manualLayout>
                  <c:x val="5.8583041703120439E-3"/>
                  <c:y val="7.6702912135983006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5</c:v>
                </c:pt>
                <c:pt idx="1">
                  <c:v>21</c:v>
                </c:pt>
                <c:pt idx="2">
                  <c:v>0</c:v>
                </c:pt>
                <c:pt idx="3">
                  <c:v>25</c:v>
                </c:pt>
                <c:pt idx="4">
                  <c:v>27</c:v>
                </c:pt>
                <c:pt idx="5">
                  <c:v>42</c:v>
                </c:pt>
                <c:pt idx="6">
                  <c:v>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 and no connected sale</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2</c:v>
                </c:pt>
                <c:pt idx="1">
                  <c:v>8</c:v>
                </c:pt>
                <c:pt idx="2">
                  <c:v>2</c:v>
                </c:pt>
                <c:pt idx="3">
                  <c:v>7</c:v>
                </c:pt>
                <c:pt idx="4">
                  <c:v>6</c:v>
                </c:pt>
                <c:pt idx="5">
                  <c:v>14</c:v>
                </c:pt>
                <c:pt idx="6">
                  <c:v>2</c:v>
                </c:pt>
              </c:numCache>
            </c:numRef>
          </c:val>
        </c:ser>
        <c:dLbls>
          <c:showLegendKey val="0"/>
          <c:showVal val="0"/>
          <c:showCatName val="0"/>
          <c:showSerName val="0"/>
          <c:showPercent val="0"/>
          <c:showBubbleSize val="0"/>
        </c:dLbls>
        <c:gapWidth val="150"/>
        <c:axId val="110646784"/>
        <c:axId val="110648320"/>
      </c:barChart>
      <c:catAx>
        <c:axId val="110646784"/>
        <c:scaling>
          <c:orientation val="minMax"/>
        </c:scaling>
        <c:delete val="0"/>
        <c:axPos val="l"/>
        <c:majorTickMark val="out"/>
        <c:minorTickMark val="none"/>
        <c:tickLblPos val="nextTo"/>
        <c:crossAx val="110648320"/>
        <c:crosses val="autoZero"/>
        <c:auto val="1"/>
        <c:lblAlgn val="ctr"/>
        <c:lblOffset val="100"/>
        <c:noMultiLvlLbl val="0"/>
      </c:catAx>
      <c:valAx>
        <c:axId val="110648320"/>
        <c:scaling>
          <c:orientation val="minMax"/>
        </c:scaling>
        <c:delete val="0"/>
        <c:axPos val="b"/>
        <c:majorGridlines/>
        <c:numFmt formatCode="General" sourceLinked="1"/>
        <c:majorTickMark val="out"/>
        <c:minorTickMark val="none"/>
        <c:tickLblPos val="nextTo"/>
        <c:crossAx val="110646784"/>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 and no connected sale</c:v>
                </c:pt>
              </c:strCache>
            </c:strRef>
          </c:tx>
          <c:dLbls>
            <c:dLbl>
              <c:idx val="2"/>
              <c:layout>
                <c:manualLayout>
                  <c:x val="-3.580836249635462E-2"/>
                  <c:y val="-8.2027246594175724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2</c:v>
                </c:pt>
                <c:pt idx="1">
                  <c:v>8</c:v>
                </c:pt>
                <c:pt idx="2">
                  <c:v>2</c:v>
                </c:pt>
                <c:pt idx="3">
                  <c:v>7</c:v>
                </c:pt>
                <c:pt idx="4">
                  <c:v>6</c:v>
                </c:pt>
                <c:pt idx="5">
                  <c:v>14</c:v>
                </c:pt>
                <c:pt idx="6">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2563483458100513E-2"/>
          <c:w val="0.87996354622338879"/>
          <c:h val="0.65394720259975392"/>
        </c:manualLayout>
      </c:layout>
      <c:barChart>
        <c:barDir val="col"/>
        <c:grouping val="clustered"/>
        <c:varyColors val="0"/>
        <c:ser>
          <c:idx val="0"/>
          <c:order val="0"/>
          <c:tx>
            <c:strRef>
              <c:f>Sheet1!$B$1</c:f>
              <c:strCache>
                <c:ptCount val="1"/>
                <c:pt idx="0">
                  <c:v>Total</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Sheet1!$B$2:$B$6</c:f>
              <c:numCache>
                <c:formatCode>General</c:formatCode>
                <c:ptCount val="5"/>
                <c:pt idx="0">
                  <c:v>87</c:v>
                </c:pt>
                <c:pt idx="1">
                  <c:v>49</c:v>
                </c:pt>
                <c:pt idx="2">
                  <c:v>91</c:v>
                </c:pt>
                <c:pt idx="3">
                  <c:v>79</c:v>
                </c:pt>
                <c:pt idx="4">
                  <c:v>96</c:v>
                </c:pt>
              </c:numCache>
            </c:numRef>
          </c:val>
        </c:ser>
        <c:ser>
          <c:idx val="1"/>
          <c:order val="1"/>
          <c:tx>
            <c:strRef>
              <c:f>Sheet1!$C$1</c:f>
              <c:strCache>
                <c:ptCount val="1"/>
                <c:pt idx="0">
                  <c:v>Failure of purchaser</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Sheet1!$C$2:$C$6</c:f>
              <c:numCache>
                <c:formatCode>General</c:formatCode>
                <c:ptCount val="5"/>
                <c:pt idx="0">
                  <c:v>27</c:v>
                </c:pt>
                <c:pt idx="1">
                  <c:v>18</c:v>
                </c:pt>
                <c:pt idx="2">
                  <c:v>23</c:v>
                </c:pt>
                <c:pt idx="3">
                  <c:v>11</c:v>
                </c:pt>
                <c:pt idx="4">
                  <c:v>23</c:v>
                </c:pt>
              </c:numCache>
            </c:numRef>
          </c:val>
        </c:ser>
        <c:dLbls>
          <c:showLegendKey val="0"/>
          <c:showVal val="0"/>
          <c:showCatName val="0"/>
          <c:showSerName val="0"/>
          <c:showPercent val="0"/>
          <c:showBubbleSize val="0"/>
        </c:dLbls>
        <c:gapWidth val="150"/>
        <c:axId val="110726144"/>
        <c:axId val="110744320"/>
      </c:barChart>
      <c:catAx>
        <c:axId val="110726144"/>
        <c:scaling>
          <c:orientation val="minMax"/>
        </c:scaling>
        <c:delete val="0"/>
        <c:axPos val="b"/>
        <c:majorTickMark val="out"/>
        <c:minorTickMark val="none"/>
        <c:tickLblPos val="nextTo"/>
        <c:crossAx val="110744320"/>
        <c:crosses val="autoZero"/>
        <c:auto val="1"/>
        <c:lblAlgn val="ctr"/>
        <c:lblOffset val="100"/>
        <c:noMultiLvlLbl val="0"/>
      </c:catAx>
      <c:valAx>
        <c:axId val="110744320"/>
        <c:scaling>
          <c:orientation val="minMax"/>
          <c:max val="100"/>
        </c:scaling>
        <c:delete val="0"/>
        <c:axPos val="l"/>
        <c:majorGridlines/>
        <c:numFmt formatCode="General" sourceLinked="1"/>
        <c:majorTickMark val="out"/>
        <c:minorTickMark val="none"/>
        <c:tickLblPos val="nextTo"/>
        <c:crossAx val="110726144"/>
        <c:crosses val="autoZero"/>
        <c:crossBetween val="between"/>
      </c:valAx>
    </c:plotArea>
    <c:legend>
      <c:legendPos val="r"/>
      <c:layout>
        <c:manualLayout>
          <c:xMode val="edge"/>
          <c:yMode val="edge"/>
          <c:x val="7.4375182268883053E-2"/>
          <c:y val="0.8387064340342214"/>
          <c:w val="0.27516185476815397"/>
          <c:h val="0.1104650100097837"/>
        </c:manualLayout>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Survival of purchaser</c:v>
                </c:pt>
              </c:strCache>
            </c:strRef>
          </c:tx>
          <c:invertIfNegative val="0"/>
          <c:cat>
            <c:strRef>
              <c:f>Sheet1!$A$2:$A$3</c:f>
              <c:strCache>
                <c:ptCount val="2"/>
                <c:pt idx="0">
                  <c:v>Marketing</c:v>
                </c:pt>
                <c:pt idx="1">
                  <c:v>No marketing</c:v>
                </c:pt>
              </c:strCache>
            </c:strRef>
          </c:cat>
          <c:val>
            <c:numRef>
              <c:f>Sheet1!$B$2:$B$3</c:f>
              <c:numCache>
                <c:formatCode>General</c:formatCode>
                <c:ptCount val="2"/>
                <c:pt idx="0">
                  <c:v>215</c:v>
                </c:pt>
                <c:pt idx="1">
                  <c:v>134</c:v>
                </c:pt>
              </c:numCache>
            </c:numRef>
          </c:val>
        </c:ser>
        <c:ser>
          <c:idx val="1"/>
          <c:order val="1"/>
          <c:tx>
            <c:strRef>
              <c:f>Sheet1!$C$1</c:f>
              <c:strCache>
                <c:ptCount val="1"/>
                <c:pt idx="0">
                  <c:v>Failure of purchaser</c:v>
                </c:pt>
              </c:strCache>
            </c:strRef>
          </c:tx>
          <c:invertIfNegative val="0"/>
          <c:cat>
            <c:strRef>
              <c:f>Sheet1!$A$2:$A$3</c:f>
              <c:strCache>
                <c:ptCount val="2"/>
                <c:pt idx="0">
                  <c:v>Marketing</c:v>
                </c:pt>
                <c:pt idx="1">
                  <c:v>No marketing</c:v>
                </c:pt>
              </c:strCache>
            </c:strRef>
          </c:cat>
          <c:val>
            <c:numRef>
              <c:f>Sheet1!$C$2:$C$3</c:f>
              <c:numCache>
                <c:formatCode>General</c:formatCode>
                <c:ptCount val="2"/>
                <c:pt idx="0">
                  <c:v>66</c:v>
                </c:pt>
                <c:pt idx="1">
                  <c:v>55</c:v>
                </c:pt>
              </c:numCache>
            </c:numRef>
          </c:val>
        </c:ser>
        <c:dLbls>
          <c:showLegendKey val="0"/>
          <c:showVal val="0"/>
          <c:showCatName val="0"/>
          <c:showSerName val="0"/>
          <c:showPercent val="0"/>
          <c:showBubbleSize val="0"/>
        </c:dLbls>
        <c:gapWidth val="150"/>
        <c:axId val="112129536"/>
        <c:axId val="112131072"/>
      </c:barChart>
      <c:catAx>
        <c:axId val="112129536"/>
        <c:scaling>
          <c:orientation val="minMax"/>
        </c:scaling>
        <c:delete val="0"/>
        <c:axPos val="b"/>
        <c:majorTickMark val="out"/>
        <c:minorTickMark val="none"/>
        <c:tickLblPos val="nextTo"/>
        <c:crossAx val="112131072"/>
        <c:crosses val="autoZero"/>
        <c:auto val="1"/>
        <c:lblAlgn val="ctr"/>
        <c:lblOffset val="100"/>
        <c:noMultiLvlLbl val="0"/>
      </c:catAx>
      <c:valAx>
        <c:axId val="112131072"/>
        <c:scaling>
          <c:orientation val="minMax"/>
        </c:scaling>
        <c:delete val="0"/>
        <c:axPos val="l"/>
        <c:majorGridlines/>
        <c:numFmt formatCode="General" sourceLinked="1"/>
        <c:majorTickMark val="out"/>
        <c:minorTickMark val="none"/>
        <c:tickLblPos val="nextTo"/>
        <c:crossAx val="112129536"/>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993473409406711E-2"/>
          <c:y val="0.19511133197074951"/>
          <c:w val="0.93134042007510365"/>
          <c:h val="0.64823941831670306"/>
        </c:manualLayout>
      </c:layout>
      <c:barChart>
        <c:barDir val="col"/>
        <c:grouping val="clustered"/>
        <c:varyColors val="0"/>
        <c:ser>
          <c:idx val="0"/>
          <c:order val="0"/>
          <c:tx>
            <c:strRef>
              <c:f>Sheet1!$B$1</c:f>
              <c:strCache>
                <c:ptCount val="1"/>
                <c:pt idx="0">
                  <c:v>Number of appointments</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Sheet1!$B$2:$B$11</c:f>
              <c:numCache>
                <c:formatCode>General</c:formatCode>
                <c:ptCount val="10"/>
                <c:pt idx="0">
                  <c:v>35</c:v>
                </c:pt>
                <c:pt idx="1">
                  <c:v>36</c:v>
                </c:pt>
                <c:pt idx="2">
                  <c:v>35</c:v>
                </c:pt>
                <c:pt idx="3">
                  <c:v>20</c:v>
                </c:pt>
                <c:pt idx="4">
                  <c:v>20</c:v>
                </c:pt>
                <c:pt idx="5">
                  <c:v>19</c:v>
                </c:pt>
                <c:pt idx="6">
                  <c:v>17</c:v>
                </c:pt>
                <c:pt idx="7">
                  <c:v>17</c:v>
                </c:pt>
                <c:pt idx="8">
                  <c:v>14</c:v>
                </c:pt>
                <c:pt idx="9">
                  <c:v>15</c:v>
                </c:pt>
              </c:numCache>
            </c:numRef>
          </c:val>
        </c:ser>
        <c:ser>
          <c:idx val="1"/>
          <c:order val="1"/>
          <c:tx>
            <c:strRef>
              <c:f>Sheet1!$C$1</c:f>
              <c:strCache>
                <c:ptCount val="1"/>
                <c:pt idx="0">
                  <c:v>Subsequent failure of purchaser</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Sheet1!$C$2:$C$11</c:f>
              <c:numCache>
                <c:formatCode>General</c:formatCode>
                <c:ptCount val="10"/>
                <c:pt idx="0">
                  <c:v>10</c:v>
                </c:pt>
                <c:pt idx="1">
                  <c:v>19</c:v>
                </c:pt>
                <c:pt idx="2">
                  <c:v>11</c:v>
                </c:pt>
                <c:pt idx="3">
                  <c:v>4</c:v>
                </c:pt>
                <c:pt idx="4">
                  <c:v>9</c:v>
                </c:pt>
                <c:pt idx="5">
                  <c:v>8</c:v>
                </c:pt>
                <c:pt idx="6">
                  <c:v>3</c:v>
                </c:pt>
                <c:pt idx="7">
                  <c:v>1</c:v>
                </c:pt>
                <c:pt idx="8">
                  <c:v>0</c:v>
                </c:pt>
                <c:pt idx="9">
                  <c:v>1</c:v>
                </c:pt>
              </c:numCache>
            </c:numRef>
          </c:val>
        </c:ser>
        <c:dLbls>
          <c:showLegendKey val="0"/>
          <c:showVal val="0"/>
          <c:showCatName val="0"/>
          <c:showSerName val="0"/>
          <c:showPercent val="0"/>
          <c:showBubbleSize val="0"/>
        </c:dLbls>
        <c:gapWidth val="150"/>
        <c:axId val="111902720"/>
        <c:axId val="111904256"/>
      </c:barChart>
      <c:catAx>
        <c:axId val="111902720"/>
        <c:scaling>
          <c:orientation val="minMax"/>
        </c:scaling>
        <c:delete val="0"/>
        <c:axPos val="b"/>
        <c:majorTickMark val="out"/>
        <c:minorTickMark val="none"/>
        <c:tickLblPos val="nextTo"/>
        <c:crossAx val="111904256"/>
        <c:crosses val="autoZero"/>
        <c:auto val="1"/>
        <c:lblAlgn val="ctr"/>
        <c:lblOffset val="100"/>
        <c:noMultiLvlLbl val="0"/>
      </c:catAx>
      <c:valAx>
        <c:axId val="111904256"/>
        <c:scaling>
          <c:orientation val="minMax"/>
        </c:scaling>
        <c:delete val="0"/>
        <c:axPos val="l"/>
        <c:majorGridlines/>
        <c:numFmt formatCode="General" sourceLinked="1"/>
        <c:majorTickMark val="out"/>
        <c:minorTickMark val="none"/>
        <c:tickLblPos val="nextTo"/>
        <c:crossAx val="111902720"/>
        <c:crosses val="autoZero"/>
        <c:crossBetween val="between"/>
      </c:valAx>
    </c:plotArea>
    <c:legend>
      <c:legendPos val="r"/>
      <c:layout>
        <c:manualLayout>
          <c:xMode val="edge"/>
          <c:yMode val="edge"/>
          <c:x val="0.59964056576261304"/>
          <c:y val="0.2678007439458237"/>
          <c:w val="0.31369360108297478"/>
          <c:h val="9.5499620958992462E-2"/>
        </c:manualLayout>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713740799275867E-2"/>
          <c:y val="2.1204201079143181E-2"/>
          <c:w val="0.93681944553272112"/>
          <c:h val="0.76549261608329089"/>
        </c:manualLayout>
      </c:layout>
      <c:barChart>
        <c:barDir val="col"/>
        <c:grouping val="clustered"/>
        <c:varyColors val="0"/>
        <c:ser>
          <c:idx val="0"/>
          <c:order val="0"/>
          <c:tx>
            <c:strRef>
              <c:f>Sheet1!$B$1</c:f>
              <c:strCache>
                <c:ptCount val="1"/>
                <c:pt idx="0">
                  <c:v>Total sales</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Sheet1!$B$2:$B$11</c:f>
              <c:numCache>
                <c:formatCode>General</c:formatCode>
                <c:ptCount val="10"/>
                <c:pt idx="0">
                  <c:v>35</c:v>
                </c:pt>
                <c:pt idx="1">
                  <c:v>36</c:v>
                </c:pt>
                <c:pt idx="2">
                  <c:v>35</c:v>
                </c:pt>
                <c:pt idx="3">
                  <c:v>20</c:v>
                </c:pt>
                <c:pt idx="4">
                  <c:v>20</c:v>
                </c:pt>
                <c:pt idx="5">
                  <c:v>19</c:v>
                </c:pt>
                <c:pt idx="6">
                  <c:v>17</c:v>
                </c:pt>
                <c:pt idx="7">
                  <c:v>17</c:v>
                </c:pt>
                <c:pt idx="8">
                  <c:v>14</c:v>
                </c:pt>
                <c:pt idx="9">
                  <c:v>15</c:v>
                </c:pt>
              </c:numCache>
            </c:numRef>
          </c:val>
        </c:ser>
        <c:ser>
          <c:idx val="1"/>
          <c:order val="1"/>
          <c:tx>
            <c:strRef>
              <c:f>Sheet1!$C$1</c:f>
              <c:strCache>
                <c:ptCount val="1"/>
                <c:pt idx="0">
                  <c:v>Sales to a connected party</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Sheet1!$C$2:$C$11</c:f>
              <c:numCache>
                <c:formatCode>General</c:formatCode>
                <c:ptCount val="10"/>
                <c:pt idx="0">
                  <c:v>23</c:v>
                </c:pt>
                <c:pt idx="1">
                  <c:v>23</c:v>
                </c:pt>
                <c:pt idx="2">
                  <c:v>25</c:v>
                </c:pt>
                <c:pt idx="3">
                  <c:v>13</c:v>
                </c:pt>
                <c:pt idx="4">
                  <c:v>15</c:v>
                </c:pt>
                <c:pt idx="5">
                  <c:v>6</c:v>
                </c:pt>
                <c:pt idx="6">
                  <c:v>6</c:v>
                </c:pt>
                <c:pt idx="7">
                  <c:v>14</c:v>
                </c:pt>
                <c:pt idx="8">
                  <c:v>9</c:v>
                </c:pt>
                <c:pt idx="9">
                  <c:v>6</c:v>
                </c:pt>
              </c:numCache>
            </c:numRef>
          </c:val>
        </c:ser>
        <c:ser>
          <c:idx val="2"/>
          <c:order val="2"/>
          <c:tx>
            <c:strRef>
              <c:f>Sheet1!$D$1</c:f>
              <c:strCache>
                <c:ptCount val="1"/>
                <c:pt idx="0">
                  <c:v>Failure of purchaser with connected sale</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Sheet1!$D$2:$D$11</c:f>
              <c:numCache>
                <c:formatCode>General</c:formatCode>
                <c:ptCount val="10"/>
                <c:pt idx="0">
                  <c:v>7</c:v>
                </c:pt>
                <c:pt idx="1">
                  <c:v>13</c:v>
                </c:pt>
                <c:pt idx="2">
                  <c:v>8</c:v>
                </c:pt>
                <c:pt idx="3">
                  <c:v>2</c:v>
                </c:pt>
                <c:pt idx="4">
                  <c:v>9</c:v>
                </c:pt>
                <c:pt idx="5">
                  <c:v>3</c:v>
                </c:pt>
                <c:pt idx="6">
                  <c:v>2</c:v>
                </c:pt>
                <c:pt idx="7">
                  <c:v>0</c:v>
                </c:pt>
                <c:pt idx="8">
                  <c:v>0</c:v>
                </c:pt>
                <c:pt idx="9">
                  <c:v>1</c:v>
                </c:pt>
              </c:numCache>
            </c:numRef>
          </c:val>
        </c:ser>
        <c:ser>
          <c:idx val="3"/>
          <c:order val="3"/>
          <c:tx>
            <c:strRef>
              <c:f>Sheet1!$E$1</c:f>
              <c:strCache>
                <c:ptCount val="1"/>
                <c:pt idx="0">
                  <c:v>Sales with deferred consideration </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Sheet1!$E$2:$E$11</c:f>
              <c:numCache>
                <c:formatCode>General</c:formatCode>
                <c:ptCount val="10"/>
                <c:pt idx="0">
                  <c:v>24</c:v>
                </c:pt>
                <c:pt idx="1">
                  <c:v>30</c:v>
                </c:pt>
                <c:pt idx="2">
                  <c:v>19</c:v>
                </c:pt>
                <c:pt idx="3">
                  <c:v>3</c:v>
                </c:pt>
                <c:pt idx="4">
                  <c:v>15</c:v>
                </c:pt>
                <c:pt idx="5">
                  <c:v>10</c:v>
                </c:pt>
                <c:pt idx="6">
                  <c:v>7</c:v>
                </c:pt>
                <c:pt idx="7">
                  <c:v>5</c:v>
                </c:pt>
                <c:pt idx="8">
                  <c:v>3</c:v>
                </c:pt>
                <c:pt idx="9">
                  <c:v>1</c:v>
                </c:pt>
              </c:numCache>
            </c:numRef>
          </c:val>
        </c:ser>
        <c:ser>
          <c:idx val="4"/>
          <c:order val="4"/>
          <c:tx>
            <c:strRef>
              <c:f>Sheet1!$F$1</c:f>
              <c:strCache>
                <c:ptCount val="1"/>
                <c:pt idx="0">
                  <c:v>Failure of purchaser with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Sheet1!$F$2:$F$11</c:f>
              <c:numCache>
                <c:formatCode>General</c:formatCode>
                <c:ptCount val="10"/>
                <c:pt idx="0">
                  <c:v>9</c:v>
                </c:pt>
                <c:pt idx="1">
                  <c:v>18</c:v>
                </c:pt>
                <c:pt idx="2">
                  <c:v>8</c:v>
                </c:pt>
                <c:pt idx="3">
                  <c:v>1</c:v>
                </c:pt>
                <c:pt idx="4">
                  <c:v>9</c:v>
                </c:pt>
                <c:pt idx="5">
                  <c:v>8</c:v>
                </c:pt>
                <c:pt idx="6">
                  <c:v>3</c:v>
                </c:pt>
                <c:pt idx="7">
                  <c:v>1</c:v>
                </c:pt>
                <c:pt idx="8">
                  <c:v>0</c:v>
                </c:pt>
                <c:pt idx="9">
                  <c:v>0</c:v>
                </c:pt>
              </c:numCache>
            </c:numRef>
          </c:val>
        </c:ser>
        <c:ser>
          <c:idx val="5"/>
          <c:order val="5"/>
          <c:tx>
            <c:strRef>
              <c:f>Sheet1!$G$1</c:f>
              <c:strCache>
                <c:ptCount val="1"/>
                <c:pt idx="0">
                  <c:v>Sales to a connected party with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Sheet1!$G$2:$G$11</c:f>
              <c:numCache>
                <c:formatCode>General</c:formatCode>
                <c:ptCount val="10"/>
                <c:pt idx="0">
                  <c:v>18</c:v>
                </c:pt>
                <c:pt idx="1">
                  <c:v>22</c:v>
                </c:pt>
                <c:pt idx="2">
                  <c:v>15</c:v>
                </c:pt>
                <c:pt idx="3">
                  <c:v>3</c:v>
                </c:pt>
                <c:pt idx="4">
                  <c:v>15</c:v>
                </c:pt>
                <c:pt idx="5">
                  <c:v>4</c:v>
                </c:pt>
                <c:pt idx="6">
                  <c:v>5</c:v>
                </c:pt>
                <c:pt idx="7">
                  <c:v>3</c:v>
                </c:pt>
                <c:pt idx="8">
                  <c:v>3</c:v>
                </c:pt>
                <c:pt idx="9">
                  <c:v>1</c:v>
                </c:pt>
              </c:numCache>
            </c:numRef>
          </c:val>
        </c:ser>
        <c:ser>
          <c:idx val="6"/>
          <c:order val="6"/>
          <c:tx>
            <c:strRef>
              <c:f>Sheet1!$H$1</c:f>
              <c:strCache>
                <c:ptCount val="1"/>
                <c:pt idx="0">
                  <c:v>Failure of purchaser with connected sale and deferred consideration</c:v>
                </c:pt>
              </c:strCache>
            </c:strRef>
          </c:tx>
          <c:invertIfNegative val="0"/>
          <c:cat>
            <c:strRef>
              <c:f>Sheet1!$A$2:$A$11</c:f>
              <c:strCache>
                <c:ptCount val="10"/>
                <c:pt idx="0">
                  <c:v>Begbies Traynor</c:v>
                </c:pt>
                <c:pt idx="1">
                  <c:v>Leonard Curtis</c:v>
                </c:pt>
                <c:pt idx="2">
                  <c:v>RSM Tenon</c:v>
                </c:pt>
                <c:pt idx="3">
                  <c:v>KPMG</c:v>
                </c:pt>
                <c:pt idx="4">
                  <c:v>Shipleys</c:v>
                </c:pt>
                <c:pt idx="5">
                  <c:v>FRP Advisory / Vantis</c:v>
                </c:pt>
                <c:pt idx="6">
                  <c:v>MCR</c:v>
                </c:pt>
                <c:pt idx="7">
                  <c:v>BDO</c:v>
                </c:pt>
                <c:pt idx="8">
                  <c:v>Baker Tilly</c:v>
                </c:pt>
                <c:pt idx="9">
                  <c:v>Grant Thornton</c:v>
                </c:pt>
              </c:strCache>
            </c:strRef>
          </c:cat>
          <c:val>
            <c:numRef>
              <c:f>Sheet1!$H$2:$H$11</c:f>
              <c:numCache>
                <c:formatCode>General</c:formatCode>
                <c:ptCount val="10"/>
                <c:pt idx="0">
                  <c:v>6</c:v>
                </c:pt>
                <c:pt idx="1">
                  <c:v>13</c:v>
                </c:pt>
                <c:pt idx="2">
                  <c:v>5</c:v>
                </c:pt>
                <c:pt idx="3">
                  <c:v>1</c:v>
                </c:pt>
                <c:pt idx="4">
                  <c:v>9</c:v>
                </c:pt>
                <c:pt idx="5">
                  <c:v>3</c:v>
                </c:pt>
                <c:pt idx="6">
                  <c:v>2</c:v>
                </c:pt>
                <c:pt idx="7">
                  <c:v>0</c:v>
                </c:pt>
                <c:pt idx="8">
                  <c:v>0</c:v>
                </c:pt>
                <c:pt idx="9">
                  <c:v>0</c:v>
                </c:pt>
              </c:numCache>
            </c:numRef>
          </c:val>
        </c:ser>
        <c:dLbls>
          <c:showLegendKey val="0"/>
          <c:showVal val="0"/>
          <c:showCatName val="0"/>
          <c:showSerName val="0"/>
          <c:showPercent val="0"/>
          <c:showBubbleSize val="0"/>
        </c:dLbls>
        <c:gapWidth val="150"/>
        <c:axId val="111978368"/>
        <c:axId val="111979904"/>
      </c:barChart>
      <c:catAx>
        <c:axId val="111978368"/>
        <c:scaling>
          <c:orientation val="minMax"/>
        </c:scaling>
        <c:delete val="0"/>
        <c:axPos val="b"/>
        <c:majorTickMark val="out"/>
        <c:minorTickMark val="none"/>
        <c:tickLblPos val="nextTo"/>
        <c:crossAx val="111979904"/>
        <c:crosses val="autoZero"/>
        <c:auto val="1"/>
        <c:lblAlgn val="ctr"/>
        <c:lblOffset val="100"/>
        <c:noMultiLvlLbl val="0"/>
      </c:catAx>
      <c:valAx>
        <c:axId val="111979904"/>
        <c:scaling>
          <c:orientation val="minMax"/>
        </c:scaling>
        <c:delete val="0"/>
        <c:axPos val="l"/>
        <c:majorGridlines/>
        <c:numFmt formatCode="General" sourceLinked="1"/>
        <c:majorTickMark val="out"/>
        <c:minorTickMark val="none"/>
        <c:tickLblPos val="nextTo"/>
        <c:crossAx val="111978368"/>
        <c:crosses val="autoZero"/>
        <c:crossBetween val="between"/>
      </c:valAx>
    </c:plotArea>
    <c:legend>
      <c:legendPos val="r"/>
      <c:layout>
        <c:manualLayout>
          <c:xMode val="edge"/>
          <c:yMode val="edge"/>
          <c:x val="5.3334568855573139E-2"/>
          <c:y val="0.85975072157967247"/>
          <c:w val="0.90125447498446698"/>
          <c:h val="0.12729161282024212"/>
        </c:manualLayout>
      </c:layout>
      <c:overlay val="0"/>
    </c:legend>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Size of oldco (Employees)</a:t>
            </a:r>
          </a:p>
        </c:rich>
      </c:tx>
      <c:overlay val="0"/>
    </c:title>
    <c:autoTitleDeleted val="0"/>
    <c:plotArea>
      <c:layout/>
      <c:barChart>
        <c:barDir val="col"/>
        <c:grouping val="clustered"/>
        <c:varyColors val="0"/>
        <c:ser>
          <c:idx val="0"/>
          <c:order val="0"/>
          <c:tx>
            <c:strRef>
              <c:f>Sheet1!$B$1</c:f>
              <c:strCache>
                <c:ptCount val="1"/>
                <c:pt idx="0">
                  <c:v>Size of oldco (employees)</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17</c:v>
                </c:pt>
                <c:pt idx="1">
                  <c:v>43</c:v>
                </c:pt>
                <c:pt idx="2">
                  <c:v>29</c:v>
                </c:pt>
                <c:pt idx="3">
                  <c:v>4</c:v>
                </c:pt>
                <c:pt idx="4">
                  <c:v>6</c:v>
                </c:pt>
              </c:numCache>
            </c:numRef>
          </c:val>
        </c:ser>
        <c:dLbls>
          <c:showLegendKey val="0"/>
          <c:showVal val="0"/>
          <c:showCatName val="0"/>
          <c:showSerName val="0"/>
          <c:showPercent val="0"/>
          <c:showBubbleSize val="0"/>
        </c:dLbls>
        <c:gapWidth val="150"/>
        <c:axId val="112017408"/>
        <c:axId val="112018944"/>
      </c:barChart>
      <c:catAx>
        <c:axId val="112017408"/>
        <c:scaling>
          <c:orientation val="minMax"/>
        </c:scaling>
        <c:delete val="0"/>
        <c:axPos val="b"/>
        <c:majorTickMark val="out"/>
        <c:minorTickMark val="none"/>
        <c:tickLblPos val="nextTo"/>
        <c:crossAx val="112018944"/>
        <c:crosses val="autoZero"/>
        <c:auto val="1"/>
        <c:lblAlgn val="ctr"/>
        <c:lblOffset val="100"/>
        <c:noMultiLvlLbl val="0"/>
      </c:catAx>
      <c:valAx>
        <c:axId val="112018944"/>
        <c:scaling>
          <c:orientation val="minMax"/>
        </c:scaling>
        <c:delete val="0"/>
        <c:axPos val="l"/>
        <c:majorGridlines/>
        <c:numFmt formatCode="General" sourceLinked="1"/>
        <c:majorTickMark val="out"/>
        <c:minorTickMark val="none"/>
        <c:tickLblPos val="nextTo"/>
        <c:crossAx val="1120174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Size of oldco (Turnover)</c:v>
                </c:pt>
              </c:strCache>
            </c:strRef>
          </c:tx>
          <c:dLbls>
            <c:showLegendKey val="0"/>
            <c:showVal val="1"/>
            <c:showCatName val="0"/>
            <c:showSerName val="0"/>
            <c:showPercent val="0"/>
            <c:showBubbleSize val="0"/>
            <c:showLeaderLines val="1"/>
          </c:dLbls>
          <c:cat>
            <c:strRef>
              <c:f>Sheet1!$A$2:$A$5</c:f>
              <c:strCache>
                <c:ptCount val="4"/>
                <c:pt idx="0">
                  <c:v>Micro</c:v>
                </c:pt>
                <c:pt idx="1">
                  <c:v>Small</c:v>
                </c:pt>
                <c:pt idx="2">
                  <c:v>Medium</c:v>
                </c:pt>
                <c:pt idx="3">
                  <c:v>Large</c:v>
                </c:pt>
              </c:strCache>
            </c:strRef>
          </c:cat>
          <c:val>
            <c:numRef>
              <c:f>Sheet1!$B$2:$B$5</c:f>
              <c:numCache>
                <c:formatCode>General</c:formatCode>
                <c:ptCount val="4"/>
                <c:pt idx="0">
                  <c:v>100</c:v>
                </c:pt>
                <c:pt idx="1">
                  <c:v>255</c:v>
                </c:pt>
                <c:pt idx="2">
                  <c:v>41</c:v>
                </c:pt>
                <c:pt idx="3">
                  <c:v>42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Size of oldco (Turnover)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17</c:v>
                </c:pt>
                <c:pt idx="1">
                  <c:v>55</c:v>
                </c:pt>
                <c:pt idx="2">
                  <c:v>12</c:v>
                </c:pt>
                <c:pt idx="3">
                  <c:v>9</c:v>
                </c:pt>
                <c:pt idx="4">
                  <c:v>6</c:v>
                </c:pt>
              </c:numCache>
            </c:numRef>
          </c:val>
        </c:ser>
        <c:dLbls>
          <c:showLegendKey val="0"/>
          <c:showVal val="0"/>
          <c:showCatName val="0"/>
          <c:showSerName val="0"/>
          <c:showPercent val="0"/>
          <c:showBubbleSize val="0"/>
        </c:dLbls>
        <c:gapWidth val="150"/>
        <c:axId val="112465024"/>
        <c:axId val="112466560"/>
      </c:barChart>
      <c:catAx>
        <c:axId val="112465024"/>
        <c:scaling>
          <c:orientation val="minMax"/>
        </c:scaling>
        <c:delete val="0"/>
        <c:axPos val="b"/>
        <c:majorTickMark val="out"/>
        <c:minorTickMark val="none"/>
        <c:tickLblPos val="nextTo"/>
        <c:crossAx val="112466560"/>
        <c:crosses val="autoZero"/>
        <c:auto val="1"/>
        <c:lblAlgn val="ctr"/>
        <c:lblOffset val="100"/>
        <c:noMultiLvlLbl val="0"/>
      </c:catAx>
      <c:valAx>
        <c:axId val="112466560"/>
        <c:scaling>
          <c:orientation val="minMax"/>
        </c:scaling>
        <c:delete val="0"/>
        <c:axPos val="l"/>
        <c:majorGridlines/>
        <c:numFmt formatCode="General" sourceLinked="1"/>
        <c:majorTickMark val="out"/>
        <c:minorTickMark val="none"/>
        <c:tickLblPos val="nextTo"/>
        <c:crossAx val="112465024"/>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Size of oldco (Employees)</c:v>
                </c:pt>
              </c:strCache>
            </c:strRef>
          </c:tx>
          <c:dLbls>
            <c:showLegendKey val="0"/>
            <c:showVal val="1"/>
            <c:showCatName val="0"/>
            <c:showSerName val="0"/>
            <c:showPercent val="0"/>
            <c:showBubbleSize val="0"/>
            <c:showLeaderLines val="1"/>
          </c:dLbls>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17</c:v>
                </c:pt>
                <c:pt idx="1">
                  <c:v>43</c:v>
                </c:pt>
                <c:pt idx="2">
                  <c:v>29</c:v>
                </c:pt>
                <c:pt idx="3">
                  <c:v>4</c:v>
                </c:pt>
                <c:pt idx="4">
                  <c:v>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Size of oldco (Turnover)</c:v>
                </c:pt>
              </c:strCache>
            </c:strRef>
          </c:tx>
          <c:dLbls>
            <c:showLegendKey val="0"/>
            <c:showVal val="1"/>
            <c:showCatName val="0"/>
            <c:showSerName val="0"/>
            <c:showPercent val="0"/>
            <c:showBubbleSize val="0"/>
            <c:showLeaderLines val="1"/>
          </c:dLbls>
          <c:cat>
            <c:strRef>
              <c:f>Sheet1!$A$2:$A$5</c:f>
              <c:strCache>
                <c:ptCount val="4"/>
                <c:pt idx="0">
                  <c:v>Micro</c:v>
                </c:pt>
                <c:pt idx="1">
                  <c:v>Small</c:v>
                </c:pt>
                <c:pt idx="2">
                  <c:v>Medium</c:v>
                </c:pt>
                <c:pt idx="3">
                  <c:v>Large</c:v>
                </c:pt>
              </c:strCache>
            </c:strRef>
          </c:cat>
          <c:val>
            <c:numRef>
              <c:f>Sheet1!$B$2:$B$5</c:f>
              <c:numCache>
                <c:formatCode>General</c:formatCode>
                <c:ptCount val="4"/>
                <c:pt idx="0">
                  <c:v>17</c:v>
                </c:pt>
                <c:pt idx="1">
                  <c:v>55</c:v>
                </c:pt>
                <c:pt idx="2">
                  <c:v>12</c:v>
                </c:pt>
                <c:pt idx="3">
                  <c:v>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8</c:v>
                </c:pt>
                <c:pt idx="1">
                  <c:v>12</c:v>
                </c:pt>
                <c:pt idx="2">
                  <c:v>7</c:v>
                </c:pt>
                <c:pt idx="3">
                  <c:v>17</c:v>
                </c:pt>
                <c:pt idx="4">
                  <c:v>38</c:v>
                </c:pt>
                <c:pt idx="5">
                  <c:v>42</c:v>
                </c:pt>
                <c:pt idx="6">
                  <c:v>28</c:v>
                </c:pt>
              </c:numCache>
            </c:numRef>
          </c:val>
        </c:ser>
        <c:dLbls>
          <c:showLegendKey val="0"/>
          <c:showVal val="0"/>
          <c:showCatName val="0"/>
          <c:showSerName val="0"/>
          <c:showPercent val="0"/>
          <c:showBubbleSize val="0"/>
        </c:dLbls>
        <c:gapWidth val="150"/>
        <c:axId val="112243072"/>
        <c:axId val="112244608"/>
      </c:barChart>
      <c:catAx>
        <c:axId val="112243072"/>
        <c:scaling>
          <c:orientation val="minMax"/>
        </c:scaling>
        <c:delete val="0"/>
        <c:axPos val="l"/>
        <c:majorTickMark val="out"/>
        <c:minorTickMark val="none"/>
        <c:tickLblPos val="nextTo"/>
        <c:crossAx val="112244608"/>
        <c:crosses val="autoZero"/>
        <c:auto val="1"/>
        <c:lblAlgn val="ctr"/>
        <c:lblOffset val="100"/>
        <c:noMultiLvlLbl val="0"/>
      </c:catAx>
      <c:valAx>
        <c:axId val="112244608"/>
        <c:scaling>
          <c:orientation val="minMax"/>
        </c:scaling>
        <c:delete val="0"/>
        <c:axPos val="b"/>
        <c:majorGridlines/>
        <c:numFmt formatCode="General" sourceLinked="1"/>
        <c:majorTickMark val="out"/>
        <c:minorTickMark val="none"/>
        <c:tickLblPos val="nextTo"/>
        <c:crossAx val="112243072"/>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 for failure of oldco</c:v>
                </c:pt>
              </c:strCache>
            </c:strRef>
          </c:tx>
          <c:dLbls>
            <c:showLegendKey val="0"/>
            <c:showVal val="1"/>
            <c:showCatName val="0"/>
            <c:showSerName val="0"/>
            <c:showPercent val="0"/>
            <c:showBubbleSize val="0"/>
            <c:showLeaderLines val="1"/>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8</c:v>
                </c:pt>
                <c:pt idx="1">
                  <c:v>12</c:v>
                </c:pt>
                <c:pt idx="2">
                  <c:v>7</c:v>
                </c:pt>
                <c:pt idx="3">
                  <c:v>17</c:v>
                </c:pt>
                <c:pt idx="4">
                  <c:v>38</c:v>
                </c:pt>
                <c:pt idx="5">
                  <c:v>42</c:v>
                </c:pt>
                <c:pt idx="6">
                  <c:v>28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2563483458100513E-2"/>
          <c:w val="0.87996354622338879"/>
          <c:h val="0.65394720259975392"/>
        </c:manualLayout>
      </c:layout>
      <c:barChart>
        <c:barDir val="col"/>
        <c:grouping val="clustered"/>
        <c:varyColors val="0"/>
        <c:ser>
          <c:idx val="0"/>
          <c:order val="0"/>
          <c:tx>
            <c:strRef>
              <c:f>Sheet1!$B$1</c:f>
              <c:strCache>
                <c:ptCount val="1"/>
                <c:pt idx="0">
                  <c:v>Pre-pack</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Sheet1!$B$2:$B$6</c:f>
              <c:numCache>
                <c:formatCode>General</c:formatCode>
                <c:ptCount val="5"/>
                <c:pt idx="0">
                  <c:v>88</c:v>
                </c:pt>
                <c:pt idx="1">
                  <c:v>51</c:v>
                </c:pt>
                <c:pt idx="2">
                  <c:v>96</c:v>
                </c:pt>
                <c:pt idx="3">
                  <c:v>84</c:v>
                </c:pt>
                <c:pt idx="4">
                  <c:v>96</c:v>
                </c:pt>
              </c:numCache>
            </c:numRef>
          </c:val>
        </c:ser>
        <c:ser>
          <c:idx val="1"/>
          <c:order val="1"/>
          <c:tx>
            <c:strRef>
              <c:f>Sheet1!$C$1</c:f>
              <c:strCache>
                <c:ptCount val="1"/>
                <c:pt idx="0">
                  <c:v>Percentage of total pre-packs</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Sheet1!$C$2:$C$6</c:f>
              <c:numCache>
                <c:formatCode>General</c:formatCode>
                <c:ptCount val="5"/>
                <c:pt idx="0">
                  <c:v>17.600000000000001</c:v>
                </c:pt>
                <c:pt idx="1">
                  <c:v>10.199999999999999</c:v>
                </c:pt>
                <c:pt idx="2">
                  <c:v>19.2</c:v>
                </c:pt>
                <c:pt idx="3">
                  <c:v>16.8</c:v>
                </c:pt>
                <c:pt idx="4">
                  <c:v>19.2</c:v>
                </c:pt>
              </c:numCache>
            </c:numRef>
          </c:val>
        </c:ser>
        <c:ser>
          <c:idx val="2"/>
          <c:order val="2"/>
          <c:tx>
            <c:strRef>
              <c:f>Sheet1!$D$1</c:f>
              <c:strCache>
                <c:ptCount val="1"/>
                <c:pt idx="0">
                  <c:v>Trading Adminisatration</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Sheet1!$D$2:$D$6</c:f>
              <c:numCache>
                <c:formatCode>General</c:formatCode>
                <c:ptCount val="5"/>
                <c:pt idx="0">
                  <c:v>17</c:v>
                </c:pt>
                <c:pt idx="1">
                  <c:v>8</c:v>
                </c:pt>
                <c:pt idx="2">
                  <c:v>38</c:v>
                </c:pt>
                <c:pt idx="3">
                  <c:v>13</c:v>
                </c:pt>
                <c:pt idx="4">
                  <c:v>7</c:v>
                </c:pt>
              </c:numCache>
            </c:numRef>
          </c:val>
        </c:ser>
        <c:ser>
          <c:idx val="3"/>
          <c:order val="3"/>
          <c:tx>
            <c:strRef>
              <c:f>Sheet1!$E$1</c:f>
              <c:strCache>
                <c:ptCount val="1"/>
                <c:pt idx="0">
                  <c:v>Percentage of total trading administrations</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Sheet1!$E$2:$E$6</c:f>
              <c:numCache>
                <c:formatCode>General</c:formatCode>
                <c:ptCount val="5"/>
                <c:pt idx="0">
                  <c:v>15.5</c:v>
                </c:pt>
                <c:pt idx="1">
                  <c:v>7.3</c:v>
                </c:pt>
                <c:pt idx="2">
                  <c:v>34.5</c:v>
                </c:pt>
                <c:pt idx="3">
                  <c:v>11.8</c:v>
                </c:pt>
                <c:pt idx="4">
                  <c:v>6.4</c:v>
                </c:pt>
              </c:numCache>
            </c:numRef>
          </c:val>
        </c:ser>
        <c:dLbls>
          <c:showLegendKey val="0"/>
          <c:showVal val="0"/>
          <c:showCatName val="0"/>
          <c:showSerName val="0"/>
          <c:showPercent val="0"/>
          <c:showBubbleSize val="0"/>
        </c:dLbls>
        <c:gapWidth val="150"/>
        <c:axId val="112552960"/>
        <c:axId val="112562944"/>
      </c:barChart>
      <c:catAx>
        <c:axId val="112552960"/>
        <c:scaling>
          <c:orientation val="minMax"/>
        </c:scaling>
        <c:delete val="0"/>
        <c:axPos val="b"/>
        <c:majorTickMark val="out"/>
        <c:minorTickMark val="none"/>
        <c:tickLblPos val="nextTo"/>
        <c:crossAx val="112562944"/>
        <c:crosses val="autoZero"/>
        <c:auto val="1"/>
        <c:lblAlgn val="ctr"/>
        <c:lblOffset val="100"/>
        <c:noMultiLvlLbl val="0"/>
      </c:catAx>
      <c:valAx>
        <c:axId val="112562944"/>
        <c:scaling>
          <c:orientation val="minMax"/>
          <c:max val="100"/>
        </c:scaling>
        <c:delete val="0"/>
        <c:axPos val="l"/>
        <c:majorGridlines/>
        <c:numFmt formatCode="General" sourceLinked="1"/>
        <c:majorTickMark val="out"/>
        <c:minorTickMark val="none"/>
        <c:tickLblPos val="nextTo"/>
        <c:crossAx val="112552960"/>
        <c:crosses val="autoZero"/>
        <c:crossBetween val="between"/>
      </c:valAx>
    </c:plotArea>
    <c:legend>
      <c:legendPos val="r"/>
      <c:layout>
        <c:manualLayout>
          <c:xMode val="edge"/>
          <c:yMode val="edge"/>
          <c:x val="3.0110819480896374E-4"/>
          <c:y val="0.8387006611190555"/>
          <c:w val="0.62629647856517945"/>
          <c:h val="0.16129362805126654"/>
        </c:manualLayout>
      </c:layout>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Group Company Breakdown</c:v>
                </c:pt>
              </c:strCache>
            </c:strRef>
          </c:tx>
          <c:invertIfNegative val="0"/>
          <c:cat>
            <c:strRef>
              <c:f>Sheet1!$A$2:$A$4</c:f>
              <c:strCache>
                <c:ptCount val="3"/>
                <c:pt idx="0">
                  <c:v>Single company</c:v>
                </c:pt>
                <c:pt idx="1">
                  <c:v>Part of a group</c:v>
                </c:pt>
                <c:pt idx="2">
                  <c:v>Group sales</c:v>
                </c:pt>
              </c:strCache>
            </c:strRef>
          </c:cat>
          <c:val>
            <c:numRef>
              <c:f>Sheet1!$B$2:$B$4</c:f>
              <c:numCache>
                <c:formatCode>General</c:formatCode>
                <c:ptCount val="3"/>
                <c:pt idx="0">
                  <c:v>50</c:v>
                </c:pt>
                <c:pt idx="1">
                  <c:v>49</c:v>
                </c:pt>
                <c:pt idx="2">
                  <c:v>28</c:v>
                </c:pt>
              </c:numCache>
            </c:numRef>
          </c:val>
        </c:ser>
        <c:dLbls>
          <c:showLegendKey val="0"/>
          <c:showVal val="0"/>
          <c:showCatName val="0"/>
          <c:showSerName val="0"/>
          <c:showPercent val="0"/>
          <c:showBubbleSize val="0"/>
        </c:dLbls>
        <c:gapWidth val="150"/>
        <c:axId val="112587136"/>
        <c:axId val="112588672"/>
      </c:barChart>
      <c:catAx>
        <c:axId val="112587136"/>
        <c:scaling>
          <c:orientation val="minMax"/>
        </c:scaling>
        <c:delete val="0"/>
        <c:axPos val="b"/>
        <c:majorTickMark val="out"/>
        <c:minorTickMark val="none"/>
        <c:tickLblPos val="nextTo"/>
        <c:crossAx val="112588672"/>
        <c:crosses val="autoZero"/>
        <c:auto val="1"/>
        <c:lblAlgn val="ctr"/>
        <c:lblOffset val="100"/>
        <c:noMultiLvlLbl val="0"/>
      </c:catAx>
      <c:valAx>
        <c:axId val="112588672"/>
        <c:scaling>
          <c:orientation val="minMax"/>
        </c:scaling>
        <c:delete val="0"/>
        <c:axPos val="l"/>
        <c:majorGridlines/>
        <c:numFmt formatCode="General" sourceLinked="1"/>
        <c:majorTickMark val="out"/>
        <c:minorTickMark val="none"/>
        <c:tickLblPos val="nextTo"/>
        <c:crossAx val="112587136"/>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Failure Rates of </a:t>
            </a:r>
          </a:p>
          <a:p>
            <a:pPr>
              <a:defRPr/>
            </a:pPr>
            <a:r>
              <a:rPr lang="en-US"/>
              <a:t>trading administrations</a:t>
            </a:r>
          </a:p>
        </c:rich>
      </c:tx>
      <c:overlay val="0"/>
    </c:title>
    <c:autoTitleDeleted val="0"/>
    <c:plotArea>
      <c:layout/>
      <c:barChart>
        <c:barDir val="col"/>
        <c:grouping val="clustered"/>
        <c:varyColors val="0"/>
        <c:ser>
          <c:idx val="0"/>
          <c:order val="0"/>
          <c:tx>
            <c:strRef>
              <c:f>Sheet1!$B$1</c:f>
              <c:strCache>
                <c:ptCount val="1"/>
                <c:pt idx="0">
                  <c:v>Failure rates of trading administration purchasers</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2"/>
              <c:layout>
                <c:manualLayout>
                  <c:x val="0"/>
                  <c:y val="1.1904761904761904E-2"/>
                </c:manualLayout>
              </c:layout>
              <c:showLegendKey val="0"/>
              <c:showVal val="1"/>
              <c:showCatName val="0"/>
              <c:showSerName val="0"/>
              <c:showPercent val="0"/>
              <c:showBubbleSize val="0"/>
            </c:dLbl>
            <c:dLbl>
              <c:idx val="3"/>
              <c:layout>
                <c:manualLayout>
                  <c:x val="0"/>
                  <c:y val="1.1904761904761904E-2"/>
                </c:manualLayout>
              </c:layout>
              <c:showLegendKey val="0"/>
              <c:showVal val="1"/>
              <c:showCatName val="0"/>
              <c:showSerName val="0"/>
              <c:showPercent val="0"/>
              <c:showBubbleSize val="0"/>
            </c:dLbl>
            <c:dLbl>
              <c:idx val="4"/>
              <c:layout>
                <c:manualLayout>
                  <c:x val="0"/>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w/in 12 months</c:v>
                </c:pt>
                <c:pt idx="1">
                  <c:v>w/in 18 months</c:v>
                </c:pt>
                <c:pt idx="2">
                  <c:v>w/in 24 months</c:v>
                </c:pt>
                <c:pt idx="3">
                  <c:v>w/in 30 months</c:v>
                </c:pt>
                <c:pt idx="4">
                  <c:v>w/in 36 months</c:v>
                </c:pt>
              </c:strCache>
            </c:strRef>
          </c:cat>
          <c:val>
            <c:numRef>
              <c:f>Sheet1!$B$2:$B$6</c:f>
              <c:numCache>
                <c:formatCode>General</c:formatCode>
                <c:ptCount val="5"/>
                <c:pt idx="0">
                  <c:v>5</c:v>
                </c:pt>
                <c:pt idx="1">
                  <c:v>9</c:v>
                </c:pt>
                <c:pt idx="2">
                  <c:v>14</c:v>
                </c:pt>
                <c:pt idx="3">
                  <c:v>18</c:v>
                </c:pt>
                <c:pt idx="4">
                  <c:v>19</c:v>
                </c:pt>
              </c:numCache>
            </c:numRef>
          </c:val>
        </c:ser>
        <c:dLbls>
          <c:showLegendKey val="0"/>
          <c:showVal val="0"/>
          <c:showCatName val="0"/>
          <c:showSerName val="0"/>
          <c:showPercent val="0"/>
          <c:showBubbleSize val="0"/>
        </c:dLbls>
        <c:gapWidth val="150"/>
        <c:axId val="112724224"/>
        <c:axId val="112726016"/>
      </c:barChart>
      <c:catAx>
        <c:axId val="112724224"/>
        <c:scaling>
          <c:orientation val="minMax"/>
        </c:scaling>
        <c:delete val="0"/>
        <c:axPos val="b"/>
        <c:majorTickMark val="out"/>
        <c:minorTickMark val="none"/>
        <c:tickLblPos val="nextTo"/>
        <c:crossAx val="112726016"/>
        <c:crosses val="autoZero"/>
        <c:auto val="1"/>
        <c:lblAlgn val="ctr"/>
        <c:lblOffset val="100"/>
        <c:noMultiLvlLbl val="0"/>
      </c:catAx>
      <c:valAx>
        <c:axId val="112726016"/>
        <c:scaling>
          <c:orientation val="minMax"/>
        </c:scaling>
        <c:delete val="0"/>
        <c:axPos val="l"/>
        <c:majorGridlines/>
        <c:numFmt formatCode="General" sourceLinked="1"/>
        <c:majorTickMark val="out"/>
        <c:minorTickMark val="none"/>
        <c:tickLblPos val="nextTo"/>
        <c:crossAx val="112724224"/>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Percentage Failure Rate</c:v>
                </c:pt>
              </c:strCache>
            </c:strRef>
          </c:tx>
          <c:invertIfNegative val="0"/>
          <c:cat>
            <c:strRef>
              <c:f>Sheet1!$A$2:$A$6</c:f>
              <c:strCache>
                <c:ptCount val="5"/>
                <c:pt idx="0">
                  <c:v>w/in 12 months</c:v>
                </c:pt>
                <c:pt idx="1">
                  <c:v>w/in 18 months</c:v>
                </c:pt>
                <c:pt idx="2">
                  <c:v>w/in 24 months</c:v>
                </c:pt>
                <c:pt idx="3">
                  <c:v>w/in 30 months</c:v>
                </c:pt>
                <c:pt idx="4">
                  <c:v>w/in 36 months</c:v>
                </c:pt>
              </c:strCache>
            </c:strRef>
          </c:cat>
          <c:val>
            <c:numRef>
              <c:f>Sheet1!$B$2:$B$6</c:f>
              <c:numCache>
                <c:formatCode>General</c:formatCode>
                <c:ptCount val="5"/>
                <c:pt idx="0">
                  <c:v>5.1546391752577317E-2</c:v>
                </c:pt>
                <c:pt idx="1">
                  <c:v>9.2783505154639179E-2</c:v>
                </c:pt>
                <c:pt idx="2">
                  <c:v>0.14432989690721648</c:v>
                </c:pt>
                <c:pt idx="3">
                  <c:v>0.18556701030927836</c:v>
                </c:pt>
                <c:pt idx="4">
                  <c:v>0.19587628865979381</c:v>
                </c:pt>
              </c:numCache>
            </c:numRef>
          </c:val>
        </c:ser>
        <c:dLbls>
          <c:showLegendKey val="0"/>
          <c:showVal val="0"/>
          <c:showCatName val="0"/>
          <c:showSerName val="0"/>
          <c:showPercent val="0"/>
          <c:showBubbleSize val="0"/>
        </c:dLbls>
        <c:gapWidth val="150"/>
        <c:axId val="112741760"/>
        <c:axId val="112751744"/>
      </c:barChart>
      <c:catAx>
        <c:axId val="112741760"/>
        <c:scaling>
          <c:orientation val="minMax"/>
        </c:scaling>
        <c:delete val="0"/>
        <c:axPos val="b"/>
        <c:majorTickMark val="out"/>
        <c:minorTickMark val="none"/>
        <c:tickLblPos val="nextTo"/>
        <c:crossAx val="112751744"/>
        <c:crosses val="autoZero"/>
        <c:auto val="1"/>
        <c:lblAlgn val="ctr"/>
        <c:lblOffset val="100"/>
        <c:noMultiLvlLbl val="0"/>
      </c:catAx>
      <c:valAx>
        <c:axId val="112751744"/>
        <c:scaling>
          <c:orientation val="minMax"/>
        </c:scaling>
        <c:delete val="0"/>
        <c:axPos val="l"/>
        <c:majorGridlines/>
        <c:numFmt formatCode="0%" sourceLinked="0"/>
        <c:majorTickMark val="out"/>
        <c:minorTickMark val="none"/>
        <c:tickLblPos val="nextTo"/>
        <c:crossAx val="112741760"/>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Nature of failure at 36 months</a:t>
            </a:r>
          </a:p>
        </c:rich>
      </c:tx>
      <c:overlay val="0"/>
    </c:title>
    <c:autoTitleDeleted val="0"/>
    <c:plotArea>
      <c:layout/>
      <c:pieChart>
        <c:varyColors val="1"/>
        <c:ser>
          <c:idx val="0"/>
          <c:order val="0"/>
          <c:tx>
            <c:strRef>
              <c:f>Sheet1!$B$1</c:f>
              <c:strCache>
                <c:ptCount val="1"/>
                <c:pt idx="0">
                  <c:v>Nature of failure</c:v>
                </c:pt>
              </c:strCache>
            </c:strRef>
          </c:tx>
          <c:dLbls>
            <c:showLegendKey val="0"/>
            <c:showVal val="1"/>
            <c:showCatName val="0"/>
            <c:showSerName val="0"/>
            <c:showPercent val="0"/>
            <c:showBubbleSize val="0"/>
            <c:showLeaderLines val="1"/>
          </c:dLbls>
          <c:cat>
            <c:strRef>
              <c:f>Sheet1!$A$2:$A$3</c:f>
              <c:strCache>
                <c:ptCount val="2"/>
                <c:pt idx="0">
                  <c:v>Terminal process</c:v>
                </c:pt>
                <c:pt idx="1">
                  <c:v>Rescue process</c:v>
                </c:pt>
              </c:strCache>
            </c:strRef>
          </c:cat>
          <c:val>
            <c:numRef>
              <c:f>Sheet1!$B$2:$B$3</c:f>
              <c:numCache>
                <c:formatCode>General</c:formatCode>
                <c:ptCount val="2"/>
                <c:pt idx="0">
                  <c:v>16</c:v>
                </c:pt>
                <c:pt idx="1">
                  <c:v>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44</c:v>
                </c:pt>
                <c:pt idx="1">
                  <c:v>117</c:v>
                </c:pt>
                <c:pt idx="2">
                  <c:v>16</c:v>
                </c:pt>
                <c:pt idx="3">
                  <c:v>127</c:v>
                </c:pt>
                <c:pt idx="4">
                  <c:v>107</c:v>
                </c:pt>
                <c:pt idx="5">
                  <c:v>228</c:v>
                </c:pt>
                <c:pt idx="6">
                  <c:v>34</c:v>
                </c:pt>
              </c:numCache>
            </c:numRef>
          </c:val>
        </c:ser>
        <c:dLbls>
          <c:showLegendKey val="0"/>
          <c:showVal val="0"/>
          <c:showCatName val="0"/>
          <c:showSerName val="0"/>
          <c:showPercent val="0"/>
          <c:showBubbleSize val="0"/>
        </c:dLbls>
        <c:gapWidth val="150"/>
        <c:axId val="99407744"/>
        <c:axId val="99409280"/>
      </c:barChart>
      <c:catAx>
        <c:axId val="99407744"/>
        <c:scaling>
          <c:orientation val="minMax"/>
        </c:scaling>
        <c:delete val="0"/>
        <c:axPos val="l"/>
        <c:majorTickMark val="out"/>
        <c:minorTickMark val="none"/>
        <c:tickLblPos val="nextTo"/>
        <c:crossAx val="99409280"/>
        <c:crosses val="autoZero"/>
        <c:auto val="1"/>
        <c:lblAlgn val="ctr"/>
        <c:lblOffset val="100"/>
        <c:noMultiLvlLbl val="0"/>
      </c:catAx>
      <c:valAx>
        <c:axId val="99409280"/>
        <c:scaling>
          <c:orientation val="minMax"/>
        </c:scaling>
        <c:delete val="0"/>
        <c:axPos val="b"/>
        <c:majorGridlines/>
        <c:numFmt formatCode="General" sourceLinked="1"/>
        <c:majorTickMark val="out"/>
        <c:minorTickMark val="none"/>
        <c:tickLblPos val="nextTo"/>
        <c:crossAx val="99407744"/>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Connected sale</c:v>
                </c:pt>
              </c:strCache>
            </c:strRef>
          </c:tx>
          <c:invertIfNegative val="0"/>
          <c:dLbls>
            <c:showLegendKey val="0"/>
            <c:showVal val="1"/>
            <c:showCatName val="0"/>
            <c:showSerName val="0"/>
            <c:showPercent val="0"/>
            <c:showBubbleSize val="0"/>
            <c:showLeaderLines val="0"/>
          </c:dLbls>
          <c:cat>
            <c:strRef>
              <c:f>Sheet1!$A$2:$A$3</c:f>
              <c:strCache>
                <c:ptCount val="2"/>
                <c:pt idx="0">
                  <c:v>Failure</c:v>
                </c:pt>
                <c:pt idx="1">
                  <c:v>Survival</c:v>
                </c:pt>
              </c:strCache>
            </c:strRef>
          </c:cat>
          <c:val>
            <c:numRef>
              <c:f>Sheet1!$B$2:$B$3</c:f>
              <c:numCache>
                <c:formatCode>General</c:formatCode>
                <c:ptCount val="2"/>
                <c:pt idx="0">
                  <c:v>11</c:v>
                </c:pt>
                <c:pt idx="1">
                  <c:v>7</c:v>
                </c:pt>
              </c:numCache>
            </c:numRef>
          </c:val>
        </c:ser>
        <c:ser>
          <c:idx val="1"/>
          <c:order val="1"/>
          <c:tx>
            <c:strRef>
              <c:f>Sheet1!$C$1</c:f>
              <c:strCache>
                <c:ptCount val="1"/>
                <c:pt idx="0">
                  <c:v>Non-connected sale</c:v>
                </c:pt>
              </c:strCache>
            </c:strRef>
          </c:tx>
          <c:invertIfNegative val="0"/>
          <c:dLbls>
            <c:showLegendKey val="0"/>
            <c:showVal val="1"/>
            <c:showCatName val="0"/>
            <c:showSerName val="0"/>
            <c:showPercent val="0"/>
            <c:showBubbleSize val="0"/>
            <c:showLeaderLines val="0"/>
          </c:dLbls>
          <c:cat>
            <c:strRef>
              <c:f>Sheet1!$A$2:$A$3</c:f>
              <c:strCache>
                <c:ptCount val="2"/>
                <c:pt idx="0">
                  <c:v>Failure</c:v>
                </c:pt>
                <c:pt idx="1">
                  <c:v>Survival</c:v>
                </c:pt>
              </c:strCache>
            </c:strRef>
          </c:cat>
          <c:val>
            <c:numRef>
              <c:f>Sheet1!$C$2:$C$3</c:f>
              <c:numCache>
                <c:formatCode>General</c:formatCode>
                <c:ptCount val="2"/>
                <c:pt idx="0">
                  <c:v>8</c:v>
                </c:pt>
                <c:pt idx="1">
                  <c:v>69</c:v>
                </c:pt>
              </c:numCache>
            </c:numRef>
          </c:val>
        </c:ser>
        <c:dLbls>
          <c:showLegendKey val="0"/>
          <c:showVal val="0"/>
          <c:showCatName val="0"/>
          <c:showSerName val="0"/>
          <c:showPercent val="0"/>
          <c:showBubbleSize val="0"/>
        </c:dLbls>
        <c:gapWidth val="150"/>
        <c:axId val="112842240"/>
        <c:axId val="112843776"/>
      </c:barChart>
      <c:catAx>
        <c:axId val="112842240"/>
        <c:scaling>
          <c:orientation val="minMax"/>
        </c:scaling>
        <c:delete val="0"/>
        <c:axPos val="b"/>
        <c:majorTickMark val="out"/>
        <c:minorTickMark val="none"/>
        <c:tickLblPos val="nextTo"/>
        <c:crossAx val="112843776"/>
        <c:crosses val="autoZero"/>
        <c:auto val="1"/>
        <c:lblAlgn val="ctr"/>
        <c:lblOffset val="100"/>
        <c:noMultiLvlLbl val="0"/>
      </c:catAx>
      <c:valAx>
        <c:axId val="112843776"/>
        <c:scaling>
          <c:orientation val="minMax"/>
          <c:max val="70"/>
        </c:scaling>
        <c:delete val="0"/>
        <c:axPos val="l"/>
        <c:majorGridlines/>
        <c:numFmt formatCode="General" sourceLinked="1"/>
        <c:majorTickMark val="out"/>
        <c:minorTickMark val="none"/>
        <c:tickLblPos val="nextTo"/>
        <c:crossAx val="112842240"/>
        <c:crosses val="autoZero"/>
        <c:crossBetween val="between"/>
      </c:valAx>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4.6531028991059896E-2"/>
          <c:w val="0.67303003791192773"/>
          <c:h val="0.84847665841990128"/>
        </c:manualLayout>
      </c:layout>
      <c:barChart>
        <c:barDir val="col"/>
        <c:grouping val="clustered"/>
        <c:varyColors val="0"/>
        <c:ser>
          <c:idx val="0"/>
          <c:order val="0"/>
          <c:tx>
            <c:strRef>
              <c:f>Sheet1!$B$1</c:f>
              <c:strCache>
                <c:ptCount val="1"/>
                <c:pt idx="0">
                  <c:v>Deferred consideration</c:v>
                </c:pt>
              </c:strCache>
            </c:strRef>
          </c:tx>
          <c:invertIfNegative val="0"/>
          <c:dLbls>
            <c:showLegendKey val="0"/>
            <c:showVal val="1"/>
            <c:showCatName val="0"/>
            <c:showSerName val="0"/>
            <c:showPercent val="0"/>
            <c:showBubbleSize val="0"/>
            <c:showLeaderLines val="0"/>
          </c:dLbls>
          <c:cat>
            <c:strRef>
              <c:f>Sheet1!$A$2:$A$3</c:f>
              <c:strCache>
                <c:ptCount val="2"/>
                <c:pt idx="0">
                  <c:v>Failure</c:v>
                </c:pt>
                <c:pt idx="1">
                  <c:v>Survival</c:v>
                </c:pt>
              </c:strCache>
            </c:strRef>
          </c:cat>
          <c:val>
            <c:numRef>
              <c:f>Sheet1!$B$2:$B$3</c:f>
              <c:numCache>
                <c:formatCode>General</c:formatCode>
                <c:ptCount val="2"/>
                <c:pt idx="0">
                  <c:v>9</c:v>
                </c:pt>
                <c:pt idx="1">
                  <c:v>15</c:v>
                </c:pt>
              </c:numCache>
            </c:numRef>
          </c:val>
        </c:ser>
        <c:ser>
          <c:idx val="1"/>
          <c:order val="1"/>
          <c:tx>
            <c:strRef>
              <c:f>Sheet1!$C$1</c:f>
              <c:strCache>
                <c:ptCount val="1"/>
                <c:pt idx="0">
                  <c:v>No deferred consideration</c:v>
                </c:pt>
              </c:strCache>
            </c:strRef>
          </c:tx>
          <c:invertIfNegative val="0"/>
          <c:dLbls>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Sheet1!$A$2:$A$3</c:f>
              <c:strCache>
                <c:ptCount val="2"/>
                <c:pt idx="0">
                  <c:v>Failure</c:v>
                </c:pt>
                <c:pt idx="1">
                  <c:v>Survival</c:v>
                </c:pt>
              </c:strCache>
            </c:strRef>
          </c:cat>
          <c:val>
            <c:numRef>
              <c:f>Sheet1!$C$2:$C$3</c:f>
              <c:numCache>
                <c:formatCode>General</c:formatCode>
                <c:ptCount val="2"/>
                <c:pt idx="0">
                  <c:v>10</c:v>
                </c:pt>
                <c:pt idx="1">
                  <c:v>63</c:v>
                </c:pt>
              </c:numCache>
            </c:numRef>
          </c:val>
        </c:ser>
        <c:dLbls>
          <c:showLegendKey val="0"/>
          <c:showVal val="0"/>
          <c:showCatName val="0"/>
          <c:showSerName val="0"/>
          <c:showPercent val="0"/>
          <c:showBubbleSize val="0"/>
        </c:dLbls>
        <c:gapWidth val="150"/>
        <c:axId val="112898816"/>
        <c:axId val="112900352"/>
      </c:barChart>
      <c:catAx>
        <c:axId val="112898816"/>
        <c:scaling>
          <c:orientation val="minMax"/>
        </c:scaling>
        <c:delete val="0"/>
        <c:axPos val="b"/>
        <c:majorTickMark val="out"/>
        <c:minorTickMark val="none"/>
        <c:tickLblPos val="nextTo"/>
        <c:crossAx val="112900352"/>
        <c:crosses val="autoZero"/>
        <c:auto val="1"/>
        <c:lblAlgn val="ctr"/>
        <c:lblOffset val="100"/>
        <c:noMultiLvlLbl val="0"/>
      </c:catAx>
      <c:valAx>
        <c:axId val="112900352"/>
        <c:scaling>
          <c:orientation val="minMax"/>
        </c:scaling>
        <c:delete val="0"/>
        <c:axPos val="l"/>
        <c:majorGridlines/>
        <c:numFmt formatCode="General" sourceLinked="1"/>
        <c:majorTickMark val="out"/>
        <c:minorTickMark val="none"/>
        <c:tickLblPos val="nextTo"/>
        <c:crossAx val="112898816"/>
        <c:crosses val="autoZero"/>
        <c:crossBetween val="between"/>
      </c:valAx>
    </c:plotArea>
    <c:legend>
      <c:legendPos val="r"/>
      <c:layout>
        <c:manualLayout>
          <c:xMode val="edge"/>
          <c:yMode val="edge"/>
          <c:x val="0.73765000729075536"/>
          <c:y val="0.35296348119938487"/>
          <c:w val="0.20216480752405949"/>
          <c:h val="0.22282408537993942"/>
        </c:manualLayout>
      </c:layout>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Failure at 12m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Sheet1!$B$2:$B$5</c:f>
              <c:numCache>
                <c:formatCode>General</c:formatCode>
                <c:ptCount val="4"/>
                <c:pt idx="0">
                  <c:v>0.25</c:v>
                </c:pt>
                <c:pt idx="1">
                  <c:v>0</c:v>
                </c:pt>
                <c:pt idx="2">
                  <c:v>0.3</c:v>
                </c:pt>
                <c:pt idx="3">
                  <c:v>0</c:v>
                </c:pt>
              </c:numCache>
            </c:numRef>
          </c:val>
        </c:ser>
        <c:ser>
          <c:idx val="1"/>
          <c:order val="1"/>
          <c:tx>
            <c:strRef>
              <c:f>Sheet1!$C$1</c:f>
              <c:strCache>
                <c:ptCount val="1"/>
                <c:pt idx="0">
                  <c:v>Failure at 24m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Sheet1!$C$2:$C$5</c:f>
              <c:numCache>
                <c:formatCode>General</c:formatCode>
                <c:ptCount val="4"/>
                <c:pt idx="0">
                  <c:v>0.5</c:v>
                </c:pt>
                <c:pt idx="1">
                  <c:v>0.25</c:v>
                </c:pt>
                <c:pt idx="2">
                  <c:v>0.4</c:v>
                </c:pt>
                <c:pt idx="3">
                  <c:v>3.3000000000000002E-2</c:v>
                </c:pt>
              </c:numCache>
            </c:numRef>
          </c:val>
        </c:ser>
        <c:ser>
          <c:idx val="2"/>
          <c:order val="2"/>
          <c:tx>
            <c:strRef>
              <c:f>Sheet1!$D$1</c:f>
              <c:strCache>
                <c:ptCount val="1"/>
                <c:pt idx="0">
                  <c:v>Failure at 36m</c:v>
                </c:pt>
              </c:strCache>
            </c:strRef>
          </c:tx>
          <c:invertIfNegative val="0"/>
          <c:cat>
            <c:strRef>
              <c:f>Sheet1!$A$2:$A$5</c:f>
              <c:strCache>
                <c:ptCount val="4"/>
                <c:pt idx="0">
                  <c:v>Connected and deferred</c:v>
                </c:pt>
                <c:pt idx="1">
                  <c:v>Not connected and deferred</c:v>
                </c:pt>
                <c:pt idx="2">
                  <c:v>Connected and not deferred</c:v>
                </c:pt>
                <c:pt idx="3">
                  <c:v>Not connected and not deferred</c:v>
                </c:pt>
              </c:strCache>
            </c:strRef>
          </c:cat>
          <c:val>
            <c:numRef>
              <c:f>Sheet1!$D$2:$D$5</c:f>
              <c:numCache>
                <c:formatCode>General</c:formatCode>
                <c:ptCount val="4"/>
                <c:pt idx="0">
                  <c:v>0.625</c:v>
                </c:pt>
                <c:pt idx="1">
                  <c:v>0.25</c:v>
                </c:pt>
                <c:pt idx="2">
                  <c:v>0.6</c:v>
                </c:pt>
                <c:pt idx="3">
                  <c:v>6.6000000000000003E-2</c:v>
                </c:pt>
              </c:numCache>
            </c:numRef>
          </c:val>
        </c:ser>
        <c:dLbls>
          <c:showLegendKey val="0"/>
          <c:showVal val="0"/>
          <c:showCatName val="0"/>
          <c:showSerName val="0"/>
          <c:showPercent val="0"/>
          <c:showBubbleSize val="0"/>
        </c:dLbls>
        <c:gapWidth val="150"/>
        <c:axId val="112971776"/>
        <c:axId val="112973312"/>
      </c:barChart>
      <c:catAx>
        <c:axId val="112971776"/>
        <c:scaling>
          <c:orientation val="minMax"/>
        </c:scaling>
        <c:delete val="0"/>
        <c:axPos val="b"/>
        <c:majorTickMark val="out"/>
        <c:minorTickMark val="none"/>
        <c:tickLblPos val="nextTo"/>
        <c:crossAx val="112973312"/>
        <c:crosses val="autoZero"/>
        <c:auto val="1"/>
        <c:lblAlgn val="ctr"/>
        <c:lblOffset val="100"/>
        <c:noMultiLvlLbl val="0"/>
      </c:catAx>
      <c:valAx>
        <c:axId val="112973312"/>
        <c:scaling>
          <c:orientation val="minMax"/>
        </c:scaling>
        <c:delete val="0"/>
        <c:axPos val="l"/>
        <c:majorGridlines/>
        <c:numFmt formatCode="0%" sourceLinked="0"/>
        <c:majorTickMark val="out"/>
        <c:minorTickMark val="none"/>
        <c:tickLblPos val="nextTo"/>
        <c:crossAx val="112971776"/>
        <c:crosses val="autoZero"/>
        <c:crossBetween val="between"/>
      </c:valAx>
    </c:plotArea>
    <c:legend>
      <c:legendPos val="r"/>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3771922996317476E-2"/>
          <c:w val="0.90462762467191604"/>
          <c:h val="0.73401564311456402"/>
        </c:manualLayout>
      </c:layout>
      <c:barChart>
        <c:barDir val="col"/>
        <c:grouping val="stacked"/>
        <c:varyColors val="0"/>
        <c:ser>
          <c:idx val="0"/>
          <c:order val="0"/>
          <c:tx>
            <c:strRef>
              <c:f>Sheet1!$B$1</c:f>
              <c:strCache>
                <c:ptCount val="1"/>
                <c:pt idx="0">
                  <c:v>Failure of purchaser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5</c:v>
                </c:pt>
                <c:pt idx="1">
                  <c:v>9</c:v>
                </c:pt>
                <c:pt idx="2">
                  <c:v>4</c:v>
                </c:pt>
                <c:pt idx="3">
                  <c:v>1</c:v>
                </c:pt>
                <c:pt idx="4">
                  <c:v>0</c:v>
                </c:pt>
              </c:numCache>
            </c:numRef>
          </c:val>
        </c:ser>
        <c:ser>
          <c:idx val="1"/>
          <c:order val="1"/>
          <c:tx>
            <c:strRef>
              <c:f>Sheet1!$C$1</c:f>
              <c:strCache>
                <c:ptCount val="1"/>
                <c:pt idx="0">
                  <c:v>Survival of purchaser</c:v>
                </c:pt>
              </c:strCache>
            </c:strRef>
          </c:tx>
          <c:invertIfNegative val="0"/>
          <c:cat>
            <c:strRef>
              <c:f>Sheet1!$A$2:$A$6</c:f>
              <c:strCache>
                <c:ptCount val="5"/>
                <c:pt idx="0">
                  <c:v>Micro</c:v>
                </c:pt>
                <c:pt idx="1">
                  <c:v>Small</c:v>
                </c:pt>
                <c:pt idx="2">
                  <c:v>Medium</c:v>
                </c:pt>
                <c:pt idx="3">
                  <c:v>Large</c:v>
                </c:pt>
                <c:pt idx="4">
                  <c:v>N/K</c:v>
                </c:pt>
              </c:strCache>
            </c:strRef>
          </c:cat>
          <c:val>
            <c:numRef>
              <c:f>Sheet1!$C$2:$C$6</c:f>
              <c:numCache>
                <c:formatCode>General</c:formatCode>
                <c:ptCount val="5"/>
                <c:pt idx="0">
                  <c:v>13</c:v>
                </c:pt>
                <c:pt idx="1">
                  <c:v>31</c:v>
                </c:pt>
                <c:pt idx="2">
                  <c:v>23</c:v>
                </c:pt>
                <c:pt idx="3">
                  <c:v>4</c:v>
                </c:pt>
                <c:pt idx="4">
                  <c:v>7</c:v>
                </c:pt>
              </c:numCache>
            </c:numRef>
          </c:val>
        </c:ser>
        <c:dLbls>
          <c:showLegendKey val="0"/>
          <c:showVal val="0"/>
          <c:showCatName val="0"/>
          <c:showSerName val="0"/>
          <c:showPercent val="0"/>
          <c:showBubbleSize val="0"/>
        </c:dLbls>
        <c:gapWidth val="150"/>
        <c:overlap val="100"/>
        <c:axId val="114104960"/>
        <c:axId val="114151808"/>
      </c:barChart>
      <c:catAx>
        <c:axId val="114104960"/>
        <c:scaling>
          <c:orientation val="minMax"/>
        </c:scaling>
        <c:delete val="0"/>
        <c:axPos val="b"/>
        <c:majorTickMark val="out"/>
        <c:minorTickMark val="none"/>
        <c:tickLblPos val="nextTo"/>
        <c:crossAx val="114151808"/>
        <c:crosses val="autoZero"/>
        <c:auto val="1"/>
        <c:lblAlgn val="ctr"/>
        <c:lblOffset val="100"/>
        <c:noMultiLvlLbl val="0"/>
      </c:catAx>
      <c:valAx>
        <c:axId val="114151808"/>
        <c:scaling>
          <c:orientation val="minMax"/>
        </c:scaling>
        <c:delete val="0"/>
        <c:axPos val="l"/>
        <c:majorGridlines/>
        <c:numFmt formatCode="General" sourceLinked="1"/>
        <c:majorTickMark val="out"/>
        <c:minorTickMark val="none"/>
        <c:tickLblPos val="nextTo"/>
        <c:crossAx val="114104960"/>
        <c:crosses val="autoZero"/>
        <c:crossBetween val="between"/>
      </c:valAx>
    </c:plotArea>
    <c:legend>
      <c:legendPos val="r"/>
      <c:layout>
        <c:manualLayout>
          <c:xMode val="edge"/>
          <c:yMode val="edge"/>
          <c:x val="0.21287995961663911"/>
          <c:y val="0.86594291469728835"/>
          <c:w val="0.70276209324281391"/>
          <c:h val="0.11089404963620056"/>
        </c:manualLayout>
      </c:layout>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3.0384945743041663E-2"/>
          <c:w val="0.89502114319043458"/>
          <c:h val="0.73334260099566173"/>
        </c:manualLayout>
      </c:layout>
      <c:barChart>
        <c:barDir val="col"/>
        <c:grouping val="percentStacked"/>
        <c:varyColors val="0"/>
        <c:ser>
          <c:idx val="0"/>
          <c:order val="0"/>
          <c:tx>
            <c:strRef>
              <c:f>Sheet1!$B$1</c:f>
              <c:strCache>
                <c:ptCount val="1"/>
                <c:pt idx="0">
                  <c:v>Failure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Sheet1!$B$2:$B$7</c:f>
              <c:numCache>
                <c:formatCode>General</c:formatCode>
                <c:ptCount val="6"/>
                <c:pt idx="0">
                  <c:v>5</c:v>
                </c:pt>
                <c:pt idx="1">
                  <c:v>9</c:v>
                </c:pt>
                <c:pt idx="2">
                  <c:v>4</c:v>
                </c:pt>
                <c:pt idx="3">
                  <c:v>1</c:v>
                </c:pt>
                <c:pt idx="4">
                  <c:v>0</c:v>
                </c:pt>
                <c:pt idx="5">
                  <c:v>19</c:v>
                </c:pt>
              </c:numCache>
            </c:numRef>
          </c:val>
        </c:ser>
        <c:ser>
          <c:idx val="1"/>
          <c:order val="1"/>
          <c:tx>
            <c:strRef>
              <c:f>Sheet1!$C$1</c:f>
              <c:strCache>
                <c:ptCount val="1"/>
                <c:pt idx="0">
                  <c:v>Survival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Sheet1!$C$2:$C$7</c:f>
              <c:numCache>
                <c:formatCode>General</c:formatCode>
                <c:ptCount val="6"/>
                <c:pt idx="0">
                  <c:v>13</c:v>
                </c:pt>
                <c:pt idx="1">
                  <c:v>31</c:v>
                </c:pt>
                <c:pt idx="2">
                  <c:v>23</c:v>
                </c:pt>
                <c:pt idx="3">
                  <c:v>4</c:v>
                </c:pt>
                <c:pt idx="4">
                  <c:v>7</c:v>
                </c:pt>
                <c:pt idx="5">
                  <c:v>78</c:v>
                </c:pt>
              </c:numCache>
            </c:numRef>
          </c:val>
        </c:ser>
        <c:dLbls>
          <c:showLegendKey val="0"/>
          <c:showVal val="0"/>
          <c:showCatName val="0"/>
          <c:showSerName val="0"/>
          <c:showPercent val="0"/>
          <c:showBubbleSize val="0"/>
        </c:dLbls>
        <c:gapWidth val="150"/>
        <c:overlap val="100"/>
        <c:axId val="112341760"/>
        <c:axId val="112343296"/>
      </c:barChart>
      <c:catAx>
        <c:axId val="112341760"/>
        <c:scaling>
          <c:orientation val="minMax"/>
        </c:scaling>
        <c:delete val="0"/>
        <c:axPos val="b"/>
        <c:majorTickMark val="out"/>
        <c:minorTickMark val="none"/>
        <c:tickLblPos val="nextTo"/>
        <c:crossAx val="112343296"/>
        <c:crosses val="autoZero"/>
        <c:auto val="1"/>
        <c:lblAlgn val="ctr"/>
        <c:lblOffset val="100"/>
        <c:noMultiLvlLbl val="0"/>
      </c:catAx>
      <c:valAx>
        <c:axId val="112343296"/>
        <c:scaling>
          <c:orientation val="minMax"/>
        </c:scaling>
        <c:delete val="0"/>
        <c:axPos val="l"/>
        <c:majorGridlines/>
        <c:numFmt formatCode="0%" sourceLinked="1"/>
        <c:majorTickMark val="out"/>
        <c:minorTickMark val="none"/>
        <c:tickLblPos val="nextTo"/>
        <c:crossAx val="112341760"/>
        <c:crosses val="autoZero"/>
        <c:crossBetween val="between"/>
      </c:valAx>
    </c:plotArea>
    <c:legend>
      <c:legendPos val="r"/>
      <c:layout>
        <c:manualLayout>
          <c:xMode val="edge"/>
          <c:yMode val="edge"/>
          <c:x val="0.13851850801405341"/>
          <c:y val="0.88604683491845326"/>
          <c:w val="0.80452085515013627"/>
          <c:h val="0.11395311936530833"/>
        </c:manualLayout>
      </c:layout>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3771922996317476E-2"/>
          <c:w val="0.90462762467191604"/>
          <c:h val="0.73401564311456402"/>
        </c:manualLayout>
      </c:layout>
      <c:barChart>
        <c:barDir val="col"/>
        <c:grouping val="stacked"/>
        <c:varyColors val="0"/>
        <c:ser>
          <c:idx val="0"/>
          <c:order val="0"/>
          <c:tx>
            <c:strRef>
              <c:f>Sheet1!$B$1</c:f>
              <c:strCache>
                <c:ptCount val="1"/>
                <c:pt idx="0">
                  <c:v>Failure of purchaser</c:v>
                </c:pt>
              </c:strCache>
            </c:strRef>
          </c:tx>
          <c:invertIfNegative val="0"/>
          <c:cat>
            <c:strRef>
              <c:f>Sheet1!$A$2:$A$6</c:f>
              <c:strCache>
                <c:ptCount val="5"/>
                <c:pt idx="0">
                  <c:v>Micro</c:v>
                </c:pt>
                <c:pt idx="1">
                  <c:v>Small</c:v>
                </c:pt>
                <c:pt idx="2">
                  <c:v>Medium</c:v>
                </c:pt>
                <c:pt idx="3">
                  <c:v>Large</c:v>
                </c:pt>
                <c:pt idx="4">
                  <c:v>N/K</c:v>
                </c:pt>
              </c:strCache>
            </c:strRef>
          </c:cat>
          <c:val>
            <c:numRef>
              <c:f>Sheet1!$B$2:$B$6</c:f>
              <c:numCache>
                <c:formatCode>General</c:formatCode>
                <c:ptCount val="5"/>
                <c:pt idx="0">
                  <c:v>3</c:v>
                </c:pt>
                <c:pt idx="1">
                  <c:v>11</c:v>
                </c:pt>
                <c:pt idx="2">
                  <c:v>2</c:v>
                </c:pt>
                <c:pt idx="3">
                  <c:v>3</c:v>
                </c:pt>
                <c:pt idx="4">
                  <c:v>0</c:v>
                </c:pt>
              </c:numCache>
            </c:numRef>
          </c:val>
        </c:ser>
        <c:ser>
          <c:idx val="1"/>
          <c:order val="1"/>
          <c:tx>
            <c:strRef>
              <c:f>Sheet1!$C$1</c:f>
              <c:strCache>
                <c:ptCount val="1"/>
                <c:pt idx="0">
                  <c:v>Survival of purchaser</c:v>
                </c:pt>
              </c:strCache>
            </c:strRef>
          </c:tx>
          <c:invertIfNegative val="0"/>
          <c:cat>
            <c:strRef>
              <c:f>Sheet1!$A$2:$A$6</c:f>
              <c:strCache>
                <c:ptCount val="5"/>
                <c:pt idx="0">
                  <c:v>Micro</c:v>
                </c:pt>
                <c:pt idx="1">
                  <c:v>Small</c:v>
                </c:pt>
                <c:pt idx="2">
                  <c:v>Medium</c:v>
                </c:pt>
                <c:pt idx="3">
                  <c:v>Large</c:v>
                </c:pt>
                <c:pt idx="4">
                  <c:v>N/K</c:v>
                </c:pt>
              </c:strCache>
            </c:strRef>
          </c:cat>
          <c:val>
            <c:numRef>
              <c:f>Sheet1!$C$2:$C$6</c:f>
              <c:numCache>
                <c:formatCode>General</c:formatCode>
                <c:ptCount val="5"/>
                <c:pt idx="0">
                  <c:v>12</c:v>
                </c:pt>
                <c:pt idx="1">
                  <c:v>44</c:v>
                </c:pt>
                <c:pt idx="2">
                  <c:v>9</c:v>
                </c:pt>
                <c:pt idx="3">
                  <c:v>6</c:v>
                </c:pt>
                <c:pt idx="4">
                  <c:v>7</c:v>
                </c:pt>
              </c:numCache>
            </c:numRef>
          </c:val>
        </c:ser>
        <c:dLbls>
          <c:showLegendKey val="0"/>
          <c:showVal val="0"/>
          <c:showCatName val="0"/>
          <c:showSerName val="0"/>
          <c:showPercent val="0"/>
          <c:showBubbleSize val="0"/>
        </c:dLbls>
        <c:gapWidth val="150"/>
        <c:overlap val="100"/>
        <c:axId val="111807488"/>
        <c:axId val="111809280"/>
      </c:barChart>
      <c:catAx>
        <c:axId val="111807488"/>
        <c:scaling>
          <c:orientation val="minMax"/>
        </c:scaling>
        <c:delete val="0"/>
        <c:axPos val="b"/>
        <c:majorTickMark val="out"/>
        <c:minorTickMark val="none"/>
        <c:tickLblPos val="nextTo"/>
        <c:crossAx val="111809280"/>
        <c:crosses val="autoZero"/>
        <c:auto val="1"/>
        <c:lblAlgn val="ctr"/>
        <c:lblOffset val="100"/>
        <c:noMultiLvlLbl val="0"/>
      </c:catAx>
      <c:valAx>
        <c:axId val="111809280"/>
        <c:scaling>
          <c:orientation val="minMax"/>
        </c:scaling>
        <c:delete val="0"/>
        <c:axPos val="l"/>
        <c:majorGridlines/>
        <c:numFmt formatCode="General" sourceLinked="1"/>
        <c:majorTickMark val="out"/>
        <c:minorTickMark val="none"/>
        <c:tickLblPos val="nextTo"/>
        <c:crossAx val="111807488"/>
        <c:crosses val="autoZero"/>
        <c:crossBetween val="between"/>
      </c:valAx>
    </c:plotArea>
    <c:legend>
      <c:legendPos val="r"/>
      <c:layout>
        <c:manualLayout>
          <c:xMode val="edge"/>
          <c:yMode val="edge"/>
          <c:x val="0.21287995961663911"/>
          <c:y val="0.86594291469728835"/>
          <c:w val="0.70276209324281391"/>
          <c:h val="0.11089404963620056"/>
        </c:manualLayout>
      </c:layout>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3.0384945743041663E-2"/>
          <c:w val="0.89502114319043458"/>
          <c:h val="0.73334260099566173"/>
        </c:manualLayout>
      </c:layout>
      <c:barChart>
        <c:barDir val="col"/>
        <c:grouping val="percentStacked"/>
        <c:varyColors val="0"/>
        <c:ser>
          <c:idx val="0"/>
          <c:order val="0"/>
          <c:tx>
            <c:strRef>
              <c:f>Sheet1!$B$1</c:f>
              <c:strCache>
                <c:ptCount val="1"/>
                <c:pt idx="0">
                  <c:v>Failure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Sheet1!$B$2:$B$7</c:f>
              <c:numCache>
                <c:formatCode>General</c:formatCode>
                <c:ptCount val="6"/>
                <c:pt idx="0">
                  <c:v>3</c:v>
                </c:pt>
                <c:pt idx="1">
                  <c:v>11</c:v>
                </c:pt>
                <c:pt idx="2">
                  <c:v>2</c:v>
                </c:pt>
                <c:pt idx="3">
                  <c:v>3</c:v>
                </c:pt>
                <c:pt idx="4">
                  <c:v>0</c:v>
                </c:pt>
                <c:pt idx="5">
                  <c:v>19</c:v>
                </c:pt>
              </c:numCache>
            </c:numRef>
          </c:val>
        </c:ser>
        <c:ser>
          <c:idx val="1"/>
          <c:order val="1"/>
          <c:tx>
            <c:strRef>
              <c:f>Sheet1!$C$1</c:f>
              <c:strCache>
                <c:ptCount val="1"/>
                <c:pt idx="0">
                  <c:v>Survival of purchaser</c:v>
                </c:pt>
              </c:strCache>
            </c:strRef>
          </c:tx>
          <c:invertIfNegative val="0"/>
          <c:cat>
            <c:strRef>
              <c:f>Sheet1!$A$2:$A$7</c:f>
              <c:strCache>
                <c:ptCount val="6"/>
                <c:pt idx="0">
                  <c:v>Micro</c:v>
                </c:pt>
                <c:pt idx="1">
                  <c:v>Small</c:v>
                </c:pt>
                <c:pt idx="2">
                  <c:v>Medium</c:v>
                </c:pt>
                <c:pt idx="3">
                  <c:v>Large</c:v>
                </c:pt>
                <c:pt idx="4">
                  <c:v>N/K</c:v>
                </c:pt>
                <c:pt idx="5">
                  <c:v>Total</c:v>
                </c:pt>
              </c:strCache>
            </c:strRef>
          </c:cat>
          <c:val>
            <c:numRef>
              <c:f>Sheet1!$C$2:$C$7</c:f>
              <c:numCache>
                <c:formatCode>General</c:formatCode>
                <c:ptCount val="6"/>
                <c:pt idx="0">
                  <c:v>12</c:v>
                </c:pt>
                <c:pt idx="1">
                  <c:v>44</c:v>
                </c:pt>
                <c:pt idx="2">
                  <c:v>9</c:v>
                </c:pt>
                <c:pt idx="3">
                  <c:v>6</c:v>
                </c:pt>
                <c:pt idx="4">
                  <c:v>7</c:v>
                </c:pt>
                <c:pt idx="5">
                  <c:v>78</c:v>
                </c:pt>
              </c:numCache>
            </c:numRef>
          </c:val>
        </c:ser>
        <c:dLbls>
          <c:showLegendKey val="0"/>
          <c:showVal val="0"/>
          <c:showCatName val="0"/>
          <c:showSerName val="0"/>
          <c:showPercent val="0"/>
          <c:showBubbleSize val="0"/>
        </c:dLbls>
        <c:gapWidth val="150"/>
        <c:overlap val="100"/>
        <c:axId val="111830144"/>
        <c:axId val="111831680"/>
      </c:barChart>
      <c:catAx>
        <c:axId val="111830144"/>
        <c:scaling>
          <c:orientation val="minMax"/>
        </c:scaling>
        <c:delete val="0"/>
        <c:axPos val="b"/>
        <c:majorTickMark val="out"/>
        <c:minorTickMark val="none"/>
        <c:tickLblPos val="nextTo"/>
        <c:crossAx val="111831680"/>
        <c:crosses val="autoZero"/>
        <c:auto val="1"/>
        <c:lblAlgn val="ctr"/>
        <c:lblOffset val="100"/>
        <c:noMultiLvlLbl val="0"/>
      </c:catAx>
      <c:valAx>
        <c:axId val="111831680"/>
        <c:scaling>
          <c:orientation val="minMax"/>
        </c:scaling>
        <c:delete val="0"/>
        <c:axPos val="l"/>
        <c:majorGridlines/>
        <c:numFmt formatCode="0%" sourceLinked="1"/>
        <c:majorTickMark val="out"/>
        <c:minorTickMark val="none"/>
        <c:tickLblPos val="nextTo"/>
        <c:crossAx val="111830144"/>
        <c:crosses val="autoZero"/>
        <c:crossBetween val="between"/>
      </c:valAx>
    </c:plotArea>
    <c:legend>
      <c:legendPos val="r"/>
      <c:layout>
        <c:manualLayout>
          <c:xMode val="edge"/>
          <c:yMode val="edge"/>
          <c:x val="0.13851850801405341"/>
          <c:y val="0.88604683491845326"/>
          <c:w val="0.8253214115805303"/>
          <c:h val="0.11395311936530833"/>
        </c:manualLayout>
      </c:layout>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1</c:v>
                </c:pt>
                <c:pt idx="1">
                  <c:v>1</c:v>
                </c:pt>
                <c:pt idx="2">
                  <c:v>1</c:v>
                </c:pt>
                <c:pt idx="3">
                  <c:v>4</c:v>
                </c:pt>
                <c:pt idx="4">
                  <c:v>6</c:v>
                </c:pt>
                <c:pt idx="5">
                  <c:v>10</c:v>
                </c:pt>
                <c:pt idx="6">
                  <c:v>5</c:v>
                </c:pt>
              </c:numCache>
            </c:numRef>
          </c:val>
        </c:ser>
        <c:dLbls>
          <c:showLegendKey val="0"/>
          <c:showVal val="0"/>
          <c:showCatName val="0"/>
          <c:showSerName val="0"/>
          <c:showPercent val="0"/>
          <c:showBubbleSize val="0"/>
        </c:dLbls>
        <c:gapWidth val="150"/>
        <c:axId val="117745920"/>
        <c:axId val="117747712"/>
      </c:barChart>
      <c:catAx>
        <c:axId val="117745920"/>
        <c:scaling>
          <c:orientation val="minMax"/>
        </c:scaling>
        <c:delete val="0"/>
        <c:axPos val="l"/>
        <c:majorTickMark val="out"/>
        <c:minorTickMark val="none"/>
        <c:tickLblPos val="nextTo"/>
        <c:crossAx val="117747712"/>
        <c:crosses val="autoZero"/>
        <c:auto val="1"/>
        <c:lblAlgn val="ctr"/>
        <c:lblOffset val="100"/>
        <c:noMultiLvlLbl val="0"/>
      </c:catAx>
      <c:valAx>
        <c:axId val="117747712"/>
        <c:scaling>
          <c:orientation val="minMax"/>
        </c:scaling>
        <c:delete val="0"/>
        <c:axPos val="b"/>
        <c:majorGridlines/>
        <c:numFmt formatCode="General" sourceLinked="1"/>
        <c:majorTickMark val="out"/>
        <c:minorTickMark val="none"/>
        <c:tickLblPos val="nextTo"/>
        <c:crossAx val="117745920"/>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c:v>
                </c:pt>
              </c:strCache>
            </c:strRef>
          </c:tx>
          <c:dLbls>
            <c:showLegendKey val="0"/>
            <c:showVal val="1"/>
            <c:showCatName val="0"/>
            <c:showSerName val="0"/>
            <c:showPercent val="0"/>
            <c:showBubbleSize val="0"/>
            <c:showLeaderLines val="1"/>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1</c:v>
                </c:pt>
                <c:pt idx="1">
                  <c:v>1</c:v>
                </c:pt>
                <c:pt idx="2">
                  <c:v>1</c:v>
                </c:pt>
                <c:pt idx="3">
                  <c:v>4</c:v>
                </c:pt>
                <c:pt idx="4">
                  <c:v>6</c:v>
                </c:pt>
                <c:pt idx="5">
                  <c:v>10</c:v>
                </c:pt>
                <c:pt idx="6">
                  <c:v>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499963546223394"/>
          <c:y val="0.24594238220222472"/>
          <c:w val="0.33111147564887722"/>
          <c:h val="0.62696412948381453"/>
        </c:manualLayout>
      </c:layout>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 and connected sale</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1</c:v>
                </c:pt>
                <c:pt idx="1">
                  <c:v>0</c:v>
                </c:pt>
                <c:pt idx="2">
                  <c:v>0</c:v>
                </c:pt>
                <c:pt idx="3">
                  <c:v>2</c:v>
                </c:pt>
                <c:pt idx="4">
                  <c:v>3</c:v>
                </c:pt>
                <c:pt idx="5">
                  <c:v>6</c:v>
                </c:pt>
                <c:pt idx="6">
                  <c:v>5</c:v>
                </c:pt>
              </c:numCache>
            </c:numRef>
          </c:val>
        </c:ser>
        <c:dLbls>
          <c:showLegendKey val="0"/>
          <c:showVal val="0"/>
          <c:showCatName val="0"/>
          <c:showSerName val="0"/>
          <c:showPercent val="0"/>
          <c:showBubbleSize val="0"/>
        </c:dLbls>
        <c:gapWidth val="150"/>
        <c:axId val="117811456"/>
        <c:axId val="117813248"/>
      </c:barChart>
      <c:catAx>
        <c:axId val="117811456"/>
        <c:scaling>
          <c:orientation val="minMax"/>
        </c:scaling>
        <c:delete val="0"/>
        <c:axPos val="l"/>
        <c:majorTickMark val="out"/>
        <c:minorTickMark val="none"/>
        <c:tickLblPos val="nextTo"/>
        <c:crossAx val="117813248"/>
        <c:crosses val="autoZero"/>
        <c:auto val="1"/>
        <c:lblAlgn val="ctr"/>
        <c:lblOffset val="100"/>
        <c:noMultiLvlLbl val="0"/>
      </c:catAx>
      <c:valAx>
        <c:axId val="117813248"/>
        <c:scaling>
          <c:orientation val="minMax"/>
        </c:scaling>
        <c:delete val="0"/>
        <c:axPos val="b"/>
        <c:majorGridlines/>
        <c:numFmt formatCode="General" sourceLinked="1"/>
        <c:majorTickMark val="out"/>
        <c:minorTickMark val="none"/>
        <c:tickLblPos val="nextTo"/>
        <c:crossAx val="11781145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 for failure of oldco</c:v>
                </c:pt>
              </c:strCache>
            </c:strRef>
          </c:tx>
          <c:dLbls>
            <c:showLegendKey val="0"/>
            <c:showVal val="1"/>
            <c:showCatName val="0"/>
            <c:showSerName val="0"/>
            <c:showPercent val="0"/>
            <c:showBubbleSize val="0"/>
            <c:showLeaderLines val="1"/>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44</c:v>
                </c:pt>
                <c:pt idx="1">
                  <c:v>117</c:v>
                </c:pt>
                <c:pt idx="2">
                  <c:v>16</c:v>
                </c:pt>
                <c:pt idx="3">
                  <c:v>127</c:v>
                </c:pt>
                <c:pt idx="4">
                  <c:v>107</c:v>
                </c:pt>
                <c:pt idx="5">
                  <c:v>228</c:v>
                </c:pt>
                <c:pt idx="6">
                  <c:v>34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 and connected sale</c:v>
                </c:pt>
              </c:strCache>
            </c:strRef>
          </c:tx>
          <c:dLbls>
            <c:dLbl>
              <c:idx val="2"/>
              <c:layout>
                <c:manualLayout>
                  <c:x val="5.8583041703120439E-3"/>
                  <c:y val="7.6702912135983006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1</c:v>
                </c:pt>
                <c:pt idx="1">
                  <c:v>0</c:v>
                </c:pt>
                <c:pt idx="2">
                  <c:v>0</c:v>
                </c:pt>
                <c:pt idx="3">
                  <c:v>2</c:v>
                </c:pt>
                <c:pt idx="4">
                  <c:v>3</c:v>
                </c:pt>
                <c:pt idx="5">
                  <c:v>6</c:v>
                </c:pt>
                <c:pt idx="6">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Reasons for failure of oldco - link to subsequent failure of purchaser and no connected sale</c:v>
                </c:pt>
              </c:strCache>
            </c:strRef>
          </c:tx>
          <c:invertIfNegative val="0"/>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0</c:v>
                </c:pt>
                <c:pt idx="1">
                  <c:v>1</c:v>
                </c:pt>
                <c:pt idx="2">
                  <c:v>1</c:v>
                </c:pt>
                <c:pt idx="3">
                  <c:v>2</c:v>
                </c:pt>
                <c:pt idx="4">
                  <c:v>3</c:v>
                </c:pt>
                <c:pt idx="5">
                  <c:v>4</c:v>
                </c:pt>
                <c:pt idx="6">
                  <c:v>0</c:v>
                </c:pt>
              </c:numCache>
            </c:numRef>
          </c:val>
        </c:ser>
        <c:dLbls>
          <c:showLegendKey val="0"/>
          <c:showVal val="0"/>
          <c:showCatName val="0"/>
          <c:showSerName val="0"/>
          <c:showPercent val="0"/>
          <c:showBubbleSize val="0"/>
        </c:dLbls>
        <c:gapWidth val="150"/>
        <c:axId val="117844224"/>
        <c:axId val="117854208"/>
      </c:barChart>
      <c:catAx>
        <c:axId val="117844224"/>
        <c:scaling>
          <c:orientation val="minMax"/>
        </c:scaling>
        <c:delete val="0"/>
        <c:axPos val="l"/>
        <c:majorTickMark val="out"/>
        <c:minorTickMark val="none"/>
        <c:tickLblPos val="nextTo"/>
        <c:crossAx val="117854208"/>
        <c:crosses val="autoZero"/>
        <c:auto val="1"/>
        <c:lblAlgn val="ctr"/>
        <c:lblOffset val="100"/>
        <c:noMultiLvlLbl val="0"/>
      </c:catAx>
      <c:valAx>
        <c:axId val="117854208"/>
        <c:scaling>
          <c:orientation val="minMax"/>
        </c:scaling>
        <c:delete val="0"/>
        <c:axPos val="b"/>
        <c:majorGridlines/>
        <c:numFmt formatCode="General" sourceLinked="1"/>
        <c:majorTickMark val="out"/>
        <c:minorTickMark val="none"/>
        <c:tickLblPos val="nextTo"/>
        <c:crossAx val="117844224"/>
        <c:crosses val="autoZero"/>
        <c:crossBetween val="between"/>
      </c:valAx>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Reasons for failure of oldco - link to subsequent failure of purchaser and no connected sale</c:v>
                </c:pt>
              </c:strCache>
            </c:strRef>
          </c:tx>
          <c:dLbls>
            <c:dLbl>
              <c:idx val="2"/>
              <c:layout>
                <c:manualLayout>
                  <c:x val="-3.580836249635462E-2"/>
                  <c:y val="-8.2027246594175724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Sheet1!$A$2:$A$8</c:f>
              <c:strCache>
                <c:ptCount val="7"/>
                <c:pt idx="0">
                  <c:v>Not known</c:v>
                </c:pt>
                <c:pt idx="1">
                  <c:v>Undercapitalisation / excessive debt</c:v>
                </c:pt>
                <c:pt idx="2">
                  <c:v>Problems in parent company</c:v>
                </c:pt>
                <c:pt idx="3">
                  <c:v>One off event</c:v>
                </c:pt>
                <c:pt idx="4">
                  <c:v>Mismanagement</c:v>
                </c:pt>
                <c:pt idx="5">
                  <c:v>Market conditions</c:v>
                </c:pt>
                <c:pt idx="6">
                  <c:v>Funding issues</c:v>
                </c:pt>
              </c:strCache>
            </c:strRef>
          </c:cat>
          <c:val>
            <c:numRef>
              <c:f>Sheet1!$B$2:$B$8</c:f>
              <c:numCache>
                <c:formatCode>General</c:formatCode>
                <c:ptCount val="7"/>
                <c:pt idx="0">
                  <c:v>0</c:v>
                </c:pt>
                <c:pt idx="1">
                  <c:v>1</c:v>
                </c:pt>
                <c:pt idx="2">
                  <c:v>1</c:v>
                </c:pt>
                <c:pt idx="3">
                  <c:v>2</c:v>
                </c:pt>
                <c:pt idx="4">
                  <c:v>3</c:v>
                </c:pt>
                <c:pt idx="5">
                  <c:v>4</c:v>
                </c:pt>
                <c:pt idx="6">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2563483458100513E-2"/>
          <c:w val="0.87996354622338879"/>
          <c:h val="0.65394720259975392"/>
        </c:manualLayout>
      </c:layout>
      <c:barChart>
        <c:barDir val="col"/>
        <c:grouping val="clustered"/>
        <c:varyColors val="0"/>
        <c:ser>
          <c:idx val="0"/>
          <c:order val="0"/>
          <c:tx>
            <c:strRef>
              <c:f>Sheet1!$B$1</c:f>
              <c:strCache>
                <c:ptCount val="1"/>
                <c:pt idx="0">
                  <c:v>Total</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Sheet1!$B$2:$B$6</c:f>
              <c:numCache>
                <c:formatCode>General</c:formatCode>
                <c:ptCount val="5"/>
                <c:pt idx="0">
                  <c:v>15</c:v>
                </c:pt>
                <c:pt idx="1">
                  <c:v>8</c:v>
                </c:pt>
                <c:pt idx="2">
                  <c:v>29</c:v>
                </c:pt>
                <c:pt idx="3">
                  <c:v>13</c:v>
                </c:pt>
                <c:pt idx="4">
                  <c:v>7</c:v>
                </c:pt>
              </c:numCache>
            </c:numRef>
          </c:val>
        </c:ser>
        <c:ser>
          <c:idx val="1"/>
          <c:order val="1"/>
          <c:tx>
            <c:strRef>
              <c:f>Sheet1!$C$1</c:f>
              <c:strCache>
                <c:ptCount val="1"/>
                <c:pt idx="0">
                  <c:v>Failure of purchaser</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Sheet1!$C$2:$C$6</c:f>
              <c:numCache>
                <c:formatCode>General</c:formatCode>
                <c:ptCount val="5"/>
                <c:pt idx="0">
                  <c:v>6</c:v>
                </c:pt>
                <c:pt idx="1">
                  <c:v>4</c:v>
                </c:pt>
                <c:pt idx="2">
                  <c:v>5</c:v>
                </c:pt>
                <c:pt idx="3">
                  <c:v>0</c:v>
                </c:pt>
                <c:pt idx="4">
                  <c:v>0</c:v>
                </c:pt>
              </c:numCache>
            </c:numRef>
          </c:val>
        </c:ser>
        <c:dLbls>
          <c:showLegendKey val="0"/>
          <c:showVal val="0"/>
          <c:showCatName val="0"/>
          <c:showSerName val="0"/>
          <c:showPercent val="0"/>
          <c:showBubbleSize val="0"/>
        </c:dLbls>
        <c:gapWidth val="150"/>
        <c:axId val="117866496"/>
        <c:axId val="117868032"/>
      </c:barChart>
      <c:catAx>
        <c:axId val="117866496"/>
        <c:scaling>
          <c:orientation val="minMax"/>
        </c:scaling>
        <c:delete val="0"/>
        <c:axPos val="b"/>
        <c:majorTickMark val="out"/>
        <c:minorTickMark val="none"/>
        <c:tickLblPos val="nextTo"/>
        <c:crossAx val="117868032"/>
        <c:crosses val="autoZero"/>
        <c:auto val="1"/>
        <c:lblAlgn val="ctr"/>
        <c:lblOffset val="100"/>
        <c:noMultiLvlLbl val="0"/>
      </c:catAx>
      <c:valAx>
        <c:axId val="117868032"/>
        <c:scaling>
          <c:orientation val="minMax"/>
          <c:max val="30"/>
        </c:scaling>
        <c:delete val="0"/>
        <c:axPos val="l"/>
        <c:majorGridlines/>
        <c:numFmt formatCode="General" sourceLinked="1"/>
        <c:majorTickMark val="out"/>
        <c:minorTickMark val="none"/>
        <c:tickLblPos val="nextTo"/>
        <c:crossAx val="117866496"/>
        <c:crosses val="autoZero"/>
        <c:crossBetween val="between"/>
      </c:valAx>
    </c:plotArea>
    <c:legend>
      <c:legendPos val="r"/>
      <c:layout>
        <c:manualLayout>
          <c:xMode val="edge"/>
          <c:yMode val="edge"/>
          <c:x val="7.4375182268883053E-2"/>
          <c:y val="0.8387064340342214"/>
          <c:w val="0.27516185476815397"/>
          <c:h val="0.1104650100097837"/>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3.2563483458100513E-2"/>
          <c:w val="0.87996354622338879"/>
          <c:h val="0.65394720259975392"/>
        </c:manualLayout>
      </c:layout>
      <c:barChart>
        <c:barDir val="col"/>
        <c:grouping val="clustered"/>
        <c:varyColors val="0"/>
        <c:ser>
          <c:idx val="0"/>
          <c:order val="0"/>
          <c:tx>
            <c:strRef>
              <c:f>Sheet1!$B$1</c:f>
              <c:strCache>
                <c:ptCount val="1"/>
                <c:pt idx="0">
                  <c:v>Number</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Sheet1!$B$2:$B$6</c:f>
              <c:numCache>
                <c:formatCode>General</c:formatCode>
                <c:ptCount val="5"/>
                <c:pt idx="0">
                  <c:v>88</c:v>
                </c:pt>
                <c:pt idx="1">
                  <c:v>51</c:v>
                </c:pt>
                <c:pt idx="2">
                  <c:v>96</c:v>
                </c:pt>
                <c:pt idx="3">
                  <c:v>84</c:v>
                </c:pt>
                <c:pt idx="4">
                  <c:v>96</c:v>
                </c:pt>
              </c:numCache>
            </c:numRef>
          </c:val>
        </c:ser>
        <c:ser>
          <c:idx val="1"/>
          <c:order val="1"/>
          <c:tx>
            <c:strRef>
              <c:f>Sheet1!$C$1</c:f>
              <c:strCache>
                <c:ptCount val="1"/>
                <c:pt idx="0">
                  <c:v>Percentage of total cases</c:v>
                </c:pt>
              </c:strCache>
            </c:strRef>
          </c:tx>
          <c:invertIfNegative val="0"/>
          <c:cat>
            <c:strRef>
              <c:f>Sheet1!$A$2:$A$6</c:f>
              <c:strCache>
                <c:ptCount val="5"/>
                <c:pt idx="0">
                  <c:v>Manufacturing</c:v>
                </c:pt>
                <c:pt idx="1">
                  <c:v>Construction / Real Estate</c:v>
                </c:pt>
                <c:pt idx="2">
                  <c:v>Wholesale / Retail / Transport / Storage / Accommodation and Food Services</c:v>
                </c:pt>
                <c:pt idx="3">
                  <c:v>Communication / Finance / Insurance / Professional Services</c:v>
                </c:pt>
                <c:pt idx="4">
                  <c:v>Administrative and Support Services</c:v>
                </c:pt>
              </c:strCache>
            </c:strRef>
          </c:cat>
          <c:val>
            <c:numRef>
              <c:f>Sheet1!$C$2:$C$6</c:f>
              <c:numCache>
                <c:formatCode>General</c:formatCode>
                <c:ptCount val="5"/>
                <c:pt idx="0">
                  <c:v>17.600000000000001</c:v>
                </c:pt>
                <c:pt idx="1">
                  <c:v>10.199999999999999</c:v>
                </c:pt>
                <c:pt idx="2">
                  <c:v>19.2</c:v>
                </c:pt>
                <c:pt idx="3">
                  <c:v>16.8</c:v>
                </c:pt>
                <c:pt idx="4">
                  <c:v>19.2</c:v>
                </c:pt>
              </c:numCache>
            </c:numRef>
          </c:val>
        </c:ser>
        <c:dLbls>
          <c:showLegendKey val="0"/>
          <c:showVal val="0"/>
          <c:showCatName val="0"/>
          <c:showSerName val="0"/>
          <c:showPercent val="0"/>
          <c:showBubbleSize val="0"/>
        </c:dLbls>
        <c:gapWidth val="150"/>
        <c:axId val="99950976"/>
        <c:axId val="99952512"/>
      </c:barChart>
      <c:catAx>
        <c:axId val="99950976"/>
        <c:scaling>
          <c:orientation val="minMax"/>
        </c:scaling>
        <c:delete val="0"/>
        <c:axPos val="b"/>
        <c:majorTickMark val="out"/>
        <c:minorTickMark val="none"/>
        <c:tickLblPos val="nextTo"/>
        <c:crossAx val="99952512"/>
        <c:crosses val="autoZero"/>
        <c:auto val="1"/>
        <c:lblAlgn val="ctr"/>
        <c:lblOffset val="100"/>
        <c:noMultiLvlLbl val="0"/>
      </c:catAx>
      <c:valAx>
        <c:axId val="99952512"/>
        <c:scaling>
          <c:orientation val="minMax"/>
          <c:max val="100"/>
        </c:scaling>
        <c:delete val="0"/>
        <c:axPos val="l"/>
        <c:majorGridlines/>
        <c:numFmt formatCode="General" sourceLinked="1"/>
        <c:majorTickMark val="out"/>
        <c:minorTickMark val="none"/>
        <c:tickLblPos val="nextTo"/>
        <c:crossAx val="99950976"/>
        <c:crosses val="autoZero"/>
        <c:crossBetween val="between"/>
      </c:valAx>
    </c:plotArea>
    <c:legend>
      <c:legendPos val="r"/>
      <c:layout>
        <c:manualLayout>
          <c:xMode val="edge"/>
          <c:yMode val="edge"/>
          <c:x val="7.6689997083697878E-2"/>
          <c:y val="0.78282269092413548"/>
          <c:w val="0.27516185476815397"/>
          <c:h val="0.1104650100097837"/>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Group Company Breakdown</c:v>
                </c:pt>
              </c:strCache>
            </c:strRef>
          </c:tx>
          <c:invertIfNegative val="0"/>
          <c:cat>
            <c:strRef>
              <c:f>Sheet1!$A$2:$A$4</c:f>
              <c:strCache>
                <c:ptCount val="3"/>
                <c:pt idx="0">
                  <c:v>Single company</c:v>
                </c:pt>
                <c:pt idx="1">
                  <c:v>Part of a group</c:v>
                </c:pt>
                <c:pt idx="2">
                  <c:v>Group pre-packs</c:v>
                </c:pt>
              </c:strCache>
            </c:strRef>
          </c:cat>
          <c:val>
            <c:numRef>
              <c:f>Sheet1!$B$2:$B$4</c:f>
              <c:numCache>
                <c:formatCode>General</c:formatCode>
                <c:ptCount val="3"/>
                <c:pt idx="0">
                  <c:v>295</c:v>
                </c:pt>
                <c:pt idx="1">
                  <c:v>202</c:v>
                </c:pt>
                <c:pt idx="2">
                  <c:v>101</c:v>
                </c:pt>
              </c:numCache>
            </c:numRef>
          </c:val>
        </c:ser>
        <c:dLbls>
          <c:showLegendKey val="0"/>
          <c:showVal val="0"/>
          <c:showCatName val="0"/>
          <c:showSerName val="0"/>
          <c:showPercent val="0"/>
          <c:showBubbleSize val="0"/>
        </c:dLbls>
        <c:gapWidth val="150"/>
        <c:axId val="99984896"/>
        <c:axId val="99986432"/>
      </c:barChart>
      <c:catAx>
        <c:axId val="99984896"/>
        <c:scaling>
          <c:orientation val="minMax"/>
        </c:scaling>
        <c:delete val="0"/>
        <c:axPos val="b"/>
        <c:majorTickMark val="out"/>
        <c:minorTickMark val="none"/>
        <c:tickLblPos val="nextTo"/>
        <c:crossAx val="99986432"/>
        <c:crosses val="autoZero"/>
        <c:auto val="1"/>
        <c:lblAlgn val="ctr"/>
        <c:lblOffset val="100"/>
        <c:noMultiLvlLbl val="0"/>
      </c:catAx>
      <c:valAx>
        <c:axId val="99986432"/>
        <c:scaling>
          <c:orientation val="minMax"/>
        </c:scaling>
        <c:delete val="0"/>
        <c:axPos val="l"/>
        <c:majorGridlines/>
        <c:numFmt formatCode="General" sourceLinked="1"/>
        <c:majorTickMark val="out"/>
        <c:minorTickMark val="none"/>
        <c:tickLblPos val="nextTo"/>
        <c:crossAx val="9998489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Nature of appointment</c:v>
                </c:pt>
              </c:strCache>
            </c:strRef>
          </c:tx>
          <c:invertIfNegative val="0"/>
          <c:cat>
            <c:strRef>
              <c:f>Sheet1!$A$2:$A$5</c:f>
              <c:strCache>
                <c:ptCount val="4"/>
                <c:pt idx="0">
                  <c:v>Paragraph 10</c:v>
                </c:pt>
                <c:pt idx="1">
                  <c:v>Paragraph 14</c:v>
                </c:pt>
                <c:pt idx="2">
                  <c:v>Paragraph 22</c:v>
                </c:pt>
                <c:pt idx="3">
                  <c:v>Not known</c:v>
                </c:pt>
              </c:strCache>
            </c:strRef>
          </c:cat>
          <c:val>
            <c:numRef>
              <c:f>Sheet1!$B$2:$B$5</c:f>
              <c:numCache>
                <c:formatCode>General</c:formatCode>
                <c:ptCount val="4"/>
                <c:pt idx="0">
                  <c:v>40</c:v>
                </c:pt>
                <c:pt idx="1">
                  <c:v>73</c:v>
                </c:pt>
                <c:pt idx="2">
                  <c:v>362</c:v>
                </c:pt>
                <c:pt idx="3">
                  <c:v>22</c:v>
                </c:pt>
              </c:numCache>
            </c:numRef>
          </c:val>
        </c:ser>
        <c:dLbls>
          <c:showLegendKey val="0"/>
          <c:showVal val="0"/>
          <c:showCatName val="0"/>
          <c:showSerName val="0"/>
          <c:showPercent val="0"/>
          <c:showBubbleSize val="0"/>
        </c:dLbls>
        <c:gapWidth val="150"/>
        <c:axId val="99719424"/>
        <c:axId val="99725312"/>
      </c:barChart>
      <c:catAx>
        <c:axId val="99719424"/>
        <c:scaling>
          <c:orientation val="minMax"/>
        </c:scaling>
        <c:delete val="0"/>
        <c:axPos val="b"/>
        <c:majorTickMark val="out"/>
        <c:minorTickMark val="none"/>
        <c:tickLblPos val="nextTo"/>
        <c:crossAx val="99725312"/>
        <c:crosses val="autoZero"/>
        <c:auto val="1"/>
        <c:lblAlgn val="ctr"/>
        <c:lblOffset val="100"/>
        <c:noMultiLvlLbl val="0"/>
      </c:catAx>
      <c:valAx>
        <c:axId val="99725312"/>
        <c:scaling>
          <c:orientation val="minMax"/>
        </c:scaling>
        <c:delete val="0"/>
        <c:axPos val="l"/>
        <c:majorGridlines/>
        <c:numFmt formatCode="General" sourceLinked="1"/>
        <c:majorTickMark val="out"/>
        <c:minorTickMark val="none"/>
        <c:tickLblPos val="nextTo"/>
        <c:crossAx val="9971942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0.17182</cdr:x>
      <cdr:y>0.01466</cdr:y>
    </cdr:from>
    <cdr:to>
      <cdr:x>0.86296</cdr:x>
      <cdr:y>0.09517</cdr:y>
    </cdr:to>
    <cdr:sp macro="" textlink="">
      <cdr:nvSpPr>
        <cdr:cNvPr id="2" name="Text Box 2"/>
        <cdr:cNvSpPr txBox="1">
          <a:spLocks xmlns:a="http://schemas.openxmlformats.org/drawingml/2006/main" noChangeArrowheads="1"/>
        </cdr:cNvSpPr>
      </cdr:nvSpPr>
      <cdr:spPr bwMode="auto">
        <a:xfrm xmlns:a="http://schemas.openxmlformats.org/drawingml/2006/main">
          <a:off x="1056904" y="110177"/>
          <a:ext cx="4251365" cy="60515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GB" sz="1600" b="1"/>
            <a:t>IP</a:t>
          </a:r>
          <a:r>
            <a:rPr lang="en-GB" sz="1600" b="1" baseline="0"/>
            <a:t> Firm Use of Deferred Consideration and Connected Sale and Subsequent Failure</a:t>
          </a:r>
          <a:endParaRPr lang="en-GB" sz="16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C943C-3B37-4B66-BB26-A8329FA71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119</Pages>
  <Words>17925</Words>
  <Characters>102178</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Pre-Pack Empirical Research: Characteristic and Outcome Analysis of Pre-Pack Administration</vt:lpstr>
    </vt:vector>
  </TitlesOfParts>
  <Company>University of Wolverhampton</Company>
  <LinksUpToDate>false</LinksUpToDate>
  <CharactersWithSpaces>119864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Pre-Pack Empirical Research: Characteristic and Outcome Analysis of Pre-Pack Administration</dc:title>
  <dc:subject>Final Report to the Graham Review April 2014 prepared by Professor Peter Walton and Chris Umfreville with the assistance of Dr Paul Wilson</dc:subject>
  <dc:creator>Umfreville, Chris</dc:creator>
  <cp:lastModifiedBy>Walton, Peter A.</cp:lastModifiedBy>
  <cp:revision>4</cp:revision>
  <cp:lastPrinted>2014-04-09T08:48:00Z</cp:lastPrinted>
  <dcterms:created xsi:type="dcterms:W3CDTF">2014-05-07T07:44:00Z</dcterms:created>
  <dcterms:modified xsi:type="dcterms:W3CDTF">2014-05-07T08:00:00Z</dcterms:modified>
</cp:coreProperties>
</file>