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7F0E" w:rsidRPr="005D093B" w:rsidRDefault="005D093B" w:rsidP="005D093B">
      <w:pPr>
        <w:spacing w:before="2400"/>
        <w:jc w:val="center"/>
        <w:rPr>
          <w:rStyle w:val="TitleChar"/>
          <w:color w:val="FFFFFF" w:themeColor="background1"/>
          <w:sz w:val="112"/>
          <w:szCs w:val="112"/>
        </w:rPr>
      </w:pPr>
      <w:r w:rsidRPr="005D093B">
        <w:rPr>
          <w:noProof/>
          <w:color w:val="FFFFFF" w:themeColor="background1"/>
          <w:sz w:val="112"/>
          <w:szCs w:val="112"/>
          <w:lang w:eastAsia="en-GB"/>
        </w:rPr>
        <w:drawing>
          <wp:anchor distT="0" distB="0" distL="114300" distR="114300" simplePos="0" relativeHeight="251659264" behindDoc="0" locked="0" layoutInCell="1" allowOverlap="1" wp14:anchorId="7864B3EE" wp14:editId="4A57ADB1">
            <wp:simplePos x="0" y="0"/>
            <wp:positionH relativeFrom="column">
              <wp:posOffset>-552274</wp:posOffset>
            </wp:positionH>
            <wp:positionV relativeFrom="paragraph">
              <wp:posOffset>-709295</wp:posOffset>
            </wp:positionV>
            <wp:extent cx="2128345" cy="1089611"/>
            <wp:effectExtent l="0" t="0" r="5715" b="0"/>
            <wp:wrapNone/>
            <wp:docPr id="3" name="Picture 3" title="Government Equalities Off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_WHITE_SML_AW.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28345" cy="1089611"/>
                    </a:xfrm>
                    <a:prstGeom prst="rect">
                      <a:avLst/>
                    </a:prstGeom>
                  </pic:spPr>
                </pic:pic>
              </a:graphicData>
            </a:graphic>
            <wp14:sizeRelH relativeFrom="page">
              <wp14:pctWidth>0</wp14:pctWidth>
            </wp14:sizeRelH>
            <wp14:sizeRelV relativeFrom="page">
              <wp14:pctHeight>0</wp14:pctHeight>
            </wp14:sizeRelV>
          </wp:anchor>
        </w:drawing>
      </w:r>
      <w:r w:rsidRPr="005D093B">
        <w:rPr>
          <w:noProof/>
          <w:color w:val="FFFFFF" w:themeColor="background1"/>
          <w:sz w:val="112"/>
          <w:szCs w:val="112"/>
          <w:lang w:eastAsia="en-GB"/>
        </w:rPr>
        <w:drawing>
          <wp:anchor distT="0" distB="0" distL="114300" distR="114300" simplePos="0" relativeHeight="251658240" behindDoc="1" locked="0" layoutInCell="1" allowOverlap="1" wp14:anchorId="20AF3F49" wp14:editId="7E1BA124">
            <wp:simplePos x="0" y="0"/>
            <wp:positionH relativeFrom="column">
              <wp:posOffset>-922020</wp:posOffset>
            </wp:positionH>
            <wp:positionV relativeFrom="paragraph">
              <wp:posOffset>-935355</wp:posOffset>
            </wp:positionV>
            <wp:extent cx="7567295" cy="11337290"/>
            <wp:effectExtent l="0" t="0" r="0" b="0"/>
            <wp:wrapNone/>
            <wp:docPr id="1" name="Picture 1" descr="An image of toy dolls jumbled together" title="Government Equalities Office Body Confidence Report October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000023490395Medium.jpg"/>
                    <pic:cNvPicPr/>
                  </pic:nvPicPr>
                  <pic:blipFill>
                    <a:blip r:embed="rId10">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a:xfrm>
                      <a:off x="0" y="0"/>
                      <a:ext cx="7567295" cy="11337290"/>
                    </a:xfrm>
                    <a:prstGeom prst="rect">
                      <a:avLst/>
                    </a:prstGeom>
                  </pic:spPr>
                </pic:pic>
              </a:graphicData>
            </a:graphic>
            <wp14:sizeRelH relativeFrom="page">
              <wp14:pctWidth>0</wp14:pctWidth>
            </wp14:sizeRelH>
            <wp14:sizeRelV relativeFrom="page">
              <wp14:pctHeight>0</wp14:pctHeight>
            </wp14:sizeRelV>
          </wp:anchor>
        </w:drawing>
      </w:r>
      <w:r w:rsidR="003A7F0E" w:rsidRPr="005D093B">
        <w:rPr>
          <w:rStyle w:val="TitleChar"/>
          <w:color w:val="FFFFFF" w:themeColor="background1"/>
          <w:sz w:val="112"/>
          <w:szCs w:val="112"/>
        </w:rPr>
        <w:t>BODY CONFIDENCE</w:t>
      </w:r>
    </w:p>
    <w:p w:rsidR="005D093B" w:rsidRDefault="00360A1B" w:rsidP="00020298">
      <w:pPr>
        <w:pStyle w:val="Subtitle"/>
        <w:spacing w:before="900"/>
        <w:rPr>
          <w:color w:val="FFFFFF" w:themeColor="background1"/>
          <w:sz w:val="56"/>
        </w:rPr>
      </w:pPr>
      <w:r w:rsidRPr="005D093B">
        <w:rPr>
          <w:color w:val="FFFFFF" w:themeColor="background1"/>
          <w:sz w:val="56"/>
        </w:rPr>
        <w:t>F</w:t>
      </w:r>
      <w:r w:rsidR="003A7F0E" w:rsidRPr="005D093B">
        <w:rPr>
          <w:color w:val="FFFFFF" w:themeColor="background1"/>
          <w:sz w:val="56"/>
        </w:rPr>
        <w:t xml:space="preserve">indings from the </w:t>
      </w:r>
    </w:p>
    <w:p w:rsidR="0045435F" w:rsidRPr="005D093B" w:rsidRDefault="003062C3" w:rsidP="005D093B">
      <w:pPr>
        <w:pStyle w:val="Subtitle"/>
        <w:rPr>
          <w:color w:val="FFFFFF" w:themeColor="background1"/>
          <w:sz w:val="56"/>
        </w:rPr>
      </w:pPr>
      <w:r w:rsidRPr="005D093B">
        <w:rPr>
          <w:color w:val="FFFFFF" w:themeColor="background1"/>
          <w:sz w:val="56"/>
        </w:rPr>
        <w:t>British Social Attitudes</w:t>
      </w:r>
      <w:r w:rsidR="005D093B" w:rsidRPr="005D093B">
        <w:rPr>
          <w:color w:val="FFFFFF" w:themeColor="background1"/>
          <w:sz w:val="56"/>
        </w:rPr>
        <w:t xml:space="preserve"> </w:t>
      </w:r>
      <w:r w:rsidRPr="005D093B">
        <w:rPr>
          <w:color w:val="FFFFFF" w:themeColor="background1"/>
          <w:sz w:val="56"/>
        </w:rPr>
        <w:t>Survey</w:t>
      </w:r>
    </w:p>
    <w:p w:rsidR="0045435F" w:rsidRPr="005D093B" w:rsidRDefault="008C2CEE" w:rsidP="005D093B">
      <w:pPr>
        <w:pStyle w:val="Subtitle"/>
        <w:rPr>
          <w:color w:val="FFFFFF" w:themeColor="background1"/>
          <w:sz w:val="56"/>
        </w:rPr>
      </w:pPr>
      <w:r w:rsidRPr="005D093B">
        <w:rPr>
          <w:color w:val="FFFFFF" w:themeColor="background1"/>
          <w:sz w:val="56"/>
        </w:rPr>
        <w:t>October 2014</w:t>
      </w:r>
    </w:p>
    <w:p w:rsidR="005D093B" w:rsidRDefault="005D093B">
      <w:pPr>
        <w:rPr>
          <w:rFonts w:cstheme="minorHAnsi"/>
          <w:b/>
          <w:color w:val="244061" w:themeColor="accent1" w:themeShade="80"/>
          <w:sz w:val="28"/>
          <w:szCs w:val="28"/>
        </w:rPr>
      </w:pPr>
      <w:r>
        <w:rPr>
          <w:rFonts w:cstheme="minorHAnsi"/>
          <w:b/>
          <w:color w:val="244061" w:themeColor="accent1" w:themeShade="80"/>
          <w:sz w:val="28"/>
          <w:szCs w:val="28"/>
        </w:rPr>
        <w:br w:type="page"/>
      </w:r>
    </w:p>
    <w:p w:rsidR="00FA5B76" w:rsidRDefault="00FA5B76" w:rsidP="00FA5B76">
      <w:pPr>
        <w:pStyle w:val="Heading1"/>
      </w:pPr>
      <w:bookmarkStart w:id="0" w:name="_Toc400701810"/>
      <w:r>
        <w:lastRenderedPageBreak/>
        <w:t>Contents</w:t>
      </w:r>
      <w:bookmarkEnd w:id="0"/>
    </w:p>
    <w:p w:rsidR="00FA5B76" w:rsidRDefault="00FA5B76">
      <w:pPr>
        <w:pStyle w:val="TOC1"/>
        <w:tabs>
          <w:tab w:val="right" w:leader="dot" w:pos="9016"/>
        </w:tabs>
        <w:rPr>
          <w:rFonts w:eastAsiaTheme="minorEastAsia"/>
          <w:noProof/>
          <w:lang w:eastAsia="en-GB"/>
        </w:rPr>
      </w:pPr>
      <w:r w:rsidRPr="00FA5B76">
        <w:rPr>
          <w:rFonts w:cstheme="minorHAnsi"/>
          <w:b/>
          <w:sz w:val="28"/>
          <w:szCs w:val="28"/>
        </w:rPr>
        <w:fldChar w:fldCharType="begin"/>
      </w:r>
      <w:r w:rsidRPr="00FA5B76">
        <w:rPr>
          <w:rFonts w:cstheme="minorHAnsi"/>
          <w:b/>
          <w:sz w:val="28"/>
          <w:szCs w:val="28"/>
        </w:rPr>
        <w:instrText xml:space="preserve"> TOC \o "1-2" \h \z \u </w:instrText>
      </w:r>
      <w:r w:rsidRPr="00FA5B76">
        <w:rPr>
          <w:rFonts w:cstheme="minorHAnsi"/>
          <w:b/>
          <w:sz w:val="28"/>
          <w:szCs w:val="28"/>
        </w:rPr>
        <w:fldChar w:fldCharType="separate"/>
      </w:r>
      <w:hyperlink w:anchor="_Toc400701810" w:history="1">
        <w:r w:rsidRPr="000C1323">
          <w:rPr>
            <w:rStyle w:val="Hyperlink"/>
            <w:noProof/>
          </w:rPr>
          <w:t>Contents</w:t>
        </w:r>
        <w:r>
          <w:rPr>
            <w:noProof/>
            <w:webHidden/>
          </w:rPr>
          <w:tab/>
        </w:r>
        <w:r>
          <w:rPr>
            <w:noProof/>
            <w:webHidden/>
          </w:rPr>
          <w:fldChar w:fldCharType="begin"/>
        </w:r>
        <w:r>
          <w:rPr>
            <w:noProof/>
            <w:webHidden/>
          </w:rPr>
          <w:instrText xml:space="preserve"> PAGEREF _Toc400701810 \h </w:instrText>
        </w:r>
        <w:r>
          <w:rPr>
            <w:noProof/>
            <w:webHidden/>
          </w:rPr>
        </w:r>
        <w:r>
          <w:rPr>
            <w:noProof/>
            <w:webHidden/>
          </w:rPr>
          <w:fldChar w:fldCharType="separate"/>
        </w:r>
        <w:r>
          <w:rPr>
            <w:noProof/>
            <w:webHidden/>
          </w:rPr>
          <w:t>2</w:t>
        </w:r>
        <w:r>
          <w:rPr>
            <w:noProof/>
            <w:webHidden/>
          </w:rPr>
          <w:fldChar w:fldCharType="end"/>
        </w:r>
      </w:hyperlink>
    </w:p>
    <w:p w:rsidR="00FA5B76" w:rsidRDefault="006C0324">
      <w:pPr>
        <w:pStyle w:val="TOC1"/>
        <w:tabs>
          <w:tab w:val="right" w:leader="dot" w:pos="9016"/>
        </w:tabs>
        <w:rPr>
          <w:rFonts w:eastAsiaTheme="minorEastAsia"/>
          <w:noProof/>
          <w:lang w:eastAsia="en-GB"/>
        </w:rPr>
      </w:pPr>
      <w:hyperlink w:anchor="_Toc400701811" w:history="1">
        <w:r w:rsidR="00FA5B76" w:rsidRPr="000C1323">
          <w:rPr>
            <w:rStyle w:val="Hyperlink"/>
            <w:noProof/>
          </w:rPr>
          <w:t>Background</w:t>
        </w:r>
        <w:r w:rsidR="00FA5B76">
          <w:rPr>
            <w:noProof/>
            <w:webHidden/>
          </w:rPr>
          <w:tab/>
        </w:r>
        <w:r w:rsidR="00FA5B76">
          <w:rPr>
            <w:noProof/>
            <w:webHidden/>
          </w:rPr>
          <w:fldChar w:fldCharType="begin"/>
        </w:r>
        <w:r w:rsidR="00FA5B76">
          <w:rPr>
            <w:noProof/>
            <w:webHidden/>
          </w:rPr>
          <w:instrText xml:space="preserve"> PAGEREF _Toc400701811 \h </w:instrText>
        </w:r>
        <w:r w:rsidR="00FA5B76">
          <w:rPr>
            <w:noProof/>
            <w:webHidden/>
          </w:rPr>
        </w:r>
        <w:r w:rsidR="00FA5B76">
          <w:rPr>
            <w:noProof/>
            <w:webHidden/>
          </w:rPr>
          <w:fldChar w:fldCharType="separate"/>
        </w:r>
        <w:r w:rsidR="00FA5B76">
          <w:rPr>
            <w:noProof/>
            <w:webHidden/>
          </w:rPr>
          <w:t>3</w:t>
        </w:r>
        <w:r w:rsidR="00FA5B76">
          <w:rPr>
            <w:noProof/>
            <w:webHidden/>
          </w:rPr>
          <w:fldChar w:fldCharType="end"/>
        </w:r>
      </w:hyperlink>
    </w:p>
    <w:p w:rsidR="00FA5B76" w:rsidRDefault="006C0324">
      <w:pPr>
        <w:pStyle w:val="TOC1"/>
        <w:tabs>
          <w:tab w:val="right" w:leader="dot" w:pos="9016"/>
        </w:tabs>
        <w:rPr>
          <w:rFonts w:eastAsiaTheme="minorEastAsia"/>
          <w:noProof/>
          <w:lang w:eastAsia="en-GB"/>
        </w:rPr>
      </w:pPr>
      <w:hyperlink w:anchor="_Toc400701812" w:history="1">
        <w:r w:rsidR="00FA5B76" w:rsidRPr="000C1323">
          <w:rPr>
            <w:rStyle w:val="Hyperlink"/>
            <w:noProof/>
          </w:rPr>
          <w:t>Key findings</w:t>
        </w:r>
        <w:r w:rsidR="00FA5B76">
          <w:rPr>
            <w:noProof/>
            <w:webHidden/>
          </w:rPr>
          <w:tab/>
        </w:r>
        <w:r w:rsidR="00FA5B76">
          <w:rPr>
            <w:noProof/>
            <w:webHidden/>
          </w:rPr>
          <w:fldChar w:fldCharType="begin"/>
        </w:r>
        <w:r w:rsidR="00FA5B76">
          <w:rPr>
            <w:noProof/>
            <w:webHidden/>
          </w:rPr>
          <w:instrText xml:space="preserve"> PAGEREF _Toc400701812 \h </w:instrText>
        </w:r>
        <w:r w:rsidR="00FA5B76">
          <w:rPr>
            <w:noProof/>
            <w:webHidden/>
          </w:rPr>
        </w:r>
        <w:r w:rsidR="00FA5B76">
          <w:rPr>
            <w:noProof/>
            <w:webHidden/>
          </w:rPr>
          <w:fldChar w:fldCharType="separate"/>
        </w:r>
        <w:r w:rsidR="00FA5B76">
          <w:rPr>
            <w:noProof/>
            <w:webHidden/>
          </w:rPr>
          <w:t>4</w:t>
        </w:r>
        <w:r w:rsidR="00FA5B76">
          <w:rPr>
            <w:noProof/>
            <w:webHidden/>
          </w:rPr>
          <w:fldChar w:fldCharType="end"/>
        </w:r>
      </w:hyperlink>
    </w:p>
    <w:p w:rsidR="00FA5B76" w:rsidRDefault="006C0324">
      <w:pPr>
        <w:pStyle w:val="TOC1"/>
        <w:tabs>
          <w:tab w:val="right" w:leader="dot" w:pos="9016"/>
        </w:tabs>
        <w:rPr>
          <w:rFonts w:eastAsiaTheme="minorEastAsia"/>
          <w:noProof/>
          <w:lang w:eastAsia="en-GB"/>
        </w:rPr>
      </w:pPr>
      <w:hyperlink w:anchor="_Toc400701813" w:history="1">
        <w:r w:rsidR="00FA5B76" w:rsidRPr="000C1323">
          <w:rPr>
            <w:rStyle w:val="Hyperlink"/>
            <w:noProof/>
          </w:rPr>
          <w:t>Research findings</w:t>
        </w:r>
        <w:r w:rsidR="00FA5B76">
          <w:rPr>
            <w:noProof/>
            <w:webHidden/>
          </w:rPr>
          <w:tab/>
        </w:r>
        <w:r w:rsidR="00FA5B76">
          <w:rPr>
            <w:noProof/>
            <w:webHidden/>
          </w:rPr>
          <w:fldChar w:fldCharType="begin"/>
        </w:r>
        <w:r w:rsidR="00FA5B76">
          <w:rPr>
            <w:noProof/>
            <w:webHidden/>
          </w:rPr>
          <w:instrText xml:space="preserve"> PAGEREF _Toc400701813 \h </w:instrText>
        </w:r>
        <w:r w:rsidR="00FA5B76">
          <w:rPr>
            <w:noProof/>
            <w:webHidden/>
          </w:rPr>
        </w:r>
        <w:r w:rsidR="00FA5B76">
          <w:rPr>
            <w:noProof/>
            <w:webHidden/>
          </w:rPr>
          <w:fldChar w:fldCharType="separate"/>
        </w:r>
        <w:r w:rsidR="00FA5B76">
          <w:rPr>
            <w:noProof/>
            <w:webHidden/>
          </w:rPr>
          <w:t>5</w:t>
        </w:r>
        <w:r w:rsidR="00FA5B76">
          <w:rPr>
            <w:noProof/>
            <w:webHidden/>
          </w:rPr>
          <w:fldChar w:fldCharType="end"/>
        </w:r>
      </w:hyperlink>
    </w:p>
    <w:p w:rsidR="00FA5B76" w:rsidRPr="00FA5B76" w:rsidRDefault="006C0324">
      <w:pPr>
        <w:pStyle w:val="TOC2"/>
        <w:tabs>
          <w:tab w:val="right" w:leader="dot" w:pos="9016"/>
        </w:tabs>
        <w:rPr>
          <w:rFonts w:eastAsiaTheme="minorEastAsia"/>
          <w:noProof/>
          <w:lang w:eastAsia="en-GB"/>
        </w:rPr>
      </w:pPr>
      <w:hyperlink w:anchor="_Toc400701814" w:history="1">
        <w:r w:rsidR="00FA5B76" w:rsidRPr="00FA5B76">
          <w:rPr>
            <w:rStyle w:val="Hyperlink"/>
            <w:rFonts w:cstheme="minorHAnsi"/>
            <w:i/>
            <w:noProof/>
            <w:color w:val="auto"/>
          </w:rPr>
          <w:t>Satisfaction with own appearance</w:t>
        </w:r>
        <w:r w:rsidR="00FA5B76" w:rsidRPr="00FA5B76">
          <w:rPr>
            <w:noProof/>
            <w:webHidden/>
          </w:rPr>
          <w:tab/>
        </w:r>
        <w:r w:rsidR="00FA5B76" w:rsidRPr="00FA5B76">
          <w:rPr>
            <w:noProof/>
            <w:webHidden/>
          </w:rPr>
          <w:fldChar w:fldCharType="begin"/>
        </w:r>
        <w:r w:rsidR="00FA5B76" w:rsidRPr="00FA5B76">
          <w:rPr>
            <w:noProof/>
            <w:webHidden/>
          </w:rPr>
          <w:instrText xml:space="preserve"> PAGEREF _Toc400701814 \h </w:instrText>
        </w:r>
        <w:r w:rsidR="00FA5B76" w:rsidRPr="00FA5B76">
          <w:rPr>
            <w:noProof/>
            <w:webHidden/>
          </w:rPr>
        </w:r>
        <w:r w:rsidR="00FA5B76" w:rsidRPr="00FA5B76">
          <w:rPr>
            <w:noProof/>
            <w:webHidden/>
          </w:rPr>
          <w:fldChar w:fldCharType="separate"/>
        </w:r>
        <w:r w:rsidR="00FA5B76" w:rsidRPr="00FA5B76">
          <w:rPr>
            <w:noProof/>
            <w:webHidden/>
          </w:rPr>
          <w:t>5</w:t>
        </w:r>
        <w:r w:rsidR="00FA5B76" w:rsidRPr="00FA5B76">
          <w:rPr>
            <w:noProof/>
            <w:webHidden/>
          </w:rPr>
          <w:fldChar w:fldCharType="end"/>
        </w:r>
      </w:hyperlink>
    </w:p>
    <w:p w:rsidR="00FA5B76" w:rsidRPr="00FA5B76" w:rsidRDefault="006C0324">
      <w:pPr>
        <w:pStyle w:val="TOC2"/>
        <w:tabs>
          <w:tab w:val="right" w:leader="dot" w:pos="9016"/>
        </w:tabs>
        <w:rPr>
          <w:rFonts w:eastAsiaTheme="minorEastAsia"/>
          <w:noProof/>
          <w:lang w:eastAsia="en-GB"/>
        </w:rPr>
      </w:pPr>
      <w:hyperlink w:anchor="_Toc400701815" w:history="1">
        <w:r w:rsidR="00FA5B76" w:rsidRPr="00FA5B76">
          <w:rPr>
            <w:rStyle w:val="Hyperlink"/>
            <w:rFonts w:cstheme="minorHAnsi"/>
            <w:i/>
            <w:noProof/>
            <w:color w:val="auto"/>
          </w:rPr>
          <w:t>Perceived importance of appearance</w:t>
        </w:r>
        <w:r w:rsidR="00FA5B76" w:rsidRPr="00FA5B76">
          <w:rPr>
            <w:noProof/>
            <w:webHidden/>
          </w:rPr>
          <w:tab/>
        </w:r>
        <w:r w:rsidR="00FA5B76" w:rsidRPr="00FA5B76">
          <w:rPr>
            <w:noProof/>
            <w:webHidden/>
          </w:rPr>
          <w:fldChar w:fldCharType="begin"/>
        </w:r>
        <w:r w:rsidR="00FA5B76" w:rsidRPr="00FA5B76">
          <w:rPr>
            <w:noProof/>
            <w:webHidden/>
          </w:rPr>
          <w:instrText xml:space="preserve"> PAGEREF _Toc400701815 \h </w:instrText>
        </w:r>
        <w:r w:rsidR="00FA5B76" w:rsidRPr="00FA5B76">
          <w:rPr>
            <w:noProof/>
            <w:webHidden/>
          </w:rPr>
        </w:r>
        <w:r w:rsidR="00FA5B76" w:rsidRPr="00FA5B76">
          <w:rPr>
            <w:noProof/>
            <w:webHidden/>
          </w:rPr>
          <w:fldChar w:fldCharType="separate"/>
        </w:r>
        <w:r w:rsidR="00FA5B76" w:rsidRPr="00FA5B76">
          <w:rPr>
            <w:noProof/>
            <w:webHidden/>
          </w:rPr>
          <w:t>5</w:t>
        </w:r>
        <w:r w:rsidR="00FA5B76" w:rsidRPr="00FA5B76">
          <w:rPr>
            <w:noProof/>
            <w:webHidden/>
          </w:rPr>
          <w:fldChar w:fldCharType="end"/>
        </w:r>
      </w:hyperlink>
    </w:p>
    <w:p w:rsidR="00FA5B76" w:rsidRDefault="006C0324">
      <w:pPr>
        <w:pStyle w:val="TOC1"/>
        <w:tabs>
          <w:tab w:val="right" w:leader="dot" w:pos="9016"/>
        </w:tabs>
        <w:rPr>
          <w:rFonts w:eastAsiaTheme="minorEastAsia"/>
          <w:noProof/>
          <w:lang w:eastAsia="en-GB"/>
        </w:rPr>
      </w:pPr>
      <w:hyperlink w:anchor="_Toc400701816" w:history="1">
        <w:r w:rsidR="00FA5B76" w:rsidRPr="000C1323">
          <w:rPr>
            <w:rStyle w:val="Hyperlink"/>
            <w:noProof/>
          </w:rPr>
          <w:t>Discussion</w:t>
        </w:r>
        <w:r w:rsidR="00FA5B76">
          <w:rPr>
            <w:noProof/>
            <w:webHidden/>
          </w:rPr>
          <w:tab/>
        </w:r>
        <w:r w:rsidR="00FA5B76">
          <w:rPr>
            <w:noProof/>
            <w:webHidden/>
          </w:rPr>
          <w:fldChar w:fldCharType="begin"/>
        </w:r>
        <w:r w:rsidR="00FA5B76">
          <w:rPr>
            <w:noProof/>
            <w:webHidden/>
          </w:rPr>
          <w:instrText xml:space="preserve"> PAGEREF _Toc400701816 \h </w:instrText>
        </w:r>
        <w:r w:rsidR="00FA5B76">
          <w:rPr>
            <w:noProof/>
            <w:webHidden/>
          </w:rPr>
        </w:r>
        <w:r w:rsidR="00FA5B76">
          <w:rPr>
            <w:noProof/>
            <w:webHidden/>
          </w:rPr>
          <w:fldChar w:fldCharType="separate"/>
        </w:r>
        <w:r w:rsidR="00FA5B76">
          <w:rPr>
            <w:noProof/>
            <w:webHidden/>
          </w:rPr>
          <w:t>7</w:t>
        </w:r>
        <w:r w:rsidR="00FA5B76">
          <w:rPr>
            <w:noProof/>
            <w:webHidden/>
          </w:rPr>
          <w:fldChar w:fldCharType="end"/>
        </w:r>
      </w:hyperlink>
    </w:p>
    <w:p w:rsidR="00FA5B76" w:rsidRDefault="006C0324">
      <w:pPr>
        <w:pStyle w:val="TOC1"/>
        <w:tabs>
          <w:tab w:val="right" w:leader="dot" w:pos="9016"/>
        </w:tabs>
        <w:rPr>
          <w:rFonts w:eastAsiaTheme="minorEastAsia"/>
          <w:noProof/>
          <w:lang w:eastAsia="en-GB"/>
        </w:rPr>
      </w:pPr>
      <w:hyperlink w:anchor="_Toc400701817" w:history="1">
        <w:r w:rsidR="00FA5B76" w:rsidRPr="000C1323">
          <w:rPr>
            <w:rStyle w:val="Hyperlink"/>
            <w:noProof/>
          </w:rPr>
          <w:t>Conclusion</w:t>
        </w:r>
        <w:r w:rsidR="00FA5B76">
          <w:rPr>
            <w:noProof/>
            <w:webHidden/>
          </w:rPr>
          <w:tab/>
        </w:r>
        <w:r w:rsidR="00FA5B76">
          <w:rPr>
            <w:noProof/>
            <w:webHidden/>
          </w:rPr>
          <w:fldChar w:fldCharType="begin"/>
        </w:r>
        <w:r w:rsidR="00FA5B76">
          <w:rPr>
            <w:noProof/>
            <w:webHidden/>
          </w:rPr>
          <w:instrText xml:space="preserve"> PAGEREF _Toc400701817 \h </w:instrText>
        </w:r>
        <w:r w:rsidR="00FA5B76">
          <w:rPr>
            <w:noProof/>
            <w:webHidden/>
          </w:rPr>
        </w:r>
        <w:r w:rsidR="00FA5B76">
          <w:rPr>
            <w:noProof/>
            <w:webHidden/>
          </w:rPr>
          <w:fldChar w:fldCharType="separate"/>
        </w:r>
        <w:r w:rsidR="00FA5B76">
          <w:rPr>
            <w:noProof/>
            <w:webHidden/>
          </w:rPr>
          <w:t>10</w:t>
        </w:r>
        <w:r w:rsidR="00FA5B76">
          <w:rPr>
            <w:noProof/>
            <w:webHidden/>
          </w:rPr>
          <w:fldChar w:fldCharType="end"/>
        </w:r>
      </w:hyperlink>
    </w:p>
    <w:p w:rsidR="00FA5B76" w:rsidRDefault="006C0324">
      <w:pPr>
        <w:pStyle w:val="TOC1"/>
        <w:tabs>
          <w:tab w:val="right" w:leader="dot" w:pos="9016"/>
        </w:tabs>
        <w:rPr>
          <w:rFonts w:eastAsiaTheme="minorEastAsia"/>
          <w:noProof/>
          <w:lang w:eastAsia="en-GB"/>
        </w:rPr>
      </w:pPr>
      <w:hyperlink w:anchor="_Toc400701818" w:history="1">
        <w:r w:rsidR="00FA5B76" w:rsidRPr="000C1323">
          <w:rPr>
            <w:rStyle w:val="Hyperlink"/>
            <w:noProof/>
          </w:rPr>
          <w:t>Notes</w:t>
        </w:r>
        <w:r w:rsidR="00FA5B76">
          <w:rPr>
            <w:noProof/>
            <w:webHidden/>
          </w:rPr>
          <w:tab/>
        </w:r>
        <w:r w:rsidR="00FA5B76">
          <w:rPr>
            <w:noProof/>
            <w:webHidden/>
          </w:rPr>
          <w:fldChar w:fldCharType="begin"/>
        </w:r>
        <w:r w:rsidR="00FA5B76">
          <w:rPr>
            <w:noProof/>
            <w:webHidden/>
          </w:rPr>
          <w:instrText xml:space="preserve"> PAGEREF _Toc400701818 \h </w:instrText>
        </w:r>
        <w:r w:rsidR="00FA5B76">
          <w:rPr>
            <w:noProof/>
            <w:webHidden/>
          </w:rPr>
        </w:r>
        <w:r w:rsidR="00FA5B76">
          <w:rPr>
            <w:noProof/>
            <w:webHidden/>
          </w:rPr>
          <w:fldChar w:fldCharType="separate"/>
        </w:r>
        <w:r w:rsidR="00FA5B76">
          <w:rPr>
            <w:noProof/>
            <w:webHidden/>
          </w:rPr>
          <w:t>10</w:t>
        </w:r>
        <w:r w:rsidR="00FA5B76">
          <w:rPr>
            <w:noProof/>
            <w:webHidden/>
          </w:rPr>
          <w:fldChar w:fldCharType="end"/>
        </w:r>
      </w:hyperlink>
    </w:p>
    <w:p w:rsidR="00AB3C61" w:rsidRDefault="00FA5B76">
      <w:pPr>
        <w:rPr>
          <w:rFonts w:cstheme="minorHAnsi"/>
          <w:b/>
          <w:color w:val="244061" w:themeColor="accent1" w:themeShade="80"/>
          <w:sz w:val="28"/>
          <w:szCs w:val="28"/>
        </w:rPr>
      </w:pPr>
      <w:r w:rsidRPr="00FA5B76">
        <w:rPr>
          <w:rFonts w:cstheme="minorHAnsi"/>
          <w:b/>
          <w:sz w:val="28"/>
          <w:szCs w:val="28"/>
        </w:rPr>
        <w:fldChar w:fldCharType="end"/>
      </w:r>
      <w:r w:rsidR="00AB3C61">
        <w:rPr>
          <w:rFonts w:cstheme="minorHAnsi"/>
          <w:b/>
          <w:color w:val="244061" w:themeColor="accent1" w:themeShade="80"/>
          <w:sz w:val="28"/>
          <w:szCs w:val="28"/>
        </w:rPr>
        <w:br w:type="page"/>
      </w:r>
    </w:p>
    <w:p w:rsidR="00221D42" w:rsidRPr="00DD4440" w:rsidRDefault="00221D42" w:rsidP="00DD4440">
      <w:pPr>
        <w:pStyle w:val="Heading1"/>
        <w:rPr>
          <w:sz w:val="44"/>
          <w:szCs w:val="40"/>
        </w:rPr>
      </w:pPr>
      <w:bookmarkStart w:id="1" w:name="_Toc400701811"/>
      <w:r w:rsidRPr="00DD4440">
        <w:lastRenderedPageBreak/>
        <w:t>Background</w:t>
      </w:r>
      <w:bookmarkEnd w:id="1"/>
      <w:r w:rsidRPr="00DD4440">
        <w:t xml:space="preserve"> </w:t>
      </w:r>
    </w:p>
    <w:p w:rsidR="00221D42" w:rsidRDefault="00221D42" w:rsidP="00221D42">
      <w:pPr>
        <w:spacing w:after="160" w:line="312" w:lineRule="auto"/>
        <w:rPr>
          <w:rFonts w:cstheme="minorHAnsi"/>
          <w:sz w:val="24"/>
          <w:szCs w:val="24"/>
        </w:rPr>
      </w:pPr>
      <w:r>
        <w:rPr>
          <w:rFonts w:cstheme="minorHAnsi"/>
          <w:sz w:val="24"/>
          <w:szCs w:val="24"/>
        </w:rPr>
        <w:t>The concept of body image relates to how people experience their body in the world, covering:</w:t>
      </w:r>
    </w:p>
    <w:p w:rsidR="00221D42" w:rsidRDefault="00221D42" w:rsidP="00221D42">
      <w:pPr>
        <w:pStyle w:val="ListParagraph"/>
        <w:numPr>
          <w:ilvl w:val="0"/>
          <w:numId w:val="15"/>
        </w:numPr>
        <w:spacing w:after="160" w:line="312" w:lineRule="auto"/>
        <w:rPr>
          <w:rFonts w:cstheme="minorHAnsi"/>
          <w:sz w:val="24"/>
          <w:szCs w:val="24"/>
        </w:rPr>
      </w:pPr>
      <w:r>
        <w:rPr>
          <w:rFonts w:cstheme="minorHAnsi"/>
          <w:sz w:val="24"/>
          <w:szCs w:val="24"/>
        </w:rPr>
        <w:t>Body confidence – how satisfied they are with their appearance</w:t>
      </w:r>
      <w:bookmarkStart w:id="2" w:name="_Ref400443873"/>
      <w:r>
        <w:rPr>
          <w:rStyle w:val="FootnoteReference"/>
          <w:rFonts w:cstheme="minorHAnsi"/>
          <w:sz w:val="24"/>
          <w:szCs w:val="24"/>
        </w:rPr>
        <w:footnoteReference w:id="1"/>
      </w:r>
      <w:bookmarkEnd w:id="2"/>
      <w:r>
        <w:rPr>
          <w:rFonts w:cstheme="minorHAnsi"/>
          <w:sz w:val="24"/>
          <w:szCs w:val="24"/>
        </w:rPr>
        <w:t>, and</w:t>
      </w:r>
    </w:p>
    <w:p w:rsidR="00221D42" w:rsidRPr="00451095" w:rsidRDefault="00221D42" w:rsidP="00221D42">
      <w:pPr>
        <w:pStyle w:val="ListParagraph"/>
        <w:numPr>
          <w:ilvl w:val="0"/>
          <w:numId w:val="15"/>
        </w:numPr>
        <w:spacing w:after="160" w:line="312" w:lineRule="auto"/>
        <w:rPr>
          <w:rFonts w:cstheme="minorHAnsi"/>
          <w:sz w:val="24"/>
          <w:szCs w:val="24"/>
        </w:rPr>
      </w:pPr>
      <w:r>
        <w:rPr>
          <w:rFonts w:cstheme="minorHAnsi"/>
          <w:sz w:val="24"/>
          <w:szCs w:val="24"/>
        </w:rPr>
        <w:t>Self-objectification – how much they see themselves through others’ eyes, investing their self-worth in how their appearance is judged by others</w:t>
      </w:r>
      <w:r>
        <w:rPr>
          <w:rFonts w:cstheme="minorHAnsi"/>
          <w:sz w:val="24"/>
          <w:szCs w:val="24"/>
        </w:rPr>
        <w:fldChar w:fldCharType="begin"/>
      </w:r>
      <w:r>
        <w:rPr>
          <w:rFonts w:cstheme="minorHAnsi"/>
          <w:sz w:val="24"/>
          <w:szCs w:val="24"/>
        </w:rPr>
        <w:instrText xml:space="preserve"> NOTEREF _Ref400443873 \f \h </w:instrText>
      </w:r>
      <w:r>
        <w:rPr>
          <w:rFonts w:cstheme="minorHAnsi"/>
          <w:sz w:val="24"/>
          <w:szCs w:val="24"/>
        </w:rPr>
      </w:r>
      <w:r>
        <w:rPr>
          <w:rFonts w:cstheme="minorHAnsi"/>
          <w:sz w:val="24"/>
          <w:szCs w:val="24"/>
        </w:rPr>
        <w:fldChar w:fldCharType="separate"/>
      </w:r>
      <w:r w:rsidRPr="00451095">
        <w:rPr>
          <w:rStyle w:val="FootnoteReference"/>
        </w:rPr>
        <w:t>1</w:t>
      </w:r>
      <w:r>
        <w:rPr>
          <w:rFonts w:cstheme="minorHAnsi"/>
          <w:sz w:val="24"/>
          <w:szCs w:val="24"/>
        </w:rPr>
        <w:fldChar w:fldCharType="end"/>
      </w:r>
      <w:r w:rsidRPr="00451095">
        <w:rPr>
          <w:rFonts w:cstheme="minorHAnsi"/>
          <w:sz w:val="24"/>
          <w:szCs w:val="24"/>
        </w:rPr>
        <w:t>.</w:t>
      </w:r>
    </w:p>
    <w:p w:rsidR="00221D42" w:rsidRDefault="00221D42" w:rsidP="00221D42">
      <w:pPr>
        <w:spacing w:after="160" w:line="312" w:lineRule="auto"/>
        <w:rPr>
          <w:rFonts w:cstheme="minorHAnsi"/>
          <w:sz w:val="24"/>
          <w:szCs w:val="24"/>
        </w:rPr>
      </w:pPr>
      <w:r>
        <w:rPr>
          <w:rFonts w:cstheme="minorHAnsi"/>
          <w:sz w:val="24"/>
          <w:szCs w:val="24"/>
        </w:rPr>
        <w:t xml:space="preserve">Body image, and particularly body confidence, is an issue of enormous public concern, especially to parents and young people.  Low body confidence is </w:t>
      </w:r>
      <w:r w:rsidRPr="00F473B0">
        <w:rPr>
          <w:rFonts w:cstheme="minorHAnsi"/>
          <w:sz w:val="24"/>
          <w:szCs w:val="24"/>
        </w:rPr>
        <w:t>a contributory factor in poor mental wellbeing</w:t>
      </w:r>
      <w:r>
        <w:rPr>
          <w:rStyle w:val="FootnoteReference"/>
          <w:rFonts w:cstheme="minorHAnsi"/>
          <w:sz w:val="24"/>
          <w:szCs w:val="24"/>
        </w:rPr>
        <w:footnoteReference w:id="2"/>
      </w:r>
      <w:r w:rsidRPr="00F473B0">
        <w:rPr>
          <w:rFonts w:cstheme="minorHAnsi"/>
          <w:sz w:val="24"/>
          <w:szCs w:val="24"/>
        </w:rPr>
        <w:t>, eating disorders</w:t>
      </w:r>
      <w:r>
        <w:rPr>
          <w:rStyle w:val="FootnoteReference"/>
          <w:rFonts w:cstheme="minorHAnsi"/>
          <w:sz w:val="24"/>
          <w:szCs w:val="24"/>
        </w:rPr>
        <w:footnoteReference w:id="3"/>
      </w:r>
      <w:r w:rsidRPr="00F473B0">
        <w:rPr>
          <w:rFonts w:cstheme="minorHAnsi"/>
          <w:sz w:val="24"/>
          <w:szCs w:val="24"/>
        </w:rPr>
        <w:t>, obesity</w:t>
      </w:r>
      <w:r>
        <w:rPr>
          <w:rStyle w:val="FootnoteReference"/>
          <w:rFonts w:cstheme="minorHAnsi"/>
          <w:sz w:val="24"/>
          <w:szCs w:val="24"/>
        </w:rPr>
        <w:footnoteReference w:id="4"/>
      </w:r>
      <w:r w:rsidRPr="00F473B0">
        <w:rPr>
          <w:rFonts w:cstheme="minorHAnsi"/>
          <w:sz w:val="24"/>
          <w:szCs w:val="24"/>
        </w:rPr>
        <w:t>, low aspirations and a range of risky behaviours</w:t>
      </w:r>
      <w:r>
        <w:rPr>
          <w:rStyle w:val="FootnoteReference"/>
          <w:rFonts w:cstheme="minorHAnsi"/>
          <w:sz w:val="24"/>
          <w:szCs w:val="24"/>
        </w:rPr>
        <w:footnoteReference w:id="5"/>
      </w:r>
      <w:r w:rsidRPr="00F473B0">
        <w:rPr>
          <w:rFonts w:cstheme="minorHAnsi"/>
          <w:sz w:val="24"/>
          <w:szCs w:val="24"/>
        </w:rPr>
        <w:t>.</w:t>
      </w:r>
    </w:p>
    <w:p w:rsidR="00221D42" w:rsidRPr="002C351C" w:rsidRDefault="00221D42" w:rsidP="00AE7786">
      <w:pPr>
        <w:spacing w:before="400" w:after="160" w:line="312" w:lineRule="auto"/>
        <w:rPr>
          <w:rFonts w:cstheme="minorHAnsi"/>
          <w:b/>
          <w:sz w:val="24"/>
          <w:szCs w:val="24"/>
        </w:rPr>
      </w:pPr>
      <w:r w:rsidRPr="002C351C">
        <w:rPr>
          <w:rFonts w:cstheme="minorHAnsi"/>
          <w:sz w:val="24"/>
          <w:szCs w:val="24"/>
        </w:rPr>
        <w:t xml:space="preserve">In 2010 the Government launched its </w:t>
      </w:r>
      <w:r w:rsidRPr="002C351C">
        <w:rPr>
          <w:rFonts w:cstheme="minorHAnsi"/>
          <w:i/>
          <w:sz w:val="24"/>
          <w:szCs w:val="24"/>
        </w:rPr>
        <w:t>Body Confidence Campaign</w:t>
      </w:r>
      <w:r w:rsidRPr="002C351C">
        <w:rPr>
          <w:rFonts w:cstheme="minorHAnsi"/>
          <w:sz w:val="24"/>
          <w:szCs w:val="24"/>
        </w:rPr>
        <w:t xml:space="preserve"> </w:t>
      </w:r>
      <w:r w:rsidRPr="002C351C">
        <w:rPr>
          <w:rFonts w:cstheme="minorHAnsi"/>
          <w:sz w:val="24"/>
          <w:szCs w:val="24"/>
          <w:lang w:val="en"/>
        </w:rPr>
        <w:t xml:space="preserve">to </w:t>
      </w:r>
      <w:r>
        <w:rPr>
          <w:rFonts w:cstheme="minorHAnsi"/>
          <w:sz w:val="24"/>
          <w:szCs w:val="24"/>
          <w:lang w:val="en"/>
        </w:rPr>
        <w:t>tackle</w:t>
      </w:r>
      <w:r w:rsidRPr="002C351C">
        <w:rPr>
          <w:rFonts w:cstheme="minorHAnsi"/>
          <w:sz w:val="24"/>
          <w:szCs w:val="24"/>
          <w:lang w:val="en"/>
        </w:rPr>
        <w:t xml:space="preserve"> the causes and consequ</w:t>
      </w:r>
      <w:r>
        <w:rPr>
          <w:rFonts w:cstheme="minorHAnsi"/>
          <w:sz w:val="24"/>
          <w:szCs w:val="24"/>
          <w:lang w:val="en"/>
        </w:rPr>
        <w:t xml:space="preserve">ences of body image anxiety </w:t>
      </w:r>
      <w:r w:rsidRPr="002C351C">
        <w:rPr>
          <w:rFonts w:cstheme="minorHAnsi"/>
          <w:sz w:val="24"/>
          <w:szCs w:val="24"/>
          <w:lang w:val="en"/>
        </w:rPr>
        <w:t>by:</w:t>
      </w:r>
    </w:p>
    <w:p w:rsidR="00221D42" w:rsidRPr="00F473B0" w:rsidRDefault="00221D42" w:rsidP="00221D42">
      <w:pPr>
        <w:numPr>
          <w:ilvl w:val="0"/>
          <w:numId w:val="1"/>
        </w:numPr>
        <w:spacing w:after="160" w:line="312" w:lineRule="auto"/>
        <w:rPr>
          <w:rFonts w:cstheme="minorHAnsi"/>
          <w:sz w:val="24"/>
          <w:szCs w:val="24"/>
        </w:rPr>
      </w:pPr>
      <w:r>
        <w:rPr>
          <w:rFonts w:cstheme="minorHAnsi"/>
          <w:sz w:val="24"/>
          <w:szCs w:val="24"/>
          <w:lang w:val="en"/>
        </w:rPr>
        <w:t>Responding to public concerns and facilitating public debate to promote cultural change</w:t>
      </w:r>
    </w:p>
    <w:p w:rsidR="00221D42" w:rsidRPr="00F473B0" w:rsidRDefault="00221D42" w:rsidP="00221D42">
      <w:pPr>
        <w:numPr>
          <w:ilvl w:val="0"/>
          <w:numId w:val="1"/>
        </w:numPr>
        <w:spacing w:after="160" w:line="312" w:lineRule="auto"/>
        <w:rPr>
          <w:rFonts w:cstheme="minorHAnsi"/>
          <w:sz w:val="24"/>
          <w:szCs w:val="24"/>
        </w:rPr>
      </w:pPr>
      <w:r>
        <w:rPr>
          <w:rFonts w:cstheme="minorHAnsi"/>
          <w:sz w:val="24"/>
          <w:szCs w:val="24"/>
          <w:lang w:val="en"/>
        </w:rPr>
        <w:t>Supporting effects to promote media literacy and resilience, particularly among young people</w:t>
      </w:r>
    </w:p>
    <w:p w:rsidR="00221D42" w:rsidRPr="00F473B0" w:rsidRDefault="00221D42" w:rsidP="00221D42">
      <w:pPr>
        <w:numPr>
          <w:ilvl w:val="0"/>
          <w:numId w:val="1"/>
        </w:numPr>
        <w:spacing w:after="160" w:line="312" w:lineRule="auto"/>
        <w:rPr>
          <w:rFonts w:cstheme="minorHAnsi"/>
          <w:sz w:val="24"/>
          <w:szCs w:val="24"/>
        </w:rPr>
      </w:pPr>
      <w:r>
        <w:rPr>
          <w:rFonts w:cstheme="minorHAnsi"/>
          <w:sz w:val="24"/>
          <w:szCs w:val="24"/>
          <w:lang w:val="en"/>
        </w:rPr>
        <w:t>Developing constructive relationships with industry and other stakeholders to encourage positive action and good practice.</w:t>
      </w:r>
    </w:p>
    <w:p w:rsidR="00221D42" w:rsidRDefault="00221D42" w:rsidP="00AE7786">
      <w:pPr>
        <w:spacing w:after="160" w:line="312" w:lineRule="auto"/>
        <w:rPr>
          <w:rFonts w:cstheme="minorHAnsi"/>
          <w:sz w:val="24"/>
          <w:szCs w:val="24"/>
          <w:lang w:val="en"/>
        </w:rPr>
      </w:pPr>
      <w:r w:rsidRPr="002C351C">
        <w:rPr>
          <w:rFonts w:cstheme="minorHAnsi"/>
          <w:sz w:val="24"/>
          <w:szCs w:val="24"/>
          <w:lang w:val="en"/>
        </w:rPr>
        <w:t xml:space="preserve">To better understand public perceptions of body confidence and body image, the Government Equalities Office </w:t>
      </w:r>
      <w:r>
        <w:rPr>
          <w:rFonts w:cstheme="minorHAnsi"/>
          <w:sz w:val="24"/>
          <w:szCs w:val="24"/>
          <w:lang w:val="en"/>
        </w:rPr>
        <w:t>commissioned</w:t>
      </w:r>
      <w:r w:rsidRPr="002C351C">
        <w:rPr>
          <w:rFonts w:cstheme="minorHAnsi"/>
          <w:sz w:val="24"/>
          <w:szCs w:val="24"/>
          <w:lang w:val="en"/>
        </w:rPr>
        <w:t xml:space="preserve"> questions </w:t>
      </w:r>
      <w:r w:rsidRPr="002C351C">
        <w:rPr>
          <w:rFonts w:cstheme="minorHAnsi"/>
          <w:sz w:val="24"/>
          <w:szCs w:val="24"/>
        </w:rPr>
        <w:t>in the 2013 British Social Attitudes Survey</w:t>
      </w:r>
      <w:r w:rsidR="00AE7786">
        <w:rPr>
          <w:rFonts w:cstheme="minorHAnsi"/>
          <w:sz w:val="24"/>
          <w:szCs w:val="24"/>
          <w:lang w:val="en"/>
        </w:rPr>
        <w:t>.</w:t>
      </w:r>
    </w:p>
    <w:p w:rsidR="00221D42" w:rsidRPr="00AE7786" w:rsidRDefault="00AE7786" w:rsidP="00AE7786">
      <w:pPr>
        <w:pStyle w:val="Heading1"/>
      </w:pPr>
      <w:bookmarkStart w:id="3" w:name="_Toc400701812"/>
      <w:bookmarkStart w:id="4" w:name="_Toc390681005"/>
      <w:r>
        <w:lastRenderedPageBreak/>
        <w:t>Key findings</w:t>
      </w:r>
      <w:bookmarkEnd w:id="3"/>
    </w:p>
    <w:bookmarkEnd w:id="4"/>
    <w:p w:rsidR="00221D42" w:rsidRDefault="00221D42" w:rsidP="00221D42">
      <w:pPr>
        <w:pStyle w:val="ListParagraph"/>
        <w:numPr>
          <w:ilvl w:val="0"/>
          <w:numId w:val="2"/>
        </w:numPr>
        <w:spacing w:after="160" w:line="312" w:lineRule="auto"/>
        <w:ind w:left="357" w:hanging="357"/>
        <w:contextualSpacing w:val="0"/>
        <w:rPr>
          <w:rFonts w:cstheme="minorHAnsi"/>
          <w:sz w:val="24"/>
          <w:szCs w:val="24"/>
        </w:rPr>
      </w:pPr>
      <w:r w:rsidRPr="00F12AA1">
        <w:rPr>
          <w:rFonts w:cstheme="minorHAnsi"/>
          <w:sz w:val="24"/>
          <w:szCs w:val="24"/>
        </w:rPr>
        <w:t xml:space="preserve">A significant minority of the population is dissatisfied with their appearance; women </w:t>
      </w:r>
      <w:r w:rsidR="00A358ED">
        <w:rPr>
          <w:rFonts w:cstheme="minorHAnsi"/>
          <w:sz w:val="24"/>
          <w:szCs w:val="24"/>
        </w:rPr>
        <w:t xml:space="preserve">have lower satisfaction rates than men </w:t>
      </w:r>
      <w:r w:rsidRPr="00F12AA1">
        <w:rPr>
          <w:rFonts w:cstheme="minorHAnsi"/>
          <w:sz w:val="24"/>
          <w:szCs w:val="24"/>
        </w:rPr>
        <w:t xml:space="preserve">(63% of women are satisfied with their </w:t>
      </w:r>
      <w:proofErr w:type="gramStart"/>
      <w:r w:rsidRPr="00F12AA1">
        <w:rPr>
          <w:rFonts w:cstheme="minorHAnsi"/>
          <w:sz w:val="24"/>
          <w:szCs w:val="24"/>
        </w:rPr>
        <w:t>appearance</w:t>
      </w:r>
      <w:proofErr w:type="gramEnd"/>
      <w:r w:rsidRPr="00F12AA1">
        <w:rPr>
          <w:rFonts w:cstheme="minorHAnsi"/>
          <w:sz w:val="24"/>
          <w:szCs w:val="24"/>
        </w:rPr>
        <w:t xml:space="preserve"> compared with three-quarter</w:t>
      </w:r>
      <w:r>
        <w:rPr>
          <w:rFonts w:cstheme="minorHAnsi"/>
          <w:sz w:val="24"/>
          <w:szCs w:val="24"/>
        </w:rPr>
        <w:t>s</w:t>
      </w:r>
      <w:r w:rsidRPr="00F12AA1">
        <w:rPr>
          <w:rFonts w:cstheme="minorHAnsi"/>
          <w:sz w:val="24"/>
          <w:szCs w:val="24"/>
        </w:rPr>
        <w:t xml:space="preserve"> – 74% - of men).</w:t>
      </w:r>
    </w:p>
    <w:p w:rsidR="00221D42" w:rsidRDefault="00221D42" w:rsidP="00221D42">
      <w:pPr>
        <w:pStyle w:val="ListParagraph"/>
        <w:numPr>
          <w:ilvl w:val="0"/>
          <w:numId w:val="2"/>
        </w:numPr>
        <w:spacing w:after="160" w:line="312" w:lineRule="auto"/>
        <w:ind w:left="357" w:hanging="357"/>
        <w:contextualSpacing w:val="0"/>
        <w:rPr>
          <w:rFonts w:cstheme="minorHAnsi"/>
          <w:sz w:val="24"/>
          <w:szCs w:val="24"/>
        </w:rPr>
      </w:pPr>
      <w:r>
        <w:rPr>
          <w:rFonts w:cstheme="minorHAnsi"/>
          <w:sz w:val="24"/>
          <w:szCs w:val="24"/>
        </w:rPr>
        <w:t>Women’s body satisfaction does not improve as they move toward and into midlife (63% of women aged 18-34 satisfied with their appearance, compared to 57% of women aged 35-49).  Body satisfaction peaks in the years 50-64 (at 71%)</w:t>
      </w:r>
      <w:r w:rsidR="00A358ED">
        <w:rPr>
          <w:rFonts w:cstheme="minorHAnsi"/>
          <w:sz w:val="24"/>
          <w:szCs w:val="24"/>
        </w:rPr>
        <w:t>.  In those aged over 65, 63% are satisfied with their appearance – almost the same as those aged 18-34</w:t>
      </w:r>
      <w:r>
        <w:rPr>
          <w:rFonts w:cstheme="minorHAnsi"/>
          <w:sz w:val="24"/>
          <w:szCs w:val="24"/>
        </w:rPr>
        <w:t>.</w:t>
      </w:r>
    </w:p>
    <w:p w:rsidR="00221D42" w:rsidRPr="00F12AA1" w:rsidRDefault="00221D42" w:rsidP="00221D42">
      <w:pPr>
        <w:pStyle w:val="ListParagraph"/>
        <w:numPr>
          <w:ilvl w:val="0"/>
          <w:numId w:val="2"/>
        </w:numPr>
        <w:spacing w:after="160" w:line="312" w:lineRule="auto"/>
        <w:ind w:left="357" w:hanging="357"/>
        <w:contextualSpacing w:val="0"/>
        <w:rPr>
          <w:rFonts w:cstheme="minorHAnsi"/>
          <w:sz w:val="24"/>
          <w:szCs w:val="24"/>
        </w:rPr>
      </w:pPr>
      <w:r w:rsidRPr="00F12AA1">
        <w:rPr>
          <w:rFonts w:cstheme="minorHAnsi"/>
          <w:sz w:val="24"/>
          <w:szCs w:val="24"/>
        </w:rPr>
        <w:t>Three-quarters (77%) of adults think that society puts too much pressure on females to have a sexualised appearance, half of all adults (47%) think that ‘how you look affects what you can achieve in life’, and one-third (32%) agree with the statement ‘your value as a person depends on how you look’.  Opinions did not vary significantly between men and women but were shown to be more of a concern amongst certain age groups.</w:t>
      </w:r>
    </w:p>
    <w:p w:rsidR="00E5396A" w:rsidRDefault="00E5396A">
      <w:pPr>
        <w:rPr>
          <w:rFonts w:eastAsiaTheme="majorEastAsia" w:cstheme="minorHAnsi"/>
          <w:b/>
          <w:bCs/>
          <w:color w:val="365F91" w:themeColor="accent1" w:themeShade="BF"/>
          <w:sz w:val="32"/>
          <w:szCs w:val="28"/>
        </w:rPr>
      </w:pPr>
      <w:r>
        <w:br w:type="page"/>
      </w:r>
    </w:p>
    <w:p w:rsidR="00221D42" w:rsidRPr="00AE7786" w:rsidRDefault="00221D42" w:rsidP="00AE7786">
      <w:pPr>
        <w:pStyle w:val="Heading1"/>
      </w:pPr>
      <w:bookmarkStart w:id="5" w:name="_Toc400701813"/>
      <w:r w:rsidRPr="00AE7786">
        <w:lastRenderedPageBreak/>
        <w:t>Research findings</w:t>
      </w:r>
      <w:bookmarkEnd w:id="5"/>
    </w:p>
    <w:p w:rsidR="00221D42" w:rsidRPr="00E5396A" w:rsidRDefault="00221D42" w:rsidP="00E5396A">
      <w:pPr>
        <w:pStyle w:val="Heading2"/>
        <w:spacing w:after="240"/>
        <w:rPr>
          <w:rFonts w:asciiTheme="minorHAnsi" w:hAnsiTheme="minorHAnsi" w:cstheme="minorHAnsi"/>
          <w:b w:val="0"/>
          <w:i/>
          <w:color w:val="0F243E" w:themeColor="text2" w:themeShade="80"/>
          <w:sz w:val="24"/>
          <w:szCs w:val="24"/>
        </w:rPr>
      </w:pPr>
      <w:bookmarkStart w:id="6" w:name="_Toc400701814"/>
      <w:r w:rsidRPr="00E5396A">
        <w:rPr>
          <w:rFonts w:asciiTheme="minorHAnsi" w:hAnsiTheme="minorHAnsi" w:cstheme="minorHAnsi"/>
          <w:b w:val="0"/>
          <w:i/>
          <w:color w:val="0F243E" w:themeColor="text2" w:themeShade="80"/>
          <w:sz w:val="24"/>
          <w:szCs w:val="24"/>
        </w:rPr>
        <w:t>Satisfaction with own appearance</w:t>
      </w:r>
      <w:bookmarkEnd w:id="6"/>
    </w:p>
    <w:p w:rsidR="00221D42" w:rsidRPr="002C351C" w:rsidRDefault="00221D42" w:rsidP="00221D42">
      <w:pPr>
        <w:spacing w:after="160" w:line="312" w:lineRule="auto"/>
        <w:rPr>
          <w:rFonts w:cstheme="minorHAnsi"/>
          <w:sz w:val="24"/>
          <w:szCs w:val="24"/>
        </w:rPr>
      </w:pPr>
      <w:r w:rsidRPr="002C351C">
        <w:rPr>
          <w:rFonts w:cstheme="minorHAnsi"/>
          <w:sz w:val="24"/>
          <w:szCs w:val="24"/>
        </w:rPr>
        <w:t xml:space="preserve">Around three-quarters (74%) of men are satisfied with their own appearance. This is significantly higher than </w:t>
      </w:r>
      <w:r>
        <w:rPr>
          <w:rFonts w:cstheme="minorHAnsi"/>
          <w:sz w:val="24"/>
          <w:szCs w:val="24"/>
        </w:rPr>
        <w:t xml:space="preserve">rates reported by women </w:t>
      </w:r>
      <w:r w:rsidRPr="002C351C">
        <w:rPr>
          <w:rFonts w:cstheme="minorHAnsi"/>
          <w:sz w:val="24"/>
          <w:szCs w:val="24"/>
        </w:rPr>
        <w:t xml:space="preserve">(63%). </w:t>
      </w:r>
      <w:r>
        <w:rPr>
          <w:rFonts w:cstheme="minorHAnsi"/>
          <w:sz w:val="24"/>
          <w:szCs w:val="24"/>
        </w:rPr>
        <w:t xml:space="preserve"> </w:t>
      </w:r>
      <w:r w:rsidRPr="002C351C">
        <w:rPr>
          <w:rFonts w:cstheme="minorHAnsi"/>
          <w:sz w:val="24"/>
          <w:szCs w:val="24"/>
        </w:rPr>
        <w:t xml:space="preserve">Similarly, one in twenty (5%) men report being dissatisfied with their appearance compared with around one in ten (11%) women. </w:t>
      </w:r>
      <w:r>
        <w:rPr>
          <w:rFonts w:cstheme="minorHAnsi"/>
          <w:sz w:val="24"/>
          <w:szCs w:val="24"/>
        </w:rPr>
        <w:t xml:space="preserve"> </w:t>
      </w:r>
      <w:r w:rsidRPr="002C351C">
        <w:rPr>
          <w:rFonts w:cstheme="minorHAnsi"/>
          <w:sz w:val="24"/>
          <w:szCs w:val="24"/>
        </w:rPr>
        <w:t>Again, this difference is statistically significant.</w:t>
      </w:r>
      <w:r>
        <w:rPr>
          <w:rFonts w:cstheme="minorHAnsi"/>
          <w:sz w:val="24"/>
          <w:szCs w:val="24"/>
        </w:rPr>
        <w:t xml:space="preserve">  </w:t>
      </w:r>
    </w:p>
    <w:p w:rsidR="00221D42" w:rsidRDefault="00221D42" w:rsidP="00221D42">
      <w:pPr>
        <w:spacing w:after="160" w:line="312" w:lineRule="auto"/>
        <w:rPr>
          <w:rFonts w:cstheme="minorHAnsi"/>
          <w:sz w:val="24"/>
          <w:szCs w:val="24"/>
        </w:rPr>
      </w:pPr>
      <w:r>
        <w:rPr>
          <w:rFonts w:cstheme="minorHAnsi"/>
          <w:sz w:val="24"/>
          <w:szCs w:val="24"/>
        </w:rPr>
        <w:t xml:space="preserve">However, this gender difference in satisfaction with appearance varies by age.  There were no statistically significant differences in reported levels of satisfaction with appearance between men and women in either the </w:t>
      </w:r>
      <w:r w:rsidRPr="002C351C">
        <w:rPr>
          <w:rFonts w:cstheme="minorHAnsi"/>
          <w:sz w:val="24"/>
          <w:szCs w:val="24"/>
        </w:rPr>
        <w:t>18-34</w:t>
      </w:r>
      <w:r>
        <w:rPr>
          <w:rFonts w:cstheme="minorHAnsi"/>
          <w:sz w:val="24"/>
          <w:szCs w:val="24"/>
        </w:rPr>
        <w:t xml:space="preserve"> </w:t>
      </w:r>
      <w:proofErr w:type="gramStart"/>
      <w:r>
        <w:rPr>
          <w:rFonts w:cstheme="minorHAnsi"/>
          <w:sz w:val="24"/>
          <w:szCs w:val="24"/>
        </w:rPr>
        <w:t>cohort</w:t>
      </w:r>
      <w:proofErr w:type="gramEnd"/>
      <w:r>
        <w:rPr>
          <w:rFonts w:cstheme="minorHAnsi"/>
          <w:sz w:val="24"/>
          <w:szCs w:val="24"/>
        </w:rPr>
        <w:t xml:space="preserve"> (71% and 63%) or the 50-64 cohort (79% and 71%).  However, women in the 35-49 cohort reported significantly lower levels of satisfaction with their appearance than their male counterparts (57% and 71%) as did those in the 65+ cohort (64% and 75%). </w:t>
      </w:r>
    </w:p>
    <w:p w:rsidR="00221D42" w:rsidRDefault="00221D42" w:rsidP="00221D42">
      <w:pPr>
        <w:spacing w:after="160" w:line="312" w:lineRule="auto"/>
        <w:rPr>
          <w:rFonts w:cstheme="minorHAnsi"/>
          <w:i/>
          <w:sz w:val="24"/>
          <w:szCs w:val="24"/>
        </w:rPr>
      </w:pPr>
      <w:r>
        <w:rPr>
          <w:rFonts w:cstheme="minorHAnsi"/>
          <w:sz w:val="24"/>
          <w:szCs w:val="24"/>
        </w:rPr>
        <w:t xml:space="preserve">Satisfaction is relatively stable across all age groups of men.  However, women in the </w:t>
      </w:r>
      <w:r w:rsidRPr="002C351C">
        <w:rPr>
          <w:rFonts w:cstheme="minorHAnsi"/>
          <w:sz w:val="24"/>
          <w:szCs w:val="24"/>
        </w:rPr>
        <w:t xml:space="preserve">35-49 cohort report significantly lower levels of satisfaction (57%) </w:t>
      </w:r>
      <w:r>
        <w:rPr>
          <w:rFonts w:cstheme="minorHAnsi"/>
          <w:sz w:val="24"/>
          <w:szCs w:val="24"/>
        </w:rPr>
        <w:t>compared to those aged 50-64 (71%)</w:t>
      </w:r>
      <w:r w:rsidR="00E5396A">
        <w:rPr>
          <w:rFonts w:cstheme="minorHAnsi"/>
          <w:sz w:val="24"/>
          <w:szCs w:val="24"/>
        </w:rPr>
        <w:t>.</w:t>
      </w:r>
    </w:p>
    <w:p w:rsidR="00452967" w:rsidRPr="00452967" w:rsidRDefault="00452967" w:rsidP="00452967">
      <w:pPr>
        <w:pStyle w:val="Caption"/>
        <w:keepNext/>
        <w:rPr>
          <w:i/>
          <w:color w:val="auto"/>
          <w:sz w:val="22"/>
        </w:rPr>
      </w:pPr>
      <w:r w:rsidRPr="00452967">
        <w:rPr>
          <w:i/>
          <w:color w:val="auto"/>
          <w:sz w:val="22"/>
        </w:rPr>
        <w:t xml:space="preserve">Figure </w:t>
      </w:r>
      <w:r w:rsidRPr="00452967">
        <w:rPr>
          <w:i/>
          <w:color w:val="auto"/>
          <w:sz w:val="22"/>
        </w:rPr>
        <w:fldChar w:fldCharType="begin"/>
      </w:r>
      <w:r w:rsidRPr="00452967">
        <w:rPr>
          <w:i/>
          <w:color w:val="auto"/>
          <w:sz w:val="22"/>
        </w:rPr>
        <w:instrText xml:space="preserve"> SEQ Figure \* ARABIC </w:instrText>
      </w:r>
      <w:r w:rsidRPr="00452967">
        <w:rPr>
          <w:i/>
          <w:color w:val="auto"/>
          <w:sz w:val="22"/>
        </w:rPr>
        <w:fldChar w:fldCharType="separate"/>
      </w:r>
      <w:r w:rsidRPr="00452967">
        <w:rPr>
          <w:i/>
          <w:noProof/>
          <w:color w:val="auto"/>
          <w:sz w:val="22"/>
        </w:rPr>
        <w:t>1</w:t>
      </w:r>
      <w:r w:rsidRPr="00452967">
        <w:rPr>
          <w:i/>
          <w:color w:val="auto"/>
          <w:sz w:val="22"/>
        </w:rPr>
        <w:fldChar w:fldCharType="end"/>
      </w:r>
      <w:r w:rsidRPr="00452967">
        <w:rPr>
          <w:i/>
          <w:color w:val="auto"/>
          <w:sz w:val="22"/>
        </w:rPr>
        <w:t xml:space="preserve"> - Proportion of people who are satisfied with their own appearance, by age and gender</w:t>
      </w:r>
    </w:p>
    <w:p w:rsidR="00221D42" w:rsidRDefault="00221D42" w:rsidP="00221D42">
      <w:pPr>
        <w:spacing w:after="160" w:line="312" w:lineRule="auto"/>
        <w:rPr>
          <w:rFonts w:cstheme="minorHAnsi"/>
          <w:i/>
          <w:sz w:val="24"/>
          <w:szCs w:val="24"/>
        </w:rPr>
      </w:pPr>
      <w:r>
        <w:rPr>
          <w:noProof/>
          <w:lang w:eastAsia="en-GB"/>
        </w:rPr>
        <w:drawing>
          <wp:inline distT="0" distB="0" distL="0" distR="0" wp14:anchorId="42D93FA7" wp14:editId="236BCE86">
            <wp:extent cx="5731510" cy="2388742"/>
            <wp:effectExtent l="0" t="0" r="2540" b="0"/>
            <wp:docPr id="5" name="Chart 5" title="Proportion of people who are satisfied with their own appearance, by age and gende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21D42" w:rsidRPr="00E5396A" w:rsidRDefault="00221D42" w:rsidP="00E5396A">
      <w:pPr>
        <w:pStyle w:val="Heading2"/>
        <w:spacing w:after="240"/>
        <w:rPr>
          <w:rFonts w:asciiTheme="minorHAnsi" w:hAnsiTheme="minorHAnsi" w:cstheme="minorHAnsi"/>
          <w:b w:val="0"/>
          <w:i/>
          <w:color w:val="0F243E" w:themeColor="text2" w:themeShade="80"/>
          <w:sz w:val="24"/>
          <w:szCs w:val="24"/>
        </w:rPr>
      </w:pPr>
      <w:bookmarkStart w:id="7" w:name="_Toc400701815"/>
      <w:r w:rsidRPr="00E5396A">
        <w:rPr>
          <w:rFonts w:asciiTheme="minorHAnsi" w:hAnsiTheme="minorHAnsi" w:cstheme="minorHAnsi"/>
          <w:b w:val="0"/>
          <w:i/>
          <w:color w:val="0F243E" w:themeColor="text2" w:themeShade="80"/>
          <w:sz w:val="24"/>
          <w:szCs w:val="24"/>
        </w:rPr>
        <w:t>Perceived importance of appearance</w:t>
      </w:r>
      <w:bookmarkEnd w:id="7"/>
      <w:r w:rsidRPr="00E5396A">
        <w:rPr>
          <w:rFonts w:asciiTheme="minorHAnsi" w:hAnsiTheme="minorHAnsi" w:cstheme="minorHAnsi"/>
          <w:b w:val="0"/>
          <w:i/>
          <w:color w:val="0F243E" w:themeColor="text2" w:themeShade="80"/>
          <w:sz w:val="24"/>
          <w:szCs w:val="24"/>
        </w:rPr>
        <w:t xml:space="preserve"> </w:t>
      </w:r>
    </w:p>
    <w:p w:rsidR="00221D42" w:rsidRPr="002C351C" w:rsidRDefault="00221D42" w:rsidP="00221D42">
      <w:pPr>
        <w:spacing w:after="160" w:line="312" w:lineRule="auto"/>
        <w:rPr>
          <w:rFonts w:cstheme="minorHAnsi"/>
          <w:sz w:val="24"/>
          <w:szCs w:val="24"/>
        </w:rPr>
      </w:pPr>
      <w:r w:rsidRPr="002C351C">
        <w:rPr>
          <w:rFonts w:cstheme="minorHAnsi"/>
          <w:sz w:val="24"/>
          <w:szCs w:val="24"/>
        </w:rPr>
        <w:t xml:space="preserve">Three-quarters (77%) of all adults think that society puts too much pressure on females to have a sexualised appearance. </w:t>
      </w:r>
      <w:r>
        <w:rPr>
          <w:rFonts w:cstheme="minorHAnsi"/>
          <w:sz w:val="24"/>
          <w:szCs w:val="24"/>
        </w:rPr>
        <w:t xml:space="preserve"> </w:t>
      </w:r>
      <w:r w:rsidRPr="002C351C">
        <w:rPr>
          <w:rFonts w:cstheme="minorHAnsi"/>
          <w:sz w:val="24"/>
          <w:szCs w:val="24"/>
        </w:rPr>
        <w:t xml:space="preserve">Half (47%) of adults agree with the statement ‘how you look affects what you can achieve in life and one-third (32%) agree with the statement ‘your value as a person depends on how you look’. </w:t>
      </w:r>
      <w:r>
        <w:rPr>
          <w:rFonts w:cstheme="minorHAnsi"/>
          <w:sz w:val="24"/>
          <w:szCs w:val="24"/>
        </w:rPr>
        <w:t xml:space="preserve"> </w:t>
      </w:r>
      <w:r w:rsidRPr="002C351C">
        <w:rPr>
          <w:rFonts w:cstheme="minorHAnsi"/>
          <w:sz w:val="24"/>
          <w:szCs w:val="24"/>
        </w:rPr>
        <w:t xml:space="preserve">Opinions did not vary </w:t>
      </w:r>
      <w:r>
        <w:rPr>
          <w:rFonts w:cstheme="minorHAnsi"/>
          <w:sz w:val="24"/>
          <w:szCs w:val="24"/>
        </w:rPr>
        <w:t xml:space="preserve">significantly </w:t>
      </w:r>
      <w:r w:rsidRPr="002C351C">
        <w:rPr>
          <w:rFonts w:cstheme="minorHAnsi"/>
          <w:sz w:val="24"/>
          <w:szCs w:val="24"/>
        </w:rPr>
        <w:t>between men and women</w:t>
      </w:r>
      <w:r>
        <w:rPr>
          <w:rFonts w:cstheme="minorHAnsi"/>
          <w:sz w:val="24"/>
          <w:szCs w:val="24"/>
        </w:rPr>
        <w:t xml:space="preserve">. </w:t>
      </w:r>
      <w:r w:rsidRPr="002C351C">
        <w:rPr>
          <w:rFonts w:cstheme="minorHAnsi"/>
          <w:sz w:val="24"/>
          <w:szCs w:val="24"/>
        </w:rPr>
        <w:t xml:space="preserve"> </w:t>
      </w:r>
    </w:p>
    <w:p w:rsidR="00221D42" w:rsidRDefault="00221D42" w:rsidP="00221D42">
      <w:pPr>
        <w:spacing w:after="160" w:line="312" w:lineRule="auto"/>
        <w:rPr>
          <w:rFonts w:cstheme="minorHAnsi"/>
          <w:sz w:val="24"/>
          <w:szCs w:val="24"/>
        </w:rPr>
      </w:pPr>
      <w:r>
        <w:rPr>
          <w:rFonts w:cstheme="minorHAnsi"/>
          <w:sz w:val="24"/>
          <w:szCs w:val="24"/>
        </w:rPr>
        <w:lastRenderedPageBreak/>
        <w:t>Those in the oldest cohort were significantly less likely (70%) than those in both the 18-34 and 50-65 cohorts (79% and 80%) to agree with the statement</w:t>
      </w:r>
      <w:r w:rsidRPr="002C351C">
        <w:rPr>
          <w:rFonts w:cstheme="minorHAnsi"/>
          <w:sz w:val="24"/>
          <w:szCs w:val="24"/>
        </w:rPr>
        <w:t xml:space="preserve"> ‘society puts too much pressure on females to have a sexualised appearance’</w:t>
      </w:r>
      <w:r>
        <w:rPr>
          <w:rFonts w:cstheme="minorHAnsi"/>
          <w:sz w:val="24"/>
          <w:szCs w:val="24"/>
        </w:rPr>
        <w:t xml:space="preserve">. Those in the oldest cohort were significantly more likely to agree with the statement that </w:t>
      </w:r>
      <w:r w:rsidRPr="002C351C">
        <w:rPr>
          <w:rFonts w:cstheme="minorHAnsi"/>
          <w:sz w:val="24"/>
          <w:szCs w:val="24"/>
        </w:rPr>
        <w:t>‘how you look affects what you can achieve in life’</w:t>
      </w:r>
      <w:r>
        <w:rPr>
          <w:rFonts w:cstheme="minorHAnsi"/>
          <w:sz w:val="24"/>
          <w:szCs w:val="24"/>
        </w:rPr>
        <w:t xml:space="preserve"> than those aged 35-49 (53% and 43%). </w:t>
      </w:r>
    </w:p>
    <w:p w:rsidR="00221D42" w:rsidRDefault="00221D42" w:rsidP="00221D42">
      <w:pPr>
        <w:spacing w:after="160" w:line="312" w:lineRule="auto"/>
        <w:rPr>
          <w:rFonts w:cstheme="minorHAnsi"/>
          <w:sz w:val="24"/>
          <w:szCs w:val="24"/>
        </w:rPr>
      </w:pPr>
      <w:proofErr w:type="gramStart"/>
      <w:r>
        <w:rPr>
          <w:rFonts w:cstheme="minorHAnsi"/>
          <w:sz w:val="24"/>
          <w:szCs w:val="24"/>
        </w:rPr>
        <w:t xml:space="preserve">Around one-third (32%) of those in the youngest cohort agreed with the statement </w:t>
      </w:r>
      <w:r w:rsidRPr="002C351C">
        <w:rPr>
          <w:rFonts w:cstheme="minorHAnsi"/>
          <w:sz w:val="24"/>
          <w:szCs w:val="24"/>
        </w:rPr>
        <w:t>‘your value as a person depends on how you look’</w:t>
      </w:r>
      <w:r>
        <w:rPr>
          <w:rFonts w:cstheme="minorHAnsi"/>
          <w:sz w:val="24"/>
          <w:szCs w:val="24"/>
        </w:rPr>
        <w:t>.</w:t>
      </w:r>
      <w:proofErr w:type="gramEnd"/>
      <w:r>
        <w:rPr>
          <w:rFonts w:cstheme="minorHAnsi"/>
          <w:sz w:val="24"/>
          <w:szCs w:val="24"/>
        </w:rPr>
        <w:t xml:space="preserve"> This was significantly higher than those in 35-49 </w:t>
      </w:r>
      <w:proofErr w:type="gramStart"/>
      <w:r>
        <w:rPr>
          <w:rFonts w:cstheme="minorHAnsi"/>
          <w:sz w:val="24"/>
          <w:szCs w:val="24"/>
        </w:rPr>
        <w:t>cohort</w:t>
      </w:r>
      <w:proofErr w:type="gramEnd"/>
      <w:r>
        <w:rPr>
          <w:rFonts w:cstheme="minorHAnsi"/>
          <w:sz w:val="24"/>
          <w:szCs w:val="24"/>
        </w:rPr>
        <w:t xml:space="preserve"> (23%). Those in the oldest cohort were also significantly more likely to agree with this statement (43%) than both those in the 35-49 cohort and </w:t>
      </w:r>
      <w:r w:rsidR="00A358ED">
        <w:rPr>
          <w:rFonts w:cstheme="minorHAnsi"/>
          <w:sz w:val="24"/>
          <w:szCs w:val="24"/>
        </w:rPr>
        <w:t xml:space="preserve">the </w:t>
      </w:r>
      <w:r w:rsidR="00E5396A">
        <w:rPr>
          <w:rFonts w:cstheme="minorHAnsi"/>
          <w:sz w:val="24"/>
          <w:szCs w:val="24"/>
        </w:rPr>
        <w:t>50-64 cohort (23% and 31%).</w:t>
      </w:r>
    </w:p>
    <w:p w:rsidR="00452967" w:rsidRPr="00452967" w:rsidRDefault="00452967" w:rsidP="00452967">
      <w:pPr>
        <w:pStyle w:val="Caption"/>
        <w:keepNext/>
        <w:rPr>
          <w:i/>
          <w:color w:val="auto"/>
          <w:sz w:val="22"/>
        </w:rPr>
      </w:pPr>
      <w:bookmarkStart w:id="8" w:name="_Toc390681006"/>
      <w:r w:rsidRPr="00452967">
        <w:rPr>
          <w:i/>
          <w:color w:val="auto"/>
          <w:sz w:val="22"/>
        </w:rPr>
        <w:t xml:space="preserve">Figure </w:t>
      </w:r>
      <w:r w:rsidRPr="00452967">
        <w:rPr>
          <w:i/>
          <w:color w:val="auto"/>
          <w:sz w:val="22"/>
        </w:rPr>
        <w:fldChar w:fldCharType="begin"/>
      </w:r>
      <w:r w:rsidRPr="00452967">
        <w:rPr>
          <w:i/>
          <w:color w:val="auto"/>
          <w:sz w:val="22"/>
        </w:rPr>
        <w:instrText xml:space="preserve"> SEQ Figure \* ARABIC </w:instrText>
      </w:r>
      <w:r w:rsidRPr="00452967">
        <w:rPr>
          <w:i/>
          <w:color w:val="auto"/>
          <w:sz w:val="22"/>
        </w:rPr>
        <w:fldChar w:fldCharType="separate"/>
      </w:r>
      <w:r w:rsidRPr="00452967">
        <w:rPr>
          <w:i/>
          <w:color w:val="auto"/>
          <w:sz w:val="22"/>
        </w:rPr>
        <w:t>2</w:t>
      </w:r>
      <w:r w:rsidRPr="00452967">
        <w:rPr>
          <w:i/>
          <w:color w:val="auto"/>
          <w:sz w:val="22"/>
        </w:rPr>
        <w:fldChar w:fldCharType="end"/>
      </w:r>
      <w:r w:rsidRPr="00452967">
        <w:rPr>
          <w:i/>
          <w:color w:val="auto"/>
          <w:sz w:val="22"/>
        </w:rPr>
        <w:t xml:space="preserve"> - Proportion of people who agree with different attitudinal statements</w:t>
      </w:r>
    </w:p>
    <w:p w:rsidR="00221D42" w:rsidRDefault="00221D42" w:rsidP="00221D42">
      <w:pPr>
        <w:spacing w:after="160" w:line="312" w:lineRule="auto"/>
        <w:rPr>
          <w:rFonts w:cstheme="minorHAnsi"/>
          <w:b/>
          <w:sz w:val="28"/>
          <w:szCs w:val="28"/>
        </w:rPr>
      </w:pPr>
      <w:r>
        <w:rPr>
          <w:noProof/>
          <w:lang w:eastAsia="en-GB"/>
        </w:rPr>
        <w:drawing>
          <wp:inline distT="0" distB="0" distL="0" distR="0" wp14:anchorId="45DE1667" wp14:editId="740E4AA0">
            <wp:extent cx="5731510" cy="3268600"/>
            <wp:effectExtent l="0" t="0" r="2540" b="8255"/>
            <wp:docPr id="6" name="Chart 6" title="Proportion of people who agree with different attitudinal statements"/>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5396A" w:rsidRDefault="00E5396A">
      <w:pPr>
        <w:rPr>
          <w:rFonts w:eastAsiaTheme="majorEastAsia" w:cstheme="minorHAnsi"/>
          <w:b/>
          <w:bCs/>
          <w:color w:val="365F91" w:themeColor="accent1" w:themeShade="BF"/>
          <w:sz w:val="32"/>
          <w:szCs w:val="28"/>
        </w:rPr>
      </w:pPr>
      <w:r>
        <w:br w:type="page"/>
      </w:r>
    </w:p>
    <w:p w:rsidR="00221D42" w:rsidRPr="00AE7786" w:rsidRDefault="00221D42" w:rsidP="00AE7786">
      <w:pPr>
        <w:pStyle w:val="Heading1"/>
      </w:pPr>
      <w:bookmarkStart w:id="9" w:name="_Toc400701816"/>
      <w:r w:rsidRPr="00AE7786">
        <w:lastRenderedPageBreak/>
        <w:t>Discussion</w:t>
      </w:r>
      <w:bookmarkEnd w:id="8"/>
      <w:bookmarkEnd w:id="9"/>
    </w:p>
    <w:p w:rsidR="00221D42" w:rsidRDefault="00A358ED" w:rsidP="00221D42">
      <w:pPr>
        <w:spacing w:after="160" w:line="312" w:lineRule="auto"/>
        <w:rPr>
          <w:rFonts w:cs="Arial"/>
          <w:sz w:val="24"/>
          <w:szCs w:val="24"/>
        </w:rPr>
      </w:pPr>
      <w:r>
        <w:rPr>
          <w:rFonts w:cs="Arial"/>
          <w:sz w:val="24"/>
          <w:szCs w:val="24"/>
        </w:rPr>
        <w:t>These findings affirm those of</w:t>
      </w:r>
      <w:r w:rsidR="00221D42" w:rsidRPr="00EB12F1">
        <w:rPr>
          <w:rFonts w:cs="Arial"/>
          <w:sz w:val="24"/>
          <w:szCs w:val="24"/>
        </w:rPr>
        <w:t xml:space="preserve"> other studies that have demonstrated that a large minority of the population is dissatisfied with their personal appearance</w:t>
      </w:r>
      <w:r w:rsidR="00221D42">
        <w:rPr>
          <w:rFonts w:cs="Arial"/>
          <w:sz w:val="24"/>
          <w:szCs w:val="24"/>
        </w:rPr>
        <w:t xml:space="preserve"> (for example, that half of adults feel ashamed of the way they look</w:t>
      </w:r>
      <w:r w:rsidR="00221D42">
        <w:rPr>
          <w:rStyle w:val="FootnoteReference"/>
          <w:rFonts w:cs="Arial"/>
          <w:sz w:val="24"/>
          <w:szCs w:val="24"/>
        </w:rPr>
        <w:footnoteReference w:id="6"/>
      </w:r>
      <w:r w:rsidR="00221D42" w:rsidRPr="00EB12F1">
        <w:rPr>
          <w:rFonts w:cs="Arial"/>
          <w:sz w:val="24"/>
          <w:szCs w:val="24"/>
        </w:rPr>
        <w:t>, that women are more likely to be dissatisfied than men</w:t>
      </w:r>
      <w:r w:rsidR="00221D42">
        <w:rPr>
          <w:rStyle w:val="FootnoteReference"/>
          <w:rFonts w:cs="Arial"/>
          <w:sz w:val="24"/>
          <w:szCs w:val="24"/>
        </w:rPr>
        <w:footnoteReference w:id="7"/>
      </w:r>
      <w:r w:rsidR="00221D42" w:rsidRPr="00EB12F1">
        <w:rPr>
          <w:rFonts w:cs="Arial"/>
          <w:sz w:val="24"/>
          <w:szCs w:val="24"/>
        </w:rPr>
        <w:t>, and that there is widespread concern about the expectations placed on women in terms of physical appearance</w:t>
      </w:r>
      <w:r w:rsidR="00221D42">
        <w:rPr>
          <w:rStyle w:val="FootnoteReference"/>
          <w:rFonts w:cs="Arial"/>
          <w:sz w:val="24"/>
          <w:szCs w:val="24"/>
        </w:rPr>
        <w:footnoteReference w:id="8"/>
      </w:r>
      <w:r w:rsidR="00F44978">
        <w:rPr>
          <w:rFonts w:cs="Arial"/>
          <w:sz w:val="24"/>
          <w:szCs w:val="24"/>
        </w:rPr>
        <w:t>)</w:t>
      </w:r>
      <w:r w:rsidR="00221D42" w:rsidRPr="00EB12F1">
        <w:rPr>
          <w:rFonts w:cs="Arial"/>
          <w:sz w:val="24"/>
          <w:szCs w:val="24"/>
        </w:rPr>
        <w:t>.</w:t>
      </w:r>
    </w:p>
    <w:p w:rsidR="00221D42" w:rsidRDefault="00221D42" w:rsidP="00221D42">
      <w:pPr>
        <w:spacing w:after="160" w:line="312" w:lineRule="auto"/>
        <w:rPr>
          <w:rFonts w:cs="Arial"/>
          <w:sz w:val="24"/>
          <w:szCs w:val="24"/>
        </w:rPr>
      </w:pPr>
      <w:r>
        <w:rPr>
          <w:rFonts w:cs="Arial"/>
          <w:sz w:val="24"/>
          <w:szCs w:val="24"/>
        </w:rPr>
        <w:t xml:space="preserve">Of particular interest are the body satisfaction rates by age for women.  They suggest that poor body image does not naturally recede alongside the self-consciousness of youth.  Instead, they demonstrate that a 45 year old woman is as likely to be dissatisfied with her appearance as her 19 year old daughter.  </w:t>
      </w:r>
    </w:p>
    <w:p w:rsidR="00221D42" w:rsidRDefault="00221D42" w:rsidP="00221D42">
      <w:pPr>
        <w:spacing w:after="160" w:line="312" w:lineRule="auto"/>
        <w:rPr>
          <w:rFonts w:cs="Arial"/>
          <w:sz w:val="24"/>
          <w:szCs w:val="24"/>
        </w:rPr>
      </w:pPr>
      <w:r>
        <w:rPr>
          <w:rFonts w:cs="Arial"/>
          <w:sz w:val="24"/>
          <w:szCs w:val="24"/>
        </w:rPr>
        <w:t>The survey questions elicit information on body confidence (appearance satisfaction) but not on levels of self-objectification (investm</w:t>
      </w:r>
      <w:r w:rsidR="00F44978">
        <w:rPr>
          <w:rFonts w:cs="Arial"/>
          <w:sz w:val="24"/>
          <w:szCs w:val="24"/>
        </w:rPr>
        <w:t>ent of self-worth into how personal</w:t>
      </w:r>
      <w:r>
        <w:rPr>
          <w:rFonts w:cs="Arial"/>
          <w:sz w:val="24"/>
          <w:szCs w:val="24"/>
        </w:rPr>
        <w:t xml:space="preserve"> appearance is judged by others).  These two elements of body image interact in a number of ways: someone who has low investment in their appearance may rate their appearance positively or negatively, and someone with high investment may also rate their appearance positively or negatively.  The personal and public health consequences for those with high investment but low satisfaction pose the greatest concern, though high investment and high satisfaction can also pose risks.</w:t>
      </w:r>
    </w:p>
    <w:p w:rsidR="00221D42" w:rsidRDefault="00221D42" w:rsidP="00221D42">
      <w:pPr>
        <w:spacing w:after="160" w:line="312" w:lineRule="auto"/>
        <w:rPr>
          <w:rFonts w:cs="Arial"/>
          <w:sz w:val="24"/>
          <w:szCs w:val="24"/>
        </w:rPr>
      </w:pPr>
      <w:r>
        <w:rPr>
          <w:rFonts w:cs="Arial"/>
          <w:sz w:val="24"/>
          <w:szCs w:val="24"/>
        </w:rPr>
        <w:t>It is possible, therefore, that if we also measured self-objectification we might find a different story.  It may be that although midlife women report body satisfaction no higher than</w:t>
      </w:r>
      <w:r w:rsidR="00F84D1B">
        <w:rPr>
          <w:rFonts w:cs="Arial"/>
          <w:sz w:val="24"/>
          <w:szCs w:val="24"/>
        </w:rPr>
        <w:t xml:space="preserve"> that of younger women, they</w:t>
      </w:r>
      <w:r>
        <w:rPr>
          <w:rFonts w:cs="Arial"/>
          <w:sz w:val="24"/>
          <w:szCs w:val="24"/>
        </w:rPr>
        <w:t xml:space="preserve"> have lower levels of self-objectification (and, indeed, lower levels of sexual objectification from those around them).  In other words, they rate themselves lower, but they care less.  Perhaps they are too busy coping with the demands of work and family to prioritise their physical appearance.  It is also possible, though, that they do care just as much, but the responses to this survey do not provide the detail to understand why this particular age group is unsatisfied with their bodies. </w:t>
      </w:r>
    </w:p>
    <w:p w:rsidR="00221D42" w:rsidRDefault="00221D42" w:rsidP="00221D42">
      <w:pPr>
        <w:spacing w:after="160" w:line="312" w:lineRule="auto"/>
        <w:rPr>
          <w:rFonts w:cs="Arial"/>
          <w:sz w:val="24"/>
          <w:szCs w:val="24"/>
        </w:rPr>
      </w:pPr>
      <w:r>
        <w:rPr>
          <w:rFonts w:cs="Arial"/>
          <w:sz w:val="24"/>
          <w:szCs w:val="24"/>
        </w:rPr>
        <w:t>This is a relatively under-explored area, but one study that explored the prevalence and nature of body image in midlife women</w:t>
      </w:r>
      <w:r>
        <w:rPr>
          <w:rStyle w:val="FootnoteReference"/>
          <w:rFonts w:cs="Arial"/>
          <w:sz w:val="24"/>
          <w:szCs w:val="24"/>
        </w:rPr>
        <w:footnoteReference w:id="9"/>
      </w:r>
      <w:r>
        <w:rPr>
          <w:rFonts w:cs="Arial"/>
          <w:sz w:val="24"/>
          <w:szCs w:val="24"/>
        </w:rPr>
        <w:t xml:space="preserve"> found that 80% reported weight dissatisfaction and increased present-day dissatisfaction with their bodies in comparison to their younger years </w:t>
      </w:r>
      <w:r>
        <w:rPr>
          <w:rFonts w:cs="Arial"/>
          <w:sz w:val="24"/>
          <w:szCs w:val="24"/>
        </w:rPr>
        <w:lastRenderedPageBreak/>
        <w:t>(defined as below the age of forty).  Women in this age group also reported that their dissatisfaction with their bodies curtailed their day to day activities, suggesting that the prevalence and impact of low body satisfaction could be high for midlife women.</w:t>
      </w:r>
    </w:p>
    <w:p w:rsidR="00221D42" w:rsidRDefault="00221D42" w:rsidP="00221D42">
      <w:pPr>
        <w:spacing w:after="160" w:line="312" w:lineRule="auto"/>
        <w:rPr>
          <w:rFonts w:cs="Arial"/>
          <w:sz w:val="24"/>
          <w:szCs w:val="24"/>
        </w:rPr>
      </w:pPr>
      <w:r>
        <w:rPr>
          <w:rFonts w:cs="Arial"/>
          <w:sz w:val="24"/>
          <w:szCs w:val="24"/>
        </w:rPr>
        <w:t>To complicate the picture further, there is a significant rise in body satisfaction in women aged 50-64.  It may be that women get social permission to focus less on their appearance, and the social penalties for imperfection reduce. The age cohort 50-64 may also be reaping the combined benefits of lessening of caring responsibilities, more time/money for self-care, and a body that is still functioning reasonably well.  The low body confidence of the 60+ age group may reflect the increasing infirmity and chronic conditions associated with old age, or feelings of social invisibility.</w:t>
      </w:r>
    </w:p>
    <w:p w:rsidR="00221D42" w:rsidRDefault="00221D42" w:rsidP="00221D42">
      <w:pPr>
        <w:spacing w:after="160" w:line="312" w:lineRule="auto"/>
        <w:rPr>
          <w:rFonts w:cs="Arial"/>
          <w:sz w:val="24"/>
          <w:szCs w:val="24"/>
        </w:rPr>
      </w:pPr>
      <w:r>
        <w:rPr>
          <w:rFonts w:cs="Arial"/>
          <w:sz w:val="24"/>
          <w:szCs w:val="24"/>
        </w:rPr>
        <w:t xml:space="preserve">These suggestions are highly speculative and need to be explored further.  But we can assume that the consequences of poor body image – lower self-esteem, more depression, poorer self-care (including less physical activity and more likelihood of weight gain), disordered eating, lower confidence and aspirations – are as damaging for midlife women as they are for younger women and girls.  </w:t>
      </w:r>
    </w:p>
    <w:p w:rsidR="00221D42" w:rsidRDefault="00221D42" w:rsidP="00221D42">
      <w:pPr>
        <w:spacing w:after="160" w:line="312" w:lineRule="auto"/>
        <w:rPr>
          <w:rFonts w:cs="Arial"/>
          <w:sz w:val="24"/>
          <w:szCs w:val="24"/>
        </w:rPr>
      </w:pPr>
      <w:r>
        <w:rPr>
          <w:rFonts w:cs="Arial"/>
          <w:sz w:val="24"/>
          <w:szCs w:val="24"/>
        </w:rPr>
        <w:t xml:space="preserve">These survey results also highlight the gender differences in levels of body satisfaction.  The gender gap demonstrated here is not as wide as that shown in </w:t>
      </w:r>
      <w:r w:rsidRPr="00001C42">
        <w:rPr>
          <w:rFonts w:cs="Arial"/>
          <w:sz w:val="24"/>
          <w:szCs w:val="24"/>
        </w:rPr>
        <w:t>other studies</w:t>
      </w:r>
      <w:r w:rsidRPr="00001C42">
        <w:rPr>
          <w:rStyle w:val="FootnoteReference"/>
          <w:rFonts w:cs="Arial"/>
          <w:sz w:val="24"/>
          <w:szCs w:val="24"/>
        </w:rPr>
        <w:footnoteReference w:id="10"/>
      </w:r>
      <w:r w:rsidRPr="00001C42">
        <w:rPr>
          <w:rFonts w:cs="Arial"/>
          <w:sz w:val="24"/>
          <w:szCs w:val="24"/>
        </w:rPr>
        <w:t>,</w:t>
      </w:r>
      <w:r>
        <w:rPr>
          <w:rFonts w:cs="Arial"/>
          <w:sz w:val="24"/>
          <w:szCs w:val="24"/>
        </w:rPr>
        <w:t xml:space="preserve"> though there is growing concern that boys and men can also suffer from poor body image and its detrimental effects on health, wellbeing, aspirations and confidence.  Again, however, these findings do not show us the relative importance men and women invest in their appearance, or their levels of self-objectification.  </w:t>
      </w:r>
    </w:p>
    <w:p w:rsidR="00221D42" w:rsidRDefault="00221D42" w:rsidP="00221D42">
      <w:pPr>
        <w:spacing w:after="160" w:line="312" w:lineRule="auto"/>
        <w:rPr>
          <w:rFonts w:cs="Arial"/>
          <w:sz w:val="24"/>
          <w:szCs w:val="24"/>
        </w:rPr>
      </w:pPr>
      <w:r>
        <w:rPr>
          <w:rFonts w:cs="Arial"/>
          <w:sz w:val="24"/>
          <w:szCs w:val="24"/>
        </w:rPr>
        <w:t>More research is needed to improve our understanding what the particular effects of poor body image are on men and boys, and how these experiences might be gendered.  In particular, we need to know:</w:t>
      </w:r>
    </w:p>
    <w:p w:rsidR="00221D42" w:rsidRDefault="00221D42" w:rsidP="00221D42">
      <w:pPr>
        <w:pStyle w:val="ListParagraph"/>
        <w:numPr>
          <w:ilvl w:val="0"/>
          <w:numId w:val="17"/>
        </w:numPr>
        <w:spacing w:after="160" w:line="312" w:lineRule="auto"/>
        <w:rPr>
          <w:rFonts w:cs="Arial"/>
          <w:sz w:val="24"/>
          <w:szCs w:val="24"/>
        </w:rPr>
      </w:pPr>
      <w:r>
        <w:rPr>
          <w:rFonts w:cs="Arial"/>
          <w:sz w:val="24"/>
          <w:szCs w:val="24"/>
        </w:rPr>
        <w:t>Whether the predominant perception that body image is a woman’s issue isolates men and boys who are affected and prevents them from getting effective help and support.</w:t>
      </w:r>
    </w:p>
    <w:p w:rsidR="00221D42" w:rsidRDefault="00221D42" w:rsidP="00221D42">
      <w:pPr>
        <w:pStyle w:val="ListParagraph"/>
        <w:numPr>
          <w:ilvl w:val="0"/>
          <w:numId w:val="17"/>
        </w:numPr>
        <w:spacing w:after="160" w:line="312" w:lineRule="auto"/>
        <w:rPr>
          <w:rFonts w:cs="Arial"/>
          <w:sz w:val="24"/>
          <w:szCs w:val="24"/>
        </w:rPr>
      </w:pPr>
      <w:r>
        <w:rPr>
          <w:rFonts w:cs="Arial"/>
          <w:sz w:val="24"/>
          <w:szCs w:val="24"/>
        </w:rPr>
        <w:t>Whether men’s wider diversity of role models and gender roles may partially account for their generally higher body confidence.</w:t>
      </w:r>
    </w:p>
    <w:p w:rsidR="00221D42" w:rsidRDefault="00221D42" w:rsidP="00221D42">
      <w:pPr>
        <w:pStyle w:val="ListParagraph"/>
        <w:numPr>
          <w:ilvl w:val="0"/>
          <w:numId w:val="17"/>
        </w:numPr>
        <w:spacing w:after="160" w:line="312" w:lineRule="auto"/>
        <w:rPr>
          <w:rFonts w:cs="Arial"/>
          <w:sz w:val="24"/>
          <w:szCs w:val="24"/>
        </w:rPr>
      </w:pPr>
      <w:r>
        <w:rPr>
          <w:rFonts w:cs="Arial"/>
          <w:sz w:val="24"/>
          <w:szCs w:val="24"/>
        </w:rPr>
        <w:t>Whether rates of poor body confidence will ‘catch up’ with men and boys to the same prevalence as for women and girls.</w:t>
      </w:r>
    </w:p>
    <w:p w:rsidR="00221D42" w:rsidRDefault="00221D42" w:rsidP="00221D42">
      <w:pPr>
        <w:pStyle w:val="ListParagraph"/>
        <w:numPr>
          <w:ilvl w:val="0"/>
          <w:numId w:val="17"/>
        </w:numPr>
        <w:spacing w:after="160" w:line="312" w:lineRule="auto"/>
        <w:rPr>
          <w:rFonts w:cs="Arial"/>
          <w:sz w:val="24"/>
          <w:szCs w:val="24"/>
        </w:rPr>
      </w:pPr>
      <w:r>
        <w:rPr>
          <w:rFonts w:cs="Arial"/>
          <w:sz w:val="24"/>
          <w:szCs w:val="24"/>
        </w:rPr>
        <w:t xml:space="preserve">Whether media representations of gender and bodies influence body image in </w:t>
      </w:r>
      <w:proofErr w:type="spellStart"/>
      <w:r>
        <w:rPr>
          <w:rFonts w:cs="Arial"/>
          <w:sz w:val="24"/>
          <w:szCs w:val="24"/>
        </w:rPr>
        <w:t>teh</w:t>
      </w:r>
      <w:proofErr w:type="spellEnd"/>
      <w:r>
        <w:rPr>
          <w:rFonts w:cs="Arial"/>
          <w:sz w:val="24"/>
          <w:szCs w:val="24"/>
        </w:rPr>
        <w:t xml:space="preserve"> same way for men as they do for women.</w:t>
      </w:r>
    </w:p>
    <w:p w:rsidR="00221D42" w:rsidRDefault="00221D42" w:rsidP="00221D42">
      <w:pPr>
        <w:pStyle w:val="ListParagraph"/>
        <w:numPr>
          <w:ilvl w:val="0"/>
          <w:numId w:val="17"/>
        </w:numPr>
        <w:spacing w:after="160" w:line="312" w:lineRule="auto"/>
        <w:rPr>
          <w:rFonts w:cs="Arial"/>
          <w:sz w:val="24"/>
          <w:szCs w:val="24"/>
        </w:rPr>
      </w:pPr>
      <w:r>
        <w:rPr>
          <w:rFonts w:cs="Arial"/>
          <w:sz w:val="24"/>
          <w:szCs w:val="24"/>
        </w:rPr>
        <w:lastRenderedPageBreak/>
        <w:t>Whether the gendered nature of the ‘desirable body’ (i.e. powerful and muscular for men, thin and hairless for women) makes a difference to how men and women experience body confidence and its impact on their confidence and aspirations.</w:t>
      </w:r>
    </w:p>
    <w:p w:rsidR="00E5396A" w:rsidRDefault="00E5396A">
      <w:pPr>
        <w:rPr>
          <w:rFonts w:eastAsiaTheme="majorEastAsia" w:cstheme="minorHAnsi"/>
          <w:b/>
          <w:bCs/>
          <w:color w:val="365F91" w:themeColor="accent1" w:themeShade="BF"/>
          <w:sz w:val="32"/>
          <w:szCs w:val="28"/>
        </w:rPr>
      </w:pPr>
      <w:r>
        <w:br w:type="page"/>
      </w:r>
    </w:p>
    <w:p w:rsidR="00221D42" w:rsidRPr="00AE7786" w:rsidRDefault="00221D42" w:rsidP="00AE7786">
      <w:pPr>
        <w:pStyle w:val="Heading1"/>
      </w:pPr>
      <w:bookmarkStart w:id="10" w:name="_Toc400701817"/>
      <w:r w:rsidRPr="00AE7786">
        <w:lastRenderedPageBreak/>
        <w:t>Conclusion</w:t>
      </w:r>
      <w:bookmarkEnd w:id="10"/>
    </w:p>
    <w:p w:rsidR="00221D42" w:rsidRDefault="00221D42" w:rsidP="00221D42">
      <w:pPr>
        <w:spacing w:after="160" w:line="312" w:lineRule="auto"/>
        <w:rPr>
          <w:rFonts w:cs="Arial"/>
          <w:sz w:val="24"/>
          <w:szCs w:val="24"/>
        </w:rPr>
      </w:pPr>
      <w:r>
        <w:rPr>
          <w:rFonts w:cs="Arial"/>
          <w:sz w:val="24"/>
          <w:szCs w:val="24"/>
        </w:rPr>
        <w:t xml:space="preserve">This survey demonstrates </w:t>
      </w:r>
      <w:r w:rsidR="00F84D1B">
        <w:rPr>
          <w:rFonts w:cs="Arial"/>
          <w:sz w:val="24"/>
          <w:szCs w:val="24"/>
        </w:rPr>
        <w:t>that a</w:t>
      </w:r>
      <w:r>
        <w:rPr>
          <w:rFonts w:cs="Arial"/>
          <w:sz w:val="24"/>
          <w:szCs w:val="24"/>
        </w:rPr>
        <w:t xml:space="preserve"> </w:t>
      </w:r>
      <w:r w:rsidR="00F84D1B">
        <w:rPr>
          <w:rFonts w:cs="Arial"/>
          <w:sz w:val="24"/>
          <w:szCs w:val="24"/>
        </w:rPr>
        <w:t xml:space="preserve">sizeable </w:t>
      </w:r>
      <w:r>
        <w:rPr>
          <w:rFonts w:cs="Arial"/>
          <w:sz w:val="24"/>
          <w:szCs w:val="24"/>
        </w:rPr>
        <w:t>minority of the population is dissatisfied with their appearance, and that women are significantly more dissatisfied than men.</w:t>
      </w:r>
    </w:p>
    <w:p w:rsidR="00221D42" w:rsidRDefault="00221D42" w:rsidP="00221D42">
      <w:pPr>
        <w:spacing w:after="160" w:line="312" w:lineRule="auto"/>
        <w:rPr>
          <w:rFonts w:cs="Arial"/>
          <w:sz w:val="24"/>
          <w:szCs w:val="24"/>
        </w:rPr>
      </w:pPr>
      <w:r>
        <w:rPr>
          <w:rFonts w:cs="Arial"/>
          <w:sz w:val="24"/>
          <w:szCs w:val="24"/>
        </w:rPr>
        <w:t>Men’s appearance satisfaction is relatively stable through life.  Women’s body satisfaction does not rise until they reach the years 50-64, when it is at its highest.</w:t>
      </w:r>
    </w:p>
    <w:p w:rsidR="00221D42" w:rsidRDefault="00221D42" w:rsidP="00221D42">
      <w:pPr>
        <w:spacing w:after="160" w:line="312" w:lineRule="auto"/>
        <w:rPr>
          <w:rFonts w:cs="Arial"/>
          <w:sz w:val="24"/>
          <w:szCs w:val="24"/>
        </w:rPr>
      </w:pPr>
      <w:r>
        <w:rPr>
          <w:rFonts w:cs="Arial"/>
          <w:sz w:val="24"/>
          <w:szCs w:val="24"/>
        </w:rPr>
        <w:t>Three quarters of adults think that society puts too much pressure on women to have a sexualised appearance, and half of all adults think that how you look affects what you can achieve in life.</w:t>
      </w:r>
    </w:p>
    <w:p w:rsidR="00221D42" w:rsidRDefault="00221D42" w:rsidP="00221D42">
      <w:pPr>
        <w:spacing w:after="160" w:line="312" w:lineRule="auto"/>
        <w:rPr>
          <w:rFonts w:cs="Arial"/>
          <w:sz w:val="24"/>
          <w:szCs w:val="24"/>
        </w:rPr>
      </w:pPr>
      <w:r>
        <w:rPr>
          <w:rFonts w:cs="Arial"/>
          <w:sz w:val="24"/>
          <w:szCs w:val="24"/>
        </w:rPr>
        <w:t>Further work is needed to explore:</w:t>
      </w:r>
    </w:p>
    <w:p w:rsidR="00221D42" w:rsidRDefault="00221D42" w:rsidP="00221D42">
      <w:pPr>
        <w:pStyle w:val="ListParagraph"/>
        <w:numPr>
          <w:ilvl w:val="0"/>
          <w:numId w:val="18"/>
        </w:numPr>
        <w:spacing w:after="160" w:line="312" w:lineRule="auto"/>
        <w:rPr>
          <w:rFonts w:cs="Arial"/>
          <w:sz w:val="24"/>
          <w:szCs w:val="24"/>
        </w:rPr>
      </w:pPr>
      <w:r>
        <w:rPr>
          <w:rFonts w:cs="Arial"/>
          <w:sz w:val="24"/>
          <w:szCs w:val="24"/>
        </w:rPr>
        <w:t xml:space="preserve">What role is played by self-objectification in the body image of men and women at different life </w:t>
      </w:r>
      <w:proofErr w:type="gramStart"/>
      <w:r>
        <w:rPr>
          <w:rFonts w:cs="Arial"/>
          <w:sz w:val="24"/>
          <w:szCs w:val="24"/>
        </w:rPr>
        <w:t>stages.</w:t>
      </w:r>
      <w:proofErr w:type="gramEnd"/>
    </w:p>
    <w:p w:rsidR="00221D42" w:rsidRDefault="00221D42" w:rsidP="00221D42">
      <w:pPr>
        <w:pStyle w:val="ListParagraph"/>
        <w:numPr>
          <w:ilvl w:val="0"/>
          <w:numId w:val="18"/>
        </w:numPr>
        <w:spacing w:after="160" w:line="312" w:lineRule="auto"/>
        <w:rPr>
          <w:rFonts w:cs="Arial"/>
          <w:sz w:val="24"/>
          <w:szCs w:val="24"/>
        </w:rPr>
      </w:pPr>
      <w:r>
        <w:rPr>
          <w:rFonts w:cs="Arial"/>
          <w:sz w:val="24"/>
          <w:szCs w:val="24"/>
        </w:rPr>
        <w:t>How gender affects body image in both men and women.</w:t>
      </w:r>
    </w:p>
    <w:p w:rsidR="00221D42" w:rsidRPr="00A77115" w:rsidRDefault="00221D42" w:rsidP="00221D42">
      <w:pPr>
        <w:pStyle w:val="ListParagraph"/>
        <w:numPr>
          <w:ilvl w:val="0"/>
          <w:numId w:val="18"/>
        </w:numPr>
        <w:spacing w:after="160" w:line="312" w:lineRule="auto"/>
        <w:rPr>
          <w:rFonts w:cs="Arial"/>
          <w:sz w:val="24"/>
          <w:szCs w:val="24"/>
        </w:rPr>
      </w:pPr>
      <w:r>
        <w:rPr>
          <w:rFonts w:cs="Arial"/>
          <w:sz w:val="24"/>
          <w:szCs w:val="24"/>
        </w:rPr>
        <w:t>How body satisfaction, self-objectification and other psychosocial factors interrelate in the mental wellbeing of midlife women.</w:t>
      </w:r>
    </w:p>
    <w:p w:rsidR="00221D42" w:rsidRPr="00AE7786" w:rsidRDefault="00221D42" w:rsidP="00AE7786">
      <w:pPr>
        <w:pStyle w:val="Heading1"/>
      </w:pPr>
      <w:bookmarkStart w:id="11" w:name="_Toc400701818"/>
      <w:r w:rsidRPr="00AE7786">
        <w:t>Notes</w:t>
      </w:r>
      <w:bookmarkEnd w:id="11"/>
    </w:p>
    <w:p w:rsidR="00221D42" w:rsidRDefault="00221D42" w:rsidP="00221D42">
      <w:pPr>
        <w:spacing w:after="160" w:line="312" w:lineRule="auto"/>
        <w:rPr>
          <w:rFonts w:cstheme="minorHAnsi"/>
          <w:sz w:val="24"/>
          <w:szCs w:val="24"/>
        </w:rPr>
      </w:pPr>
      <w:r w:rsidRPr="002C351C">
        <w:rPr>
          <w:rFonts w:cstheme="minorHAnsi"/>
          <w:sz w:val="24"/>
          <w:szCs w:val="24"/>
        </w:rPr>
        <w:t xml:space="preserve">The British Social Attitudes Survey (BSAS) is a cross sectional survey of the general population, which has been conducted annually since 1983. The survey is conducted in Britain with adults aged 18+.  The 2013 survey was split into three equally sized portions. Each ‘module’ of questions then was asked either of the full sample (3,244 respondents), or of a random third or two-thirds of the sample. The survey was conducted between June and November 2013. </w:t>
      </w:r>
      <w:r>
        <w:rPr>
          <w:rFonts w:cstheme="minorHAnsi"/>
          <w:sz w:val="24"/>
          <w:szCs w:val="24"/>
        </w:rPr>
        <w:t xml:space="preserve"> Significance testing was carried out at the 95% level. </w:t>
      </w:r>
      <w:r w:rsidRPr="002C351C">
        <w:rPr>
          <w:rFonts w:cstheme="minorHAnsi"/>
          <w:sz w:val="24"/>
          <w:szCs w:val="24"/>
        </w:rPr>
        <w:t xml:space="preserve"> </w:t>
      </w:r>
    </w:p>
    <w:p w:rsidR="00221D42" w:rsidRPr="008C4444" w:rsidRDefault="00221D42" w:rsidP="00221D42">
      <w:pPr>
        <w:spacing w:after="160" w:line="312" w:lineRule="auto"/>
        <w:rPr>
          <w:sz w:val="24"/>
          <w:szCs w:val="24"/>
        </w:rPr>
      </w:pPr>
      <w:r w:rsidRPr="008C4444">
        <w:rPr>
          <w:sz w:val="24"/>
          <w:szCs w:val="24"/>
        </w:rPr>
        <w:t xml:space="preserve">More information on </w:t>
      </w:r>
      <w:r>
        <w:rPr>
          <w:sz w:val="24"/>
          <w:szCs w:val="24"/>
        </w:rPr>
        <w:t xml:space="preserve">the government’s body confidence campaign </w:t>
      </w:r>
      <w:r w:rsidRPr="008C4444">
        <w:rPr>
          <w:sz w:val="24"/>
          <w:szCs w:val="24"/>
        </w:rPr>
        <w:t xml:space="preserve">can be found at: </w:t>
      </w:r>
      <w:hyperlink r:id="rId13" w:history="1">
        <w:r w:rsidRPr="008C4444">
          <w:rPr>
            <w:rStyle w:val="Hyperlink"/>
            <w:rFonts w:asciiTheme="minorHAnsi" w:hAnsiTheme="minorHAnsi" w:cstheme="minorBidi"/>
            <w:sz w:val="24"/>
            <w:szCs w:val="24"/>
          </w:rPr>
          <w:t>https://www.gov.uk/government/policies/creating-a-fairer-and-more-equal-society/supporting-pages/body-confidence-campaign</w:t>
        </w:r>
      </w:hyperlink>
      <w:r w:rsidRPr="008C4444">
        <w:rPr>
          <w:sz w:val="24"/>
          <w:szCs w:val="24"/>
        </w:rPr>
        <w:t>.</w:t>
      </w:r>
    </w:p>
    <w:p w:rsidR="00E5396A" w:rsidRDefault="00E5396A">
      <w:pPr>
        <w:rPr>
          <w:rFonts w:cstheme="minorHAnsi"/>
          <w:b/>
          <w:color w:val="244061" w:themeColor="accent1" w:themeShade="80"/>
          <w:sz w:val="28"/>
          <w:szCs w:val="28"/>
        </w:rPr>
      </w:pPr>
      <w:r>
        <w:rPr>
          <w:rFonts w:cstheme="minorHAnsi"/>
          <w:b/>
          <w:color w:val="244061" w:themeColor="accent1" w:themeShade="80"/>
          <w:sz w:val="28"/>
          <w:szCs w:val="28"/>
        </w:rPr>
        <w:br w:type="page"/>
      </w:r>
    </w:p>
    <w:p w:rsidR="0011511F" w:rsidRDefault="0011511F" w:rsidP="00644A83">
      <w:pPr>
        <w:pStyle w:val="CopyrightSpacing"/>
        <w:rPr>
          <w:rFonts w:asciiTheme="minorHAnsi" w:hAnsiTheme="minorHAnsi" w:cstheme="minorHAnsi"/>
          <w:sz w:val="28"/>
        </w:rPr>
      </w:pPr>
    </w:p>
    <w:p w:rsidR="009437BE" w:rsidRDefault="00644A83" w:rsidP="00644A83">
      <w:pPr>
        <w:pStyle w:val="CopyrightSpacing"/>
        <w:rPr>
          <w:rFonts w:asciiTheme="minorHAnsi" w:hAnsiTheme="minorHAnsi" w:cstheme="minorHAnsi"/>
          <w:sz w:val="28"/>
        </w:rPr>
      </w:pPr>
      <w:r w:rsidRPr="00644A83">
        <w:rPr>
          <w:rFonts w:asciiTheme="minorHAnsi" w:hAnsiTheme="minorHAnsi" w:cstheme="minorHAnsi"/>
          <w:sz w:val="28"/>
        </w:rPr>
        <w:t>© Crown copyright 2014</w:t>
      </w:r>
      <w:r w:rsidR="009437BE">
        <w:rPr>
          <w:rFonts w:asciiTheme="minorHAnsi" w:hAnsiTheme="minorHAnsi" w:cstheme="minorHAnsi"/>
          <w:sz w:val="28"/>
        </w:rPr>
        <w:t xml:space="preserve"> Cover Image © iStock.com/ </w:t>
      </w:r>
      <w:proofErr w:type="spellStart"/>
      <w:r w:rsidR="009437BE">
        <w:rPr>
          <w:rFonts w:asciiTheme="minorHAnsi" w:hAnsiTheme="minorHAnsi" w:cstheme="minorHAnsi"/>
          <w:sz w:val="28"/>
        </w:rPr>
        <w:t>ivanastar</w:t>
      </w:r>
      <w:proofErr w:type="spellEnd"/>
      <w:r w:rsidR="009437BE">
        <w:rPr>
          <w:rFonts w:asciiTheme="minorHAnsi" w:hAnsiTheme="minorHAnsi" w:cstheme="minorHAnsi"/>
          <w:sz w:val="28"/>
        </w:rPr>
        <w:t xml:space="preserve"> </w:t>
      </w:r>
    </w:p>
    <w:p w:rsidR="00644A83" w:rsidRPr="00644A83" w:rsidRDefault="00644A83" w:rsidP="00644A83">
      <w:pPr>
        <w:pStyle w:val="CopyrightBox"/>
        <w:rPr>
          <w:rFonts w:asciiTheme="minorHAnsi" w:hAnsiTheme="minorHAnsi" w:cstheme="minorHAnsi"/>
          <w:sz w:val="28"/>
        </w:rPr>
      </w:pPr>
      <w:r w:rsidRPr="00644A83">
        <w:rPr>
          <w:rFonts w:asciiTheme="minorHAnsi" w:hAnsiTheme="minorHAnsi" w:cstheme="minorHAnsi"/>
          <w:sz w:val="28"/>
        </w:rPr>
        <w:t>You may re-use this document/publication (not including logos) free of charge in any format or medium, under the terms of the Open Government Licence v2.0. Where we have identified any third party copyright information you will need to obtain permission from the copyright holders concerned.</w:t>
      </w:r>
    </w:p>
    <w:p w:rsidR="00644A83" w:rsidRPr="00644A83" w:rsidRDefault="00644A83" w:rsidP="00644A83">
      <w:pPr>
        <w:pStyle w:val="LicenceIntro"/>
        <w:rPr>
          <w:rFonts w:asciiTheme="minorHAnsi" w:hAnsiTheme="minorHAnsi" w:cstheme="minorHAnsi"/>
          <w:sz w:val="28"/>
        </w:rPr>
      </w:pPr>
      <w:r>
        <w:rPr>
          <w:rFonts w:asciiTheme="minorHAnsi" w:hAnsiTheme="minorHAnsi" w:cstheme="minorHAnsi"/>
          <w:sz w:val="28"/>
        </w:rPr>
        <w:t>To view</w:t>
      </w:r>
      <w:r w:rsidRPr="00644A83">
        <w:rPr>
          <w:rFonts w:asciiTheme="minorHAnsi" w:hAnsiTheme="minorHAnsi" w:cstheme="minorHAnsi"/>
          <w:sz w:val="28"/>
        </w:rPr>
        <w:t xml:space="preserve"> this licence:</w:t>
      </w:r>
    </w:p>
    <w:p w:rsidR="00644A83" w:rsidRPr="00644A83" w:rsidRDefault="00644A83" w:rsidP="00644A83">
      <w:pPr>
        <w:pStyle w:val="Licence"/>
        <w:rPr>
          <w:rFonts w:asciiTheme="minorHAnsi" w:hAnsiTheme="minorHAnsi" w:cstheme="minorHAnsi"/>
          <w:sz w:val="28"/>
        </w:rPr>
      </w:pPr>
      <w:proofErr w:type="gramStart"/>
      <w:r w:rsidRPr="00644A83">
        <w:rPr>
          <w:rFonts w:asciiTheme="minorHAnsi" w:hAnsiTheme="minorHAnsi" w:cstheme="minorHAnsi"/>
          <w:sz w:val="28"/>
        </w:rPr>
        <w:t>visit</w:t>
      </w:r>
      <w:proofErr w:type="gramEnd"/>
      <w:r w:rsidRPr="00644A83">
        <w:rPr>
          <w:rFonts w:asciiTheme="minorHAnsi" w:hAnsiTheme="minorHAnsi" w:cstheme="minorHAnsi"/>
          <w:sz w:val="28"/>
        </w:rPr>
        <w:t xml:space="preserve"> </w:t>
      </w:r>
      <w:r w:rsidRPr="00644A83">
        <w:rPr>
          <w:rFonts w:asciiTheme="minorHAnsi" w:hAnsiTheme="minorHAnsi" w:cstheme="minorHAnsi"/>
          <w:sz w:val="28"/>
        </w:rPr>
        <w:tab/>
      </w:r>
      <w:hyperlink r:id="rId14" w:tooltip="Visit the national archives licencing information" w:history="1">
        <w:r w:rsidRPr="00644A83">
          <w:rPr>
            <w:rStyle w:val="Hyperlink"/>
            <w:rFonts w:asciiTheme="minorHAnsi" w:hAnsiTheme="minorHAnsi" w:cstheme="minorHAnsi"/>
            <w:sz w:val="24"/>
          </w:rPr>
          <w:t>www.nationalarchi</w:t>
        </w:r>
        <w:bookmarkStart w:id="12" w:name="_GoBack"/>
        <w:bookmarkEnd w:id="12"/>
        <w:r w:rsidRPr="00644A83">
          <w:rPr>
            <w:rStyle w:val="Hyperlink"/>
            <w:rFonts w:asciiTheme="minorHAnsi" w:hAnsiTheme="minorHAnsi" w:cstheme="minorHAnsi"/>
            <w:sz w:val="24"/>
          </w:rPr>
          <w:t>ves.gov.uk/doc/open-government-licence/version/2</w:t>
        </w:r>
      </w:hyperlink>
    </w:p>
    <w:p w:rsidR="00644A83" w:rsidRPr="00644A83" w:rsidRDefault="00644A83" w:rsidP="00644A83">
      <w:pPr>
        <w:pStyle w:val="Licence"/>
        <w:rPr>
          <w:rFonts w:asciiTheme="minorHAnsi" w:hAnsiTheme="minorHAnsi" w:cstheme="minorHAnsi"/>
          <w:sz w:val="28"/>
        </w:rPr>
      </w:pPr>
      <w:proofErr w:type="gramStart"/>
      <w:r w:rsidRPr="00644A83">
        <w:rPr>
          <w:rFonts w:asciiTheme="minorHAnsi" w:hAnsiTheme="minorHAnsi" w:cstheme="minorHAnsi"/>
          <w:sz w:val="28"/>
        </w:rPr>
        <w:t>email</w:t>
      </w:r>
      <w:proofErr w:type="gramEnd"/>
      <w:r w:rsidRPr="00644A83">
        <w:rPr>
          <w:rFonts w:asciiTheme="minorHAnsi" w:hAnsiTheme="minorHAnsi" w:cstheme="minorHAnsi"/>
          <w:sz w:val="28"/>
        </w:rPr>
        <w:t xml:space="preserve"> </w:t>
      </w:r>
      <w:r w:rsidRPr="00644A83">
        <w:rPr>
          <w:rFonts w:asciiTheme="minorHAnsi" w:hAnsiTheme="minorHAnsi" w:cstheme="minorHAnsi"/>
          <w:sz w:val="28"/>
        </w:rPr>
        <w:tab/>
      </w:r>
      <w:hyperlink r:id="rId15" w:tooltip="The National Archives' email address" w:history="1">
        <w:r w:rsidRPr="00644A83">
          <w:rPr>
            <w:rStyle w:val="Hyperlink"/>
            <w:rFonts w:asciiTheme="minorHAnsi" w:hAnsiTheme="minorHAnsi" w:cstheme="minorHAnsi"/>
            <w:sz w:val="24"/>
          </w:rPr>
          <w:t>psi@nationalarchives.gsi.gov.uk</w:t>
        </w:r>
      </w:hyperlink>
    </w:p>
    <w:p w:rsidR="00644A83" w:rsidRPr="00644A83" w:rsidRDefault="00644A83" w:rsidP="00644A83">
      <w:pPr>
        <w:pStyle w:val="LicenceIntro"/>
        <w:rPr>
          <w:rFonts w:asciiTheme="minorHAnsi" w:hAnsiTheme="minorHAnsi" w:cstheme="minorHAnsi"/>
          <w:sz w:val="28"/>
        </w:rPr>
      </w:pPr>
      <w:r w:rsidRPr="00644A83">
        <w:rPr>
          <w:rFonts w:asciiTheme="minorHAnsi" w:hAnsiTheme="minorHAnsi" w:cstheme="minorHAnsi"/>
          <w:sz w:val="28"/>
        </w:rPr>
        <w:t>About this publication:</w:t>
      </w:r>
    </w:p>
    <w:p w:rsidR="00644A83" w:rsidRPr="00644A83" w:rsidRDefault="00644A83" w:rsidP="00644A83">
      <w:pPr>
        <w:pStyle w:val="Licence"/>
        <w:rPr>
          <w:rFonts w:asciiTheme="minorHAnsi" w:hAnsiTheme="minorHAnsi" w:cstheme="minorHAnsi"/>
          <w:sz w:val="28"/>
        </w:rPr>
      </w:pPr>
      <w:proofErr w:type="gramStart"/>
      <w:r w:rsidRPr="00644A83">
        <w:rPr>
          <w:rFonts w:asciiTheme="minorHAnsi" w:hAnsiTheme="minorHAnsi" w:cstheme="minorHAnsi"/>
          <w:sz w:val="28"/>
        </w:rPr>
        <w:t>enquiries</w:t>
      </w:r>
      <w:proofErr w:type="gramEnd"/>
      <w:r w:rsidRPr="00644A83">
        <w:rPr>
          <w:rFonts w:asciiTheme="minorHAnsi" w:hAnsiTheme="minorHAnsi" w:cstheme="minorHAnsi"/>
          <w:sz w:val="28"/>
        </w:rPr>
        <w:t xml:space="preserve">  </w:t>
      </w:r>
      <w:r w:rsidRPr="00644A83">
        <w:rPr>
          <w:rFonts w:asciiTheme="minorHAnsi" w:hAnsiTheme="minorHAnsi" w:cstheme="minorHAnsi"/>
          <w:sz w:val="28"/>
        </w:rPr>
        <w:tab/>
      </w:r>
      <w:hyperlink r:id="rId16" w:history="1">
        <w:r w:rsidR="00CF5FBB" w:rsidRPr="00443A5F">
          <w:rPr>
            <w:rStyle w:val="Hyperlink"/>
            <w:rFonts w:asciiTheme="minorHAnsi" w:hAnsiTheme="minorHAnsi" w:cstheme="minorHAnsi"/>
            <w:sz w:val="24"/>
          </w:rPr>
          <w:t>womensengagement@culture.gsi.gov.uk</w:t>
        </w:r>
      </w:hyperlink>
      <w:r w:rsidRPr="00644A83">
        <w:rPr>
          <w:rFonts w:asciiTheme="minorHAnsi" w:hAnsiTheme="minorHAnsi" w:cstheme="minorHAnsi"/>
          <w:sz w:val="28"/>
        </w:rPr>
        <w:t xml:space="preserve"> </w:t>
      </w:r>
    </w:p>
    <w:p w:rsidR="00644A83" w:rsidRPr="00644A83" w:rsidRDefault="00644A83" w:rsidP="00644A83">
      <w:pPr>
        <w:pStyle w:val="Licence"/>
        <w:rPr>
          <w:rFonts w:asciiTheme="minorHAnsi" w:hAnsiTheme="minorHAnsi" w:cstheme="minorHAnsi"/>
          <w:sz w:val="28"/>
        </w:rPr>
      </w:pPr>
      <w:proofErr w:type="gramStart"/>
      <w:r w:rsidRPr="00644A83">
        <w:rPr>
          <w:rFonts w:asciiTheme="minorHAnsi" w:hAnsiTheme="minorHAnsi" w:cstheme="minorHAnsi"/>
          <w:sz w:val="28"/>
        </w:rPr>
        <w:t>download</w:t>
      </w:r>
      <w:proofErr w:type="gramEnd"/>
      <w:r w:rsidRPr="00644A83">
        <w:rPr>
          <w:rFonts w:asciiTheme="minorHAnsi" w:hAnsiTheme="minorHAnsi" w:cstheme="minorHAnsi"/>
          <w:sz w:val="28"/>
        </w:rPr>
        <w:t xml:space="preserve"> </w:t>
      </w:r>
      <w:r w:rsidRPr="00644A83">
        <w:rPr>
          <w:rFonts w:asciiTheme="minorHAnsi" w:hAnsiTheme="minorHAnsi" w:cstheme="minorHAnsi"/>
          <w:sz w:val="28"/>
        </w:rPr>
        <w:tab/>
      </w:r>
      <w:hyperlink r:id="rId17" w:history="1">
        <w:r w:rsidR="00CA721D">
          <w:rPr>
            <w:rStyle w:val="Hyperlink"/>
            <w:rFonts w:ascii="Calibri" w:hAnsi="Calibri" w:cs="Calibri"/>
            <w:sz w:val="24"/>
          </w:rPr>
          <w:t xml:space="preserve">http://bit.ly/ZTftq8 </w:t>
        </w:r>
      </w:hyperlink>
    </w:p>
    <w:tbl>
      <w:tblPr>
        <w:tblStyle w:val="TableGrid"/>
        <w:tblW w:w="850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ocial media"/>
        <w:tblDescription w:val="Two Links to profile pages"/>
      </w:tblPr>
      <w:tblGrid>
        <w:gridCol w:w="933"/>
        <w:gridCol w:w="2561"/>
        <w:gridCol w:w="646"/>
        <w:gridCol w:w="4445"/>
      </w:tblGrid>
      <w:tr w:rsidR="00644A83" w:rsidRPr="00644A83" w:rsidTr="00AC4852">
        <w:trPr>
          <w:tblHeader/>
        </w:trPr>
        <w:tc>
          <w:tcPr>
            <w:tcW w:w="1276" w:type="dxa"/>
          </w:tcPr>
          <w:p w:rsidR="00644A83" w:rsidRPr="00644A83" w:rsidRDefault="00644A83" w:rsidP="00AC4852">
            <w:pPr>
              <w:pStyle w:val="SocialMedia"/>
              <w:tabs>
                <w:tab w:val="clear" w:pos="4253"/>
                <w:tab w:val="left" w:pos="176"/>
              </w:tabs>
              <w:rPr>
                <w:rFonts w:asciiTheme="minorHAnsi" w:hAnsiTheme="minorHAnsi" w:cstheme="minorHAnsi"/>
                <w:sz w:val="28"/>
              </w:rPr>
            </w:pPr>
            <w:r w:rsidRPr="00644A83">
              <w:rPr>
                <w:rFonts w:asciiTheme="minorHAnsi" w:hAnsiTheme="minorHAnsi" w:cstheme="minorHAnsi"/>
                <w:sz w:val="28"/>
              </w:rPr>
              <w:tab/>
            </w:r>
            <w:r w:rsidRPr="00644A83">
              <w:rPr>
                <w:rFonts w:asciiTheme="minorHAnsi" w:hAnsiTheme="minorHAnsi" w:cstheme="minorHAnsi"/>
                <w:sz w:val="28"/>
              </w:rPr>
              <w:drawing>
                <wp:inline distT="0" distB="0" distL="0" distR="0" wp14:anchorId="40D16095" wp14:editId="3B72F8D7">
                  <wp:extent cx="338400" cy="273600"/>
                  <wp:effectExtent l="0" t="0" r="5080" b="0"/>
                  <wp:docPr id="15" name="Picture 15" descr="Twitter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_logo_blu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8400" cy="273600"/>
                          </a:xfrm>
                          <a:prstGeom prst="rect">
                            <a:avLst/>
                          </a:prstGeom>
                        </pic:spPr>
                      </pic:pic>
                    </a:graphicData>
                  </a:graphic>
                </wp:inline>
              </w:drawing>
            </w:r>
          </w:p>
        </w:tc>
        <w:tc>
          <w:tcPr>
            <w:tcW w:w="2835" w:type="dxa"/>
          </w:tcPr>
          <w:p w:rsidR="00644A83" w:rsidRPr="00644A83" w:rsidRDefault="00644A83" w:rsidP="00CF5FBB">
            <w:pPr>
              <w:pStyle w:val="SocialMedia"/>
              <w:rPr>
                <w:rFonts w:asciiTheme="minorHAnsi" w:hAnsiTheme="minorHAnsi" w:cstheme="minorHAnsi"/>
                <w:sz w:val="28"/>
              </w:rPr>
            </w:pPr>
            <w:r w:rsidRPr="00644A83">
              <w:rPr>
                <w:rFonts w:asciiTheme="minorHAnsi" w:hAnsiTheme="minorHAnsi" w:cstheme="minorHAnsi"/>
                <w:sz w:val="28"/>
              </w:rPr>
              <w:t xml:space="preserve">Follow us on Twitter: </w:t>
            </w:r>
            <w:hyperlink r:id="rId19" w:tooltip="View the DfE Twitter profile page" w:history="1">
              <w:r w:rsidR="00CF5FBB">
                <w:rPr>
                  <w:rStyle w:val="Hyperlink"/>
                  <w:rFonts w:asciiTheme="minorHAnsi" w:hAnsiTheme="minorHAnsi" w:cstheme="minorHAnsi"/>
                  <w:sz w:val="24"/>
                </w:rPr>
                <w:t>@Government_Women</w:t>
              </w:r>
            </w:hyperlink>
          </w:p>
        </w:tc>
        <w:tc>
          <w:tcPr>
            <w:tcW w:w="935" w:type="dxa"/>
          </w:tcPr>
          <w:p w:rsidR="00644A83" w:rsidRPr="00644A83" w:rsidRDefault="00644A83" w:rsidP="00AC4852">
            <w:pPr>
              <w:pStyle w:val="SocialMedia"/>
              <w:rPr>
                <w:rFonts w:asciiTheme="minorHAnsi" w:hAnsiTheme="minorHAnsi" w:cstheme="minorHAnsi"/>
                <w:sz w:val="28"/>
              </w:rPr>
            </w:pPr>
            <w:r w:rsidRPr="00644A83">
              <w:rPr>
                <w:rFonts w:asciiTheme="minorHAnsi" w:hAnsiTheme="minorHAnsi" w:cstheme="minorHAnsi"/>
                <w:sz w:val="28"/>
              </w:rPr>
              <w:drawing>
                <wp:inline distT="0" distB="0" distL="0" distR="0" wp14:anchorId="44C1193C" wp14:editId="3EF1F76D">
                  <wp:extent cx="273050" cy="273050"/>
                  <wp:effectExtent l="0" t="0" r="0" b="0"/>
                  <wp:docPr id="16" name="Picture 16" descr="Facebook"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t_f_logo_lg.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3050" cy="273050"/>
                          </a:xfrm>
                          <a:prstGeom prst="rect">
                            <a:avLst/>
                          </a:prstGeom>
                        </pic:spPr>
                      </pic:pic>
                    </a:graphicData>
                  </a:graphic>
                </wp:inline>
              </w:drawing>
            </w:r>
          </w:p>
        </w:tc>
        <w:tc>
          <w:tcPr>
            <w:tcW w:w="3459" w:type="dxa"/>
          </w:tcPr>
          <w:p w:rsidR="00644A83" w:rsidRPr="00644A83" w:rsidRDefault="00644A83" w:rsidP="00AC4852">
            <w:pPr>
              <w:pStyle w:val="SocialMedia"/>
              <w:rPr>
                <w:rFonts w:asciiTheme="minorHAnsi" w:hAnsiTheme="minorHAnsi" w:cstheme="minorHAnsi"/>
                <w:sz w:val="28"/>
              </w:rPr>
            </w:pPr>
            <w:r w:rsidRPr="00644A83">
              <w:rPr>
                <w:rFonts w:asciiTheme="minorHAnsi" w:hAnsiTheme="minorHAnsi" w:cstheme="minorHAnsi"/>
                <w:sz w:val="28"/>
              </w:rPr>
              <w:t>Like us on Facebook:</w:t>
            </w:r>
            <w:r w:rsidRPr="00644A83">
              <w:rPr>
                <w:rFonts w:asciiTheme="minorHAnsi" w:hAnsiTheme="minorHAnsi" w:cstheme="minorHAnsi"/>
                <w:sz w:val="28"/>
              </w:rPr>
              <w:br/>
            </w:r>
            <w:hyperlink r:id="rId21" w:tooltip="Link the DfE on Facebook" w:history="1">
              <w:r w:rsidR="00CF5FBB">
                <w:rPr>
                  <w:rStyle w:val="Hyperlink"/>
                  <w:rFonts w:asciiTheme="minorHAnsi" w:hAnsiTheme="minorHAnsi" w:cstheme="minorHAnsi"/>
                  <w:sz w:val="24"/>
                </w:rPr>
                <w:t>facebook.com/GovernmentEqualitiesOffice</w:t>
              </w:r>
            </w:hyperlink>
          </w:p>
        </w:tc>
      </w:tr>
    </w:tbl>
    <w:p w:rsidR="00644A83" w:rsidRPr="00644A83" w:rsidRDefault="00644A83" w:rsidP="00644A83">
      <w:pPr>
        <w:pStyle w:val="TableRowRight"/>
        <w:rPr>
          <w:rFonts w:asciiTheme="minorHAnsi" w:hAnsiTheme="minorHAnsi" w:cstheme="minorHAnsi"/>
          <w:sz w:val="28"/>
        </w:rPr>
      </w:pPr>
    </w:p>
    <w:sectPr w:rsidR="00644A83" w:rsidRPr="00644A83" w:rsidSect="00BF1559">
      <w:headerReference w:type="default" r:id="rId22"/>
      <w:footerReference w:type="default" r:id="rId23"/>
      <w:type w:val="continuous"/>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0324" w:rsidRDefault="006C0324" w:rsidP="00AA4EE8">
      <w:pPr>
        <w:spacing w:after="0" w:line="240" w:lineRule="auto"/>
      </w:pPr>
      <w:r>
        <w:separator/>
      </w:r>
    </w:p>
  </w:endnote>
  <w:endnote w:type="continuationSeparator" w:id="0">
    <w:p w:rsidR="006C0324" w:rsidRDefault="006C0324" w:rsidP="00AA4E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3810224"/>
      <w:docPartObj>
        <w:docPartGallery w:val="Page Numbers (Bottom of Page)"/>
        <w:docPartUnique/>
      </w:docPartObj>
    </w:sdtPr>
    <w:sdtEndPr>
      <w:rPr>
        <w:noProof/>
      </w:rPr>
    </w:sdtEndPr>
    <w:sdtContent>
      <w:p w:rsidR="00510274" w:rsidRDefault="00510274">
        <w:pPr>
          <w:pStyle w:val="Footer"/>
          <w:jc w:val="right"/>
        </w:pPr>
        <w:r>
          <w:fldChar w:fldCharType="begin"/>
        </w:r>
        <w:r>
          <w:instrText xml:space="preserve"> PAGE   \* MERGEFORMAT </w:instrText>
        </w:r>
        <w:r>
          <w:fldChar w:fldCharType="separate"/>
        </w:r>
        <w:r w:rsidR="00CA721D">
          <w:rPr>
            <w:noProof/>
          </w:rPr>
          <w:t>11</w:t>
        </w:r>
        <w:r>
          <w:rPr>
            <w:noProof/>
          </w:rPr>
          <w:fldChar w:fldCharType="end"/>
        </w:r>
      </w:p>
    </w:sdtContent>
  </w:sdt>
  <w:p w:rsidR="00510274" w:rsidRDefault="0051027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0324" w:rsidRDefault="006C0324" w:rsidP="00AA4EE8">
      <w:pPr>
        <w:spacing w:after="0" w:line="240" w:lineRule="auto"/>
      </w:pPr>
      <w:r>
        <w:separator/>
      </w:r>
    </w:p>
  </w:footnote>
  <w:footnote w:type="continuationSeparator" w:id="0">
    <w:p w:rsidR="006C0324" w:rsidRDefault="006C0324" w:rsidP="00AA4EE8">
      <w:pPr>
        <w:spacing w:after="0" w:line="240" w:lineRule="auto"/>
      </w:pPr>
      <w:r>
        <w:continuationSeparator/>
      </w:r>
    </w:p>
  </w:footnote>
  <w:footnote w:id="1">
    <w:p w:rsidR="00221D42" w:rsidRPr="00486E41" w:rsidRDefault="00221D42" w:rsidP="00221D42">
      <w:pPr>
        <w:pStyle w:val="FootnoteText"/>
        <w:rPr>
          <w:sz w:val="22"/>
        </w:rPr>
      </w:pPr>
      <w:r w:rsidRPr="00486E41">
        <w:rPr>
          <w:rStyle w:val="FootnoteReference"/>
          <w:sz w:val="22"/>
        </w:rPr>
        <w:footnoteRef/>
      </w:r>
      <w:r w:rsidRPr="00486E41">
        <w:rPr>
          <w:sz w:val="22"/>
        </w:rPr>
        <w:t xml:space="preserve"> </w:t>
      </w:r>
      <w:proofErr w:type="spellStart"/>
      <w:proofErr w:type="gramStart"/>
      <w:r w:rsidRPr="00486E41">
        <w:rPr>
          <w:sz w:val="22"/>
        </w:rPr>
        <w:t>Burrowes</w:t>
      </w:r>
      <w:proofErr w:type="spellEnd"/>
      <w:r w:rsidRPr="00486E41">
        <w:rPr>
          <w:sz w:val="22"/>
        </w:rPr>
        <w:t>, N. 2013.</w:t>
      </w:r>
      <w:proofErr w:type="gramEnd"/>
      <w:r w:rsidRPr="00486E41">
        <w:rPr>
          <w:sz w:val="22"/>
        </w:rPr>
        <w:t xml:space="preserve"> Body confidence: a rapid evidence assessment of the literature. </w:t>
      </w:r>
      <w:proofErr w:type="gramStart"/>
      <w:r w:rsidRPr="00486E41">
        <w:rPr>
          <w:sz w:val="22"/>
        </w:rPr>
        <w:t>Government Equalities Office.</w:t>
      </w:r>
      <w:proofErr w:type="gramEnd"/>
      <w:r w:rsidRPr="00486E41">
        <w:rPr>
          <w:sz w:val="22"/>
        </w:rPr>
        <w:t xml:space="preserve"> </w:t>
      </w:r>
    </w:p>
  </w:footnote>
  <w:footnote w:id="2">
    <w:p w:rsidR="00221D42" w:rsidRPr="00486E41" w:rsidRDefault="00221D42" w:rsidP="00221D42">
      <w:pPr>
        <w:pStyle w:val="FootnoteText"/>
        <w:rPr>
          <w:sz w:val="22"/>
        </w:rPr>
      </w:pPr>
      <w:r w:rsidRPr="00486E41">
        <w:rPr>
          <w:rStyle w:val="FootnoteReference"/>
          <w:sz w:val="22"/>
        </w:rPr>
        <w:footnoteRef/>
      </w:r>
      <w:r w:rsidRPr="00486E41">
        <w:rPr>
          <w:sz w:val="22"/>
        </w:rPr>
        <w:t xml:space="preserve"> </w:t>
      </w:r>
      <w:proofErr w:type="spellStart"/>
      <w:proofErr w:type="gramStart"/>
      <w:r w:rsidRPr="00486E41">
        <w:rPr>
          <w:sz w:val="22"/>
        </w:rPr>
        <w:t>Puhl</w:t>
      </w:r>
      <w:proofErr w:type="spellEnd"/>
      <w:r w:rsidRPr="00486E41">
        <w:rPr>
          <w:sz w:val="22"/>
        </w:rPr>
        <w:t xml:space="preserve">, R. &amp; </w:t>
      </w:r>
      <w:proofErr w:type="spellStart"/>
      <w:r w:rsidRPr="00486E41">
        <w:rPr>
          <w:sz w:val="22"/>
        </w:rPr>
        <w:t>Latner</w:t>
      </w:r>
      <w:proofErr w:type="spellEnd"/>
      <w:r w:rsidRPr="00486E41">
        <w:rPr>
          <w:sz w:val="22"/>
        </w:rPr>
        <w:t>, J. D. 2007.</w:t>
      </w:r>
      <w:proofErr w:type="gramEnd"/>
      <w:r w:rsidRPr="00486E41">
        <w:rPr>
          <w:sz w:val="22"/>
        </w:rPr>
        <w:t xml:space="preserve"> </w:t>
      </w:r>
      <w:proofErr w:type="gramStart"/>
      <w:r w:rsidRPr="00486E41">
        <w:rPr>
          <w:sz w:val="22"/>
        </w:rPr>
        <w:t>Stigma, obesity and the health of a nation’s children.</w:t>
      </w:r>
      <w:proofErr w:type="gramEnd"/>
      <w:r w:rsidRPr="00486E41">
        <w:rPr>
          <w:sz w:val="22"/>
        </w:rPr>
        <w:t xml:space="preserve"> </w:t>
      </w:r>
      <w:proofErr w:type="gramStart"/>
      <w:r w:rsidRPr="00486E41">
        <w:rPr>
          <w:sz w:val="22"/>
        </w:rPr>
        <w:t>Psychological Bulletin.</w:t>
      </w:r>
      <w:proofErr w:type="gramEnd"/>
      <w:r w:rsidRPr="00486E41">
        <w:rPr>
          <w:sz w:val="22"/>
        </w:rPr>
        <w:t xml:space="preserve"> 133: 557-580.</w:t>
      </w:r>
    </w:p>
  </w:footnote>
  <w:footnote w:id="3">
    <w:p w:rsidR="00221D42" w:rsidRPr="00486E41" w:rsidRDefault="00221D42" w:rsidP="00221D42">
      <w:pPr>
        <w:pStyle w:val="FootnoteText"/>
        <w:rPr>
          <w:sz w:val="22"/>
        </w:rPr>
      </w:pPr>
      <w:r w:rsidRPr="00486E41">
        <w:rPr>
          <w:rStyle w:val="FootnoteReference"/>
          <w:sz w:val="22"/>
        </w:rPr>
        <w:footnoteRef/>
      </w:r>
      <w:r w:rsidRPr="00486E41">
        <w:rPr>
          <w:sz w:val="22"/>
        </w:rPr>
        <w:t xml:space="preserve"> </w:t>
      </w:r>
      <w:proofErr w:type="spellStart"/>
      <w:proofErr w:type="gramStart"/>
      <w:r w:rsidRPr="00486E41">
        <w:rPr>
          <w:sz w:val="22"/>
        </w:rPr>
        <w:t>Cohane</w:t>
      </w:r>
      <w:proofErr w:type="spellEnd"/>
      <w:r w:rsidRPr="00486E41">
        <w:rPr>
          <w:sz w:val="22"/>
        </w:rPr>
        <w:t>, G. &amp; Pope, H. 2001.</w:t>
      </w:r>
      <w:proofErr w:type="gramEnd"/>
      <w:r w:rsidRPr="00486E41">
        <w:rPr>
          <w:sz w:val="22"/>
        </w:rPr>
        <w:t xml:space="preserve"> Body image in boys: a review of the literature. </w:t>
      </w:r>
      <w:proofErr w:type="gramStart"/>
      <w:r w:rsidRPr="00486E41">
        <w:rPr>
          <w:sz w:val="22"/>
        </w:rPr>
        <w:t>The International Journal of Eating Disorders.</w:t>
      </w:r>
      <w:proofErr w:type="gramEnd"/>
      <w:r w:rsidRPr="00486E41">
        <w:rPr>
          <w:sz w:val="22"/>
        </w:rPr>
        <w:t xml:space="preserve"> 29(4): 373-379. </w:t>
      </w:r>
    </w:p>
  </w:footnote>
  <w:footnote w:id="4">
    <w:p w:rsidR="00221D42" w:rsidRPr="00486E41" w:rsidRDefault="00221D42" w:rsidP="00221D42">
      <w:pPr>
        <w:pStyle w:val="FootnoteText"/>
        <w:rPr>
          <w:sz w:val="22"/>
        </w:rPr>
      </w:pPr>
      <w:r w:rsidRPr="00486E41">
        <w:rPr>
          <w:rStyle w:val="FootnoteReference"/>
          <w:sz w:val="22"/>
        </w:rPr>
        <w:footnoteRef/>
      </w:r>
      <w:r w:rsidRPr="00486E41">
        <w:rPr>
          <w:sz w:val="22"/>
        </w:rPr>
        <w:t xml:space="preserve"> </w:t>
      </w:r>
      <w:proofErr w:type="gramStart"/>
      <w:r w:rsidRPr="00486E41">
        <w:rPr>
          <w:sz w:val="22"/>
        </w:rPr>
        <w:t xml:space="preserve">Van den Berg, P. &amp; </w:t>
      </w:r>
      <w:proofErr w:type="spellStart"/>
      <w:r w:rsidRPr="00486E41">
        <w:rPr>
          <w:sz w:val="22"/>
        </w:rPr>
        <w:t>Neumark-SZtainer</w:t>
      </w:r>
      <w:proofErr w:type="spellEnd"/>
      <w:r w:rsidRPr="00486E41">
        <w:rPr>
          <w:sz w:val="22"/>
        </w:rPr>
        <w:t>, D. 2007.</w:t>
      </w:r>
      <w:proofErr w:type="gramEnd"/>
      <w:r w:rsidRPr="00486E41">
        <w:rPr>
          <w:sz w:val="22"/>
        </w:rPr>
        <w:t xml:space="preserve"> </w:t>
      </w:r>
      <w:proofErr w:type="spellStart"/>
      <w:r w:rsidRPr="00486E41">
        <w:rPr>
          <w:sz w:val="22"/>
        </w:rPr>
        <w:t>Fatn</w:t>
      </w:r>
      <w:proofErr w:type="spellEnd"/>
      <w:r w:rsidRPr="00486E41">
        <w:rPr>
          <w:sz w:val="22"/>
        </w:rPr>
        <w:t xml:space="preserve"> ‘n’ Happy 5 years later: is it bad for overweight girls to like their bodies? </w:t>
      </w:r>
      <w:proofErr w:type="gramStart"/>
      <w:r w:rsidRPr="00486E41">
        <w:rPr>
          <w:sz w:val="22"/>
        </w:rPr>
        <w:t>Journal of Adolescent Health.</w:t>
      </w:r>
      <w:proofErr w:type="gramEnd"/>
      <w:r w:rsidRPr="00486E41">
        <w:rPr>
          <w:sz w:val="22"/>
        </w:rPr>
        <w:t xml:space="preserve"> 41: 415-417.</w:t>
      </w:r>
    </w:p>
  </w:footnote>
  <w:footnote w:id="5">
    <w:p w:rsidR="00221D42" w:rsidRDefault="00221D42" w:rsidP="00221D42">
      <w:pPr>
        <w:pStyle w:val="FootnoteText"/>
      </w:pPr>
      <w:r w:rsidRPr="00486E41">
        <w:rPr>
          <w:rStyle w:val="FootnoteReference"/>
          <w:sz w:val="22"/>
        </w:rPr>
        <w:footnoteRef/>
      </w:r>
      <w:r w:rsidRPr="00486E41">
        <w:rPr>
          <w:sz w:val="22"/>
        </w:rPr>
        <w:t xml:space="preserve"> </w:t>
      </w:r>
      <w:proofErr w:type="gramStart"/>
      <w:r w:rsidRPr="00486E41">
        <w:rPr>
          <w:sz w:val="22"/>
        </w:rPr>
        <w:t xml:space="preserve">Littleton, </w:t>
      </w:r>
      <w:proofErr w:type="spellStart"/>
      <w:r w:rsidRPr="00486E41">
        <w:rPr>
          <w:sz w:val="22"/>
        </w:rPr>
        <w:t>Radecki</w:t>
      </w:r>
      <w:proofErr w:type="spellEnd"/>
      <w:r w:rsidRPr="00486E41">
        <w:rPr>
          <w:sz w:val="22"/>
        </w:rPr>
        <w:t xml:space="preserve">, </w:t>
      </w:r>
      <w:proofErr w:type="spellStart"/>
      <w:r w:rsidRPr="00486E41">
        <w:rPr>
          <w:sz w:val="22"/>
        </w:rPr>
        <w:t>Britkopf</w:t>
      </w:r>
      <w:proofErr w:type="spellEnd"/>
      <w:r w:rsidRPr="00486E41">
        <w:rPr>
          <w:sz w:val="22"/>
        </w:rPr>
        <w:t>, &amp; Berenson, 2005.</w:t>
      </w:r>
      <w:proofErr w:type="gramEnd"/>
    </w:p>
  </w:footnote>
  <w:footnote w:id="6">
    <w:p w:rsidR="00221D42" w:rsidRPr="00486E41" w:rsidRDefault="00221D42" w:rsidP="00221D42">
      <w:pPr>
        <w:pStyle w:val="FootnoteText"/>
        <w:rPr>
          <w:sz w:val="22"/>
        </w:rPr>
      </w:pPr>
      <w:r w:rsidRPr="00486E41">
        <w:rPr>
          <w:rStyle w:val="FootnoteReference"/>
          <w:sz w:val="22"/>
        </w:rPr>
        <w:footnoteRef/>
      </w:r>
      <w:r w:rsidRPr="00486E41">
        <w:rPr>
          <w:sz w:val="22"/>
        </w:rPr>
        <w:t xml:space="preserve"> Centre for Appearance Research, 2012</w:t>
      </w:r>
    </w:p>
  </w:footnote>
  <w:footnote w:id="7">
    <w:p w:rsidR="00221D42" w:rsidRPr="00486E41" w:rsidRDefault="00221D42" w:rsidP="00221D42">
      <w:pPr>
        <w:pStyle w:val="FootnoteText"/>
        <w:rPr>
          <w:sz w:val="22"/>
        </w:rPr>
      </w:pPr>
      <w:r w:rsidRPr="00486E41">
        <w:rPr>
          <w:rStyle w:val="FootnoteReference"/>
          <w:sz w:val="22"/>
        </w:rPr>
        <w:footnoteRef/>
      </w:r>
      <w:r w:rsidRPr="00486E41">
        <w:rPr>
          <w:sz w:val="22"/>
        </w:rPr>
        <w:t xml:space="preserve"> </w:t>
      </w:r>
      <w:proofErr w:type="spellStart"/>
      <w:proofErr w:type="gramStart"/>
      <w:r w:rsidRPr="00486E41">
        <w:rPr>
          <w:sz w:val="22"/>
        </w:rPr>
        <w:t>Algars</w:t>
      </w:r>
      <w:proofErr w:type="spellEnd"/>
      <w:r w:rsidRPr="00486E41">
        <w:rPr>
          <w:sz w:val="22"/>
        </w:rPr>
        <w:t xml:space="preserve"> et al. 2009; Frederick, Forbes, </w:t>
      </w:r>
      <w:proofErr w:type="spellStart"/>
      <w:r w:rsidRPr="00486E41">
        <w:rPr>
          <w:sz w:val="22"/>
        </w:rPr>
        <w:t>Grigorian</w:t>
      </w:r>
      <w:proofErr w:type="spellEnd"/>
      <w:r w:rsidRPr="00486E41">
        <w:rPr>
          <w:sz w:val="22"/>
        </w:rPr>
        <w:t xml:space="preserve"> &amp; </w:t>
      </w:r>
      <w:proofErr w:type="spellStart"/>
      <w:r w:rsidRPr="00486E41">
        <w:rPr>
          <w:sz w:val="22"/>
        </w:rPr>
        <w:t>Jarcho</w:t>
      </w:r>
      <w:proofErr w:type="spellEnd"/>
      <w:r w:rsidRPr="00486E41">
        <w:rPr>
          <w:sz w:val="22"/>
        </w:rPr>
        <w:t xml:space="preserve">, 2007; Krauss, Paxton &amp; </w:t>
      </w:r>
      <w:proofErr w:type="spellStart"/>
      <w:r w:rsidRPr="00486E41">
        <w:rPr>
          <w:sz w:val="22"/>
        </w:rPr>
        <w:t>Alasker</w:t>
      </w:r>
      <w:proofErr w:type="spellEnd"/>
      <w:r w:rsidRPr="00486E41">
        <w:rPr>
          <w:sz w:val="22"/>
        </w:rPr>
        <w:t xml:space="preserve"> 2007; Wardle, </w:t>
      </w:r>
      <w:proofErr w:type="spellStart"/>
      <w:r w:rsidRPr="00486E41">
        <w:rPr>
          <w:sz w:val="22"/>
        </w:rPr>
        <w:t>Hease</w:t>
      </w:r>
      <w:proofErr w:type="spellEnd"/>
      <w:r w:rsidRPr="00486E41">
        <w:rPr>
          <w:sz w:val="22"/>
        </w:rPr>
        <w:t>, &amp; Steptoe, 2006.</w:t>
      </w:r>
      <w:proofErr w:type="gramEnd"/>
    </w:p>
  </w:footnote>
  <w:footnote w:id="8">
    <w:p w:rsidR="00221D42" w:rsidRPr="00486E41" w:rsidRDefault="00221D42" w:rsidP="00221D42">
      <w:pPr>
        <w:pStyle w:val="FootnoteText"/>
        <w:rPr>
          <w:sz w:val="22"/>
        </w:rPr>
      </w:pPr>
      <w:r w:rsidRPr="00486E41">
        <w:rPr>
          <w:rStyle w:val="FootnoteReference"/>
          <w:sz w:val="22"/>
        </w:rPr>
        <w:footnoteRef/>
      </w:r>
      <w:r w:rsidRPr="00486E41">
        <w:rPr>
          <w:sz w:val="22"/>
        </w:rPr>
        <w:t xml:space="preserve"> YMCA, </w:t>
      </w:r>
      <w:proofErr w:type="spellStart"/>
      <w:r w:rsidRPr="00486E41">
        <w:rPr>
          <w:sz w:val="22"/>
        </w:rPr>
        <w:t>ComRes</w:t>
      </w:r>
      <w:proofErr w:type="spellEnd"/>
      <w:r w:rsidRPr="00486E41">
        <w:rPr>
          <w:sz w:val="22"/>
        </w:rPr>
        <w:t xml:space="preserve"> Poll, Attitudes to Body Image in the UK; </w:t>
      </w:r>
      <w:proofErr w:type="spellStart"/>
      <w:r w:rsidRPr="00486E41">
        <w:rPr>
          <w:sz w:val="22"/>
        </w:rPr>
        <w:t>Girlguiding</w:t>
      </w:r>
      <w:proofErr w:type="spellEnd"/>
      <w:r w:rsidRPr="00486E41">
        <w:rPr>
          <w:sz w:val="22"/>
        </w:rPr>
        <w:t xml:space="preserve"> UK, Girls Attitudes Survey 2011</w:t>
      </w:r>
    </w:p>
  </w:footnote>
  <w:footnote w:id="9">
    <w:p w:rsidR="00221D42" w:rsidRDefault="00221D42" w:rsidP="00221D42">
      <w:pPr>
        <w:pStyle w:val="FootnoteText"/>
      </w:pPr>
      <w:r w:rsidRPr="00486E41">
        <w:rPr>
          <w:rStyle w:val="FootnoteReference"/>
          <w:sz w:val="22"/>
        </w:rPr>
        <w:footnoteRef/>
      </w:r>
      <w:r w:rsidR="00F84D1B" w:rsidRPr="00486E41">
        <w:rPr>
          <w:sz w:val="22"/>
        </w:rPr>
        <w:t xml:space="preserve"> McLaren and </w:t>
      </w:r>
      <w:proofErr w:type="spellStart"/>
      <w:r w:rsidR="00F84D1B" w:rsidRPr="00486E41">
        <w:rPr>
          <w:sz w:val="22"/>
        </w:rPr>
        <w:t>Kuh</w:t>
      </w:r>
      <w:proofErr w:type="spellEnd"/>
      <w:r w:rsidR="00F84D1B" w:rsidRPr="00486E41">
        <w:rPr>
          <w:sz w:val="22"/>
        </w:rPr>
        <w:t xml:space="preserve"> 2004, cited in </w:t>
      </w:r>
      <w:proofErr w:type="spellStart"/>
      <w:r w:rsidR="00F84D1B" w:rsidRPr="00486E41">
        <w:rPr>
          <w:sz w:val="22"/>
        </w:rPr>
        <w:t>Burrowes</w:t>
      </w:r>
      <w:proofErr w:type="spellEnd"/>
      <w:r w:rsidR="00F84D1B" w:rsidRPr="00486E41">
        <w:rPr>
          <w:sz w:val="22"/>
        </w:rPr>
        <w:t xml:space="preserve"> N, 2013, Body Image – a rapid evidence assessment of the literature, Government Equalities Office 2013.</w:t>
      </w:r>
    </w:p>
  </w:footnote>
  <w:footnote w:id="10">
    <w:p w:rsidR="00221D42" w:rsidRDefault="00221D42" w:rsidP="00221D42">
      <w:pPr>
        <w:pStyle w:val="FootnoteText"/>
      </w:pPr>
      <w:r w:rsidRPr="00486E41">
        <w:rPr>
          <w:rStyle w:val="FootnoteReference"/>
          <w:sz w:val="22"/>
        </w:rPr>
        <w:footnoteRef/>
      </w:r>
      <w:r w:rsidR="00F84D1B" w:rsidRPr="00486E41">
        <w:rPr>
          <w:sz w:val="22"/>
        </w:rPr>
        <w:t xml:space="preserve"> </w:t>
      </w:r>
      <w:proofErr w:type="spellStart"/>
      <w:proofErr w:type="gramStart"/>
      <w:r w:rsidR="00F84D1B" w:rsidRPr="00486E41">
        <w:rPr>
          <w:sz w:val="22"/>
        </w:rPr>
        <w:t>Burrowes</w:t>
      </w:r>
      <w:proofErr w:type="spellEnd"/>
      <w:r w:rsidR="00F84D1B" w:rsidRPr="00486E41">
        <w:rPr>
          <w:sz w:val="22"/>
        </w:rPr>
        <w:t xml:space="preserve"> 2013, ibid.</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559" w:rsidRDefault="00BF15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D36D93"/>
    <w:multiLevelType w:val="hybridMultilevel"/>
    <w:tmpl w:val="120005BE"/>
    <w:lvl w:ilvl="0" w:tplc="B3C6258E">
      <w:numFmt w:val="bullet"/>
      <w:lvlText w:val="-"/>
      <w:lvlJc w:val="left"/>
      <w:pPr>
        <w:ind w:left="360" w:hanging="360"/>
      </w:pPr>
      <w:rPr>
        <w:rFonts w:ascii="Arial" w:eastAsiaTheme="minorEastAsia" w:hAnsi="Arial" w:cs="Arial" w:hint="default"/>
        <w:color w:val="auto"/>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nsid w:val="12337472"/>
    <w:multiLevelType w:val="hybridMultilevel"/>
    <w:tmpl w:val="B468A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49E3558"/>
    <w:multiLevelType w:val="hybridMultilevel"/>
    <w:tmpl w:val="72860B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DAD3D4D"/>
    <w:multiLevelType w:val="hybridMultilevel"/>
    <w:tmpl w:val="DCCAE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0E77A4E"/>
    <w:multiLevelType w:val="hybridMultilevel"/>
    <w:tmpl w:val="C3D416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2D4F6556"/>
    <w:multiLevelType w:val="hybridMultilevel"/>
    <w:tmpl w:val="43908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F923E05"/>
    <w:multiLevelType w:val="hybridMultilevel"/>
    <w:tmpl w:val="636EDB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00F7E9F"/>
    <w:multiLevelType w:val="hybridMultilevel"/>
    <w:tmpl w:val="1EA61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4FE025D"/>
    <w:multiLevelType w:val="hybridMultilevel"/>
    <w:tmpl w:val="C4E40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8065B91"/>
    <w:multiLevelType w:val="hybridMultilevel"/>
    <w:tmpl w:val="388E14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4B497D03"/>
    <w:multiLevelType w:val="hybridMultilevel"/>
    <w:tmpl w:val="AF721C9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nsid w:val="4F8970EF"/>
    <w:multiLevelType w:val="hybridMultilevel"/>
    <w:tmpl w:val="850229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60A42F40"/>
    <w:multiLevelType w:val="hybridMultilevel"/>
    <w:tmpl w:val="B7B07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1C63F99"/>
    <w:multiLevelType w:val="hybridMultilevel"/>
    <w:tmpl w:val="12324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80673DE"/>
    <w:multiLevelType w:val="hybridMultilevel"/>
    <w:tmpl w:val="EA346FE4"/>
    <w:lvl w:ilvl="0" w:tplc="89D2DA22">
      <w:numFmt w:val="bullet"/>
      <w:lvlText w:val="-"/>
      <w:lvlJc w:val="left"/>
      <w:pPr>
        <w:ind w:left="1494" w:hanging="360"/>
      </w:pPr>
      <w:rPr>
        <w:rFonts w:ascii="Calibri" w:eastAsiaTheme="minorHAnsi" w:hAnsi="Calibri" w:cs="Calibri"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5">
    <w:nsid w:val="6A4827AF"/>
    <w:multiLevelType w:val="hybridMultilevel"/>
    <w:tmpl w:val="589CB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B9D3071"/>
    <w:multiLevelType w:val="hybridMultilevel"/>
    <w:tmpl w:val="9CD071F2"/>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nsid w:val="71A64280"/>
    <w:multiLevelType w:val="hybridMultilevel"/>
    <w:tmpl w:val="FA9E4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
  </w:num>
  <w:num w:numId="4">
    <w:abstractNumId w:val="4"/>
  </w:num>
  <w:num w:numId="5">
    <w:abstractNumId w:val="10"/>
  </w:num>
  <w:num w:numId="6">
    <w:abstractNumId w:val="16"/>
  </w:num>
  <w:num w:numId="7">
    <w:abstractNumId w:val="14"/>
  </w:num>
  <w:num w:numId="8">
    <w:abstractNumId w:val="9"/>
  </w:num>
  <w:num w:numId="9">
    <w:abstractNumId w:val="6"/>
  </w:num>
  <w:num w:numId="10">
    <w:abstractNumId w:val="15"/>
  </w:num>
  <w:num w:numId="11">
    <w:abstractNumId w:val="17"/>
  </w:num>
  <w:num w:numId="12">
    <w:abstractNumId w:val="7"/>
  </w:num>
  <w:num w:numId="13">
    <w:abstractNumId w:val="2"/>
  </w:num>
  <w:num w:numId="14">
    <w:abstractNumId w:val="11"/>
  </w:num>
  <w:num w:numId="15">
    <w:abstractNumId w:val="3"/>
  </w:num>
  <w:num w:numId="16">
    <w:abstractNumId w:val="12"/>
  </w:num>
  <w:num w:numId="17">
    <w:abstractNumId w:val="8"/>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4EE8"/>
    <w:rsid w:val="00001C42"/>
    <w:rsid w:val="00020298"/>
    <w:rsid w:val="00023F20"/>
    <w:rsid w:val="00033905"/>
    <w:rsid w:val="0006260B"/>
    <w:rsid w:val="00085CCA"/>
    <w:rsid w:val="00094869"/>
    <w:rsid w:val="000C4A91"/>
    <w:rsid w:val="0011511F"/>
    <w:rsid w:val="0011634F"/>
    <w:rsid w:val="00120C0C"/>
    <w:rsid w:val="00142653"/>
    <w:rsid w:val="001606D3"/>
    <w:rsid w:val="00192249"/>
    <w:rsid w:val="001B13D8"/>
    <w:rsid w:val="001B17BF"/>
    <w:rsid w:val="001C718A"/>
    <w:rsid w:val="001D49C3"/>
    <w:rsid w:val="001F7737"/>
    <w:rsid w:val="00220227"/>
    <w:rsid w:val="00221D42"/>
    <w:rsid w:val="00230668"/>
    <w:rsid w:val="0023762C"/>
    <w:rsid w:val="00266636"/>
    <w:rsid w:val="00281A47"/>
    <w:rsid w:val="002960BF"/>
    <w:rsid w:val="002B0188"/>
    <w:rsid w:val="002B49E0"/>
    <w:rsid w:val="002C351C"/>
    <w:rsid w:val="002C5D8C"/>
    <w:rsid w:val="003062C3"/>
    <w:rsid w:val="00323AA9"/>
    <w:rsid w:val="0034187B"/>
    <w:rsid w:val="00356EEF"/>
    <w:rsid w:val="00360A1B"/>
    <w:rsid w:val="00361CEB"/>
    <w:rsid w:val="00374C2C"/>
    <w:rsid w:val="00393599"/>
    <w:rsid w:val="003A41EB"/>
    <w:rsid w:val="003A610F"/>
    <w:rsid w:val="003A7F0E"/>
    <w:rsid w:val="003B0481"/>
    <w:rsid w:val="00406253"/>
    <w:rsid w:val="00433C09"/>
    <w:rsid w:val="00440C4D"/>
    <w:rsid w:val="004449E6"/>
    <w:rsid w:val="00451095"/>
    <w:rsid w:val="00452967"/>
    <w:rsid w:val="0045435F"/>
    <w:rsid w:val="0047593C"/>
    <w:rsid w:val="00486E41"/>
    <w:rsid w:val="004A2BB8"/>
    <w:rsid w:val="004B163E"/>
    <w:rsid w:val="004C41F7"/>
    <w:rsid w:val="004D5712"/>
    <w:rsid w:val="004F0A01"/>
    <w:rsid w:val="004F416F"/>
    <w:rsid w:val="00510274"/>
    <w:rsid w:val="005401E6"/>
    <w:rsid w:val="00546DEE"/>
    <w:rsid w:val="005505CE"/>
    <w:rsid w:val="00554610"/>
    <w:rsid w:val="00571AAD"/>
    <w:rsid w:val="00573BFA"/>
    <w:rsid w:val="0059569A"/>
    <w:rsid w:val="005D093B"/>
    <w:rsid w:val="005D31B4"/>
    <w:rsid w:val="005E2989"/>
    <w:rsid w:val="005E423F"/>
    <w:rsid w:val="005F0326"/>
    <w:rsid w:val="0063233B"/>
    <w:rsid w:val="00644A83"/>
    <w:rsid w:val="006A628A"/>
    <w:rsid w:val="006A65FC"/>
    <w:rsid w:val="006C0324"/>
    <w:rsid w:val="006F58D3"/>
    <w:rsid w:val="006F6CF7"/>
    <w:rsid w:val="00701343"/>
    <w:rsid w:val="00711DFD"/>
    <w:rsid w:val="00720D1C"/>
    <w:rsid w:val="00742D07"/>
    <w:rsid w:val="00750387"/>
    <w:rsid w:val="0078049B"/>
    <w:rsid w:val="007867B3"/>
    <w:rsid w:val="007867D2"/>
    <w:rsid w:val="007A1119"/>
    <w:rsid w:val="007D2546"/>
    <w:rsid w:val="007D4FA6"/>
    <w:rsid w:val="007E669F"/>
    <w:rsid w:val="007F120E"/>
    <w:rsid w:val="00831679"/>
    <w:rsid w:val="00833AD3"/>
    <w:rsid w:val="008443C0"/>
    <w:rsid w:val="00850FE4"/>
    <w:rsid w:val="00851275"/>
    <w:rsid w:val="008568C9"/>
    <w:rsid w:val="008603D7"/>
    <w:rsid w:val="0089178F"/>
    <w:rsid w:val="008A3B5D"/>
    <w:rsid w:val="008C2CEE"/>
    <w:rsid w:val="008C4444"/>
    <w:rsid w:val="008D135E"/>
    <w:rsid w:val="008F27C2"/>
    <w:rsid w:val="008F3896"/>
    <w:rsid w:val="00917D71"/>
    <w:rsid w:val="009322C2"/>
    <w:rsid w:val="009435DE"/>
    <w:rsid w:val="009437BE"/>
    <w:rsid w:val="00965B4B"/>
    <w:rsid w:val="009C0EA9"/>
    <w:rsid w:val="00A03BE3"/>
    <w:rsid w:val="00A358ED"/>
    <w:rsid w:val="00A639AB"/>
    <w:rsid w:val="00A63ADC"/>
    <w:rsid w:val="00A74DF2"/>
    <w:rsid w:val="00A77115"/>
    <w:rsid w:val="00A80E3A"/>
    <w:rsid w:val="00A83378"/>
    <w:rsid w:val="00AA4EE8"/>
    <w:rsid w:val="00AA5DEF"/>
    <w:rsid w:val="00AB3C61"/>
    <w:rsid w:val="00AB4E4E"/>
    <w:rsid w:val="00AC2192"/>
    <w:rsid w:val="00AC43B2"/>
    <w:rsid w:val="00AD6A8D"/>
    <w:rsid w:val="00AE7786"/>
    <w:rsid w:val="00B0452B"/>
    <w:rsid w:val="00B17E66"/>
    <w:rsid w:val="00B608CB"/>
    <w:rsid w:val="00B81752"/>
    <w:rsid w:val="00B8421E"/>
    <w:rsid w:val="00B90111"/>
    <w:rsid w:val="00B94DD4"/>
    <w:rsid w:val="00B959D8"/>
    <w:rsid w:val="00BB17DB"/>
    <w:rsid w:val="00BB4FA6"/>
    <w:rsid w:val="00BD6E0B"/>
    <w:rsid w:val="00BE12FE"/>
    <w:rsid w:val="00BF1559"/>
    <w:rsid w:val="00C0145F"/>
    <w:rsid w:val="00C27025"/>
    <w:rsid w:val="00C3125C"/>
    <w:rsid w:val="00C36335"/>
    <w:rsid w:val="00C44767"/>
    <w:rsid w:val="00C45B75"/>
    <w:rsid w:val="00C617D8"/>
    <w:rsid w:val="00CA721D"/>
    <w:rsid w:val="00CC2389"/>
    <w:rsid w:val="00CD1918"/>
    <w:rsid w:val="00CF5FBB"/>
    <w:rsid w:val="00D00D5E"/>
    <w:rsid w:val="00D03E19"/>
    <w:rsid w:val="00D411A0"/>
    <w:rsid w:val="00D602DA"/>
    <w:rsid w:val="00D70336"/>
    <w:rsid w:val="00D87CCF"/>
    <w:rsid w:val="00DC4239"/>
    <w:rsid w:val="00DD0E29"/>
    <w:rsid w:val="00DD4440"/>
    <w:rsid w:val="00DE3FD2"/>
    <w:rsid w:val="00DE734D"/>
    <w:rsid w:val="00E01A7C"/>
    <w:rsid w:val="00E16E4F"/>
    <w:rsid w:val="00E22C8B"/>
    <w:rsid w:val="00E406F6"/>
    <w:rsid w:val="00E53968"/>
    <w:rsid w:val="00E5396A"/>
    <w:rsid w:val="00E63CC3"/>
    <w:rsid w:val="00E67AE1"/>
    <w:rsid w:val="00E81E2D"/>
    <w:rsid w:val="00E90298"/>
    <w:rsid w:val="00E920D6"/>
    <w:rsid w:val="00E95838"/>
    <w:rsid w:val="00EA780B"/>
    <w:rsid w:val="00EB12F1"/>
    <w:rsid w:val="00ED7E93"/>
    <w:rsid w:val="00EF51D0"/>
    <w:rsid w:val="00F01721"/>
    <w:rsid w:val="00F12AA1"/>
    <w:rsid w:val="00F26261"/>
    <w:rsid w:val="00F44978"/>
    <w:rsid w:val="00F473B0"/>
    <w:rsid w:val="00F60C73"/>
    <w:rsid w:val="00F630F3"/>
    <w:rsid w:val="00F84D1B"/>
    <w:rsid w:val="00FA276C"/>
    <w:rsid w:val="00FA5B76"/>
    <w:rsid w:val="00FA7BA2"/>
    <w:rsid w:val="00FD04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D4440"/>
    <w:pPr>
      <w:keepNext/>
      <w:keepLines/>
      <w:spacing w:before="480" w:after="240"/>
      <w:outlineLvl w:val="0"/>
    </w:pPr>
    <w:rPr>
      <w:rFonts w:eastAsiaTheme="majorEastAsia" w:cstheme="minorHAnsi"/>
      <w:b/>
      <w:bCs/>
      <w:color w:val="365F91" w:themeColor="accent1" w:themeShade="BF"/>
      <w:sz w:val="32"/>
      <w:szCs w:val="28"/>
    </w:rPr>
  </w:style>
  <w:style w:type="paragraph" w:styleId="Heading2">
    <w:name w:val="heading 2"/>
    <w:basedOn w:val="Normal"/>
    <w:next w:val="Normal"/>
    <w:link w:val="Heading2Char"/>
    <w:uiPriority w:val="9"/>
    <w:unhideWhenUsed/>
    <w:qFormat/>
    <w:rsid w:val="00AE778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AA4EE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A4EE8"/>
    <w:rPr>
      <w:sz w:val="20"/>
      <w:szCs w:val="20"/>
    </w:rPr>
  </w:style>
  <w:style w:type="character" w:styleId="Hyperlink">
    <w:name w:val="Hyperlink"/>
    <w:basedOn w:val="DefaultParagraphFont"/>
    <w:uiPriority w:val="99"/>
    <w:unhideWhenUsed/>
    <w:rsid w:val="00AA4EE8"/>
    <w:rPr>
      <w:rFonts w:ascii="Arial" w:hAnsi="Arial" w:cs="Arial" w:hint="default"/>
      <w:color w:val="0000FF"/>
      <w:sz w:val="22"/>
      <w:u w:val="single"/>
    </w:rPr>
  </w:style>
  <w:style w:type="character" w:styleId="FootnoteReference">
    <w:name w:val="footnote reference"/>
    <w:basedOn w:val="DefaultParagraphFont"/>
    <w:unhideWhenUsed/>
    <w:rsid w:val="00AA4EE8"/>
    <w:rPr>
      <w:vertAlign w:val="superscript"/>
    </w:rPr>
  </w:style>
  <w:style w:type="paragraph" w:styleId="BalloonText">
    <w:name w:val="Balloon Text"/>
    <w:basedOn w:val="Normal"/>
    <w:link w:val="BalloonTextChar"/>
    <w:uiPriority w:val="99"/>
    <w:semiHidden/>
    <w:unhideWhenUsed/>
    <w:rsid w:val="00AA4E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EE8"/>
    <w:rPr>
      <w:rFonts w:ascii="Tahoma" w:hAnsi="Tahoma" w:cs="Tahoma"/>
      <w:sz w:val="16"/>
      <w:szCs w:val="16"/>
    </w:rPr>
  </w:style>
  <w:style w:type="paragraph" w:styleId="ListParagraph">
    <w:name w:val="List Paragraph"/>
    <w:basedOn w:val="Normal"/>
    <w:uiPriority w:val="34"/>
    <w:qFormat/>
    <w:rsid w:val="00A80E3A"/>
    <w:pPr>
      <w:ind w:left="720"/>
      <w:contextualSpacing/>
    </w:pPr>
  </w:style>
  <w:style w:type="paragraph" w:styleId="Header">
    <w:name w:val="header"/>
    <w:basedOn w:val="Normal"/>
    <w:link w:val="HeaderChar"/>
    <w:uiPriority w:val="99"/>
    <w:unhideWhenUsed/>
    <w:rsid w:val="005102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0274"/>
  </w:style>
  <w:style w:type="paragraph" w:styleId="Footer">
    <w:name w:val="footer"/>
    <w:basedOn w:val="Normal"/>
    <w:link w:val="FooterChar"/>
    <w:uiPriority w:val="99"/>
    <w:unhideWhenUsed/>
    <w:rsid w:val="005102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0274"/>
  </w:style>
  <w:style w:type="table" w:styleId="TableGrid">
    <w:name w:val="Table Grid"/>
    <w:basedOn w:val="TableNormal"/>
    <w:rsid w:val="00C617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50FE4"/>
    <w:rPr>
      <w:color w:val="800080" w:themeColor="followedHyperlink"/>
      <w:u w:val="single"/>
    </w:rPr>
  </w:style>
  <w:style w:type="paragraph" w:customStyle="1" w:styleId="Default">
    <w:name w:val="Default"/>
    <w:rsid w:val="00DE734D"/>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89178F"/>
    <w:rPr>
      <w:sz w:val="16"/>
      <w:szCs w:val="16"/>
    </w:rPr>
  </w:style>
  <w:style w:type="paragraph" w:styleId="CommentText">
    <w:name w:val="annotation text"/>
    <w:basedOn w:val="Normal"/>
    <w:link w:val="CommentTextChar"/>
    <w:uiPriority w:val="99"/>
    <w:semiHidden/>
    <w:unhideWhenUsed/>
    <w:rsid w:val="0089178F"/>
    <w:pPr>
      <w:spacing w:line="240" w:lineRule="auto"/>
    </w:pPr>
    <w:rPr>
      <w:sz w:val="20"/>
      <w:szCs w:val="20"/>
    </w:rPr>
  </w:style>
  <w:style w:type="character" w:customStyle="1" w:styleId="CommentTextChar">
    <w:name w:val="Comment Text Char"/>
    <w:basedOn w:val="DefaultParagraphFont"/>
    <w:link w:val="CommentText"/>
    <w:uiPriority w:val="99"/>
    <w:semiHidden/>
    <w:rsid w:val="0089178F"/>
    <w:rPr>
      <w:sz w:val="20"/>
      <w:szCs w:val="20"/>
    </w:rPr>
  </w:style>
  <w:style w:type="paragraph" w:styleId="CommentSubject">
    <w:name w:val="annotation subject"/>
    <w:basedOn w:val="CommentText"/>
    <w:next w:val="CommentText"/>
    <w:link w:val="CommentSubjectChar"/>
    <w:uiPriority w:val="99"/>
    <w:semiHidden/>
    <w:unhideWhenUsed/>
    <w:rsid w:val="0089178F"/>
    <w:rPr>
      <w:b/>
      <w:bCs/>
    </w:rPr>
  </w:style>
  <w:style w:type="character" w:customStyle="1" w:styleId="CommentSubjectChar">
    <w:name w:val="Comment Subject Char"/>
    <w:basedOn w:val="CommentTextChar"/>
    <w:link w:val="CommentSubject"/>
    <w:uiPriority w:val="99"/>
    <w:semiHidden/>
    <w:rsid w:val="0089178F"/>
    <w:rPr>
      <w:b/>
      <w:bCs/>
      <w:sz w:val="20"/>
      <w:szCs w:val="20"/>
    </w:rPr>
  </w:style>
  <w:style w:type="paragraph" w:styleId="EndnoteText">
    <w:name w:val="endnote text"/>
    <w:basedOn w:val="Normal"/>
    <w:link w:val="EndnoteTextChar"/>
    <w:uiPriority w:val="99"/>
    <w:semiHidden/>
    <w:unhideWhenUsed/>
    <w:rsid w:val="00B817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81752"/>
    <w:rPr>
      <w:sz w:val="20"/>
      <w:szCs w:val="20"/>
    </w:rPr>
  </w:style>
  <w:style w:type="character" w:styleId="EndnoteReference">
    <w:name w:val="endnote reference"/>
    <w:basedOn w:val="DefaultParagraphFont"/>
    <w:uiPriority w:val="99"/>
    <w:semiHidden/>
    <w:unhideWhenUsed/>
    <w:rsid w:val="00B81752"/>
    <w:rPr>
      <w:vertAlign w:val="superscript"/>
    </w:rPr>
  </w:style>
  <w:style w:type="paragraph" w:styleId="Title">
    <w:name w:val="Title"/>
    <w:basedOn w:val="Normal"/>
    <w:next w:val="Normal"/>
    <w:link w:val="TitleChar"/>
    <w:uiPriority w:val="10"/>
    <w:qFormat/>
    <w:rsid w:val="005D093B"/>
    <w:pPr>
      <w:jc w:val="center"/>
    </w:pPr>
    <w:rPr>
      <w:rFonts w:cstheme="minorHAnsi"/>
      <w:b/>
      <w:sz w:val="72"/>
      <w:szCs w:val="72"/>
    </w:rPr>
  </w:style>
  <w:style w:type="character" w:customStyle="1" w:styleId="TitleChar">
    <w:name w:val="Title Char"/>
    <w:basedOn w:val="DefaultParagraphFont"/>
    <w:link w:val="Title"/>
    <w:uiPriority w:val="10"/>
    <w:rsid w:val="005D093B"/>
    <w:rPr>
      <w:rFonts w:cstheme="minorHAnsi"/>
      <w:b/>
      <w:sz w:val="72"/>
      <w:szCs w:val="72"/>
    </w:rPr>
  </w:style>
  <w:style w:type="paragraph" w:styleId="Subtitle">
    <w:name w:val="Subtitle"/>
    <w:basedOn w:val="Normal"/>
    <w:next w:val="Normal"/>
    <w:link w:val="SubtitleChar"/>
    <w:uiPriority w:val="11"/>
    <w:qFormat/>
    <w:rsid w:val="005D093B"/>
    <w:pPr>
      <w:numPr>
        <w:ilvl w:val="1"/>
      </w:numPr>
      <w:jc w:val="center"/>
    </w:pPr>
    <w:rPr>
      <w:rFonts w:eastAsiaTheme="majorEastAsia" w:cstheme="minorHAnsi"/>
      <w:b/>
      <w:iCs/>
      <w:color w:val="244061" w:themeColor="accent1" w:themeShade="80"/>
      <w:spacing w:val="15"/>
      <w:sz w:val="40"/>
      <w:szCs w:val="44"/>
    </w:rPr>
  </w:style>
  <w:style w:type="character" w:customStyle="1" w:styleId="SubtitleChar">
    <w:name w:val="Subtitle Char"/>
    <w:basedOn w:val="DefaultParagraphFont"/>
    <w:link w:val="Subtitle"/>
    <w:uiPriority w:val="11"/>
    <w:rsid w:val="005D093B"/>
    <w:rPr>
      <w:rFonts w:eastAsiaTheme="majorEastAsia" w:cstheme="minorHAnsi"/>
      <w:b/>
      <w:iCs/>
      <w:color w:val="244061" w:themeColor="accent1" w:themeShade="80"/>
      <w:spacing w:val="15"/>
      <w:sz w:val="40"/>
      <w:szCs w:val="44"/>
    </w:rPr>
  </w:style>
  <w:style w:type="character" w:customStyle="1" w:styleId="Heading1Char">
    <w:name w:val="Heading 1 Char"/>
    <w:basedOn w:val="DefaultParagraphFont"/>
    <w:link w:val="Heading1"/>
    <w:uiPriority w:val="9"/>
    <w:rsid w:val="00DD4440"/>
    <w:rPr>
      <w:rFonts w:eastAsiaTheme="majorEastAsia" w:cstheme="minorHAnsi"/>
      <w:b/>
      <w:bCs/>
      <w:color w:val="365F91" w:themeColor="accent1" w:themeShade="BF"/>
      <w:sz w:val="32"/>
      <w:szCs w:val="28"/>
    </w:rPr>
  </w:style>
  <w:style w:type="character" w:customStyle="1" w:styleId="Heading2Char">
    <w:name w:val="Heading 2 Char"/>
    <w:basedOn w:val="DefaultParagraphFont"/>
    <w:link w:val="Heading2"/>
    <w:uiPriority w:val="9"/>
    <w:rsid w:val="00AE7786"/>
    <w:rPr>
      <w:rFonts w:asciiTheme="majorHAnsi" w:eastAsiaTheme="majorEastAsia" w:hAnsiTheme="majorHAnsi" w:cstheme="majorBidi"/>
      <w:b/>
      <w:bCs/>
      <w:color w:val="4F81BD" w:themeColor="accent1"/>
      <w:sz w:val="26"/>
      <w:szCs w:val="26"/>
    </w:rPr>
  </w:style>
  <w:style w:type="paragraph" w:customStyle="1" w:styleId="CopyrightBox">
    <w:name w:val="CopyrightBox"/>
    <w:basedOn w:val="Normal"/>
    <w:link w:val="CopyrightBoxChar"/>
    <w:unhideWhenUsed/>
    <w:qFormat/>
    <w:rsid w:val="00644A83"/>
    <w:pPr>
      <w:spacing w:after="240" w:line="288" w:lineRule="auto"/>
    </w:pPr>
    <w:rPr>
      <w:rFonts w:ascii="Arial" w:eastAsia="Times New Roman" w:hAnsi="Arial" w:cs="Times New Roman"/>
      <w:sz w:val="24"/>
      <w:szCs w:val="24"/>
      <w:lang w:eastAsia="en-GB"/>
    </w:rPr>
  </w:style>
  <w:style w:type="character" w:customStyle="1" w:styleId="CopyrightBoxChar">
    <w:name w:val="CopyrightBox Char"/>
    <w:link w:val="CopyrightBox"/>
    <w:rsid w:val="00644A83"/>
    <w:rPr>
      <w:rFonts w:ascii="Arial" w:eastAsia="Times New Roman" w:hAnsi="Arial" w:cs="Times New Roman"/>
      <w:sz w:val="24"/>
      <w:szCs w:val="24"/>
      <w:lang w:eastAsia="en-GB"/>
    </w:rPr>
  </w:style>
  <w:style w:type="paragraph" w:customStyle="1" w:styleId="CopyrightSpacing">
    <w:name w:val="CopyrightSpacing"/>
    <w:basedOn w:val="Normal"/>
    <w:link w:val="CopyrightSpacingChar"/>
    <w:unhideWhenUsed/>
    <w:rsid w:val="00644A83"/>
    <w:pPr>
      <w:spacing w:before="6000" w:after="120" w:line="288" w:lineRule="auto"/>
    </w:pPr>
    <w:rPr>
      <w:rFonts w:ascii="Arial" w:eastAsia="Times New Roman" w:hAnsi="Arial" w:cs="Times New Roman"/>
      <w:sz w:val="24"/>
      <w:szCs w:val="24"/>
      <w:lang w:eastAsia="en-GB"/>
    </w:rPr>
  </w:style>
  <w:style w:type="character" w:customStyle="1" w:styleId="CopyrightSpacingChar">
    <w:name w:val="CopyrightSpacing Char"/>
    <w:link w:val="CopyrightSpacing"/>
    <w:rsid w:val="00644A83"/>
    <w:rPr>
      <w:rFonts w:ascii="Arial" w:eastAsia="Times New Roman" w:hAnsi="Arial" w:cs="Times New Roman"/>
      <w:sz w:val="24"/>
      <w:szCs w:val="24"/>
      <w:lang w:eastAsia="en-GB"/>
    </w:rPr>
  </w:style>
  <w:style w:type="paragraph" w:customStyle="1" w:styleId="SocialMedia">
    <w:name w:val="SocialMedia"/>
    <w:basedOn w:val="Normal"/>
    <w:link w:val="SocialMediaChar"/>
    <w:qFormat/>
    <w:rsid w:val="00644A83"/>
    <w:pPr>
      <w:tabs>
        <w:tab w:val="left" w:pos="4253"/>
        <w:tab w:val="left" w:pos="4820"/>
      </w:tabs>
      <w:spacing w:after="0" w:line="240" w:lineRule="auto"/>
      <w:ind w:firstLine="34"/>
    </w:pPr>
    <w:rPr>
      <w:rFonts w:ascii="Arial" w:eastAsia="Times New Roman" w:hAnsi="Arial" w:cs="Times New Roman"/>
      <w:noProof/>
      <w:sz w:val="24"/>
      <w:szCs w:val="24"/>
      <w:lang w:eastAsia="en-GB"/>
    </w:rPr>
  </w:style>
  <w:style w:type="paragraph" w:customStyle="1" w:styleId="Reference">
    <w:name w:val="Reference"/>
    <w:basedOn w:val="Normal"/>
    <w:link w:val="ReferenceChar"/>
    <w:qFormat/>
    <w:rsid w:val="00644A83"/>
    <w:pPr>
      <w:tabs>
        <w:tab w:val="left" w:pos="1701"/>
      </w:tabs>
      <w:spacing w:before="240" w:after="240" w:line="288" w:lineRule="auto"/>
    </w:pPr>
    <w:rPr>
      <w:rFonts w:ascii="Arial" w:eastAsia="Times New Roman" w:hAnsi="Arial" w:cs="Times New Roman"/>
      <w:sz w:val="24"/>
      <w:szCs w:val="24"/>
      <w:lang w:eastAsia="en-GB"/>
    </w:rPr>
  </w:style>
  <w:style w:type="character" w:customStyle="1" w:styleId="SocialMediaChar">
    <w:name w:val="SocialMedia Char"/>
    <w:basedOn w:val="DefaultParagraphFont"/>
    <w:link w:val="SocialMedia"/>
    <w:rsid w:val="00644A83"/>
    <w:rPr>
      <w:rFonts w:ascii="Arial" w:eastAsia="Times New Roman" w:hAnsi="Arial" w:cs="Times New Roman"/>
      <w:noProof/>
      <w:sz w:val="24"/>
      <w:szCs w:val="24"/>
      <w:lang w:eastAsia="en-GB"/>
    </w:rPr>
  </w:style>
  <w:style w:type="paragraph" w:customStyle="1" w:styleId="Licence">
    <w:name w:val="Licence"/>
    <w:basedOn w:val="Normal"/>
    <w:link w:val="LicenceChar"/>
    <w:qFormat/>
    <w:rsid w:val="00644A83"/>
    <w:pPr>
      <w:tabs>
        <w:tab w:val="left" w:pos="1418"/>
      </w:tabs>
      <w:spacing w:after="240" w:line="288" w:lineRule="auto"/>
      <w:ind w:left="284"/>
      <w:contextualSpacing/>
    </w:pPr>
    <w:rPr>
      <w:rFonts w:ascii="Arial" w:eastAsia="Times New Roman" w:hAnsi="Arial" w:cs="Times New Roman"/>
      <w:sz w:val="24"/>
      <w:szCs w:val="24"/>
      <w:lang w:eastAsia="en-GB"/>
    </w:rPr>
  </w:style>
  <w:style w:type="character" w:customStyle="1" w:styleId="ReferenceChar">
    <w:name w:val="Reference Char"/>
    <w:basedOn w:val="DefaultParagraphFont"/>
    <w:link w:val="Reference"/>
    <w:rsid w:val="00644A83"/>
    <w:rPr>
      <w:rFonts w:ascii="Arial" w:eastAsia="Times New Roman" w:hAnsi="Arial" w:cs="Times New Roman"/>
      <w:sz w:val="24"/>
      <w:szCs w:val="24"/>
      <w:lang w:eastAsia="en-GB"/>
    </w:rPr>
  </w:style>
  <w:style w:type="paragraph" w:customStyle="1" w:styleId="LicenceIntro">
    <w:name w:val="LicenceIntro"/>
    <w:basedOn w:val="Licence"/>
    <w:rsid w:val="00644A83"/>
    <w:pPr>
      <w:spacing w:after="0"/>
      <w:ind w:left="0"/>
    </w:pPr>
    <w:rPr>
      <w:szCs w:val="20"/>
    </w:rPr>
  </w:style>
  <w:style w:type="character" w:customStyle="1" w:styleId="LicenceChar">
    <w:name w:val="Licence Char"/>
    <w:basedOn w:val="DefaultParagraphFont"/>
    <w:link w:val="Licence"/>
    <w:rsid w:val="00644A83"/>
    <w:rPr>
      <w:rFonts w:ascii="Arial" w:eastAsia="Times New Roman" w:hAnsi="Arial" w:cs="Times New Roman"/>
      <w:sz w:val="24"/>
      <w:szCs w:val="24"/>
      <w:lang w:eastAsia="en-GB"/>
    </w:rPr>
  </w:style>
  <w:style w:type="paragraph" w:customStyle="1" w:styleId="TableRowRight">
    <w:name w:val="TableRowRight"/>
    <w:basedOn w:val="Normal"/>
    <w:rsid w:val="00644A83"/>
    <w:pPr>
      <w:spacing w:after="0" w:line="288" w:lineRule="auto"/>
      <w:jc w:val="right"/>
    </w:pPr>
    <w:rPr>
      <w:rFonts w:ascii="Arial" w:eastAsia="Times New Roman" w:hAnsi="Arial" w:cs="Times New Roman"/>
      <w:sz w:val="24"/>
      <w:szCs w:val="20"/>
      <w:lang w:eastAsia="en-GB"/>
    </w:rPr>
  </w:style>
  <w:style w:type="paragraph" w:styleId="Caption">
    <w:name w:val="caption"/>
    <w:basedOn w:val="Normal"/>
    <w:next w:val="Normal"/>
    <w:uiPriority w:val="35"/>
    <w:semiHidden/>
    <w:unhideWhenUsed/>
    <w:qFormat/>
    <w:rsid w:val="00452967"/>
    <w:pPr>
      <w:spacing w:line="240" w:lineRule="auto"/>
    </w:pPr>
    <w:rPr>
      <w:b/>
      <w:bCs/>
      <w:color w:val="4F81BD" w:themeColor="accent1"/>
      <w:sz w:val="18"/>
      <w:szCs w:val="18"/>
    </w:rPr>
  </w:style>
  <w:style w:type="paragraph" w:styleId="TOC1">
    <w:name w:val="toc 1"/>
    <w:basedOn w:val="Normal"/>
    <w:next w:val="Normal"/>
    <w:autoRedefine/>
    <w:uiPriority w:val="39"/>
    <w:unhideWhenUsed/>
    <w:rsid w:val="00FA5B76"/>
    <w:pPr>
      <w:spacing w:after="100"/>
    </w:pPr>
  </w:style>
  <w:style w:type="paragraph" w:styleId="TOC2">
    <w:name w:val="toc 2"/>
    <w:basedOn w:val="Normal"/>
    <w:next w:val="Normal"/>
    <w:autoRedefine/>
    <w:uiPriority w:val="39"/>
    <w:unhideWhenUsed/>
    <w:rsid w:val="00FA5B76"/>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D4440"/>
    <w:pPr>
      <w:keepNext/>
      <w:keepLines/>
      <w:spacing w:before="480" w:after="240"/>
      <w:outlineLvl w:val="0"/>
    </w:pPr>
    <w:rPr>
      <w:rFonts w:eastAsiaTheme="majorEastAsia" w:cstheme="minorHAnsi"/>
      <w:b/>
      <w:bCs/>
      <w:color w:val="365F91" w:themeColor="accent1" w:themeShade="BF"/>
      <w:sz w:val="32"/>
      <w:szCs w:val="28"/>
    </w:rPr>
  </w:style>
  <w:style w:type="paragraph" w:styleId="Heading2">
    <w:name w:val="heading 2"/>
    <w:basedOn w:val="Normal"/>
    <w:next w:val="Normal"/>
    <w:link w:val="Heading2Char"/>
    <w:uiPriority w:val="9"/>
    <w:unhideWhenUsed/>
    <w:qFormat/>
    <w:rsid w:val="00AE778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AA4EE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A4EE8"/>
    <w:rPr>
      <w:sz w:val="20"/>
      <w:szCs w:val="20"/>
    </w:rPr>
  </w:style>
  <w:style w:type="character" w:styleId="Hyperlink">
    <w:name w:val="Hyperlink"/>
    <w:basedOn w:val="DefaultParagraphFont"/>
    <w:uiPriority w:val="99"/>
    <w:unhideWhenUsed/>
    <w:rsid w:val="00AA4EE8"/>
    <w:rPr>
      <w:rFonts w:ascii="Arial" w:hAnsi="Arial" w:cs="Arial" w:hint="default"/>
      <w:color w:val="0000FF"/>
      <w:sz w:val="22"/>
      <w:u w:val="single"/>
    </w:rPr>
  </w:style>
  <w:style w:type="character" w:styleId="FootnoteReference">
    <w:name w:val="footnote reference"/>
    <w:basedOn w:val="DefaultParagraphFont"/>
    <w:unhideWhenUsed/>
    <w:rsid w:val="00AA4EE8"/>
    <w:rPr>
      <w:vertAlign w:val="superscript"/>
    </w:rPr>
  </w:style>
  <w:style w:type="paragraph" w:styleId="BalloonText">
    <w:name w:val="Balloon Text"/>
    <w:basedOn w:val="Normal"/>
    <w:link w:val="BalloonTextChar"/>
    <w:uiPriority w:val="99"/>
    <w:semiHidden/>
    <w:unhideWhenUsed/>
    <w:rsid w:val="00AA4E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EE8"/>
    <w:rPr>
      <w:rFonts w:ascii="Tahoma" w:hAnsi="Tahoma" w:cs="Tahoma"/>
      <w:sz w:val="16"/>
      <w:szCs w:val="16"/>
    </w:rPr>
  </w:style>
  <w:style w:type="paragraph" w:styleId="ListParagraph">
    <w:name w:val="List Paragraph"/>
    <w:basedOn w:val="Normal"/>
    <w:uiPriority w:val="34"/>
    <w:qFormat/>
    <w:rsid w:val="00A80E3A"/>
    <w:pPr>
      <w:ind w:left="720"/>
      <w:contextualSpacing/>
    </w:pPr>
  </w:style>
  <w:style w:type="paragraph" w:styleId="Header">
    <w:name w:val="header"/>
    <w:basedOn w:val="Normal"/>
    <w:link w:val="HeaderChar"/>
    <w:uiPriority w:val="99"/>
    <w:unhideWhenUsed/>
    <w:rsid w:val="005102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0274"/>
  </w:style>
  <w:style w:type="paragraph" w:styleId="Footer">
    <w:name w:val="footer"/>
    <w:basedOn w:val="Normal"/>
    <w:link w:val="FooterChar"/>
    <w:uiPriority w:val="99"/>
    <w:unhideWhenUsed/>
    <w:rsid w:val="005102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0274"/>
  </w:style>
  <w:style w:type="table" w:styleId="TableGrid">
    <w:name w:val="Table Grid"/>
    <w:basedOn w:val="TableNormal"/>
    <w:rsid w:val="00C617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50FE4"/>
    <w:rPr>
      <w:color w:val="800080" w:themeColor="followedHyperlink"/>
      <w:u w:val="single"/>
    </w:rPr>
  </w:style>
  <w:style w:type="paragraph" w:customStyle="1" w:styleId="Default">
    <w:name w:val="Default"/>
    <w:rsid w:val="00DE734D"/>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89178F"/>
    <w:rPr>
      <w:sz w:val="16"/>
      <w:szCs w:val="16"/>
    </w:rPr>
  </w:style>
  <w:style w:type="paragraph" w:styleId="CommentText">
    <w:name w:val="annotation text"/>
    <w:basedOn w:val="Normal"/>
    <w:link w:val="CommentTextChar"/>
    <w:uiPriority w:val="99"/>
    <w:semiHidden/>
    <w:unhideWhenUsed/>
    <w:rsid w:val="0089178F"/>
    <w:pPr>
      <w:spacing w:line="240" w:lineRule="auto"/>
    </w:pPr>
    <w:rPr>
      <w:sz w:val="20"/>
      <w:szCs w:val="20"/>
    </w:rPr>
  </w:style>
  <w:style w:type="character" w:customStyle="1" w:styleId="CommentTextChar">
    <w:name w:val="Comment Text Char"/>
    <w:basedOn w:val="DefaultParagraphFont"/>
    <w:link w:val="CommentText"/>
    <w:uiPriority w:val="99"/>
    <w:semiHidden/>
    <w:rsid w:val="0089178F"/>
    <w:rPr>
      <w:sz w:val="20"/>
      <w:szCs w:val="20"/>
    </w:rPr>
  </w:style>
  <w:style w:type="paragraph" w:styleId="CommentSubject">
    <w:name w:val="annotation subject"/>
    <w:basedOn w:val="CommentText"/>
    <w:next w:val="CommentText"/>
    <w:link w:val="CommentSubjectChar"/>
    <w:uiPriority w:val="99"/>
    <w:semiHidden/>
    <w:unhideWhenUsed/>
    <w:rsid w:val="0089178F"/>
    <w:rPr>
      <w:b/>
      <w:bCs/>
    </w:rPr>
  </w:style>
  <w:style w:type="character" w:customStyle="1" w:styleId="CommentSubjectChar">
    <w:name w:val="Comment Subject Char"/>
    <w:basedOn w:val="CommentTextChar"/>
    <w:link w:val="CommentSubject"/>
    <w:uiPriority w:val="99"/>
    <w:semiHidden/>
    <w:rsid w:val="0089178F"/>
    <w:rPr>
      <w:b/>
      <w:bCs/>
      <w:sz w:val="20"/>
      <w:szCs w:val="20"/>
    </w:rPr>
  </w:style>
  <w:style w:type="paragraph" w:styleId="EndnoteText">
    <w:name w:val="endnote text"/>
    <w:basedOn w:val="Normal"/>
    <w:link w:val="EndnoteTextChar"/>
    <w:uiPriority w:val="99"/>
    <w:semiHidden/>
    <w:unhideWhenUsed/>
    <w:rsid w:val="00B817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81752"/>
    <w:rPr>
      <w:sz w:val="20"/>
      <w:szCs w:val="20"/>
    </w:rPr>
  </w:style>
  <w:style w:type="character" w:styleId="EndnoteReference">
    <w:name w:val="endnote reference"/>
    <w:basedOn w:val="DefaultParagraphFont"/>
    <w:uiPriority w:val="99"/>
    <w:semiHidden/>
    <w:unhideWhenUsed/>
    <w:rsid w:val="00B81752"/>
    <w:rPr>
      <w:vertAlign w:val="superscript"/>
    </w:rPr>
  </w:style>
  <w:style w:type="paragraph" w:styleId="Title">
    <w:name w:val="Title"/>
    <w:basedOn w:val="Normal"/>
    <w:next w:val="Normal"/>
    <w:link w:val="TitleChar"/>
    <w:uiPriority w:val="10"/>
    <w:qFormat/>
    <w:rsid w:val="005D093B"/>
    <w:pPr>
      <w:jc w:val="center"/>
    </w:pPr>
    <w:rPr>
      <w:rFonts w:cstheme="minorHAnsi"/>
      <w:b/>
      <w:sz w:val="72"/>
      <w:szCs w:val="72"/>
    </w:rPr>
  </w:style>
  <w:style w:type="character" w:customStyle="1" w:styleId="TitleChar">
    <w:name w:val="Title Char"/>
    <w:basedOn w:val="DefaultParagraphFont"/>
    <w:link w:val="Title"/>
    <w:uiPriority w:val="10"/>
    <w:rsid w:val="005D093B"/>
    <w:rPr>
      <w:rFonts w:cstheme="minorHAnsi"/>
      <w:b/>
      <w:sz w:val="72"/>
      <w:szCs w:val="72"/>
    </w:rPr>
  </w:style>
  <w:style w:type="paragraph" w:styleId="Subtitle">
    <w:name w:val="Subtitle"/>
    <w:basedOn w:val="Normal"/>
    <w:next w:val="Normal"/>
    <w:link w:val="SubtitleChar"/>
    <w:uiPriority w:val="11"/>
    <w:qFormat/>
    <w:rsid w:val="005D093B"/>
    <w:pPr>
      <w:numPr>
        <w:ilvl w:val="1"/>
      </w:numPr>
      <w:jc w:val="center"/>
    </w:pPr>
    <w:rPr>
      <w:rFonts w:eastAsiaTheme="majorEastAsia" w:cstheme="minorHAnsi"/>
      <w:b/>
      <w:iCs/>
      <w:color w:val="244061" w:themeColor="accent1" w:themeShade="80"/>
      <w:spacing w:val="15"/>
      <w:sz w:val="40"/>
      <w:szCs w:val="44"/>
    </w:rPr>
  </w:style>
  <w:style w:type="character" w:customStyle="1" w:styleId="SubtitleChar">
    <w:name w:val="Subtitle Char"/>
    <w:basedOn w:val="DefaultParagraphFont"/>
    <w:link w:val="Subtitle"/>
    <w:uiPriority w:val="11"/>
    <w:rsid w:val="005D093B"/>
    <w:rPr>
      <w:rFonts w:eastAsiaTheme="majorEastAsia" w:cstheme="minorHAnsi"/>
      <w:b/>
      <w:iCs/>
      <w:color w:val="244061" w:themeColor="accent1" w:themeShade="80"/>
      <w:spacing w:val="15"/>
      <w:sz w:val="40"/>
      <w:szCs w:val="44"/>
    </w:rPr>
  </w:style>
  <w:style w:type="character" w:customStyle="1" w:styleId="Heading1Char">
    <w:name w:val="Heading 1 Char"/>
    <w:basedOn w:val="DefaultParagraphFont"/>
    <w:link w:val="Heading1"/>
    <w:uiPriority w:val="9"/>
    <w:rsid w:val="00DD4440"/>
    <w:rPr>
      <w:rFonts w:eastAsiaTheme="majorEastAsia" w:cstheme="minorHAnsi"/>
      <w:b/>
      <w:bCs/>
      <w:color w:val="365F91" w:themeColor="accent1" w:themeShade="BF"/>
      <w:sz w:val="32"/>
      <w:szCs w:val="28"/>
    </w:rPr>
  </w:style>
  <w:style w:type="character" w:customStyle="1" w:styleId="Heading2Char">
    <w:name w:val="Heading 2 Char"/>
    <w:basedOn w:val="DefaultParagraphFont"/>
    <w:link w:val="Heading2"/>
    <w:uiPriority w:val="9"/>
    <w:rsid w:val="00AE7786"/>
    <w:rPr>
      <w:rFonts w:asciiTheme="majorHAnsi" w:eastAsiaTheme="majorEastAsia" w:hAnsiTheme="majorHAnsi" w:cstheme="majorBidi"/>
      <w:b/>
      <w:bCs/>
      <w:color w:val="4F81BD" w:themeColor="accent1"/>
      <w:sz w:val="26"/>
      <w:szCs w:val="26"/>
    </w:rPr>
  </w:style>
  <w:style w:type="paragraph" w:customStyle="1" w:styleId="CopyrightBox">
    <w:name w:val="CopyrightBox"/>
    <w:basedOn w:val="Normal"/>
    <w:link w:val="CopyrightBoxChar"/>
    <w:unhideWhenUsed/>
    <w:qFormat/>
    <w:rsid w:val="00644A83"/>
    <w:pPr>
      <w:spacing w:after="240" w:line="288" w:lineRule="auto"/>
    </w:pPr>
    <w:rPr>
      <w:rFonts w:ascii="Arial" w:eastAsia="Times New Roman" w:hAnsi="Arial" w:cs="Times New Roman"/>
      <w:sz w:val="24"/>
      <w:szCs w:val="24"/>
      <w:lang w:eastAsia="en-GB"/>
    </w:rPr>
  </w:style>
  <w:style w:type="character" w:customStyle="1" w:styleId="CopyrightBoxChar">
    <w:name w:val="CopyrightBox Char"/>
    <w:link w:val="CopyrightBox"/>
    <w:rsid w:val="00644A83"/>
    <w:rPr>
      <w:rFonts w:ascii="Arial" w:eastAsia="Times New Roman" w:hAnsi="Arial" w:cs="Times New Roman"/>
      <w:sz w:val="24"/>
      <w:szCs w:val="24"/>
      <w:lang w:eastAsia="en-GB"/>
    </w:rPr>
  </w:style>
  <w:style w:type="paragraph" w:customStyle="1" w:styleId="CopyrightSpacing">
    <w:name w:val="CopyrightSpacing"/>
    <w:basedOn w:val="Normal"/>
    <w:link w:val="CopyrightSpacingChar"/>
    <w:unhideWhenUsed/>
    <w:rsid w:val="00644A83"/>
    <w:pPr>
      <w:spacing w:before="6000" w:after="120" w:line="288" w:lineRule="auto"/>
    </w:pPr>
    <w:rPr>
      <w:rFonts w:ascii="Arial" w:eastAsia="Times New Roman" w:hAnsi="Arial" w:cs="Times New Roman"/>
      <w:sz w:val="24"/>
      <w:szCs w:val="24"/>
      <w:lang w:eastAsia="en-GB"/>
    </w:rPr>
  </w:style>
  <w:style w:type="character" w:customStyle="1" w:styleId="CopyrightSpacingChar">
    <w:name w:val="CopyrightSpacing Char"/>
    <w:link w:val="CopyrightSpacing"/>
    <w:rsid w:val="00644A83"/>
    <w:rPr>
      <w:rFonts w:ascii="Arial" w:eastAsia="Times New Roman" w:hAnsi="Arial" w:cs="Times New Roman"/>
      <w:sz w:val="24"/>
      <w:szCs w:val="24"/>
      <w:lang w:eastAsia="en-GB"/>
    </w:rPr>
  </w:style>
  <w:style w:type="paragraph" w:customStyle="1" w:styleId="SocialMedia">
    <w:name w:val="SocialMedia"/>
    <w:basedOn w:val="Normal"/>
    <w:link w:val="SocialMediaChar"/>
    <w:qFormat/>
    <w:rsid w:val="00644A83"/>
    <w:pPr>
      <w:tabs>
        <w:tab w:val="left" w:pos="4253"/>
        <w:tab w:val="left" w:pos="4820"/>
      </w:tabs>
      <w:spacing w:after="0" w:line="240" w:lineRule="auto"/>
      <w:ind w:firstLine="34"/>
    </w:pPr>
    <w:rPr>
      <w:rFonts w:ascii="Arial" w:eastAsia="Times New Roman" w:hAnsi="Arial" w:cs="Times New Roman"/>
      <w:noProof/>
      <w:sz w:val="24"/>
      <w:szCs w:val="24"/>
      <w:lang w:eastAsia="en-GB"/>
    </w:rPr>
  </w:style>
  <w:style w:type="paragraph" w:customStyle="1" w:styleId="Reference">
    <w:name w:val="Reference"/>
    <w:basedOn w:val="Normal"/>
    <w:link w:val="ReferenceChar"/>
    <w:qFormat/>
    <w:rsid w:val="00644A83"/>
    <w:pPr>
      <w:tabs>
        <w:tab w:val="left" w:pos="1701"/>
      </w:tabs>
      <w:spacing w:before="240" w:after="240" w:line="288" w:lineRule="auto"/>
    </w:pPr>
    <w:rPr>
      <w:rFonts w:ascii="Arial" w:eastAsia="Times New Roman" w:hAnsi="Arial" w:cs="Times New Roman"/>
      <w:sz w:val="24"/>
      <w:szCs w:val="24"/>
      <w:lang w:eastAsia="en-GB"/>
    </w:rPr>
  </w:style>
  <w:style w:type="character" w:customStyle="1" w:styleId="SocialMediaChar">
    <w:name w:val="SocialMedia Char"/>
    <w:basedOn w:val="DefaultParagraphFont"/>
    <w:link w:val="SocialMedia"/>
    <w:rsid w:val="00644A83"/>
    <w:rPr>
      <w:rFonts w:ascii="Arial" w:eastAsia="Times New Roman" w:hAnsi="Arial" w:cs="Times New Roman"/>
      <w:noProof/>
      <w:sz w:val="24"/>
      <w:szCs w:val="24"/>
      <w:lang w:eastAsia="en-GB"/>
    </w:rPr>
  </w:style>
  <w:style w:type="paragraph" w:customStyle="1" w:styleId="Licence">
    <w:name w:val="Licence"/>
    <w:basedOn w:val="Normal"/>
    <w:link w:val="LicenceChar"/>
    <w:qFormat/>
    <w:rsid w:val="00644A83"/>
    <w:pPr>
      <w:tabs>
        <w:tab w:val="left" w:pos="1418"/>
      </w:tabs>
      <w:spacing w:after="240" w:line="288" w:lineRule="auto"/>
      <w:ind w:left="284"/>
      <w:contextualSpacing/>
    </w:pPr>
    <w:rPr>
      <w:rFonts w:ascii="Arial" w:eastAsia="Times New Roman" w:hAnsi="Arial" w:cs="Times New Roman"/>
      <w:sz w:val="24"/>
      <w:szCs w:val="24"/>
      <w:lang w:eastAsia="en-GB"/>
    </w:rPr>
  </w:style>
  <w:style w:type="character" w:customStyle="1" w:styleId="ReferenceChar">
    <w:name w:val="Reference Char"/>
    <w:basedOn w:val="DefaultParagraphFont"/>
    <w:link w:val="Reference"/>
    <w:rsid w:val="00644A83"/>
    <w:rPr>
      <w:rFonts w:ascii="Arial" w:eastAsia="Times New Roman" w:hAnsi="Arial" w:cs="Times New Roman"/>
      <w:sz w:val="24"/>
      <w:szCs w:val="24"/>
      <w:lang w:eastAsia="en-GB"/>
    </w:rPr>
  </w:style>
  <w:style w:type="paragraph" w:customStyle="1" w:styleId="LicenceIntro">
    <w:name w:val="LicenceIntro"/>
    <w:basedOn w:val="Licence"/>
    <w:rsid w:val="00644A83"/>
    <w:pPr>
      <w:spacing w:after="0"/>
      <w:ind w:left="0"/>
    </w:pPr>
    <w:rPr>
      <w:szCs w:val="20"/>
    </w:rPr>
  </w:style>
  <w:style w:type="character" w:customStyle="1" w:styleId="LicenceChar">
    <w:name w:val="Licence Char"/>
    <w:basedOn w:val="DefaultParagraphFont"/>
    <w:link w:val="Licence"/>
    <w:rsid w:val="00644A83"/>
    <w:rPr>
      <w:rFonts w:ascii="Arial" w:eastAsia="Times New Roman" w:hAnsi="Arial" w:cs="Times New Roman"/>
      <w:sz w:val="24"/>
      <w:szCs w:val="24"/>
      <w:lang w:eastAsia="en-GB"/>
    </w:rPr>
  </w:style>
  <w:style w:type="paragraph" w:customStyle="1" w:styleId="TableRowRight">
    <w:name w:val="TableRowRight"/>
    <w:basedOn w:val="Normal"/>
    <w:rsid w:val="00644A83"/>
    <w:pPr>
      <w:spacing w:after="0" w:line="288" w:lineRule="auto"/>
      <w:jc w:val="right"/>
    </w:pPr>
    <w:rPr>
      <w:rFonts w:ascii="Arial" w:eastAsia="Times New Roman" w:hAnsi="Arial" w:cs="Times New Roman"/>
      <w:sz w:val="24"/>
      <w:szCs w:val="20"/>
      <w:lang w:eastAsia="en-GB"/>
    </w:rPr>
  </w:style>
  <w:style w:type="paragraph" w:styleId="Caption">
    <w:name w:val="caption"/>
    <w:basedOn w:val="Normal"/>
    <w:next w:val="Normal"/>
    <w:uiPriority w:val="35"/>
    <w:semiHidden/>
    <w:unhideWhenUsed/>
    <w:qFormat/>
    <w:rsid w:val="00452967"/>
    <w:pPr>
      <w:spacing w:line="240" w:lineRule="auto"/>
    </w:pPr>
    <w:rPr>
      <w:b/>
      <w:bCs/>
      <w:color w:val="4F81BD" w:themeColor="accent1"/>
      <w:sz w:val="18"/>
      <w:szCs w:val="18"/>
    </w:rPr>
  </w:style>
  <w:style w:type="paragraph" w:styleId="TOC1">
    <w:name w:val="toc 1"/>
    <w:basedOn w:val="Normal"/>
    <w:next w:val="Normal"/>
    <w:autoRedefine/>
    <w:uiPriority w:val="39"/>
    <w:unhideWhenUsed/>
    <w:rsid w:val="00FA5B76"/>
    <w:pPr>
      <w:spacing w:after="100"/>
    </w:pPr>
  </w:style>
  <w:style w:type="paragraph" w:styleId="TOC2">
    <w:name w:val="toc 2"/>
    <w:basedOn w:val="Normal"/>
    <w:next w:val="Normal"/>
    <w:autoRedefine/>
    <w:uiPriority w:val="39"/>
    <w:unhideWhenUsed/>
    <w:rsid w:val="00FA5B76"/>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065525">
      <w:bodyDiv w:val="1"/>
      <w:marLeft w:val="0"/>
      <w:marRight w:val="0"/>
      <w:marTop w:val="0"/>
      <w:marBottom w:val="0"/>
      <w:divBdr>
        <w:top w:val="none" w:sz="0" w:space="0" w:color="auto"/>
        <w:left w:val="none" w:sz="0" w:space="0" w:color="auto"/>
        <w:bottom w:val="none" w:sz="0" w:space="0" w:color="auto"/>
        <w:right w:val="none" w:sz="0" w:space="0" w:color="auto"/>
      </w:divBdr>
    </w:div>
    <w:div w:id="137041371">
      <w:bodyDiv w:val="1"/>
      <w:marLeft w:val="0"/>
      <w:marRight w:val="0"/>
      <w:marTop w:val="0"/>
      <w:marBottom w:val="0"/>
      <w:divBdr>
        <w:top w:val="none" w:sz="0" w:space="0" w:color="auto"/>
        <w:left w:val="none" w:sz="0" w:space="0" w:color="auto"/>
        <w:bottom w:val="none" w:sz="0" w:space="0" w:color="auto"/>
        <w:right w:val="none" w:sz="0" w:space="0" w:color="auto"/>
      </w:divBdr>
    </w:div>
    <w:div w:id="349717698">
      <w:bodyDiv w:val="1"/>
      <w:marLeft w:val="0"/>
      <w:marRight w:val="0"/>
      <w:marTop w:val="0"/>
      <w:marBottom w:val="0"/>
      <w:divBdr>
        <w:top w:val="none" w:sz="0" w:space="0" w:color="auto"/>
        <w:left w:val="none" w:sz="0" w:space="0" w:color="auto"/>
        <w:bottom w:val="none" w:sz="0" w:space="0" w:color="auto"/>
        <w:right w:val="none" w:sz="0" w:space="0" w:color="auto"/>
      </w:divBdr>
    </w:div>
    <w:div w:id="485903379">
      <w:bodyDiv w:val="1"/>
      <w:marLeft w:val="0"/>
      <w:marRight w:val="0"/>
      <w:marTop w:val="0"/>
      <w:marBottom w:val="0"/>
      <w:divBdr>
        <w:top w:val="none" w:sz="0" w:space="0" w:color="auto"/>
        <w:left w:val="none" w:sz="0" w:space="0" w:color="auto"/>
        <w:bottom w:val="none" w:sz="0" w:space="0" w:color="auto"/>
        <w:right w:val="none" w:sz="0" w:space="0" w:color="auto"/>
      </w:divBdr>
    </w:div>
    <w:div w:id="673536005">
      <w:bodyDiv w:val="1"/>
      <w:marLeft w:val="0"/>
      <w:marRight w:val="0"/>
      <w:marTop w:val="0"/>
      <w:marBottom w:val="0"/>
      <w:divBdr>
        <w:top w:val="none" w:sz="0" w:space="0" w:color="auto"/>
        <w:left w:val="none" w:sz="0" w:space="0" w:color="auto"/>
        <w:bottom w:val="none" w:sz="0" w:space="0" w:color="auto"/>
        <w:right w:val="none" w:sz="0" w:space="0" w:color="auto"/>
      </w:divBdr>
      <w:divsChild>
        <w:div w:id="373621037">
          <w:marLeft w:val="0"/>
          <w:marRight w:val="0"/>
          <w:marTop w:val="0"/>
          <w:marBottom w:val="0"/>
          <w:divBdr>
            <w:top w:val="none" w:sz="0" w:space="0" w:color="auto"/>
            <w:left w:val="none" w:sz="0" w:space="0" w:color="auto"/>
            <w:bottom w:val="none" w:sz="0" w:space="0" w:color="auto"/>
            <w:right w:val="none" w:sz="0" w:space="0" w:color="auto"/>
          </w:divBdr>
        </w:div>
      </w:divsChild>
    </w:div>
    <w:div w:id="969091967">
      <w:bodyDiv w:val="1"/>
      <w:marLeft w:val="0"/>
      <w:marRight w:val="0"/>
      <w:marTop w:val="0"/>
      <w:marBottom w:val="0"/>
      <w:divBdr>
        <w:top w:val="none" w:sz="0" w:space="0" w:color="auto"/>
        <w:left w:val="none" w:sz="0" w:space="0" w:color="auto"/>
        <w:bottom w:val="none" w:sz="0" w:space="0" w:color="auto"/>
        <w:right w:val="none" w:sz="0" w:space="0" w:color="auto"/>
      </w:divBdr>
      <w:divsChild>
        <w:div w:id="1764492370">
          <w:marLeft w:val="0"/>
          <w:marRight w:val="0"/>
          <w:marTop w:val="0"/>
          <w:marBottom w:val="0"/>
          <w:divBdr>
            <w:top w:val="none" w:sz="0" w:space="0" w:color="auto"/>
            <w:left w:val="none" w:sz="0" w:space="0" w:color="auto"/>
            <w:bottom w:val="none" w:sz="0" w:space="0" w:color="auto"/>
            <w:right w:val="none" w:sz="0" w:space="0" w:color="auto"/>
          </w:divBdr>
          <w:divsChild>
            <w:div w:id="1039285108">
              <w:marLeft w:val="0"/>
              <w:marRight w:val="0"/>
              <w:marTop w:val="0"/>
              <w:marBottom w:val="0"/>
              <w:divBdr>
                <w:top w:val="none" w:sz="0" w:space="0" w:color="auto"/>
                <w:left w:val="none" w:sz="0" w:space="0" w:color="auto"/>
                <w:bottom w:val="none" w:sz="0" w:space="0" w:color="auto"/>
                <w:right w:val="none" w:sz="0" w:space="0" w:color="auto"/>
              </w:divBdr>
              <w:divsChild>
                <w:div w:id="206338645">
                  <w:marLeft w:val="0"/>
                  <w:marRight w:val="0"/>
                  <w:marTop w:val="195"/>
                  <w:marBottom w:val="0"/>
                  <w:divBdr>
                    <w:top w:val="none" w:sz="0" w:space="0" w:color="auto"/>
                    <w:left w:val="none" w:sz="0" w:space="0" w:color="auto"/>
                    <w:bottom w:val="none" w:sz="0" w:space="0" w:color="auto"/>
                    <w:right w:val="none" w:sz="0" w:space="0" w:color="auto"/>
                  </w:divBdr>
                  <w:divsChild>
                    <w:div w:id="1689209891">
                      <w:marLeft w:val="0"/>
                      <w:marRight w:val="0"/>
                      <w:marTop w:val="0"/>
                      <w:marBottom w:val="180"/>
                      <w:divBdr>
                        <w:top w:val="none" w:sz="0" w:space="0" w:color="auto"/>
                        <w:left w:val="none" w:sz="0" w:space="0" w:color="auto"/>
                        <w:bottom w:val="none" w:sz="0" w:space="0" w:color="auto"/>
                        <w:right w:val="none" w:sz="0" w:space="0" w:color="auto"/>
                      </w:divBdr>
                      <w:divsChild>
                        <w:div w:id="435444565">
                          <w:marLeft w:val="0"/>
                          <w:marRight w:val="0"/>
                          <w:marTop w:val="0"/>
                          <w:marBottom w:val="0"/>
                          <w:divBdr>
                            <w:top w:val="none" w:sz="0" w:space="0" w:color="auto"/>
                            <w:left w:val="none" w:sz="0" w:space="0" w:color="auto"/>
                            <w:bottom w:val="none" w:sz="0" w:space="0" w:color="auto"/>
                            <w:right w:val="none" w:sz="0" w:space="0" w:color="auto"/>
                          </w:divBdr>
                          <w:divsChild>
                            <w:div w:id="158998">
                              <w:marLeft w:val="0"/>
                              <w:marRight w:val="0"/>
                              <w:marTop w:val="0"/>
                              <w:marBottom w:val="0"/>
                              <w:divBdr>
                                <w:top w:val="none" w:sz="0" w:space="0" w:color="auto"/>
                                <w:left w:val="none" w:sz="0" w:space="0" w:color="auto"/>
                                <w:bottom w:val="none" w:sz="0" w:space="0" w:color="auto"/>
                                <w:right w:val="none" w:sz="0" w:space="0" w:color="auto"/>
                              </w:divBdr>
                              <w:divsChild>
                                <w:div w:id="1388643318">
                                  <w:marLeft w:val="0"/>
                                  <w:marRight w:val="0"/>
                                  <w:marTop w:val="0"/>
                                  <w:marBottom w:val="0"/>
                                  <w:divBdr>
                                    <w:top w:val="none" w:sz="0" w:space="0" w:color="auto"/>
                                    <w:left w:val="none" w:sz="0" w:space="0" w:color="auto"/>
                                    <w:bottom w:val="none" w:sz="0" w:space="0" w:color="auto"/>
                                    <w:right w:val="none" w:sz="0" w:space="0" w:color="auto"/>
                                  </w:divBdr>
                                  <w:divsChild>
                                    <w:div w:id="718012958">
                                      <w:marLeft w:val="0"/>
                                      <w:marRight w:val="0"/>
                                      <w:marTop w:val="0"/>
                                      <w:marBottom w:val="0"/>
                                      <w:divBdr>
                                        <w:top w:val="none" w:sz="0" w:space="0" w:color="auto"/>
                                        <w:left w:val="none" w:sz="0" w:space="0" w:color="auto"/>
                                        <w:bottom w:val="none" w:sz="0" w:space="0" w:color="auto"/>
                                        <w:right w:val="none" w:sz="0" w:space="0" w:color="auto"/>
                                      </w:divBdr>
                                      <w:divsChild>
                                        <w:div w:id="326444382">
                                          <w:marLeft w:val="0"/>
                                          <w:marRight w:val="0"/>
                                          <w:marTop w:val="0"/>
                                          <w:marBottom w:val="0"/>
                                          <w:divBdr>
                                            <w:top w:val="none" w:sz="0" w:space="0" w:color="auto"/>
                                            <w:left w:val="none" w:sz="0" w:space="0" w:color="auto"/>
                                            <w:bottom w:val="none" w:sz="0" w:space="0" w:color="auto"/>
                                            <w:right w:val="none" w:sz="0" w:space="0" w:color="auto"/>
                                          </w:divBdr>
                                          <w:divsChild>
                                            <w:div w:id="1300188946">
                                              <w:marLeft w:val="0"/>
                                              <w:marRight w:val="0"/>
                                              <w:marTop w:val="0"/>
                                              <w:marBottom w:val="0"/>
                                              <w:divBdr>
                                                <w:top w:val="none" w:sz="0" w:space="0" w:color="auto"/>
                                                <w:left w:val="none" w:sz="0" w:space="0" w:color="auto"/>
                                                <w:bottom w:val="none" w:sz="0" w:space="0" w:color="auto"/>
                                                <w:right w:val="none" w:sz="0" w:space="0" w:color="auto"/>
                                              </w:divBdr>
                                              <w:divsChild>
                                                <w:div w:id="61999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9480072">
      <w:bodyDiv w:val="1"/>
      <w:marLeft w:val="0"/>
      <w:marRight w:val="0"/>
      <w:marTop w:val="0"/>
      <w:marBottom w:val="0"/>
      <w:divBdr>
        <w:top w:val="none" w:sz="0" w:space="0" w:color="auto"/>
        <w:left w:val="none" w:sz="0" w:space="0" w:color="auto"/>
        <w:bottom w:val="none" w:sz="0" w:space="0" w:color="auto"/>
        <w:right w:val="none" w:sz="0" w:space="0" w:color="auto"/>
      </w:divBdr>
    </w:div>
    <w:div w:id="1358039210">
      <w:bodyDiv w:val="1"/>
      <w:marLeft w:val="0"/>
      <w:marRight w:val="0"/>
      <w:marTop w:val="0"/>
      <w:marBottom w:val="0"/>
      <w:divBdr>
        <w:top w:val="none" w:sz="0" w:space="0" w:color="auto"/>
        <w:left w:val="none" w:sz="0" w:space="0" w:color="auto"/>
        <w:bottom w:val="none" w:sz="0" w:space="0" w:color="auto"/>
        <w:right w:val="none" w:sz="0" w:space="0" w:color="auto"/>
      </w:divBdr>
    </w:div>
    <w:div w:id="1905215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v.uk/government/policies/creating-a-fairer-and-more-equal-society/supporting-pages/body-confidence-campaign"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www.facebook.com/GovernmentEqualitiesOffice" TargetMode="Externa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hyperlink" Target="http://bit.ly/ZTftq8"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womensengagement@culture.gsi.gov.uk"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psi@nationalarchives.gsi.gov.uk" TargetMode="External"/><Relationship Id="rId23"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hyperlink" Target="http://twitter.com/Government_Women"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nationalarchives.gov.uk/doc/open-government-licence/version/2" TargetMode="External"/><Relationship Id="rId22" Type="http://schemas.openxmlformats.org/officeDocument/2006/relationships/header" Target="header1.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225499\AppData\Local\Microsoft\Windows\Temporary%20Internet%20Files\Content.Outlook\LRDJN4ZY\Copy%20of%20BSAS%20(2)%20(2).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225499\AppData\Local\Microsoft\Windows\Temporary%20Internet%20Files\Content.Outlook\LRDJN4ZY\Copy%20of%20BSAS%20(2)%20(2).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6098344849750924E-2"/>
          <c:y val="4.5339532006200819E-2"/>
          <c:w val="0.83442096523648834"/>
          <c:h val="0.85235664148804158"/>
        </c:manualLayout>
      </c:layout>
      <c:barChart>
        <c:barDir val="col"/>
        <c:grouping val="clustered"/>
        <c:varyColors val="0"/>
        <c:ser>
          <c:idx val="0"/>
          <c:order val="0"/>
          <c:tx>
            <c:strRef>
              <c:f>Chart1!$A$15</c:f>
              <c:strCache>
                <c:ptCount val="1"/>
                <c:pt idx="0">
                  <c:v>Men</c:v>
                </c:pt>
              </c:strCache>
            </c:strRef>
          </c:tx>
          <c:invertIfNegative val="0"/>
          <c:dLbls>
            <c:txPr>
              <a:bodyPr/>
              <a:lstStyle/>
              <a:p>
                <a:pPr>
                  <a:defRPr>
                    <a:solidFill>
                      <a:sysClr val="windowText" lastClr="000000"/>
                    </a:solidFill>
                  </a:defRPr>
                </a:pPr>
                <a:endParaRPr lang="en-US"/>
              </a:p>
            </c:txPr>
            <c:dLblPos val="ctr"/>
            <c:showLegendKey val="0"/>
            <c:showVal val="1"/>
            <c:showCatName val="0"/>
            <c:showSerName val="0"/>
            <c:showPercent val="0"/>
            <c:showBubbleSize val="0"/>
            <c:showLeaderLines val="0"/>
          </c:dLbls>
          <c:errBars>
            <c:errBarType val="both"/>
            <c:errValType val="cust"/>
            <c:noEndCap val="0"/>
            <c:plus>
              <c:numRef>
                <c:f>Chart1!$J$15:$O$15</c:f>
                <c:numCache>
                  <c:formatCode>General</c:formatCode>
                  <c:ptCount val="6"/>
                  <c:pt idx="0">
                    <c:v>4.064229720029914</c:v>
                  </c:pt>
                  <c:pt idx="2">
                    <c:v>9.4579108055246053</c:v>
                  </c:pt>
                  <c:pt idx="3">
                    <c:v>8.5310457121250494</c:v>
                  </c:pt>
                  <c:pt idx="4">
                    <c:v>7.4745009722881122</c:v>
                  </c:pt>
                  <c:pt idx="5">
                    <c:v>7.1785106665297747</c:v>
                  </c:pt>
                </c:numCache>
              </c:numRef>
            </c:plus>
            <c:minus>
              <c:numRef>
                <c:f>Chart1!$J$15:$O$15</c:f>
                <c:numCache>
                  <c:formatCode>General</c:formatCode>
                  <c:ptCount val="6"/>
                  <c:pt idx="0">
                    <c:v>4.064229720029914</c:v>
                  </c:pt>
                  <c:pt idx="2">
                    <c:v>9.4579108055246053</c:v>
                  </c:pt>
                  <c:pt idx="3">
                    <c:v>8.5310457121250494</c:v>
                  </c:pt>
                  <c:pt idx="4">
                    <c:v>7.4745009722881122</c:v>
                  </c:pt>
                  <c:pt idx="5">
                    <c:v>7.1785106665297747</c:v>
                  </c:pt>
                </c:numCache>
              </c:numRef>
            </c:minus>
          </c:errBars>
          <c:cat>
            <c:strRef>
              <c:f>Chart1!$B$14:$G$14</c:f>
              <c:strCache>
                <c:ptCount val="6"/>
                <c:pt idx="0">
                  <c:v>All</c:v>
                </c:pt>
                <c:pt idx="2">
                  <c:v>18-34</c:v>
                </c:pt>
                <c:pt idx="3">
                  <c:v>35-49</c:v>
                </c:pt>
                <c:pt idx="4">
                  <c:v>50-64</c:v>
                </c:pt>
                <c:pt idx="5">
                  <c:v>65+</c:v>
                </c:pt>
              </c:strCache>
            </c:strRef>
          </c:cat>
          <c:val>
            <c:numRef>
              <c:f>Chart1!$B$15:$G$15</c:f>
              <c:numCache>
                <c:formatCode>General</c:formatCode>
                <c:ptCount val="6"/>
                <c:pt idx="0" formatCode="0">
                  <c:v>73.770491803278603</c:v>
                </c:pt>
                <c:pt idx="2" formatCode="0">
                  <c:v>71.232876712328704</c:v>
                </c:pt>
                <c:pt idx="3" formatCode="0">
                  <c:v>71.304347826086897</c:v>
                </c:pt>
                <c:pt idx="4" formatCode="0">
                  <c:v>78.5123966942148</c:v>
                </c:pt>
                <c:pt idx="5" formatCode="0">
                  <c:v>75.471698113207495</c:v>
                </c:pt>
              </c:numCache>
            </c:numRef>
          </c:val>
        </c:ser>
        <c:ser>
          <c:idx val="1"/>
          <c:order val="1"/>
          <c:tx>
            <c:strRef>
              <c:f>Chart1!$A$16</c:f>
              <c:strCache>
                <c:ptCount val="1"/>
                <c:pt idx="0">
                  <c:v>Women</c:v>
                </c:pt>
              </c:strCache>
            </c:strRef>
          </c:tx>
          <c:invertIfNegative val="0"/>
          <c:dLbls>
            <c:dLblPos val="ctr"/>
            <c:showLegendKey val="0"/>
            <c:showVal val="1"/>
            <c:showCatName val="0"/>
            <c:showSerName val="0"/>
            <c:showPercent val="0"/>
            <c:showBubbleSize val="0"/>
            <c:showLeaderLines val="0"/>
          </c:dLbls>
          <c:errBars>
            <c:errBarType val="both"/>
            <c:errValType val="cust"/>
            <c:noEndCap val="0"/>
            <c:plus>
              <c:numRef>
                <c:f>Chart1!$J$16:$O$16</c:f>
                <c:numCache>
                  <c:formatCode>General</c:formatCode>
                  <c:ptCount val="6"/>
                  <c:pt idx="0">
                    <c:v>4.1821475355989861</c:v>
                  </c:pt>
                  <c:pt idx="2">
                    <c:v>8.5429778790588955</c:v>
                  </c:pt>
                  <c:pt idx="3">
                    <c:v>8.6542323641331649</c:v>
                  </c:pt>
                  <c:pt idx="4">
                    <c:v>7.9331862627362284</c:v>
                  </c:pt>
                  <c:pt idx="5">
                    <c:v>8.039406685871505</c:v>
                  </c:pt>
                </c:numCache>
              </c:numRef>
            </c:plus>
            <c:minus>
              <c:numRef>
                <c:f>Chart1!$J$16:$O$16</c:f>
                <c:numCache>
                  <c:formatCode>General</c:formatCode>
                  <c:ptCount val="6"/>
                  <c:pt idx="0">
                    <c:v>4.1821475355989861</c:v>
                  </c:pt>
                  <c:pt idx="2">
                    <c:v>8.5429778790588955</c:v>
                  </c:pt>
                  <c:pt idx="3">
                    <c:v>8.6542323641331649</c:v>
                  </c:pt>
                  <c:pt idx="4">
                    <c:v>7.9331862627362284</c:v>
                  </c:pt>
                  <c:pt idx="5">
                    <c:v>8.039406685871505</c:v>
                  </c:pt>
                </c:numCache>
              </c:numRef>
            </c:minus>
          </c:errBars>
          <c:cat>
            <c:strRef>
              <c:f>Chart1!$B$14:$G$14</c:f>
              <c:strCache>
                <c:ptCount val="6"/>
                <c:pt idx="0">
                  <c:v>All</c:v>
                </c:pt>
                <c:pt idx="2">
                  <c:v>18-34</c:v>
                </c:pt>
                <c:pt idx="3">
                  <c:v>35-49</c:v>
                </c:pt>
                <c:pt idx="4">
                  <c:v>50-64</c:v>
                </c:pt>
                <c:pt idx="5">
                  <c:v>65+</c:v>
                </c:pt>
              </c:strCache>
            </c:strRef>
          </c:cat>
          <c:val>
            <c:numRef>
              <c:f>Chart1!$B$16:$G$16</c:f>
              <c:numCache>
                <c:formatCode>General</c:formatCode>
                <c:ptCount val="6"/>
                <c:pt idx="0" formatCode="0">
                  <c:v>62.9937629937629</c:v>
                </c:pt>
                <c:pt idx="2" formatCode="0">
                  <c:v>62.7737226277372</c:v>
                </c:pt>
                <c:pt idx="3" formatCode="0">
                  <c:v>56.589147286821699</c:v>
                </c:pt>
                <c:pt idx="4" formatCode="0">
                  <c:v>70.8737864077669</c:v>
                </c:pt>
                <c:pt idx="5" formatCode="0">
                  <c:v>63.963963963963899</c:v>
                </c:pt>
              </c:numCache>
            </c:numRef>
          </c:val>
        </c:ser>
        <c:ser>
          <c:idx val="2"/>
          <c:order val="2"/>
          <c:tx>
            <c:strRef>
              <c:f>Chart1!$A$17</c:f>
              <c:strCache>
                <c:ptCount val="1"/>
                <c:pt idx="0">
                  <c:v>All</c:v>
                </c:pt>
              </c:strCache>
            </c:strRef>
          </c:tx>
          <c:invertIfNegative val="0"/>
          <c:dLbls>
            <c:dLblPos val="ctr"/>
            <c:showLegendKey val="0"/>
            <c:showVal val="1"/>
            <c:showCatName val="0"/>
            <c:showSerName val="0"/>
            <c:showPercent val="0"/>
            <c:showBubbleSize val="0"/>
            <c:showLeaderLines val="0"/>
          </c:dLbls>
          <c:errBars>
            <c:errBarType val="both"/>
            <c:errValType val="cust"/>
            <c:noEndCap val="0"/>
            <c:plus>
              <c:numRef>
                <c:f>Chart1!$J$17:$O$17</c:f>
                <c:numCache>
                  <c:formatCode>General</c:formatCode>
                  <c:ptCount val="6"/>
                  <c:pt idx="0">
                    <c:v>2.934778281804256</c:v>
                  </c:pt>
                  <c:pt idx="2">
                    <c:v>6.349349750359579</c:v>
                  </c:pt>
                  <c:pt idx="3">
                    <c:v>6.1580196994984178</c:v>
                  </c:pt>
                  <c:pt idx="4">
                    <c:v>5.4555814504037556</c:v>
                  </c:pt>
                  <c:pt idx="5">
                    <c:v>5.4443444015001461</c:v>
                  </c:pt>
                </c:numCache>
              </c:numRef>
            </c:plus>
            <c:minus>
              <c:numRef>
                <c:f>Chart1!$J$17:$O$17</c:f>
                <c:numCache>
                  <c:formatCode>General</c:formatCode>
                  <c:ptCount val="6"/>
                  <c:pt idx="0">
                    <c:v>2.934778281804256</c:v>
                  </c:pt>
                  <c:pt idx="2">
                    <c:v>6.349349750359579</c:v>
                  </c:pt>
                  <c:pt idx="3">
                    <c:v>6.1580196994984178</c:v>
                  </c:pt>
                  <c:pt idx="4">
                    <c:v>5.4555814504037556</c:v>
                  </c:pt>
                  <c:pt idx="5">
                    <c:v>5.4443444015001461</c:v>
                  </c:pt>
                </c:numCache>
              </c:numRef>
            </c:minus>
          </c:errBars>
          <c:cat>
            <c:strRef>
              <c:f>Chart1!$B$14:$G$14</c:f>
              <c:strCache>
                <c:ptCount val="6"/>
                <c:pt idx="0">
                  <c:v>All</c:v>
                </c:pt>
                <c:pt idx="2">
                  <c:v>18-34</c:v>
                </c:pt>
                <c:pt idx="3">
                  <c:v>35-49</c:v>
                </c:pt>
                <c:pt idx="4">
                  <c:v>50-64</c:v>
                </c:pt>
                <c:pt idx="5">
                  <c:v>65+</c:v>
                </c:pt>
              </c:strCache>
            </c:strRef>
          </c:cat>
          <c:val>
            <c:numRef>
              <c:f>Chart1!$B$17:$G$17</c:f>
              <c:numCache>
                <c:formatCode>General</c:formatCode>
                <c:ptCount val="6"/>
                <c:pt idx="0" formatCode="0">
                  <c:v>68.523029434322893</c:v>
                </c:pt>
                <c:pt idx="2" formatCode="0">
                  <c:v>66.901408450704196</c:v>
                </c:pt>
                <c:pt idx="3" formatCode="0">
                  <c:v>63.786008230452602</c:v>
                </c:pt>
                <c:pt idx="4" formatCode="0">
                  <c:v>75</c:v>
                </c:pt>
                <c:pt idx="5" formatCode="0">
                  <c:v>69.4444444444444</c:v>
                </c:pt>
              </c:numCache>
            </c:numRef>
          </c:val>
        </c:ser>
        <c:dLbls>
          <c:showLegendKey val="0"/>
          <c:showVal val="0"/>
          <c:showCatName val="0"/>
          <c:showSerName val="0"/>
          <c:showPercent val="0"/>
          <c:showBubbleSize val="0"/>
        </c:dLbls>
        <c:gapWidth val="162"/>
        <c:axId val="142081408"/>
        <c:axId val="156132480"/>
      </c:barChart>
      <c:catAx>
        <c:axId val="142081408"/>
        <c:scaling>
          <c:orientation val="minMax"/>
        </c:scaling>
        <c:delete val="0"/>
        <c:axPos val="b"/>
        <c:majorTickMark val="out"/>
        <c:minorTickMark val="none"/>
        <c:tickLblPos val="nextTo"/>
        <c:crossAx val="156132480"/>
        <c:crosses val="autoZero"/>
        <c:auto val="1"/>
        <c:lblAlgn val="ctr"/>
        <c:lblOffset val="100"/>
        <c:noMultiLvlLbl val="0"/>
      </c:catAx>
      <c:valAx>
        <c:axId val="156132480"/>
        <c:scaling>
          <c:orientation val="minMax"/>
          <c:max val="100"/>
        </c:scaling>
        <c:delete val="0"/>
        <c:axPos val="l"/>
        <c:majorGridlines/>
        <c:numFmt formatCode="0" sourceLinked="0"/>
        <c:majorTickMark val="out"/>
        <c:minorTickMark val="none"/>
        <c:tickLblPos val="nextTo"/>
        <c:crossAx val="142081408"/>
        <c:crosses val="autoZero"/>
        <c:crossBetween val="between"/>
        <c:majorUnit val="20"/>
      </c:valAx>
    </c:plotArea>
    <c:legend>
      <c:legendPos val="r"/>
      <c:overlay val="0"/>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Chart2!$F$18</c:f>
              <c:strCache>
                <c:ptCount val="1"/>
                <c:pt idx="0">
                  <c:v>18-34</c:v>
                </c:pt>
              </c:strCache>
            </c:strRef>
          </c:tx>
          <c:spPr>
            <a:solidFill>
              <a:schemeClr val="tx2">
                <a:lumMod val="75000"/>
              </a:schemeClr>
            </a:solidFill>
          </c:spPr>
          <c:invertIfNegative val="0"/>
          <c:dLbls>
            <c:dLbl>
              <c:idx val="0"/>
              <c:tx>
                <c:rich>
                  <a:bodyPr/>
                  <a:lstStyle/>
                  <a:p>
                    <a:r>
                      <a:rPr lang="en-US"/>
                      <a:t>32</a:t>
                    </a:r>
                  </a:p>
                </c:rich>
              </c:tx>
              <c:dLblPos val="ctr"/>
              <c:showLegendKey val="0"/>
              <c:showVal val="1"/>
              <c:showCatName val="0"/>
              <c:showSerName val="0"/>
              <c:showPercent val="0"/>
              <c:showBubbleSize val="0"/>
            </c:dLbl>
            <c:dLbl>
              <c:idx val="1"/>
              <c:tx>
                <c:rich>
                  <a:bodyPr/>
                  <a:lstStyle/>
                  <a:p>
                    <a:r>
                      <a:rPr lang="en-US"/>
                      <a:t>47</a:t>
                    </a:r>
                  </a:p>
                </c:rich>
              </c:tx>
              <c:dLblPos val="ctr"/>
              <c:showLegendKey val="0"/>
              <c:showVal val="1"/>
              <c:showCatName val="0"/>
              <c:showSerName val="0"/>
              <c:showPercent val="0"/>
              <c:showBubbleSize val="0"/>
            </c:dLbl>
            <c:dLbl>
              <c:idx val="2"/>
              <c:tx>
                <c:rich>
                  <a:bodyPr/>
                  <a:lstStyle/>
                  <a:p>
                    <a:r>
                      <a:rPr lang="en-US"/>
                      <a:t>79</a:t>
                    </a:r>
                  </a:p>
                </c:rich>
              </c:tx>
              <c:dLblPos val="ctr"/>
              <c:showLegendKey val="0"/>
              <c:showVal val="1"/>
              <c:showCatName val="0"/>
              <c:showSerName val="0"/>
              <c:showPercent val="0"/>
              <c:showBubbleSize val="0"/>
            </c:dLbl>
            <c:txPr>
              <a:bodyPr/>
              <a:lstStyle/>
              <a:p>
                <a:pPr>
                  <a:defRPr>
                    <a:solidFill>
                      <a:schemeClr val="bg1"/>
                    </a:solidFill>
                  </a:defRPr>
                </a:pPr>
                <a:endParaRPr lang="en-US"/>
              </a:p>
            </c:txPr>
            <c:dLblPos val="ctr"/>
            <c:showLegendKey val="0"/>
            <c:showVal val="1"/>
            <c:showCatName val="0"/>
            <c:showSerName val="0"/>
            <c:showPercent val="0"/>
            <c:showBubbleSize val="0"/>
            <c:showLeaderLines val="0"/>
          </c:dLbls>
          <c:errBars>
            <c:errBarType val="both"/>
            <c:errValType val="cust"/>
            <c:noEndCap val="0"/>
            <c:plus>
              <c:numRef>
                <c:f>Chart2!$L$18:$N$18</c:f>
                <c:numCache>
                  <c:formatCode>General</c:formatCode>
                  <c:ptCount val="3"/>
                  <c:pt idx="0">
                    <c:v>7.7114048369078106E-2</c:v>
                  </c:pt>
                  <c:pt idx="1">
                    <c:v>8.2421955172426564E-2</c:v>
                  </c:pt>
                  <c:pt idx="2">
                    <c:v>6.7865882660827881E-2</c:v>
                  </c:pt>
                </c:numCache>
              </c:numRef>
            </c:plus>
            <c:minus>
              <c:numRef>
                <c:f>Chart2!$L$18:$N$18</c:f>
                <c:numCache>
                  <c:formatCode>General</c:formatCode>
                  <c:ptCount val="3"/>
                  <c:pt idx="0">
                    <c:v>7.7114048369078106E-2</c:v>
                  </c:pt>
                  <c:pt idx="1">
                    <c:v>8.2421955172426564E-2</c:v>
                  </c:pt>
                  <c:pt idx="2">
                    <c:v>6.7865882660827881E-2</c:v>
                  </c:pt>
                </c:numCache>
              </c:numRef>
            </c:minus>
          </c:errBars>
          <c:cat>
            <c:strRef>
              <c:f>Chart2!$G$17:$I$17</c:f>
              <c:strCache>
                <c:ptCount val="3"/>
                <c:pt idx="0">
                  <c:v>Your value as a person depends on how you look</c:v>
                </c:pt>
                <c:pt idx="1">
                  <c:v>How you look affects what you can achieve in life</c:v>
                </c:pt>
                <c:pt idx="2">
                  <c:v>Society puts too much pressure on girls and women to have a sexualised appearance</c:v>
                </c:pt>
              </c:strCache>
            </c:strRef>
          </c:cat>
          <c:val>
            <c:numRef>
              <c:f>Chart2!$G$18:$I$18</c:f>
              <c:numCache>
                <c:formatCode>0.00</c:formatCode>
                <c:ptCount val="3"/>
                <c:pt idx="0">
                  <c:v>0.32042253521126701</c:v>
                </c:pt>
                <c:pt idx="1">
                  <c:v>0.46478873239436602</c:v>
                </c:pt>
                <c:pt idx="2">
                  <c:v>0.78521126760563309</c:v>
                </c:pt>
              </c:numCache>
            </c:numRef>
          </c:val>
        </c:ser>
        <c:ser>
          <c:idx val="1"/>
          <c:order val="1"/>
          <c:tx>
            <c:strRef>
              <c:f>Chart2!$F$19</c:f>
              <c:strCache>
                <c:ptCount val="1"/>
                <c:pt idx="0">
                  <c:v>35-49</c:v>
                </c:pt>
              </c:strCache>
            </c:strRef>
          </c:tx>
          <c:spPr>
            <a:solidFill>
              <a:schemeClr val="accent1">
                <a:lumMod val="75000"/>
              </a:schemeClr>
            </a:solidFill>
          </c:spPr>
          <c:invertIfNegative val="0"/>
          <c:dLbls>
            <c:dLbl>
              <c:idx val="0"/>
              <c:tx>
                <c:rich>
                  <a:bodyPr/>
                  <a:lstStyle/>
                  <a:p>
                    <a:r>
                      <a:rPr lang="en-US"/>
                      <a:t>23</a:t>
                    </a:r>
                  </a:p>
                </c:rich>
              </c:tx>
              <c:dLblPos val="ctr"/>
              <c:showLegendKey val="0"/>
              <c:showVal val="1"/>
              <c:showCatName val="0"/>
              <c:showSerName val="0"/>
              <c:showPercent val="0"/>
              <c:showBubbleSize val="0"/>
            </c:dLbl>
            <c:dLbl>
              <c:idx val="1"/>
              <c:tx>
                <c:rich>
                  <a:bodyPr/>
                  <a:lstStyle/>
                  <a:p>
                    <a:r>
                      <a:rPr lang="en-US"/>
                      <a:t>43</a:t>
                    </a:r>
                  </a:p>
                </c:rich>
              </c:tx>
              <c:dLblPos val="ctr"/>
              <c:showLegendKey val="0"/>
              <c:showVal val="1"/>
              <c:showCatName val="0"/>
              <c:showSerName val="0"/>
              <c:showPercent val="0"/>
              <c:showBubbleSize val="0"/>
            </c:dLbl>
            <c:dLbl>
              <c:idx val="2"/>
              <c:tx>
                <c:rich>
                  <a:bodyPr/>
                  <a:lstStyle/>
                  <a:p>
                    <a:r>
                      <a:rPr lang="en-US"/>
                      <a:t>78</a:t>
                    </a:r>
                  </a:p>
                </c:rich>
              </c:tx>
              <c:dLblPos val="ctr"/>
              <c:showLegendKey val="0"/>
              <c:showVal val="1"/>
              <c:showCatName val="0"/>
              <c:showSerName val="0"/>
              <c:showPercent val="0"/>
              <c:showBubbleSize val="0"/>
            </c:dLbl>
            <c:txPr>
              <a:bodyPr/>
              <a:lstStyle/>
              <a:p>
                <a:pPr>
                  <a:defRPr>
                    <a:solidFill>
                      <a:schemeClr val="bg1"/>
                    </a:solidFill>
                  </a:defRPr>
                </a:pPr>
                <a:endParaRPr lang="en-US"/>
              </a:p>
            </c:txPr>
            <c:dLblPos val="ctr"/>
            <c:showLegendKey val="0"/>
            <c:showVal val="1"/>
            <c:showCatName val="0"/>
            <c:showSerName val="0"/>
            <c:showPercent val="0"/>
            <c:showBubbleSize val="0"/>
            <c:showLeaderLines val="0"/>
          </c:dLbls>
          <c:errBars>
            <c:errBarType val="both"/>
            <c:errValType val="cust"/>
            <c:noEndCap val="0"/>
            <c:plus>
              <c:numRef>
                <c:f>Chart2!$L$19:$N$19</c:f>
                <c:numCache>
                  <c:formatCode>General</c:formatCode>
                  <c:ptCount val="3"/>
                  <c:pt idx="0">
                    <c:v>6.6492615782365261E-2</c:v>
                  </c:pt>
                  <c:pt idx="1">
                    <c:v>7.7643228935468822E-2</c:v>
                  </c:pt>
                  <c:pt idx="2">
                    <c:v>6.5239000721021081E-2</c:v>
                  </c:pt>
                </c:numCache>
              </c:numRef>
            </c:plus>
            <c:minus>
              <c:numRef>
                <c:f>Chart2!$L$19:$N$19</c:f>
                <c:numCache>
                  <c:formatCode>General</c:formatCode>
                  <c:ptCount val="3"/>
                  <c:pt idx="0">
                    <c:v>6.6492615782365261E-2</c:v>
                  </c:pt>
                  <c:pt idx="1">
                    <c:v>7.7643228935468822E-2</c:v>
                  </c:pt>
                  <c:pt idx="2">
                    <c:v>6.5239000721021081E-2</c:v>
                  </c:pt>
                </c:numCache>
              </c:numRef>
            </c:minus>
          </c:errBars>
          <c:cat>
            <c:strRef>
              <c:f>Chart2!$G$17:$I$17</c:f>
              <c:strCache>
                <c:ptCount val="3"/>
                <c:pt idx="0">
                  <c:v>Your value as a person depends on how you look</c:v>
                </c:pt>
                <c:pt idx="1">
                  <c:v>How you look affects what you can achieve in life</c:v>
                </c:pt>
                <c:pt idx="2">
                  <c:v>Society puts too much pressure on girls and women to have a sexualised appearance</c:v>
                </c:pt>
              </c:strCache>
            </c:strRef>
          </c:cat>
          <c:val>
            <c:numRef>
              <c:f>Chart2!$G$19:$I$19</c:f>
              <c:numCache>
                <c:formatCode>0.00</c:formatCode>
                <c:ptCount val="3"/>
                <c:pt idx="0">
                  <c:v>0.234567901234567</c:v>
                </c:pt>
                <c:pt idx="1">
                  <c:v>0.42798353909464998</c:v>
                </c:pt>
                <c:pt idx="2">
                  <c:v>0.77777777777777701</c:v>
                </c:pt>
              </c:numCache>
            </c:numRef>
          </c:val>
        </c:ser>
        <c:ser>
          <c:idx val="2"/>
          <c:order val="2"/>
          <c:tx>
            <c:strRef>
              <c:f>Chart2!$F$20</c:f>
              <c:strCache>
                <c:ptCount val="1"/>
                <c:pt idx="0">
                  <c:v>50-64</c:v>
                </c:pt>
              </c:strCache>
            </c:strRef>
          </c:tx>
          <c:spPr>
            <a:solidFill>
              <a:schemeClr val="tx2">
                <a:lumMod val="60000"/>
                <a:lumOff val="40000"/>
              </a:schemeClr>
            </a:solidFill>
          </c:spPr>
          <c:invertIfNegative val="0"/>
          <c:dLbls>
            <c:dLbl>
              <c:idx val="0"/>
              <c:tx>
                <c:rich>
                  <a:bodyPr/>
                  <a:lstStyle/>
                  <a:p>
                    <a:r>
                      <a:rPr lang="en-US"/>
                      <a:t>31</a:t>
                    </a:r>
                  </a:p>
                </c:rich>
              </c:tx>
              <c:dLblPos val="ctr"/>
              <c:showLegendKey val="0"/>
              <c:showVal val="1"/>
              <c:showCatName val="0"/>
              <c:showSerName val="0"/>
              <c:showPercent val="0"/>
              <c:showBubbleSize val="0"/>
            </c:dLbl>
            <c:dLbl>
              <c:idx val="1"/>
              <c:tx>
                <c:rich>
                  <a:bodyPr/>
                  <a:lstStyle/>
                  <a:p>
                    <a:r>
                      <a:rPr lang="en-US"/>
                      <a:t>44</a:t>
                    </a:r>
                  </a:p>
                </c:rich>
              </c:tx>
              <c:dLblPos val="ctr"/>
              <c:showLegendKey val="0"/>
              <c:showVal val="1"/>
              <c:showCatName val="0"/>
              <c:showSerName val="0"/>
              <c:showPercent val="0"/>
              <c:showBubbleSize val="0"/>
            </c:dLbl>
            <c:dLbl>
              <c:idx val="2"/>
              <c:tx>
                <c:rich>
                  <a:bodyPr/>
                  <a:lstStyle/>
                  <a:p>
                    <a:r>
                      <a:rPr lang="en-US"/>
                      <a:t>80</a:t>
                    </a:r>
                  </a:p>
                </c:rich>
              </c:tx>
              <c:dLblPos val="ctr"/>
              <c:showLegendKey val="0"/>
              <c:showVal val="1"/>
              <c:showCatName val="0"/>
              <c:showSerName val="0"/>
              <c:showPercent val="0"/>
              <c:showBubbleSize val="0"/>
            </c:dLbl>
            <c:dLblPos val="ctr"/>
            <c:showLegendKey val="0"/>
            <c:showVal val="1"/>
            <c:showCatName val="0"/>
            <c:showSerName val="0"/>
            <c:showPercent val="0"/>
            <c:showBubbleSize val="0"/>
            <c:showLeaderLines val="0"/>
          </c:dLbls>
          <c:errBars>
            <c:errBarType val="both"/>
            <c:errValType val="cust"/>
            <c:noEndCap val="0"/>
            <c:plus>
              <c:numRef>
                <c:f>Chart2!$L$20:$N$20</c:f>
                <c:numCache>
                  <c:formatCode>General</c:formatCode>
                  <c:ptCount val="3"/>
                  <c:pt idx="0">
                    <c:v>7.1436207244525957E-2</c:v>
                  </c:pt>
                  <c:pt idx="1">
                    <c:v>7.6596052703696099E-2</c:v>
                  </c:pt>
                  <c:pt idx="2">
                    <c:v>6.182594904204379E-2</c:v>
                  </c:pt>
                </c:numCache>
              </c:numRef>
            </c:plus>
            <c:minus>
              <c:numRef>
                <c:f>Chart2!$L$20:$N$20</c:f>
                <c:numCache>
                  <c:formatCode>General</c:formatCode>
                  <c:ptCount val="3"/>
                  <c:pt idx="0">
                    <c:v>7.1436207244525957E-2</c:v>
                  </c:pt>
                  <c:pt idx="1">
                    <c:v>7.6596052703696099E-2</c:v>
                  </c:pt>
                  <c:pt idx="2">
                    <c:v>6.182594904204379E-2</c:v>
                  </c:pt>
                </c:numCache>
              </c:numRef>
            </c:minus>
          </c:errBars>
          <c:cat>
            <c:strRef>
              <c:f>Chart2!$G$17:$I$17</c:f>
              <c:strCache>
                <c:ptCount val="3"/>
                <c:pt idx="0">
                  <c:v>Your value as a person depends on how you look</c:v>
                </c:pt>
                <c:pt idx="1">
                  <c:v>How you look affects what you can achieve in life</c:v>
                </c:pt>
                <c:pt idx="2">
                  <c:v>Society puts too much pressure on girls and women to have a sexualised appearance</c:v>
                </c:pt>
              </c:strCache>
            </c:strRef>
          </c:cat>
          <c:val>
            <c:numRef>
              <c:f>Chart2!$G$20:$I$20</c:f>
              <c:numCache>
                <c:formatCode>0.00</c:formatCode>
                <c:ptCount val="3"/>
                <c:pt idx="0">
                  <c:v>0.31111111111111101</c:v>
                </c:pt>
                <c:pt idx="1">
                  <c:v>0.44</c:v>
                </c:pt>
                <c:pt idx="2">
                  <c:v>0.79910714285714202</c:v>
                </c:pt>
              </c:numCache>
            </c:numRef>
          </c:val>
        </c:ser>
        <c:ser>
          <c:idx val="3"/>
          <c:order val="3"/>
          <c:tx>
            <c:strRef>
              <c:f>Chart2!$F$21</c:f>
              <c:strCache>
                <c:ptCount val="1"/>
                <c:pt idx="0">
                  <c:v>65+</c:v>
                </c:pt>
              </c:strCache>
            </c:strRef>
          </c:tx>
          <c:spPr>
            <a:solidFill>
              <a:schemeClr val="tx2">
                <a:lumMod val="40000"/>
                <a:lumOff val="60000"/>
              </a:schemeClr>
            </a:solidFill>
          </c:spPr>
          <c:invertIfNegative val="0"/>
          <c:dLbls>
            <c:dLbl>
              <c:idx val="0"/>
              <c:tx>
                <c:rich>
                  <a:bodyPr/>
                  <a:lstStyle/>
                  <a:p>
                    <a:r>
                      <a:rPr lang="en-US"/>
                      <a:t>43</a:t>
                    </a:r>
                  </a:p>
                </c:rich>
              </c:tx>
              <c:dLblPos val="ctr"/>
              <c:showLegendKey val="0"/>
              <c:showVal val="1"/>
              <c:showCatName val="0"/>
              <c:showSerName val="0"/>
              <c:showPercent val="0"/>
              <c:showBubbleSize val="0"/>
            </c:dLbl>
            <c:dLbl>
              <c:idx val="1"/>
              <c:tx>
                <c:rich>
                  <a:bodyPr/>
                  <a:lstStyle/>
                  <a:p>
                    <a:r>
                      <a:rPr lang="en-US"/>
                      <a:t>53</a:t>
                    </a:r>
                  </a:p>
                </c:rich>
              </c:tx>
              <c:dLblPos val="ctr"/>
              <c:showLegendKey val="0"/>
              <c:showVal val="1"/>
              <c:showCatName val="0"/>
              <c:showSerName val="0"/>
              <c:showPercent val="0"/>
              <c:showBubbleSize val="0"/>
            </c:dLbl>
            <c:dLbl>
              <c:idx val="2"/>
              <c:tx>
                <c:rich>
                  <a:bodyPr/>
                  <a:lstStyle/>
                  <a:p>
                    <a:r>
                      <a:rPr lang="en-US"/>
                      <a:t>70</a:t>
                    </a:r>
                  </a:p>
                </c:rich>
              </c:tx>
              <c:dLblPos val="ctr"/>
              <c:showLegendKey val="0"/>
              <c:showVal val="1"/>
              <c:showCatName val="0"/>
              <c:showSerName val="0"/>
              <c:showPercent val="0"/>
              <c:showBubbleSize val="0"/>
            </c:dLbl>
            <c:dLblPos val="ctr"/>
            <c:showLegendKey val="0"/>
            <c:showVal val="1"/>
            <c:showCatName val="0"/>
            <c:showSerName val="0"/>
            <c:showPercent val="0"/>
            <c:showBubbleSize val="0"/>
            <c:showLeaderLines val="0"/>
          </c:dLbls>
          <c:errBars>
            <c:errBarType val="both"/>
            <c:errValType val="cust"/>
            <c:noEndCap val="0"/>
            <c:plus>
              <c:numRef>
                <c:f>Chart2!$L$21:$N$21</c:f>
                <c:numCache>
                  <c:formatCode>General</c:formatCode>
                  <c:ptCount val="3"/>
                  <c:pt idx="0">
                    <c:v>7.1577805415670992E-2</c:v>
                  </c:pt>
                  <c:pt idx="1">
                    <c:v>7.222428140871287E-2</c:v>
                  </c:pt>
                  <c:pt idx="2">
                    <c:v>6.6186188880963073E-2</c:v>
                  </c:pt>
                </c:numCache>
              </c:numRef>
            </c:plus>
            <c:minus>
              <c:numRef>
                <c:f>Chart2!$L$21:$N$21</c:f>
                <c:numCache>
                  <c:formatCode>General</c:formatCode>
                  <c:ptCount val="3"/>
                  <c:pt idx="0">
                    <c:v>7.1577805415670992E-2</c:v>
                  </c:pt>
                  <c:pt idx="1">
                    <c:v>7.222428140871287E-2</c:v>
                  </c:pt>
                  <c:pt idx="2">
                    <c:v>6.6186188880963073E-2</c:v>
                  </c:pt>
                </c:numCache>
              </c:numRef>
            </c:minus>
          </c:errBars>
          <c:cat>
            <c:strRef>
              <c:f>Chart2!$G$17:$I$17</c:f>
              <c:strCache>
                <c:ptCount val="3"/>
                <c:pt idx="0">
                  <c:v>Your value as a person depends on how you look</c:v>
                </c:pt>
                <c:pt idx="1">
                  <c:v>How you look affects what you can achieve in life</c:v>
                </c:pt>
                <c:pt idx="2">
                  <c:v>Society puts too much pressure on girls and women to have a sexualised appearance</c:v>
                </c:pt>
              </c:strCache>
            </c:strRef>
          </c:cat>
          <c:val>
            <c:numRef>
              <c:f>Chart2!$G$21:$I$21</c:f>
              <c:numCache>
                <c:formatCode>0.00</c:formatCode>
                <c:ptCount val="3"/>
                <c:pt idx="0">
                  <c:v>0.42592592592592504</c:v>
                </c:pt>
                <c:pt idx="1">
                  <c:v>0.532407407407407</c:v>
                </c:pt>
                <c:pt idx="2">
                  <c:v>0.70232558139534806</c:v>
                </c:pt>
              </c:numCache>
            </c:numRef>
          </c:val>
        </c:ser>
        <c:ser>
          <c:idx val="4"/>
          <c:order val="4"/>
          <c:tx>
            <c:strRef>
              <c:f>Chart2!$F$22</c:f>
              <c:strCache>
                <c:ptCount val="1"/>
                <c:pt idx="0">
                  <c:v>All</c:v>
                </c:pt>
              </c:strCache>
            </c:strRef>
          </c:tx>
          <c:spPr>
            <a:solidFill>
              <a:schemeClr val="accent1">
                <a:lumMod val="40000"/>
                <a:lumOff val="60000"/>
              </a:schemeClr>
            </a:solidFill>
          </c:spPr>
          <c:invertIfNegative val="0"/>
          <c:dLbls>
            <c:dLbl>
              <c:idx val="0"/>
              <c:tx>
                <c:rich>
                  <a:bodyPr/>
                  <a:lstStyle/>
                  <a:p>
                    <a:r>
                      <a:rPr lang="en-US"/>
                      <a:t>32</a:t>
                    </a:r>
                  </a:p>
                </c:rich>
              </c:tx>
              <c:dLblPos val="ctr"/>
              <c:showLegendKey val="0"/>
              <c:showVal val="1"/>
              <c:showCatName val="0"/>
              <c:showSerName val="0"/>
              <c:showPercent val="0"/>
              <c:showBubbleSize val="0"/>
            </c:dLbl>
            <c:dLbl>
              <c:idx val="1"/>
              <c:tx>
                <c:rich>
                  <a:bodyPr/>
                  <a:lstStyle/>
                  <a:p>
                    <a:pPr>
                      <a:defRPr/>
                    </a:pPr>
                    <a:r>
                      <a:rPr lang="en-US"/>
                      <a:t>46</a:t>
                    </a:r>
                  </a:p>
                </c:rich>
              </c:tx>
              <c:numFmt formatCode="0.00%" sourceLinked="0"/>
              <c:spPr/>
              <c:dLblPos val="ctr"/>
              <c:showLegendKey val="0"/>
              <c:showVal val="1"/>
              <c:showCatName val="0"/>
              <c:showSerName val="0"/>
              <c:showPercent val="0"/>
              <c:showBubbleSize val="0"/>
            </c:dLbl>
            <c:dLbl>
              <c:idx val="2"/>
              <c:tx>
                <c:rich>
                  <a:bodyPr/>
                  <a:lstStyle/>
                  <a:p>
                    <a:r>
                      <a:rPr lang="en-US"/>
                      <a:t>77</a:t>
                    </a:r>
                  </a:p>
                </c:rich>
              </c:tx>
              <c:dLblPos val="ctr"/>
              <c:showLegendKey val="0"/>
              <c:showVal val="1"/>
              <c:showCatName val="0"/>
              <c:showSerName val="0"/>
              <c:showPercent val="0"/>
              <c:showBubbleSize val="0"/>
            </c:dLbl>
            <c:dLblPos val="ctr"/>
            <c:showLegendKey val="0"/>
            <c:showVal val="1"/>
            <c:showCatName val="0"/>
            <c:showSerName val="0"/>
            <c:showPercent val="0"/>
            <c:showBubbleSize val="0"/>
            <c:showLeaderLines val="0"/>
          </c:dLbls>
          <c:errBars>
            <c:errBarType val="both"/>
            <c:errValType val="cust"/>
            <c:noEndCap val="0"/>
            <c:plus>
              <c:numRef>
                <c:f>Chart2!$L$22:$N$22</c:f>
                <c:numCache>
                  <c:formatCode>General</c:formatCode>
                  <c:ptCount val="3"/>
                  <c:pt idx="0">
                    <c:v>0.04</c:v>
                  </c:pt>
                  <c:pt idx="1">
                    <c:v>0.04</c:v>
                  </c:pt>
                  <c:pt idx="2">
                    <c:v>0.03</c:v>
                  </c:pt>
                </c:numCache>
              </c:numRef>
            </c:plus>
            <c:minus>
              <c:numRef>
                <c:f>Chart2!$L$22:$N$22</c:f>
                <c:numCache>
                  <c:formatCode>General</c:formatCode>
                  <c:ptCount val="3"/>
                  <c:pt idx="0">
                    <c:v>0.04</c:v>
                  </c:pt>
                  <c:pt idx="1">
                    <c:v>0.04</c:v>
                  </c:pt>
                  <c:pt idx="2">
                    <c:v>0.03</c:v>
                  </c:pt>
                </c:numCache>
              </c:numRef>
            </c:minus>
          </c:errBars>
          <c:cat>
            <c:strRef>
              <c:f>Chart2!$G$17:$I$17</c:f>
              <c:strCache>
                <c:ptCount val="3"/>
                <c:pt idx="0">
                  <c:v>Your value as a person depends on how you look</c:v>
                </c:pt>
                <c:pt idx="1">
                  <c:v>How you look affects what you can achieve in life</c:v>
                </c:pt>
                <c:pt idx="2">
                  <c:v>Society puts too much pressure on girls and women to have a sexualised appearance</c:v>
                </c:pt>
              </c:strCache>
            </c:strRef>
          </c:cat>
          <c:val>
            <c:numRef>
              <c:f>Chart2!$G$22:$I$22</c:f>
              <c:numCache>
                <c:formatCode>0.00</c:formatCode>
                <c:ptCount val="3"/>
                <c:pt idx="0">
                  <c:v>0.32012746474014298</c:v>
                </c:pt>
                <c:pt idx="1">
                  <c:v>0.46504886537164097</c:v>
                </c:pt>
                <c:pt idx="2">
                  <c:v>0.76734979472950793</c:v>
                </c:pt>
              </c:numCache>
            </c:numRef>
          </c:val>
        </c:ser>
        <c:dLbls>
          <c:showLegendKey val="0"/>
          <c:showVal val="0"/>
          <c:showCatName val="0"/>
          <c:showSerName val="0"/>
          <c:showPercent val="0"/>
          <c:showBubbleSize val="0"/>
        </c:dLbls>
        <c:gapWidth val="150"/>
        <c:axId val="159961472"/>
        <c:axId val="159963008"/>
      </c:barChart>
      <c:catAx>
        <c:axId val="159961472"/>
        <c:scaling>
          <c:orientation val="minMax"/>
        </c:scaling>
        <c:delete val="0"/>
        <c:axPos val="b"/>
        <c:majorTickMark val="out"/>
        <c:minorTickMark val="none"/>
        <c:tickLblPos val="nextTo"/>
        <c:crossAx val="159963008"/>
        <c:crosses val="autoZero"/>
        <c:auto val="1"/>
        <c:lblAlgn val="ctr"/>
        <c:lblOffset val="100"/>
        <c:noMultiLvlLbl val="0"/>
      </c:catAx>
      <c:valAx>
        <c:axId val="159963008"/>
        <c:scaling>
          <c:orientation val="minMax"/>
        </c:scaling>
        <c:delete val="0"/>
        <c:axPos val="l"/>
        <c:majorGridlines/>
        <c:numFmt formatCode="0%" sourceLinked="0"/>
        <c:majorTickMark val="out"/>
        <c:minorTickMark val="none"/>
        <c:tickLblPos val="nextTo"/>
        <c:crossAx val="159961472"/>
        <c:crosses val="autoZero"/>
        <c:crossBetween val="between"/>
        <c:majorUnit val="0.2"/>
      </c:valAx>
    </c:plotArea>
    <c:legend>
      <c:legendPos val="r"/>
      <c:overlay val="0"/>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1CAE9E-8BDA-4517-982B-A0D598520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11</Pages>
  <Words>2023</Words>
  <Characters>11536</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DCMS</Company>
  <LinksUpToDate>false</LinksUpToDate>
  <CharactersWithSpaces>13532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AUST, Rebecca</dc:creator>
  <cp:lastModifiedBy>O'CONNOR, Carolyn</cp:lastModifiedBy>
  <cp:revision>4</cp:revision>
  <cp:lastPrinted>2014-10-03T20:34:00Z</cp:lastPrinted>
  <dcterms:created xsi:type="dcterms:W3CDTF">2014-10-10T12:39:00Z</dcterms:created>
  <dcterms:modified xsi:type="dcterms:W3CDTF">2014-10-10T12:50:00Z</dcterms:modified>
</cp:coreProperties>
</file>