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1F" w:rsidRPr="0057411F" w:rsidRDefault="004D73C6" w:rsidP="0057411F">
      <w:pPr>
        <w:pStyle w:val="Heading1"/>
        <w:spacing w:before="0" w:after="0"/>
      </w:pPr>
      <w:r>
        <w:rPr>
          <w:noProof/>
        </w:rPr>
        <w:drawing>
          <wp:inline distT="0" distB="0" distL="0" distR="0" wp14:anchorId="19A2694C" wp14:editId="2706E258">
            <wp:extent cx="1056640" cy="1080770"/>
            <wp:effectExtent l="0" t="0" r="0" b="5080"/>
            <wp:docPr id="7" name="Picture 7" descr="Education funding agency" title="Logo"/>
            <wp:cNvGraphicFramePr/>
            <a:graphic xmlns:a="http://schemas.openxmlformats.org/drawingml/2006/main">
              <a:graphicData uri="http://schemas.openxmlformats.org/drawingml/2006/picture">
                <pic:pic xmlns:pic="http://schemas.openxmlformats.org/drawingml/2006/picture">
                  <pic:nvPicPr>
                    <pic:cNvPr id="3" name="Picture 3" descr="Education funding agency" title="Logo"/>
                    <pic:cNvPicPr/>
                  </pic:nvPicPr>
                  <pic:blipFill rotWithShape="1">
                    <a:blip r:embed="rId13" cstate="print">
                      <a:extLst>
                        <a:ext uri="{28A0092B-C50C-407E-A947-70E740481C1C}">
                          <a14:useLocalDpi xmlns:a14="http://schemas.microsoft.com/office/drawing/2010/main" val="0"/>
                        </a:ext>
                      </a:extLst>
                    </a:blip>
                    <a:srcRect r="51903"/>
                    <a:stretch/>
                  </pic:blipFill>
                  <pic:spPr bwMode="auto">
                    <a:xfrm>
                      <a:off x="0" y="0"/>
                      <a:ext cx="1052830" cy="1073785"/>
                    </a:xfrm>
                    <a:prstGeom prst="rect">
                      <a:avLst/>
                    </a:prstGeom>
                    <a:ln>
                      <a:noFill/>
                    </a:ln>
                    <a:extLst>
                      <a:ext uri="{53640926-AAD7-44D8-BBD7-CCE9431645EC}">
                        <a14:shadowObscured xmlns:a14="http://schemas.microsoft.com/office/drawing/2010/main"/>
                      </a:ext>
                    </a:extLst>
                  </pic:spPr>
                </pic:pic>
              </a:graphicData>
            </a:graphic>
          </wp:inline>
        </w:drawing>
      </w:r>
    </w:p>
    <w:p w:rsidR="004D73C6" w:rsidRPr="002C20C6" w:rsidRDefault="000F7F8B" w:rsidP="0057411F">
      <w:pPr>
        <w:pStyle w:val="Heading1"/>
      </w:pPr>
      <w:r w:rsidRPr="002C20C6">
        <w:t xml:space="preserve">Free meals in further education funded </w:t>
      </w:r>
      <w:r w:rsidR="002C20C6" w:rsidRPr="002C20C6">
        <w:t>institutions</w:t>
      </w:r>
      <w:r w:rsidRPr="002C20C6">
        <w:t xml:space="preserve"> </w:t>
      </w:r>
    </w:p>
    <w:p w:rsidR="000F7F8B" w:rsidRPr="000F7F8B" w:rsidRDefault="000F7F8B" w:rsidP="0057411F">
      <w:pPr>
        <w:pStyle w:val="Heading2"/>
      </w:pPr>
      <w:r w:rsidRPr="000F7F8B">
        <w:t>Application to make cash awards to students</w:t>
      </w:r>
    </w:p>
    <w:p w:rsidR="000F7F8B" w:rsidRDefault="000F7F8B" w:rsidP="002C20C6">
      <w:pPr>
        <w:pStyle w:val="DfESOutNumbered1"/>
        <w:numPr>
          <w:ilvl w:val="0"/>
          <w:numId w:val="48"/>
        </w:numPr>
      </w:pPr>
      <w:r w:rsidRPr="00273529">
        <w:t xml:space="preserve">From September 2014, </w:t>
      </w:r>
      <w:r>
        <w:t xml:space="preserve">institutions are </w:t>
      </w:r>
      <w:r w:rsidRPr="00273529">
        <w:t xml:space="preserve">required to provide free meals to disadvantaged students </w:t>
      </w:r>
      <w:r>
        <w:t xml:space="preserve">in further education funded institutions aged between </w:t>
      </w:r>
      <w:r w:rsidRPr="00273529">
        <w:t xml:space="preserve">16 </w:t>
      </w:r>
      <w:r>
        <w:t>and 18</w:t>
      </w:r>
      <w:r w:rsidRPr="00273529">
        <w:t>.</w:t>
      </w:r>
    </w:p>
    <w:p w:rsidR="002C20C6" w:rsidRDefault="002C20C6" w:rsidP="002C20C6">
      <w:pPr>
        <w:pStyle w:val="DfESOutNumbered1"/>
        <w:numPr>
          <w:ilvl w:val="0"/>
          <w:numId w:val="0"/>
        </w:numPr>
      </w:pPr>
    </w:p>
    <w:p w:rsidR="000F7F8B" w:rsidRPr="002C20C6" w:rsidRDefault="000F7F8B" w:rsidP="002C20C6">
      <w:pPr>
        <w:pStyle w:val="DfESOutNumbered1"/>
        <w:numPr>
          <w:ilvl w:val="0"/>
          <w:numId w:val="48"/>
        </w:numPr>
        <w:rPr>
          <w:rStyle w:val="Hyperlink"/>
          <w:color w:val="auto"/>
          <w:u w:val="none"/>
        </w:rPr>
      </w:pPr>
      <w:r>
        <w:t xml:space="preserve">The EFA expects </w:t>
      </w:r>
      <w:r w:rsidRPr="00AD3246">
        <w:t xml:space="preserve">that </w:t>
      </w:r>
      <w:r>
        <w:t xml:space="preserve">institutions will offer </w:t>
      </w:r>
      <w:r w:rsidRPr="00AD3246">
        <w:t xml:space="preserve">a meal, voucher or credit to eligible students. However, </w:t>
      </w:r>
      <w:r>
        <w:t xml:space="preserve">we recognise that in a limited number of circumstances </w:t>
      </w:r>
      <w:r w:rsidRPr="00AD3246">
        <w:t>this may not b</w:t>
      </w:r>
      <w:r>
        <w:t>e practical.</w:t>
      </w:r>
      <w:r w:rsidRPr="00AD3246">
        <w:t xml:space="preserve"> Institutions </w:t>
      </w:r>
      <w:r>
        <w:t xml:space="preserve">will </w:t>
      </w:r>
      <w:r w:rsidRPr="00AD3246">
        <w:t>therefore be a</w:t>
      </w:r>
      <w:r>
        <w:t>llowed</w:t>
      </w:r>
      <w:r w:rsidRPr="00AD3246">
        <w:t xml:space="preserve"> to offer cash </w:t>
      </w:r>
      <w:r>
        <w:t xml:space="preserve">to eligible students </w:t>
      </w:r>
      <w:r w:rsidRPr="00AD3246">
        <w:t xml:space="preserve">in </w:t>
      </w:r>
      <w:r>
        <w:t xml:space="preserve">some circumstances. The ‘FE free meals guide for the 2014 to 2015 academic year’ sets out these circumstances, and is available online at: </w:t>
      </w:r>
      <w:hyperlink r:id="rId14" w:history="1">
        <w:r>
          <w:rPr>
            <w:rStyle w:val="Hyperlink"/>
            <w:rFonts w:cs="Arial"/>
          </w:rPr>
          <w:t>Free meals guide</w:t>
        </w:r>
      </w:hyperlink>
    </w:p>
    <w:p w:rsidR="002C20C6" w:rsidRDefault="002C20C6" w:rsidP="002C20C6">
      <w:pPr>
        <w:pStyle w:val="DfESOutNumbered1"/>
        <w:numPr>
          <w:ilvl w:val="0"/>
          <w:numId w:val="0"/>
        </w:numPr>
      </w:pPr>
    </w:p>
    <w:p w:rsidR="000F7F8B" w:rsidRDefault="000F7F8B" w:rsidP="002C20C6">
      <w:pPr>
        <w:pStyle w:val="DfESOutNumbered1"/>
        <w:numPr>
          <w:ilvl w:val="0"/>
          <w:numId w:val="48"/>
        </w:numPr>
      </w:pPr>
      <w:r>
        <w:t>The EFA expects that most students requiring a cash award will be covered by the circumstances in the guide.  O</w:t>
      </w:r>
      <w:r w:rsidRPr="00293844">
        <w:t>ne-off funding</w:t>
      </w:r>
      <w:r>
        <w:t xml:space="preserve"> has also been provided in the 2014 to 2015 academic year to enable </w:t>
      </w:r>
      <w:r w:rsidRPr="00FB7E2E">
        <w:t xml:space="preserve">institutions </w:t>
      </w:r>
      <w:r>
        <w:t>to put</w:t>
      </w:r>
      <w:r w:rsidRPr="00FB7E2E">
        <w:t xml:space="preserve"> facilities and processes into place</w:t>
      </w:r>
      <w:r>
        <w:t xml:space="preserve">, for example, to arrange the supply of vouchers for meals etc. If institutions do experience exceptional circumstances that are not covered by the guide, they can request EFA approval to make cash payments by completing this form. </w:t>
      </w:r>
    </w:p>
    <w:p w:rsidR="002C20C6" w:rsidRDefault="002C20C6" w:rsidP="002C20C6">
      <w:pPr>
        <w:pStyle w:val="DfESOutNumbered1"/>
        <w:numPr>
          <w:ilvl w:val="0"/>
          <w:numId w:val="0"/>
        </w:numPr>
      </w:pPr>
    </w:p>
    <w:p w:rsidR="000F7F8B" w:rsidRDefault="000F7F8B" w:rsidP="002C20C6">
      <w:pPr>
        <w:pStyle w:val="DfESOutNumbered1"/>
        <w:numPr>
          <w:ilvl w:val="0"/>
          <w:numId w:val="48"/>
        </w:numPr>
      </w:pPr>
      <w:r>
        <w:t>Institutions should bear in mind that the EFA expects there to be an extremely small number of instances when it is necessary to apply for an exception.  No exception can be guaranteed and institutions must not issue cash to students in any circumstances which are not defined in the guide without agreement from the EFA.</w:t>
      </w:r>
    </w:p>
    <w:p w:rsidR="002C20C6" w:rsidRDefault="002C20C6" w:rsidP="002C20C6">
      <w:pPr>
        <w:ind w:left="1080" w:hanging="360"/>
      </w:pPr>
    </w:p>
    <w:p w:rsidR="000F7F8B" w:rsidRDefault="000F7F8B" w:rsidP="002C20C6">
      <w:pPr>
        <w:pStyle w:val="DfESOutNumbered1"/>
        <w:numPr>
          <w:ilvl w:val="0"/>
          <w:numId w:val="48"/>
        </w:numPr>
      </w:pPr>
      <w:r>
        <w:t>The form must be returned to your EFA territory by email.</w:t>
      </w:r>
    </w:p>
    <w:p w:rsidR="000F7F8B" w:rsidRPr="0057411F" w:rsidRDefault="000F7F8B" w:rsidP="00BC1E4C">
      <w:pPr>
        <w:pStyle w:val="ListParagraph"/>
        <w:spacing w:before="120" w:after="120"/>
        <w:ind w:left="1077" w:hanging="357"/>
      </w:pPr>
      <w:r w:rsidRPr="0057411F">
        <w:t>North</w:t>
      </w:r>
      <w:r w:rsidR="009278FC">
        <w:tab/>
      </w:r>
      <w:r w:rsidR="009278FC">
        <w:tab/>
      </w:r>
      <w:r w:rsidR="009278FC">
        <w:tab/>
      </w:r>
      <w:r w:rsidR="009278FC">
        <w:tab/>
      </w:r>
      <w:hyperlink r:id="rId15" w:history="1">
        <w:r w:rsidR="0057411F" w:rsidRPr="001D4DFA">
          <w:rPr>
            <w:rStyle w:val="Hyperlink"/>
          </w:rPr>
          <w:t>ypnorthern.efa@education.gsi.gov.uk</w:t>
        </w:r>
      </w:hyperlink>
    </w:p>
    <w:p w:rsidR="0057411F" w:rsidRPr="0057411F" w:rsidRDefault="000F7F8B" w:rsidP="00BC1E4C">
      <w:pPr>
        <w:pStyle w:val="ListParagraph"/>
        <w:spacing w:before="120" w:after="120"/>
        <w:rPr>
          <w:rStyle w:val="Hyperlink"/>
          <w:color w:val="auto"/>
          <w:sz w:val="22"/>
          <w:u w:val="none"/>
        </w:rPr>
      </w:pPr>
      <w:r w:rsidRPr="0057411F">
        <w:t>South</w:t>
      </w:r>
      <w:r w:rsidRPr="0057411F">
        <w:tab/>
      </w:r>
      <w:r w:rsidRPr="0057411F">
        <w:tab/>
      </w:r>
      <w:r w:rsidRPr="0057411F">
        <w:tab/>
      </w:r>
      <w:r w:rsidRPr="0057411F">
        <w:tab/>
      </w:r>
      <w:hyperlink r:id="rId16" w:history="1">
        <w:r w:rsidR="0057411F" w:rsidRPr="001D4DFA">
          <w:rPr>
            <w:rStyle w:val="Hyperlink"/>
          </w:rPr>
          <w:t>ypsouthern.efa@education.gsi.gov.uk</w:t>
        </w:r>
      </w:hyperlink>
    </w:p>
    <w:p w:rsidR="002C20C6" w:rsidRPr="0057411F" w:rsidRDefault="000F7F8B" w:rsidP="00BC1E4C">
      <w:pPr>
        <w:pStyle w:val="ListParagraph"/>
        <w:spacing w:before="120" w:after="120"/>
      </w:pPr>
      <w:r w:rsidRPr="0057411F">
        <w:t>Central and South West</w:t>
      </w:r>
      <w:r w:rsidRPr="0057411F">
        <w:tab/>
        <w:t xml:space="preserve">           </w:t>
      </w:r>
      <w:hyperlink r:id="rId17" w:history="1">
        <w:r w:rsidR="0057411F" w:rsidRPr="001D4DFA">
          <w:rPr>
            <w:rStyle w:val="Hyperlink"/>
          </w:rPr>
          <w:t>ypcentralsw.efa@education.gsi.gov.uk</w:t>
        </w:r>
      </w:hyperlink>
      <w:r w:rsidRPr="0057411F">
        <w:t xml:space="preserve"> </w:t>
      </w:r>
    </w:p>
    <w:p w:rsidR="002C20C6" w:rsidRDefault="002C20C6" w:rsidP="002C20C6">
      <w:pPr>
        <w:pStyle w:val="ListParagraph"/>
        <w:numPr>
          <w:ilvl w:val="0"/>
          <w:numId w:val="0"/>
        </w:numPr>
        <w:ind w:left="1080"/>
      </w:pPr>
      <w:r>
        <w:br w:type="page"/>
      </w:r>
      <w:bookmarkStart w:id="0" w:name="_GoBack"/>
      <w:bookmarkEnd w:id="0"/>
    </w:p>
    <w:p w:rsidR="002C20C6" w:rsidRDefault="00BC1E4C" w:rsidP="00BC1E4C">
      <w:pPr>
        <w:pStyle w:val="Heading2"/>
      </w:pPr>
      <w:r w:rsidRPr="000F7F8B">
        <w:lastRenderedPageBreak/>
        <w:t>Application to make cash awards to students</w:t>
      </w:r>
    </w:p>
    <w:tbl>
      <w:tblPr>
        <w:tblStyle w:val="TableGrid"/>
        <w:tblpPr w:leftFromText="180" w:rightFromText="180" w:vertAnchor="text" w:horzAnchor="margin" w:tblpY="405"/>
        <w:tblW w:w="0" w:type="auto"/>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Application to make cash awards"/>
        <w:tblDescription w:val="table to fill out details regarding free meals"/>
      </w:tblPr>
      <w:tblGrid>
        <w:gridCol w:w="2943"/>
        <w:gridCol w:w="6771"/>
      </w:tblGrid>
      <w:tr w:rsidR="000F7F8B" w:rsidTr="0057411F">
        <w:trPr>
          <w:cantSplit/>
          <w:tblHeader/>
        </w:trPr>
        <w:tc>
          <w:tcPr>
            <w:tcW w:w="2943" w:type="dxa"/>
          </w:tcPr>
          <w:p w:rsidR="002C20C6" w:rsidRDefault="000F7F8B" w:rsidP="00BC1E4C">
            <w:pPr>
              <w:pStyle w:val="ListBullet2"/>
              <w:numPr>
                <w:ilvl w:val="0"/>
                <w:numId w:val="0"/>
              </w:numPr>
              <w:spacing w:before="160"/>
            </w:pPr>
            <w:r>
              <w:t>Institution name</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UPIN</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Contact name</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Contact email</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Contact telephone</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Total number of students receiving free meals</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Number of students to receive cash award</w:t>
            </w:r>
          </w:p>
        </w:tc>
        <w:tc>
          <w:tcPr>
            <w:tcW w:w="6771" w:type="dxa"/>
          </w:tcPr>
          <w:p w:rsidR="000F7F8B" w:rsidRDefault="000F7F8B" w:rsidP="00BC1E4C">
            <w:pPr>
              <w:spacing w:before="160"/>
            </w:pPr>
          </w:p>
        </w:tc>
      </w:tr>
      <w:tr w:rsidR="000F7F8B" w:rsidTr="009B6756">
        <w:trPr>
          <w:cantSplit/>
        </w:trPr>
        <w:tc>
          <w:tcPr>
            <w:tcW w:w="2943" w:type="dxa"/>
          </w:tcPr>
          <w:p w:rsidR="000F7F8B" w:rsidRDefault="000F7F8B" w:rsidP="00BC1E4C">
            <w:pPr>
              <w:spacing w:before="160"/>
            </w:pPr>
            <w:r>
              <w:t>Period that cash awards will cover</w:t>
            </w:r>
          </w:p>
        </w:tc>
        <w:tc>
          <w:tcPr>
            <w:tcW w:w="6771" w:type="dxa"/>
          </w:tcPr>
          <w:p w:rsidR="000F7F8B" w:rsidRDefault="000F7F8B" w:rsidP="00BC1E4C">
            <w:pPr>
              <w:spacing w:before="160"/>
            </w:pPr>
          </w:p>
        </w:tc>
      </w:tr>
      <w:tr w:rsidR="000F7F8B" w:rsidTr="009B6756">
        <w:trPr>
          <w:cantSplit/>
        </w:trPr>
        <w:tc>
          <w:tcPr>
            <w:tcW w:w="9714" w:type="dxa"/>
            <w:gridSpan w:val="2"/>
          </w:tcPr>
          <w:p w:rsidR="000F7F8B" w:rsidRDefault="000F7F8B" w:rsidP="00BC1E4C">
            <w:pPr>
              <w:spacing w:before="160"/>
            </w:pPr>
            <w:r>
              <w:t>Reason that electronic credits or vouchers cannot be used</w:t>
            </w:r>
          </w:p>
        </w:tc>
      </w:tr>
      <w:tr w:rsidR="000F7F8B" w:rsidTr="009B6756">
        <w:trPr>
          <w:cantSplit/>
        </w:trPr>
        <w:tc>
          <w:tcPr>
            <w:tcW w:w="9714" w:type="dxa"/>
            <w:gridSpan w:val="2"/>
          </w:tcPr>
          <w:p w:rsidR="000F7F8B" w:rsidRPr="004438BE" w:rsidRDefault="000F7F8B" w:rsidP="00BC1E4C">
            <w:pPr>
              <w:spacing w:before="160"/>
              <w:rPr>
                <w:i/>
                <w:color w:val="808080" w:themeColor="background1" w:themeShade="80"/>
              </w:rPr>
            </w:pPr>
            <w:r w:rsidRPr="00BF55BB">
              <w:rPr>
                <w:i/>
                <w:color w:val="808080" w:themeColor="background1" w:themeShade="80"/>
              </w:rPr>
              <w:t>Please give</w:t>
            </w:r>
            <w:r>
              <w:rPr>
                <w:i/>
                <w:color w:val="808080" w:themeColor="background1" w:themeShade="80"/>
              </w:rPr>
              <w:t xml:space="preserve"> full details on why a cash award is the only possible option, including what alternatives have been explored and why the one-off </w:t>
            </w:r>
            <w:proofErr w:type="spellStart"/>
            <w:r>
              <w:rPr>
                <w:i/>
                <w:color w:val="808080" w:themeColor="background1" w:themeShade="80"/>
              </w:rPr>
              <w:t>start up</w:t>
            </w:r>
            <w:proofErr w:type="spellEnd"/>
            <w:r>
              <w:rPr>
                <w:i/>
                <w:color w:val="808080" w:themeColor="background1" w:themeShade="80"/>
              </w:rPr>
              <w:t xml:space="preserve"> funding has not enabled other facilities and processes to have been put in </w:t>
            </w:r>
            <w:proofErr w:type="gramStart"/>
            <w:r>
              <w:rPr>
                <w:i/>
                <w:color w:val="808080" w:themeColor="background1" w:themeShade="80"/>
              </w:rPr>
              <w:t>place .</w:t>
            </w:r>
            <w:proofErr w:type="gramEnd"/>
          </w:p>
        </w:tc>
      </w:tr>
    </w:tbl>
    <w:p w:rsidR="000F7F8B" w:rsidRDefault="000F7F8B" w:rsidP="000F7F8B">
      <w:pPr>
        <w:pStyle w:val="DfESOutNumbered1"/>
        <w:numPr>
          <w:ilvl w:val="0"/>
          <w:numId w:val="0"/>
        </w:numPr>
      </w:pPr>
    </w:p>
    <w:p w:rsidR="000F7F8B" w:rsidRDefault="000F7F8B" w:rsidP="00995398">
      <w:pPr>
        <w:pStyle w:val="EndBox"/>
      </w:pPr>
    </w:p>
    <w:p w:rsidR="00C2496D" w:rsidRPr="00995398" w:rsidRDefault="00C2496D" w:rsidP="00995398">
      <w:pPr>
        <w:pStyle w:val="EndBox"/>
      </w:pPr>
      <w:r w:rsidRPr="00995398">
        <w:t>© Crown copyright 20</w:t>
      </w:r>
      <w:r w:rsidR="0062451E">
        <w:t>14</w:t>
      </w:r>
    </w:p>
    <w:sectPr w:rsidR="00C2496D" w:rsidRPr="00995398"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A7" w:rsidRDefault="00C86BA7" w:rsidP="002B6D93">
      <w:r>
        <w:separator/>
      </w:r>
    </w:p>
    <w:p w:rsidR="00C86BA7" w:rsidRDefault="00C86BA7"/>
  </w:endnote>
  <w:endnote w:type="continuationSeparator" w:id="0">
    <w:p w:rsidR="00C86BA7" w:rsidRDefault="00C86BA7" w:rsidP="002B6D93">
      <w:r>
        <w:continuationSeparator/>
      </w:r>
    </w:p>
    <w:p w:rsidR="00C86BA7" w:rsidRDefault="00C86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0E9E">
          <w:rPr>
            <w:noProof/>
          </w:rPr>
          <w:t>2</w:t>
        </w:r>
        <w:r>
          <w:rPr>
            <w:noProof/>
          </w:rPr>
          <w:fldChar w:fldCharType="end"/>
        </w:r>
      </w:p>
    </w:sdtContent>
  </w:sdt>
  <w:p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5" w:rsidRPr="006E6ADB" w:rsidRDefault="00DA0AD5" w:rsidP="004A3626">
    <w:pPr>
      <w:pStyle w:val="CopyrightBox"/>
      <w:tabs>
        <w:tab w:val="left" w:pos="7088"/>
      </w:tabs>
      <w:spacing w:before="240"/>
      <w:rPr>
        <w:szCs w:val="20"/>
      </w:rPr>
    </w:pPr>
    <w:r w:rsidRPr="006E6ADB">
      <w:rPr>
        <w:szCs w:val="20"/>
      </w:rPr>
      <w:tab/>
      <w:t>Published:</w:t>
    </w:r>
    <w:r w:rsidR="003508E1">
      <w:rPr>
        <w:szCs w:val="20"/>
      </w:rPr>
      <w:t xml:space="preserve">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A7" w:rsidRDefault="00C86BA7" w:rsidP="002B6D93">
      <w:r>
        <w:separator/>
      </w:r>
    </w:p>
    <w:p w:rsidR="00C86BA7" w:rsidRDefault="00C86BA7"/>
  </w:footnote>
  <w:footnote w:type="continuationSeparator" w:id="0">
    <w:p w:rsidR="00C86BA7" w:rsidRDefault="00C86BA7" w:rsidP="002B6D93">
      <w:r>
        <w:continuationSeparator/>
      </w:r>
    </w:p>
    <w:p w:rsidR="00C86BA7" w:rsidRDefault="00C86B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0C06807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1">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nsid w:val="47F12CFA"/>
    <w:multiLevelType w:val="multilevel"/>
    <w:tmpl w:val="38FEDE9C"/>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7">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3">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5"/>
  </w:num>
  <w:num w:numId="5">
    <w:abstractNumId w:val="31"/>
  </w:num>
  <w:num w:numId="6">
    <w:abstractNumId w:val="3"/>
  </w:num>
  <w:num w:numId="7">
    <w:abstractNumId w:val="26"/>
  </w:num>
  <w:num w:numId="8">
    <w:abstractNumId w:val="30"/>
  </w:num>
  <w:num w:numId="9">
    <w:abstractNumId w:val="14"/>
  </w:num>
  <w:num w:numId="10">
    <w:abstractNumId w:val="27"/>
  </w:num>
  <w:num w:numId="11">
    <w:abstractNumId w:val="8"/>
  </w:num>
  <w:num w:numId="12">
    <w:abstractNumId w:val="17"/>
  </w:num>
  <w:num w:numId="13">
    <w:abstractNumId w:val="22"/>
  </w:num>
  <w:num w:numId="14">
    <w:abstractNumId w:val="0"/>
  </w:num>
  <w:num w:numId="15">
    <w:abstractNumId w:val="7"/>
  </w:num>
  <w:num w:numId="16">
    <w:abstractNumId w:val="8"/>
  </w:num>
  <w:num w:numId="17">
    <w:abstractNumId w:val="12"/>
  </w:num>
  <w:num w:numId="18">
    <w:abstractNumId w:val="22"/>
  </w:num>
  <w:num w:numId="19">
    <w:abstractNumId w:val="23"/>
  </w:num>
  <w:num w:numId="20">
    <w:abstractNumId w:val="8"/>
  </w:num>
  <w:num w:numId="21">
    <w:abstractNumId w:val="10"/>
  </w:num>
  <w:num w:numId="22">
    <w:abstractNumId w:val="22"/>
  </w:num>
  <w:num w:numId="23">
    <w:abstractNumId w:val="15"/>
  </w:num>
  <w:num w:numId="24">
    <w:abstractNumId w:val="15"/>
  </w:num>
  <w:num w:numId="25">
    <w:abstractNumId w:val="13"/>
  </w:num>
  <w:num w:numId="26">
    <w:abstractNumId w:val="28"/>
  </w:num>
  <w:num w:numId="27">
    <w:abstractNumId w:val="28"/>
  </w:num>
  <w:num w:numId="28">
    <w:abstractNumId w:val="32"/>
  </w:num>
  <w:num w:numId="29">
    <w:abstractNumId w:val="15"/>
  </w:num>
  <w:num w:numId="30">
    <w:abstractNumId w:val="15"/>
  </w:num>
  <w:num w:numId="31">
    <w:abstractNumId w:val="9"/>
  </w:num>
  <w:num w:numId="32">
    <w:abstractNumId w:val="20"/>
  </w:num>
  <w:num w:numId="33">
    <w:abstractNumId w:val="20"/>
  </w:num>
  <w:num w:numId="34">
    <w:abstractNumId w:val="19"/>
  </w:num>
  <w:num w:numId="35">
    <w:abstractNumId w:val="6"/>
  </w:num>
  <w:num w:numId="36">
    <w:abstractNumId w:val="16"/>
  </w:num>
  <w:num w:numId="37">
    <w:abstractNumId w:val="8"/>
  </w:num>
  <w:num w:numId="38">
    <w:abstractNumId w:val="33"/>
  </w:num>
  <w:num w:numId="39">
    <w:abstractNumId w:val="22"/>
  </w:num>
  <w:num w:numId="40">
    <w:abstractNumId w:val="29"/>
  </w:num>
  <w:num w:numId="41">
    <w:abstractNumId w:val="2"/>
  </w:num>
  <w:num w:numId="42">
    <w:abstractNumId w:val="1"/>
  </w:num>
  <w:num w:numId="43">
    <w:abstractNumId w:val="21"/>
  </w:num>
  <w:num w:numId="44">
    <w:abstractNumId w:val="18"/>
  </w:num>
  <w:num w:numId="45">
    <w:abstractNumId w:val="11"/>
  </w:num>
  <w:num w:numId="46">
    <w:abstractNumId w:val="25"/>
  </w:num>
  <w:num w:numId="47">
    <w:abstractNumId w:val="5"/>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0F7F8B"/>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20C6"/>
    <w:rsid w:val="002C3AA4"/>
    <w:rsid w:val="002E463F"/>
    <w:rsid w:val="002E4E9A"/>
    <w:rsid w:val="002E508B"/>
    <w:rsid w:val="002E5F9F"/>
    <w:rsid w:val="002E7849"/>
    <w:rsid w:val="002F7128"/>
    <w:rsid w:val="00300F99"/>
    <w:rsid w:val="00342F8B"/>
    <w:rsid w:val="003508E1"/>
    <w:rsid w:val="00361752"/>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B16A9"/>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11F"/>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78FC"/>
    <w:rsid w:val="0093027C"/>
    <w:rsid w:val="00951C56"/>
    <w:rsid w:val="0095599F"/>
    <w:rsid w:val="0096424B"/>
    <w:rsid w:val="00972EFD"/>
    <w:rsid w:val="0098478F"/>
    <w:rsid w:val="00995398"/>
    <w:rsid w:val="009A4087"/>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3666"/>
    <w:rsid w:val="00B7558C"/>
    <w:rsid w:val="00B9194F"/>
    <w:rsid w:val="00BA003B"/>
    <w:rsid w:val="00BB05E2"/>
    <w:rsid w:val="00BC1E4C"/>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6BA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0E9E"/>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1">
    <w:name w:val="DfESOutNumbered1"/>
    <w:basedOn w:val="Normal"/>
    <w:link w:val="DfESOutNumbered1Char"/>
    <w:qFormat/>
    <w:rsid w:val="000F7F8B"/>
    <w:pPr>
      <w:numPr>
        <w:numId w:val="47"/>
      </w:numPr>
      <w:spacing w:before="120" w:after="120" w:line="240" w:lineRule="auto"/>
    </w:pPr>
    <w:rPr>
      <w:sz w:val="24"/>
    </w:rPr>
  </w:style>
  <w:style w:type="character" w:customStyle="1" w:styleId="DfESOutNumbered1Char">
    <w:name w:val="DfESOutNumbered1 Char"/>
    <w:link w:val="DfESOutNumbered1"/>
    <w:rsid w:val="000F7F8B"/>
    <w:rPr>
      <w:sz w:val="24"/>
      <w:szCs w:val="24"/>
    </w:rPr>
  </w:style>
  <w:style w:type="paragraph" w:styleId="ListBullet2">
    <w:name w:val="List Bullet 2"/>
    <w:basedOn w:val="Normal"/>
    <w:rsid w:val="000F7F8B"/>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1">
    <w:name w:val="DfESOutNumbered1"/>
    <w:basedOn w:val="Normal"/>
    <w:link w:val="DfESOutNumbered1Char"/>
    <w:qFormat/>
    <w:rsid w:val="000F7F8B"/>
    <w:pPr>
      <w:numPr>
        <w:numId w:val="47"/>
      </w:numPr>
      <w:spacing w:before="120" w:after="120" w:line="240" w:lineRule="auto"/>
    </w:pPr>
    <w:rPr>
      <w:sz w:val="24"/>
    </w:rPr>
  </w:style>
  <w:style w:type="character" w:customStyle="1" w:styleId="DfESOutNumbered1Char">
    <w:name w:val="DfESOutNumbered1 Char"/>
    <w:link w:val="DfESOutNumbered1"/>
    <w:rsid w:val="000F7F8B"/>
    <w:rPr>
      <w:sz w:val="24"/>
      <w:szCs w:val="24"/>
    </w:rPr>
  </w:style>
  <w:style w:type="paragraph" w:styleId="ListBullet2">
    <w:name w:val="List Bullet 2"/>
    <w:basedOn w:val="Normal"/>
    <w:rsid w:val="000F7F8B"/>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ypcentralsw.efa@education.gsi.gov.uk" TargetMode="External"/><Relationship Id="rId2" Type="http://schemas.openxmlformats.org/officeDocument/2006/relationships/customXml" Target="../customXml/item2.xml"/><Relationship Id="rId16" Type="http://schemas.openxmlformats.org/officeDocument/2006/relationships/hyperlink" Target="mailto:ypsouthern.efa@education.gs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ypnorthern.efa@education.gsi.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further-education-free-meals-advice-for-fe-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15642-7D4B-4466-B7A1-856536BE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44F4863E</Template>
  <TotalTime>1</TotalTime>
  <Pages>2</Pages>
  <Words>354</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2560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PAYNE, Tina</cp:lastModifiedBy>
  <cp:revision>2</cp:revision>
  <cp:lastPrinted>2013-07-11T10:35:00Z</cp:lastPrinted>
  <dcterms:created xsi:type="dcterms:W3CDTF">2014-06-19T09:46:00Z</dcterms:created>
  <dcterms:modified xsi:type="dcterms:W3CDTF">2014-06-19T09:46:00Z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