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93" w:rsidRDefault="0095341E" w:rsidP="006052D4">
      <w:pPr>
        <w:pBdr>
          <w:bottom w:val="single" w:sz="4" w:space="6" w:color="auto"/>
        </w:pBdr>
        <w:spacing w:line="240" w:lineRule="auto"/>
        <w:jc w:val="center"/>
        <w:rPr>
          <w:rFonts w:cs="Arial"/>
          <w:b/>
          <w:sz w:val="40"/>
          <w:szCs w:val="40"/>
        </w:rPr>
      </w:pPr>
      <w:r>
        <w:rPr>
          <w:rFonts w:cs="Arial"/>
          <w:b/>
          <w:sz w:val="40"/>
          <w:szCs w:val="40"/>
        </w:rPr>
        <w:t xml:space="preserve">Prosperity Fund Project </w:t>
      </w:r>
      <w:r w:rsidR="00D52893">
        <w:rPr>
          <w:rFonts w:cs="Arial"/>
          <w:b/>
          <w:sz w:val="40"/>
          <w:szCs w:val="40"/>
        </w:rPr>
        <w:br/>
      </w:r>
      <w:r>
        <w:rPr>
          <w:rFonts w:cs="Arial"/>
          <w:b/>
          <w:sz w:val="40"/>
          <w:szCs w:val="40"/>
        </w:rPr>
        <w:t xml:space="preserve">Evaluation of </w:t>
      </w:r>
      <w:r w:rsidR="006052D4">
        <w:rPr>
          <w:rFonts w:cs="Arial"/>
          <w:b/>
          <w:sz w:val="40"/>
          <w:szCs w:val="40"/>
        </w:rPr>
        <w:t>British Embassy Beijing project</w:t>
      </w:r>
    </w:p>
    <w:p w:rsidR="006052D4" w:rsidRDefault="006052D4" w:rsidP="00D52893">
      <w:pPr>
        <w:pBdr>
          <w:bottom w:val="single" w:sz="4" w:space="6" w:color="auto"/>
        </w:pBdr>
        <w:spacing w:line="240" w:lineRule="auto"/>
        <w:rPr>
          <w:b/>
          <w:sz w:val="36"/>
          <w:szCs w:val="36"/>
        </w:rPr>
      </w:pPr>
    </w:p>
    <w:p w:rsidR="00D52893" w:rsidRDefault="00D52893" w:rsidP="006052D4">
      <w:pPr>
        <w:pBdr>
          <w:bottom w:val="single" w:sz="4" w:space="6" w:color="auto"/>
        </w:pBdr>
        <w:spacing w:line="240" w:lineRule="auto"/>
        <w:jc w:val="center"/>
        <w:rPr>
          <w:b/>
          <w:sz w:val="36"/>
          <w:szCs w:val="36"/>
        </w:rPr>
      </w:pPr>
      <w:r>
        <w:rPr>
          <w:b/>
          <w:sz w:val="36"/>
          <w:szCs w:val="36"/>
        </w:rPr>
        <w:t>International Experience on Natural Gas Pricing and Regulation:  Potential Applications for China</w:t>
      </w:r>
    </w:p>
    <w:p w:rsidR="00625629" w:rsidRDefault="00625629" w:rsidP="006052D4">
      <w:pPr>
        <w:pBdr>
          <w:bottom w:val="single" w:sz="4" w:space="6" w:color="auto"/>
        </w:pBdr>
        <w:spacing w:line="240" w:lineRule="auto"/>
        <w:jc w:val="center"/>
        <w:rPr>
          <w:b/>
          <w:sz w:val="36"/>
          <w:szCs w:val="36"/>
        </w:rPr>
      </w:pPr>
    </w:p>
    <w:p w:rsidR="00625629" w:rsidRDefault="00A50514" w:rsidP="006052D4">
      <w:pPr>
        <w:pBdr>
          <w:bottom w:val="single" w:sz="4" w:space="6" w:color="auto"/>
        </w:pBdr>
        <w:spacing w:line="240" w:lineRule="auto"/>
        <w:jc w:val="center"/>
        <w:rPr>
          <w:b/>
          <w:sz w:val="36"/>
          <w:szCs w:val="36"/>
        </w:rPr>
      </w:pPr>
      <w:r>
        <w:rPr>
          <w:b/>
          <w:sz w:val="36"/>
          <w:szCs w:val="36"/>
        </w:rPr>
        <w:t xml:space="preserve">Project Code </w:t>
      </w:r>
      <w:r w:rsidR="001107A2">
        <w:rPr>
          <w:b/>
          <w:sz w:val="36"/>
          <w:szCs w:val="36"/>
        </w:rPr>
        <w:t>GB-3-</w:t>
      </w:r>
      <w:r w:rsidR="00625629">
        <w:rPr>
          <w:b/>
          <w:sz w:val="36"/>
          <w:szCs w:val="36"/>
        </w:rPr>
        <w:t>PPY CHN 1036</w:t>
      </w:r>
    </w:p>
    <w:tbl>
      <w:tblPr>
        <w:tblW w:w="14176" w:type="dxa"/>
        <w:tblInd w:w="108" w:type="dxa"/>
        <w:tblLook w:val="04A0"/>
      </w:tblPr>
      <w:tblGrid>
        <w:gridCol w:w="236"/>
        <w:gridCol w:w="1037"/>
        <w:gridCol w:w="2555"/>
        <w:gridCol w:w="283"/>
        <w:gridCol w:w="616"/>
        <w:gridCol w:w="696"/>
        <w:gridCol w:w="236"/>
        <w:gridCol w:w="460"/>
        <w:gridCol w:w="696"/>
        <w:gridCol w:w="696"/>
        <w:gridCol w:w="286"/>
        <w:gridCol w:w="410"/>
        <w:gridCol w:w="696"/>
        <w:gridCol w:w="696"/>
        <w:gridCol w:w="696"/>
        <w:gridCol w:w="195"/>
        <w:gridCol w:w="501"/>
        <w:gridCol w:w="236"/>
        <w:gridCol w:w="1557"/>
        <w:gridCol w:w="696"/>
        <w:gridCol w:w="696"/>
      </w:tblGrid>
      <w:tr w:rsidR="00EF7710" w:rsidRPr="0095341E" w:rsidTr="00054B23">
        <w:trPr>
          <w:gridAfter w:val="3"/>
          <w:wAfter w:w="2949" w:type="dxa"/>
          <w:trHeight w:val="315"/>
        </w:trPr>
        <w:tc>
          <w:tcPr>
            <w:tcW w:w="4111" w:type="dxa"/>
            <w:gridSpan w:val="4"/>
            <w:tcBorders>
              <w:top w:val="nil"/>
              <w:left w:val="nil"/>
              <w:bottom w:val="nil"/>
              <w:right w:val="nil"/>
            </w:tcBorders>
            <w:shd w:val="clear" w:color="auto" w:fill="auto"/>
            <w:noWrap/>
            <w:vAlign w:val="bottom"/>
            <w:hideMark/>
          </w:tcPr>
          <w:p w:rsidR="00EF7710" w:rsidRPr="00037304" w:rsidRDefault="00EF7710" w:rsidP="001113B9">
            <w:pPr>
              <w:spacing w:line="240" w:lineRule="auto"/>
              <w:ind w:left="-108"/>
              <w:rPr>
                <w:rFonts w:eastAsia="Times New Roman" w:cs="Arial"/>
                <w:b/>
                <w:bCs/>
                <w:sz w:val="28"/>
                <w:szCs w:val="28"/>
                <w:lang w:eastAsia="en-GB"/>
              </w:rPr>
            </w:pPr>
            <w:r w:rsidRPr="00037304">
              <w:rPr>
                <w:rFonts w:eastAsia="Times New Roman" w:cs="Arial"/>
                <w:b/>
                <w:bCs/>
                <w:sz w:val="28"/>
                <w:szCs w:val="28"/>
                <w:lang w:eastAsia="en-GB"/>
              </w:rPr>
              <w:t>Basic Project Information</w:t>
            </w:r>
          </w:p>
        </w:tc>
        <w:tc>
          <w:tcPr>
            <w:tcW w:w="61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23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1156"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696"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sz w:val="28"/>
                <w:szCs w:val="28"/>
                <w:lang w:eastAsia="en-GB"/>
              </w:rPr>
            </w:pPr>
          </w:p>
        </w:tc>
        <w:tc>
          <w:tcPr>
            <w:tcW w:w="236" w:type="dxa"/>
            <w:tcBorders>
              <w:top w:val="nil"/>
              <w:left w:val="nil"/>
              <w:bottom w:val="nil"/>
              <w:right w:val="nil"/>
            </w:tcBorders>
            <w:shd w:val="clear" w:color="auto" w:fill="auto"/>
            <w:noWrap/>
            <w:vAlign w:val="bottom"/>
            <w:hideMark/>
          </w:tcPr>
          <w:p w:rsidR="00EF7710" w:rsidRPr="0095341E" w:rsidRDefault="00EF7710" w:rsidP="00EF7710">
            <w:pPr>
              <w:spacing w:line="240" w:lineRule="auto"/>
              <w:rPr>
                <w:rFonts w:eastAsia="Times New Roman" w:cs="Arial"/>
                <w:sz w:val="28"/>
                <w:szCs w:val="28"/>
                <w:lang w:eastAsia="en-GB"/>
              </w:rPr>
            </w:pPr>
          </w:p>
        </w:tc>
      </w:tr>
      <w:tr w:rsidR="00EF7710" w:rsidRPr="0095341E" w:rsidTr="00054B23">
        <w:trPr>
          <w:gridAfter w:val="3"/>
          <w:wAfter w:w="2949" w:type="dxa"/>
          <w:trHeight w:val="162"/>
        </w:trPr>
        <w:tc>
          <w:tcPr>
            <w:tcW w:w="1273"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b/>
                <w:bCs/>
                <w:lang w:eastAsia="en-GB"/>
              </w:rPr>
            </w:pPr>
          </w:p>
        </w:tc>
        <w:tc>
          <w:tcPr>
            <w:tcW w:w="2838"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1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23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1156"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noWrap/>
            <w:vAlign w:val="bottom"/>
            <w:hideMark/>
          </w:tcPr>
          <w:p w:rsidR="00EF7710" w:rsidRPr="00037304" w:rsidRDefault="00EF7710" w:rsidP="00EF7710">
            <w:pPr>
              <w:spacing w:line="240" w:lineRule="auto"/>
              <w:rPr>
                <w:rFonts w:eastAsia="Times New Roman" w:cs="Arial"/>
                <w:lang w:eastAsia="en-GB"/>
              </w:rPr>
            </w:pPr>
          </w:p>
        </w:tc>
        <w:tc>
          <w:tcPr>
            <w:tcW w:w="236" w:type="dxa"/>
            <w:tcBorders>
              <w:top w:val="nil"/>
              <w:left w:val="nil"/>
              <w:bottom w:val="nil"/>
              <w:right w:val="nil"/>
            </w:tcBorders>
            <w:shd w:val="clear" w:color="auto" w:fill="auto"/>
            <w:noWrap/>
            <w:vAlign w:val="bottom"/>
            <w:hideMark/>
          </w:tcPr>
          <w:p w:rsidR="00EF7710" w:rsidRPr="0095341E" w:rsidRDefault="00EF7710" w:rsidP="00EF7710">
            <w:pPr>
              <w:spacing w:line="240" w:lineRule="auto"/>
              <w:rPr>
                <w:rFonts w:eastAsia="Times New Roman" w:cs="Arial"/>
                <w:lang w:eastAsia="en-GB"/>
              </w:rPr>
            </w:pPr>
          </w:p>
        </w:tc>
      </w:tr>
      <w:tr w:rsidR="00EF7710" w:rsidRPr="0095341E" w:rsidTr="00037304">
        <w:trPr>
          <w:gridAfter w:val="5"/>
          <w:wAfter w:w="3686" w:type="dxa"/>
          <w:trHeight w:val="14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07681D" w:rsidRPr="00037304" w:rsidRDefault="0007681D" w:rsidP="0007681D">
            <w:pPr>
              <w:spacing w:line="240" w:lineRule="auto"/>
              <w:rPr>
                <w:rFonts w:eastAsia="Times New Roman" w:cs="Arial"/>
                <w:lang w:eastAsia="en-GB"/>
              </w:rPr>
            </w:pPr>
          </w:p>
          <w:p w:rsidR="0007681D" w:rsidRPr="00037304" w:rsidRDefault="0007681D" w:rsidP="0007681D">
            <w:pPr>
              <w:spacing w:line="240" w:lineRule="auto"/>
              <w:rPr>
                <w:rFonts w:eastAsia="Times New Roman" w:cs="Arial"/>
                <w:lang w:eastAsia="en-GB"/>
              </w:rPr>
            </w:pPr>
          </w:p>
          <w:p w:rsidR="00D52893" w:rsidRPr="00037304" w:rsidRDefault="0007681D" w:rsidP="0007681D">
            <w:pPr>
              <w:spacing w:line="240" w:lineRule="auto"/>
              <w:rPr>
                <w:rFonts w:eastAsia="Times New Roman" w:cs="Arial"/>
                <w:lang w:eastAsia="en-GB"/>
              </w:rPr>
            </w:pPr>
            <w:r w:rsidRPr="00037304">
              <w:rPr>
                <w:rFonts w:eastAsia="Times New Roman" w:cs="Arial"/>
                <w:lang w:eastAsia="en-GB"/>
              </w:rPr>
              <w:t>Foreign Policy Priority</w:t>
            </w:r>
          </w:p>
        </w:tc>
        <w:tc>
          <w:tcPr>
            <w:tcW w:w="6662" w:type="dxa"/>
            <w:gridSpan w:val="13"/>
            <w:tcBorders>
              <w:top w:val="single" w:sz="4" w:space="0" w:color="auto"/>
              <w:left w:val="single" w:sz="4" w:space="0" w:color="FF0000"/>
              <w:bottom w:val="single" w:sz="4" w:space="0" w:color="auto"/>
              <w:right w:val="single" w:sz="4" w:space="0" w:color="auto"/>
            </w:tcBorders>
            <w:shd w:val="clear" w:color="auto" w:fill="auto"/>
            <w:vAlign w:val="center"/>
            <w:hideMark/>
          </w:tcPr>
          <w:p w:rsidR="0007681D" w:rsidRPr="00037304" w:rsidRDefault="0007681D" w:rsidP="0007681D">
            <w:pPr>
              <w:spacing w:line="240" w:lineRule="auto"/>
              <w:ind w:right="1231"/>
              <w:rPr>
                <w:rFonts w:eastAsia="Times New Roman" w:cs="Arial"/>
                <w:lang w:eastAsia="en-GB"/>
              </w:rPr>
            </w:pPr>
            <w:r w:rsidRPr="00037304">
              <w:rPr>
                <w:rFonts w:eastAsia="Times New Roman" w:cs="Arial"/>
                <w:lang w:eastAsia="en-GB"/>
              </w:rPr>
              <w:t>2) Build Britain’s prosperity by increasing exports and investment, opening markets, ensuring access to resources, and promoting sustainable global growth.</w:t>
            </w:r>
          </w:p>
          <w:p w:rsidR="00EF7710" w:rsidRPr="00037304" w:rsidRDefault="00EF7710" w:rsidP="00970750">
            <w:pPr>
              <w:spacing w:line="240" w:lineRule="auto"/>
              <w:ind w:right="1231"/>
              <w:rPr>
                <w:rFonts w:eastAsia="Times New Roman" w:cs="Arial"/>
                <w:sz w:val="24"/>
                <w:szCs w:val="24"/>
                <w:lang w:eastAsia="en-GB"/>
              </w:rPr>
            </w:pPr>
          </w:p>
        </w:tc>
      </w:tr>
      <w:tr w:rsidR="00EF7710" w:rsidRPr="0095341E" w:rsidTr="00037304">
        <w:trPr>
          <w:gridAfter w:val="5"/>
          <w:wAfter w:w="3686" w:type="dxa"/>
          <w:trHeight w:val="31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EF7710" w:rsidRPr="00037304" w:rsidRDefault="00EF7710" w:rsidP="00EF7710">
            <w:pPr>
              <w:spacing w:line="240" w:lineRule="auto"/>
              <w:rPr>
                <w:rFonts w:eastAsia="Times New Roman" w:cs="Arial"/>
                <w:lang w:eastAsia="en-GB"/>
              </w:rPr>
            </w:pPr>
            <w:r w:rsidRPr="00037304">
              <w:rPr>
                <w:rFonts w:eastAsia="Times New Roman" w:cs="Arial"/>
                <w:lang w:eastAsia="en-GB"/>
              </w:rPr>
              <w:t>Fund/Programme</w:t>
            </w:r>
            <w:r w:rsidR="00D52893" w:rsidRPr="00037304">
              <w:rPr>
                <w:rFonts w:eastAsia="Times New Roman" w:cs="Arial"/>
                <w:lang w:eastAsia="en-GB"/>
              </w:rPr>
              <w:t xml:space="preserve"> </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F7710" w:rsidRPr="00037304" w:rsidRDefault="00EF7710" w:rsidP="00EF7710">
            <w:pPr>
              <w:spacing w:line="240" w:lineRule="auto"/>
              <w:rPr>
                <w:rFonts w:eastAsia="Times New Roman" w:cs="Arial"/>
                <w:sz w:val="24"/>
                <w:szCs w:val="24"/>
                <w:lang w:eastAsia="en-GB"/>
              </w:rPr>
            </w:pPr>
            <w:r w:rsidRPr="00037304">
              <w:rPr>
                <w:rFonts w:eastAsia="Times New Roman" w:cs="Arial"/>
                <w:sz w:val="24"/>
                <w:szCs w:val="24"/>
                <w:lang w:eastAsia="en-GB"/>
              </w:rPr>
              <w:t>Prosperity Fund</w:t>
            </w:r>
          </w:p>
        </w:tc>
      </w:tr>
      <w:tr w:rsidR="00EF7710" w:rsidRPr="0095341E" w:rsidTr="00037304">
        <w:trPr>
          <w:gridAfter w:val="5"/>
          <w:wAfter w:w="3686" w:type="dxa"/>
          <w:trHeight w:val="268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07681D" w:rsidRPr="00037304" w:rsidRDefault="0007681D" w:rsidP="00EF7710">
            <w:pPr>
              <w:spacing w:line="240" w:lineRule="auto"/>
              <w:rPr>
                <w:rFonts w:eastAsia="Times New Roman" w:cs="Arial"/>
                <w:lang w:eastAsia="en-GB"/>
              </w:rPr>
            </w:pPr>
          </w:p>
          <w:p w:rsidR="0007681D" w:rsidRPr="00037304" w:rsidRDefault="0007681D" w:rsidP="00EF7710">
            <w:pPr>
              <w:spacing w:line="240" w:lineRule="auto"/>
              <w:rPr>
                <w:rFonts w:eastAsia="Times New Roman" w:cs="Arial"/>
                <w:lang w:eastAsia="en-GB"/>
              </w:rPr>
            </w:pPr>
          </w:p>
          <w:p w:rsidR="0007681D" w:rsidRPr="00037304" w:rsidRDefault="0007681D" w:rsidP="00EF7710">
            <w:pPr>
              <w:spacing w:line="240" w:lineRule="auto"/>
              <w:rPr>
                <w:rFonts w:eastAsia="Times New Roman" w:cs="Arial"/>
                <w:lang w:eastAsia="en-GB"/>
              </w:rPr>
            </w:pPr>
          </w:p>
          <w:p w:rsidR="0007681D" w:rsidRPr="00037304" w:rsidRDefault="0007681D" w:rsidP="00EF7710">
            <w:pPr>
              <w:spacing w:line="240" w:lineRule="auto"/>
              <w:rPr>
                <w:rFonts w:eastAsia="Times New Roman" w:cs="Arial"/>
                <w:lang w:eastAsia="en-GB"/>
              </w:rPr>
            </w:pPr>
          </w:p>
          <w:p w:rsidR="00EF7710" w:rsidRPr="00037304" w:rsidRDefault="00EF7710" w:rsidP="00EF7710">
            <w:pPr>
              <w:spacing w:line="240" w:lineRule="auto"/>
              <w:rPr>
                <w:rFonts w:eastAsia="Times New Roman" w:cs="Arial"/>
                <w:lang w:eastAsia="en-GB"/>
              </w:rPr>
            </w:pPr>
            <w:r w:rsidRPr="00037304">
              <w:rPr>
                <w:rFonts w:eastAsia="Times New Roman" w:cs="Arial"/>
                <w:lang w:eastAsia="en-GB"/>
              </w:rPr>
              <w:t>Programme Indicator</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F7710" w:rsidRPr="00037304" w:rsidRDefault="00D52893" w:rsidP="00DD7ED1">
            <w:pPr>
              <w:spacing w:line="240" w:lineRule="auto"/>
              <w:rPr>
                <w:rFonts w:eastAsia="Times New Roman" w:cs="Arial"/>
                <w:sz w:val="24"/>
                <w:szCs w:val="24"/>
                <w:lang w:eastAsia="en-GB"/>
              </w:rPr>
            </w:pPr>
            <w:r w:rsidRPr="00037304">
              <w:rPr>
                <w:rFonts w:eastAsia="Times New Roman" w:cs="Arial"/>
                <w:sz w:val="24"/>
                <w:szCs w:val="24"/>
                <w:lang w:eastAsia="en-GB"/>
              </w:rPr>
              <w:t>(2.1)  China develops the policies, reforms and institutional capacities it needs to accelerate:  the decarbonisation and/or diversification of its energy mix and energy supplies;</w:t>
            </w:r>
          </w:p>
          <w:p w:rsidR="00D52893" w:rsidRPr="00037304" w:rsidRDefault="00D52893" w:rsidP="00D52893">
            <w:pPr>
              <w:spacing w:line="240" w:lineRule="auto"/>
              <w:rPr>
                <w:rFonts w:eastAsia="Times New Roman" w:cs="Arial"/>
                <w:sz w:val="24"/>
                <w:szCs w:val="24"/>
                <w:lang w:eastAsia="en-GB"/>
              </w:rPr>
            </w:pPr>
            <w:r w:rsidRPr="00037304">
              <w:rPr>
                <w:rFonts w:eastAsia="Times New Roman" w:cs="Arial"/>
                <w:sz w:val="24"/>
                <w:szCs w:val="24"/>
                <w:lang w:eastAsia="en-GB"/>
              </w:rPr>
              <w:t>(3.1)  China develops the policies, reforms and institutional capacities it needs to accelerate implementation of low carbon development incentives and instruments</w:t>
            </w:r>
          </w:p>
        </w:tc>
      </w:tr>
      <w:tr w:rsidR="00EF7710" w:rsidRPr="00EF7710" w:rsidTr="00054B23">
        <w:trPr>
          <w:gridAfter w:val="5"/>
          <w:wAfter w:w="3686" w:type="dxa"/>
          <w:trHeight w:val="105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07681D" w:rsidRDefault="0007681D" w:rsidP="00EF7710">
            <w:pPr>
              <w:spacing w:line="240" w:lineRule="auto"/>
              <w:rPr>
                <w:rFonts w:eastAsia="Times New Roman" w:cs="Arial"/>
                <w:color w:val="0F253F"/>
                <w:lang w:eastAsia="en-GB"/>
              </w:rPr>
            </w:pPr>
          </w:p>
          <w:p w:rsidR="0007681D" w:rsidRDefault="0007681D" w:rsidP="00EF7710">
            <w:pPr>
              <w:spacing w:line="240" w:lineRule="auto"/>
              <w:rPr>
                <w:rFonts w:eastAsia="Times New Roman" w:cs="Arial"/>
                <w:color w:val="0F253F"/>
                <w:lang w:eastAsia="en-GB"/>
              </w:rPr>
            </w:pPr>
          </w:p>
          <w:p w:rsidR="00EF7710" w:rsidRPr="00EF7710" w:rsidRDefault="00EF7710" w:rsidP="00EF7710">
            <w:pPr>
              <w:spacing w:line="240" w:lineRule="auto"/>
              <w:rPr>
                <w:rFonts w:eastAsia="Times New Roman" w:cs="Arial"/>
                <w:color w:val="0F253F"/>
                <w:lang w:eastAsia="en-GB"/>
              </w:rPr>
            </w:pPr>
            <w:r w:rsidRPr="00EF7710">
              <w:rPr>
                <w:rFonts w:eastAsia="Times New Roman" w:cs="Arial"/>
                <w:color w:val="0F253F"/>
                <w:lang w:eastAsia="en-GB"/>
              </w:rPr>
              <w:t>Country Business Plan Objective</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F7710" w:rsidRPr="00EF7710" w:rsidRDefault="00F35F35" w:rsidP="0076558C">
            <w:pPr>
              <w:spacing w:line="240" w:lineRule="auto"/>
              <w:rPr>
                <w:rFonts w:eastAsia="Times New Roman" w:cs="Arial"/>
                <w:color w:val="000000"/>
                <w:sz w:val="24"/>
                <w:szCs w:val="24"/>
                <w:lang w:eastAsia="en-GB"/>
              </w:rPr>
            </w:pPr>
            <w:r w:rsidRPr="00F35F35">
              <w:rPr>
                <w:rFonts w:cs="Arial"/>
              </w:rPr>
              <w:t>14.2 China has more of the legal, policy and financial frameworks in place necessary to drive the low carbon transition</w:t>
            </w:r>
            <w:r w:rsidRPr="00537332">
              <w:rPr>
                <w:rFonts w:ascii="Calibri" w:hAnsi="Calibri" w:cs="Arial"/>
              </w:rPr>
              <w:t>.</w:t>
            </w:r>
          </w:p>
        </w:tc>
      </w:tr>
      <w:tr w:rsidR="00EF7710" w:rsidRPr="00EF7710" w:rsidTr="00054B23">
        <w:trPr>
          <w:gridAfter w:val="5"/>
          <w:wAfter w:w="3686" w:type="dxa"/>
          <w:trHeight w:val="70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07681D" w:rsidRDefault="0007681D" w:rsidP="00EF7710">
            <w:pPr>
              <w:spacing w:line="240" w:lineRule="auto"/>
              <w:rPr>
                <w:rFonts w:eastAsia="Times New Roman" w:cs="Arial"/>
                <w:color w:val="0F253F"/>
                <w:lang w:eastAsia="en-GB"/>
              </w:rPr>
            </w:pPr>
          </w:p>
          <w:p w:rsidR="00EF7710" w:rsidRPr="00EF7710" w:rsidRDefault="00EF7710" w:rsidP="00EF7710">
            <w:pPr>
              <w:spacing w:line="240" w:lineRule="auto"/>
              <w:rPr>
                <w:rFonts w:eastAsia="Times New Roman" w:cs="Arial"/>
                <w:color w:val="0F253F"/>
                <w:lang w:eastAsia="en-GB"/>
              </w:rPr>
            </w:pPr>
            <w:r w:rsidRPr="00EF7710">
              <w:rPr>
                <w:rFonts w:eastAsia="Times New Roman" w:cs="Arial"/>
                <w:color w:val="0F253F"/>
                <w:lang w:eastAsia="en-GB"/>
              </w:rPr>
              <w:t>Project Title</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F7710" w:rsidRPr="00EF7710" w:rsidRDefault="00D52893" w:rsidP="00037304">
            <w:pPr>
              <w:spacing w:line="240" w:lineRule="auto"/>
              <w:rPr>
                <w:rFonts w:eastAsia="Times New Roman" w:cs="Arial"/>
                <w:color w:val="000000"/>
                <w:sz w:val="24"/>
                <w:szCs w:val="24"/>
                <w:lang w:eastAsia="en-GB"/>
              </w:rPr>
            </w:pPr>
            <w:r w:rsidRPr="00D52893">
              <w:rPr>
                <w:sz w:val="24"/>
                <w:szCs w:val="24"/>
              </w:rPr>
              <w:t>International Experience on Natural Gas Pricing and Regulation:  Potential Applications for China</w:t>
            </w:r>
          </w:p>
        </w:tc>
      </w:tr>
      <w:tr w:rsidR="00EF7710" w:rsidRPr="00EF7710" w:rsidTr="00054B23">
        <w:trPr>
          <w:gridAfter w:val="5"/>
          <w:wAfter w:w="3686" w:type="dxa"/>
          <w:trHeight w:val="31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EF7710" w:rsidRPr="00EF7710" w:rsidRDefault="00EF7710" w:rsidP="00EF7710">
            <w:pPr>
              <w:spacing w:line="240" w:lineRule="auto"/>
              <w:rPr>
                <w:rFonts w:eastAsia="Times New Roman" w:cs="Arial"/>
                <w:color w:val="0F253F"/>
                <w:lang w:eastAsia="en-GB"/>
              </w:rPr>
            </w:pPr>
            <w:r w:rsidRPr="00EF7710">
              <w:rPr>
                <w:rFonts w:eastAsia="Times New Roman" w:cs="Arial"/>
                <w:color w:val="0F253F"/>
                <w:lang w:eastAsia="en-GB"/>
              </w:rPr>
              <w:t>Countries covered</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F7710" w:rsidRPr="00EF7710" w:rsidRDefault="00D52893" w:rsidP="00EF7710">
            <w:pPr>
              <w:spacing w:line="240" w:lineRule="auto"/>
              <w:rPr>
                <w:rFonts w:eastAsia="Times New Roman" w:cs="Arial"/>
                <w:color w:val="000000"/>
                <w:sz w:val="24"/>
                <w:szCs w:val="24"/>
                <w:lang w:eastAsia="en-GB"/>
              </w:rPr>
            </w:pPr>
            <w:r>
              <w:rPr>
                <w:rFonts w:eastAsia="Times New Roman" w:cs="Arial"/>
                <w:color w:val="000000"/>
                <w:sz w:val="24"/>
                <w:szCs w:val="24"/>
                <w:lang w:eastAsia="en-GB"/>
              </w:rPr>
              <w:t>China</w:t>
            </w:r>
          </w:p>
        </w:tc>
      </w:tr>
      <w:tr w:rsidR="00EF7710" w:rsidRPr="00EF7710" w:rsidTr="00054B23">
        <w:trPr>
          <w:gridAfter w:val="5"/>
          <w:wAfter w:w="3686" w:type="dxa"/>
          <w:trHeight w:val="315"/>
        </w:trPr>
        <w:tc>
          <w:tcPr>
            <w:tcW w:w="3828" w:type="dxa"/>
            <w:gridSpan w:val="3"/>
            <w:tcBorders>
              <w:top w:val="single" w:sz="4" w:space="0" w:color="auto"/>
              <w:left w:val="single" w:sz="4" w:space="0" w:color="auto"/>
              <w:bottom w:val="single" w:sz="4" w:space="0" w:color="auto"/>
              <w:right w:val="nil"/>
            </w:tcBorders>
            <w:shd w:val="clear" w:color="auto" w:fill="auto"/>
            <w:hideMark/>
          </w:tcPr>
          <w:p w:rsidR="00EF7710" w:rsidRPr="00EF7710" w:rsidRDefault="00EF7710" w:rsidP="00EF7710">
            <w:pPr>
              <w:spacing w:line="240" w:lineRule="auto"/>
              <w:rPr>
                <w:rFonts w:eastAsia="Times New Roman" w:cs="Arial"/>
                <w:color w:val="0F253F"/>
                <w:lang w:eastAsia="en-GB"/>
              </w:rPr>
            </w:pPr>
            <w:r w:rsidRPr="00EF7710">
              <w:rPr>
                <w:rFonts w:eastAsia="Times New Roman" w:cs="Arial"/>
                <w:color w:val="0F253F"/>
                <w:lang w:eastAsia="en-GB"/>
              </w:rPr>
              <w:t xml:space="preserve">Total Cost to FCO </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F7710" w:rsidRPr="00EF7710" w:rsidRDefault="00D52893" w:rsidP="00EF7710">
            <w:pPr>
              <w:spacing w:line="240" w:lineRule="auto"/>
              <w:rPr>
                <w:rFonts w:eastAsia="Times New Roman" w:cs="Arial"/>
                <w:color w:val="000000"/>
                <w:sz w:val="24"/>
                <w:szCs w:val="24"/>
                <w:lang w:eastAsia="en-GB"/>
              </w:rPr>
            </w:pPr>
            <w:r>
              <w:rPr>
                <w:rFonts w:eastAsia="Times New Roman" w:cs="Arial"/>
                <w:color w:val="000000"/>
                <w:sz w:val="24"/>
                <w:szCs w:val="24"/>
                <w:lang w:eastAsia="en-GB"/>
              </w:rPr>
              <w:t>£130,000</w:t>
            </w:r>
          </w:p>
        </w:tc>
      </w:tr>
      <w:tr w:rsidR="00EF7710" w:rsidRPr="00EF7710" w:rsidTr="00054B23">
        <w:trPr>
          <w:gridAfter w:val="5"/>
          <w:wAfter w:w="3686" w:type="dxa"/>
          <w:trHeight w:val="31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EF7710" w:rsidRPr="00EF7710" w:rsidRDefault="00EF7710" w:rsidP="00EF7710">
            <w:pPr>
              <w:spacing w:line="240" w:lineRule="auto"/>
              <w:rPr>
                <w:rFonts w:eastAsia="Times New Roman" w:cs="Arial"/>
                <w:lang w:eastAsia="en-GB"/>
              </w:rPr>
            </w:pPr>
            <w:r w:rsidRPr="00EF7710">
              <w:rPr>
                <w:rFonts w:eastAsia="Times New Roman" w:cs="Arial"/>
                <w:lang w:eastAsia="en-GB"/>
              </w:rPr>
              <w:t>Total Cost of Project</w:t>
            </w:r>
          </w:p>
        </w:tc>
        <w:tc>
          <w:tcPr>
            <w:tcW w:w="6662" w:type="dxa"/>
            <w:gridSpan w:val="13"/>
            <w:tcBorders>
              <w:top w:val="single" w:sz="4" w:space="0" w:color="auto"/>
              <w:left w:val="nil"/>
              <w:bottom w:val="single" w:sz="4" w:space="0" w:color="auto"/>
              <w:right w:val="single" w:sz="4" w:space="0" w:color="auto"/>
            </w:tcBorders>
            <w:shd w:val="clear" w:color="auto" w:fill="auto"/>
            <w:vAlign w:val="center"/>
            <w:hideMark/>
          </w:tcPr>
          <w:p w:rsidR="00EF7710" w:rsidRPr="00EF7710" w:rsidRDefault="006052D4" w:rsidP="00EF7710">
            <w:pPr>
              <w:spacing w:line="240" w:lineRule="auto"/>
              <w:rPr>
                <w:rFonts w:eastAsia="Times New Roman" w:cs="Arial"/>
                <w:color w:val="000000"/>
                <w:sz w:val="24"/>
                <w:szCs w:val="24"/>
                <w:lang w:eastAsia="en-GB"/>
              </w:rPr>
            </w:pPr>
            <w:r>
              <w:rPr>
                <w:rFonts w:eastAsia="Times New Roman" w:cs="Arial"/>
                <w:color w:val="000000"/>
                <w:sz w:val="24"/>
                <w:szCs w:val="24"/>
                <w:lang w:eastAsia="en-GB"/>
              </w:rPr>
              <w:t>£130,000</w:t>
            </w:r>
          </w:p>
        </w:tc>
      </w:tr>
      <w:tr w:rsidR="00EF7710" w:rsidRPr="00EF7710" w:rsidTr="00054B23">
        <w:trPr>
          <w:gridAfter w:val="5"/>
          <w:wAfter w:w="3686" w:type="dxa"/>
          <w:trHeight w:val="285"/>
        </w:trPr>
        <w:tc>
          <w:tcPr>
            <w:tcW w:w="382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7710" w:rsidRPr="00EF7710" w:rsidRDefault="00EF7710" w:rsidP="00EF7710">
            <w:pPr>
              <w:spacing w:line="240" w:lineRule="auto"/>
              <w:rPr>
                <w:rFonts w:eastAsia="Times New Roman" w:cs="Arial"/>
                <w:lang w:eastAsia="en-GB"/>
              </w:rPr>
            </w:pPr>
            <w:r w:rsidRPr="00EF7710">
              <w:rPr>
                <w:rFonts w:eastAsia="Times New Roman" w:cs="Arial"/>
                <w:lang w:eastAsia="en-GB"/>
              </w:rPr>
              <w:t>Project Start Date</w:t>
            </w:r>
          </w:p>
        </w:tc>
        <w:tc>
          <w:tcPr>
            <w:tcW w:w="2987" w:type="dxa"/>
            <w:gridSpan w:val="6"/>
            <w:tcBorders>
              <w:top w:val="single" w:sz="4" w:space="0" w:color="auto"/>
              <w:left w:val="nil"/>
              <w:bottom w:val="single" w:sz="4" w:space="0" w:color="auto"/>
              <w:right w:val="single" w:sz="4" w:space="0" w:color="000000"/>
            </w:tcBorders>
            <w:shd w:val="clear" w:color="auto" w:fill="auto"/>
            <w:hideMark/>
          </w:tcPr>
          <w:p w:rsidR="00EF7710" w:rsidRPr="00EF7710" w:rsidRDefault="006052D4" w:rsidP="00970750">
            <w:pPr>
              <w:spacing w:line="240" w:lineRule="auto"/>
              <w:jc w:val="right"/>
              <w:rPr>
                <w:rFonts w:eastAsia="Times New Roman" w:cs="Arial"/>
                <w:color w:val="0F253F"/>
                <w:lang w:eastAsia="en-GB"/>
              </w:rPr>
            </w:pPr>
            <w:r>
              <w:rPr>
                <w:rFonts w:eastAsia="Times New Roman" w:cs="Arial"/>
                <w:color w:val="0F253F"/>
                <w:lang w:eastAsia="en-GB"/>
              </w:rPr>
              <w:t>1 Sept 2011</w:t>
            </w:r>
            <w:r w:rsidR="00EF7710" w:rsidRPr="00EF7710">
              <w:rPr>
                <w:rFonts w:eastAsia="Times New Roman" w:cs="Arial"/>
                <w:color w:val="0F253F"/>
                <w:lang w:eastAsia="en-GB"/>
              </w:rPr>
              <w:t xml:space="preserve"> </w:t>
            </w:r>
          </w:p>
        </w:tc>
        <w:tc>
          <w:tcPr>
            <w:tcW w:w="2088" w:type="dxa"/>
            <w:gridSpan w:val="4"/>
            <w:tcBorders>
              <w:top w:val="single" w:sz="4" w:space="0" w:color="auto"/>
              <w:left w:val="nil"/>
              <w:bottom w:val="single" w:sz="4" w:space="0" w:color="auto"/>
              <w:right w:val="single" w:sz="4" w:space="0" w:color="000000"/>
            </w:tcBorders>
            <w:shd w:val="clear" w:color="auto" w:fill="auto"/>
            <w:hideMark/>
          </w:tcPr>
          <w:p w:rsidR="00EF7710" w:rsidRPr="00EF7710" w:rsidRDefault="00EF7710" w:rsidP="00EF7710">
            <w:pPr>
              <w:spacing w:line="240" w:lineRule="auto"/>
              <w:rPr>
                <w:rFonts w:eastAsia="Times New Roman" w:cs="Arial"/>
                <w:lang w:eastAsia="en-GB"/>
              </w:rPr>
            </w:pPr>
            <w:r w:rsidRPr="00EF7710">
              <w:rPr>
                <w:rFonts w:eastAsia="Times New Roman" w:cs="Arial"/>
                <w:lang w:eastAsia="en-GB"/>
              </w:rPr>
              <w:t>Project End Date</w:t>
            </w:r>
          </w:p>
        </w:tc>
        <w:tc>
          <w:tcPr>
            <w:tcW w:w="1587" w:type="dxa"/>
            <w:gridSpan w:val="3"/>
            <w:tcBorders>
              <w:top w:val="single" w:sz="4" w:space="0" w:color="auto"/>
              <w:left w:val="nil"/>
              <w:bottom w:val="single" w:sz="4" w:space="0" w:color="auto"/>
              <w:right w:val="single" w:sz="4" w:space="0" w:color="000000"/>
            </w:tcBorders>
            <w:shd w:val="clear" w:color="auto" w:fill="auto"/>
            <w:hideMark/>
          </w:tcPr>
          <w:p w:rsidR="00EF7710" w:rsidRPr="00EF7710" w:rsidRDefault="006052D4" w:rsidP="00EF7710">
            <w:pPr>
              <w:spacing w:line="240" w:lineRule="auto"/>
              <w:rPr>
                <w:rFonts w:eastAsia="Times New Roman" w:cs="Arial"/>
                <w:color w:val="0F253F"/>
                <w:lang w:eastAsia="en-GB"/>
              </w:rPr>
            </w:pPr>
            <w:r>
              <w:rPr>
                <w:rFonts w:eastAsia="Times New Roman" w:cs="Arial"/>
                <w:color w:val="0F253F"/>
                <w:lang w:eastAsia="en-GB"/>
              </w:rPr>
              <w:t>31 May 2012</w:t>
            </w:r>
          </w:p>
        </w:tc>
      </w:tr>
      <w:tr w:rsidR="00EF7710" w:rsidRPr="00EF7710" w:rsidTr="00054B23">
        <w:trPr>
          <w:gridAfter w:val="3"/>
          <w:wAfter w:w="2949" w:type="dxa"/>
          <w:trHeight w:val="162"/>
        </w:trPr>
        <w:tc>
          <w:tcPr>
            <w:tcW w:w="1273" w:type="dxa"/>
            <w:gridSpan w:val="2"/>
            <w:tcBorders>
              <w:top w:val="nil"/>
              <w:left w:val="nil"/>
              <w:bottom w:val="nil"/>
              <w:right w:val="nil"/>
            </w:tcBorders>
            <w:shd w:val="clear" w:color="auto" w:fill="auto"/>
            <w:noWrap/>
            <w:vAlign w:val="bottom"/>
            <w:hideMark/>
          </w:tcPr>
          <w:p w:rsidR="00EF7710" w:rsidRDefault="00EF7710" w:rsidP="00EF7710">
            <w:pPr>
              <w:spacing w:line="240" w:lineRule="auto"/>
              <w:rPr>
                <w:rFonts w:eastAsia="Times New Roman" w:cs="Arial"/>
                <w:color w:val="000000"/>
                <w:lang w:eastAsia="en-GB"/>
              </w:rPr>
            </w:pPr>
          </w:p>
          <w:p w:rsidR="00EF7710" w:rsidRPr="00EF7710" w:rsidRDefault="00EF7710" w:rsidP="00EF7710">
            <w:pPr>
              <w:spacing w:line="240" w:lineRule="auto"/>
              <w:rPr>
                <w:rFonts w:eastAsia="Times New Roman" w:cs="Arial"/>
                <w:color w:val="000000"/>
                <w:lang w:eastAsia="en-GB"/>
              </w:rPr>
            </w:pPr>
          </w:p>
        </w:tc>
        <w:tc>
          <w:tcPr>
            <w:tcW w:w="2555"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899"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23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r>
      <w:tr w:rsidR="00EF7710" w:rsidRPr="00EF7710" w:rsidTr="00970750">
        <w:trPr>
          <w:gridAfter w:val="5"/>
          <w:wAfter w:w="3686" w:type="dxa"/>
          <w:trHeight w:val="285"/>
        </w:trPr>
        <w:tc>
          <w:tcPr>
            <w:tcW w:w="611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F7710" w:rsidRPr="00EF7710" w:rsidRDefault="00EF7710" w:rsidP="00EF7710">
            <w:pPr>
              <w:spacing w:line="240" w:lineRule="auto"/>
              <w:rPr>
                <w:rFonts w:eastAsia="Times New Roman" w:cs="Arial"/>
                <w:lang w:eastAsia="en-GB"/>
              </w:rPr>
            </w:pPr>
            <w:r w:rsidRPr="00EF7710">
              <w:rPr>
                <w:rFonts w:eastAsia="Times New Roman" w:cs="Arial"/>
                <w:lang w:eastAsia="en-GB"/>
              </w:rPr>
              <w:t>Name of Implementing Organisation</w:t>
            </w:r>
          </w:p>
        </w:tc>
        <w:tc>
          <w:tcPr>
            <w:tcW w:w="437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F7710" w:rsidRDefault="006052D4" w:rsidP="00EF7710">
            <w:pPr>
              <w:spacing w:line="240" w:lineRule="auto"/>
              <w:rPr>
                <w:rFonts w:eastAsia="Times New Roman" w:cs="Arial"/>
                <w:lang w:eastAsia="en-GB"/>
              </w:rPr>
            </w:pPr>
            <w:r>
              <w:rPr>
                <w:rFonts w:eastAsia="Times New Roman" w:cs="Arial"/>
                <w:lang w:eastAsia="en-GB"/>
              </w:rPr>
              <w:t>International Energy Agency (IEA)</w:t>
            </w:r>
          </w:p>
          <w:p w:rsidR="00470DD3" w:rsidRDefault="00470DD3" w:rsidP="00EF7710">
            <w:pPr>
              <w:spacing w:line="240" w:lineRule="auto"/>
              <w:rPr>
                <w:rFonts w:eastAsia="Times New Roman" w:cs="Arial"/>
                <w:lang w:eastAsia="en-GB"/>
              </w:rPr>
            </w:pPr>
            <w:r>
              <w:rPr>
                <w:rFonts w:eastAsia="Times New Roman" w:cs="Arial"/>
                <w:lang w:eastAsia="en-GB"/>
              </w:rPr>
              <w:t>&amp;</w:t>
            </w:r>
          </w:p>
          <w:p w:rsidR="00470DD3" w:rsidRPr="00EF7710" w:rsidRDefault="00470DD3" w:rsidP="00EF7710">
            <w:pPr>
              <w:spacing w:line="240" w:lineRule="auto"/>
              <w:rPr>
                <w:rFonts w:eastAsia="Times New Roman" w:cs="Arial"/>
                <w:lang w:eastAsia="en-GB"/>
              </w:rPr>
            </w:pPr>
            <w:r>
              <w:rPr>
                <w:rFonts w:eastAsia="Times New Roman" w:cs="Arial"/>
                <w:lang w:eastAsia="en-GB"/>
              </w:rPr>
              <w:t>China5e (local Implementer)</w:t>
            </w:r>
          </w:p>
        </w:tc>
      </w:tr>
      <w:tr w:rsidR="00A50514" w:rsidRPr="00EF7710" w:rsidTr="00970750">
        <w:trPr>
          <w:gridAfter w:val="20"/>
          <w:wAfter w:w="13940" w:type="dxa"/>
          <w:trHeight w:val="162"/>
        </w:trPr>
        <w:tc>
          <w:tcPr>
            <w:tcW w:w="236" w:type="dxa"/>
            <w:tcBorders>
              <w:top w:val="nil"/>
              <w:left w:val="nil"/>
              <w:bottom w:val="nil"/>
              <w:right w:val="nil"/>
            </w:tcBorders>
            <w:shd w:val="clear" w:color="auto" w:fill="auto"/>
            <w:noWrap/>
            <w:vAlign w:val="bottom"/>
            <w:hideMark/>
          </w:tcPr>
          <w:p w:rsidR="00A50514" w:rsidRPr="00EF7710" w:rsidRDefault="00A50514" w:rsidP="00EF7710">
            <w:pPr>
              <w:spacing w:line="240" w:lineRule="auto"/>
              <w:rPr>
                <w:rFonts w:eastAsia="Times New Roman" w:cs="Arial"/>
                <w:lang w:eastAsia="en-GB"/>
              </w:rPr>
            </w:pPr>
          </w:p>
        </w:tc>
      </w:tr>
      <w:tr w:rsidR="00EF7710" w:rsidRPr="00EF7710" w:rsidTr="00970750">
        <w:trPr>
          <w:gridAfter w:val="3"/>
          <w:wAfter w:w="2949" w:type="dxa"/>
          <w:trHeight w:val="162"/>
        </w:trPr>
        <w:tc>
          <w:tcPr>
            <w:tcW w:w="1273" w:type="dxa"/>
            <w:gridSpan w:val="2"/>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2838"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c>
          <w:tcPr>
            <w:tcW w:w="61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i/>
                <w:iCs/>
                <w:lang w:eastAsia="en-GB"/>
              </w:rPr>
            </w:pPr>
          </w:p>
        </w:tc>
        <w:tc>
          <w:tcPr>
            <w:tcW w:w="69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c>
          <w:tcPr>
            <w:tcW w:w="236" w:type="dxa"/>
            <w:tcBorders>
              <w:top w:val="nil"/>
              <w:left w:val="nil"/>
              <w:bottom w:val="nil"/>
              <w:right w:val="nil"/>
            </w:tcBorders>
            <w:shd w:val="clear" w:color="auto" w:fill="auto"/>
            <w:hideMark/>
          </w:tcPr>
          <w:p w:rsidR="00EF7710" w:rsidRPr="00EF7710" w:rsidRDefault="00EF7710" w:rsidP="00EF7710">
            <w:pPr>
              <w:spacing w:line="240" w:lineRule="auto"/>
              <w:rPr>
                <w:rFonts w:eastAsia="Times New Roman" w:cs="Arial"/>
                <w:lang w:eastAsia="en-GB"/>
              </w:rPr>
            </w:pPr>
          </w:p>
        </w:tc>
      </w:tr>
      <w:tr w:rsidR="00EF7710" w:rsidRPr="00EF7710" w:rsidTr="00970750">
        <w:trPr>
          <w:trHeight w:val="315"/>
        </w:trPr>
        <w:tc>
          <w:tcPr>
            <w:tcW w:w="7797" w:type="dxa"/>
            <w:gridSpan w:val="11"/>
            <w:tcBorders>
              <w:top w:val="nil"/>
              <w:left w:val="nil"/>
              <w:bottom w:val="nil"/>
              <w:right w:val="nil"/>
            </w:tcBorders>
            <w:shd w:val="clear" w:color="auto" w:fill="auto"/>
            <w:noWrap/>
            <w:vAlign w:val="bottom"/>
            <w:hideMark/>
          </w:tcPr>
          <w:p w:rsidR="00EF7710" w:rsidRDefault="00EF7710" w:rsidP="00EF7710">
            <w:pPr>
              <w:spacing w:line="240" w:lineRule="auto"/>
              <w:rPr>
                <w:rFonts w:eastAsia="Times New Roman" w:cs="Arial"/>
                <w:b/>
                <w:bCs/>
                <w:sz w:val="24"/>
                <w:szCs w:val="24"/>
                <w:lang w:eastAsia="en-GB"/>
              </w:rPr>
            </w:pPr>
          </w:p>
          <w:p w:rsidR="00A50514" w:rsidRDefault="00A50514" w:rsidP="00970750">
            <w:pPr>
              <w:spacing w:line="240" w:lineRule="auto"/>
              <w:ind w:right="-1334"/>
              <w:rPr>
                <w:rFonts w:eastAsia="Times New Roman" w:cs="Arial"/>
                <w:b/>
                <w:bCs/>
                <w:sz w:val="24"/>
                <w:szCs w:val="24"/>
                <w:lang w:eastAsia="en-GB"/>
              </w:rPr>
            </w:pPr>
          </w:p>
          <w:p w:rsidR="00A50514" w:rsidRDefault="00A50514" w:rsidP="00970750">
            <w:pPr>
              <w:spacing w:line="240" w:lineRule="auto"/>
              <w:ind w:right="-1334"/>
              <w:rPr>
                <w:rFonts w:eastAsia="Times New Roman" w:cs="Arial"/>
                <w:b/>
                <w:bCs/>
                <w:sz w:val="24"/>
                <w:szCs w:val="24"/>
                <w:lang w:eastAsia="en-GB"/>
              </w:rPr>
            </w:pPr>
          </w:p>
          <w:p w:rsidR="00A50514" w:rsidRDefault="00A50514" w:rsidP="00970750">
            <w:pPr>
              <w:spacing w:line="240" w:lineRule="auto"/>
              <w:ind w:right="-1334"/>
              <w:rPr>
                <w:rFonts w:eastAsia="Times New Roman" w:cs="Arial"/>
                <w:b/>
                <w:bCs/>
                <w:sz w:val="24"/>
                <w:szCs w:val="24"/>
                <w:lang w:eastAsia="en-GB"/>
              </w:rPr>
            </w:pPr>
          </w:p>
          <w:p w:rsidR="00A50514" w:rsidRDefault="00A50514" w:rsidP="00970750">
            <w:pPr>
              <w:spacing w:line="240" w:lineRule="auto"/>
              <w:ind w:right="-1334"/>
              <w:rPr>
                <w:rFonts w:eastAsia="Times New Roman" w:cs="Arial"/>
                <w:b/>
                <w:bCs/>
                <w:sz w:val="24"/>
                <w:szCs w:val="24"/>
                <w:lang w:eastAsia="en-GB"/>
              </w:rPr>
            </w:pPr>
          </w:p>
          <w:p w:rsidR="00EF7710" w:rsidRPr="00EF7710" w:rsidRDefault="00EF7710" w:rsidP="00970750">
            <w:pPr>
              <w:spacing w:line="240" w:lineRule="auto"/>
              <w:ind w:right="-1334"/>
              <w:rPr>
                <w:rFonts w:eastAsia="Times New Roman" w:cs="Arial"/>
                <w:b/>
                <w:bCs/>
                <w:sz w:val="24"/>
                <w:szCs w:val="24"/>
                <w:lang w:eastAsia="en-GB"/>
              </w:rPr>
            </w:pPr>
            <w:r w:rsidRPr="00EF7710">
              <w:rPr>
                <w:rFonts w:eastAsia="Times New Roman" w:cs="Arial"/>
                <w:b/>
                <w:bCs/>
                <w:sz w:val="24"/>
                <w:szCs w:val="24"/>
                <w:lang w:eastAsia="en-GB"/>
              </w:rPr>
              <w:lastRenderedPageBreak/>
              <w:t xml:space="preserve">Project </w:t>
            </w:r>
            <w:r>
              <w:rPr>
                <w:rFonts w:eastAsia="Times New Roman" w:cs="Arial"/>
                <w:b/>
                <w:bCs/>
                <w:sz w:val="24"/>
                <w:szCs w:val="24"/>
                <w:lang w:eastAsia="en-GB"/>
              </w:rPr>
              <w:t>P</w:t>
            </w:r>
            <w:r w:rsidRPr="00EF7710">
              <w:rPr>
                <w:rFonts w:eastAsia="Times New Roman" w:cs="Arial"/>
                <w:b/>
                <w:bCs/>
                <w:sz w:val="24"/>
                <w:szCs w:val="24"/>
                <w:lang w:eastAsia="en-GB"/>
              </w:rPr>
              <w:t>urpose</w:t>
            </w:r>
            <w:r>
              <w:rPr>
                <w:rFonts w:eastAsia="Times New Roman" w:cs="Arial"/>
                <w:b/>
                <w:bCs/>
                <w:sz w:val="24"/>
                <w:szCs w:val="24"/>
                <w:lang w:eastAsia="en-GB"/>
              </w:rPr>
              <w:t xml:space="preserve">    </w:t>
            </w:r>
            <w:r w:rsidRPr="00EF7710">
              <w:rPr>
                <w:rFonts w:eastAsia="Times New Roman" w:cs="Arial"/>
                <w:b/>
                <w:bCs/>
                <w:sz w:val="24"/>
                <w:szCs w:val="24"/>
                <w:lang w:eastAsia="en-GB"/>
              </w:rPr>
              <w:t xml:space="preserve">(from the </w:t>
            </w:r>
            <w:r w:rsidR="00970750">
              <w:rPr>
                <w:rFonts w:eastAsia="Times New Roman" w:cs="Arial"/>
                <w:b/>
                <w:bCs/>
                <w:sz w:val="24"/>
                <w:szCs w:val="24"/>
                <w:lang w:eastAsia="en-GB"/>
              </w:rPr>
              <w:t>o</w:t>
            </w:r>
            <w:r w:rsidRPr="00EF7710">
              <w:rPr>
                <w:rFonts w:eastAsia="Times New Roman" w:cs="Arial"/>
                <w:b/>
                <w:bCs/>
                <w:sz w:val="24"/>
                <w:szCs w:val="24"/>
                <w:lang w:eastAsia="en-GB"/>
              </w:rPr>
              <w:t>riginal Project Bidding Form</w:t>
            </w:r>
            <w:r>
              <w:rPr>
                <w:rFonts w:eastAsia="Times New Roman" w:cs="Arial"/>
                <w:b/>
                <w:bCs/>
                <w:sz w:val="24"/>
                <w:szCs w:val="24"/>
                <w:lang w:eastAsia="en-GB"/>
              </w:rPr>
              <w:t>)</w:t>
            </w:r>
          </w:p>
        </w:tc>
        <w:tc>
          <w:tcPr>
            <w:tcW w:w="4987" w:type="dxa"/>
            <w:gridSpan w:val="8"/>
            <w:tcBorders>
              <w:top w:val="nil"/>
              <w:left w:val="nil"/>
              <w:bottom w:val="nil"/>
              <w:right w:val="nil"/>
            </w:tcBorders>
            <w:shd w:val="clear" w:color="auto" w:fill="auto"/>
            <w:noWrap/>
            <w:vAlign w:val="bottom"/>
            <w:hideMark/>
          </w:tcPr>
          <w:p w:rsidR="00EF7710" w:rsidRPr="00EF7710" w:rsidRDefault="00EF7710" w:rsidP="00970750">
            <w:pPr>
              <w:spacing w:line="240" w:lineRule="auto"/>
              <w:ind w:left="1735"/>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r>
      <w:tr w:rsidR="00EF7710" w:rsidRPr="00EF7710" w:rsidTr="00970750">
        <w:trPr>
          <w:gridAfter w:val="3"/>
          <w:wAfter w:w="2949" w:type="dxa"/>
          <w:trHeight w:val="162"/>
        </w:trPr>
        <w:tc>
          <w:tcPr>
            <w:tcW w:w="1273"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b/>
                <w:bCs/>
                <w:color w:val="0F253F"/>
                <w:lang w:eastAsia="en-GB"/>
              </w:rPr>
            </w:pPr>
          </w:p>
        </w:tc>
        <w:tc>
          <w:tcPr>
            <w:tcW w:w="2838"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1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23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r>
      <w:tr w:rsidR="00EF7710" w:rsidRPr="00EF7710" w:rsidTr="00970750">
        <w:trPr>
          <w:gridAfter w:val="5"/>
          <w:wAfter w:w="3686" w:type="dxa"/>
          <w:trHeight w:val="780"/>
        </w:trPr>
        <w:tc>
          <w:tcPr>
            <w:tcW w:w="10490"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EF7710" w:rsidRPr="00EF7710" w:rsidRDefault="006052D4" w:rsidP="006052D4">
            <w:pPr>
              <w:pStyle w:val="NoSpacing"/>
              <w:rPr>
                <w:lang w:eastAsia="en-GB"/>
              </w:rPr>
            </w:pPr>
            <w:r>
              <w:rPr>
                <w:lang w:eastAsia="en-GB"/>
              </w:rPr>
              <w:t>Regulatory and market changes accelerate growth of natural gas under the 12</w:t>
            </w:r>
            <w:r w:rsidRPr="006052D4">
              <w:rPr>
                <w:vertAlign w:val="superscript"/>
                <w:lang w:eastAsia="en-GB"/>
              </w:rPr>
              <w:t>th</w:t>
            </w:r>
            <w:r>
              <w:rPr>
                <w:lang w:eastAsia="en-GB"/>
              </w:rPr>
              <w:t xml:space="preserve"> five year plan a</w:t>
            </w:r>
            <w:r w:rsidR="00651642">
              <w:rPr>
                <w:lang w:eastAsia="en-GB"/>
              </w:rPr>
              <w:t>n</w:t>
            </w:r>
            <w:r>
              <w:rPr>
                <w:lang w:eastAsia="en-GB"/>
              </w:rPr>
              <w:t>d beyond</w:t>
            </w:r>
          </w:p>
        </w:tc>
      </w:tr>
      <w:tr w:rsidR="00EF7710" w:rsidRPr="00EF7710" w:rsidTr="00970750">
        <w:trPr>
          <w:gridAfter w:val="3"/>
          <w:wAfter w:w="2949" w:type="dxa"/>
          <w:trHeight w:val="162"/>
        </w:trPr>
        <w:tc>
          <w:tcPr>
            <w:tcW w:w="1273"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2838"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1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23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r>
      <w:tr w:rsidR="00EF7710" w:rsidRPr="00EF7710" w:rsidTr="00970750">
        <w:trPr>
          <w:gridAfter w:val="3"/>
          <w:wAfter w:w="2949" w:type="dxa"/>
          <w:trHeight w:val="315"/>
        </w:trPr>
        <w:tc>
          <w:tcPr>
            <w:tcW w:w="4727" w:type="dxa"/>
            <w:gridSpan w:val="5"/>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b/>
                <w:bCs/>
                <w:sz w:val="24"/>
                <w:szCs w:val="24"/>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23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r>
      <w:tr w:rsidR="00EF7710" w:rsidRPr="00EF7710" w:rsidTr="00970750">
        <w:trPr>
          <w:gridAfter w:val="3"/>
          <w:wAfter w:w="2949" w:type="dxa"/>
          <w:trHeight w:val="162"/>
        </w:trPr>
        <w:tc>
          <w:tcPr>
            <w:tcW w:w="1273"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b/>
                <w:bCs/>
                <w:lang w:eastAsia="en-GB"/>
              </w:rPr>
            </w:pPr>
          </w:p>
        </w:tc>
        <w:tc>
          <w:tcPr>
            <w:tcW w:w="2838"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b/>
                <w:bCs/>
                <w:lang w:eastAsia="en-GB"/>
              </w:rPr>
            </w:pPr>
          </w:p>
        </w:tc>
        <w:tc>
          <w:tcPr>
            <w:tcW w:w="61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b/>
                <w:bCs/>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696" w:type="dxa"/>
            <w:gridSpan w:val="2"/>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c>
          <w:tcPr>
            <w:tcW w:w="236" w:type="dxa"/>
            <w:tcBorders>
              <w:top w:val="nil"/>
              <w:left w:val="nil"/>
              <w:bottom w:val="nil"/>
              <w:right w:val="nil"/>
            </w:tcBorders>
            <w:shd w:val="clear" w:color="auto" w:fill="auto"/>
            <w:noWrap/>
            <w:vAlign w:val="bottom"/>
            <w:hideMark/>
          </w:tcPr>
          <w:p w:rsidR="00EF7710" w:rsidRPr="00EF7710" w:rsidRDefault="00EF7710" w:rsidP="00EF7710">
            <w:pPr>
              <w:spacing w:line="240" w:lineRule="auto"/>
              <w:rPr>
                <w:rFonts w:eastAsia="Times New Roman" w:cs="Arial"/>
                <w:color w:val="000000"/>
                <w:lang w:eastAsia="en-GB"/>
              </w:rPr>
            </w:pPr>
          </w:p>
        </w:tc>
      </w:tr>
    </w:tbl>
    <w:p w:rsidR="00207394" w:rsidRDefault="00207394" w:rsidP="00970750">
      <w:pPr>
        <w:spacing w:line="240" w:lineRule="auto"/>
        <w:jc w:val="both"/>
      </w:pPr>
    </w:p>
    <w:p w:rsidR="007C1718" w:rsidRDefault="00600C5B" w:rsidP="00826C42">
      <w:pPr>
        <w:pStyle w:val="NoSpacing"/>
        <w:rPr>
          <w:rFonts w:cs="Arial"/>
          <w:b/>
          <w:sz w:val="24"/>
          <w:szCs w:val="24"/>
          <w:lang w:val="en-ZA"/>
        </w:rPr>
      </w:pPr>
      <w:r>
        <w:rPr>
          <w:rFonts w:cs="Arial"/>
          <w:b/>
          <w:sz w:val="24"/>
          <w:szCs w:val="24"/>
          <w:lang w:val="en-ZA"/>
        </w:rPr>
        <w:t>EXECUTIVE SUMMARY</w:t>
      </w:r>
    </w:p>
    <w:p w:rsidR="00600C5B" w:rsidRPr="00651642" w:rsidRDefault="00600C5B" w:rsidP="00826C42">
      <w:pPr>
        <w:pStyle w:val="NoSpacing"/>
        <w:rPr>
          <w:rFonts w:cs="Arial"/>
          <w:b/>
          <w:sz w:val="24"/>
          <w:szCs w:val="24"/>
          <w:lang w:val="en-ZA"/>
        </w:rPr>
      </w:pPr>
    </w:p>
    <w:p w:rsidR="00F237A6" w:rsidRDefault="007B3851" w:rsidP="00F237A6">
      <w:r w:rsidRPr="00651642">
        <w:rPr>
          <w:rFonts w:eastAsia="Times New Roman" w:cs="Arial"/>
          <w:color w:val="000000"/>
          <w:lang w:eastAsia="en-GB"/>
        </w:rPr>
        <w:t>…</w:t>
      </w:r>
      <w:r w:rsidR="00040432" w:rsidRPr="00651642">
        <w:rPr>
          <w:rFonts w:eastAsia="Times New Roman" w:cs="Arial"/>
          <w:color w:val="000000"/>
          <w:lang w:eastAsia="en-GB"/>
        </w:rPr>
        <w:t>“t</w:t>
      </w:r>
      <w:r w:rsidRPr="00651642">
        <w:rPr>
          <w:rFonts w:eastAsia="Times New Roman" w:cs="Arial"/>
          <w:color w:val="000000"/>
          <w:lang w:eastAsia="en-GB"/>
        </w:rPr>
        <w:t>he report exceeded expectations</w:t>
      </w:r>
      <w:r w:rsidR="00826C42" w:rsidRPr="00651642">
        <w:rPr>
          <w:rFonts w:eastAsia="Times New Roman" w:cs="Arial"/>
          <w:color w:val="000000"/>
          <w:lang w:eastAsia="en-GB"/>
        </w:rPr>
        <w:t>”</w:t>
      </w:r>
      <w:r w:rsidRPr="00651642">
        <w:rPr>
          <w:rFonts w:eastAsia="Times New Roman" w:cs="Arial"/>
          <w:color w:val="000000"/>
          <w:lang w:eastAsia="en-GB"/>
        </w:rPr>
        <w:t xml:space="preserve">.  </w:t>
      </w:r>
      <w:r w:rsidR="00826C42" w:rsidRPr="00651642">
        <w:rPr>
          <w:rFonts w:eastAsia="Times New Roman" w:cs="Arial"/>
          <w:color w:val="000000"/>
          <w:lang w:eastAsia="en-GB"/>
        </w:rPr>
        <w:t>“</w:t>
      </w:r>
      <w:r w:rsidRPr="00651642">
        <w:rPr>
          <w:rFonts w:eastAsia="Times New Roman" w:cs="Arial"/>
          <w:color w:val="000000"/>
          <w:lang w:eastAsia="en-GB"/>
        </w:rPr>
        <w:t>It brought together different areas</w:t>
      </w:r>
      <w:r w:rsidR="00826C42" w:rsidRPr="00651642">
        <w:rPr>
          <w:rFonts w:eastAsia="Times New Roman" w:cs="Arial"/>
          <w:color w:val="000000"/>
          <w:lang w:eastAsia="en-GB"/>
        </w:rPr>
        <w:t>”</w:t>
      </w:r>
      <w:r w:rsidRPr="00651642">
        <w:rPr>
          <w:rFonts w:eastAsia="Times New Roman" w:cs="Arial"/>
          <w:color w:val="000000"/>
          <w:lang w:eastAsia="en-GB"/>
        </w:rPr>
        <w:t xml:space="preserve">.  </w:t>
      </w:r>
      <w:r w:rsidR="00826C42" w:rsidRPr="00651642">
        <w:rPr>
          <w:rFonts w:eastAsia="Times New Roman" w:cs="Arial"/>
          <w:color w:val="000000"/>
          <w:lang w:eastAsia="en-GB"/>
        </w:rPr>
        <w:t>“</w:t>
      </w:r>
      <w:r w:rsidRPr="00651642">
        <w:rPr>
          <w:rFonts w:eastAsia="Times New Roman" w:cs="Arial"/>
          <w:color w:val="000000"/>
          <w:lang w:eastAsia="en-GB"/>
        </w:rPr>
        <w:t xml:space="preserve">It is the first integrated </w:t>
      </w:r>
      <w:proofErr w:type="gramStart"/>
      <w:r w:rsidRPr="00651642">
        <w:rPr>
          <w:rFonts w:eastAsia="Times New Roman" w:cs="Arial"/>
          <w:color w:val="000000"/>
          <w:lang w:eastAsia="en-GB"/>
        </w:rPr>
        <w:t xml:space="preserve">approach, </w:t>
      </w:r>
      <w:r w:rsidR="00826C42" w:rsidRPr="00651642">
        <w:rPr>
          <w:rFonts w:eastAsia="Times New Roman" w:cs="Arial"/>
          <w:color w:val="000000"/>
          <w:lang w:eastAsia="en-GB"/>
        </w:rPr>
        <w:t>…</w:t>
      </w:r>
      <w:r w:rsidRPr="00651642">
        <w:rPr>
          <w:rFonts w:eastAsia="Times New Roman" w:cs="Arial"/>
          <w:color w:val="000000"/>
          <w:lang w:eastAsia="en-GB"/>
        </w:rPr>
        <w:t>.</w:t>
      </w:r>
      <w:r w:rsidR="00826C42" w:rsidRPr="00651642">
        <w:rPr>
          <w:rFonts w:eastAsia="Times New Roman" w:cs="Arial"/>
          <w:color w:val="000000"/>
          <w:lang w:eastAsia="en-GB"/>
        </w:rPr>
        <w:t>”</w:t>
      </w:r>
      <w:proofErr w:type="gramEnd"/>
      <w:r w:rsidRPr="00651642">
        <w:rPr>
          <w:rFonts w:eastAsia="Times New Roman" w:cs="Arial"/>
          <w:color w:val="000000"/>
          <w:lang w:eastAsia="en-GB"/>
        </w:rPr>
        <w:t xml:space="preserve">  </w:t>
      </w:r>
      <w:r w:rsidR="00040432" w:rsidRPr="00651642">
        <w:rPr>
          <w:rFonts w:eastAsia="Times New Roman" w:cs="Arial"/>
          <w:color w:val="000000"/>
          <w:lang w:eastAsia="en-GB"/>
        </w:rPr>
        <w:t>“</w:t>
      </w:r>
      <w:r w:rsidRPr="00651642">
        <w:rPr>
          <w:rFonts w:eastAsia="Times New Roman" w:cs="Arial"/>
          <w:color w:val="000000"/>
          <w:lang w:eastAsia="en-GB"/>
        </w:rPr>
        <w:t>I</w:t>
      </w:r>
      <w:r w:rsidR="00040432" w:rsidRPr="00651642">
        <w:rPr>
          <w:rFonts w:eastAsia="Times New Roman" w:cs="Arial"/>
          <w:color w:val="000000"/>
          <w:lang w:eastAsia="en-GB"/>
        </w:rPr>
        <w:t>t now sits on everyone’s desks in the NEA”</w:t>
      </w:r>
    </w:p>
    <w:p w:rsidR="007B3851" w:rsidRPr="00651642" w:rsidRDefault="007B3851" w:rsidP="00826C42">
      <w:pPr>
        <w:pStyle w:val="NoSpacing"/>
        <w:rPr>
          <w:rFonts w:eastAsia="Times New Roman" w:cs="Arial"/>
          <w:color w:val="000000"/>
          <w:lang w:eastAsia="en-GB"/>
        </w:rPr>
      </w:pPr>
      <w:r w:rsidRPr="00651642">
        <w:rPr>
          <w:rFonts w:eastAsia="Times New Roman" w:cs="Arial"/>
          <w:color w:val="000000"/>
          <w:lang w:eastAsia="en-GB"/>
        </w:rPr>
        <w:t xml:space="preserve">- </w:t>
      </w:r>
      <w:r w:rsidR="003C055F" w:rsidRPr="00651642">
        <w:rPr>
          <w:rFonts w:eastAsia="Times New Roman" w:cs="Arial"/>
          <w:color w:val="000000"/>
          <w:lang w:eastAsia="en-GB"/>
        </w:rPr>
        <w:t>Quotes</w:t>
      </w:r>
      <w:r w:rsidR="00826C42" w:rsidRPr="00651642">
        <w:rPr>
          <w:rFonts w:eastAsia="Times New Roman" w:cs="Arial"/>
          <w:color w:val="000000"/>
          <w:lang w:eastAsia="en-GB"/>
        </w:rPr>
        <w:t xml:space="preserve"> </w:t>
      </w:r>
      <w:r w:rsidR="00040432" w:rsidRPr="00651642">
        <w:rPr>
          <w:rFonts w:eastAsia="Times New Roman" w:cs="Arial"/>
          <w:color w:val="000000"/>
          <w:lang w:eastAsia="en-GB"/>
        </w:rPr>
        <w:t>made by Mr Yang Lei</w:t>
      </w:r>
      <w:r w:rsidRPr="00651642">
        <w:rPr>
          <w:rFonts w:eastAsia="Times New Roman" w:cs="Arial"/>
          <w:color w:val="000000"/>
          <w:lang w:eastAsia="en-GB"/>
        </w:rPr>
        <w:t>, D</w:t>
      </w:r>
      <w:r w:rsidR="00826C42" w:rsidRPr="00651642">
        <w:rPr>
          <w:rFonts w:eastAsia="Times New Roman" w:cs="Arial"/>
          <w:color w:val="000000"/>
          <w:lang w:eastAsia="en-GB"/>
        </w:rPr>
        <w:t xml:space="preserve">eputy </w:t>
      </w:r>
      <w:r w:rsidRPr="00651642">
        <w:rPr>
          <w:rFonts w:eastAsia="Times New Roman" w:cs="Arial"/>
          <w:color w:val="000000"/>
          <w:lang w:eastAsia="en-GB"/>
        </w:rPr>
        <w:t>D</w:t>
      </w:r>
      <w:r w:rsidR="00826C42" w:rsidRPr="00651642">
        <w:rPr>
          <w:rFonts w:eastAsia="Times New Roman" w:cs="Arial"/>
          <w:color w:val="000000"/>
          <w:lang w:eastAsia="en-GB"/>
        </w:rPr>
        <w:t xml:space="preserve">irector </w:t>
      </w:r>
      <w:r w:rsidRPr="00651642">
        <w:rPr>
          <w:rFonts w:eastAsia="Times New Roman" w:cs="Arial"/>
          <w:color w:val="000000"/>
          <w:lang w:eastAsia="en-GB"/>
        </w:rPr>
        <w:t>G</w:t>
      </w:r>
      <w:r w:rsidR="00826C42" w:rsidRPr="00651642">
        <w:rPr>
          <w:rFonts w:eastAsia="Times New Roman" w:cs="Arial"/>
          <w:color w:val="000000"/>
          <w:lang w:eastAsia="en-GB"/>
        </w:rPr>
        <w:t>eneral</w:t>
      </w:r>
      <w:r w:rsidRPr="00651642">
        <w:rPr>
          <w:rFonts w:eastAsia="Times New Roman" w:cs="Arial"/>
          <w:color w:val="000000"/>
          <w:lang w:eastAsia="en-GB"/>
        </w:rPr>
        <w:t xml:space="preserve"> of </w:t>
      </w:r>
      <w:r w:rsidR="00826C42" w:rsidRPr="00651642">
        <w:rPr>
          <w:rFonts w:eastAsia="Times New Roman" w:cs="Arial"/>
          <w:color w:val="000000"/>
          <w:lang w:eastAsia="en-GB"/>
        </w:rPr>
        <w:t xml:space="preserve">the National Energy Administration (NEA), </w:t>
      </w:r>
      <w:r w:rsidRPr="00651642">
        <w:rPr>
          <w:rFonts w:eastAsia="Times New Roman" w:cs="Arial"/>
          <w:color w:val="000000"/>
          <w:lang w:eastAsia="en-GB"/>
        </w:rPr>
        <w:t>the main beneficiary</w:t>
      </w:r>
      <w:r w:rsidR="00040432" w:rsidRPr="00651642">
        <w:rPr>
          <w:rFonts w:eastAsia="Times New Roman" w:cs="Arial"/>
          <w:color w:val="000000"/>
          <w:lang w:eastAsia="en-GB"/>
        </w:rPr>
        <w:t xml:space="preserve">.  </w:t>
      </w:r>
    </w:p>
    <w:p w:rsidR="007B3851" w:rsidRPr="00651642" w:rsidRDefault="007B3851" w:rsidP="00826C42">
      <w:pPr>
        <w:pStyle w:val="NoSpacing"/>
        <w:rPr>
          <w:rFonts w:eastAsia="Times New Roman" w:cs="Arial"/>
          <w:color w:val="000000"/>
          <w:lang w:eastAsia="en-GB"/>
        </w:rPr>
      </w:pPr>
    </w:p>
    <w:p w:rsidR="00373C2E" w:rsidRPr="00651642" w:rsidRDefault="007B3851" w:rsidP="00826C42">
      <w:pPr>
        <w:pStyle w:val="NoSpacing"/>
        <w:rPr>
          <w:rFonts w:eastAsia="Times New Roman" w:cs="Arial"/>
          <w:color w:val="000000"/>
          <w:lang w:eastAsia="en-GB"/>
        </w:rPr>
      </w:pPr>
      <w:r w:rsidRPr="00651642">
        <w:rPr>
          <w:rFonts w:cs="Arial"/>
          <w:lang w:val="en-ZA"/>
        </w:rPr>
        <w:t xml:space="preserve">The purpose of this project was to use </w:t>
      </w:r>
      <w:r w:rsidR="00826C42" w:rsidRPr="00651642">
        <w:rPr>
          <w:rFonts w:eastAsia="Times New Roman" w:cs="Arial"/>
          <w:color w:val="000000"/>
          <w:lang w:eastAsia="en-GB"/>
        </w:rPr>
        <w:t>regulatory</w:t>
      </w:r>
      <w:r w:rsidRPr="00651642">
        <w:rPr>
          <w:rFonts w:eastAsia="Times New Roman" w:cs="Arial"/>
          <w:color w:val="000000"/>
          <w:lang w:eastAsia="en-GB"/>
        </w:rPr>
        <w:t xml:space="preserve"> and market changes to accelerate the growth of natural gas under the 12</w:t>
      </w:r>
      <w:r w:rsidRPr="00651642">
        <w:rPr>
          <w:rFonts w:eastAsia="Times New Roman" w:cs="Arial"/>
          <w:color w:val="000000"/>
          <w:vertAlign w:val="superscript"/>
          <w:lang w:eastAsia="en-GB"/>
        </w:rPr>
        <w:t>th</w:t>
      </w:r>
      <w:r w:rsidRPr="00651642">
        <w:rPr>
          <w:rFonts w:eastAsia="Times New Roman" w:cs="Arial"/>
          <w:color w:val="000000"/>
          <w:lang w:eastAsia="en-GB"/>
        </w:rPr>
        <w:t xml:space="preserve"> five year plan and beyond.  </w:t>
      </w:r>
      <w:r w:rsidR="008F27C8">
        <w:rPr>
          <w:rFonts w:eastAsia="Times New Roman" w:cs="Arial"/>
          <w:color w:val="000000"/>
          <w:lang w:eastAsia="en-GB"/>
        </w:rPr>
        <w:t>H</w:t>
      </w:r>
      <w:r w:rsidR="003C055F" w:rsidRPr="00651642">
        <w:rPr>
          <w:rFonts w:eastAsia="Times New Roman" w:cs="Arial"/>
          <w:color w:val="000000"/>
          <w:lang w:eastAsia="en-GB"/>
        </w:rPr>
        <w:t>aving</w:t>
      </w:r>
      <w:r w:rsidRPr="00651642">
        <w:rPr>
          <w:rFonts w:eastAsia="Times New Roman" w:cs="Arial"/>
          <w:color w:val="000000"/>
          <w:lang w:eastAsia="en-GB"/>
        </w:rPr>
        <w:t xml:space="preserve"> discussed th</w:t>
      </w:r>
      <w:r w:rsidR="00826C42" w:rsidRPr="00651642">
        <w:rPr>
          <w:rFonts w:eastAsia="Times New Roman" w:cs="Arial"/>
          <w:color w:val="000000"/>
          <w:lang w:eastAsia="en-GB"/>
        </w:rPr>
        <w:t xml:space="preserve">e </w:t>
      </w:r>
      <w:r w:rsidRPr="00651642">
        <w:rPr>
          <w:rFonts w:eastAsia="Times New Roman" w:cs="Arial"/>
          <w:color w:val="000000"/>
          <w:lang w:eastAsia="en-GB"/>
        </w:rPr>
        <w:t xml:space="preserve">project with the implementer, beneficiaries and others, </w:t>
      </w:r>
      <w:r w:rsidR="00040432" w:rsidRPr="00651642">
        <w:rPr>
          <w:rFonts w:eastAsia="Times New Roman" w:cs="Arial"/>
          <w:color w:val="000000"/>
          <w:lang w:eastAsia="en-GB"/>
        </w:rPr>
        <w:t>this project fully met its purpose</w:t>
      </w:r>
      <w:r w:rsidR="00600C5B">
        <w:rPr>
          <w:rFonts w:eastAsia="Times New Roman" w:cs="Arial"/>
          <w:color w:val="000000"/>
          <w:lang w:eastAsia="en-GB"/>
        </w:rPr>
        <w:t>, and has now la</w:t>
      </w:r>
      <w:r w:rsidR="00965176">
        <w:rPr>
          <w:rFonts w:eastAsia="Times New Roman" w:cs="Arial"/>
          <w:color w:val="000000"/>
          <w:lang w:eastAsia="en-GB"/>
        </w:rPr>
        <w:t>id</w:t>
      </w:r>
      <w:r w:rsidR="00600C5B">
        <w:rPr>
          <w:rFonts w:eastAsia="Times New Roman" w:cs="Arial"/>
          <w:color w:val="000000"/>
          <w:lang w:eastAsia="en-GB"/>
        </w:rPr>
        <w:t xml:space="preserve"> the foundation for a growing UK-China project portfolio on gas policy. </w:t>
      </w:r>
    </w:p>
    <w:p w:rsidR="00FD0102" w:rsidRPr="00651642" w:rsidRDefault="00FD0102" w:rsidP="00826C42">
      <w:pPr>
        <w:pStyle w:val="NoSpacing"/>
        <w:rPr>
          <w:rFonts w:eastAsia="Times New Roman" w:cs="Arial"/>
          <w:color w:val="000000"/>
          <w:lang w:eastAsia="en-GB"/>
        </w:rPr>
      </w:pPr>
    </w:p>
    <w:p w:rsidR="00FD0102" w:rsidRDefault="00FD0102" w:rsidP="00826C42">
      <w:pPr>
        <w:pStyle w:val="NoSpacing"/>
        <w:rPr>
          <w:rFonts w:cs="Arial"/>
          <w:lang w:val="en-ZA"/>
        </w:rPr>
      </w:pPr>
    </w:p>
    <w:p w:rsidR="0076558C" w:rsidRPr="00651642" w:rsidRDefault="0076558C" w:rsidP="00826C42">
      <w:pPr>
        <w:pStyle w:val="NoSpacing"/>
        <w:rPr>
          <w:rFonts w:cs="Arial"/>
          <w:lang w:val="en-ZA"/>
        </w:rPr>
      </w:pPr>
    </w:p>
    <w:p w:rsidR="008B35D3" w:rsidRPr="00651642" w:rsidRDefault="008B35D3" w:rsidP="00826C42">
      <w:pPr>
        <w:pStyle w:val="NoSpacing"/>
        <w:rPr>
          <w:rFonts w:cs="Arial"/>
          <w:b/>
          <w:sz w:val="24"/>
          <w:szCs w:val="24"/>
          <w:lang w:val="en-ZA"/>
        </w:rPr>
      </w:pPr>
      <w:r w:rsidRPr="00651642">
        <w:rPr>
          <w:rFonts w:cs="Arial"/>
          <w:b/>
          <w:sz w:val="24"/>
          <w:szCs w:val="24"/>
          <w:lang w:val="en-ZA"/>
        </w:rPr>
        <w:t>Relevance</w:t>
      </w:r>
    </w:p>
    <w:p w:rsidR="008B35D3" w:rsidRDefault="003D73ED" w:rsidP="00826C42">
      <w:pPr>
        <w:pStyle w:val="NoSpacing"/>
        <w:rPr>
          <w:rFonts w:cs="Arial"/>
          <w:lang w:eastAsia="en-GB"/>
        </w:rPr>
      </w:pPr>
      <w:r w:rsidRPr="00651642">
        <w:rPr>
          <w:rFonts w:cs="Arial"/>
          <w:lang w:eastAsia="en-GB"/>
        </w:rPr>
        <w:t>In its current 12th Five-Year Plan (2011 to 2015), the Chinese government plan</w:t>
      </w:r>
      <w:r w:rsidR="00716BCC" w:rsidRPr="00651642">
        <w:rPr>
          <w:rFonts w:cs="Arial"/>
          <w:lang w:eastAsia="en-GB"/>
        </w:rPr>
        <w:t>s</w:t>
      </w:r>
      <w:r w:rsidRPr="00651642">
        <w:rPr>
          <w:rFonts w:cs="Arial"/>
          <w:lang w:eastAsia="en-GB"/>
        </w:rPr>
        <w:t xml:space="preserve"> to double the share of natural gas in primary energy consumption</w:t>
      </w:r>
      <w:r w:rsidR="00651642">
        <w:rPr>
          <w:rFonts w:cs="Arial"/>
          <w:lang w:eastAsia="en-GB"/>
        </w:rPr>
        <w:t>,</w:t>
      </w:r>
      <w:r w:rsidRPr="00651642">
        <w:rPr>
          <w:rFonts w:cs="Arial"/>
          <w:lang w:eastAsia="en-GB"/>
        </w:rPr>
        <w:t xml:space="preserve"> and reach consumption levels up to 260 billion cubic meters (</w:t>
      </w:r>
      <w:proofErr w:type="spellStart"/>
      <w:r w:rsidRPr="00651642">
        <w:rPr>
          <w:rFonts w:cs="Arial"/>
          <w:lang w:eastAsia="en-GB"/>
        </w:rPr>
        <w:t>bcm</w:t>
      </w:r>
      <w:proofErr w:type="spellEnd"/>
      <w:r w:rsidRPr="00651642">
        <w:rPr>
          <w:rFonts w:cs="Arial"/>
          <w:lang w:eastAsia="en-GB"/>
        </w:rPr>
        <w:t>) by 2015</w:t>
      </w:r>
      <w:r w:rsidR="00651642">
        <w:rPr>
          <w:rFonts w:cs="Arial"/>
          <w:lang w:eastAsia="en-GB"/>
        </w:rPr>
        <w:t xml:space="preserve">. </w:t>
      </w:r>
      <w:r w:rsidR="008F27C8">
        <w:rPr>
          <w:rFonts w:cs="Arial"/>
          <w:lang w:eastAsia="en-GB"/>
        </w:rPr>
        <w:t xml:space="preserve"> </w:t>
      </w:r>
      <w:r w:rsidR="00651642">
        <w:rPr>
          <w:rFonts w:cs="Arial"/>
          <w:lang w:eastAsia="en-GB"/>
        </w:rPr>
        <w:t>If achieved</w:t>
      </w:r>
      <w:r w:rsidRPr="00651642">
        <w:rPr>
          <w:rFonts w:cs="Arial"/>
          <w:lang w:eastAsia="en-GB"/>
        </w:rPr>
        <w:t>,</w:t>
      </w:r>
      <w:r w:rsidR="00651642">
        <w:rPr>
          <w:rFonts w:cs="Arial"/>
          <w:lang w:eastAsia="en-GB"/>
        </w:rPr>
        <w:t xml:space="preserve"> this would be</w:t>
      </w:r>
      <w:r w:rsidRPr="00651642">
        <w:rPr>
          <w:rFonts w:cs="Arial"/>
          <w:lang w:eastAsia="en-GB"/>
        </w:rPr>
        <w:t xml:space="preserve"> twice the level of gas consumed in 2011.</w:t>
      </w:r>
      <w:r w:rsidR="00040432" w:rsidRPr="00651642">
        <w:rPr>
          <w:rFonts w:cs="Arial"/>
          <w:lang w:eastAsia="en-GB"/>
        </w:rPr>
        <w:t xml:space="preserve">  The NEA </w:t>
      </w:r>
      <w:r w:rsidR="00F66982">
        <w:rPr>
          <w:rFonts w:cs="Arial"/>
          <w:lang w:eastAsia="en-GB"/>
        </w:rPr>
        <w:t>told</w:t>
      </w:r>
      <w:r w:rsidR="00040432" w:rsidRPr="00651642">
        <w:rPr>
          <w:rFonts w:cs="Arial"/>
          <w:lang w:eastAsia="en-GB"/>
        </w:rPr>
        <w:t xml:space="preserve"> the </w:t>
      </w:r>
      <w:r w:rsidR="00826C42" w:rsidRPr="00651642">
        <w:rPr>
          <w:rFonts w:cs="Arial"/>
          <w:lang w:eastAsia="en-GB"/>
        </w:rPr>
        <w:t xml:space="preserve">British </w:t>
      </w:r>
      <w:r w:rsidR="00040432" w:rsidRPr="00651642">
        <w:rPr>
          <w:rFonts w:cs="Arial"/>
          <w:lang w:eastAsia="en-GB"/>
        </w:rPr>
        <w:t>Embassy that they wanted to do more work on gas production in support of the new Five Year Plan target</w:t>
      </w:r>
      <w:r w:rsidR="008F27C8">
        <w:rPr>
          <w:rFonts w:cs="Arial"/>
          <w:lang w:eastAsia="en-GB"/>
        </w:rPr>
        <w:t xml:space="preserve">.  So </w:t>
      </w:r>
      <w:r w:rsidR="00F66982">
        <w:rPr>
          <w:rFonts w:cs="Arial"/>
          <w:lang w:eastAsia="en-GB"/>
        </w:rPr>
        <w:t>this project was developed</w:t>
      </w:r>
      <w:r w:rsidR="00040432" w:rsidRPr="00651642">
        <w:rPr>
          <w:rFonts w:cs="Arial"/>
          <w:lang w:eastAsia="en-GB"/>
        </w:rPr>
        <w:t xml:space="preserve">.  </w:t>
      </w:r>
      <w:r w:rsidR="00600C5B">
        <w:rPr>
          <w:rFonts w:cs="Arial"/>
          <w:lang w:eastAsia="en-GB"/>
        </w:rPr>
        <w:t>As well as supporting China’s Five Year Plan target, the project also support</w:t>
      </w:r>
      <w:r w:rsidR="00965176">
        <w:rPr>
          <w:rFonts w:cs="Arial"/>
          <w:lang w:eastAsia="en-GB"/>
        </w:rPr>
        <w:t>ed</w:t>
      </w:r>
      <w:r w:rsidR="00600C5B">
        <w:rPr>
          <w:rFonts w:cs="Arial"/>
          <w:lang w:eastAsia="en-GB"/>
        </w:rPr>
        <w:t xml:space="preserve"> the Embassy’s programme objective </w:t>
      </w:r>
      <w:r w:rsidR="008F27C8">
        <w:rPr>
          <w:rFonts w:cs="Arial"/>
          <w:lang w:eastAsia="en-GB"/>
        </w:rPr>
        <w:t xml:space="preserve">involving </w:t>
      </w:r>
      <w:r w:rsidR="004F1C17">
        <w:rPr>
          <w:rFonts w:cs="Arial"/>
          <w:lang w:eastAsia="en-GB"/>
        </w:rPr>
        <w:t xml:space="preserve">the energy diversity of China’s energy mix, and </w:t>
      </w:r>
      <w:r w:rsidR="00625629">
        <w:rPr>
          <w:rFonts w:cs="Arial"/>
          <w:lang w:eastAsia="en-GB"/>
        </w:rPr>
        <w:t xml:space="preserve">the process of </w:t>
      </w:r>
      <w:r w:rsidR="004F1C17">
        <w:rPr>
          <w:rFonts w:cs="Arial"/>
          <w:lang w:eastAsia="en-GB"/>
        </w:rPr>
        <w:t>accelerat</w:t>
      </w:r>
      <w:r w:rsidR="00625629">
        <w:rPr>
          <w:rFonts w:cs="Arial"/>
          <w:lang w:eastAsia="en-GB"/>
        </w:rPr>
        <w:t>ing</w:t>
      </w:r>
      <w:r w:rsidR="004F1C17">
        <w:rPr>
          <w:rFonts w:cs="Arial"/>
          <w:lang w:eastAsia="en-GB"/>
        </w:rPr>
        <w:t xml:space="preserve"> China’s shift from coal to gas</w:t>
      </w:r>
      <w:r w:rsidR="008F27C8">
        <w:rPr>
          <w:rFonts w:cs="Arial"/>
          <w:lang w:eastAsia="en-GB"/>
        </w:rPr>
        <w:t>.  T</w:t>
      </w:r>
      <w:r w:rsidR="00600C5B">
        <w:rPr>
          <w:rFonts w:cs="Arial"/>
          <w:lang w:eastAsia="en-GB"/>
        </w:rPr>
        <w:t>herefore</w:t>
      </w:r>
      <w:r w:rsidR="008F27C8">
        <w:rPr>
          <w:rFonts w:cs="Arial"/>
          <w:lang w:eastAsia="en-GB"/>
        </w:rPr>
        <w:t>, it</w:t>
      </w:r>
      <w:r w:rsidR="00600C5B">
        <w:rPr>
          <w:rFonts w:cs="Arial"/>
          <w:lang w:eastAsia="en-GB"/>
        </w:rPr>
        <w:t xml:space="preserve"> also me</w:t>
      </w:r>
      <w:r w:rsidR="008F27C8">
        <w:rPr>
          <w:rFonts w:cs="Arial"/>
          <w:lang w:eastAsia="en-GB"/>
        </w:rPr>
        <w:t>t</w:t>
      </w:r>
      <w:r w:rsidR="00600C5B">
        <w:rPr>
          <w:rFonts w:cs="Arial"/>
          <w:lang w:eastAsia="en-GB"/>
        </w:rPr>
        <w:t xml:space="preserve"> Post’s business plan objectives</w:t>
      </w:r>
      <w:r w:rsidR="008F27C8">
        <w:rPr>
          <w:rFonts w:cs="Arial"/>
          <w:lang w:eastAsia="en-GB"/>
        </w:rPr>
        <w:t>.</w:t>
      </w:r>
    </w:p>
    <w:p w:rsidR="000B47DA" w:rsidRDefault="000B47DA" w:rsidP="00826C42">
      <w:pPr>
        <w:pStyle w:val="NoSpacing"/>
        <w:rPr>
          <w:rFonts w:cs="Arial"/>
          <w:lang w:eastAsia="en-GB"/>
        </w:rPr>
      </w:pPr>
    </w:p>
    <w:p w:rsidR="000B47DA" w:rsidRPr="00651642" w:rsidRDefault="000B47DA" w:rsidP="00826C42">
      <w:pPr>
        <w:pStyle w:val="NoSpacing"/>
        <w:rPr>
          <w:rFonts w:cs="Arial"/>
          <w:lang w:val="en-ZA"/>
        </w:rPr>
      </w:pPr>
    </w:p>
    <w:p w:rsidR="008B35D3" w:rsidRPr="00651642" w:rsidRDefault="008B35D3" w:rsidP="00826C42">
      <w:pPr>
        <w:pStyle w:val="NoSpacing"/>
        <w:rPr>
          <w:rFonts w:cs="Arial"/>
          <w:b/>
          <w:sz w:val="24"/>
          <w:szCs w:val="24"/>
          <w:lang w:val="en-ZA"/>
        </w:rPr>
      </w:pPr>
      <w:r w:rsidRPr="00651642">
        <w:rPr>
          <w:rFonts w:cs="Arial"/>
          <w:b/>
          <w:sz w:val="24"/>
          <w:szCs w:val="24"/>
          <w:lang w:val="en-ZA"/>
        </w:rPr>
        <w:t>Efficiency</w:t>
      </w:r>
    </w:p>
    <w:p w:rsidR="00826C42" w:rsidRPr="00651642" w:rsidRDefault="00040432" w:rsidP="00826C42">
      <w:pPr>
        <w:pStyle w:val="NoSpacing"/>
        <w:rPr>
          <w:rFonts w:cs="Arial"/>
          <w:lang w:val="en-ZA"/>
        </w:rPr>
      </w:pPr>
      <w:r w:rsidRPr="00651642">
        <w:rPr>
          <w:rFonts w:cs="Arial"/>
          <w:lang w:val="en-ZA"/>
        </w:rPr>
        <w:t xml:space="preserve">The project involved </w:t>
      </w:r>
      <w:r w:rsidR="00826C42" w:rsidRPr="00651642">
        <w:rPr>
          <w:rFonts w:cs="Arial"/>
          <w:lang w:val="en-ZA"/>
        </w:rPr>
        <w:t xml:space="preserve">four </w:t>
      </w:r>
      <w:r w:rsidRPr="00651642">
        <w:rPr>
          <w:rFonts w:cs="Arial"/>
          <w:lang w:val="en-ZA"/>
        </w:rPr>
        <w:t>main outputs – identifying key areas for progress, workshops</w:t>
      </w:r>
      <w:r w:rsidR="00826C42" w:rsidRPr="00651642">
        <w:rPr>
          <w:rFonts w:cs="Arial"/>
          <w:lang w:val="en-ZA"/>
        </w:rPr>
        <w:t xml:space="preserve"> for stakeholders to engage and exchange experience</w:t>
      </w:r>
      <w:r w:rsidR="008F27C8">
        <w:rPr>
          <w:rFonts w:cs="Arial"/>
          <w:lang w:val="en-ZA"/>
        </w:rPr>
        <w:t xml:space="preserve">, </w:t>
      </w:r>
      <w:r w:rsidR="00826C42" w:rsidRPr="00651642">
        <w:rPr>
          <w:rFonts w:cs="Arial"/>
          <w:lang w:val="en-ZA"/>
        </w:rPr>
        <w:t>a study visit to Britain and Europe</w:t>
      </w:r>
      <w:r w:rsidRPr="00651642">
        <w:rPr>
          <w:rFonts w:cs="Arial"/>
          <w:lang w:val="en-ZA"/>
        </w:rPr>
        <w:t xml:space="preserve">, and a final report.  </w:t>
      </w:r>
    </w:p>
    <w:p w:rsidR="00826C42" w:rsidRPr="00651642" w:rsidRDefault="00826C42" w:rsidP="00826C42">
      <w:pPr>
        <w:pStyle w:val="NoSpacing"/>
        <w:rPr>
          <w:rFonts w:cs="Arial"/>
          <w:lang w:val="en-ZA"/>
        </w:rPr>
      </w:pPr>
    </w:p>
    <w:p w:rsidR="00A9533A" w:rsidRPr="00651642" w:rsidRDefault="00040432" w:rsidP="00826C42">
      <w:pPr>
        <w:pStyle w:val="NoSpacing"/>
        <w:rPr>
          <w:rFonts w:cs="Arial"/>
          <w:lang w:val="en-ZA"/>
        </w:rPr>
      </w:pPr>
      <w:r w:rsidRPr="00651642">
        <w:rPr>
          <w:rFonts w:cs="Arial"/>
          <w:lang w:val="en-ZA"/>
        </w:rPr>
        <w:t>The IEA were the main implementer</w:t>
      </w:r>
      <w:r w:rsidR="00826C42" w:rsidRPr="00651642">
        <w:rPr>
          <w:rFonts w:cs="Arial"/>
          <w:lang w:val="en-ZA"/>
        </w:rPr>
        <w:t>.  B</w:t>
      </w:r>
      <w:r w:rsidRPr="00651642">
        <w:rPr>
          <w:rFonts w:cs="Arial"/>
          <w:lang w:val="en-ZA"/>
        </w:rPr>
        <w:t xml:space="preserve">ut the NEA </w:t>
      </w:r>
      <w:r w:rsidR="00826C42" w:rsidRPr="00651642">
        <w:rPr>
          <w:rFonts w:cs="Arial"/>
          <w:lang w:val="en-ZA"/>
        </w:rPr>
        <w:t xml:space="preserve">suggested that </w:t>
      </w:r>
      <w:r w:rsidRPr="00651642">
        <w:rPr>
          <w:rFonts w:cs="Arial"/>
          <w:lang w:val="en-ZA"/>
        </w:rPr>
        <w:t>that they work with a Chinese implementer, China5e.</w:t>
      </w:r>
      <w:r w:rsidR="00826C42" w:rsidRPr="00651642">
        <w:rPr>
          <w:rFonts w:cs="Arial"/>
          <w:lang w:val="en-ZA"/>
        </w:rPr>
        <w:t xml:space="preserve">  This relationship worked well and t</w:t>
      </w:r>
      <w:r w:rsidRPr="00651642">
        <w:rPr>
          <w:rFonts w:cs="Arial"/>
          <w:lang w:val="en-ZA"/>
        </w:rPr>
        <w:t xml:space="preserve">here </w:t>
      </w:r>
      <w:r w:rsidR="005D5160" w:rsidRPr="00651642">
        <w:rPr>
          <w:rFonts w:cs="Arial"/>
          <w:lang w:val="en-ZA"/>
        </w:rPr>
        <w:t>was only</w:t>
      </w:r>
      <w:r w:rsidR="00826C42" w:rsidRPr="00651642">
        <w:rPr>
          <w:rFonts w:cs="Arial"/>
          <w:lang w:val="en-ZA"/>
        </w:rPr>
        <w:t xml:space="preserve"> one problem</w:t>
      </w:r>
      <w:r w:rsidR="00651642">
        <w:rPr>
          <w:rFonts w:cs="Arial"/>
          <w:lang w:val="en-ZA"/>
        </w:rPr>
        <w:t xml:space="preserve">, which involved </w:t>
      </w:r>
      <w:r w:rsidR="00826C42" w:rsidRPr="00651642">
        <w:rPr>
          <w:rFonts w:cs="Arial"/>
          <w:lang w:val="en-ZA"/>
        </w:rPr>
        <w:t xml:space="preserve">obtaining </w:t>
      </w:r>
      <w:r w:rsidRPr="00651642">
        <w:rPr>
          <w:rFonts w:cs="Arial"/>
          <w:lang w:val="en-ZA"/>
        </w:rPr>
        <w:t xml:space="preserve">visas for the fact finding mission to Europe.  </w:t>
      </w:r>
      <w:r w:rsidR="00826C42" w:rsidRPr="00651642">
        <w:rPr>
          <w:rFonts w:cs="Arial"/>
          <w:lang w:val="en-ZA"/>
        </w:rPr>
        <w:t>A</w:t>
      </w:r>
      <w:r w:rsidRPr="00651642">
        <w:rPr>
          <w:rFonts w:cs="Arial"/>
          <w:lang w:val="en-ZA"/>
        </w:rPr>
        <w:t xml:space="preserve">ll </w:t>
      </w:r>
      <w:r w:rsidR="00826C42" w:rsidRPr="00651642">
        <w:rPr>
          <w:rFonts w:cs="Arial"/>
          <w:lang w:val="en-ZA"/>
        </w:rPr>
        <w:t xml:space="preserve">the </w:t>
      </w:r>
      <w:r w:rsidRPr="00651642">
        <w:rPr>
          <w:rFonts w:cs="Arial"/>
          <w:lang w:val="en-ZA"/>
        </w:rPr>
        <w:t xml:space="preserve">outputs helped to contribute to the final report, </w:t>
      </w:r>
      <w:r w:rsidR="00826C42" w:rsidRPr="00651642">
        <w:rPr>
          <w:rFonts w:cs="Arial"/>
          <w:lang w:val="en-ZA"/>
        </w:rPr>
        <w:t xml:space="preserve">and </w:t>
      </w:r>
      <w:r w:rsidR="00651642">
        <w:rPr>
          <w:rFonts w:cs="Arial"/>
          <w:lang w:val="en-ZA"/>
        </w:rPr>
        <w:t>all the</w:t>
      </w:r>
      <w:r w:rsidR="00826C42" w:rsidRPr="00651642">
        <w:rPr>
          <w:rFonts w:cs="Arial"/>
          <w:lang w:val="en-ZA"/>
        </w:rPr>
        <w:t xml:space="preserve"> beneficiaries were consulted in the design phase of this project</w:t>
      </w:r>
      <w:r w:rsidR="00651642">
        <w:rPr>
          <w:rFonts w:cs="Arial"/>
          <w:lang w:val="en-ZA"/>
        </w:rPr>
        <w:t>.  A</w:t>
      </w:r>
      <w:r w:rsidR="00AD7C03" w:rsidRPr="00651642">
        <w:rPr>
          <w:rFonts w:cs="Arial"/>
          <w:lang w:val="en-ZA"/>
        </w:rPr>
        <w:t xml:space="preserve">s such, </w:t>
      </w:r>
      <w:r w:rsidR="00651642">
        <w:rPr>
          <w:rFonts w:cs="Arial"/>
          <w:lang w:val="en-ZA"/>
        </w:rPr>
        <w:t xml:space="preserve">this project </w:t>
      </w:r>
      <w:r w:rsidRPr="00651642">
        <w:rPr>
          <w:rFonts w:cs="Arial"/>
          <w:lang w:val="en-ZA"/>
        </w:rPr>
        <w:t>can be judged as efficient in its construction.</w:t>
      </w:r>
    </w:p>
    <w:p w:rsidR="00040432" w:rsidRDefault="00040432" w:rsidP="00826C42">
      <w:pPr>
        <w:pStyle w:val="NoSpacing"/>
        <w:rPr>
          <w:rFonts w:cs="Arial"/>
          <w:lang w:val="en-ZA"/>
        </w:rPr>
      </w:pPr>
    </w:p>
    <w:p w:rsidR="0076558C" w:rsidRPr="00651642" w:rsidRDefault="0076558C" w:rsidP="00826C42">
      <w:pPr>
        <w:pStyle w:val="NoSpacing"/>
        <w:rPr>
          <w:rFonts w:cs="Arial"/>
          <w:lang w:val="en-ZA"/>
        </w:rPr>
      </w:pPr>
    </w:p>
    <w:p w:rsidR="006B6144" w:rsidRPr="00651642" w:rsidRDefault="006B6144" w:rsidP="00826C42">
      <w:pPr>
        <w:pStyle w:val="NoSpacing"/>
        <w:rPr>
          <w:rFonts w:cs="Arial"/>
          <w:b/>
          <w:sz w:val="24"/>
          <w:szCs w:val="24"/>
          <w:lang w:val="en-ZA"/>
        </w:rPr>
      </w:pPr>
      <w:r w:rsidRPr="00651642">
        <w:rPr>
          <w:rFonts w:cs="Arial"/>
          <w:b/>
          <w:sz w:val="24"/>
          <w:szCs w:val="24"/>
          <w:lang w:val="en-ZA"/>
        </w:rPr>
        <w:t>Effectiveness</w:t>
      </w:r>
    </w:p>
    <w:p w:rsidR="00A9533A" w:rsidRDefault="00040432" w:rsidP="00826C42">
      <w:pPr>
        <w:pStyle w:val="NoSpacing"/>
        <w:rPr>
          <w:rFonts w:cs="Arial"/>
          <w:lang w:val="en-ZA"/>
        </w:rPr>
      </w:pPr>
      <w:r w:rsidRPr="00651642">
        <w:rPr>
          <w:rFonts w:cs="Arial"/>
          <w:lang w:val="en-ZA"/>
        </w:rPr>
        <w:t xml:space="preserve">This project met a need, produced a report, and will involve follow up work to take matters forward.  As </w:t>
      </w:r>
      <w:r w:rsidR="00AD7C03" w:rsidRPr="00651642">
        <w:rPr>
          <w:rFonts w:cs="Arial"/>
          <w:lang w:val="en-ZA"/>
        </w:rPr>
        <w:t xml:space="preserve">a result, </w:t>
      </w:r>
      <w:r w:rsidR="002B1D7F" w:rsidRPr="00651642">
        <w:rPr>
          <w:rFonts w:cs="Arial"/>
          <w:lang w:val="en-ZA"/>
        </w:rPr>
        <w:t xml:space="preserve">this </w:t>
      </w:r>
      <w:r w:rsidR="00826C42" w:rsidRPr="00651642">
        <w:rPr>
          <w:rFonts w:cs="Arial"/>
          <w:lang w:val="en-ZA"/>
        </w:rPr>
        <w:t xml:space="preserve">was </w:t>
      </w:r>
      <w:r w:rsidR="002B1D7F" w:rsidRPr="00651642">
        <w:rPr>
          <w:rFonts w:cs="Arial"/>
          <w:lang w:val="en-ZA"/>
        </w:rPr>
        <w:t xml:space="preserve">an effective project in support of </w:t>
      </w:r>
      <w:r w:rsidR="007C4768">
        <w:rPr>
          <w:rFonts w:cs="Arial"/>
          <w:lang w:val="en-ZA"/>
        </w:rPr>
        <w:t xml:space="preserve">Embassy </w:t>
      </w:r>
      <w:r w:rsidR="002B1D7F" w:rsidRPr="00651642">
        <w:rPr>
          <w:rFonts w:cs="Arial"/>
          <w:lang w:val="en-ZA"/>
        </w:rPr>
        <w:t>priorities</w:t>
      </w:r>
      <w:r w:rsidR="002D42F8" w:rsidRPr="00651642">
        <w:rPr>
          <w:rFonts w:cs="Arial"/>
          <w:lang w:val="en-ZA"/>
        </w:rPr>
        <w:t xml:space="preserve"> that delivered its original purpose</w:t>
      </w:r>
      <w:r w:rsidR="002B1D7F" w:rsidRPr="00651642">
        <w:rPr>
          <w:rFonts w:cs="Arial"/>
          <w:lang w:val="en-ZA"/>
        </w:rPr>
        <w:t xml:space="preserve">. </w:t>
      </w:r>
      <w:r w:rsidRPr="00651642">
        <w:rPr>
          <w:rFonts w:cs="Arial"/>
          <w:lang w:val="en-ZA"/>
        </w:rPr>
        <w:t xml:space="preserve"> </w:t>
      </w:r>
    </w:p>
    <w:p w:rsidR="0076558C" w:rsidRDefault="0076558C" w:rsidP="00826C42">
      <w:pPr>
        <w:pStyle w:val="NoSpacing"/>
        <w:rPr>
          <w:rFonts w:cs="Arial"/>
          <w:lang w:val="en-ZA"/>
        </w:rPr>
      </w:pPr>
    </w:p>
    <w:p w:rsidR="0076558C" w:rsidRPr="0076558C" w:rsidRDefault="0076558C" w:rsidP="0076558C">
      <w:pPr>
        <w:pStyle w:val="NoSpacing"/>
        <w:rPr>
          <w:rFonts w:cs="Arial"/>
        </w:rPr>
      </w:pPr>
      <w:r w:rsidRPr="0076558C">
        <w:rPr>
          <w:rFonts w:cs="Arial"/>
        </w:rPr>
        <w:t xml:space="preserve">In considering the UK angle, this project has helped to accelerate China’s shift from coal to gas, which will support China’s efforts to develop a realistic pathway to address coal-related </w:t>
      </w:r>
      <w:r w:rsidRPr="0076558C">
        <w:rPr>
          <w:rFonts w:cs="Arial"/>
        </w:rPr>
        <w:lastRenderedPageBreak/>
        <w:t xml:space="preserve">green house gas emissions, whilst retaining energy security. </w:t>
      </w:r>
      <w:r>
        <w:rPr>
          <w:rFonts w:cs="Arial"/>
        </w:rPr>
        <w:t xml:space="preserve"> </w:t>
      </w:r>
      <w:r w:rsidRPr="0076558C">
        <w:rPr>
          <w:rFonts w:cs="Arial"/>
        </w:rPr>
        <w:t>There are some uncertainties in the short term as to whether this project will be beneficial to UK gas prices due to the potential for China’s shift to gas to increase competition for LNG imports</w:t>
      </w:r>
      <w:r>
        <w:rPr>
          <w:rFonts w:cs="Arial"/>
        </w:rPr>
        <w:t>.  B</w:t>
      </w:r>
      <w:r w:rsidRPr="0076558C">
        <w:rPr>
          <w:rFonts w:cs="Arial"/>
        </w:rPr>
        <w:t>ut the project should be seen as part of a wider range of activities looking to promote energy diversification, raise domestic production and increase the resilience of China’s energy system.</w:t>
      </w:r>
    </w:p>
    <w:p w:rsidR="0076558C" w:rsidRPr="0076558C" w:rsidRDefault="0076558C" w:rsidP="0076558C">
      <w:pPr>
        <w:pStyle w:val="NoSpacing"/>
        <w:ind w:left="720"/>
        <w:rPr>
          <w:rFonts w:cs="Arial"/>
        </w:rPr>
      </w:pPr>
    </w:p>
    <w:p w:rsidR="0076558C" w:rsidRPr="0076558C" w:rsidRDefault="0076558C" w:rsidP="0076558C">
      <w:pPr>
        <w:pStyle w:val="NoSpacing"/>
        <w:rPr>
          <w:rFonts w:cs="Arial"/>
        </w:rPr>
      </w:pPr>
      <w:r w:rsidRPr="0076558C">
        <w:rPr>
          <w:rFonts w:cs="Arial"/>
        </w:rPr>
        <w:t xml:space="preserve">A more efficient Chinese gas market will increase commercial opportunities for UK Oil and Gas Companies, such as Shell, BP and BG Group, which meets our broader prosperity agenda. </w:t>
      </w:r>
      <w:r>
        <w:rPr>
          <w:rFonts w:cs="Arial"/>
        </w:rPr>
        <w:t xml:space="preserve"> </w:t>
      </w:r>
      <w:r w:rsidRPr="0076558C">
        <w:rPr>
          <w:rFonts w:cs="Arial"/>
        </w:rPr>
        <w:t xml:space="preserve">World natural gas demand is expected to grow 1.6% per year from 2010 to 2035. 25% of the total increase in demand will be in China. </w:t>
      </w:r>
      <w:r>
        <w:rPr>
          <w:rFonts w:cs="Arial"/>
        </w:rPr>
        <w:t xml:space="preserve"> </w:t>
      </w:r>
      <w:r w:rsidRPr="0076558C">
        <w:rPr>
          <w:rFonts w:cs="Arial"/>
        </w:rPr>
        <w:t>Aside from creating the market conditions supportive of UK competition in this growing market, we have been able to us</w:t>
      </w:r>
      <w:r>
        <w:rPr>
          <w:rFonts w:cs="Arial"/>
        </w:rPr>
        <w:t>e</w:t>
      </w:r>
      <w:r w:rsidRPr="0076558C">
        <w:rPr>
          <w:rFonts w:cs="Arial"/>
        </w:rPr>
        <w:t xml:space="preserve"> this project to bring UK companies and key Chinese decision makers together. </w:t>
      </w:r>
    </w:p>
    <w:p w:rsidR="0076558C" w:rsidRPr="0076558C" w:rsidRDefault="0076558C" w:rsidP="0076558C">
      <w:pPr>
        <w:pStyle w:val="NoSpacing"/>
        <w:ind w:left="720"/>
        <w:rPr>
          <w:rFonts w:cs="Arial"/>
        </w:rPr>
      </w:pPr>
    </w:p>
    <w:p w:rsidR="0076558C" w:rsidRPr="0076558C" w:rsidRDefault="0076558C" w:rsidP="0076558C">
      <w:pPr>
        <w:pStyle w:val="NoSpacing"/>
        <w:rPr>
          <w:rFonts w:cs="Arial"/>
          <w:color w:val="FF0000"/>
        </w:rPr>
      </w:pPr>
      <w:r w:rsidRPr="0076558C">
        <w:rPr>
          <w:rFonts w:cs="Arial"/>
        </w:rPr>
        <w:t xml:space="preserve">As a result of this successful project, our stock with the NEA is high and we will continue to engage with them and the NDRC on the issue of reform of China’s gas market.  We are already building on this report through a project looking at the regulations around China’s shale gas policy.  The NEA have also asked for a short report that analyses in more detail the UK’s experience in gas market liberalisation, including specific regulations about China’s gas market development. </w:t>
      </w:r>
      <w:r>
        <w:rPr>
          <w:rFonts w:cs="Arial"/>
        </w:rPr>
        <w:t xml:space="preserve"> </w:t>
      </w:r>
      <w:r w:rsidRPr="0076558C">
        <w:rPr>
          <w:rFonts w:cs="Arial"/>
        </w:rPr>
        <w:t xml:space="preserve">BG Group </w:t>
      </w:r>
      <w:proofErr w:type="gramStart"/>
      <w:r w:rsidRPr="0076558C">
        <w:rPr>
          <w:rFonts w:cs="Arial"/>
        </w:rPr>
        <w:t>are</w:t>
      </w:r>
      <w:proofErr w:type="gramEnd"/>
      <w:r w:rsidRPr="0076558C">
        <w:rPr>
          <w:rFonts w:cs="Arial"/>
        </w:rPr>
        <w:t xml:space="preserve"> one of the implementers of the latter project.</w:t>
      </w:r>
    </w:p>
    <w:p w:rsidR="0076558C" w:rsidRPr="00651642" w:rsidRDefault="0076558C" w:rsidP="00826C42">
      <w:pPr>
        <w:pStyle w:val="NoSpacing"/>
        <w:rPr>
          <w:rFonts w:cs="Arial"/>
          <w:lang w:val="en-ZA"/>
        </w:rPr>
      </w:pPr>
    </w:p>
    <w:p w:rsidR="00040432" w:rsidRPr="00651642" w:rsidRDefault="00040432" w:rsidP="00826C42">
      <w:pPr>
        <w:pStyle w:val="NoSpacing"/>
        <w:rPr>
          <w:rFonts w:cs="Arial"/>
          <w:lang w:val="en-ZA"/>
        </w:rPr>
      </w:pPr>
    </w:p>
    <w:p w:rsidR="006B6144" w:rsidRPr="00651642" w:rsidRDefault="006B6144" w:rsidP="00826C42">
      <w:pPr>
        <w:pStyle w:val="NoSpacing"/>
        <w:rPr>
          <w:rFonts w:cs="Arial"/>
          <w:b/>
          <w:sz w:val="24"/>
          <w:szCs w:val="24"/>
          <w:lang w:val="en-ZA"/>
        </w:rPr>
      </w:pPr>
      <w:r w:rsidRPr="00651642">
        <w:rPr>
          <w:rFonts w:cs="Arial"/>
          <w:b/>
          <w:sz w:val="24"/>
          <w:szCs w:val="24"/>
          <w:lang w:val="en-ZA"/>
        </w:rPr>
        <w:t>Sustainability</w:t>
      </w:r>
    </w:p>
    <w:p w:rsidR="00970750" w:rsidRPr="00651642" w:rsidRDefault="002B1D7F" w:rsidP="00826C42">
      <w:pPr>
        <w:pStyle w:val="NoSpacing"/>
        <w:rPr>
          <w:rFonts w:cs="Arial"/>
          <w:lang w:val="en-ZA"/>
        </w:rPr>
      </w:pPr>
      <w:r w:rsidRPr="00651642">
        <w:rPr>
          <w:rFonts w:cs="Arial"/>
          <w:lang w:val="en-ZA"/>
        </w:rPr>
        <w:t>The purpose of the project was to show experience of gas pricing in Europe and the US.  The results exceeded expectations</w:t>
      </w:r>
      <w:r w:rsidR="003C055F" w:rsidRPr="00651642">
        <w:rPr>
          <w:rFonts w:cs="Arial"/>
          <w:lang w:val="en-ZA"/>
        </w:rPr>
        <w:t xml:space="preserve">, </w:t>
      </w:r>
      <w:r w:rsidR="003C055F">
        <w:rPr>
          <w:rFonts w:cs="Arial"/>
          <w:lang w:val="en-ZA"/>
        </w:rPr>
        <w:t>and</w:t>
      </w:r>
      <w:r w:rsidR="00813D52">
        <w:rPr>
          <w:rFonts w:cs="Arial"/>
          <w:lang w:val="en-ZA"/>
        </w:rPr>
        <w:t xml:space="preserve"> as a result of the success of the project, the oil and gas department of the NEA</w:t>
      </w:r>
      <w:r w:rsidR="00600C5B">
        <w:rPr>
          <w:rFonts w:cs="Arial"/>
          <w:lang w:val="en-ZA"/>
        </w:rPr>
        <w:t xml:space="preserve"> (the main beneficiary</w:t>
      </w:r>
      <w:r w:rsidR="003C055F">
        <w:rPr>
          <w:rFonts w:cs="Arial"/>
          <w:lang w:val="en-ZA"/>
        </w:rPr>
        <w:t>) asked</w:t>
      </w:r>
      <w:r w:rsidR="00813D52">
        <w:rPr>
          <w:rFonts w:cs="Arial"/>
          <w:lang w:val="en-ZA"/>
        </w:rPr>
        <w:t xml:space="preserve"> the Embassy to conduct a prosperity project analysing China’s shale gas policy</w:t>
      </w:r>
      <w:r w:rsidRPr="00651642">
        <w:rPr>
          <w:rFonts w:cs="Arial"/>
          <w:lang w:val="en-ZA"/>
        </w:rPr>
        <w:t>.  This project came about as a result of China’s 12</w:t>
      </w:r>
      <w:r w:rsidRPr="00651642">
        <w:rPr>
          <w:rFonts w:cs="Arial"/>
          <w:vertAlign w:val="superscript"/>
          <w:lang w:val="en-ZA"/>
        </w:rPr>
        <w:t>th</w:t>
      </w:r>
      <w:r w:rsidRPr="00651642">
        <w:rPr>
          <w:rFonts w:cs="Arial"/>
          <w:lang w:val="en-ZA"/>
        </w:rPr>
        <w:t xml:space="preserve"> 5 year plan to accelerate the growth of natural gas.  </w:t>
      </w:r>
      <w:r w:rsidR="00C141DF" w:rsidRPr="00651642">
        <w:rPr>
          <w:rFonts w:cs="Arial"/>
          <w:lang w:val="en-ZA"/>
        </w:rPr>
        <w:t>The conclusion</w:t>
      </w:r>
      <w:r w:rsidR="00716BCC" w:rsidRPr="00651642">
        <w:rPr>
          <w:rFonts w:cs="Arial"/>
          <w:lang w:val="en-ZA"/>
        </w:rPr>
        <w:t>s</w:t>
      </w:r>
      <w:r w:rsidR="00C141DF" w:rsidRPr="00651642">
        <w:rPr>
          <w:rFonts w:cs="Arial"/>
          <w:lang w:val="en-ZA"/>
        </w:rPr>
        <w:t xml:space="preserve"> and suggestion</w:t>
      </w:r>
      <w:r w:rsidR="00716BCC" w:rsidRPr="00651642">
        <w:rPr>
          <w:rFonts w:cs="Arial"/>
          <w:lang w:val="en-ZA"/>
        </w:rPr>
        <w:t>s</w:t>
      </w:r>
      <w:r w:rsidR="00C141DF" w:rsidRPr="00651642">
        <w:rPr>
          <w:rFonts w:cs="Arial"/>
          <w:lang w:val="en-ZA"/>
        </w:rPr>
        <w:t xml:space="preserve"> the report </w:t>
      </w:r>
      <w:r w:rsidR="00651642">
        <w:rPr>
          <w:rFonts w:cs="Arial"/>
          <w:lang w:val="en-ZA"/>
        </w:rPr>
        <w:t>made</w:t>
      </w:r>
      <w:r w:rsidR="00C141DF" w:rsidRPr="00651642">
        <w:rPr>
          <w:rFonts w:cs="Arial"/>
          <w:lang w:val="en-ZA"/>
        </w:rPr>
        <w:t xml:space="preserve"> also </w:t>
      </w:r>
      <w:r w:rsidR="00651642">
        <w:rPr>
          <w:rFonts w:cs="Arial"/>
          <w:lang w:val="en-ZA"/>
        </w:rPr>
        <w:t xml:space="preserve">started a </w:t>
      </w:r>
      <w:r w:rsidR="00C141DF" w:rsidRPr="00651642">
        <w:rPr>
          <w:rFonts w:cs="Arial"/>
          <w:lang w:val="en-ZA"/>
        </w:rPr>
        <w:t xml:space="preserve">debate </w:t>
      </w:r>
      <w:r w:rsidR="00651642">
        <w:rPr>
          <w:rFonts w:cs="Arial"/>
          <w:lang w:val="en-ZA"/>
        </w:rPr>
        <w:t xml:space="preserve">amongst </w:t>
      </w:r>
      <w:r w:rsidR="00C141DF" w:rsidRPr="00651642">
        <w:rPr>
          <w:rFonts w:cs="Arial"/>
          <w:lang w:val="en-ZA"/>
        </w:rPr>
        <w:t xml:space="preserve">Chinese policy makers </w:t>
      </w:r>
      <w:r w:rsidR="00651642">
        <w:rPr>
          <w:rFonts w:cs="Arial"/>
          <w:lang w:val="en-ZA"/>
        </w:rPr>
        <w:t xml:space="preserve">about </w:t>
      </w:r>
      <w:r w:rsidR="00C141DF" w:rsidRPr="00651642">
        <w:rPr>
          <w:rFonts w:cs="Arial"/>
          <w:lang w:val="en-ZA"/>
        </w:rPr>
        <w:t xml:space="preserve">how to </w:t>
      </w:r>
      <w:r w:rsidR="00813D52">
        <w:rPr>
          <w:rFonts w:cs="Arial"/>
          <w:lang w:val="en-ZA"/>
        </w:rPr>
        <w:t>implement the recommendations as</w:t>
      </w:r>
      <w:r w:rsidR="00C141DF" w:rsidRPr="00651642">
        <w:rPr>
          <w:rFonts w:cs="Arial"/>
          <w:lang w:val="en-ZA"/>
        </w:rPr>
        <w:t xml:space="preserve"> policies. </w:t>
      </w:r>
      <w:r w:rsidR="00AD7C03" w:rsidRPr="00651642">
        <w:rPr>
          <w:rFonts w:cs="Arial"/>
          <w:lang w:val="en-ZA"/>
        </w:rPr>
        <w:t xml:space="preserve"> So </w:t>
      </w:r>
      <w:r w:rsidRPr="00651642">
        <w:rPr>
          <w:rFonts w:cs="Arial"/>
          <w:lang w:val="en-ZA"/>
        </w:rPr>
        <w:t xml:space="preserve">the results of this project will be sustainable in the longer term.  </w:t>
      </w:r>
    </w:p>
    <w:p w:rsidR="002B1D7F" w:rsidRDefault="002B1D7F" w:rsidP="00826C42">
      <w:pPr>
        <w:pStyle w:val="NoSpacing"/>
        <w:rPr>
          <w:rFonts w:cs="Arial"/>
          <w:lang w:val="en-ZA"/>
        </w:rPr>
      </w:pPr>
    </w:p>
    <w:p w:rsidR="0076558C" w:rsidRPr="00651642" w:rsidRDefault="0076558C" w:rsidP="00826C42">
      <w:pPr>
        <w:pStyle w:val="NoSpacing"/>
        <w:rPr>
          <w:rFonts w:cs="Arial"/>
          <w:lang w:val="en-ZA"/>
        </w:rPr>
      </w:pPr>
    </w:p>
    <w:p w:rsidR="006B6144" w:rsidRPr="00651642" w:rsidRDefault="006B6144" w:rsidP="00826C42">
      <w:pPr>
        <w:pStyle w:val="NoSpacing"/>
        <w:rPr>
          <w:rFonts w:cs="Arial"/>
          <w:b/>
          <w:sz w:val="24"/>
          <w:szCs w:val="24"/>
          <w:lang w:val="en-ZA"/>
        </w:rPr>
      </w:pPr>
      <w:r w:rsidRPr="00651642">
        <w:rPr>
          <w:rFonts w:cs="Arial"/>
          <w:b/>
          <w:sz w:val="24"/>
          <w:szCs w:val="24"/>
          <w:lang w:val="en-ZA"/>
        </w:rPr>
        <w:t>Impact</w:t>
      </w:r>
    </w:p>
    <w:p w:rsidR="00C141DF" w:rsidRPr="00651642" w:rsidRDefault="002B1D7F" w:rsidP="00B927BE">
      <w:pPr>
        <w:pStyle w:val="NoSpacing"/>
        <w:rPr>
          <w:rFonts w:cs="Arial"/>
        </w:rPr>
      </w:pPr>
      <w:proofErr w:type="gramStart"/>
      <w:r w:rsidRPr="00651642">
        <w:rPr>
          <w:rFonts w:cs="Arial"/>
          <w:lang w:val="en-ZA"/>
        </w:rPr>
        <w:t xml:space="preserve">This project, “far exceeded expectations”, and the report, </w:t>
      </w:r>
      <w:r w:rsidR="002D42F8" w:rsidRPr="00651642">
        <w:rPr>
          <w:rFonts w:cs="Arial"/>
          <w:lang w:val="en-ZA"/>
        </w:rPr>
        <w:t>“now sits on everyone’s desk”</w:t>
      </w:r>
      <w:r w:rsidR="00965176">
        <w:rPr>
          <w:rFonts w:cs="Arial"/>
          <w:lang w:val="en-ZA"/>
        </w:rPr>
        <w:t>.</w:t>
      </w:r>
      <w:proofErr w:type="gramEnd"/>
      <w:r w:rsidR="00965176">
        <w:rPr>
          <w:rFonts w:cs="Arial"/>
          <w:lang w:val="en-ZA"/>
        </w:rPr>
        <w:t xml:space="preserve">  T</w:t>
      </w:r>
      <w:r w:rsidR="00651642">
        <w:rPr>
          <w:rFonts w:cs="Arial"/>
          <w:lang w:val="en-ZA"/>
        </w:rPr>
        <w:t xml:space="preserve">wo quotes from </w:t>
      </w:r>
      <w:r w:rsidRPr="00651642">
        <w:rPr>
          <w:rFonts w:cs="Arial"/>
          <w:lang w:val="en-ZA"/>
        </w:rPr>
        <w:t xml:space="preserve">Mr Yang Lei </w:t>
      </w:r>
      <w:r w:rsidR="00651642">
        <w:rPr>
          <w:rFonts w:cs="Arial"/>
          <w:lang w:val="en-ZA"/>
        </w:rPr>
        <w:t>of t</w:t>
      </w:r>
      <w:r w:rsidRPr="00651642">
        <w:rPr>
          <w:rFonts w:cs="Arial"/>
          <w:lang w:val="en-ZA"/>
        </w:rPr>
        <w:t>he NEA, the main beneficiary of this project.</w:t>
      </w:r>
      <w:r w:rsidR="00B927BE" w:rsidRPr="00651642">
        <w:rPr>
          <w:rFonts w:cs="Arial"/>
          <w:lang w:val="en-ZA"/>
        </w:rPr>
        <w:t xml:space="preserve">  </w:t>
      </w:r>
      <w:r w:rsidR="00C141DF" w:rsidRPr="00651642">
        <w:rPr>
          <w:rFonts w:cs="Arial"/>
        </w:rPr>
        <w:t xml:space="preserve">He said that </w:t>
      </w:r>
      <w:r w:rsidR="00AD7C03" w:rsidRPr="00651642">
        <w:rPr>
          <w:rFonts w:cs="Arial"/>
        </w:rPr>
        <w:t>“</w:t>
      </w:r>
      <w:r w:rsidR="00C141DF" w:rsidRPr="00651642">
        <w:rPr>
          <w:rFonts w:cs="Arial"/>
          <w:b/>
          <w:bCs/>
        </w:rPr>
        <w:t>he had read the report many times</w:t>
      </w:r>
      <w:r w:rsidR="00AD7C03" w:rsidRPr="00651642">
        <w:rPr>
          <w:rFonts w:cs="Arial"/>
          <w:b/>
          <w:bCs/>
        </w:rPr>
        <w:t>”</w:t>
      </w:r>
      <w:r w:rsidR="00C141DF" w:rsidRPr="00651642">
        <w:rPr>
          <w:rFonts w:cs="Arial"/>
        </w:rPr>
        <w:t xml:space="preserve"> and </w:t>
      </w:r>
      <w:r w:rsidR="00AD7C03" w:rsidRPr="00651642">
        <w:rPr>
          <w:rFonts w:cs="Arial"/>
        </w:rPr>
        <w:t>“</w:t>
      </w:r>
      <w:r w:rsidR="00C141DF" w:rsidRPr="00651642">
        <w:rPr>
          <w:rFonts w:cs="Arial"/>
          <w:b/>
          <w:bCs/>
        </w:rPr>
        <w:t>nearly all of the policy recommendations in the report had been implemented</w:t>
      </w:r>
      <w:r w:rsidR="00AD7C03" w:rsidRPr="00651642">
        <w:rPr>
          <w:rFonts w:cs="Arial"/>
          <w:b/>
          <w:bCs/>
        </w:rPr>
        <w:t>”</w:t>
      </w:r>
      <w:r w:rsidR="00C141DF" w:rsidRPr="00651642">
        <w:rPr>
          <w:rFonts w:cs="Arial"/>
        </w:rPr>
        <w:t>.</w:t>
      </w:r>
    </w:p>
    <w:p w:rsidR="00C141DF" w:rsidRPr="00651642" w:rsidRDefault="00C141DF" w:rsidP="00C141DF">
      <w:pPr>
        <w:rPr>
          <w:rFonts w:cs="Arial"/>
        </w:rPr>
      </w:pPr>
    </w:p>
    <w:p w:rsidR="00813D52" w:rsidRPr="00651642" w:rsidRDefault="00813D52" w:rsidP="00813D52">
      <w:pPr>
        <w:pStyle w:val="NoSpacing"/>
        <w:rPr>
          <w:rFonts w:cs="Arial"/>
        </w:rPr>
      </w:pPr>
      <w:r w:rsidRPr="00651642">
        <w:rPr>
          <w:rFonts w:cs="Arial"/>
        </w:rPr>
        <w:t xml:space="preserve">The project workshops had helped to identify key problems and the report’s recommendations had helped to accelerate China’s policy of increasing gas as part of the energy mix, away from coal. </w:t>
      </w:r>
    </w:p>
    <w:p w:rsidR="00813D52" w:rsidRPr="00651642" w:rsidRDefault="00813D52" w:rsidP="00813D52">
      <w:pPr>
        <w:rPr>
          <w:rFonts w:cs="Arial"/>
        </w:rPr>
      </w:pPr>
    </w:p>
    <w:p w:rsidR="00813D52" w:rsidRPr="00651642" w:rsidRDefault="00813D52" w:rsidP="00813D52">
      <w:pPr>
        <w:pStyle w:val="NoSpacing"/>
        <w:rPr>
          <w:rFonts w:cs="Arial"/>
        </w:rPr>
      </w:pPr>
    </w:p>
    <w:p w:rsidR="006B6144" w:rsidRPr="00651642" w:rsidRDefault="006B6144" w:rsidP="00826C42">
      <w:pPr>
        <w:pStyle w:val="NoSpacing"/>
        <w:rPr>
          <w:rFonts w:cs="Arial"/>
          <w:b/>
          <w:sz w:val="24"/>
          <w:szCs w:val="24"/>
          <w:lang w:val="en-ZA"/>
        </w:rPr>
      </w:pPr>
      <w:r w:rsidRPr="00651642">
        <w:rPr>
          <w:rFonts w:cs="Arial"/>
          <w:b/>
          <w:sz w:val="24"/>
          <w:szCs w:val="24"/>
          <w:lang w:val="en-ZA"/>
        </w:rPr>
        <w:t>Project Management</w:t>
      </w:r>
    </w:p>
    <w:p w:rsidR="00DB57CF" w:rsidRDefault="002B1D7F" w:rsidP="00DB57CF">
      <w:pPr>
        <w:pStyle w:val="NoSpacing"/>
        <w:rPr>
          <w:rFonts w:cs="Arial"/>
          <w:lang w:val="en-ZA"/>
        </w:rPr>
      </w:pPr>
      <w:r w:rsidRPr="00651642">
        <w:rPr>
          <w:rFonts w:cs="Arial"/>
          <w:lang w:val="en-ZA"/>
        </w:rPr>
        <w:t xml:space="preserve">We the evaluators considered this project well managed with the project coming in on budget and with little activity to unnecessarily inflate the budget.  </w:t>
      </w:r>
      <w:proofErr w:type="gramStart"/>
      <w:r w:rsidRPr="00651642">
        <w:rPr>
          <w:rFonts w:cs="Arial"/>
          <w:lang w:val="en-ZA"/>
        </w:rPr>
        <w:t>Post have confirmed that quarterly reports were submitted on time</w:t>
      </w:r>
      <w:r w:rsidR="00651642">
        <w:rPr>
          <w:rFonts w:cs="Arial"/>
          <w:lang w:val="en-ZA"/>
        </w:rPr>
        <w:t>.</w:t>
      </w:r>
      <w:proofErr w:type="gramEnd"/>
      <w:r w:rsidR="00651642">
        <w:rPr>
          <w:rFonts w:cs="Arial"/>
          <w:lang w:val="en-ZA"/>
        </w:rPr>
        <w:t xml:space="preserve">  I</w:t>
      </w:r>
      <w:r w:rsidRPr="00651642">
        <w:rPr>
          <w:rFonts w:cs="Arial"/>
          <w:lang w:val="en-ZA"/>
        </w:rPr>
        <w:t xml:space="preserve">n preparation for this evaluation, we checked the project completion report against the original proposal.  The only difficulty </w:t>
      </w:r>
      <w:r w:rsidR="00651642">
        <w:rPr>
          <w:rFonts w:cs="Arial"/>
          <w:lang w:val="en-ZA"/>
        </w:rPr>
        <w:t xml:space="preserve">during the project </w:t>
      </w:r>
      <w:r w:rsidRPr="00651642">
        <w:rPr>
          <w:rFonts w:cs="Arial"/>
          <w:lang w:val="en-ZA"/>
        </w:rPr>
        <w:t xml:space="preserve">came with visas for the European fact finding mission.  </w:t>
      </w:r>
    </w:p>
    <w:p w:rsidR="00625629" w:rsidRPr="00651642" w:rsidRDefault="00625629" w:rsidP="00DB57CF">
      <w:pPr>
        <w:pStyle w:val="NoSpacing"/>
        <w:rPr>
          <w:rFonts w:cs="Arial"/>
          <w:color w:val="000000"/>
          <w:sz w:val="24"/>
          <w:szCs w:val="24"/>
          <w:lang w:eastAsia="zh-CN"/>
        </w:rPr>
      </w:pPr>
    </w:p>
    <w:p w:rsidR="00DB57CF" w:rsidRPr="00651642" w:rsidRDefault="00DB57CF" w:rsidP="00DB57CF">
      <w:pPr>
        <w:pStyle w:val="NoSpacing"/>
        <w:rPr>
          <w:rFonts w:cs="Arial"/>
          <w:color w:val="000000"/>
          <w:lang w:eastAsia="zh-CN"/>
        </w:rPr>
      </w:pPr>
      <w:r w:rsidRPr="00651642">
        <w:rPr>
          <w:rFonts w:cs="Arial"/>
          <w:color w:val="000000"/>
          <w:lang w:eastAsia="zh-CN"/>
        </w:rPr>
        <w:t xml:space="preserve">The IEA’s role in this project </w:t>
      </w:r>
      <w:r w:rsidR="00AD7C03" w:rsidRPr="00651642">
        <w:rPr>
          <w:rFonts w:cs="Arial"/>
          <w:color w:val="000000"/>
          <w:lang w:eastAsia="zh-CN"/>
        </w:rPr>
        <w:t>was</w:t>
      </w:r>
      <w:r w:rsidRPr="00651642">
        <w:rPr>
          <w:rFonts w:cs="Arial"/>
          <w:color w:val="000000"/>
          <w:lang w:eastAsia="zh-CN"/>
        </w:rPr>
        <w:t xml:space="preserve"> to develop the project, organize all </w:t>
      </w:r>
      <w:r w:rsidR="00452790" w:rsidRPr="00651642">
        <w:rPr>
          <w:rFonts w:cs="Arial"/>
          <w:color w:val="000000"/>
          <w:lang w:eastAsia="zh-CN"/>
        </w:rPr>
        <w:t xml:space="preserve">the </w:t>
      </w:r>
      <w:r w:rsidRPr="00651642">
        <w:rPr>
          <w:rFonts w:cs="Arial"/>
          <w:color w:val="000000"/>
          <w:lang w:eastAsia="zh-CN"/>
        </w:rPr>
        <w:t>workshop</w:t>
      </w:r>
      <w:r w:rsidR="00452790" w:rsidRPr="00651642">
        <w:rPr>
          <w:rFonts w:cs="Arial"/>
          <w:color w:val="000000"/>
          <w:lang w:eastAsia="zh-CN"/>
        </w:rPr>
        <w:t>s</w:t>
      </w:r>
      <w:r w:rsidRPr="00651642">
        <w:rPr>
          <w:rFonts w:cs="Arial"/>
          <w:color w:val="000000"/>
          <w:lang w:eastAsia="zh-CN"/>
        </w:rPr>
        <w:t xml:space="preserve"> and make them happen. </w:t>
      </w:r>
      <w:r w:rsidR="00452790" w:rsidRPr="00651642">
        <w:rPr>
          <w:rFonts w:cs="Arial"/>
          <w:color w:val="000000"/>
          <w:lang w:eastAsia="zh-CN"/>
        </w:rPr>
        <w:t xml:space="preserve"> </w:t>
      </w:r>
      <w:r w:rsidRPr="00651642">
        <w:rPr>
          <w:rFonts w:cs="Arial"/>
          <w:color w:val="000000"/>
          <w:lang w:eastAsia="zh-CN"/>
        </w:rPr>
        <w:t>China5e</w:t>
      </w:r>
      <w:r w:rsidR="00716BCC" w:rsidRPr="00651642">
        <w:rPr>
          <w:rFonts w:cs="Arial"/>
          <w:color w:val="000000"/>
          <w:lang w:eastAsia="zh-CN"/>
        </w:rPr>
        <w:t>,</w:t>
      </w:r>
      <w:r w:rsidR="00813D52">
        <w:rPr>
          <w:rFonts w:cs="Arial"/>
          <w:color w:val="000000"/>
          <w:lang w:eastAsia="zh-CN"/>
        </w:rPr>
        <w:t xml:space="preserve"> who were recommended by the NEA to</w:t>
      </w:r>
      <w:r w:rsidRPr="00651642">
        <w:rPr>
          <w:rFonts w:cs="Arial"/>
          <w:color w:val="000000"/>
          <w:lang w:eastAsia="zh-CN"/>
        </w:rPr>
        <w:t xml:space="preserve"> </w:t>
      </w:r>
      <w:r w:rsidR="00452790" w:rsidRPr="00651642">
        <w:rPr>
          <w:rFonts w:cs="Arial"/>
          <w:color w:val="000000"/>
          <w:lang w:eastAsia="zh-CN"/>
        </w:rPr>
        <w:t>co-implement</w:t>
      </w:r>
      <w:r w:rsidR="00813D52">
        <w:rPr>
          <w:rFonts w:cs="Arial"/>
          <w:color w:val="000000"/>
          <w:lang w:eastAsia="zh-CN"/>
        </w:rPr>
        <w:t xml:space="preserve"> the project</w:t>
      </w:r>
      <w:r w:rsidR="00452790" w:rsidRPr="00651642">
        <w:rPr>
          <w:rFonts w:cs="Arial"/>
          <w:color w:val="000000"/>
          <w:lang w:eastAsia="zh-CN"/>
        </w:rPr>
        <w:t>, were</w:t>
      </w:r>
      <w:r w:rsidRPr="00651642">
        <w:rPr>
          <w:rFonts w:cs="Arial"/>
          <w:color w:val="000000"/>
          <w:lang w:eastAsia="zh-CN"/>
        </w:rPr>
        <w:t xml:space="preserve"> very useful during the event organization. </w:t>
      </w:r>
      <w:r w:rsidR="00452790" w:rsidRPr="00651642">
        <w:rPr>
          <w:rFonts w:cs="Arial"/>
          <w:color w:val="000000"/>
          <w:lang w:eastAsia="zh-CN"/>
        </w:rPr>
        <w:t xml:space="preserve"> </w:t>
      </w:r>
      <w:r w:rsidRPr="00651642">
        <w:rPr>
          <w:rFonts w:cs="Arial"/>
          <w:color w:val="000000"/>
          <w:lang w:eastAsia="zh-CN"/>
        </w:rPr>
        <w:t>China5e ha</w:t>
      </w:r>
      <w:r w:rsidR="00452790" w:rsidRPr="00651642">
        <w:rPr>
          <w:rFonts w:cs="Arial"/>
          <w:color w:val="000000"/>
          <w:lang w:eastAsia="zh-CN"/>
        </w:rPr>
        <w:t>d</w:t>
      </w:r>
      <w:r w:rsidRPr="00651642">
        <w:rPr>
          <w:rFonts w:cs="Arial"/>
          <w:color w:val="000000"/>
          <w:lang w:eastAsia="zh-CN"/>
        </w:rPr>
        <w:t xml:space="preserve"> limited input </w:t>
      </w:r>
      <w:r w:rsidR="00452790" w:rsidRPr="00651642">
        <w:rPr>
          <w:rFonts w:cs="Arial"/>
          <w:color w:val="000000"/>
          <w:lang w:eastAsia="zh-CN"/>
        </w:rPr>
        <w:t>in</w:t>
      </w:r>
      <w:r w:rsidRPr="00651642">
        <w:rPr>
          <w:rFonts w:cs="Arial"/>
          <w:color w:val="000000"/>
          <w:lang w:eastAsia="zh-CN"/>
        </w:rPr>
        <w:t xml:space="preserve"> writing the report and their staff chang</w:t>
      </w:r>
      <w:r w:rsidR="00452790" w:rsidRPr="00651642">
        <w:rPr>
          <w:rFonts w:cs="Arial"/>
          <w:color w:val="000000"/>
          <w:lang w:eastAsia="zh-CN"/>
        </w:rPr>
        <w:t xml:space="preserve">es during the project </w:t>
      </w:r>
      <w:r w:rsidRPr="00651642">
        <w:rPr>
          <w:rFonts w:cs="Arial"/>
          <w:color w:val="000000"/>
          <w:lang w:eastAsia="zh-CN"/>
        </w:rPr>
        <w:t>weak</w:t>
      </w:r>
      <w:r w:rsidR="00452790" w:rsidRPr="00651642">
        <w:rPr>
          <w:rFonts w:cs="Arial"/>
          <w:color w:val="000000"/>
          <w:lang w:eastAsia="zh-CN"/>
        </w:rPr>
        <w:t>ened</w:t>
      </w:r>
      <w:r w:rsidRPr="00651642">
        <w:rPr>
          <w:rFonts w:cs="Arial"/>
          <w:color w:val="000000"/>
          <w:lang w:eastAsia="zh-CN"/>
        </w:rPr>
        <w:t xml:space="preserve"> their efficiency.</w:t>
      </w:r>
    </w:p>
    <w:p w:rsidR="00DB57CF" w:rsidRPr="00651642" w:rsidRDefault="00DB57CF" w:rsidP="00DB57CF">
      <w:pPr>
        <w:pStyle w:val="NoSpacing"/>
        <w:rPr>
          <w:rFonts w:cs="Arial"/>
          <w:color w:val="000000"/>
          <w:lang w:eastAsia="zh-CN"/>
        </w:rPr>
      </w:pPr>
    </w:p>
    <w:p w:rsidR="00965176" w:rsidRDefault="00965176" w:rsidP="00965176">
      <w:pPr>
        <w:pStyle w:val="NoSpacing"/>
        <w:rPr>
          <w:color w:val="000000"/>
          <w:sz w:val="24"/>
          <w:szCs w:val="24"/>
        </w:rPr>
      </w:pPr>
      <w:r>
        <w:rPr>
          <w:color w:val="000000"/>
        </w:rPr>
        <w:t>From the IEA side, it was hard for them to hold as many daily conversation</w:t>
      </w:r>
      <w:r w:rsidR="003C055F">
        <w:rPr>
          <w:color w:val="000000"/>
        </w:rPr>
        <w:t>s</w:t>
      </w:r>
      <w:r>
        <w:rPr>
          <w:color w:val="000000"/>
        </w:rPr>
        <w:t xml:space="preserve"> with NEA officers as they wished.  They also hoped to have more frequent workshops.  For a similar project, IEA thought it would be better to have a project longer than 1 year.  But the project showed value for money in that it offered both sides some good experience and the opportunity for mutually beneficial contact</w:t>
      </w:r>
      <w:r>
        <w:rPr>
          <w:color w:val="000000"/>
          <w:sz w:val="24"/>
          <w:szCs w:val="24"/>
        </w:rPr>
        <w:t>.</w:t>
      </w:r>
    </w:p>
    <w:p w:rsidR="00DB57CF" w:rsidRPr="00651642" w:rsidRDefault="00DB57CF" w:rsidP="00826C42">
      <w:pPr>
        <w:pStyle w:val="NoSpacing"/>
        <w:rPr>
          <w:rFonts w:cs="Arial"/>
          <w:lang w:val="en-ZA"/>
        </w:rPr>
      </w:pPr>
    </w:p>
    <w:p w:rsidR="00965176" w:rsidRDefault="00965176" w:rsidP="00826C42">
      <w:pPr>
        <w:pStyle w:val="NoSpacing"/>
        <w:rPr>
          <w:rFonts w:cs="Arial"/>
          <w:b/>
          <w:sz w:val="24"/>
          <w:szCs w:val="24"/>
          <w:lang w:val="en-ZA"/>
        </w:rPr>
      </w:pPr>
    </w:p>
    <w:p w:rsidR="005951D0" w:rsidRPr="00651642" w:rsidRDefault="005951D0" w:rsidP="00826C42">
      <w:pPr>
        <w:pStyle w:val="NoSpacing"/>
        <w:rPr>
          <w:rFonts w:cs="Arial"/>
          <w:b/>
          <w:sz w:val="24"/>
          <w:szCs w:val="24"/>
          <w:lang w:val="en-ZA"/>
        </w:rPr>
      </w:pPr>
      <w:r w:rsidRPr="00651642">
        <w:rPr>
          <w:rFonts w:cs="Arial"/>
          <w:b/>
          <w:sz w:val="24"/>
          <w:szCs w:val="24"/>
          <w:lang w:val="en-ZA"/>
        </w:rPr>
        <w:t>Main Lessons Learned</w:t>
      </w:r>
      <w:r w:rsidR="005235D3" w:rsidRPr="00651642">
        <w:rPr>
          <w:rFonts w:cs="Arial"/>
          <w:b/>
          <w:sz w:val="24"/>
          <w:szCs w:val="24"/>
          <w:lang w:val="en-ZA"/>
        </w:rPr>
        <w:t xml:space="preserve"> </w:t>
      </w:r>
    </w:p>
    <w:p w:rsidR="004644CA" w:rsidRPr="00651642" w:rsidRDefault="000E7855" w:rsidP="00826C42">
      <w:pPr>
        <w:pStyle w:val="NoSpacing"/>
        <w:rPr>
          <w:rFonts w:cs="Arial"/>
          <w:lang w:val="en-ZA"/>
        </w:rPr>
      </w:pPr>
      <w:r w:rsidRPr="00651642">
        <w:rPr>
          <w:rFonts w:cs="Arial"/>
          <w:lang w:val="en-ZA"/>
        </w:rPr>
        <w:t xml:space="preserve">One </w:t>
      </w:r>
      <w:r w:rsidR="00452790" w:rsidRPr="00651642">
        <w:rPr>
          <w:rFonts w:cs="Arial"/>
          <w:lang w:val="en-ZA"/>
        </w:rPr>
        <w:t xml:space="preserve">member </w:t>
      </w:r>
      <w:r w:rsidRPr="00651642">
        <w:rPr>
          <w:rFonts w:cs="Arial"/>
          <w:lang w:val="en-ZA"/>
        </w:rPr>
        <w:t>of the delegation was</w:t>
      </w:r>
      <w:r w:rsidR="00452790" w:rsidRPr="00651642">
        <w:rPr>
          <w:rFonts w:cs="Arial"/>
          <w:lang w:val="en-ZA"/>
        </w:rPr>
        <w:t xml:space="preserve"> unable to </w:t>
      </w:r>
      <w:r w:rsidR="00B927BE" w:rsidRPr="00651642">
        <w:rPr>
          <w:rFonts w:cs="Arial"/>
          <w:lang w:val="en-ZA"/>
        </w:rPr>
        <w:t>obtain</w:t>
      </w:r>
      <w:r w:rsidRPr="00651642">
        <w:rPr>
          <w:rFonts w:cs="Arial"/>
          <w:lang w:val="en-ZA"/>
        </w:rPr>
        <w:t xml:space="preserve"> </w:t>
      </w:r>
      <w:r w:rsidR="00452790" w:rsidRPr="00651642">
        <w:rPr>
          <w:rFonts w:cs="Arial"/>
          <w:lang w:val="en-ZA"/>
        </w:rPr>
        <w:t xml:space="preserve">a </w:t>
      </w:r>
      <w:r w:rsidRPr="00651642">
        <w:rPr>
          <w:rFonts w:cs="Arial"/>
          <w:lang w:val="en-ZA"/>
        </w:rPr>
        <w:t>v</w:t>
      </w:r>
      <w:r w:rsidR="004644CA" w:rsidRPr="00651642">
        <w:rPr>
          <w:rFonts w:cs="Arial"/>
          <w:lang w:val="en-ZA"/>
        </w:rPr>
        <w:t>isa</w:t>
      </w:r>
      <w:r w:rsidR="00452790" w:rsidRPr="00651642">
        <w:rPr>
          <w:rFonts w:cs="Arial"/>
          <w:lang w:val="en-ZA"/>
        </w:rPr>
        <w:t xml:space="preserve"> to the UK,</w:t>
      </w:r>
      <w:r w:rsidRPr="00651642">
        <w:rPr>
          <w:rFonts w:cs="Arial"/>
          <w:lang w:val="en-ZA"/>
        </w:rPr>
        <w:t xml:space="preserve"> so </w:t>
      </w:r>
      <w:r w:rsidR="00452790" w:rsidRPr="00651642">
        <w:rPr>
          <w:rFonts w:cs="Arial"/>
          <w:lang w:val="en-ZA"/>
        </w:rPr>
        <w:t>was</w:t>
      </w:r>
      <w:r w:rsidR="00B927BE" w:rsidRPr="00651642">
        <w:rPr>
          <w:rFonts w:cs="Arial"/>
          <w:lang w:val="en-ZA"/>
        </w:rPr>
        <w:t xml:space="preserve"> </w:t>
      </w:r>
      <w:r w:rsidRPr="00651642">
        <w:rPr>
          <w:rFonts w:cs="Arial"/>
          <w:lang w:val="en-ZA"/>
        </w:rPr>
        <w:t xml:space="preserve">only </w:t>
      </w:r>
      <w:r w:rsidR="00452790" w:rsidRPr="00651642">
        <w:rPr>
          <w:rFonts w:cs="Arial"/>
          <w:lang w:val="en-ZA"/>
        </w:rPr>
        <w:t xml:space="preserve">able to </w:t>
      </w:r>
      <w:r w:rsidRPr="00651642">
        <w:rPr>
          <w:rFonts w:cs="Arial"/>
          <w:lang w:val="en-ZA"/>
        </w:rPr>
        <w:t xml:space="preserve">join half of the trip. </w:t>
      </w:r>
      <w:r w:rsidR="00452790" w:rsidRPr="00651642">
        <w:rPr>
          <w:rFonts w:cs="Arial"/>
          <w:lang w:val="en-ZA"/>
        </w:rPr>
        <w:t xml:space="preserve"> </w:t>
      </w:r>
      <w:r w:rsidRPr="00651642">
        <w:rPr>
          <w:rFonts w:cs="Arial"/>
          <w:lang w:val="en-ZA"/>
        </w:rPr>
        <w:t xml:space="preserve">From </w:t>
      </w:r>
      <w:r w:rsidR="00716BCC" w:rsidRPr="00651642">
        <w:rPr>
          <w:rFonts w:cs="Arial"/>
          <w:lang w:val="en-ZA"/>
        </w:rPr>
        <w:t xml:space="preserve">our </w:t>
      </w:r>
      <w:r w:rsidRPr="00651642">
        <w:rPr>
          <w:rFonts w:cs="Arial"/>
          <w:lang w:val="en-ZA"/>
        </w:rPr>
        <w:t>interview</w:t>
      </w:r>
      <w:r w:rsidR="00716BCC" w:rsidRPr="00651642">
        <w:rPr>
          <w:rFonts w:cs="Arial"/>
          <w:lang w:val="en-ZA"/>
        </w:rPr>
        <w:t>s</w:t>
      </w:r>
      <w:r w:rsidRPr="00651642">
        <w:rPr>
          <w:rFonts w:cs="Arial"/>
          <w:lang w:val="en-ZA"/>
        </w:rPr>
        <w:t xml:space="preserve">, it was hard to tell </w:t>
      </w:r>
      <w:r w:rsidR="00813D52">
        <w:rPr>
          <w:rFonts w:cs="Arial"/>
          <w:lang w:val="en-ZA"/>
        </w:rPr>
        <w:t>who was responsible</w:t>
      </w:r>
      <w:r w:rsidR="008F27C8">
        <w:rPr>
          <w:rFonts w:cs="Arial"/>
          <w:lang w:val="en-ZA"/>
        </w:rPr>
        <w:t xml:space="preserve"> for</w:t>
      </w:r>
      <w:r w:rsidR="00452790" w:rsidRPr="00651642">
        <w:rPr>
          <w:rFonts w:cs="Arial"/>
          <w:lang w:val="en-ZA"/>
        </w:rPr>
        <w:t xml:space="preserve"> </w:t>
      </w:r>
      <w:r w:rsidRPr="00651642">
        <w:rPr>
          <w:rFonts w:cs="Arial"/>
          <w:lang w:val="en-ZA"/>
        </w:rPr>
        <w:t>this</w:t>
      </w:r>
      <w:r w:rsidR="00452790" w:rsidRPr="00651642">
        <w:rPr>
          <w:rFonts w:cs="Arial"/>
          <w:lang w:val="en-ZA"/>
        </w:rPr>
        <w:t>,</w:t>
      </w:r>
      <w:r w:rsidRPr="00651642">
        <w:rPr>
          <w:rFonts w:cs="Arial"/>
          <w:lang w:val="en-ZA"/>
        </w:rPr>
        <w:t xml:space="preserve"> but it did </w:t>
      </w:r>
      <w:r w:rsidR="00452790" w:rsidRPr="00651642">
        <w:rPr>
          <w:rFonts w:cs="Arial"/>
          <w:lang w:val="en-ZA"/>
        </w:rPr>
        <w:t>r</w:t>
      </w:r>
      <w:r w:rsidRPr="00651642">
        <w:rPr>
          <w:rFonts w:cs="Arial"/>
          <w:lang w:val="en-ZA"/>
        </w:rPr>
        <w:t>educe the quality of the delegation.</w:t>
      </w:r>
    </w:p>
    <w:p w:rsidR="000E7855" w:rsidRPr="00651642" w:rsidRDefault="000E7855" w:rsidP="00826C42">
      <w:pPr>
        <w:pStyle w:val="NoSpacing"/>
        <w:rPr>
          <w:rFonts w:cs="Arial"/>
          <w:b/>
          <w:color w:val="FF0000"/>
          <w:lang w:val="en-ZA"/>
        </w:rPr>
      </w:pPr>
    </w:p>
    <w:p w:rsidR="0075370C" w:rsidRPr="00651642" w:rsidRDefault="000E7855" w:rsidP="00826C42">
      <w:pPr>
        <w:pStyle w:val="NoSpacing"/>
        <w:rPr>
          <w:rFonts w:cs="Arial"/>
          <w:lang w:val="en-ZA"/>
        </w:rPr>
      </w:pPr>
      <w:r w:rsidRPr="00651642">
        <w:rPr>
          <w:rFonts w:cs="Arial"/>
          <w:color w:val="000000"/>
          <w:lang w:val="en-ZA"/>
        </w:rPr>
        <w:t xml:space="preserve">This one year project put most of its time </w:t>
      </w:r>
      <w:r w:rsidR="00452790" w:rsidRPr="00651642">
        <w:rPr>
          <w:rFonts w:cs="Arial"/>
          <w:color w:val="000000"/>
          <w:lang w:val="en-ZA"/>
        </w:rPr>
        <w:t xml:space="preserve">into </w:t>
      </w:r>
      <w:r w:rsidR="00650A3A">
        <w:rPr>
          <w:rFonts w:cs="Arial"/>
          <w:color w:val="000000"/>
          <w:lang w:val="en-ZA"/>
        </w:rPr>
        <w:t>holding</w:t>
      </w:r>
      <w:r w:rsidR="00DE6C94" w:rsidRPr="00651642">
        <w:rPr>
          <w:rFonts w:cs="Arial"/>
          <w:color w:val="000000"/>
          <w:lang w:val="en-ZA"/>
        </w:rPr>
        <w:t xml:space="preserve"> expert interview</w:t>
      </w:r>
      <w:r w:rsidR="00452790" w:rsidRPr="00651642">
        <w:rPr>
          <w:rFonts w:cs="Arial"/>
          <w:color w:val="000000"/>
          <w:lang w:val="en-ZA"/>
        </w:rPr>
        <w:t>s</w:t>
      </w:r>
      <w:r w:rsidR="00DE6C94" w:rsidRPr="00651642">
        <w:rPr>
          <w:rFonts w:cs="Arial"/>
          <w:color w:val="000000"/>
          <w:lang w:val="en-ZA"/>
        </w:rPr>
        <w:t xml:space="preserve">, </w:t>
      </w:r>
      <w:r w:rsidR="00650A3A">
        <w:rPr>
          <w:rFonts w:cs="Arial"/>
          <w:color w:val="000000"/>
          <w:lang w:val="en-ZA"/>
        </w:rPr>
        <w:t xml:space="preserve">making </w:t>
      </w:r>
      <w:r w:rsidR="00DE6C94" w:rsidRPr="00651642">
        <w:rPr>
          <w:rFonts w:cs="Arial"/>
          <w:color w:val="000000"/>
          <w:lang w:val="en-ZA"/>
        </w:rPr>
        <w:t>delegation arrangement</w:t>
      </w:r>
      <w:r w:rsidR="00452790" w:rsidRPr="00651642">
        <w:rPr>
          <w:rFonts w:cs="Arial"/>
          <w:color w:val="000000"/>
          <w:lang w:val="en-ZA"/>
        </w:rPr>
        <w:t>s</w:t>
      </w:r>
      <w:r w:rsidR="00DE6C94" w:rsidRPr="00651642">
        <w:rPr>
          <w:rFonts w:cs="Arial"/>
          <w:color w:val="000000"/>
          <w:lang w:val="en-ZA"/>
        </w:rPr>
        <w:t xml:space="preserve"> </w:t>
      </w:r>
      <w:r w:rsidR="00650A3A">
        <w:rPr>
          <w:rFonts w:cs="Arial"/>
          <w:color w:val="000000"/>
          <w:lang w:val="en-ZA"/>
        </w:rPr>
        <w:t xml:space="preserve">for the field trip </w:t>
      </w:r>
      <w:r w:rsidR="005D5160" w:rsidRPr="00651642">
        <w:rPr>
          <w:rFonts w:cs="Arial"/>
          <w:color w:val="000000"/>
          <w:lang w:val="en-ZA"/>
        </w:rPr>
        <w:t xml:space="preserve">and </w:t>
      </w:r>
      <w:r w:rsidR="00650A3A">
        <w:rPr>
          <w:rFonts w:cs="Arial"/>
          <w:color w:val="000000"/>
          <w:lang w:val="en-ZA"/>
        </w:rPr>
        <w:t xml:space="preserve">the final </w:t>
      </w:r>
      <w:r w:rsidR="00452790" w:rsidRPr="00651642">
        <w:rPr>
          <w:rFonts w:cs="Arial"/>
          <w:color w:val="000000"/>
          <w:lang w:val="en-ZA"/>
        </w:rPr>
        <w:t xml:space="preserve">report.  </w:t>
      </w:r>
      <w:r w:rsidRPr="00651642">
        <w:rPr>
          <w:rFonts w:cs="Arial"/>
          <w:color w:val="000000"/>
          <w:lang w:val="en-ZA"/>
        </w:rPr>
        <w:t>But to promote the report</w:t>
      </w:r>
      <w:r w:rsidR="00DE6C94" w:rsidRPr="00651642">
        <w:rPr>
          <w:rFonts w:cs="Arial"/>
          <w:color w:val="000000"/>
          <w:lang w:val="en-ZA"/>
        </w:rPr>
        <w:t xml:space="preserve"> and raise awareness</w:t>
      </w:r>
      <w:r w:rsidRPr="00651642">
        <w:rPr>
          <w:rFonts w:cs="Arial"/>
          <w:color w:val="000000"/>
          <w:lang w:val="en-ZA"/>
        </w:rPr>
        <w:t xml:space="preserve">, </w:t>
      </w:r>
      <w:r w:rsidR="00650A3A">
        <w:rPr>
          <w:rFonts w:cs="Arial"/>
          <w:color w:val="000000"/>
          <w:lang w:val="en-ZA"/>
        </w:rPr>
        <w:t xml:space="preserve">using a </w:t>
      </w:r>
      <w:r w:rsidRPr="00651642">
        <w:rPr>
          <w:rFonts w:cs="Arial"/>
          <w:color w:val="000000"/>
          <w:lang w:val="en-ZA"/>
        </w:rPr>
        <w:t xml:space="preserve">workshop </w:t>
      </w:r>
      <w:r w:rsidR="00650A3A">
        <w:rPr>
          <w:rFonts w:cs="Arial"/>
          <w:color w:val="000000"/>
          <w:lang w:val="en-ZA"/>
        </w:rPr>
        <w:t xml:space="preserve">was </w:t>
      </w:r>
      <w:r w:rsidRPr="00651642">
        <w:rPr>
          <w:rFonts w:cs="Arial"/>
          <w:color w:val="000000"/>
          <w:lang w:val="en-ZA"/>
        </w:rPr>
        <w:t>quite limited.</w:t>
      </w:r>
      <w:r w:rsidR="00DE6C94" w:rsidRPr="00651642">
        <w:rPr>
          <w:rFonts w:cs="Arial"/>
          <w:color w:val="000000"/>
          <w:lang w:val="en-ZA"/>
        </w:rPr>
        <w:t xml:space="preserve"> </w:t>
      </w:r>
      <w:r w:rsidR="00452790" w:rsidRPr="00651642">
        <w:rPr>
          <w:rFonts w:cs="Arial"/>
          <w:color w:val="000000"/>
          <w:lang w:val="en-ZA"/>
        </w:rPr>
        <w:t xml:space="preserve"> </w:t>
      </w:r>
      <w:r w:rsidR="00DE6C94" w:rsidRPr="00651642">
        <w:rPr>
          <w:rFonts w:cs="Arial"/>
          <w:color w:val="000000"/>
          <w:lang w:val="en-ZA"/>
        </w:rPr>
        <w:t xml:space="preserve">Although </w:t>
      </w:r>
      <w:r w:rsidR="008F27C8">
        <w:rPr>
          <w:rFonts w:cs="Arial"/>
          <w:color w:val="000000"/>
          <w:lang w:val="en-ZA"/>
        </w:rPr>
        <w:t xml:space="preserve">Mr DDG </w:t>
      </w:r>
      <w:r w:rsidR="00DE6C94" w:rsidRPr="00651642">
        <w:rPr>
          <w:rFonts w:cs="Arial"/>
          <w:color w:val="000000"/>
          <w:lang w:val="en-ZA"/>
        </w:rPr>
        <w:t>Yang said he read the report many times</w:t>
      </w:r>
      <w:r w:rsidR="00452790" w:rsidRPr="00651642">
        <w:rPr>
          <w:rFonts w:cs="Arial"/>
          <w:color w:val="000000"/>
          <w:lang w:val="en-ZA"/>
        </w:rPr>
        <w:t>,</w:t>
      </w:r>
      <w:r w:rsidR="00DE6C94" w:rsidRPr="00651642">
        <w:rPr>
          <w:rFonts w:cs="Arial"/>
          <w:color w:val="000000"/>
          <w:lang w:val="en-ZA"/>
        </w:rPr>
        <w:t xml:space="preserve"> one expert admit</w:t>
      </w:r>
      <w:r w:rsidR="00452790" w:rsidRPr="00651642">
        <w:rPr>
          <w:rFonts w:cs="Arial"/>
          <w:color w:val="000000"/>
          <w:lang w:val="en-ZA"/>
        </w:rPr>
        <w:t>ted</w:t>
      </w:r>
      <w:r w:rsidR="00DE6C94" w:rsidRPr="00651642">
        <w:rPr>
          <w:rFonts w:cs="Arial"/>
          <w:color w:val="000000"/>
          <w:lang w:val="en-ZA"/>
        </w:rPr>
        <w:t xml:space="preserve"> that he ha</w:t>
      </w:r>
      <w:r w:rsidR="00452790" w:rsidRPr="00651642">
        <w:rPr>
          <w:rFonts w:cs="Arial"/>
          <w:color w:val="000000"/>
          <w:lang w:val="en-ZA"/>
        </w:rPr>
        <w:t>d</w:t>
      </w:r>
      <w:r w:rsidR="00DE6C94" w:rsidRPr="00651642">
        <w:rPr>
          <w:rFonts w:cs="Arial"/>
          <w:color w:val="000000"/>
          <w:lang w:val="en-ZA"/>
        </w:rPr>
        <w:t xml:space="preserve">n’t read them </w:t>
      </w:r>
      <w:r w:rsidR="00650A3A">
        <w:rPr>
          <w:rFonts w:cs="Arial"/>
          <w:color w:val="000000"/>
          <w:lang w:val="en-ZA"/>
        </w:rPr>
        <w:t xml:space="preserve">at </w:t>
      </w:r>
      <w:r w:rsidR="00DE6C94" w:rsidRPr="00651642">
        <w:rPr>
          <w:rFonts w:cs="Arial"/>
          <w:color w:val="000000"/>
          <w:lang w:val="en-ZA"/>
        </w:rPr>
        <w:t>all</w:t>
      </w:r>
      <w:r w:rsidR="00452790" w:rsidRPr="00651642">
        <w:rPr>
          <w:rFonts w:cs="Arial"/>
          <w:color w:val="000000"/>
          <w:lang w:val="en-ZA"/>
        </w:rPr>
        <w:t xml:space="preserve"> despite </w:t>
      </w:r>
      <w:r w:rsidR="00DE6C94" w:rsidRPr="00651642">
        <w:rPr>
          <w:rFonts w:cs="Arial"/>
          <w:color w:val="000000"/>
          <w:lang w:val="en-ZA"/>
        </w:rPr>
        <w:t>particip</w:t>
      </w:r>
      <w:r w:rsidR="00452790" w:rsidRPr="00651642">
        <w:rPr>
          <w:rFonts w:cs="Arial"/>
          <w:color w:val="000000"/>
          <w:lang w:val="en-ZA"/>
        </w:rPr>
        <w:t xml:space="preserve">ating </w:t>
      </w:r>
      <w:r w:rsidR="00DE6C94" w:rsidRPr="00651642">
        <w:rPr>
          <w:rFonts w:cs="Arial"/>
          <w:color w:val="000000"/>
          <w:lang w:val="en-ZA"/>
        </w:rPr>
        <w:t>in the main discussions during the event.</w:t>
      </w:r>
      <w:r w:rsidRPr="00651642">
        <w:rPr>
          <w:rFonts w:cs="Arial"/>
          <w:color w:val="FF0000"/>
          <w:lang w:val="en-ZA"/>
        </w:rPr>
        <w:t xml:space="preserve"> </w:t>
      </w:r>
      <w:r w:rsidR="00452790" w:rsidRPr="00651642">
        <w:rPr>
          <w:rFonts w:cs="Arial"/>
          <w:color w:val="FF0000"/>
          <w:lang w:val="en-ZA"/>
        </w:rPr>
        <w:t xml:space="preserve"> </w:t>
      </w:r>
      <w:r w:rsidR="0075370C" w:rsidRPr="00651642">
        <w:rPr>
          <w:rFonts w:cs="Arial"/>
          <w:lang w:val="en-ZA"/>
        </w:rPr>
        <w:t xml:space="preserve">It would </w:t>
      </w:r>
      <w:r w:rsidR="00650A3A">
        <w:rPr>
          <w:rFonts w:cs="Arial"/>
          <w:lang w:val="en-ZA"/>
        </w:rPr>
        <w:t xml:space="preserve">have </w:t>
      </w:r>
      <w:r w:rsidR="0075370C" w:rsidRPr="00651642">
        <w:rPr>
          <w:rFonts w:cs="Arial"/>
          <w:lang w:val="en-ZA"/>
        </w:rPr>
        <w:t>be</w:t>
      </w:r>
      <w:r w:rsidR="00650A3A">
        <w:rPr>
          <w:rFonts w:cs="Arial"/>
          <w:lang w:val="en-ZA"/>
        </w:rPr>
        <w:t>en</w:t>
      </w:r>
      <w:r w:rsidR="0075370C" w:rsidRPr="00651642">
        <w:rPr>
          <w:rFonts w:cs="Arial"/>
          <w:lang w:val="en-ZA"/>
        </w:rPr>
        <w:t xml:space="preserve"> worth allowing an extra couple of months at the end of the project to collect feedback and comments from policy makers on the </w:t>
      </w:r>
      <w:r w:rsidR="00650A3A">
        <w:rPr>
          <w:rFonts w:cs="Arial"/>
          <w:lang w:val="en-ZA"/>
        </w:rPr>
        <w:t>report</w:t>
      </w:r>
      <w:r w:rsidR="0075370C" w:rsidRPr="00651642">
        <w:rPr>
          <w:rFonts w:cs="Arial"/>
          <w:lang w:val="en-ZA"/>
        </w:rPr>
        <w:t xml:space="preserve">.  This might </w:t>
      </w:r>
      <w:r w:rsidR="00650A3A">
        <w:rPr>
          <w:rFonts w:cs="Arial"/>
          <w:lang w:val="en-ZA"/>
        </w:rPr>
        <w:t xml:space="preserve">have </w:t>
      </w:r>
      <w:r w:rsidR="0075370C" w:rsidRPr="00651642">
        <w:rPr>
          <w:rFonts w:cs="Arial"/>
          <w:lang w:val="en-ZA"/>
        </w:rPr>
        <w:t>conflict</w:t>
      </w:r>
      <w:r w:rsidR="00650A3A">
        <w:rPr>
          <w:rFonts w:cs="Arial"/>
          <w:lang w:val="en-ZA"/>
        </w:rPr>
        <w:t>ed</w:t>
      </w:r>
      <w:r w:rsidR="0075370C" w:rsidRPr="00651642">
        <w:rPr>
          <w:rFonts w:cs="Arial"/>
          <w:lang w:val="en-ZA"/>
        </w:rPr>
        <w:t xml:space="preserve"> with the project evaluation process in terms of timing, but it would </w:t>
      </w:r>
      <w:r w:rsidR="00650A3A">
        <w:rPr>
          <w:rFonts w:cs="Arial"/>
          <w:lang w:val="en-ZA"/>
        </w:rPr>
        <w:t xml:space="preserve">have brought </w:t>
      </w:r>
      <w:r w:rsidR="0075370C" w:rsidRPr="00651642">
        <w:rPr>
          <w:rFonts w:cs="Arial"/>
          <w:lang w:val="en-ZA"/>
        </w:rPr>
        <w:t xml:space="preserve">in more evidence </w:t>
      </w:r>
      <w:r w:rsidR="00716BCC" w:rsidRPr="00651642">
        <w:rPr>
          <w:rFonts w:cs="Arial"/>
          <w:lang w:val="en-ZA"/>
        </w:rPr>
        <w:t xml:space="preserve">to help with </w:t>
      </w:r>
      <w:r w:rsidR="0075370C" w:rsidRPr="00651642">
        <w:rPr>
          <w:rFonts w:cs="Arial"/>
          <w:lang w:val="en-ZA"/>
        </w:rPr>
        <w:t>longer term benefits.</w:t>
      </w:r>
    </w:p>
    <w:p w:rsidR="00665FF0" w:rsidRPr="00651642" w:rsidRDefault="00665FF0" w:rsidP="00826C42">
      <w:pPr>
        <w:pStyle w:val="NoSpacing"/>
        <w:rPr>
          <w:rFonts w:cs="Arial"/>
          <w:color w:val="FF0000"/>
          <w:lang w:val="en-ZA"/>
        </w:rPr>
      </w:pPr>
    </w:p>
    <w:p w:rsidR="00125F6C" w:rsidRPr="00651642" w:rsidRDefault="00665FF0" w:rsidP="00125F6C">
      <w:pPr>
        <w:pStyle w:val="NoSpacing"/>
        <w:rPr>
          <w:rFonts w:cs="Arial"/>
          <w:color w:val="000000"/>
          <w:lang w:val="en-ZA"/>
        </w:rPr>
      </w:pPr>
      <w:r w:rsidRPr="00651642">
        <w:rPr>
          <w:rFonts w:cs="Arial"/>
          <w:color w:val="000000"/>
          <w:lang w:val="en-ZA"/>
        </w:rPr>
        <w:t xml:space="preserve">For the report itself, it </w:t>
      </w:r>
      <w:r w:rsidR="00452790" w:rsidRPr="00651642">
        <w:rPr>
          <w:rFonts w:cs="Arial"/>
          <w:color w:val="000000"/>
          <w:lang w:val="en-ZA"/>
        </w:rPr>
        <w:t>was</w:t>
      </w:r>
      <w:r w:rsidRPr="00651642">
        <w:rPr>
          <w:rFonts w:cs="Arial"/>
          <w:color w:val="000000"/>
          <w:lang w:val="en-ZA"/>
        </w:rPr>
        <w:t xml:space="preserve"> good to see </w:t>
      </w:r>
      <w:r w:rsidR="00452790" w:rsidRPr="00651642">
        <w:rPr>
          <w:rFonts w:cs="Arial"/>
          <w:color w:val="000000"/>
          <w:lang w:val="en-ZA"/>
        </w:rPr>
        <w:t xml:space="preserve">a </w:t>
      </w:r>
      <w:r w:rsidRPr="00651642">
        <w:rPr>
          <w:rFonts w:cs="Arial"/>
          <w:color w:val="000000"/>
          <w:lang w:val="en-ZA"/>
        </w:rPr>
        <w:t xml:space="preserve">debate </w:t>
      </w:r>
      <w:r w:rsidR="00452790" w:rsidRPr="00651642">
        <w:rPr>
          <w:rFonts w:cs="Arial"/>
          <w:color w:val="000000"/>
          <w:lang w:val="en-ZA"/>
        </w:rPr>
        <w:t xml:space="preserve">rather </w:t>
      </w:r>
      <w:r w:rsidRPr="00651642">
        <w:rPr>
          <w:rFonts w:cs="Arial"/>
          <w:color w:val="000000"/>
          <w:lang w:val="en-ZA"/>
        </w:rPr>
        <w:t xml:space="preserve">than only one </w:t>
      </w:r>
      <w:r w:rsidR="00452790" w:rsidRPr="00651642">
        <w:rPr>
          <w:rFonts w:cs="Arial"/>
          <w:color w:val="000000"/>
          <w:lang w:val="en-ZA"/>
        </w:rPr>
        <w:t>view</w:t>
      </w:r>
      <w:r w:rsidR="000E7855" w:rsidRPr="00651642">
        <w:rPr>
          <w:rFonts w:cs="Arial"/>
          <w:color w:val="000000"/>
          <w:lang w:val="en-ZA"/>
        </w:rPr>
        <w:t>.</w:t>
      </w:r>
      <w:r w:rsidRPr="00651642">
        <w:rPr>
          <w:rFonts w:cs="Arial"/>
          <w:color w:val="000000"/>
          <w:lang w:val="en-ZA"/>
        </w:rPr>
        <w:t xml:space="preserve"> </w:t>
      </w:r>
      <w:r w:rsidR="00452790" w:rsidRPr="00651642">
        <w:rPr>
          <w:rFonts w:cs="Arial"/>
          <w:color w:val="000000"/>
          <w:lang w:val="en-ZA"/>
        </w:rPr>
        <w:t xml:space="preserve"> </w:t>
      </w:r>
      <w:r w:rsidRPr="00651642">
        <w:rPr>
          <w:rFonts w:cs="Arial"/>
          <w:color w:val="000000"/>
          <w:lang w:val="en-ZA"/>
        </w:rPr>
        <w:t xml:space="preserve">Whether it </w:t>
      </w:r>
      <w:r w:rsidR="00452790" w:rsidRPr="00651642">
        <w:rPr>
          <w:rFonts w:cs="Arial"/>
          <w:color w:val="000000"/>
          <w:lang w:val="en-ZA"/>
        </w:rPr>
        <w:t>was</w:t>
      </w:r>
      <w:r w:rsidRPr="00651642">
        <w:rPr>
          <w:rFonts w:cs="Arial"/>
          <w:color w:val="000000"/>
          <w:lang w:val="en-ZA"/>
        </w:rPr>
        <w:t xml:space="preserve"> appropriate to rely </w:t>
      </w:r>
      <w:r w:rsidR="00650A3A">
        <w:rPr>
          <w:rFonts w:cs="Arial"/>
          <w:color w:val="000000"/>
          <w:lang w:val="en-ZA"/>
        </w:rPr>
        <w:t xml:space="preserve">just </w:t>
      </w:r>
      <w:r w:rsidRPr="00651642">
        <w:rPr>
          <w:rFonts w:cs="Arial"/>
          <w:color w:val="000000"/>
          <w:lang w:val="en-ZA"/>
        </w:rPr>
        <w:t xml:space="preserve">on </w:t>
      </w:r>
      <w:r w:rsidR="00452790" w:rsidRPr="00651642">
        <w:rPr>
          <w:rFonts w:cs="Arial"/>
          <w:color w:val="000000"/>
          <w:lang w:val="en-ZA"/>
        </w:rPr>
        <w:t xml:space="preserve">the </w:t>
      </w:r>
      <w:r w:rsidRPr="00651642">
        <w:rPr>
          <w:rFonts w:cs="Arial"/>
          <w:color w:val="000000"/>
          <w:lang w:val="en-ZA"/>
        </w:rPr>
        <w:t xml:space="preserve">action </w:t>
      </w:r>
      <w:r w:rsidR="00452790" w:rsidRPr="00651642">
        <w:rPr>
          <w:rFonts w:cs="Arial"/>
          <w:color w:val="000000"/>
          <w:lang w:val="en-ZA"/>
        </w:rPr>
        <w:t xml:space="preserve">of </w:t>
      </w:r>
      <w:r w:rsidRPr="00651642">
        <w:rPr>
          <w:rFonts w:cs="Arial"/>
          <w:color w:val="000000"/>
          <w:lang w:val="en-ZA"/>
        </w:rPr>
        <w:t>rais</w:t>
      </w:r>
      <w:r w:rsidR="00452790" w:rsidRPr="00651642">
        <w:rPr>
          <w:rFonts w:cs="Arial"/>
          <w:color w:val="000000"/>
          <w:lang w:val="en-ZA"/>
        </w:rPr>
        <w:t>ing</w:t>
      </w:r>
      <w:r w:rsidRPr="00651642">
        <w:rPr>
          <w:rFonts w:cs="Arial"/>
          <w:color w:val="000000"/>
          <w:lang w:val="en-ZA"/>
        </w:rPr>
        <w:t xml:space="preserve"> the price </w:t>
      </w:r>
      <w:r w:rsidR="008F27C8">
        <w:rPr>
          <w:rFonts w:cs="Arial"/>
          <w:color w:val="000000"/>
          <w:lang w:val="en-ZA"/>
        </w:rPr>
        <w:t xml:space="preserve">of gas </w:t>
      </w:r>
      <w:r w:rsidRPr="00651642">
        <w:rPr>
          <w:rFonts w:cs="Arial"/>
          <w:color w:val="000000"/>
          <w:lang w:val="en-ZA"/>
        </w:rPr>
        <w:t>still need</w:t>
      </w:r>
      <w:r w:rsidR="00452790" w:rsidRPr="00651642">
        <w:rPr>
          <w:rFonts w:cs="Arial"/>
          <w:color w:val="000000"/>
          <w:lang w:val="en-ZA"/>
        </w:rPr>
        <w:t>s</w:t>
      </w:r>
      <w:r w:rsidRPr="00651642">
        <w:rPr>
          <w:rFonts w:cs="Arial"/>
          <w:color w:val="000000"/>
          <w:lang w:val="en-ZA"/>
        </w:rPr>
        <w:t xml:space="preserve"> more </w:t>
      </w:r>
      <w:r w:rsidR="00452790" w:rsidRPr="00651642">
        <w:rPr>
          <w:rFonts w:cs="Arial"/>
          <w:color w:val="000000"/>
          <w:lang w:val="en-ZA"/>
        </w:rPr>
        <w:t xml:space="preserve">analysis.  One person we interviewed suggested that </w:t>
      </w:r>
      <w:r w:rsidRPr="00651642">
        <w:rPr>
          <w:rFonts w:cs="Arial"/>
          <w:color w:val="000000"/>
          <w:lang w:val="en-ZA"/>
        </w:rPr>
        <w:t xml:space="preserve">the report could have </w:t>
      </w:r>
      <w:r w:rsidR="00452790" w:rsidRPr="00651642">
        <w:rPr>
          <w:rFonts w:cs="Arial"/>
          <w:color w:val="000000"/>
          <w:lang w:val="en-ZA"/>
        </w:rPr>
        <w:t>included</w:t>
      </w:r>
      <w:r w:rsidRPr="00651642">
        <w:rPr>
          <w:rFonts w:cs="Arial"/>
          <w:color w:val="000000"/>
          <w:lang w:val="en-ZA"/>
        </w:rPr>
        <w:t xml:space="preserve"> more on </w:t>
      </w:r>
      <w:r w:rsidR="00452790" w:rsidRPr="00651642">
        <w:rPr>
          <w:rFonts w:cs="Arial"/>
          <w:color w:val="000000"/>
          <w:lang w:val="en-ZA"/>
        </w:rPr>
        <w:t xml:space="preserve">the impact that </w:t>
      </w:r>
      <w:r w:rsidRPr="00651642">
        <w:rPr>
          <w:rFonts w:cs="Arial"/>
          <w:color w:val="000000"/>
          <w:lang w:val="en-ZA"/>
        </w:rPr>
        <w:t>those action</w:t>
      </w:r>
      <w:r w:rsidR="00125F6C" w:rsidRPr="00651642">
        <w:rPr>
          <w:rFonts w:cs="Arial"/>
          <w:color w:val="000000"/>
          <w:lang w:val="en-ZA"/>
        </w:rPr>
        <w:t>s</w:t>
      </w:r>
      <w:r w:rsidRPr="00651642">
        <w:rPr>
          <w:rFonts w:cs="Arial"/>
          <w:color w:val="000000"/>
          <w:lang w:val="en-ZA"/>
        </w:rPr>
        <w:t xml:space="preserve"> might </w:t>
      </w:r>
      <w:r w:rsidR="00452790" w:rsidRPr="00651642">
        <w:rPr>
          <w:rFonts w:cs="Arial"/>
          <w:color w:val="000000"/>
          <w:lang w:val="en-ZA"/>
        </w:rPr>
        <w:t xml:space="preserve">have.  </w:t>
      </w:r>
      <w:r w:rsidR="00125F6C" w:rsidRPr="00651642">
        <w:rPr>
          <w:rFonts w:cs="Arial"/>
          <w:color w:val="000000"/>
          <w:lang w:val="en-ZA"/>
        </w:rPr>
        <w:t>China5e agree</w:t>
      </w:r>
      <w:r w:rsidR="00716BCC" w:rsidRPr="00651642">
        <w:rPr>
          <w:rFonts w:cs="Arial"/>
          <w:color w:val="000000"/>
          <w:lang w:val="en-ZA"/>
        </w:rPr>
        <w:t>d</w:t>
      </w:r>
      <w:r w:rsidR="00125F6C" w:rsidRPr="00651642">
        <w:rPr>
          <w:rFonts w:cs="Arial"/>
          <w:color w:val="000000"/>
          <w:lang w:val="en-ZA"/>
        </w:rPr>
        <w:t xml:space="preserve"> that</w:t>
      </w:r>
      <w:r w:rsidR="00452790" w:rsidRPr="00651642">
        <w:rPr>
          <w:rFonts w:cs="Arial"/>
          <w:color w:val="000000"/>
          <w:lang w:val="en-ZA"/>
        </w:rPr>
        <w:t>:</w:t>
      </w:r>
      <w:r w:rsidR="00125F6C" w:rsidRPr="00651642">
        <w:rPr>
          <w:rFonts w:cs="Arial"/>
          <w:color w:val="000000"/>
          <w:lang w:val="en-ZA"/>
        </w:rPr>
        <w:t xml:space="preserve"> </w:t>
      </w:r>
    </w:p>
    <w:p w:rsidR="00452790" w:rsidRPr="00651642" w:rsidRDefault="00452790" w:rsidP="00125F6C">
      <w:pPr>
        <w:pStyle w:val="NoSpacing"/>
        <w:rPr>
          <w:rFonts w:cs="Arial"/>
          <w:color w:val="000000"/>
          <w:lang w:eastAsia="zh-CN"/>
        </w:rPr>
      </w:pPr>
    </w:p>
    <w:p w:rsidR="00125F6C" w:rsidRPr="00651642" w:rsidRDefault="00DB57CF" w:rsidP="00125F6C">
      <w:pPr>
        <w:pStyle w:val="NoSpacing"/>
        <w:numPr>
          <w:ilvl w:val="0"/>
          <w:numId w:val="33"/>
        </w:numPr>
        <w:rPr>
          <w:rFonts w:cs="Arial"/>
          <w:color w:val="FF0000"/>
          <w:lang w:val="en-ZA"/>
        </w:rPr>
      </w:pPr>
      <w:r w:rsidRPr="00651642">
        <w:rPr>
          <w:rFonts w:cs="Arial"/>
          <w:color w:val="000000"/>
        </w:rPr>
        <w:t>T</w:t>
      </w:r>
      <w:r w:rsidRPr="00651642">
        <w:rPr>
          <w:rFonts w:cs="Arial"/>
          <w:color w:val="000000"/>
          <w:lang w:val="en-ZA"/>
        </w:rPr>
        <w:t xml:space="preserve">he report wasn’t able to </w:t>
      </w:r>
      <w:r w:rsidR="00555544" w:rsidRPr="00651642">
        <w:rPr>
          <w:rFonts w:cs="Arial"/>
          <w:color w:val="000000"/>
          <w:lang w:eastAsia="zh-CN"/>
        </w:rPr>
        <w:t>clarify</w:t>
      </w:r>
      <w:r w:rsidR="00125F6C" w:rsidRPr="00651642">
        <w:rPr>
          <w:rFonts w:cs="Arial"/>
          <w:color w:val="000000"/>
          <w:lang w:eastAsia="zh-CN"/>
        </w:rPr>
        <w:t xml:space="preserve"> the guidance on </w:t>
      </w:r>
      <w:r w:rsidR="00625629">
        <w:rPr>
          <w:rFonts w:cs="Arial"/>
          <w:color w:val="000000"/>
          <w:lang w:eastAsia="zh-CN"/>
        </w:rPr>
        <w:t>the next steps to take in the reform process</w:t>
      </w:r>
      <w:r w:rsidR="00125F6C" w:rsidRPr="00651642">
        <w:rPr>
          <w:rFonts w:cs="Arial"/>
          <w:color w:val="000000"/>
          <w:lang w:eastAsia="zh-CN"/>
        </w:rPr>
        <w:t xml:space="preserve">. </w:t>
      </w:r>
    </w:p>
    <w:p w:rsidR="00125F6C" w:rsidRPr="00651642" w:rsidRDefault="00716BCC" w:rsidP="00125F6C">
      <w:pPr>
        <w:pStyle w:val="NoSpacing"/>
        <w:numPr>
          <w:ilvl w:val="0"/>
          <w:numId w:val="33"/>
        </w:numPr>
        <w:rPr>
          <w:rFonts w:cs="Arial"/>
          <w:lang w:val="en-ZA"/>
        </w:rPr>
      </w:pPr>
      <w:r w:rsidRPr="00651642">
        <w:rPr>
          <w:rFonts w:cs="Arial"/>
          <w:color w:val="000000"/>
          <w:lang w:val="en-ZA" w:eastAsia="zh-CN"/>
        </w:rPr>
        <w:t xml:space="preserve">The </w:t>
      </w:r>
      <w:r w:rsidR="00125F6C" w:rsidRPr="00651642">
        <w:rPr>
          <w:rFonts w:cs="Arial"/>
          <w:color w:val="000000"/>
          <w:lang w:val="en-ZA" w:eastAsia="zh-CN"/>
        </w:rPr>
        <w:t>Chinese</w:t>
      </w:r>
      <w:r w:rsidR="00125F6C" w:rsidRPr="00651642">
        <w:rPr>
          <w:rFonts w:cs="Arial"/>
          <w:color w:val="000000"/>
          <w:lang w:eastAsia="zh-CN"/>
        </w:rPr>
        <w:t xml:space="preserve"> local government relie</w:t>
      </w:r>
      <w:r w:rsidR="00452790" w:rsidRPr="00651642">
        <w:rPr>
          <w:rFonts w:cs="Arial"/>
          <w:color w:val="000000"/>
          <w:lang w:eastAsia="zh-CN"/>
        </w:rPr>
        <w:t>d</w:t>
      </w:r>
      <w:r w:rsidR="00125F6C" w:rsidRPr="00651642">
        <w:rPr>
          <w:rFonts w:cs="Arial"/>
          <w:color w:val="000000"/>
          <w:lang w:eastAsia="zh-CN"/>
        </w:rPr>
        <w:t xml:space="preserve"> on the working pattern </w:t>
      </w:r>
      <w:r w:rsidR="00452790" w:rsidRPr="00651642">
        <w:rPr>
          <w:rFonts w:cs="Arial"/>
          <w:color w:val="000000"/>
          <w:lang w:eastAsia="zh-CN"/>
        </w:rPr>
        <w:t xml:space="preserve">of being </w:t>
      </w:r>
      <w:r w:rsidR="00125F6C" w:rsidRPr="00651642">
        <w:rPr>
          <w:rFonts w:cs="Arial"/>
          <w:color w:val="000000"/>
          <w:lang w:eastAsia="zh-CN"/>
        </w:rPr>
        <w:t>used to get</w:t>
      </w:r>
      <w:r w:rsidR="00452790" w:rsidRPr="00651642">
        <w:rPr>
          <w:rFonts w:cs="Arial"/>
          <w:color w:val="000000"/>
          <w:lang w:eastAsia="zh-CN"/>
        </w:rPr>
        <w:t>ting</w:t>
      </w:r>
      <w:r w:rsidR="00125F6C" w:rsidRPr="00651642">
        <w:rPr>
          <w:rFonts w:cs="Arial"/>
          <w:color w:val="000000"/>
          <w:lang w:eastAsia="zh-CN"/>
        </w:rPr>
        <w:t xml:space="preserve"> direct answer</w:t>
      </w:r>
      <w:r w:rsidR="00452790" w:rsidRPr="00651642">
        <w:rPr>
          <w:rFonts w:cs="Arial"/>
          <w:color w:val="000000"/>
          <w:lang w:eastAsia="zh-CN"/>
        </w:rPr>
        <w:t>s</w:t>
      </w:r>
      <w:r w:rsidR="00125F6C" w:rsidRPr="00651642">
        <w:rPr>
          <w:rFonts w:cs="Arial"/>
          <w:color w:val="000000"/>
          <w:lang w:eastAsia="zh-CN"/>
        </w:rPr>
        <w:t xml:space="preserve"> from supervisor</w:t>
      </w:r>
      <w:r w:rsidR="00452790" w:rsidRPr="00651642">
        <w:rPr>
          <w:rFonts w:cs="Arial"/>
          <w:color w:val="000000"/>
          <w:lang w:eastAsia="zh-CN"/>
        </w:rPr>
        <w:t>s</w:t>
      </w:r>
      <w:r w:rsidR="0075370C" w:rsidRPr="00651642">
        <w:rPr>
          <w:rFonts w:cs="Arial"/>
          <w:color w:val="000000"/>
          <w:lang w:eastAsia="zh-CN"/>
        </w:rPr>
        <w:t>,</w:t>
      </w:r>
      <w:r w:rsidR="00452790" w:rsidRPr="00651642">
        <w:rPr>
          <w:rFonts w:cs="Arial"/>
          <w:color w:val="000000"/>
          <w:lang w:eastAsia="zh-CN"/>
        </w:rPr>
        <w:t xml:space="preserve"> rather</w:t>
      </w:r>
      <w:r w:rsidR="00125F6C" w:rsidRPr="00651642">
        <w:rPr>
          <w:rFonts w:cs="Arial"/>
          <w:color w:val="000000"/>
          <w:lang w:eastAsia="zh-CN"/>
        </w:rPr>
        <w:t xml:space="preserve"> than try</w:t>
      </w:r>
      <w:r w:rsidR="00452790" w:rsidRPr="00651642">
        <w:rPr>
          <w:rFonts w:cs="Arial"/>
          <w:color w:val="000000"/>
          <w:lang w:eastAsia="zh-CN"/>
        </w:rPr>
        <w:t>ing</w:t>
      </w:r>
      <w:r w:rsidR="00125F6C" w:rsidRPr="00651642">
        <w:rPr>
          <w:rFonts w:cs="Arial"/>
          <w:color w:val="000000"/>
          <w:lang w:eastAsia="zh-CN"/>
        </w:rPr>
        <w:t xml:space="preserve"> to </w:t>
      </w:r>
      <w:r w:rsidRPr="00651642">
        <w:rPr>
          <w:rFonts w:cs="Arial"/>
          <w:color w:val="000000"/>
          <w:lang w:eastAsia="zh-CN"/>
        </w:rPr>
        <w:t xml:space="preserve">establish </w:t>
      </w:r>
      <w:r w:rsidR="00125F6C" w:rsidRPr="00651642">
        <w:rPr>
          <w:rFonts w:cs="Arial"/>
          <w:color w:val="000000"/>
          <w:lang w:eastAsia="zh-CN"/>
        </w:rPr>
        <w:t xml:space="preserve">a creative solution by </w:t>
      </w:r>
      <w:proofErr w:type="gramStart"/>
      <w:r w:rsidR="00125F6C" w:rsidRPr="00651642">
        <w:rPr>
          <w:rFonts w:cs="Arial"/>
          <w:color w:val="000000"/>
          <w:lang w:eastAsia="zh-CN"/>
        </w:rPr>
        <w:t>them</w:t>
      </w:r>
      <w:r w:rsidR="00DB57CF" w:rsidRPr="00651642">
        <w:rPr>
          <w:rFonts w:cs="Arial"/>
          <w:color w:val="000000"/>
          <w:lang w:eastAsia="zh-CN"/>
        </w:rPr>
        <w:t>selves</w:t>
      </w:r>
      <w:proofErr w:type="gramEnd"/>
      <w:r w:rsidR="00452790" w:rsidRPr="00651642">
        <w:rPr>
          <w:rFonts w:cs="Arial"/>
          <w:color w:val="000000"/>
          <w:lang w:eastAsia="zh-CN"/>
        </w:rPr>
        <w:t>,</w:t>
      </w:r>
      <w:r w:rsidR="00125F6C" w:rsidRPr="00651642">
        <w:rPr>
          <w:rFonts w:cs="Arial"/>
          <w:color w:val="000000"/>
          <w:lang w:eastAsia="zh-CN"/>
        </w:rPr>
        <w:t xml:space="preserve"> even when they ha</w:t>
      </w:r>
      <w:r w:rsidRPr="00651642">
        <w:rPr>
          <w:rFonts w:cs="Arial"/>
          <w:color w:val="000000"/>
          <w:lang w:eastAsia="zh-CN"/>
        </w:rPr>
        <w:t>d</w:t>
      </w:r>
      <w:r w:rsidR="00125F6C" w:rsidRPr="00651642">
        <w:rPr>
          <w:rFonts w:cs="Arial"/>
          <w:color w:val="000000"/>
          <w:lang w:eastAsia="zh-CN"/>
        </w:rPr>
        <w:t xml:space="preserve"> suggestions and </w:t>
      </w:r>
      <w:r w:rsidRPr="00651642">
        <w:rPr>
          <w:rFonts w:cs="Arial"/>
          <w:color w:val="000000"/>
          <w:lang w:eastAsia="zh-CN"/>
        </w:rPr>
        <w:t xml:space="preserve">a shared </w:t>
      </w:r>
      <w:r w:rsidR="00125F6C" w:rsidRPr="00651642">
        <w:rPr>
          <w:rFonts w:cs="Arial"/>
          <w:color w:val="000000"/>
          <w:lang w:eastAsia="zh-CN"/>
        </w:rPr>
        <w:t>experience</w:t>
      </w:r>
      <w:r w:rsidRPr="00651642">
        <w:rPr>
          <w:rFonts w:cs="Arial"/>
          <w:color w:val="000000"/>
          <w:lang w:eastAsia="zh-CN"/>
        </w:rPr>
        <w:t>.</w:t>
      </w:r>
    </w:p>
    <w:p w:rsidR="00716BCC" w:rsidRPr="00651642" w:rsidRDefault="0075370C" w:rsidP="00826C42">
      <w:pPr>
        <w:pStyle w:val="NoSpacing"/>
        <w:numPr>
          <w:ilvl w:val="0"/>
          <w:numId w:val="33"/>
        </w:numPr>
        <w:rPr>
          <w:rFonts w:cs="Arial"/>
          <w:color w:val="000000"/>
          <w:lang w:val="en-ZA"/>
        </w:rPr>
      </w:pPr>
      <w:r w:rsidRPr="00651642">
        <w:rPr>
          <w:rFonts w:cs="Arial"/>
          <w:lang w:val="en-ZA"/>
        </w:rPr>
        <w:t>The report suggested that policy makers s</w:t>
      </w:r>
      <w:r w:rsidR="00716BCC" w:rsidRPr="00651642">
        <w:rPr>
          <w:rFonts w:cs="Arial"/>
          <w:lang w:val="en-ZA"/>
        </w:rPr>
        <w:t xml:space="preserve">hould raise the gas price, but </w:t>
      </w:r>
      <w:r w:rsidRPr="00651642">
        <w:rPr>
          <w:rFonts w:cs="Arial"/>
          <w:lang w:val="en-ZA"/>
        </w:rPr>
        <w:t>didn’t include suggestions that if the price r</w:t>
      </w:r>
      <w:r w:rsidR="00716BCC" w:rsidRPr="00651642">
        <w:rPr>
          <w:rFonts w:cs="Arial"/>
          <w:lang w:val="en-ZA"/>
        </w:rPr>
        <w:t>ose</w:t>
      </w:r>
      <w:r w:rsidRPr="00651642">
        <w:rPr>
          <w:rFonts w:cs="Arial"/>
          <w:lang w:val="en-ZA"/>
        </w:rPr>
        <w:t xml:space="preserve">, how the market might react.  Such a suggestion would have reduced any negative impact </w:t>
      </w:r>
      <w:r w:rsidR="00716BCC" w:rsidRPr="00651642">
        <w:rPr>
          <w:rFonts w:cs="Arial"/>
          <w:lang w:val="en-ZA"/>
        </w:rPr>
        <w:t xml:space="preserve">that resulted </w:t>
      </w:r>
      <w:r w:rsidRPr="00651642">
        <w:rPr>
          <w:rFonts w:cs="Arial"/>
          <w:lang w:val="en-ZA"/>
        </w:rPr>
        <w:t>from raising the price of gas.</w:t>
      </w:r>
      <w:r w:rsidR="00716BCC" w:rsidRPr="00651642">
        <w:rPr>
          <w:rFonts w:cs="Arial"/>
          <w:lang w:val="en-ZA"/>
        </w:rPr>
        <w:t xml:space="preserve">  </w:t>
      </w:r>
    </w:p>
    <w:p w:rsidR="000E7855" w:rsidRPr="00651642" w:rsidRDefault="00665FF0" w:rsidP="00826C42">
      <w:pPr>
        <w:pStyle w:val="NoSpacing"/>
        <w:numPr>
          <w:ilvl w:val="0"/>
          <w:numId w:val="33"/>
        </w:numPr>
        <w:rPr>
          <w:rFonts w:cs="Arial"/>
          <w:color w:val="000000"/>
          <w:lang w:val="en-ZA"/>
        </w:rPr>
      </w:pPr>
      <w:r w:rsidRPr="00651642">
        <w:rPr>
          <w:rFonts w:cs="Arial"/>
          <w:color w:val="000000"/>
          <w:lang w:val="en-ZA"/>
        </w:rPr>
        <w:t>Consider</w:t>
      </w:r>
      <w:r w:rsidR="00E10B1D" w:rsidRPr="00651642">
        <w:rPr>
          <w:rFonts w:cs="Arial"/>
          <w:color w:val="000000"/>
          <w:lang w:val="en-ZA"/>
        </w:rPr>
        <w:t>ing</w:t>
      </w:r>
      <w:r w:rsidRPr="00651642">
        <w:rPr>
          <w:rFonts w:cs="Arial"/>
          <w:color w:val="000000"/>
          <w:lang w:val="en-ZA"/>
        </w:rPr>
        <w:t xml:space="preserve"> the time and </w:t>
      </w:r>
      <w:r w:rsidR="00E10B1D" w:rsidRPr="00651642">
        <w:rPr>
          <w:rFonts w:cs="Arial"/>
          <w:color w:val="000000"/>
          <w:lang w:val="en-ZA"/>
        </w:rPr>
        <w:t>limited funds</w:t>
      </w:r>
      <w:r w:rsidRPr="00651642">
        <w:rPr>
          <w:rFonts w:cs="Arial"/>
          <w:color w:val="000000"/>
          <w:lang w:val="en-ZA"/>
        </w:rPr>
        <w:t xml:space="preserve">, </w:t>
      </w:r>
      <w:r w:rsidR="00E10B1D" w:rsidRPr="00651642">
        <w:rPr>
          <w:rFonts w:cs="Arial"/>
          <w:color w:val="000000"/>
          <w:lang w:val="en-ZA"/>
        </w:rPr>
        <w:t xml:space="preserve">it wasn’t possible to </w:t>
      </w:r>
      <w:r w:rsidRPr="00651642">
        <w:rPr>
          <w:rFonts w:cs="Arial"/>
          <w:color w:val="000000"/>
          <w:lang w:val="en-ZA"/>
        </w:rPr>
        <w:t>have a report</w:t>
      </w:r>
      <w:r w:rsidR="00555544" w:rsidRPr="00651642">
        <w:rPr>
          <w:rFonts w:cs="Arial"/>
          <w:color w:val="000000"/>
          <w:lang w:val="en-ZA"/>
        </w:rPr>
        <w:t>,</w:t>
      </w:r>
      <w:r w:rsidRPr="00651642">
        <w:rPr>
          <w:rFonts w:cs="Arial"/>
          <w:color w:val="000000"/>
          <w:lang w:val="en-ZA"/>
        </w:rPr>
        <w:t xml:space="preserve"> </w:t>
      </w:r>
      <w:r w:rsidR="00E10B1D" w:rsidRPr="00651642">
        <w:rPr>
          <w:rFonts w:cs="Arial"/>
          <w:color w:val="000000"/>
          <w:lang w:val="en-ZA"/>
        </w:rPr>
        <w:t xml:space="preserve">which </w:t>
      </w:r>
      <w:r w:rsidRPr="00651642">
        <w:rPr>
          <w:rFonts w:cs="Arial"/>
          <w:color w:val="000000"/>
          <w:lang w:val="en-ZA"/>
        </w:rPr>
        <w:t>answer</w:t>
      </w:r>
      <w:r w:rsidR="00E10B1D" w:rsidRPr="00651642">
        <w:rPr>
          <w:rFonts w:cs="Arial"/>
          <w:color w:val="000000"/>
          <w:lang w:val="en-ZA"/>
        </w:rPr>
        <w:t>ed</w:t>
      </w:r>
      <w:r w:rsidRPr="00651642">
        <w:rPr>
          <w:rFonts w:cs="Arial"/>
          <w:color w:val="000000"/>
          <w:lang w:val="en-ZA"/>
        </w:rPr>
        <w:t xml:space="preserve"> everything</w:t>
      </w:r>
      <w:r w:rsidR="00E10B1D" w:rsidRPr="00651642">
        <w:rPr>
          <w:rFonts w:cs="Arial"/>
          <w:color w:val="000000"/>
          <w:lang w:val="en-ZA"/>
        </w:rPr>
        <w:t>.  B</w:t>
      </w:r>
      <w:r w:rsidRPr="00651642">
        <w:rPr>
          <w:rFonts w:cs="Arial"/>
          <w:color w:val="000000"/>
          <w:lang w:val="en-ZA"/>
        </w:rPr>
        <w:t>ut it is worth follow-up work</w:t>
      </w:r>
      <w:r w:rsidR="00E10B1D" w:rsidRPr="00651642">
        <w:rPr>
          <w:rFonts w:cs="Arial"/>
          <w:color w:val="000000"/>
          <w:lang w:val="en-ZA"/>
        </w:rPr>
        <w:t>.  Alternatively, it might have been worth saying</w:t>
      </w:r>
      <w:r w:rsidR="00B927BE" w:rsidRPr="00651642">
        <w:rPr>
          <w:rFonts w:cs="Arial"/>
          <w:color w:val="000000"/>
          <w:lang w:val="en-ZA"/>
        </w:rPr>
        <w:t xml:space="preserve"> </w:t>
      </w:r>
      <w:r w:rsidRPr="00651642">
        <w:rPr>
          <w:rFonts w:cs="Arial"/>
          <w:color w:val="000000"/>
          <w:lang w:val="en-ZA"/>
        </w:rPr>
        <w:t>in the report</w:t>
      </w:r>
      <w:r w:rsidR="00E10B1D" w:rsidRPr="00651642">
        <w:rPr>
          <w:rFonts w:cs="Arial"/>
          <w:color w:val="000000"/>
          <w:lang w:val="en-ZA"/>
        </w:rPr>
        <w:t xml:space="preserve"> that it wasn’t possible to cover everything</w:t>
      </w:r>
      <w:r w:rsidRPr="00651642">
        <w:rPr>
          <w:rFonts w:cs="Arial"/>
          <w:color w:val="000000"/>
          <w:lang w:val="en-ZA"/>
        </w:rPr>
        <w:t xml:space="preserve">. </w:t>
      </w:r>
    </w:p>
    <w:p w:rsidR="007677AE" w:rsidRPr="00651642" w:rsidRDefault="007677AE" w:rsidP="00826C42">
      <w:pPr>
        <w:pStyle w:val="NoSpacing"/>
        <w:rPr>
          <w:rFonts w:cs="Arial"/>
          <w:b/>
          <w:color w:val="FF0000"/>
          <w:lang w:val="en-ZA"/>
        </w:rPr>
      </w:pPr>
    </w:p>
    <w:p w:rsidR="002D42F8" w:rsidRPr="00651642" w:rsidRDefault="002D42F8" w:rsidP="00826C42">
      <w:pPr>
        <w:pStyle w:val="NoSpacing"/>
        <w:rPr>
          <w:rFonts w:cs="Arial"/>
          <w:lang w:val="en-ZA"/>
        </w:rPr>
      </w:pPr>
    </w:p>
    <w:p w:rsidR="004F70B8" w:rsidRPr="00651642" w:rsidRDefault="004F70B8" w:rsidP="00826C42">
      <w:pPr>
        <w:pStyle w:val="NoSpacing"/>
        <w:rPr>
          <w:rFonts w:cs="Arial"/>
          <w:b/>
          <w:sz w:val="24"/>
          <w:szCs w:val="24"/>
          <w:lang w:val="en-ZA"/>
        </w:rPr>
      </w:pPr>
      <w:r w:rsidRPr="00651642">
        <w:rPr>
          <w:rFonts w:cs="Arial"/>
          <w:b/>
          <w:sz w:val="24"/>
          <w:szCs w:val="24"/>
          <w:lang w:val="en-ZA"/>
        </w:rPr>
        <w:t>Recommendations</w:t>
      </w:r>
    </w:p>
    <w:p w:rsidR="00B927BE" w:rsidRPr="00651642" w:rsidRDefault="00B927BE" w:rsidP="00826C42">
      <w:pPr>
        <w:pStyle w:val="NoSpacing"/>
        <w:rPr>
          <w:rFonts w:cs="Arial"/>
          <w:b/>
          <w:sz w:val="24"/>
          <w:szCs w:val="24"/>
        </w:rPr>
      </w:pPr>
    </w:p>
    <w:p w:rsidR="00650A3A" w:rsidRDefault="00B15429" w:rsidP="0075370C">
      <w:pPr>
        <w:pStyle w:val="NoSpacing"/>
        <w:numPr>
          <w:ilvl w:val="0"/>
          <w:numId w:val="34"/>
        </w:numPr>
        <w:rPr>
          <w:rFonts w:cs="Arial"/>
          <w:color w:val="000000"/>
          <w:lang w:val="en-ZA"/>
        </w:rPr>
      </w:pPr>
      <w:r w:rsidRPr="00651642">
        <w:rPr>
          <w:rFonts w:cs="Arial"/>
          <w:color w:val="000000"/>
          <w:lang w:val="en-ZA"/>
        </w:rPr>
        <w:t>Hav</w:t>
      </w:r>
      <w:r w:rsidR="00E10B1D" w:rsidRPr="00651642">
        <w:rPr>
          <w:rFonts w:cs="Arial"/>
          <w:color w:val="000000"/>
          <w:lang w:val="en-ZA"/>
        </w:rPr>
        <w:t>ing</w:t>
      </w:r>
      <w:r w:rsidRPr="00651642">
        <w:rPr>
          <w:rFonts w:cs="Arial"/>
          <w:color w:val="000000"/>
          <w:lang w:val="en-ZA"/>
        </w:rPr>
        <w:t xml:space="preserve"> somebody </w:t>
      </w:r>
      <w:r w:rsidR="00E10B1D" w:rsidRPr="00651642">
        <w:rPr>
          <w:rFonts w:cs="Arial"/>
          <w:color w:val="000000"/>
          <w:lang w:val="en-ZA"/>
        </w:rPr>
        <w:t xml:space="preserve">as </w:t>
      </w:r>
      <w:r w:rsidRPr="00651642">
        <w:rPr>
          <w:rFonts w:cs="Arial"/>
          <w:color w:val="000000"/>
          <w:lang w:val="en-ZA"/>
        </w:rPr>
        <w:t xml:space="preserve">senior </w:t>
      </w:r>
      <w:r w:rsidR="00E10B1D" w:rsidRPr="00651642">
        <w:rPr>
          <w:rFonts w:cs="Arial"/>
          <w:color w:val="000000"/>
          <w:lang w:val="en-ZA"/>
        </w:rPr>
        <w:t xml:space="preserve">as </w:t>
      </w:r>
      <w:r w:rsidR="00E023BD">
        <w:rPr>
          <w:rFonts w:cs="Arial"/>
          <w:color w:val="000000"/>
          <w:lang w:val="en-ZA"/>
        </w:rPr>
        <w:t xml:space="preserve">Mr </w:t>
      </w:r>
      <w:r w:rsidR="00B06E1D">
        <w:rPr>
          <w:rFonts w:cs="Arial"/>
          <w:color w:val="000000"/>
          <w:lang w:val="en-ZA"/>
        </w:rPr>
        <w:t>DDG</w:t>
      </w:r>
      <w:r w:rsidRPr="00651642">
        <w:rPr>
          <w:rFonts w:cs="Arial"/>
          <w:color w:val="000000"/>
          <w:lang w:val="en-ZA"/>
        </w:rPr>
        <w:t xml:space="preserve"> Yang </w:t>
      </w:r>
      <w:r w:rsidR="00DD61C4">
        <w:rPr>
          <w:rFonts w:cs="Arial"/>
          <w:color w:val="000000"/>
          <w:lang w:val="en-ZA"/>
        </w:rPr>
        <w:t xml:space="preserve">from the </w:t>
      </w:r>
      <w:r w:rsidR="00B06E1D">
        <w:rPr>
          <w:rFonts w:cs="Arial"/>
          <w:color w:val="000000"/>
          <w:lang w:val="en-ZA"/>
        </w:rPr>
        <w:t xml:space="preserve">NEA </w:t>
      </w:r>
      <w:r w:rsidRPr="00651642">
        <w:rPr>
          <w:rFonts w:cs="Arial"/>
          <w:color w:val="000000"/>
          <w:lang w:val="en-ZA"/>
        </w:rPr>
        <w:t>directly engaged</w:t>
      </w:r>
      <w:r w:rsidR="00E10B1D" w:rsidRPr="00651642">
        <w:rPr>
          <w:rFonts w:cs="Arial"/>
          <w:color w:val="000000"/>
          <w:lang w:val="en-ZA"/>
        </w:rPr>
        <w:t xml:space="preserve"> in such a project</w:t>
      </w:r>
      <w:r w:rsidRPr="00651642">
        <w:rPr>
          <w:rFonts w:cs="Arial"/>
          <w:color w:val="000000"/>
          <w:lang w:val="en-ZA"/>
        </w:rPr>
        <w:t xml:space="preserve"> is always high</w:t>
      </w:r>
      <w:r w:rsidR="00E10B1D" w:rsidRPr="00651642">
        <w:rPr>
          <w:rFonts w:cs="Arial"/>
          <w:color w:val="000000"/>
          <w:lang w:val="en-ZA"/>
        </w:rPr>
        <w:t>ly</w:t>
      </w:r>
      <w:r w:rsidRPr="00651642">
        <w:rPr>
          <w:rFonts w:cs="Arial"/>
          <w:color w:val="000000"/>
          <w:lang w:val="en-ZA"/>
        </w:rPr>
        <w:t xml:space="preserve"> recommend</w:t>
      </w:r>
      <w:r w:rsidR="00E10B1D" w:rsidRPr="00651642">
        <w:rPr>
          <w:rFonts w:cs="Arial"/>
          <w:color w:val="000000"/>
          <w:lang w:val="en-ZA"/>
        </w:rPr>
        <w:t>ed</w:t>
      </w:r>
      <w:r w:rsidR="00650A3A">
        <w:rPr>
          <w:rFonts w:cs="Arial"/>
          <w:color w:val="000000"/>
          <w:lang w:val="en-ZA"/>
        </w:rPr>
        <w:t>,</w:t>
      </w:r>
      <w:r w:rsidRPr="00651642">
        <w:rPr>
          <w:rFonts w:cs="Arial"/>
          <w:color w:val="000000"/>
          <w:lang w:val="en-ZA"/>
        </w:rPr>
        <w:t xml:space="preserve"> but not always possible</w:t>
      </w:r>
      <w:r w:rsidR="00716BCC" w:rsidRPr="00651642">
        <w:rPr>
          <w:rFonts w:cs="Arial"/>
          <w:color w:val="000000"/>
          <w:lang w:val="en-ZA"/>
        </w:rPr>
        <w:t xml:space="preserve">.  </w:t>
      </w:r>
    </w:p>
    <w:p w:rsidR="0075370C" w:rsidRPr="00651642" w:rsidRDefault="00E10B1D" w:rsidP="0075370C">
      <w:pPr>
        <w:pStyle w:val="NoSpacing"/>
        <w:numPr>
          <w:ilvl w:val="0"/>
          <w:numId w:val="34"/>
        </w:numPr>
        <w:rPr>
          <w:rFonts w:cs="Arial"/>
          <w:color w:val="000000"/>
          <w:lang w:val="en-ZA"/>
        </w:rPr>
      </w:pPr>
      <w:r w:rsidRPr="00651642">
        <w:rPr>
          <w:rFonts w:cs="Arial"/>
          <w:color w:val="000000"/>
          <w:lang w:val="en-ZA"/>
        </w:rPr>
        <w:t xml:space="preserve">A future similar project should look at </w:t>
      </w:r>
      <w:r w:rsidR="00B15429" w:rsidRPr="00651642">
        <w:rPr>
          <w:rFonts w:cs="Arial"/>
          <w:color w:val="000000"/>
          <w:lang w:val="en-ZA"/>
        </w:rPr>
        <w:t>set</w:t>
      </w:r>
      <w:r w:rsidRPr="00651642">
        <w:rPr>
          <w:rFonts w:cs="Arial"/>
          <w:color w:val="000000"/>
          <w:lang w:val="en-ZA"/>
        </w:rPr>
        <w:t xml:space="preserve">ting </w:t>
      </w:r>
      <w:r w:rsidR="00B15429" w:rsidRPr="00651642">
        <w:rPr>
          <w:rFonts w:cs="Arial"/>
          <w:color w:val="000000"/>
          <w:lang w:val="en-ZA"/>
        </w:rPr>
        <w:t>up both short term and long term target</w:t>
      </w:r>
      <w:r w:rsidRPr="00651642">
        <w:rPr>
          <w:rFonts w:cs="Arial"/>
          <w:color w:val="000000"/>
          <w:lang w:val="en-ZA"/>
        </w:rPr>
        <w:t>s</w:t>
      </w:r>
      <w:r w:rsidR="00650A3A">
        <w:rPr>
          <w:rFonts w:cs="Arial"/>
          <w:color w:val="000000"/>
          <w:lang w:val="en-ZA"/>
        </w:rPr>
        <w:t>.</w:t>
      </w:r>
      <w:r w:rsidR="00B15429" w:rsidRPr="00651642">
        <w:rPr>
          <w:rFonts w:cs="Arial"/>
          <w:color w:val="000000"/>
          <w:lang w:val="en-ZA"/>
        </w:rPr>
        <w:t xml:space="preserve">  Short term </w:t>
      </w:r>
      <w:r w:rsidRPr="00651642">
        <w:rPr>
          <w:rFonts w:cs="Arial"/>
          <w:color w:val="000000"/>
          <w:lang w:val="en-ZA"/>
        </w:rPr>
        <w:t xml:space="preserve">would </w:t>
      </w:r>
      <w:r w:rsidR="00650A3A">
        <w:rPr>
          <w:rFonts w:cs="Arial"/>
          <w:color w:val="000000"/>
          <w:lang w:val="en-ZA"/>
        </w:rPr>
        <w:t xml:space="preserve">be </w:t>
      </w:r>
      <w:r w:rsidR="00B15429" w:rsidRPr="00651642">
        <w:rPr>
          <w:rFonts w:cs="Arial"/>
          <w:color w:val="000000"/>
          <w:lang w:val="en-ZA"/>
        </w:rPr>
        <w:t xml:space="preserve">a single project </w:t>
      </w:r>
      <w:r w:rsidRPr="00651642">
        <w:rPr>
          <w:rFonts w:cs="Arial"/>
          <w:color w:val="000000"/>
          <w:lang w:val="en-ZA"/>
        </w:rPr>
        <w:t xml:space="preserve">with </w:t>
      </w:r>
      <w:r w:rsidR="00B15429" w:rsidRPr="00651642">
        <w:rPr>
          <w:rFonts w:cs="Arial"/>
          <w:color w:val="000000"/>
          <w:lang w:val="en-ZA"/>
        </w:rPr>
        <w:t>high quality output delivery and certain indicators of success</w:t>
      </w:r>
      <w:r w:rsidRPr="00651642">
        <w:rPr>
          <w:rFonts w:cs="Arial"/>
          <w:color w:val="000000"/>
          <w:lang w:val="en-ZA"/>
        </w:rPr>
        <w:t xml:space="preserve">, </w:t>
      </w:r>
      <w:r w:rsidR="00B15429" w:rsidRPr="00651642">
        <w:rPr>
          <w:rFonts w:cs="Arial"/>
          <w:color w:val="000000"/>
          <w:lang w:val="en-ZA"/>
        </w:rPr>
        <w:t xml:space="preserve">while </w:t>
      </w:r>
      <w:r w:rsidR="00B927BE" w:rsidRPr="00651642">
        <w:rPr>
          <w:rFonts w:cs="Arial"/>
          <w:color w:val="000000"/>
          <w:lang w:val="en-ZA"/>
        </w:rPr>
        <w:t>l</w:t>
      </w:r>
      <w:r w:rsidR="00B15429" w:rsidRPr="00651642">
        <w:rPr>
          <w:rFonts w:cs="Arial"/>
          <w:color w:val="000000"/>
          <w:lang w:val="en-ZA"/>
        </w:rPr>
        <w:t>ong term</w:t>
      </w:r>
      <w:r w:rsidRPr="00651642">
        <w:rPr>
          <w:rFonts w:cs="Arial"/>
          <w:color w:val="000000"/>
          <w:lang w:val="en-ZA"/>
        </w:rPr>
        <w:t xml:space="preserve"> could </w:t>
      </w:r>
      <w:r w:rsidR="00B15429" w:rsidRPr="00651642">
        <w:rPr>
          <w:rFonts w:cs="Arial"/>
          <w:color w:val="000000"/>
          <w:lang w:val="en-ZA"/>
        </w:rPr>
        <w:t xml:space="preserve">be considered </w:t>
      </w:r>
      <w:r w:rsidRPr="00651642">
        <w:rPr>
          <w:rFonts w:cs="Arial"/>
          <w:color w:val="000000"/>
          <w:lang w:val="en-ZA"/>
        </w:rPr>
        <w:t xml:space="preserve">as part of the </w:t>
      </w:r>
      <w:r w:rsidR="00B15429" w:rsidRPr="00651642">
        <w:rPr>
          <w:rFonts w:cs="Arial"/>
          <w:color w:val="000000"/>
          <w:lang w:val="en-ZA"/>
        </w:rPr>
        <w:t>programme strategy.</w:t>
      </w:r>
      <w:r w:rsidR="0075370C" w:rsidRPr="00651642">
        <w:rPr>
          <w:rFonts w:cs="Arial"/>
          <w:color w:val="000000"/>
          <w:lang w:val="en-ZA"/>
        </w:rPr>
        <w:t xml:space="preserve">  </w:t>
      </w:r>
    </w:p>
    <w:p w:rsidR="009E0D35" w:rsidRPr="00651642" w:rsidRDefault="009E0D35" w:rsidP="00826C42">
      <w:pPr>
        <w:pStyle w:val="NoSpacing"/>
        <w:rPr>
          <w:rFonts w:cs="Arial"/>
          <w:lang w:val="en-ZA"/>
        </w:rPr>
      </w:pPr>
    </w:p>
    <w:p w:rsidR="007677AE" w:rsidRPr="00651642" w:rsidRDefault="007677AE" w:rsidP="00826C42">
      <w:pPr>
        <w:pStyle w:val="NoSpacing"/>
        <w:rPr>
          <w:rFonts w:cs="Arial"/>
          <w:lang w:val="en-ZA"/>
        </w:rPr>
      </w:pPr>
    </w:p>
    <w:p w:rsidR="007C1718" w:rsidRPr="00651642" w:rsidRDefault="007C1718" w:rsidP="00826C42">
      <w:pPr>
        <w:pStyle w:val="NoSpacing"/>
        <w:rPr>
          <w:rFonts w:cs="Arial"/>
          <w:b/>
          <w:sz w:val="24"/>
          <w:szCs w:val="24"/>
          <w:lang w:val="en-ZA"/>
        </w:rPr>
      </w:pPr>
      <w:r w:rsidRPr="00651642">
        <w:rPr>
          <w:rFonts w:cs="Arial"/>
          <w:b/>
          <w:sz w:val="24"/>
          <w:szCs w:val="24"/>
          <w:lang w:val="en-ZA"/>
        </w:rPr>
        <w:t>Project Background</w:t>
      </w:r>
    </w:p>
    <w:p w:rsidR="007B3851" w:rsidRPr="00651642" w:rsidRDefault="007B3851" w:rsidP="00826C42">
      <w:pPr>
        <w:pStyle w:val="NoSpacing"/>
        <w:rPr>
          <w:rFonts w:cs="Arial"/>
          <w:lang w:val="en-US"/>
        </w:rPr>
      </w:pPr>
    </w:p>
    <w:p w:rsidR="001107A2" w:rsidRDefault="001107A2" w:rsidP="001107A2">
      <w:pPr>
        <w:pStyle w:val="NoSpacing"/>
        <w:rPr>
          <w:lang w:val="en-US"/>
        </w:rPr>
      </w:pPr>
      <w:r>
        <w:rPr>
          <w:lang w:val="en-US"/>
        </w:rPr>
        <w:t xml:space="preserve">China has ambitious goals for the rapid expansion of gas supply and </w:t>
      </w:r>
      <w:proofErr w:type="spellStart"/>
      <w:r>
        <w:rPr>
          <w:lang w:val="en-US"/>
        </w:rPr>
        <w:t>utilisation</w:t>
      </w:r>
      <w:proofErr w:type="spellEnd"/>
      <w:r>
        <w:rPr>
          <w:lang w:val="en-US"/>
        </w:rPr>
        <w:t>.  Given the objectives of the 12</w:t>
      </w:r>
      <w:r>
        <w:rPr>
          <w:vertAlign w:val="superscript"/>
          <w:lang w:val="en-US"/>
        </w:rPr>
        <w:t>th</w:t>
      </w:r>
      <w:r>
        <w:rPr>
          <w:lang w:val="en-US"/>
        </w:rPr>
        <w:t xml:space="preserve"> Five-Year Plan to increase gas demand significantly in the medium term, all sources of supply – domestic production, both conventional and unconventional, </w:t>
      </w:r>
      <w:r>
        <w:rPr>
          <w:lang w:val="en-US"/>
        </w:rPr>
        <w:lastRenderedPageBreak/>
        <w:t xml:space="preserve">LNG and pipeline imports – will be necessary to achieve such targets.  Meanwhile, rising use in the residential sector means additional investments in transmission and storage to meet winter peak demand.  </w:t>
      </w:r>
      <w:r>
        <w:rPr>
          <w:lang w:val="en-ZA"/>
        </w:rPr>
        <w:t>The purpose of the project was to show experience of gas pricing in Europe and the US, and give China options for how best to proceed.  </w:t>
      </w:r>
    </w:p>
    <w:p w:rsidR="00EA6CBB" w:rsidRDefault="00EA6CBB" w:rsidP="00826C42">
      <w:pPr>
        <w:pStyle w:val="NoSpacing"/>
      </w:pPr>
    </w:p>
    <w:sectPr w:rsidR="00EA6CBB" w:rsidSect="0076558C">
      <w:headerReference w:type="even" r:id="rId8"/>
      <w:headerReference w:type="default" r:id="rId9"/>
      <w:footerReference w:type="even" r:id="rId10"/>
      <w:footerReference w:type="default" r:id="rId11"/>
      <w:headerReference w:type="first" r:id="rId12"/>
      <w:pgSz w:w="11906" w:h="16838"/>
      <w:pgMar w:top="1440" w:right="1440" w:bottom="1276"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A5" w:rsidRDefault="00AE51A5" w:rsidP="004854D5">
      <w:pPr>
        <w:spacing w:line="240" w:lineRule="auto"/>
      </w:pPr>
      <w:r>
        <w:separator/>
      </w:r>
    </w:p>
  </w:endnote>
  <w:endnote w:type="continuationSeparator" w:id="0">
    <w:p w:rsidR="00AE51A5" w:rsidRDefault="00AE51A5"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4" w:rsidRDefault="00A50514">
    <w:pPr>
      <w:pStyle w:val="Footer"/>
    </w:pPr>
  </w:p>
  <w:p w:rsidR="00A50514" w:rsidRDefault="003967A1" w:rsidP="00D61A0F">
    <w:pPr>
      <w:pStyle w:val="Footer"/>
      <w:jc w:val="center"/>
      <w:rPr>
        <w:rFonts w:cs="Arial"/>
        <w:b/>
        <w:sz w:val="20"/>
      </w:rPr>
    </w:pPr>
    <w:fldSimple w:instr=" DOCPROPERTY CLASSIFICATION \* MERGEFORMAT ">
      <w:r w:rsidR="00A50514">
        <w:rPr>
          <w:rFonts w:cs="Arial"/>
          <w:b/>
          <w:sz w:val="20"/>
        </w:rPr>
        <w:t>UNCLASSIFIED</w:t>
      </w:r>
    </w:fldSimple>
    <w:r w:rsidR="00A50514" w:rsidRPr="00D61A0F">
      <w:rPr>
        <w:rFonts w:cs="Arial"/>
        <w:b/>
        <w:sz w:val="20"/>
      </w:rPr>
      <w:t xml:space="preserve"> </w:t>
    </w:r>
  </w:p>
  <w:p w:rsidR="00A50514" w:rsidRPr="00D61A0F" w:rsidRDefault="003967A1" w:rsidP="00D61A0F">
    <w:pPr>
      <w:pStyle w:val="Footer"/>
      <w:spacing w:before="120"/>
      <w:jc w:val="right"/>
      <w:rPr>
        <w:rFonts w:cs="Arial"/>
        <w:sz w:val="12"/>
      </w:rPr>
    </w:pPr>
    <w:fldSimple w:instr=" FILENAME \p \* MERGEFORMAT ">
      <w:r w:rsidR="00A50514">
        <w:rPr>
          <w:rFonts w:cs="Arial"/>
          <w:noProof/>
          <w:sz w:val="12"/>
        </w:rPr>
        <w:t>C:\Users\acowan\AppData\Local\Microsoft\Windows\Temporary Internet Files\Outlook Temp\Evaluation_CHN 1036_International Experience on Natural Gas Pricing and regulation_final.doc</w:t>
      </w:r>
    </w:fldSimple>
    <w:r w:rsidRPr="00D61A0F">
      <w:rPr>
        <w:rFonts w:cs="Arial"/>
        <w:sz w:val="12"/>
      </w:rPr>
      <w:fldChar w:fldCharType="begin"/>
    </w:r>
    <w:r w:rsidR="00A50514" w:rsidRPr="00D61A0F">
      <w:rPr>
        <w:rFonts w:cs="Arial"/>
        <w:sz w:val="12"/>
      </w:rPr>
      <w:instrText xml:space="preserve"> DOCPROPERTY PRIVACY  \* MERGEFORMAT </w:instrText>
    </w:r>
    <w:r w:rsidRPr="00D61A0F">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4" w:rsidRDefault="00A50514" w:rsidP="006F688E">
    <w:pPr>
      <w:pStyle w:val="Footer"/>
      <w:rPr>
        <w:sz w:val="16"/>
        <w:szCs w:val="16"/>
      </w:rPr>
    </w:pPr>
    <w:r>
      <w:rPr>
        <w:sz w:val="16"/>
        <w:szCs w:val="16"/>
      </w:rPr>
      <w:tab/>
    </w:r>
    <w:r>
      <w:rPr>
        <w:sz w:val="16"/>
        <w:szCs w:val="16"/>
      </w:rPr>
      <w:tab/>
    </w:r>
    <w:r w:rsidR="003967A1" w:rsidRPr="00751AA3">
      <w:rPr>
        <w:sz w:val="16"/>
        <w:szCs w:val="16"/>
      </w:rPr>
      <w:fldChar w:fldCharType="begin"/>
    </w:r>
    <w:r w:rsidRPr="00751AA3">
      <w:rPr>
        <w:sz w:val="16"/>
        <w:szCs w:val="16"/>
      </w:rPr>
      <w:instrText xml:space="preserve"> PAGE   \* MERGEFORMAT </w:instrText>
    </w:r>
    <w:r w:rsidR="003967A1" w:rsidRPr="00751AA3">
      <w:rPr>
        <w:sz w:val="16"/>
        <w:szCs w:val="16"/>
      </w:rPr>
      <w:fldChar w:fldCharType="separate"/>
    </w:r>
    <w:r w:rsidR="00037304">
      <w:rPr>
        <w:noProof/>
        <w:sz w:val="16"/>
        <w:szCs w:val="16"/>
      </w:rPr>
      <w:t>4</w:t>
    </w:r>
    <w:r w:rsidR="003967A1" w:rsidRPr="00751AA3">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A5" w:rsidRDefault="00AE51A5" w:rsidP="004854D5">
      <w:pPr>
        <w:spacing w:line="240" w:lineRule="auto"/>
      </w:pPr>
      <w:r>
        <w:separator/>
      </w:r>
    </w:p>
  </w:footnote>
  <w:footnote w:type="continuationSeparator" w:id="0">
    <w:p w:rsidR="00AE51A5" w:rsidRDefault="00AE51A5"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4" w:rsidRPr="00D61A0F" w:rsidRDefault="003967A1" w:rsidP="00D61A0F">
    <w:pPr>
      <w:pStyle w:val="Header"/>
      <w:jc w:val="center"/>
      <w:rPr>
        <w:rFonts w:cs="Arial"/>
        <w:b/>
        <w:sz w:val="20"/>
      </w:rPr>
    </w:pPr>
    <w:fldSimple w:instr=" DOCPROPERTY CLASSIFICATION \* MERGEFORMAT ">
      <w:r w:rsidR="00A50514">
        <w:rPr>
          <w:rFonts w:cs="Arial"/>
          <w:b/>
          <w:sz w:val="20"/>
        </w:rPr>
        <w:t>UNCLASSIFIED</w:t>
      </w:r>
    </w:fldSimple>
    <w:r w:rsidR="00A50514" w:rsidRPr="00D61A0F">
      <w:rPr>
        <w:rFonts w:cs="Arial"/>
        <w:b/>
        <w:sz w:val="20"/>
      </w:rPr>
      <w:t xml:space="preserve"> </w:t>
    </w:r>
    <w:r w:rsidRPr="00D61A0F">
      <w:rPr>
        <w:rFonts w:cs="Arial"/>
        <w:b/>
        <w:sz w:val="20"/>
      </w:rPr>
      <w:fldChar w:fldCharType="begin"/>
    </w:r>
    <w:r w:rsidR="00A50514" w:rsidRPr="00D61A0F">
      <w:rPr>
        <w:rFonts w:cs="Arial"/>
        <w:b/>
        <w:sz w:val="20"/>
      </w:rPr>
      <w:instrText xml:space="preserve"> DOCPROPERTY PRIVACY  \* MERGEFORMAT </w:instrText>
    </w:r>
    <w:r w:rsidRPr="00D61A0F">
      <w:rPr>
        <w:rFonts w:cs="Arial"/>
        <w:b/>
        <w:sz w:val="20"/>
      </w:rPr>
      <w:fldChar w:fldCharType="end"/>
    </w:r>
  </w:p>
  <w:p w:rsidR="00A50514" w:rsidRDefault="00A50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4" w:rsidRPr="00751AA3" w:rsidRDefault="00A50514" w:rsidP="006F688E">
    <w:pPr>
      <w:pStyle w:val="Header"/>
      <w:tabs>
        <w:tab w:val="clear" w:pos="4513"/>
      </w:tabs>
      <w:rPr>
        <w:sz w:val="16"/>
        <w:szCs w:val="16"/>
      </w:rPr>
    </w:pPr>
    <w:r>
      <w:rPr>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4" w:rsidRPr="00D61A0F" w:rsidRDefault="003967A1" w:rsidP="00D61A0F">
    <w:pPr>
      <w:pStyle w:val="Header"/>
      <w:jc w:val="center"/>
      <w:rPr>
        <w:rFonts w:cs="Arial"/>
        <w:b/>
        <w:sz w:val="20"/>
      </w:rPr>
    </w:pPr>
    <w:fldSimple w:instr=" DOCPROPERTY CLASSIFICATION \* MERGEFORMAT ">
      <w:r w:rsidR="00A50514">
        <w:rPr>
          <w:rFonts w:cs="Arial"/>
          <w:b/>
          <w:sz w:val="20"/>
        </w:rPr>
        <w:t>UNCLASSIFIED</w:t>
      </w:r>
    </w:fldSimple>
    <w:r w:rsidR="00A50514" w:rsidRPr="00D61A0F">
      <w:rPr>
        <w:rFonts w:cs="Arial"/>
        <w:b/>
        <w:sz w:val="20"/>
      </w:rPr>
      <w:t xml:space="preserve"> </w:t>
    </w:r>
    <w:r w:rsidRPr="00D61A0F">
      <w:rPr>
        <w:rFonts w:cs="Arial"/>
        <w:b/>
        <w:sz w:val="20"/>
      </w:rPr>
      <w:fldChar w:fldCharType="begin"/>
    </w:r>
    <w:r w:rsidR="00A50514" w:rsidRPr="00D61A0F">
      <w:rPr>
        <w:rFonts w:cs="Arial"/>
        <w:b/>
        <w:sz w:val="20"/>
      </w:rPr>
      <w:instrText xml:space="preserve"> DOCPROPERTY PRIVACY  \* MERGEFORMAT </w:instrText>
    </w:r>
    <w:r w:rsidRPr="00D61A0F">
      <w:rPr>
        <w:rFonts w:cs="Arial"/>
        <w:b/>
        <w:sz w:val="20"/>
      </w:rPr>
      <w:fldChar w:fldCharType="end"/>
    </w:r>
  </w:p>
  <w:p w:rsidR="00A50514" w:rsidRDefault="00A50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3B"/>
    <w:multiLevelType w:val="hybridMultilevel"/>
    <w:tmpl w:val="2168D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920CE"/>
    <w:multiLevelType w:val="hybridMultilevel"/>
    <w:tmpl w:val="82B2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633D3"/>
    <w:multiLevelType w:val="hybridMultilevel"/>
    <w:tmpl w:val="C368F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03DFD"/>
    <w:multiLevelType w:val="hybridMultilevel"/>
    <w:tmpl w:val="3B1AD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25D94"/>
    <w:multiLevelType w:val="hybridMultilevel"/>
    <w:tmpl w:val="7EC85FAE"/>
    <w:lvl w:ilvl="0" w:tplc="3E7CA24C">
      <w:start w:val="1"/>
      <w:numFmt w:val="bullet"/>
      <w:lvlText w:val="-"/>
      <w:lvlJc w:val="left"/>
      <w:pPr>
        <w:ind w:left="720" w:hanging="360"/>
      </w:pPr>
      <w:rPr>
        <w:rFonts w:ascii="Arial" w:eastAsia="Calibr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67C4B"/>
    <w:multiLevelType w:val="hybridMultilevel"/>
    <w:tmpl w:val="DAFA3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A3883"/>
    <w:multiLevelType w:val="hybridMultilevel"/>
    <w:tmpl w:val="D130A8AA"/>
    <w:lvl w:ilvl="0" w:tplc="3E7CA24C">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AC3A0F"/>
    <w:multiLevelType w:val="hybridMultilevel"/>
    <w:tmpl w:val="C32E4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7167D"/>
    <w:multiLevelType w:val="hybridMultilevel"/>
    <w:tmpl w:val="E2DCD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123F4C"/>
    <w:multiLevelType w:val="hybridMultilevel"/>
    <w:tmpl w:val="0E4E3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535733"/>
    <w:multiLevelType w:val="hybridMultilevel"/>
    <w:tmpl w:val="EDAA5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2A2904"/>
    <w:multiLevelType w:val="hybridMultilevel"/>
    <w:tmpl w:val="27E87806"/>
    <w:lvl w:ilvl="0" w:tplc="E50218D0">
      <w:start w:val="7"/>
      <w:numFmt w:val="bullet"/>
      <w:lvlText w:val="-"/>
      <w:lvlJc w:val="left"/>
      <w:pPr>
        <w:ind w:left="1080" w:hanging="36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F529BB"/>
    <w:multiLevelType w:val="hybridMultilevel"/>
    <w:tmpl w:val="57B41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5A0B9F"/>
    <w:multiLevelType w:val="hybridMultilevel"/>
    <w:tmpl w:val="1422B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9C1090"/>
    <w:multiLevelType w:val="hybridMultilevel"/>
    <w:tmpl w:val="438EF7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847F4E"/>
    <w:multiLevelType w:val="hybridMultilevel"/>
    <w:tmpl w:val="572E0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9F03CC"/>
    <w:multiLevelType w:val="hybridMultilevel"/>
    <w:tmpl w:val="6ACCA8CA"/>
    <w:lvl w:ilvl="0" w:tplc="60F4C58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A4821BF"/>
    <w:multiLevelType w:val="hybridMultilevel"/>
    <w:tmpl w:val="9A9A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C76228"/>
    <w:multiLevelType w:val="hybridMultilevel"/>
    <w:tmpl w:val="955E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872997"/>
    <w:multiLevelType w:val="hybridMultilevel"/>
    <w:tmpl w:val="E2A2FDD0"/>
    <w:lvl w:ilvl="0" w:tplc="979258EC">
      <w:numFmt w:val="bullet"/>
      <w:lvlText w:val="-"/>
      <w:lvlJc w:val="left"/>
      <w:pPr>
        <w:ind w:left="1080" w:hanging="36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6F56BE3"/>
    <w:multiLevelType w:val="hybridMultilevel"/>
    <w:tmpl w:val="5EC8A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2A6996"/>
    <w:multiLevelType w:val="hybridMultilevel"/>
    <w:tmpl w:val="462202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D7ABE10">
      <w:start w:val="1"/>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97A6765"/>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855DD2"/>
    <w:multiLevelType w:val="hybridMultilevel"/>
    <w:tmpl w:val="250CBB96"/>
    <w:lvl w:ilvl="0" w:tplc="7974E99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1FD741C"/>
    <w:multiLevelType w:val="hybridMultilevel"/>
    <w:tmpl w:val="6C36F1A4"/>
    <w:lvl w:ilvl="0" w:tplc="F6F4AF74">
      <w:start w:val="5"/>
      <w:numFmt w:val="bullet"/>
      <w:lvlText w:val="-"/>
      <w:lvlJc w:val="left"/>
      <w:pPr>
        <w:ind w:left="720" w:hanging="360"/>
      </w:pPr>
      <w:rPr>
        <w:rFonts w:ascii="Arial" w:eastAsia="SimSu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6754AF"/>
    <w:multiLevelType w:val="hybridMultilevel"/>
    <w:tmpl w:val="2BB07B60"/>
    <w:lvl w:ilvl="0" w:tplc="D8A27FBE">
      <w:numFmt w:val="bullet"/>
      <w:lvlText w:val=""/>
      <w:lvlJc w:val="left"/>
      <w:pPr>
        <w:ind w:left="720" w:hanging="360"/>
      </w:pPr>
      <w:rPr>
        <w:rFonts w:ascii="Wingdings" w:eastAsia="SimSun" w:hAnsi="Wingding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EF6E8E"/>
    <w:multiLevelType w:val="hybridMultilevel"/>
    <w:tmpl w:val="B8DA239C"/>
    <w:lvl w:ilvl="0" w:tplc="5EF0797A">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A6895"/>
    <w:multiLevelType w:val="hybridMultilevel"/>
    <w:tmpl w:val="CC22AC82"/>
    <w:lvl w:ilvl="0" w:tplc="8C4A783A">
      <w:start w:val="1"/>
      <w:numFmt w:val="bullet"/>
      <w:lvlText w:val="-"/>
      <w:lvlJc w:val="left"/>
      <w:pPr>
        <w:ind w:left="1080" w:hanging="36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AD52BB"/>
    <w:multiLevelType w:val="hybridMultilevel"/>
    <w:tmpl w:val="26C6C58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B46A40"/>
    <w:multiLevelType w:val="hybridMultilevel"/>
    <w:tmpl w:val="5B983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1644F8"/>
    <w:multiLevelType w:val="hybridMultilevel"/>
    <w:tmpl w:val="59EE9C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FE6F57"/>
    <w:multiLevelType w:val="hybridMultilevel"/>
    <w:tmpl w:val="61B82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3071EB"/>
    <w:multiLevelType w:val="hybridMultilevel"/>
    <w:tmpl w:val="C2E6A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BF0865"/>
    <w:multiLevelType w:val="hybridMultilevel"/>
    <w:tmpl w:val="4E581C7E"/>
    <w:lvl w:ilvl="0" w:tplc="5F96532C">
      <w:start w:val="1"/>
      <w:numFmt w:val="lowerLetter"/>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ED61B1"/>
    <w:multiLevelType w:val="hybridMultilevel"/>
    <w:tmpl w:val="6D444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563805"/>
    <w:multiLevelType w:val="hybridMultilevel"/>
    <w:tmpl w:val="A412CD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C23248D"/>
    <w:multiLevelType w:val="hybridMultilevel"/>
    <w:tmpl w:val="B80E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AB53A7"/>
    <w:multiLevelType w:val="hybridMultilevel"/>
    <w:tmpl w:val="225EF718"/>
    <w:lvl w:ilvl="0" w:tplc="1376F58A">
      <w:start w:val="1"/>
      <w:numFmt w:val="upperLetter"/>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4"/>
  </w:num>
  <w:num w:numId="3">
    <w:abstractNumId w:val="11"/>
  </w:num>
  <w:num w:numId="4">
    <w:abstractNumId w:val="24"/>
  </w:num>
  <w:num w:numId="5">
    <w:abstractNumId w:val="14"/>
  </w:num>
  <w:num w:numId="6">
    <w:abstractNumId w:val="16"/>
  </w:num>
  <w:num w:numId="7">
    <w:abstractNumId w:val="12"/>
  </w:num>
  <w:num w:numId="8">
    <w:abstractNumId w:val="1"/>
  </w:num>
  <w:num w:numId="9">
    <w:abstractNumId w:val="38"/>
  </w:num>
  <w:num w:numId="10">
    <w:abstractNumId w:val="36"/>
  </w:num>
  <w:num w:numId="11">
    <w:abstractNumId w:val="30"/>
  </w:num>
  <w:num w:numId="12">
    <w:abstractNumId w:val="6"/>
  </w:num>
  <w:num w:numId="13">
    <w:abstractNumId w:val="13"/>
  </w:num>
  <w:num w:numId="14">
    <w:abstractNumId w:val="22"/>
  </w:num>
  <w:num w:numId="15">
    <w:abstractNumId w:val="26"/>
  </w:num>
  <w:num w:numId="16">
    <w:abstractNumId w:val="19"/>
  </w:num>
  <w:num w:numId="17">
    <w:abstractNumId w:val="20"/>
  </w:num>
  <w:num w:numId="18">
    <w:abstractNumId w:val="4"/>
  </w:num>
  <w:num w:numId="19">
    <w:abstractNumId w:val="31"/>
  </w:num>
  <w:num w:numId="20">
    <w:abstractNumId w:val="7"/>
  </w:num>
  <w:num w:numId="21">
    <w:abstractNumId w:val="41"/>
  </w:num>
  <w:num w:numId="22">
    <w:abstractNumId w:val="25"/>
  </w:num>
  <w:num w:numId="23">
    <w:abstractNumId w:val="35"/>
  </w:num>
  <w:num w:numId="24">
    <w:abstractNumId w:val="33"/>
  </w:num>
  <w:num w:numId="25">
    <w:abstractNumId w:val="23"/>
  </w:num>
  <w:num w:numId="26">
    <w:abstractNumId w:val="0"/>
  </w:num>
  <w:num w:numId="27">
    <w:abstractNumId w:val="17"/>
  </w:num>
  <w:num w:numId="28">
    <w:abstractNumId w:val="29"/>
  </w:num>
  <w:num w:numId="29">
    <w:abstractNumId w:val="37"/>
  </w:num>
  <w:num w:numId="30">
    <w:abstractNumId w:val="40"/>
  </w:num>
  <w:num w:numId="31">
    <w:abstractNumId w:val="10"/>
  </w:num>
  <w:num w:numId="32">
    <w:abstractNumId w:val="28"/>
  </w:num>
  <w:num w:numId="33">
    <w:abstractNumId w:val="27"/>
  </w:num>
  <w:num w:numId="34">
    <w:abstractNumId w:val="15"/>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1"/>
  </w:num>
  <w:num w:numId="38">
    <w:abstractNumId w:val="5"/>
  </w:num>
  <w:num w:numId="39">
    <w:abstractNumId w:val="18"/>
  </w:num>
  <w:num w:numId="40">
    <w:abstractNumId w:val="32"/>
  </w:num>
  <w:num w:numId="41">
    <w:abstractNumId w:val="9"/>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D0FC5"/>
    <w:rsid w:val="0000663A"/>
    <w:rsid w:val="00010EAF"/>
    <w:rsid w:val="00021CDF"/>
    <w:rsid w:val="0002284C"/>
    <w:rsid w:val="00024956"/>
    <w:rsid w:val="000275E7"/>
    <w:rsid w:val="00033AF1"/>
    <w:rsid w:val="00037304"/>
    <w:rsid w:val="00040432"/>
    <w:rsid w:val="00043560"/>
    <w:rsid w:val="00054B23"/>
    <w:rsid w:val="00055648"/>
    <w:rsid w:val="00060113"/>
    <w:rsid w:val="00062E01"/>
    <w:rsid w:val="00070BC2"/>
    <w:rsid w:val="0007681D"/>
    <w:rsid w:val="000879AB"/>
    <w:rsid w:val="000968CC"/>
    <w:rsid w:val="000B1703"/>
    <w:rsid w:val="000B47DA"/>
    <w:rsid w:val="000C79F7"/>
    <w:rsid w:val="000E0823"/>
    <w:rsid w:val="000E7855"/>
    <w:rsid w:val="000F3B5E"/>
    <w:rsid w:val="00101955"/>
    <w:rsid w:val="00106E62"/>
    <w:rsid w:val="001107A2"/>
    <w:rsid w:val="001113B9"/>
    <w:rsid w:val="00112229"/>
    <w:rsid w:val="00125F6C"/>
    <w:rsid w:val="0013006B"/>
    <w:rsid w:val="00131BE3"/>
    <w:rsid w:val="00137878"/>
    <w:rsid w:val="00156BEF"/>
    <w:rsid w:val="00160D03"/>
    <w:rsid w:val="00164361"/>
    <w:rsid w:val="00173289"/>
    <w:rsid w:val="00177023"/>
    <w:rsid w:val="0019535E"/>
    <w:rsid w:val="001A41C4"/>
    <w:rsid w:val="001A575A"/>
    <w:rsid w:val="001A63A9"/>
    <w:rsid w:val="001B4FB9"/>
    <w:rsid w:val="001D63F4"/>
    <w:rsid w:val="001E0751"/>
    <w:rsid w:val="001E3CE3"/>
    <w:rsid w:val="00207394"/>
    <w:rsid w:val="00210641"/>
    <w:rsid w:val="00210E58"/>
    <w:rsid w:val="00221A23"/>
    <w:rsid w:val="0022248F"/>
    <w:rsid w:val="00225DC4"/>
    <w:rsid w:val="00230E24"/>
    <w:rsid w:val="00235D5B"/>
    <w:rsid w:val="002371AD"/>
    <w:rsid w:val="00240843"/>
    <w:rsid w:val="00243947"/>
    <w:rsid w:val="00244704"/>
    <w:rsid w:val="00251FFA"/>
    <w:rsid w:val="0025231E"/>
    <w:rsid w:val="002535D1"/>
    <w:rsid w:val="00256D62"/>
    <w:rsid w:val="00267799"/>
    <w:rsid w:val="002767E0"/>
    <w:rsid w:val="00284190"/>
    <w:rsid w:val="00293310"/>
    <w:rsid w:val="00294C21"/>
    <w:rsid w:val="002A02A4"/>
    <w:rsid w:val="002B1D7F"/>
    <w:rsid w:val="002B749D"/>
    <w:rsid w:val="002D42F8"/>
    <w:rsid w:val="00301CE3"/>
    <w:rsid w:val="003023F0"/>
    <w:rsid w:val="00303405"/>
    <w:rsid w:val="00311305"/>
    <w:rsid w:val="0031384B"/>
    <w:rsid w:val="003172E2"/>
    <w:rsid w:val="00321F0F"/>
    <w:rsid w:val="00333A0F"/>
    <w:rsid w:val="0033743D"/>
    <w:rsid w:val="00337D65"/>
    <w:rsid w:val="0034393A"/>
    <w:rsid w:val="0034666D"/>
    <w:rsid w:val="00347B82"/>
    <w:rsid w:val="0036123D"/>
    <w:rsid w:val="00362610"/>
    <w:rsid w:val="00363424"/>
    <w:rsid w:val="00373C2E"/>
    <w:rsid w:val="00376846"/>
    <w:rsid w:val="00393A93"/>
    <w:rsid w:val="00393AD6"/>
    <w:rsid w:val="00395AB0"/>
    <w:rsid w:val="003967A1"/>
    <w:rsid w:val="003A0923"/>
    <w:rsid w:val="003C055F"/>
    <w:rsid w:val="003D6573"/>
    <w:rsid w:val="003D6E22"/>
    <w:rsid w:val="003D73ED"/>
    <w:rsid w:val="003E0CFF"/>
    <w:rsid w:val="003E75CF"/>
    <w:rsid w:val="003F05D4"/>
    <w:rsid w:val="003F16E7"/>
    <w:rsid w:val="00401849"/>
    <w:rsid w:val="00416530"/>
    <w:rsid w:val="00424D6D"/>
    <w:rsid w:val="00431EDF"/>
    <w:rsid w:val="0043454E"/>
    <w:rsid w:val="00435F8C"/>
    <w:rsid w:val="004366D5"/>
    <w:rsid w:val="00446E06"/>
    <w:rsid w:val="00452790"/>
    <w:rsid w:val="0045399D"/>
    <w:rsid w:val="00463895"/>
    <w:rsid w:val="004644CA"/>
    <w:rsid w:val="00467D92"/>
    <w:rsid w:val="00470DD3"/>
    <w:rsid w:val="0047386A"/>
    <w:rsid w:val="004818B9"/>
    <w:rsid w:val="00483BF9"/>
    <w:rsid w:val="004854D5"/>
    <w:rsid w:val="004879B6"/>
    <w:rsid w:val="00492229"/>
    <w:rsid w:val="004B0677"/>
    <w:rsid w:val="004C2B30"/>
    <w:rsid w:val="004C59E7"/>
    <w:rsid w:val="004D1362"/>
    <w:rsid w:val="004E0D93"/>
    <w:rsid w:val="004E2C4C"/>
    <w:rsid w:val="004E3297"/>
    <w:rsid w:val="004E5332"/>
    <w:rsid w:val="004F1C17"/>
    <w:rsid w:val="004F6010"/>
    <w:rsid w:val="004F70B8"/>
    <w:rsid w:val="004F7584"/>
    <w:rsid w:val="00510DF6"/>
    <w:rsid w:val="00512EB2"/>
    <w:rsid w:val="00520E90"/>
    <w:rsid w:val="005235D3"/>
    <w:rsid w:val="0053088D"/>
    <w:rsid w:val="005337BD"/>
    <w:rsid w:val="00550BC4"/>
    <w:rsid w:val="00555544"/>
    <w:rsid w:val="00562896"/>
    <w:rsid w:val="00565F73"/>
    <w:rsid w:val="00566C5E"/>
    <w:rsid w:val="00572305"/>
    <w:rsid w:val="00575119"/>
    <w:rsid w:val="005908E5"/>
    <w:rsid w:val="0059369C"/>
    <w:rsid w:val="005951D0"/>
    <w:rsid w:val="00596091"/>
    <w:rsid w:val="005C14DF"/>
    <w:rsid w:val="005C7153"/>
    <w:rsid w:val="005D4FEE"/>
    <w:rsid w:val="005D5160"/>
    <w:rsid w:val="005E6347"/>
    <w:rsid w:val="005F4ED3"/>
    <w:rsid w:val="00600C5B"/>
    <w:rsid w:val="006052D4"/>
    <w:rsid w:val="0061502E"/>
    <w:rsid w:val="006233A7"/>
    <w:rsid w:val="00625629"/>
    <w:rsid w:val="00625E54"/>
    <w:rsid w:val="00632BE0"/>
    <w:rsid w:val="00637386"/>
    <w:rsid w:val="00643A0E"/>
    <w:rsid w:val="0064634A"/>
    <w:rsid w:val="00650A3A"/>
    <w:rsid w:val="00651642"/>
    <w:rsid w:val="00660C61"/>
    <w:rsid w:val="00665FF0"/>
    <w:rsid w:val="0067244B"/>
    <w:rsid w:val="00673F0F"/>
    <w:rsid w:val="006759BB"/>
    <w:rsid w:val="00683189"/>
    <w:rsid w:val="0069151A"/>
    <w:rsid w:val="006921E0"/>
    <w:rsid w:val="006A1174"/>
    <w:rsid w:val="006A1781"/>
    <w:rsid w:val="006A4AE7"/>
    <w:rsid w:val="006B0A8C"/>
    <w:rsid w:val="006B17E4"/>
    <w:rsid w:val="006B6144"/>
    <w:rsid w:val="006C15DA"/>
    <w:rsid w:val="006C4EF4"/>
    <w:rsid w:val="006E0B90"/>
    <w:rsid w:val="006E3F63"/>
    <w:rsid w:val="006E77DC"/>
    <w:rsid w:val="006F1347"/>
    <w:rsid w:val="006F688E"/>
    <w:rsid w:val="006F7932"/>
    <w:rsid w:val="00702F48"/>
    <w:rsid w:val="0070492F"/>
    <w:rsid w:val="00716BCC"/>
    <w:rsid w:val="00720F4F"/>
    <w:rsid w:val="00727F4D"/>
    <w:rsid w:val="00737DFD"/>
    <w:rsid w:val="00744EF2"/>
    <w:rsid w:val="00751AA3"/>
    <w:rsid w:val="0075370C"/>
    <w:rsid w:val="00754EE6"/>
    <w:rsid w:val="0076558C"/>
    <w:rsid w:val="007677AE"/>
    <w:rsid w:val="007702E1"/>
    <w:rsid w:val="00771029"/>
    <w:rsid w:val="00773B38"/>
    <w:rsid w:val="00782681"/>
    <w:rsid w:val="00782758"/>
    <w:rsid w:val="007A4BB7"/>
    <w:rsid w:val="007B3851"/>
    <w:rsid w:val="007B3B07"/>
    <w:rsid w:val="007C1718"/>
    <w:rsid w:val="007C4768"/>
    <w:rsid w:val="007C7803"/>
    <w:rsid w:val="007C7A2A"/>
    <w:rsid w:val="007E2229"/>
    <w:rsid w:val="007E39A5"/>
    <w:rsid w:val="0081323A"/>
    <w:rsid w:val="00813D52"/>
    <w:rsid w:val="00814F21"/>
    <w:rsid w:val="008222D1"/>
    <w:rsid w:val="00826C42"/>
    <w:rsid w:val="00835715"/>
    <w:rsid w:val="00845A43"/>
    <w:rsid w:val="008470B6"/>
    <w:rsid w:val="0085571C"/>
    <w:rsid w:val="00866A62"/>
    <w:rsid w:val="0087456E"/>
    <w:rsid w:val="00877648"/>
    <w:rsid w:val="008872AF"/>
    <w:rsid w:val="008A6513"/>
    <w:rsid w:val="008B2FF6"/>
    <w:rsid w:val="008B35D3"/>
    <w:rsid w:val="008B55F9"/>
    <w:rsid w:val="008E6F01"/>
    <w:rsid w:val="008F27C8"/>
    <w:rsid w:val="009116EE"/>
    <w:rsid w:val="009118DB"/>
    <w:rsid w:val="009149A7"/>
    <w:rsid w:val="009205BD"/>
    <w:rsid w:val="00921157"/>
    <w:rsid w:val="009228F4"/>
    <w:rsid w:val="00934117"/>
    <w:rsid w:val="009341CE"/>
    <w:rsid w:val="00935F6E"/>
    <w:rsid w:val="009471CA"/>
    <w:rsid w:val="009529D2"/>
    <w:rsid w:val="009532AF"/>
    <w:rsid w:val="0095341E"/>
    <w:rsid w:val="00955332"/>
    <w:rsid w:val="00957A40"/>
    <w:rsid w:val="00962257"/>
    <w:rsid w:val="00965176"/>
    <w:rsid w:val="00965645"/>
    <w:rsid w:val="00967DA7"/>
    <w:rsid w:val="00970750"/>
    <w:rsid w:val="009726F7"/>
    <w:rsid w:val="009733F7"/>
    <w:rsid w:val="00985F00"/>
    <w:rsid w:val="00992D8A"/>
    <w:rsid w:val="00993BBA"/>
    <w:rsid w:val="00997E63"/>
    <w:rsid w:val="009A256F"/>
    <w:rsid w:val="009A3045"/>
    <w:rsid w:val="009C3D57"/>
    <w:rsid w:val="009D50C4"/>
    <w:rsid w:val="009D6354"/>
    <w:rsid w:val="009D7784"/>
    <w:rsid w:val="009E0630"/>
    <w:rsid w:val="009E0D35"/>
    <w:rsid w:val="009E2F54"/>
    <w:rsid w:val="009F17E5"/>
    <w:rsid w:val="00A01DCB"/>
    <w:rsid w:val="00A03EBB"/>
    <w:rsid w:val="00A10B3C"/>
    <w:rsid w:val="00A10FCC"/>
    <w:rsid w:val="00A34EAC"/>
    <w:rsid w:val="00A40239"/>
    <w:rsid w:val="00A50514"/>
    <w:rsid w:val="00A57C58"/>
    <w:rsid w:val="00A8013F"/>
    <w:rsid w:val="00A94D71"/>
    <w:rsid w:val="00A9533A"/>
    <w:rsid w:val="00A95439"/>
    <w:rsid w:val="00AA66B2"/>
    <w:rsid w:val="00AC307A"/>
    <w:rsid w:val="00AD0FC5"/>
    <w:rsid w:val="00AD3402"/>
    <w:rsid w:val="00AD4F68"/>
    <w:rsid w:val="00AD7C03"/>
    <w:rsid w:val="00AE51A5"/>
    <w:rsid w:val="00AE5D06"/>
    <w:rsid w:val="00AE727D"/>
    <w:rsid w:val="00B06E1D"/>
    <w:rsid w:val="00B15429"/>
    <w:rsid w:val="00B2215E"/>
    <w:rsid w:val="00B328EA"/>
    <w:rsid w:val="00B503D7"/>
    <w:rsid w:val="00B63215"/>
    <w:rsid w:val="00B701BD"/>
    <w:rsid w:val="00B711D2"/>
    <w:rsid w:val="00B900A7"/>
    <w:rsid w:val="00B927BE"/>
    <w:rsid w:val="00B9674B"/>
    <w:rsid w:val="00BB3965"/>
    <w:rsid w:val="00BB412F"/>
    <w:rsid w:val="00BC0B4F"/>
    <w:rsid w:val="00BC261A"/>
    <w:rsid w:val="00BD038C"/>
    <w:rsid w:val="00BE0A63"/>
    <w:rsid w:val="00C0370A"/>
    <w:rsid w:val="00C141DF"/>
    <w:rsid w:val="00C31C2B"/>
    <w:rsid w:val="00C33730"/>
    <w:rsid w:val="00C35268"/>
    <w:rsid w:val="00C43EA7"/>
    <w:rsid w:val="00C44D77"/>
    <w:rsid w:val="00C45FDD"/>
    <w:rsid w:val="00C47297"/>
    <w:rsid w:val="00C50AD7"/>
    <w:rsid w:val="00C57129"/>
    <w:rsid w:val="00C64839"/>
    <w:rsid w:val="00C67CED"/>
    <w:rsid w:val="00C77505"/>
    <w:rsid w:val="00C86A3B"/>
    <w:rsid w:val="00C87B76"/>
    <w:rsid w:val="00CA433A"/>
    <w:rsid w:val="00CA4865"/>
    <w:rsid w:val="00CA71CD"/>
    <w:rsid w:val="00CC0887"/>
    <w:rsid w:val="00CC1F2D"/>
    <w:rsid w:val="00CC5A49"/>
    <w:rsid w:val="00CC6AC8"/>
    <w:rsid w:val="00CE5C23"/>
    <w:rsid w:val="00CE7A02"/>
    <w:rsid w:val="00CF0F31"/>
    <w:rsid w:val="00CF2E31"/>
    <w:rsid w:val="00CF5F36"/>
    <w:rsid w:val="00D000E9"/>
    <w:rsid w:val="00D120D1"/>
    <w:rsid w:val="00D133DF"/>
    <w:rsid w:val="00D159BD"/>
    <w:rsid w:val="00D21EBF"/>
    <w:rsid w:val="00D259A8"/>
    <w:rsid w:val="00D31B8B"/>
    <w:rsid w:val="00D31BC3"/>
    <w:rsid w:val="00D339E9"/>
    <w:rsid w:val="00D52893"/>
    <w:rsid w:val="00D55DCE"/>
    <w:rsid w:val="00D567E3"/>
    <w:rsid w:val="00D61A0F"/>
    <w:rsid w:val="00D818BD"/>
    <w:rsid w:val="00D83808"/>
    <w:rsid w:val="00DB39E2"/>
    <w:rsid w:val="00DB57CF"/>
    <w:rsid w:val="00DB620E"/>
    <w:rsid w:val="00DD556C"/>
    <w:rsid w:val="00DD61C4"/>
    <w:rsid w:val="00DD7ED1"/>
    <w:rsid w:val="00DE6C94"/>
    <w:rsid w:val="00DF4EE3"/>
    <w:rsid w:val="00DF75E5"/>
    <w:rsid w:val="00E0083E"/>
    <w:rsid w:val="00E023BD"/>
    <w:rsid w:val="00E05272"/>
    <w:rsid w:val="00E05CDE"/>
    <w:rsid w:val="00E05D77"/>
    <w:rsid w:val="00E07BDB"/>
    <w:rsid w:val="00E10B1D"/>
    <w:rsid w:val="00E15E15"/>
    <w:rsid w:val="00E30F37"/>
    <w:rsid w:val="00E36A54"/>
    <w:rsid w:val="00E42079"/>
    <w:rsid w:val="00E42FCB"/>
    <w:rsid w:val="00E46CA9"/>
    <w:rsid w:val="00E50890"/>
    <w:rsid w:val="00E60705"/>
    <w:rsid w:val="00E65301"/>
    <w:rsid w:val="00E66F6D"/>
    <w:rsid w:val="00E72AD8"/>
    <w:rsid w:val="00E80168"/>
    <w:rsid w:val="00EA5024"/>
    <w:rsid w:val="00EA6CBB"/>
    <w:rsid w:val="00EC02CD"/>
    <w:rsid w:val="00EC5DD6"/>
    <w:rsid w:val="00EC6DC6"/>
    <w:rsid w:val="00ED13EB"/>
    <w:rsid w:val="00ED185B"/>
    <w:rsid w:val="00EE1F26"/>
    <w:rsid w:val="00EE3A3C"/>
    <w:rsid w:val="00EF7710"/>
    <w:rsid w:val="00F20486"/>
    <w:rsid w:val="00F237A6"/>
    <w:rsid w:val="00F243CA"/>
    <w:rsid w:val="00F26E8B"/>
    <w:rsid w:val="00F35BC2"/>
    <w:rsid w:val="00F35F35"/>
    <w:rsid w:val="00F4253B"/>
    <w:rsid w:val="00F42F9F"/>
    <w:rsid w:val="00F47AB6"/>
    <w:rsid w:val="00F648E2"/>
    <w:rsid w:val="00F659E5"/>
    <w:rsid w:val="00F66982"/>
    <w:rsid w:val="00F74528"/>
    <w:rsid w:val="00F77A49"/>
    <w:rsid w:val="00F853C5"/>
    <w:rsid w:val="00F872DC"/>
    <w:rsid w:val="00F91C0B"/>
    <w:rsid w:val="00F950EC"/>
    <w:rsid w:val="00FA5DA8"/>
    <w:rsid w:val="00FB0791"/>
    <w:rsid w:val="00FB0950"/>
    <w:rsid w:val="00FC6135"/>
    <w:rsid w:val="00FD0102"/>
    <w:rsid w:val="00FE1E6D"/>
    <w:rsid w:val="00FE622E"/>
    <w:rsid w:val="00FE795C"/>
    <w:rsid w:val="00FF5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TOC1">
    <w:name w:val="toc 1"/>
    <w:basedOn w:val="Normal"/>
    <w:next w:val="Normal"/>
    <w:autoRedefine/>
    <w:uiPriority w:val="39"/>
    <w:unhideWhenUsed/>
    <w:rsid w:val="00401849"/>
  </w:style>
  <w:style w:type="paragraph" w:styleId="TOC2">
    <w:name w:val="toc 2"/>
    <w:basedOn w:val="Normal"/>
    <w:next w:val="Normal"/>
    <w:autoRedefine/>
    <w:uiPriority w:val="39"/>
    <w:unhideWhenUsed/>
    <w:rsid w:val="00401849"/>
    <w:pPr>
      <w:ind w:left="220"/>
    </w:pPr>
  </w:style>
  <w:style w:type="character" w:styleId="Hyperlink">
    <w:name w:val="Hyperlink"/>
    <w:uiPriority w:val="99"/>
    <w:unhideWhenUsed/>
    <w:rsid w:val="00401849"/>
    <w:rPr>
      <w:color w:val="0000FF"/>
      <w:u w:val="single"/>
    </w:rPr>
  </w:style>
  <w:style w:type="paragraph" w:styleId="ListParagraph">
    <w:name w:val="List Paragraph"/>
    <w:basedOn w:val="Normal"/>
    <w:uiPriority w:val="34"/>
    <w:qFormat/>
    <w:rsid w:val="0002284C"/>
    <w:pPr>
      <w:ind w:left="720"/>
    </w:pPr>
  </w:style>
  <w:style w:type="character" w:styleId="FollowedHyperlink">
    <w:name w:val="FollowedHyperlink"/>
    <w:uiPriority w:val="99"/>
    <w:semiHidden/>
    <w:unhideWhenUsed/>
    <w:rsid w:val="007C1718"/>
    <w:rPr>
      <w:color w:val="800080"/>
      <w:u w:val="single"/>
    </w:rPr>
  </w:style>
  <w:style w:type="paragraph" w:styleId="NoSpacing">
    <w:name w:val="No Spacing"/>
    <w:uiPriority w:val="1"/>
    <w:qFormat/>
    <w:rsid w:val="006052D4"/>
    <w:rPr>
      <w:rFonts w:ascii="Arial" w:hAnsi="Arial"/>
      <w:sz w:val="22"/>
      <w:szCs w:val="22"/>
      <w:lang w:eastAsia="en-US"/>
    </w:rPr>
  </w:style>
  <w:style w:type="paragraph" w:styleId="PlainText">
    <w:name w:val="Plain Text"/>
    <w:basedOn w:val="Normal"/>
    <w:link w:val="PlainTextChar"/>
    <w:uiPriority w:val="99"/>
    <w:semiHidden/>
    <w:unhideWhenUsed/>
    <w:rsid w:val="00C64839"/>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C64839"/>
    <w:rPr>
      <w:rFonts w:ascii="Consolas" w:eastAsia="Calibri" w:hAnsi="Consolas" w:cs="Times New Roman"/>
      <w:sz w:val="21"/>
      <w:szCs w:val="21"/>
      <w:lang w:eastAsia="en-US"/>
    </w:rPr>
  </w:style>
  <w:style w:type="paragraph" w:styleId="BodyText2">
    <w:name w:val="Body Text 2"/>
    <w:basedOn w:val="Normal"/>
    <w:link w:val="BodyText2Char"/>
    <w:semiHidden/>
    <w:rsid w:val="00EE1F26"/>
    <w:pPr>
      <w:spacing w:line="240" w:lineRule="auto"/>
      <w:jc w:val="both"/>
    </w:pPr>
    <w:rPr>
      <w:rFonts w:eastAsia="Times New Roman"/>
      <w:sz w:val="20"/>
      <w:szCs w:val="20"/>
      <w:lang w:eastAsia="en-GB"/>
    </w:rPr>
  </w:style>
  <w:style w:type="character" w:customStyle="1" w:styleId="BodyText2Char">
    <w:name w:val="Body Text 2 Char"/>
    <w:basedOn w:val="DefaultParagraphFont"/>
    <w:link w:val="BodyText2"/>
    <w:semiHidden/>
    <w:rsid w:val="00EE1F26"/>
    <w:rPr>
      <w:rFonts w:ascii="Arial" w:eastAsia="Times New Roman" w:hAnsi="Arial"/>
    </w:rPr>
  </w:style>
  <w:style w:type="character" w:styleId="CommentReference">
    <w:name w:val="annotation reference"/>
    <w:basedOn w:val="DefaultParagraphFont"/>
    <w:uiPriority w:val="99"/>
    <w:semiHidden/>
    <w:unhideWhenUsed/>
    <w:rsid w:val="001E0751"/>
    <w:rPr>
      <w:sz w:val="16"/>
      <w:szCs w:val="16"/>
    </w:rPr>
  </w:style>
  <w:style w:type="paragraph" w:styleId="CommentText">
    <w:name w:val="annotation text"/>
    <w:basedOn w:val="Normal"/>
    <w:link w:val="CommentTextChar"/>
    <w:unhideWhenUsed/>
    <w:rsid w:val="001E0751"/>
    <w:rPr>
      <w:sz w:val="20"/>
      <w:szCs w:val="20"/>
    </w:rPr>
  </w:style>
  <w:style w:type="character" w:customStyle="1" w:styleId="CommentTextChar">
    <w:name w:val="Comment Text Char"/>
    <w:basedOn w:val="DefaultParagraphFont"/>
    <w:link w:val="CommentText"/>
    <w:rsid w:val="001E075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E0751"/>
    <w:rPr>
      <w:b/>
      <w:bCs/>
    </w:rPr>
  </w:style>
  <w:style w:type="character" w:customStyle="1" w:styleId="CommentSubjectChar">
    <w:name w:val="Comment Subject Char"/>
    <w:basedOn w:val="CommentTextChar"/>
    <w:link w:val="CommentSubject"/>
    <w:uiPriority w:val="99"/>
    <w:semiHidden/>
    <w:rsid w:val="001E0751"/>
    <w:rPr>
      <w:b/>
      <w:bCs/>
    </w:rPr>
  </w:style>
</w:styles>
</file>

<file path=word/webSettings.xml><?xml version="1.0" encoding="utf-8"?>
<w:webSettings xmlns:r="http://schemas.openxmlformats.org/officeDocument/2006/relationships" xmlns:w="http://schemas.openxmlformats.org/wordprocessingml/2006/main">
  <w:divs>
    <w:div w:id="20329149">
      <w:bodyDiv w:val="1"/>
      <w:marLeft w:val="0"/>
      <w:marRight w:val="0"/>
      <w:marTop w:val="0"/>
      <w:marBottom w:val="0"/>
      <w:divBdr>
        <w:top w:val="none" w:sz="0" w:space="0" w:color="auto"/>
        <w:left w:val="none" w:sz="0" w:space="0" w:color="auto"/>
        <w:bottom w:val="none" w:sz="0" w:space="0" w:color="auto"/>
        <w:right w:val="none" w:sz="0" w:space="0" w:color="auto"/>
      </w:divBdr>
    </w:div>
    <w:div w:id="59796497">
      <w:bodyDiv w:val="1"/>
      <w:marLeft w:val="0"/>
      <w:marRight w:val="0"/>
      <w:marTop w:val="0"/>
      <w:marBottom w:val="0"/>
      <w:divBdr>
        <w:top w:val="none" w:sz="0" w:space="0" w:color="auto"/>
        <w:left w:val="none" w:sz="0" w:space="0" w:color="auto"/>
        <w:bottom w:val="none" w:sz="0" w:space="0" w:color="auto"/>
        <w:right w:val="none" w:sz="0" w:space="0" w:color="auto"/>
      </w:divBdr>
    </w:div>
    <w:div w:id="227305104">
      <w:bodyDiv w:val="1"/>
      <w:marLeft w:val="0"/>
      <w:marRight w:val="0"/>
      <w:marTop w:val="0"/>
      <w:marBottom w:val="0"/>
      <w:divBdr>
        <w:top w:val="none" w:sz="0" w:space="0" w:color="auto"/>
        <w:left w:val="none" w:sz="0" w:space="0" w:color="auto"/>
        <w:bottom w:val="none" w:sz="0" w:space="0" w:color="auto"/>
        <w:right w:val="none" w:sz="0" w:space="0" w:color="auto"/>
      </w:divBdr>
    </w:div>
    <w:div w:id="407074732">
      <w:bodyDiv w:val="1"/>
      <w:marLeft w:val="0"/>
      <w:marRight w:val="0"/>
      <w:marTop w:val="0"/>
      <w:marBottom w:val="0"/>
      <w:divBdr>
        <w:top w:val="none" w:sz="0" w:space="0" w:color="auto"/>
        <w:left w:val="none" w:sz="0" w:space="0" w:color="auto"/>
        <w:bottom w:val="none" w:sz="0" w:space="0" w:color="auto"/>
        <w:right w:val="none" w:sz="0" w:space="0" w:color="auto"/>
      </w:divBdr>
    </w:div>
    <w:div w:id="409811027">
      <w:bodyDiv w:val="1"/>
      <w:marLeft w:val="0"/>
      <w:marRight w:val="0"/>
      <w:marTop w:val="0"/>
      <w:marBottom w:val="0"/>
      <w:divBdr>
        <w:top w:val="none" w:sz="0" w:space="0" w:color="auto"/>
        <w:left w:val="none" w:sz="0" w:space="0" w:color="auto"/>
        <w:bottom w:val="none" w:sz="0" w:space="0" w:color="auto"/>
        <w:right w:val="none" w:sz="0" w:space="0" w:color="auto"/>
      </w:divBdr>
    </w:div>
    <w:div w:id="543101325">
      <w:bodyDiv w:val="1"/>
      <w:marLeft w:val="0"/>
      <w:marRight w:val="0"/>
      <w:marTop w:val="0"/>
      <w:marBottom w:val="0"/>
      <w:divBdr>
        <w:top w:val="none" w:sz="0" w:space="0" w:color="auto"/>
        <w:left w:val="none" w:sz="0" w:space="0" w:color="auto"/>
        <w:bottom w:val="none" w:sz="0" w:space="0" w:color="auto"/>
        <w:right w:val="none" w:sz="0" w:space="0" w:color="auto"/>
      </w:divBdr>
    </w:div>
    <w:div w:id="545993696">
      <w:bodyDiv w:val="1"/>
      <w:marLeft w:val="0"/>
      <w:marRight w:val="0"/>
      <w:marTop w:val="0"/>
      <w:marBottom w:val="0"/>
      <w:divBdr>
        <w:top w:val="none" w:sz="0" w:space="0" w:color="auto"/>
        <w:left w:val="none" w:sz="0" w:space="0" w:color="auto"/>
        <w:bottom w:val="none" w:sz="0" w:space="0" w:color="auto"/>
        <w:right w:val="none" w:sz="0" w:space="0" w:color="auto"/>
      </w:divBdr>
    </w:div>
    <w:div w:id="607155745">
      <w:bodyDiv w:val="1"/>
      <w:marLeft w:val="0"/>
      <w:marRight w:val="0"/>
      <w:marTop w:val="0"/>
      <w:marBottom w:val="0"/>
      <w:divBdr>
        <w:top w:val="none" w:sz="0" w:space="0" w:color="auto"/>
        <w:left w:val="none" w:sz="0" w:space="0" w:color="auto"/>
        <w:bottom w:val="none" w:sz="0" w:space="0" w:color="auto"/>
        <w:right w:val="none" w:sz="0" w:space="0" w:color="auto"/>
      </w:divBdr>
    </w:div>
    <w:div w:id="637144954">
      <w:bodyDiv w:val="1"/>
      <w:marLeft w:val="0"/>
      <w:marRight w:val="0"/>
      <w:marTop w:val="0"/>
      <w:marBottom w:val="0"/>
      <w:divBdr>
        <w:top w:val="none" w:sz="0" w:space="0" w:color="auto"/>
        <w:left w:val="none" w:sz="0" w:space="0" w:color="auto"/>
        <w:bottom w:val="none" w:sz="0" w:space="0" w:color="auto"/>
        <w:right w:val="none" w:sz="0" w:space="0" w:color="auto"/>
      </w:divBdr>
    </w:div>
    <w:div w:id="1032457342">
      <w:bodyDiv w:val="1"/>
      <w:marLeft w:val="0"/>
      <w:marRight w:val="0"/>
      <w:marTop w:val="0"/>
      <w:marBottom w:val="0"/>
      <w:divBdr>
        <w:top w:val="none" w:sz="0" w:space="0" w:color="auto"/>
        <w:left w:val="none" w:sz="0" w:space="0" w:color="auto"/>
        <w:bottom w:val="none" w:sz="0" w:space="0" w:color="auto"/>
        <w:right w:val="none" w:sz="0" w:space="0" w:color="auto"/>
      </w:divBdr>
    </w:div>
    <w:div w:id="1119447776">
      <w:bodyDiv w:val="1"/>
      <w:marLeft w:val="0"/>
      <w:marRight w:val="0"/>
      <w:marTop w:val="0"/>
      <w:marBottom w:val="0"/>
      <w:divBdr>
        <w:top w:val="none" w:sz="0" w:space="0" w:color="auto"/>
        <w:left w:val="none" w:sz="0" w:space="0" w:color="auto"/>
        <w:bottom w:val="none" w:sz="0" w:space="0" w:color="auto"/>
        <w:right w:val="none" w:sz="0" w:space="0" w:color="auto"/>
      </w:divBdr>
    </w:div>
    <w:div w:id="1277520723">
      <w:bodyDiv w:val="1"/>
      <w:marLeft w:val="0"/>
      <w:marRight w:val="0"/>
      <w:marTop w:val="0"/>
      <w:marBottom w:val="0"/>
      <w:divBdr>
        <w:top w:val="none" w:sz="0" w:space="0" w:color="auto"/>
        <w:left w:val="none" w:sz="0" w:space="0" w:color="auto"/>
        <w:bottom w:val="none" w:sz="0" w:space="0" w:color="auto"/>
        <w:right w:val="none" w:sz="0" w:space="0" w:color="auto"/>
      </w:divBdr>
    </w:div>
    <w:div w:id="1307198972">
      <w:bodyDiv w:val="1"/>
      <w:marLeft w:val="0"/>
      <w:marRight w:val="0"/>
      <w:marTop w:val="0"/>
      <w:marBottom w:val="0"/>
      <w:divBdr>
        <w:top w:val="none" w:sz="0" w:space="0" w:color="auto"/>
        <w:left w:val="none" w:sz="0" w:space="0" w:color="auto"/>
        <w:bottom w:val="none" w:sz="0" w:space="0" w:color="auto"/>
        <w:right w:val="none" w:sz="0" w:space="0" w:color="auto"/>
      </w:divBdr>
    </w:div>
    <w:div w:id="1322588449">
      <w:bodyDiv w:val="1"/>
      <w:marLeft w:val="0"/>
      <w:marRight w:val="0"/>
      <w:marTop w:val="0"/>
      <w:marBottom w:val="0"/>
      <w:divBdr>
        <w:top w:val="none" w:sz="0" w:space="0" w:color="auto"/>
        <w:left w:val="none" w:sz="0" w:space="0" w:color="auto"/>
        <w:bottom w:val="none" w:sz="0" w:space="0" w:color="auto"/>
        <w:right w:val="none" w:sz="0" w:space="0" w:color="auto"/>
      </w:divBdr>
    </w:div>
    <w:div w:id="1532722510">
      <w:bodyDiv w:val="1"/>
      <w:marLeft w:val="0"/>
      <w:marRight w:val="0"/>
      <w:marTop w:val="0"/>
      <w:marBottom w:val="0"/>
      <w:divBdr>
        <w:top w:val="none" w:sz="0" w:space="0" w:color="auto"/>
        <w:left w:val="none" w:sz="0" w:space="0" w:color="auto"/>
        <w:bottom w:val="none" w:sz="0" w:space="0" w:color="auto"/>
        <w:right w:val="none" w:sz="0" w:space="0" w:color="auto"/>
      </w:divBdr>
    </w:div>
    <w:div w:id="1630746287">
      <w:bodyDiv w:val="1"/>
      <w:marLeft w:val="0"/>
      <w:marRight w:val="0"/>
      <w:marTop w:val="0"/>
      <w:marBottom w:val="0"/>
      <w:divBdr>
        <w:top w:val="none" w:sz="0" w:space="0" w:color="auto"/>
        <w:left w:val="none" w:sz="0" w:space="0" w:color="auto"/>
        <w:bottom w:val="none" w:sz="0" w:space="0" w:color="auto"/>
        <w:right w:val="none" w:sz="0" w:space="0" w:color="auto"/>
      </w:divBdr>
    </w:div>
    <w:div w:id="1750276132">
      <w:bodyDiv w:val="1"/>
      <w:marLeft w:val="0"/>
      <w:marRight w:val="0"/>
      <w:marTop w:val="0"/>
      <w:marBottom w:val="0"/>
      <w:divBdr>
        <w:top w:val="none" w:sz="0" w:space="0" w:color="auto"/>
        <w:left w:val="none" w:sz="0" w:space="0" w:color="auto"/>
        <w:bottom w:val="none" w:sz="0" w:space="0" w:color="auto"/>
        <w:right w:val="none" w:sz="0" w:space="0" w:color="auto"/>
      </w:divBdr>
    </w:div>
    <w:div w:id="1761759497">
      <w:bodyDiv w:val="1"/>
      <w:marLeft w:val="0"/>
      <w:marRight w:val="0"/>
      <w:marTop w:val="0"/>
      <w:marBottom w:val="0"/>
      <w:divBdr>
        <w:top w:val="none" w:sz="0" w:space="0" w:color="auto"/>
        <w:left w:val="none" w:sz="0" w:space="0" w:color="auto"/>
        <w:bottom w:val="none" w:sz="0" w:space="0" w:color="auto"/>
        <w:right w:val="none" w:sz="0" w:space="0" w:color="auto"/>
      </w:divBdr>
    </w:div>
    <w:div w:id="1789929862">
      <w:bodyDiv w:val="1"/>
      <w:marLeft w:val="0"/>
      <w:marRight w:val="0"/>
      <w:marTop w:val="0"/>
      <w:marBottom w:val="0"/>
      <w:divBdr>
        <w:top w:val="none" w:sz="0" w:space="0" w:color="auto"/>
        <w:left w:val="none" w:sz="0" w:space="0" w:color="auto"/>
        <w:bottom w:val="none" w:sz="0" w:space="0" w:color="auto"/>
        <w:right w:val="none" w:sz="0" w:space="0" w:color="auto"/>
      </w:divBdr>
    </w:div>
    <w:div w:id="1825972984">
      <w:bodyDiv w:val="1"/>
      <w:marLeft w:val="0"/>
      <w:marRight w:val="0"/>
      <w:marTop w:val="0"/>
      <w:marBottom w:val="0"/>
      <w:divBdr>
        <w:top w:val="none" w:sz="0" w:space="0" w:color="auto"/>
        <w:left w:val="none" w:sz="0" w:space="0" w:color="auto"/>
        <w:bottom w:val="none" w:sz="0" w:space="0" w:color="auto"/>
        <w:right w:val="none" w:sz="0" w:space="0" w:color="auto"/>
      </w:divBdr>
    </w:div>
    <w:div w:id="1851486601">
      <w:bodyDiv w:val="1"/>
      <w:marLeft w:val="0"/>
      <w:marRight w:val="0"/>
      <w:marTop w:val="0"/>
      <w:marBottom w:val="0"/>
      <w:divBdr>
        <w:top w:val="none" w:sz="0" w:space="0" w:color="auto"/>
        <w:left w:val="none" w:sz="0" w:space="0" w:color="auto"/>
        <w:bottom w:val="none" w:sz="0" w:space="0" w:color="auto"/>
        <w:right w:val="none" w:sz="0" w:space="0" w:color="auto"/>
      </w:divBdr>
    </w:div>
    <w:div w:id="1891724469">
      <w:bodyDiv w:val="1"/>
      <w:marLeft w:val="0"/>
      <w:marRight w:val="0"/>
      <w:marTop w:val="0"/>
      <w:marBottom w:val="0"/>
      <w:divBdr>
        <w:top w:val="none" w:sz="0" w:space="0" w:color="auto"/>
        <w:left w:val="none" w:sz="0" w:space="0" w:color="auto"/>
        <w:bottom w:val="none" w:sz="0" w:space="0" w:color="auto"/>
        <w:right w:val="none" w:sz="0" w:space="0" w:color="auto"/>
      </w:divBdr>
    </w:div>
    <w:div w:id="1986228864">
      <w:bodyDiv w:val="1"/>
      <w:marLeft w:val="0"/>
      <w:marRight w:val="0"/>
      <w:marTop w:val="0"/>
      <w:marBottom w:val="0"/>
      <w:divBdr>
        <w:top w:val="none" w:sz="0" w:space="0" w:color="auto"/>
        <w:left w:val="none" w:sz="0" w:space="0" w:color="auto"/>
        <w:bottom w:val="none" w:sz="0" w:space="0" w:color="auto"/>
        <w:right w:val="none" w:sz="0" w:space="0" w:color="auto"/>
      </w:divBdr>
    </w:div>
    <w:div w:id="2010868621">
      <w:bodyDiv w:val="1"/>
      <w:marLeft w:val="0"/>
      <w:marRight w:val="0"/>
      <w:marTop w:val="0"/>
      <w:marBottom w:val="0"/>
      <w:divBdr>
        <w:top w:val="none" w:sz="0" w:space="0" w:color="auto"/>
        <w:left w:val="none" w:sz="0" w:space="0" w:color="auto"/>
        <w:bottom w:val="none" w:sz="0" w:space="0" w:color="auto"/>
        <w:right w:val="none" w:sz="0" w:space="0" w:color="auto"/>
      </w:divBdr>
    </w:div>
    <w:div w:id="2028290635">
      <w:bodyDiv w:val="1"/>
      <w:marLeft w:val="0"/>
      <w:marRight w:val="0"/>
      <w:marTop w:val="0"/>
      <w:marBottom w:val="0"/>
      <w:divBdr>
        <w:top w:val="none" w:sz="0" w:space="0" w:color="auto"/>
        <w:left w:val="none" w:sz="0" w:space="0" w:color="auto"/>
        <w:bottom w:val="none" w:sz="0" w:space="0" w:color="auto"/>
        <w:right w:val="none" w:sz="0" w:space="0" w:color="auto"/>
      </w:divBdr>
    </w:div>
    <w:div w:id="21048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C473-9A3A-4E44-94B0-93E5D111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letterhead template</vt:lpstr>
    </vt:vector>
  </TitlesOfParts>
  <Company>FCO</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sbhandari</dc:creator>
  <cp:lastModifiedBy>mbyrd</cp:lastModifiedBy>
  <cp:revision>3</cp:revision>
  <cp:lastPrinted>2014-01-31T13:31:00Z</cp:lastPrinted>
  <dcterms:created xsi:type="dcterms:W3CDTF">2014-06-25T13:38:00Z</dcterms:created>
  <dcterms:modified xsi:type="dcterms:W3CDTF">2014-06-25T13:42:00Z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2013-09-11T22:59:59Z</vt:filetime>
  </property>
</Properties>
</file>