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0BB" w:rsidRPr="008A5812" w:rsidRDefault="003620BB" w:rsidP="00CB1716">
      <w:pPr>
        <w:spacing w:after="160" w:line="240" w:lineRule="auto"/>
        <w:jc w:val="both"/>
        <w:rPr>
          <w:color w:val="009EE3"/>
          <w:sz w:val="52"/>
          <w:szCs w:val="52"/>
        </w:rPr>
      </w:pPr>
      <w:bookmarkStart w:id="0" w:name="OLE_LINK15"/>
      <w:bookmarkStart w:id="1" w:name="OLE_LINK16"/>
      <w:r>
        <w:rPr>
          <w:color w:val="009EE3"/>
          <w:sz w:val="52"/>
          <w:szCs w:val="52"/>
        </w:rPr>
        <w:t xml:space="preserve">Domestic Green Deal, </w:t>
      </w:r>
      <w:r w:rsidR="00CB1716" w:rsidRPr="008A5812">
        <w:rPr>
          <w:color w:val="009EE3"/>
          <w:sz w:val="52"/>
          <w:szCs w:val="52"/>
        </w:rPr>
        <w:t xml:space="preserve">Energy Company Obligation </w:t>
      </w:r>
      <w:r w:rsidR="00E94612">
        <w:rPr>
          <w:color w:val="009EE3"/>
          <w:sz w:val="52"/>
          <w:szCs w:val="52"/>
        </w:rPr>
        <w:t xml:space="preserve">and Insulation Levels in Great Britain, </w:t>
      </w:r>
      <w:r w:rsidR="004317C5" w:rsidRPr="004317C5">
        <w:rPr>
          <w:color w:val="009EE3"/>
          <w:sz w:val="52"/>
          <w:szCs w:val="52"/>
        </w:rPr>
        <w:t>Quarterly report</w:t>
      </w: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A979BF" w:rsidRPr="0050316A" w:rsidRDefault="006D5D73" w:rsidP="0087707B">
      <w:pPr>
        <w:spacing w:after="160" w:line="240" w:lineRule="auto"/>
        <w:jc w:val="both"/>
        <w:rPr>
          <w:color w:val="FFFFFF"/>
          <w:sz w:val="32"/>
          <w:szCs w:val="32"/>
        </w:rPr>
      </w:pPr>
      <w:r>
        <w:rPr>
          <w:color w:val="FFFFFF"/>
          <w:sz w:val="32"/>
          <w:szCs w:val="32"/>
        </w:rPr>
        <w:t>Statistical release: Experimental statistics</w:t>
      </w:r>
      <w:bookmarkEnd w:id="0"/>
      <w:bookmarkEnd w:id="1"/>
    </w:p>
    <w:p w:rsidR="00721C77" w:rsidRPr="008A5812" w:rsidRDefault="00D31D2C" w:rsidP="00721C77">
      <w:pPr>
        <w:pStyle w:val="Date"/>
        <w:rPr>
          <w:rFonts w:cs="Arial"/>
        </w:rPr>
        <w:sectPr w:rsidR="00721C77" w:rsidRPr="008A5812" w:rsidSect="008F7F9E">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70" w:right="851" w:bottom="567" w:left="851" w:header="680" w:footer="165" w:gutter="0"/>
          <w:cols w:space="720"/>
          <w:formProt w:val="0"/>
          <w:titlePg/>
        </w:sectPr>
      </w:pPr>
      <w:r>
        <w:rPr>
          <w:rFonts w:cs="Arial"/>
        </w:rPr>
        <w:t>18 December</w:t>
      </w:r>
      <w:r w:rsidR="00040C25">
        <w:rPr>
          <w:rFonts w:cs="Arial"/>
        </w:rPr>
        <w:t xml:space="preserve"> 2014</w:t>
      </w:r>
    </w:p>
    <w:p w:rsidR="00927623" w:rsidRPr="008A5812" w:rsidRDefault="00927623" w:rsidP="00927623">
      <w:r w:rsidRPr="008A5812">
        <w:lastRenderedPageBreak/>
        <w:t xml:space="preserve">© Crown copyright </w:t>
      </w:r>
      <w:r w:rsidR="00040C25">
        <w:t>2014</w:t>
      </w:r>
    </w:p>
    <w:p w:rsidR="00927623" w:rsidRPr="008A5812" w:rsidRDefault="00927623" w:rsidP="00927623">
      <w:r w:rsidRPr="008A5812">
        <w:t>You may re-use this information (not including logos) free of charge in any format or medium, under the terms of the Open Government Licence.</w:t>
      </w:r>
      <w:r w:rsidR="00546E91" w:rsidRPr="008A5812">
        <w:t xml:space="preserve"> </w:t>
      </w:r>
    </w:p>
    <w:p w:rsidR="00927623" w:rsidRPr="008A5812" w:rsidRDefault="00927623" w:rsidP="00927623">
      <w:r w:rsidRPr="008A5812">
        <w:t xml:space="preserve">To view this licence, visit </w:t>
      </w:r>
      <w:hyperlink r:id="rId18" w:history="1">
        <w:r w:rsidRPr="008A5812">
          <w:rPr>
            <w:rStyle w:val="Hyperlink"/>
            <w:rFonts w:ascii="Arial" w:hAnsi="Arial"/>
          </w:rPr>
          <w:t>www.nationalarchives.gov.uk/doc/open-government-licence/</w:t>
        </w:r>
      </w:hyperlink>
      <w:r w:rsidRPr="008A5812">
        <w:t xml:space="preserve"> </w:t>
      </w:r>
      <w:r w:rsidRPr="008A5812">
        <w:br/>
        <w:t xml:space="preserve">or write to the Information Policy Team, The National Archives, Kew, London TW9 4DU, </w:t>
      </w:r>
      <w:r w:rsidRPr="008A5812">
        <w:br/>
        <w:t xml:space="preserve">or email: </w:t>
      </w:r>
      <w:hyperlink r:id="rId19" w:history="1">
        <w:r w:rsidRPr="008A5812">
          <w:rPr>
            <w:rStyle w:val="Hyperlink"/>
            <w:rFonts w:ascii="Arial" w:hAnsi="Arial"/>
          </w:rPr>
          <w:t>psi@nationalarchives.gsi.gov.uk</w:t>
        </w:r>
      </w:hyperlink>
      <w:r w:rsidRPr="008A5812">
        <w:t xml:space="preserve">. </w:t>
      </w:r>
    </w:p>
    <w:p w:rsidR="00B35CEF" w:rsidRPr="008A5812" w:rsidRDefault="00B35CEF" w:rsidP="00B35CEF">
      <w:r w:rsidRPr="008A5812">
        <w:t xml:space="preserve">Any enquiries or comments in relation to this statistical release should be sent to DECC’s Green Deal Statistics Team at the following email address: </w:t>
      </w:r>
      <w:hyperlink r:id="rId20" w:history="1">
        <w:r w:rsidRPr="008A5812">
          <w:rPr>
            <w:rStyle w:val="Hyperlink"/>
            <w:rFonts w:ascii="Arial" w:hAnsi="Arial"/>
          </w:rPr>
          <w:t>EnergyEfficiency.Stats@decc.gsi.gov.uk</w:t>
        </w:r>
      </w:hyperlink>
      <w:r w:rsidRPr="008A5812">
        <w:t xml:space="preserve"> </w:t>
      </w:r>
    </w:p>
    <w:p w:rsidR="00B35CEF" w:rsidRPr="008A5812" w:rsidRDefault="00B35CEF" w:rsidP="00B35CEF">
      <w:r w:rsidRPr="008A5812">
        <w:t>Contact telephone: 0300 068 5</w:t>
      </w:r>
      <w:r w:rsidR="00B52F63">
        <w:t>106</w:t>
      </w:r>
    </w:p>
    <w:p w:rsidR="00D912D5" w:rsidRPr="008A5812" w:rsidRDefault="00927623">
      <w:r w:rsidRPr="008A5812">
        <w:t>This document is also available from our website</w:t>
      </w:r>
      <w:r w:rsidR="00DC1055" w:rsidRPr="008A5812">
        <w:t xml:space="preserve"> </w:t>
      </w:r>
      <w:r w:rsidRPr="008A5812">
        <w:t xml:space="preserve">at </w:t>
      </w:r>
      <w:bookmarkStart w:id="2" w:name="_Toc180303268"/>
      <w:bookmarkStart w:id="3" w:name="_Toc287863054"/>
      <w:bookmarkStart w:id="4" w:name="_Toc150919533"/>
      <w:r w:rsidR="00CB1716" w:rsidRPr="008A5812">
        <w:fldChar w:fldCharType="begin"/>
      </w:r>
      <w:r w:rsidR="00CB1716" w:rsidRPr="008A5812">
        <w:instrText xml:space="preserve"> HYPERLINK "https://www.gov.uk/government/collections/green-deal-and-energy-company-obligation-eco-statistics" </w:instrText>
      </w:r>
      <w:r w:rsidR="00CB1716" w:rsidRPr="008A5812">
        <w:fldChar w:fldCharType="separate"/>
      </w:r>
      <w:r w:rsidR="00CB1716" w:rsidRPr="008A5812">
        <w:rPr>
          <w:rStyle w:val="Hyperlink"/>
          <w:rFonts w:ascii="Arial" w:hAnsi="Arial"/>
        </w:rPr>
        <w:t>https://www.gov.uk/government/collections/green-deal-and-energy-company-obligation-eco-statistics</w:t>
      </w:r>
      <w:r w:rsidR="00CB1716" w:rsidRPr="008A5812">
        <w:fldChar w:fldCharType="end"/>
      </w:r>
    </w:p>
    <w:p w:rsidR="00CB1716" w:rsidRPr="008A5812" w:rsidRDefault="00CB1716">
      <w:pPr>
        <w:sectPr w:rsidR="00CB1716" w:rsidRPr="008A5812" w:rsidSect="008F7F9E">
          <w:headerReference w:type="even" r:id="rId21"/>
          <w:headerReference w:type="default" r:id="rId22"/>
          <w:headerReference w:type="first" r:id="rId23"/>
          <w:footerReference w:type="first" r:id="rId24"/>
          <w:pgSz w:w="11906" w:h="16838" w:code="9"/>
          <w:pgMar w:top="11340" w:right="851" w:bottom="907" w:left="851" w:header="624" w:footer="624" w:gutter="0"/>
          <w:cols w:space="720"/>
          <w:formProt w:val="0"/>
          <w:titlePg/>
        </w:sectPr>
      </w:pPr>
    </w:p>
    <w:p w:rsidR="00284DD0" w:rsidRPr="008A5812" w:rsidRDefault="00284DD0" w:rsidP="00284DD0">
      <w:pPr>
        <w:pStyle w:val="ChapterHead"/>
        <w:spacing w:before="0" w:after="120"/>
        <w:rPr>
          <w:rFonts w:cs="Arial"/>
        </w:rPr>
      </w:pPr>
      <w:bookmarkStart w:id="5" w:name="_Toc406514272"/>
      <w:bookmarkStart w:id="6" w:name="_Toc300827391"/>
      <w:bookmarkStart w:id="7" w:name="_Toc300910623"/>
      <w:bookmarkStart w:id="8" w:name="_Toc222299826"/>
      <w:bookmarkStart w:id="9" w:name="_Toc222534404"/>
      <w:bookmarkStart w:id="10" w:name="_Toc222537685"/>
      <w:r w:rsidRPr="008A5812">
        <w:rPr>
          <w:rFonts w:cs="Arial"/>
        </w:rPr>
        <w:lastRenderedPageBreak/>
        <w:t>Executive summary</w:t>
      </w:r>
      <w:bookmarkEnd w:id="5"/>
    </w:p>
    <w:p w:rsidR="00591351" w:rsidRDefault="00591351" w:rsidP="00591351">
      <w:pPr>
        <w:spacing w:before="0" w:after="0" w:line="240" w:lineRule="auto"/>
        <w:jc w:val="both"/>
        <w:rPr>
          <w:color w:val="000000"/>
          <w:lang w:eastAsia="en-GB"/>
        </w:rPr>
      </w:pPr>
      <w:r w:rsidRPr="004317C5">
        <w:rPr>
          <w:color w:val="000000"/>
          <w:lang w:eastAsia="en-GB"/>
        </w:rPr>
        <w:t xml:space="preserve">This is the </w:t>
      </w:r>
      <w:r w:rsidR="00B52F63">
        <w:rPr>
          <w:color w:val="000000"/>
          <w:lang w:eastAsia="en-GB"/>
        </w:rPr>
        <w:t>s</w:t>
      </w:r>
      <w:r w:rsidR="00D31D2C">
        <w:rPr>
          <w:color w:val="000000"/>
          <w:lang w:eastAsia="en-GB"/>
        </w:rPr>
        <w:t>eventh</w:t>
      </w:r>
      <w:r>
        <w:rPr>
          <w:color w:val="000000"/>
          <w:lang w:eastAsia="en-GB"/>
        </w:rPr>
        <w:t xml:space="preserve"> </w:t>
      </w:r>
      <w:r w:rsidRPr="004317C5">
        <w:rPr>
          <w:color w:val="000000"/>
          <w:lang w:eastAsia="en-GB"/>
        </w:rPr>
        <w:t>detailed Green Deal (GD) and Energy Company Obligation</w:t>
      </w:r>
      <w:r>
        <w:rPr>
          <w:color w:val="000000"/>
          <w:lang w:eastAsia="en-GB"/>
        </w:rPr>
        <w:t xml:space="preserve"> (ECO) statistical release. </w:t>
      </w:r>
      <w:hyperlink w:anchor="SECTION1" w:history="1">
        <w:r w:rsidRPr="001946E3">
          <w:rPr>
            <w:rStyle w:val="Hyperlink"/>
            <w:rFonts w:ascii="Arial" w:hAnsi="Arial"/>
            <w:lang w:eastAsia="en-GB"/>
          </w:rPr>
          <w:t>Section 1</w:t>
        </w:r>
      </w:hyperlink>
      <w:r w:rsidRPr="004317C5">
        <w:rPr>
          <w:color w:val="000000"/>
          <w:lang w:eastAsia="en-GB"/>
        </w:rPr>
        <w:t xml:space="preserve"> provides a range of further analysis and geographical breakdowns showing the latest picture of GD Assessments, </w:t>
      </w:r>
      <w:r>
        <w:rPr>
          <w:color w:val="000000"/>
          <w:lang w:eastAsia="en-GB"/>
        </w:rPr>
        <w:t xml:space="preserve">GD Plans, </w:t>
      </w:r>
      <w:r w:rsidRPr="004317C5">
        <w:rPr>
          <w:color w:val="000000"/>
          <w:lang w:eastAsia="en-GB"/>
        </w:rPr>
        <w:t xml:space="preserve">Cashback </w:t>
      </w:r>
      <w:r w:rsidR="000842C4">
        <w:rPr>
          <w:color w:val="000000"/>
          <w:lang w:eastAsia="en-GB"/>
        </w:rPr>
        <w:t xml:space="preserve">and ECO </w:t>
      </w:r>
      <w:r w:rsidRPr="004317C5">
        <w:rPr>
          <w:color w:val="000000"/>
          <w:lang w:eastAsia="en-GB"/>
        </w:rPr>
        <w:t xml:space="preserve">for the period January </w:t>
      </w:r>
      <w:r w:rsidR="00264A11">
        <w:rPr>
          <w:color w:val="000000"/>
          <w:lang w:eastAsia="en-GB"/>
        </w:rPr>
        <w:t xml:space="preserve">2013 </w:t>
      </w:r>
      <w:r w:rsidRPr="004317C5">
        <w:rPr>
          <w:color w:val="000000"/>
          <w:lang w:eastAsia="en-GB"/>
        </w:rPr>
        <w:t xml:space="preserve">to </w:t>
      </w:r>
      <w:r w:rsidR="00D31D2C">
        <w:rPr>
          <w:color w:val="000000"/>
          <w:lang w:eastAsia="en-GB"/>
        </w:rPr>
        <w:t>September</w:t>
      </w:r>
      <w:r w:rsidR="00264A11">
        <w:rPr>
          <w:color w:val="000000"/>
          <w:lang w:eastAsia="en-GB"/>
        </w:rPr>
        <w:t xml:space="preserve"> 2014</w:t>
      </w:r>
      <w:r w:rsidR="000842C4">
        <w:rPr>
          <w:color w:val="000000"/>
          <w:lang w:eastAsia="en-GB"/>
        </w:rPr>
        <w:t xml:space="preserve">, </w:t>
      </w:r>
      <w:r w:rsidR="000842C4" w:rsidRPr="00EB6EAA">
        <w:rPr>
          <w:lang w:eastAsia="en-GB"/>
        </w:rPr>
        <w:t xml:space="preserve">Supply Chain activity </w:t>
      </w:r>
      <w:r w:rsidR="00A63E5C" w:rsidRPr="00EB6EAA">
        <w:rPr>
          <w:lang w:eastAsia="en-GB"/>
        </w:rPr>
        <w:t xml:space="preserve">up </w:t>
      </w:r>
      <w:r w:rsidR="000842C4" w:rsidRPr="00EB6EAA">
        <w:rPr>
          <w:lang w:eastAsia="en-GB"/>
        </w:rPr>
        <w:t>until the end of October 2014,</w:t>
      </w:r>
      <w:r w:rsidRPr="00EB6EAA">
        <w:rPr>
          <w:lang w:eastAsia="en-GB"/>
        </w:rPr>
        <w:t xml:space="preserve"> </w:t>
      </w:r>
      <w:r w:rsidRPr="004317C5">
        <w:rPr>
          <w:color w:val="000000"/>
          <w:lang w:eastAsia="en-GB"/>
        </w:rPr>
        <w:t>and estimates of the carbon and energy savings achi</w:t>
      </w:r>
      <w:r>
        <w:rPr>
          <w:color w:val="000000"/>
          <w:lang w:eastAsia="en-GB"/>
        </w:rPr>
        <w:t xml:space="preserve">eved through measures installed. </w:t>
      </w:r>
      <w:r w:rsidR="008A71F1">
        <w:rPr>
          <w:color w:val="000000"/>
          <w:lang w:eastAsia="en-GB"/>
        </w:rPr>
        <w:t xml:space="preserve">Also for the first time this release includes </w:t>
      </w:r>
      <w:r w:rsidR="008A71F1" w:rsidRPr="008A71F1">
        <w:rPr>
          <w:color w:val="000000"/>
          <w:lang w:eastAsia="en-GB"/>
        </w:rPr>
        <w:t>further analysis and geographical breakdowns</w:t>
      </w:r>
      <w:r w:rsidR="008A71F1">
        <w:rPr>
          <w:color w:val="000000"/>
          <w:lang w:eastAsia="en-GB"/>
        </w:rPr>
        <w:t xml:space="preserve"> of the Green Deal Home Improvement Fund (GDHIF).</w:t>
      </w:r>
    </w:p>
    <w:p w:rsidR="00591351" w:rsidRDefault="00591351" w:rsidP="00591351">
      <w:pPr>
        <w:spacing w:before="0" w:after="0" w:line="240" w:lineRule="auto"/>
        <w:jc w:val="both"/>
        <w:rPr>
          <w:color w:val="000000"/>
          <w:lang w:eastAsia="en-GB"/>
        </w:rPr>
      </w:pPr>
    </w:p>
    <w:p w:rsidR="00591351" w:rsidRDefault="004F4968" w:rsidP="00591351">
      <w:pPr>
        <w:spacing w:before="0" w:after="0" w:line="240" w:lineRule="auto"/>
        <w:jc w:val="both"/>
        <w:rPr>
          <w:lang w:eastAsia="en-GB"/>
        </w:rPr>
      </w:pPr>
      <w:r>
        <w:rPr>
          <w:lang w:eastAsia="en-GB"/>
        </w:rPr>
        <w:t>The most up to date</w:t>
      </w:r>
      <w:r w:rsidR="00591351" w:rsidRPr="00816724">
        <w:rPr>
          <w:lang w:eastAsia="en-GB"/>
        </w:rPr>
        <w:t xml:space="preserve"> information on the GD </w:t>
      </w:r>
      <w:r>
        <w:rPr>
          <w:lang w:eastAsia="en-GB"/>
        </w:rPr>
        <w:t xml:space="preserve">(including </w:t>
      </w:r>
      <w:r w:rsidR="008A71F1">
        <w:rPr>
          <w:lang w:eastAsia="en-GB"/>
        </w:rPr>
        <w:t>GDHIF</w:t>
      </w:r>
      <w:r w:rsidRPr="0027699B">
        <w:rPr>
          <w:lang w:eastAsia="en-GB"/>
        </w:rPr>
        <w:t>)</w:t>
      </w:r>
      <w:r>
        <w:rPr>
          <w:lang w:eastAsia="en-GB"/>
        </w:rPr>
        <w:t xml:space="preserve"> </w:t>
      </w:r>
      <w:r w:rsidR="00591351" w:rsidRPr="00816724">
        <w:rPr>
          <w:lang w:eastAsia="en-GB"/>
        </w:rPr>
        <w:t xml:space="preserve">and ECO can be found in the monthly statistical releases – available </w:t>
      </w:r>
      <w:hyperlink r:id="rId25" w:anchor="monthly-statistics" w:history="1">
        <w:r w:rsidR="00591351" w:rsidRPr="00816724">
          <w:rPr>
            <w:color w:val="0000FF"/>
            <w:u w:val="single"/>
            <w:lang w:eastAsia="en-GB"/>
          </w:rPr>
          <w:t>here</w:t>
        </w:r>
      </w:hyperlink>
      <w:r w:rsidR="00591351" w:rsidRPr="00816724">
        <w:rPr>
          <w:lang w:eastAsia="en-GB"/>
        </w:rPr>
        <w:t xml:space="preserve">. </w:t>
      </w:r>
      <w:r>
        <w:rPr>
          <w:lang w:eastAsia="en-GB"/>
        </w:rPr>
        <w:t xml:space="preserve">Details of methods, quality assurance and use of this data can be found in the </w:t>
      </w:r>
      <w:hyperlink r:id="rId26" w:history="1">
        <w:r w:rsidR="0027699B" w:rsidRPr="009079D3">
          <w:rPr>
            <w:rStyle w:val="Hyperlink"/>
            <w:rFonts w:ascii="Arial" w:hAnsi="Arial"/>
            <w:szCs w:val="24"/>
          </w:rPr>
          <w:t>Methodology note</w:t>
        </w:r>
      </w:hyperlink>
      <w:r>
        <w:rPr>
          <w:lang w:eastAsia="en-GB"/>
        </w:rPr>
        <w:t>.</w:t>
      </w:r>
    </w:p>
    <w:p w:rsidR="00591351" w:rsidRDefault="00591351" w:rsidP="00591351">
      <w:pPr>
        <w:spacing w:before="0" w:after="0" w:line="240" w:lineRule="auto"/>
        <w:jc w:val="both"/>
        <w:rPr>
          <w:lang w:eastAsia="en-GB"/>
        </w:rPr>
      </w:pPr>
    </w:p>
    <w:p w:rsidR="00591351" w:rsidRPr="005F3625" w:rsidRDefault="00C34310" w:rsidP="00591351">
      <w:pPr>
        <w:spacing w:before="0" w:after="0" w:line="240" w:lineRule="auto"/>
        <w:jc w:val="both"/>
        <w:rPr>
          <w:color w:val="000000"/>
          <w:lang w:eastAsia="en-GB"/>
        </w:rPr>
      </w:pPr>
      <w:hyperlink w:anchor="Section2" w:history="1">
        <w:r w:rsidR="00591351" w:rsidRPr="001946E3">
          <w:rPr>
            <w:rStyle w:val="Hyperlink"/>
            <w:rFonts w:ascii="Arial" w:hAnsi="Arial"/>
          </w:rPr>
          <w:t>Section 2</w:t>
        </w:r>
      </w:hyperlink>
      <w:r w:rsidR="00591351">
        <w:t xml:space="preserve"> provides estimates of home insulation levels </w:t>
      </w:r>
      <w:r w:rsidR="00591351">
        <w:rPr>
          <w:color w:val="000000"/>
          <w:lang w:eastAsia="en-GB"/>
        </w:rPr>
        <w:t>in Great Britain</w:t>
      </w:r>
      <w:r w:rsidR="00591351">
        <w:t xml:space="preserve">. </w:t>
      </w:r>
      <w:r w:rsidR="00591351">
        <w:rPr>
          <w:color w:val="000000"/>
          <w:lang w:eastAsia="en-GB"/>
        </w:rPr>
        <w:t xml:space="preserve">These estimates will continue to be produced on the same basis as previous releases on a quarterly basis. </w:t>
      </w:r>
      <w:r w:rsidR="00591351" w:rsidRPr="00EA207E">
        <w:t>DECC set out in its Departmental Business Plan 2011-15</w:t>
      </w:r>
      <w:r w:rsidR="00591351" w:rsidRPr="00EA207E">
        <w:rPr>
          <w:rStyle w:val="FootnoteReference"/>
        </w:rPr>
        <w:footnoteReference w:id="1"/>
      </w:r>
      <w:r w:rsidR="00591351">
        <w:t xml:space="preserve"> </w:t>
      </w:r>
      <w:r w:rsidR="00591351" w:rsidRPr="00EA207E">
        <w:t xml:space="preserve">that these data for cavity wall and loft insulations would be used as one of the department’s key impact indicators. </w:t>
      </w:r>
    </w:p>
    <w:p w:rsidR="00591351" w:rsidRDefault="00591351" w:rsidP="00591351">
      <w:pPr>
        <w:spacing w:before="0" w:after="0" w:line="240" w:lineRule="auto"/>
        <w:jc w:val="both"/>
        <w:rPr>
          <w:color w:val="000000"/>
          <w:lang w:eastAsia="en-GB"/>
        </w:rPr>
      </w:pPr>
    </w:p>
    <w:p w:rsidR="00591351" w:rsidRDefault="00591351" w:rsidP="00591351">
      <w:pPr>
        <w:spacing w:before="0" w:after="0"/>
        <w:jc w:val="both"/>
      </w:pPr>
      <w:r w:rsidRPr="00FF58E5">
        <w:t xml:space="preserve">All of these estimates are released as Experimental </w:t>
      </w:r>
      <w:r w:rsidR="00B52F63" w:rsidRPr="00FF58E5">
        <w:t>Statistics;</w:t>
      </w:r>
      <w:r w:rsidRPr="00FF58E5">
        <w:t xml:space="preserve"> </w:t>
      </w:r>
      <w:r w:rsidR="00B52F63">
        <w:t>these have</w:t>
      </w:r>
      <w:r w:rsidRPr="00FF58E5">
        <w:t xml:space="preserve"> underg</w:t>
      </w:r>
      <w:r w:rsidR="00B52F63">
        <w:t>one an</w:t>
      </w:r>
      <w:r w:rsidRPr="00FF58E5">
        <w:t xml:space="preserve"> assessment </w:t>
      </w:r>
      <w:r w:rsidR="00FC3755">
        <w:t xml:space="preserve">to be classed as National Statistics </w:t>
      </w:r>
      <w:r w:rsidRPr="00FF58E5">
        <w:t xml:space="preserve">by the UK Statistics Authority (UKSA) </w:t>
      </w:r>
      <w:r w:rsidR="00B52F63">
        <w:t>resulting in some requirements which have been ad</w:t>
      </w:r>
      <w:r w:rsidR="00E427F2">
        <w:t>dressed in the methodology note</w:t>
      </w:r>
      <w:r w:rsidR="00FC3755">
        <w:t>. DECC is awaiting formal confirmation of National statistics status for this statistical series.</w:t>
      </w:r>
    </w:p>
    <w:p w:rsidR="00591351" w:rsidRPr="00DE3DCC" w:rsidRDefault="00591351" w:rsidP="00591351">
      <w:pPr>
        <w:spacing w:before="0" w:after="0" w:line="240" w:lineRule="auto"/>
        <w:jc w:val="both"/>
        <w:rPr>
          <w:color w:val="000000" w:themeColor="text1"/>
          <w:lang w:eastAsia="en-GB"/>
        </w:rPr>
      </w:pPr>
    </w:p>
    <w:p w:rsidR="00591351" w:rsidRPr="00DE3DCC" w:rsidRDefault="00E427F2" w:rsidP="00591351">
      <w:pPr>
        <w:spacing w:before="0" w:after="0" w:line="240" w:lineRule="auto"/>
        <w:jc w:val="both"/>
        <w:rPr>
          <w:color w:val="000000" w:themeColor="text1"/>
          <w:lang w:eastAsia="en-GB"/>
        </w:rPr>
      </w:pPr>
      <w:r w:rsidRPr="00DE3DCC">
        <w:rPr>
          <w:color w:val="000000" w:themeColor="text1"/>
          <w:lang w:eastAsia="en-GB"/>
        </w:rPr>
        <w:t xml:space="preserve">This </w:t>
      </w:r>
      <w:r w:rsidR="005070C8" w:rsidRPr="00DE3DCC">
        <w:rPr>
          <w:color w:val="000000" w:themeColor="text1"/>
          <w:lang w:eastAsia="en-GB"/>
        </w:rPr>
        <w:t>release</w:t>
      </w:r>
      <w:r w:rsidRPr="00DE3DCC">
        <w:rPr>
          <w:color w:val="000000" w:themeColor="text1"/>
          <w:lang w:eastAsia="en-GB"/>
        </w:rPr>
        <w:t xml:space="preserve"> also </w:t>
      </w:r>
      <w:r w:rsidR="00591351" w:rsidRPr="00DE3DCC">
        <w:rPr>
          <w:color w:val="000000" w:themeColor="text1"/>
          <w:lang w:eastAsia="en-GB"/>
        </w:rPr>
        <w:t>includes a section that starts to bring together activity from GD and ECO and other household energy schemes (Feed-In Tariffs, Renewable Heat Premium Payment</w:t>
      </w:r>
      <w:r w:rsidR="00BE4FDD">
        <w:rPr>
          <w:color w:val="000000" w:themeColor="text1"/>
          <w:lang w:eastAsia="en-GB"/>
        </w:rPr>
        <w:t xml:space="preserve"> and </w:t>
      </w:r>
      <w:r w:rsidR="00BE4FDD" w:rsidRPr="00BE4FDD">
        <w:rPr>
          <w:color w:val="000000" w:themeColor="text1"/>
          <w:lang w:eastAsia="en-GB"/>
        </w:rPr>
        <w:t>Do</w:t>
      </w:r>
      <w:r w:rsidR="00BE4FDD">
        <w:rPr>
          <w:color w:val="000000" w:themeColor="text1"/>
          <w:lang w:eastAsia="en-GB"/>
        </w:rPr>
        <w:t>mestic Renewable Heat Incentive</w:t>
      </w:r>
      <w:r w:rsidR="00591351" w:rsidRPr="00DE3DCC">
        <w:rPr>
          <w:color w:val="000000" w:themeColor="text1"/>
          <w:lang w:eastAsia="en-GB"/>
        </w:rPr>
        <w:t xml:space="preserve">) between January 2013 and </w:t>
      </w:r>
      <w:r w:rsidR="00D31D2C">
        <w:rPr>
          <w:color w:val="000000" w:themeColor="text1"/>
          <w:lang w:eastAsia="en-GB"/>
        </w:rPr>
        <w:t>September</w:t>
      </w:r>
      <w:r w:rsidR="00591351" w:rsidRPr="00DE3DCC">
        <w:rPr>
          <w:color w:val="000000" w:themeColor="text1"/>
          <w:lang w:eastAsia="en-GB"/>
        </w:rPr>
        <w:t xml:space="preserve"> 2014 (see </w:t>
      </w:r>
      <w:hyperlink w:anchor="AnnexC" w:history="1">
        <w:r w:rsidR="00591351" w:rsidRPr="00BE4FDD">
          <w:rPr>
            <w:rStyle w:val="Hyperlink"/>
            <w:rFonts w:ascii="Arial" w:hAnsi="Arial"/>
            <w:lang w:eastAsia="en-GB"/>
          </w:rPr>
          <w:t>Annex C</w:t>
        </w:r>
      </w:hyperlink>
      <w:r w:rsidR="00591351" w:rsidRPr="00DE3DCC">
        <w:rPr>
          <w:color w:val="000000" w:themeColor="text1"/>
          <w:lang w:eastAsia="en-GB"/>
        </w:rPr>
        <w:t>). This is a first step in developing this quarterly report to provide a fuller analysis of the reach and impact of household sector programmes to complement the headline reporting of these programmes. The headline reporting of programmes will continue and will cover both domestic and non-domestic as appropriate.</w:t>
      </w:r>
    </w:p>
    <w:p w:rsidR="00D912D5" w:rsidRPr="008A5812" w:rsidRDefault="00284DD0" w:rsidP="003B686D">
      <w:pPr>
        <w:pStyle w:val="TOCHeading"/>
        <w:spacing w:before="480" w:after="360"/>
        <w:rPr>
          <w:rFonts w:cs="Arial"/>
        </w:rPr>
      </w:pPr>
      <w:r>
        <w:rPr>
          <w:rFonts w:cs="Arial"/>
        </w:rPr>
        <w:br w:type="page"/>
      </w:r>
      <w:r w:rsidR="00B67B7F" w:rsidRPr="008A5812">
        <w:rPr>
          <w:rFonts w:cs="Arial"/>
        </w:rPr>
        <w:lastRenderedPageBreak/>
        <w:t>Contents</w:t>
      </w:r>
      <w:bookmarkEnd w:id="2"/>
      <w:bookmarkEnd w:id="3"/>
      <w:bookmarkEnd w:id="6"/>
      <w:bookmarkEnd w:id="7"/>
      <w:bookmarkEnd w:id="8"/>
      <w:bookmarkEnd w:id="9"/>
      <w:bookmarkEnd w:id="10"/>
    </w:p>
    <w:p w:rsidR="00371261" w:rsidRDefault="00A3396D" w:rsidP="00371261">
      <w:pPr>
        <w:pStyle w:val="TOC1"/>
        <w:spacing w:before="0" w:after="60"/>
        <w:rPr>
          <w:rFonts w:asciiTheme="minorHAnsi" w:eastAsiaTheme="minorEastAsia" w:hAnsiTheme="minorHAnsi" w:cstheme="minorBidi"/>
          <w:noProof/>
          <w:color w:val="auto"/>
          <w:sz w:val="22"/>
          <w:szCs w:val="22"/>
          <w:lang w:eastAsia="en-GB"/>
        </w:rPr>
      </w:pPr>
      <w:r w:rsidRPr="008A5812">
        <w:fldChar w:fldCharType="begin"/>
      </w:r>
      <w:r w:rsidRPr="008A5812">
        <w:instrText xml:space="preserve"> TOC \t "Heading 1,2,Heading 2,3,Chapter Head,1,Chpt Head,1" </w:instrText>
      </w:r>
      <w:r w:rsidRPr="008A5812">
        <w:fldChar w:fldCharType="separate"/>
      </w:r>
      <w:r w:rsidR="00371261" w:rsidRPr="00E228FA">
        <w:rPr>
          <w:noProof/>
        </w:rPr>
        <w:t>Executive summary</w:t>
      </w:r>
      <w:r w:rsidR="00371261">
        <w:rPr>
          <w:noProof/>
        </w:rPr>
        <w:tab/>
      </w:r>
      <w:r w:rsidR="00371261">
        <w:rPr>
          <w:noProof/>
        </w:rPr>
        <w:fldChar w:fldCharType="begin"/>
      </w:r>
      <w:r w:rsidR="00371261">
        <w:rPr>
          <w:noProof/>
        </w:rPr>
        <w:instrText xml:space="preserve"> PAGEREF _Toc406514272 \h </w:instrText>
      </w:r>
      <w:r w:rsidR="00371261">
        <w:rPr>
          <w:noProof/>
        </w:rPr>
      </w:r>
      <w:r w:rsidR="00371261">
        <w:rPr>
          <w:noProof/>
        </w:rPr>
        <w:fldChar w:fldCharType="separate"/>
      </w:r>
      <w:r w:rsidR="00371261">
        <w:rPr>
          <w:noProof/>
        </w:rPr>
        <w:t>3</w:t>
      </w:r>
      <w:r w:rsidR="00371261">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Charts</w:t>
      </w:r>
      <w:r>
        <w:rPr>
          <w:noProof/>
        </w:rPr>
        <w:tab/>
      </w:r>
      <w:r>
        <w:rPr>
          <w:noProof/>
        </w:rPr>
        <w:fldChar w:fldCharType="begin"/>
      </w:r>
      <w:r>
        <w:rPr>
          <w:noProof/>
        </w:rPr>
        <w:instrText xml:space="preserve"> PAGEREF _Toc406514273 \h </w:instrText>
      </w:r>
      <w:r>
        <w:rPr>
          <w:noProof/>
        </w:rPr>
      </w:r>
      <w:r>
        <w:rPr>
          <w:noProof/>
        </w:rPr>
        <w:fldChar w:fldCharType="separate"/>
      </w:r>
      <w:r>
        <w:rPr>
          <w:noProof/>
        </w:rPr>
        <w:t>5</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Maps</w:t>
      </w:r>
      <w:r>
        <w:rPr>
          <w:noProof/>
        </w:rPr>
        <w:tab/>
      </w:r>
      <w:r>
        <w:rPr>
          <w:noProof/>
        </w:rPr>
        <w:fldChar w:fldCharType="begin"/>
      </w:r>
      <w:r>
        <w:rPr>
          <w:noProof/>
        </w:rPr>
        <w:instrText xml:space="preserve"> PAGEREF _Toc406514274 \h </w:instrText>
      </w:r>
      <w:r>
        <w:rPr>
          <w:noProof/>
        </w:rPr>
      </w:r>
      <w:r>
        <w:rPr>
          <w:noProof/>
        </w:rPr>
        <w:fldChar w:fldCharType="separate"/>
      </w:r>
      <w:r>
        <w:rPr>
          <w:noProof/>
        </w:rPr>
        <w:t>5</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sidRPr="00E228FA">
        <w:rPr>
          <w:noProof/>
        </w:rPr>
        <w:t>Key points</w:t>
      </w:r>
      <w:r>
        <w:rPr>
          <w:noProof/>
        </w:rPr>
        <w:tab/>
      </w:r>
      <w:r>
        <w:rPr>
          <w:noProof/>
        </w:rPr>
        <w:fldChar w:fldCharType="begin"/>
      </w:r>
      <w:r>
        <w:rPr>
          <w:noProof/>
        </w:rPr>
        <w:instrText xml:space="preserve"> PAGEREF _Toc406514275 \h </w:instrText>
      </w:r>
      <w:r>
        <w:rPr>
          <w:noProof/>
        </w:rPr>
      </w:r>
      <w:r>
        <w:rPr>
          <w:noProof/>
        </w:rPr>
        <w:fldChar w:fldCharType="separate"/>
      </w:r>
      <w:r>
        <w:rPr>
          <w:noProof/>
        </w:rPr>
        <w:t>7</w:t>
      </w:r>
      <w:r>
        <w:rPr>
          <w:noProof/>
        </w:rPr>
        <w:fldChar w:fldCharType="end"/>
      </w:r>
    </w:p>
    <w:p w:rsidR="00371261" w:rsidRDefault="00371261" w:rsidP="00371261">
      <w:pPr>
        <w:pStyle w:val="TOC1"/>
        <w:spacing w:before="0" w:after="60"/>
        <w:rPr>
          <w:rFonts w:asciiTheme="minorHAnsi" w:eastAsiaTheme="minorEastAsia" w:hAnsiTheme="minorHAnsi" w:cstheme="minorBidi"/>
          <w:noProof/>
          <w:color w:val="auto"/>
          <w:sz w:val="22"/>
          <w:szCs w:val="22"/>
          <w:lang w:eastAsia="en-GB"/>
        </w:rPr>
      </w:pPr>
      <w:r w:rsidRPr="00E228FA">
        <w:rPr>
          <w:noProof/>
        </w:rPr>
        <w:t>Section 1 - Green Deal and ECO statistics</w:t>
      </w:r>
      <w:r>
        <w:rPr>
          <w:noProof/>
        </w:rPr>
        <w:tab/>
      </w:r>
      <w:r>
        <w:rPr>
          <w:noProof/>
        </w:rPr>
        <w:fldChar w:fldCharType="begin"/>
      </w:r>
      <w:r>
        <w:rPr>
          <w:noProof/>
        </w:rPr>
        <w:instrText xml:space="preserve"> PAGEREF _Toc406514276 \h </w:instrText>
      </w:r>
      <w:r>
        <w:rPr>
          <w:noProof/>
        </w:rPr>
      </w:r>
      <w:r>
        <w:rPr>
          <w:noProof/>
        </w:rPr>
        <w:fldChar w:fldCharType="separate"/>
      </w:r>
      <w:r>
        <w:rPr>
          <w:noProof/>
        </w:rPr>
        <w:t>9</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Green Deal Assessments, lodged up to 30</w:t>
      </w:r>
      <w:r w:rsidRPr="00E228FA">
        <w:rPr>
          <w:noProof/>
          <w:vertAlign w:val="superscript"/>
        </w:rPr>
        <w:t>th</w:t>
      </w:r>
      <w:r>
        <w:rPr>
          <w:noProof/>
        </w:rPr>
        <w:t xml:space="preserve"> September 2014</w:t>
      </w:r>
      <w:r>
        <w:rPr>
          <w:noProof/>
        </w:rPr>
        <w:tab/>
      </w:r>
      <w:r>
        <w:rPr>
          <w:noProof/>
        </w:rPr>
        <w:fldChar w:fldCharType="begin"/>
      </w:r>
      <w:r>
        <w:rPr>
          <w:noProof/>
        </w:rPr>
        <w:instrText xml:space="preserve"> PAGEREF _Toc406514277 \h </w:instrText>
      </w:r>
      <w:r>
        <w:rPr>
          <w:noProof/>
        </w:rPr>
      </w:r>
      <w:r>
        <w:rPr>
          <w:noProof/>
        </w:rPr>
        <w:fldChar w:fldCharType="separate"/>
      </w:r>
      <w:r>
        <w:rPr>
          <w:noProof/>
        </w:rPr>
        <w:t>9</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Green Deal Plans, up to 30</w:t>
      </w:r>
      <w:r w:rsidRPr="00E228FA">
        <w:rPr>
          <w:noProof/>
          <w:vertAlign w:val="superscript"/>
        </w:rPr>
        <w:t>th</w:t>
      </w:r>
      <w:r>
        <w:rPr>
          <w:noProof/>
        </w:rPr>
        <w:t xml:space="preserve"> September 2014</w:t>
      </w:r>
      <w:r>
        <w:rPr>
          <w:noProof/>
        </w:rPr>
        <w:tab/>
      </w:r>
      <w:r>
        <w:rPr>
          <w:noProof/>
        </w:rPr>
        <w:fldChar w:fldCharType="begin"/>
      </w:r>
      <w:r>
        <w:rPr>
          <w:noProof/>
        </w:rPr>
        <w:instrText xml:space="preserve"> PAGEREF _Toc406514278 \h </w:instrText>
      </w:r>
      <w:r>
        <w:rPr>
          <w:noProof/>
        </w:rPr>
      </w:r>
      <w:r>
        <w:rPr>
          <w:noProof/>
        </w:rPr>
        <w:fldChar w:fldCharType="separate"/>
      </w:r>
      <w:r>
        <w:rPr>
          <w:noProof/>
        </w:rPr>
        <w:t>13</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Pioneer Places</w:t>
      </w:r>
      <w:r>
        <w:rPr>
          <w:noProof/>
        </w:rPr>
        <w:tab/>
      </w:r>
      <w:r>
        <w:rPr>
          <w:noProof/>
        </w:rPr>
        <w:fldChar w:fldCharType="begin"/>
      </w:r>
      <w:r>
        <w:rPr>
          <w:noProof/>
        </w:rPr>
        <w:instrText xml:space="preserve"> PAGEREF _Toc406514279 \h </w:instrText>
      </w:r>
      <w:r>
        <w:rPr>
          <w:noProof/>
        </w:rPr>
      </w:r>
      <w:r>
        <w:rPr>
          <w:noProof/>
        </w:rPr>
        <w:fldChar w:fldCharType="separate"/>
      </w:r>
      <w:r>
        <w:rPr>
          <w:noProof/>
        </w:rPr>
        <w:t>13</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Core Cities</w:t>
      </w:r>
      <w:r>
        <w:rPr>
          <w:noProof/>
        </w:rPr>
        <w:tab/>
      </w:r>
      <w:r>
        <w:rPr>
          <w:noProof/>
        </w:rPr>
        <w:fldChar w:fldCharType="begin"/>
      </w:r>
      <w:r>
        <w:rPr>
          <w:noProof/>
        </w:rPr>
        <w:instrText xml:space="preserve"> PAGEREF _Toc406514280 \h </w:instrText>
      </w:r>
      <w:r>
        <w:rPr>
          <w:noProof/>
        </w:rPr>
      </w:r>
      <w:r>
        <w:rPr>
          <w:noProof/>
        </w:rPr>
        <w:fldChar w:fldCharType="separate"/>
      </w:r>
      <w:r>
        <w:rPr>
          <w:noProof/>
        </w:rPr>
        <w:t>13</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Cashback measures installed, up to 30</w:t>
      </w:r>
      <w:r w:rsidRPr="00E228FA">
        <w:rPr>
          <w:noProof/>
          <w:vertAlign w:val="superscript"/>
        </w:rPr>
        <w:t>th</w:t>
      </w:r>
      <w:r>
        <w:rPr>
          <w:noProof/>
        </w:rPr>
        <w:t xml:space="preserve"> September 2014 (end of the scheme)</w:t>
      </w:r>
      <w:r>
        <w:rPr>
          <w:noProof/>
        </w:rPr>
        <w:tab/>
      </w:r>
      <w:r>
        <w:rPr>
          <w:noProof/>
        </w:rPr>
        <w:fldChar w:fldCharType="begin"/>
      </w:r>
      <w:r>
        <w:rPr>
          <w:noProof/>
        </w:rPr>
        <w:instrText xml:space="preserve"> PAGEREF _Toc406514281 \h </w:instrText>
      </w:r>
      <w:r>
        <w:rPr>
          <w:noProof/>
        </w:rPr>
      </w:r>
      <w:r>
        <w:rPr>
          <w:noProof/>
        </w:rPr>
        <w:fldChar w:fldCharType="separate"/>
      </w:r>
      <w:r>
        <w:rPr>
          <w:noProof/>
        </w:rPr>
        <w:t>14</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Green Deal Home Improvement Fund measures installed, up to 30</w:t>
      </w:r>
      <w:r w:rsidRPr="00E228FA">
        <w:rPr>
          <w:noProof/>
          <w:vertAlign w:val="superscript"/>
        </w:rPr>
        <w:t>th</w:t>
      </w:r>
      <w:r>
        <w:rPr>
          <w:noProof/>
        </w:rPr>
        <w:t xml:space="preserve"> September 2014</w:t>
      </w:r>
      <w:r>
        <w:rPr>
          <w:noProof/>
        </w:rPr>
        <w:tab/>
      </w:r>
      <w:r>
        <w:rPr>
          <w:noProof/>
        </w:rPr>
        <w:fldChar w:fldCharType="begin"/>
      </w:r>
      <w:r>
        <w:rPr>
          <w:noProof/>
        </w:rPr>
        <w:instrText xml:space="preserve"> PAGEREF _Toc406514282 \h </w:instrText>
      </w:r>
      <w:r>
        <w:rPr>
          <w:noProof/>
        </w:rPr>
      </w:r>
      <w:r>
        <w:rPr>
          <w:noProof/>
        </w:rPr>
        <w:fldChar w:fldCharType="separate"/>
      </w:r>
      <w:r>
        <w:rPr>
          <w:noProof/>
        </w:rPr>
        <w:t>14</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Measures installed under ECO, up to 30</w:t>
      </w:r>
      <w:r w:rsidRPr="00E228FA">
        <w:rPr>
          <w:noProof/>
          <w:vertAlign w:val="superscript"/>
        </w:rPr>
        <w:t>th</w:t>
      </w:r>
      <w:r>
        <w:rPr>
          <w:noProof/>
        </w:rPr>
        <w:t xml:space="preserve"> September 2014</w:t>
      </w:r>
      <w:r>
        <w:rPr>
          <w:noProof/>
        </w:rPr>
        <w:tab/>
      </w:r>
      <w:r>
        <w:rPr>
          <w:noProof/>
        </w:rPr>
        <w:fldChar w:fldCharType="begin"/>
      </w:r>
      <w:r>
        <w:rPr>
          <w:noProof/>
        </w:rPr>
        <w:instrText xml:space="preserve"> PAGEREF _Toc406514283 \h </w:instrText>
      </w:r>
      <w:r>
        <w:rPr>
          <w:noProof/>
        </w:rPr>
      </w:r>
      <w:r>
        <w:rPr>
          <w:noProof/>
        </w:rPr>
        <w:fldChar w:fldCharType="separate"/>
      </w:r>
      <w:r>
        <w:rPr>
          <w:noProof/>
        </w:rPr>
        <w:t>15</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ECO costs</w:t>
      </w:r>
      <w:r>
        <w:rPr>
          <w:noProof/>
        </w:rPr>
        <w:tab/>
      </w:r>
      <w:r>
        <w:rPr>
          <w:noProof/>
        </w:rPr>
        <w:fldChar w:fldCharType="begin"/>
      </w:r>
      <w:r>
        <w:rPr>
          <w:noProof/>
        </w:rPr>
        <w:instrText xml:space="preserve"> PAGEREF _Toc406514284 \h </w:instrText>
      </w:r>
      <w:r>
        <w:rPr>
          <w:noProof/>
        </w:rPr>
      </w:r>
      <w:r>
        <w:rPr>
          <w:noProof/>
        </w:rPr>
        <w:fldChar w:fldCharType="separate"/>
      </w:r>
      <w:r>
        <w:rPr>
          <w:noProof/>
        </w:rPr>
        <w:t>19</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ECO Brokerage</w:t>
      </w:r>
      <w:r>
        <w:rPr>
          <w:noProof/>
        </w:rPr>
        <w:tab/>
      </w:r>
      <w:r>
        <w:rPr>
          <w:noProof/>
        </w:rPr>
        <w:fldChar w:fldCharType="begin"/>
      </w:r>
      <w:r>
        <w:rPr>
          <w:noProof/>
        </w:rPr>
        <w:instrText xml:space="preserve"> PAGEREF _Toc406514285 \h </w:instrText>
      </w:r>
      <w:r>
        <w:rPr>
          <w:noProof/>
        </w:rPr>
      </w:r>
      <w:r>
        <w:rPr>
          <w:noProof/>
        </w:rPr>
        <w:fldChar w:fldCharType="separate"/>
      </w:r>
      <w:r>
        <w:rPr>
          <w:noProof/>
        </w:rPr>
        <w:t>20</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Estimated carbon and energy savings for measures installed through ECO, Green Deal Plans, GDHIF and Cashback, up to 30</w:t>
      </w:r>
      <w:r w:rsidRPr="00E228FA">
        <w:rPr>
          <w:noProof/>
          <w:vertAlign w:val="superscript"/>
        </w:rPr>
        <w:t>th</w:t>
      </w:r>
      <w:r>
        <w:rPr>
          <w:noProof/>
        </w:rPr>
        <w:t xml:space="preserve"> September 2014</w:t>
      </w:r>
      <w:r>
        <w:rPr>
          <w:noProof/>
        </w:rPr>
        <w:tab/>
      </w:r>
      <w:r>
        <w:rPr>
          <w:noProof/>
        </w:rPr>
        <w:fldChar w:fldCharType="begin"/>
      </w:r>
      <w:r>
        <w:rPr>
          <w:noProof/>
        </w:rPr>
        <w:instrText xml:space="preserve"> PAGEREF _Toc406514286 \h </w:instrText>
      </w:r>
      <w:r>
        <w:rPr>
          <w:noProof/>
        </w:rPr>
      </w:r>
      <w:r>
        <w:rPr>
          <w:noProof/>
        </w:rPr>
        <w:fldChar w:fldCharType="separate"/>
      </w:r>
      <w:r>
        <w:rPr>
          <w:noProof/>
        </w:rPr>
        <w:t>20</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Measures not captured by administrative data sources</w:t>
      </w:r>
      <w:r>
        <w:rPr>
          <w:noProof/>
        </w:rPr>
        <w:tab/>
      </w:r>
      <w:r>
        <w:rPr>
          <w:noProof/>
        </w:rPr>
        <w:fldChar w:fldCharType="begin"/>
      </w:r>
      <w:r>
        <w:rPr>
          <w:noProof/>
        </w:rPr>
        <w:instrText xml:space="preserve"> PAGEREF _Toc406514287 \h </w:instrText>
      </w:r>
      <w:r>
        <w:rPr>
          <w:noProof/>
        </w:rPr>
      </w:r>
      <w:r>
        <w:rPr>
          <w:noProof/>
        </w:rPr>
        <w:fldChar w:fldCharType="separate"/>
      </w:r>
      <w:r>
        <w:rPr>
          <w:noProof/>
        </w:rPr>
        <w:t>21</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The Supply Chain</w:t>
      </w:r>
      <w:r>
        <w:rPr>
          <w:noProof/>
        </w:rPr>
        <w:tab/>
      </w:r>
      <w:r>
        <w:rPr>
          <w:noProof/>
        </w:rPr>
        <w:fldChar w:fldCharType="begin"/>
      </w:r>
      <w:r>
        <w:rPr>
          <w:noProof/>
        </w:rPr>
        <w:instrText xml:space="preserve"> PAGEREF _Toc406514288 \h </w:instrText>
      </w:r>
      <w:r>
        <w:rPr>
          <w:noProof/>
        </w:rPr>
      </w:r>
      <w:r>
        <w:rPr>
          <w:noProof/>
        </w:rPr>
        <w:fldChar w:fldCharType="separate"/>
      </w:r>
      <w:r>
        <w:rPr>
          <w:noProof/>
        </w:rPr>
        <w:t>22</w:t>
      </w:r>
      <w:r>
        <w:rPr>
          <w:noProof/>
        </w:rPr>
        <w:fldChar w:fldCharType="end"/>
      </w:r>
    </w:p>
    <w:p w:rsidR="00371261" w:rsidRDefault="00371261" w:rsidP="00371261">
      <w:pPr>
        <w:pStyle w:val="TOC1"/>
        <w:spacing w:before="0" w:after="60"/>
        <w:rPr>
          <w:rFonts w:asciiTheme="minorHAnsi" w:eastAsiaTheme="minorEastAsia" w:hAnsiTheme="minorHAnsi" w:cstheme="minorBidi"/>
          <w:noProof/>
          <w:color w:val="auto"/>
          <w:sz w:val="22"/>
          <w:szCs w:val="22"/>
          <w:lang w:eastAsia="en-GB"/>
        </w:rPr>
      </w:pPr>
      <w:r w:rsidRPr="00E228FA">
        <w:rPr>
          <w:noProof/>
        </w:rPr>
        <w:t>GD and ECO Tables</w:t>
      </w:r>
      <w:r>
        <w:rPr>
          <w:noProof/>
        </w:rPr>
        <w:tab/>
      </w:r>
      <w:r>
        <w:rPr>
          <w:noProof/>
        </w:rPr>
        <w:fldChar w:fldCharType="begin"/>
      </w:r>
      <w:r>
        <w:rPr>
          <w:noProof/>
        </w:rPr>
        <w:instrText xml:space="preserve"> PAGEREF _Toc406514289 \h </w:instrText>
      </w:r>
      <w:r>
        <w:rPr>
          <w:noProof/>
        </w:rPr>
      </w:r>
      <w:r>
        <w:rPr>
          <w:noProof/>
        </w:rPr>
        <w:fldChar w:fldCharType="separate"/>
      </w:r>
      <w:r>
        <w:rPr>
          <w:noProof/>
        </w:rPr>
        <w:t>23</w:t>
      </w:r>
      <w:r>
        <w:rPr>
          <w:noProof/>
        </w:rPr>
        <w:fldChar w:fldCharType="end"/>
      </w:r>
    </w:p>
    <w:p w:rsidR="00371261" w:rsidRDefault="00371261" w:rsidP="00371261">
      <w:pPr>
        <w:pStyle w:val="TOC1"/>
        <w:spacing w:before="0" w:after="60"/>
        <w:rPr>
          <w:rFonts w:asciiTheme="minorHAnsi" w:eastAsiaTheme="minorEastAsia" w:hAnsiTheme="minorHAnsi" w:cstheme="minorBidi"/>
          <w:noProof/>
          <w:color w:val="auto"/>
          <w:sz w:val="22"/>
          <w:szCs w:val="22"/>
          <w:lang w:eastAsia="en-GB"/>
        </w:rPr>
      </w:pPr>
      <w:r w:rsidRPr="00E228FA">
        <w:rPr>
          <w:noProof/>
        </w:rPr>
        <w:t>Section 2 - Estimates of Home Insulation Levels in Great Britain: September 2014</w:t>
      </w:r>
      <w:r>
        <w:rPr>
          <w:noProof/>
        </w:rPr>
        <w:tab/>
      </w:r>
      <w:r>
        <w:rPr>
          <w:noProof/>
        </w:rPr>
        <w:fldChar w:fldCharType="begin"/>
      </w:r>
      <w:r>
        <w:rPr>
          <w:noProof/>
        </w:rPr>
        <w:instrText xml:space="preserve"> PAGEREF _Toc406514290 \h </w:instrText>
      </w:r>
      <w:r>
        <w:rPr>
          <w:noProof/>
        </w:rPr>
      </w:r>
      <w:r>
        <w:rPr>
          <w:noProof/>
        </w:rPr>
        <w:fldChar w:fldCharType="separate"/>
      </w:r>
      <w:r>
        <w:rPr>
          <w:noProof/>
        </w:rPr>
        <w:t>36</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Sources of increase in insulation levels</w:t>
      </w:r>
      <w:r>
        <w:rPr>
          <w:noProof/>
        </w:rPr>
        <w:tab/>
      </w:r>
      <w:r>
        <w:rPr>
          <w:noProof/>
        </w:rPr>
        <w:fldChar w:fldCharType="begin"/>
      </w:r>
      <w:r>
        <w:rPr>
          <w:noProof/>
        </w:rPr>
        <w:instrText xml:space="preserve"> PAGEREF _Toc406514291 \h </w:instrText>
      </w:r>
      <w:r>
        <w:rPr>
          <w:noProof/>
        </w:rPr>
      </w:r>
      <w:r>
        <w:rPr>
          <w:noProof/>
        </w:rPr>
        <w:fldChar w:fldCharType="separate"/>
      </w:r>
      <w:r>
        <w:rPr>
          <w:noProof/>
        </w:rPr>
        <w:t>39</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Remaining potential</w:t>
      </w:r>
      <w:r>
        <w:rPr>
          <w:noProof/>
        </w:rPr>
        <w:tab/>
      </w:r>
      <w:r>
        <w:rPr>
          <w:noProof/>
        </w:rPr>
        <w:fldChar w:fldCharType="begin"/>
      </w:r>
      <w:r>
        <w:rPr>
          <w:noProof/>
        </w:rPr>
        <w:instrText xml:space="preserve"> PAGEREF _Toc406514292 \h </w:instrText>
      </w:r>
      <w:r>
        <w:rPr>
          <w:noProof/>
        </w:rPr>
      </w:r>
      <w:r>
        <w:rPr>
          <w:noProof/>
        </w:rPr>
        <w:fldChar w:fldCharType="separate"/>
      </w:r>
      <w:r>
        <w:rPr>
          <w:noProof/>
        </w:rPr>
        <w:t>40</w:t>
      </w:r>
      <w:r>
        <w:rPr>
          <w:noProof/>
        </w:rPr>
        <w:fldChar w:fldCharType="end"/>
      </w:r>
    </w:p>
    <w:p w:rsidR="00371261" w:rsidRDefault="00371261" w:rsidP="00371261">
      <w:pPr>
        <w:pStyle w:val="TOC1"/>
        <w:spacing w:before="0" w:after="60"/>
        <w:rPr>
          <w:rFonts w:asciiTheme="minorHAnsi" w:eastAsiaTheme="minorEastAsia" w:hAnsiTheme="minorHAnsi" w:cstheme="minorBidi"/>
          <w:noProof/>
          <w:color w:val="auto"/>
          <w:sz w:val="22"/>
          <w:szCs w:val="22"/>
          <w:lang w:eastAsia="en-GB"/>
        </w:rPr>
      </w:pPr>
      <w:r w:rsidRPr="00E228FA">
        <w:rPr>
          <w:noProof/>
        </w:rPr>
        <w:t>Annex A – Background</w:t>
      </w:r>
      <w:r>
        <w:rPr>
          <w:noProof/>
        </w:rPr>
        <w:tab/>
      </w:r>
      <w:r>
        <w:rPr>
          <w:noProof/>
        </w:rPr>
        <w:fldChar w:fldCharType="begin"/>
      </w:r>
      <w:r>
        <w:rPr>
          <w:noProof/>
        </w:rPr>
        <w:instrText xml:space="preserve"> PAGEREF _Toc406514293 \h </w:instrText>
      </w:r>
      <w:r>
        <w:rPr>
          <w:noProof/>
        </w:rPr>
      </w:r>
      <w:r>
        <w:rPr>
          <w:noProof/>
        </w:rPr>
        <w:fldChar w:fldCharType="separate"/>
      </w:r>
      <w:r>
        <w:rPr>
          <w:noProof/>
        </w:rPr>
        <w:t>43</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Green Deal</w:t>
      </w:r>
      <w:r>
        <w:rPr>
          <w:noProof/>
        </w:rPr>
        <w:tab/>
      </w:r>
      <w:r>
        <w:rPr>
          <w:noProof/>
        </w:rPr>
        <w:fldChar w:fldCharType="begin"/>
      </w:r>
      <w:r>
        <w:rPr>
          <w:noProof/>
        </w:rPr>
        <w:instrText xml:space="preserve"> PAGEREF _Toc406514294 \h </w:instrText>
      </w:r>
      <w:r>
        <w:rPr>
          <w:noProof/>
        </w:rPr>
      </w:r>
      <w:r>
        <w:rPr>
          <w:noProof/>
        </w:rPr>
        <w:fldChar w:fldCharType="separate"/>
      </w:r>
      <w:r>
        <w:rPr>
          <w:noProof/>
        </w:rPr>
        <w:t>43</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sidRPr="00E228FA">
        <w:rPr>
          <w:rFonts w:eastAsia="Calibri"/>
          <w:noProof/>
        </w:rPr>
        <w:t>E</w:t>
      </w:r>
      <w:r>
        <w:rPr>
          <w:noProof/>
        </w:rPr>
        <w:t>nergy Company Obligation</w:t>
      </w:r>
      <w:r>
        <w:rPr>
          <w:noProof/>
        </w:rPr>
        <w:tab/>
      </w:r>
      <w:r>
        <w:rPr>
          <w:noProof/>
        </w:rPr>
        <w:fldChar w:fldCharType="begin"/>
      </w:r>
      <w:r>
        <w:rPr>
          <w:noProof/>
        </w:rPr>
        <w:instrText xml:space="preserve"> PAGEREF _Toc406514295 \h </w:instrText>
      </w:r>
      <w:r>
        <w:rPr>
          <w:noProof/>
        </w:rPr>
      </w:r>
      <w:r>
        <w:rPr>
          <w:noProof/>
        </w:rPr>
        <w:fldChar w:fldCharType="separate"/>
      </w:r>
      <w:r>
        <w:rPr>
          <w:noProof/>
        </w:rPr>
        <w:t>44</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Green Deal Cashback</w:t>
      </w:r>
      <w:r>
        <w:rPr>
          <w:noProof/>
        </w:rPr>
        <w:tab/>
      </w:r>
      <w:r>
        <w:rPr>
          <w:noProof/>
        </w:rPr>
        <w:fldChar w:fldCharType="begin"/>
      </w:r>
      <w:r>
        <w:rPr>
          <w:noProof/>
        </w:rPr>
        <w:instrText xml:space="preserve"> PAGEREF _Toc406514296 \h </w:instrText>
      </w:r>
      <w:r>
        <w:rPr>
          <w:noProof/>
        </w:rPr>
      </w:r>
      <w:r>
        <w:rPr>
          <w:noProof/>
        </w:rPr>
        <w:fldChar w:fldCharType="separate"/>
      </w:r>
      <w:r>
        <w:rPr>
          <w:noProof/>
        </w:rPr>
        <w:t>44</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Green Deal Home Improvement Fund</w:t>
      </w:r>
      <w:r>
        <w:rPr>
          <w:noProof/>
        </w:rPr>
        <w:tab/>
      </w:r>
      <w:r>
        <w:rPr>
          <w:noProof/>
        </w:rPr>
        <w:fldChar w:fldCharType="begin"/>
      </w:r>
      <w:r>
        <w:rPr>
          <w:noProof/>
        </w:rPr>
        <w:instrText xml:space="preserve"> PAGEREF _Toc406514297 \h </w:instrText>
      </w:r>
      <w:r>
        <w:rPr>
          <w:noProof/>
        </w:rPr>
      </w:r>
      <w:r>
        <w:rPr>
          <w:noProof/>
        </w:rPr>
        <w:fldChar w:fldCharType="separate"/>
      </w:r>
      <w:r>
        <w:rPr>
          <w:noProof/>
        </w:rPr>
        <w:t>45</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ECO delivery costs</w:t>
      </w:r>
      <w:r>
        <w:rPr>
          <w:noProof/>
        </w:rPr>
        <w:tab/>
      </w:r>
      <w:r>
        <w:rPr>
          <w:noProof/>
        </w:rPr>
        <w:fldChar w:fldCharType="begin"/>
      </w:r>
      <w:r>
        <w:rPr>
          <w:noProof/>
        </w:rPr>
        <w:instrText xml:space="preserve"> PAGEREF _Toc406514298 \h </w:instrText>
      </w:r>
      <w:r>
        <w:rPr>
          <w:noProof/>
        </w:rPr>
      </w:r>
      <w:r>
        <w:rPr>
          <w:noProof/>
        </w:rPr>
        <w:fldChar w:fldCharType="separate"/>
      </w:r>
      <w:r>
        <w:rPr>
          <w:noProof/>
        </w:rPr>
        <w:t>45</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ECO Brokerage</w:t>
      </w:r>
      <w:r>
        <w:rPr>
          <w:noProof/>
        </w:rPr>
        <w:tab/>
      </w:r>
      <w:r>
        <w:rPr>
          <w:noProof/>
        </w:rPr>
        <w:fldChar w:fldCharType="begin"/>
      </w:r>
      <w:r>
        <w:rPr>
          <w:noProof/>
        </w:rPr>
        <w:instrText xml:space="preserve"> PAGEREF _Toc406514299 \h </w:instrText>
      </w:r>
      <w:r>
        <w:rPr>
          <w:noProof/>
        </w:rPr>
      </w:r>
      <w:r>
        <w:rPr>
          <w:noProof/>
        </w:rPr>
        <w:fldChar w:fldCharType="separate"/>
      </w:r>
      <w:r>
        <w:rPr>
          <w:noProof/>
        </w:rPr>
        <w:t>45</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The Supply Chain</w:t>
      </w:r>
      <w:r>
        <w:rPr>
          <w:noProof/>
        </w:rPr>
        <w:tab/>
      </w:r>
      <w:r>
        <w:rPr>
          <w:noProof/>
        </w:rPr>
        <w:fldChar w:fldCharType="begin"/>
      </w:r>
      <w:r>
        <w:rPr>
          <w:noProof/>
        </w:rPr>
        <w:instrText xml:space="preserve"> PAGEREF _Toc406514300 \h </w:instrText>
      </w:r>
      <w:r>
        <w:rPr>
          <w:noProof/>
        </w:rPr>
      </w:r>
      <w:r>
        <w:rPr>
          <w:noProof/>
        </w:rPr>
        <w:fldChar w:fldCharType="separate"/>
      </w:r>
      <w:r>
        <w:rPr>
          <w:noProof/>
        </w:rPr>
        <w:t>46</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Pioneer Places</w:t>
      </w:r>
      <w:r>
        <w:rPr>
          <w:noProof/>
        </w:rPr>
        <w:tab/>
      </w:r>
      <w:r>
        <w:rPr>
          <w:noProof/>
        </w:rPr>
        <w:fldChar w:fldCharType="begin"/>
      </w:r>
      <w:r>
        <w:rPr>
          <w:noProof/>
        </w:rPr>
        <w:instrText xml:space="preserve"> PAGEREF _Toc406514301 \h </w:instrText>
      </w:r>
      <w:r>
        <w:rPr>
          <w:noProof/>
        </w:rPr>
      </w:r>
      <w:r>
        <w:rPr>
          <w:noProof/>
        </w:rPr>
        <w:fldChar w:fldCharType="separate"/>
      </w:r>
      <w:r>
        <w:rPr>
          <w:noProof/>
        </w:rPr>
        <w:t>46</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Core Cities</w:t>
      </w:r>
      <w:r>
        <w:rPr>
          <w:noProof/>
        </w:rPr>
        <w:tab/>
      </w:r>
      <w:r>
        <w:rPr>
          <w:noProof/>
        </w:rPr>
        <w:fldChar w:fldCharType="begin"/>
      </w:r>
      <w:r>
        <w:rPr>
          <w:noProof/>
        </w:rPr>
        <w:instrText xml:space="preserve"> PAGEREF _Toc406514302 \h </w:instrText>
      </w:r>
      <w:r>
        <w:rPr>
          <w:noProof/>
        </w:rPr>
      </w:r>
      <w:r>
        <w:rPr>
          <w:noProof/>
        </w:rPr>
        <w:fldChar w:fldCharType="separate"/>
      </w:r>
      <w:r>
        <w:rPr>
          <w:noProof/>
        </w:rPr>
        <w:t>46</w:t>
      </w:r>
      <w:r>
        <w:rPr>
          <w:noProof/>
        </w:rPr>
        <w:fldChar w:fldCharType="end"/>
      </w:r>
    </w:p>
    <w:p w:rsidR="00371261" w:rsidRDefault="00371261" w:rsidP="00371261">
      <w:pPr>
        <w:pStyle w:val="TOC1"/>
        <w:spacing w:before="0" w:after="60"/>
        <w:rPr>
          <w:rFonts w:asciiTheme="minorHAnsi" w:eastAsiaTheme="minorEastAsia" w:hAnsiTheme="minorHAnsi" w:cstheme="minorBidi"/>
          <w:noProof/>
          <w:color w:val="auto"/>
          <w:sz w:val="22"/>
          <w:szCs w:val="22"/>
          <w:lang w:eastAsia="en-GB"/>
        </w:rPr>
      </w:pPr>
      <w:r w:rsidRPr="00E228FA">
        <w:rPr>
          <w:noProof/>
        </w:rPr>
        <w:t>Annex B – Sources and Methodology</w:t>
      </w:r>
      <w:r>
        <w:rPr>
          <w:noProof/>
        </w:rPr>
        <w:tab/>
      </w:r>
      <w:r>
        <w:rPr>
          <w:noProof/>
        </w:rPr>
        <w:fldChar w:fldCharType="begin"/>
      </w:r>
      <w:r>
        <w:rPr>
          <w:noProof/>
        </w:rPr>
        <w:instrText xml:space="preserve"> PAGEREF _Toc406514303 \h </w:instrText>
      </w:r>
      <w:r>
        <w:rPr>
          <w:noProof/>
        </w:rPr>
      </w:r>
      <w:r>
        <w:rPr>
          <w:noProof/>
        </w:rPr>
        <w:fldChar w:fldCharType="separate"/>
      </w:r>
      <w:r>
        <w:rPr>
          <w:noProof/>
        </w:rPr>
        <w:t>47</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Experimental Statistics</w:t>
      </w:r>
      <w:r>
        <w:rPr>
          <w:noProof/>
        </w:rPr>
        <w:tab/>
      </w:r>
      <w:r>
        <w:rPr>
          <w:noProof/>
        </w:rPr>
        <w:fldChar w:fldCharType="begin"/>
      </w:r>
      <w:r>
        <w:rPr>
          <w:noProof/>
        </w:rPr>
        <w:instrText xml:space="preserve"> PAGEREF _Toc406514304 \h </w:instrText>
      </w:r>
      <w:r>
        <w:rPr>
          <w:noProof/>
        </w:rPr>
      </w:r>
      <w:r>
        <w:rPr>
          <w:noProof/>
        </w:rPr>
        <w:fldChar w:fldCharType="separate"/>
      </w:r>
      <w:r>
        <w:rPr>
          <w:noProof/>
        </w:rPr>
        <w:t>47</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Green Deal and ECO estimates</w:t>
      </w:r>
      <w:r>
        <w:rPr>
          <w:noProof/>
        </w:rPr>
        <w:tab/>
      </w:r>
      <w:r>
        <w:rPr>
          <w:noProof/>
        </w:rPr>
        <w:fldChar w:fldCharType="begin"/>
      </w:r>
      <w:r>
        <w:rPr>
          <w:noProof/>
        </w:rPr>
        <w:instrText xml:space="preserve"> PAGEREF _Toc406514305 \h </w:instrText>
      </w:r>
      <w:r>
        <w:rPr>
          <w:noProof/>
        </w:rPr>
      </w:r>
      <w:r>
        <w:rPr>
          <w:noProof/>
        </w:rPr>
        <w:fldChar w:fldCharType="separate"/>
      </w:r>
      <w:r>
        <w:rPr>
          <w:noProof/>
        </w:rPr>
        <w:t>47</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Insulation statistics</w:t>
      </w:r>
      <w:r>
        <w:rPr>
          <w:noProof/>
        </w:rPr>
        <w:tab/>
      </w:r>
      <w:r>
        <w:rPr>
          <w:noProof/>
        </w:rPr>
        <w:fldChar w:fldCharType="begin"/>
      </w:r>
      <w:r>
        <w:rPr>
          <w:noProof/>
        </w:rPr>
        <w:instrText xml:space="preserve"> PAGEREF _Toc406514306 \h </w:instrText>
      </w:r>
      <w:r>
        <w:rPr>
          <w:noProof/>
        </w:rPr>
      </w:r>
      <w:r>
        <w:rPr>
          <w:noProof/>
        </w:rPr>
        <w:fldChar w:fldCharType="separate"/>
      </w:r>
      <w:r>
        <w:rPr>
          <w:noProof/>
        </w:rPr>
        <w:t>48</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Revisions</w:t>
      </w:r>
      <w:r>
        <w:rPr>
          <w:noProof/>
        </w:rPr>
        <w:tab/>
      </w:r>
      <w:r>
        <w:rPr>
          <w:noProof/>
        </w:rPr>
        <w:fldChar w:fldCharType="begin"/>
      </w:r>
      <w:r>
        <w:rPr>
          <w:noProof/>
        </w:rPr>
        <w:instrText xml:space="preserve"> PAGEREF _Toc406514307 \h </w:instrText>
      </w:r>
      <w:r>
        <w:rPr>
          <w:noProof/>
        </w:rPr>
      </w:r>
      <w:r>
        <w:rPr>
          <w:noProof/>
        </w:rPr>
        <w:fldChar w:fldCharType="separate"/>
      </w:r>
      <w:r>
        <w:rPr>
          <w:noProof/>
        </w:rPr>
        <w:t>49</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Further Information and Feedback</w:t>
      </w:r>
      <w:r>
        <w:rPr>
          <w:noProof/>
        </w:rPr>
        <w:tab/>
      </w:r>
      <w:r>
        <w:rPr>
          <w:noProof/>
        </w:rPr>
        <w:fldChar w:fldCharType="begin"/>
      </w:r>
      <w:r>
        <w:rPr>
          <w:noProof/>
        </w:rPr>
        <w:instrText xml:space="preserve"> PAGEREF _Toc406514308 \h </w:instrText>
      </w:r>
      <w:r>
        <w:rPr>
          <w:noProof/>
        </w:rPr>
      </w:r>
      <w:r>
        <w:rPr>
          <w:noProof/>
        </w:rPr>
        <w:fldChar w:fldCharType="separate"/>
      </w:r>
      <w:r>
        <w:rPr>
          <w:noProof/>
        </w:rPr>
        <w:t>49</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Next Release</w:t>
      </w:r>
      <w:r>
        <w:rPr>
          <w:noProof/>
        </w:rPr>
        <w:tab/>
      </w:r>
      <w:r>
        <w:rPr>
          <w:noProof/>
        </w:rPr>
        <w:fldChar w:fldCharType="begin"/>
      </w:r>
      <w:r>
        <w:rPr>
          <w:noProof/>
        </w:rPr>
        <w:instrText xml:space="preserve"> PAGEREF _Toc406514309 \h </w:instrText>
      </w:r>
      <w:r>
        <w:rPr>
          <w:noProof/>
        </w:rPr>
      </w:r>
      <w:r>
        <w:rPr>
          <w:noProof/>
        </w:rPr>
        <w:fldChar w:fldCharType="separate"/>
      </w:r>
      <w:r>
        <w:rPr>
          <w:noProof/>
        </w:rPr>
        <w:t>49</w:t>
      </w:r>
      <w:r>
        <w:rPr>
          <w:noProof/>
        </w:rPr>
        <w:fldChar w:fldCharType="end"/>
      </w:r>
    </w:p>
    <w:p w:rsidR="00371261" w:rsidRDefault="00371261" w:rsidP="00371261">
      <w:pPr>
        <w:pStyle w:val="TOC1"/>
        <w:spacing w:before="0" w:after="60"/>
        <w:rPr>
          <w:rFonts w:asciiTheme="minorHAnsi" w:eastAsiaTheme="minorEastAsia" w:hAnsiTheme="minorHAnsi" w:cstheme="minorBidi"/>
          <w:noProof/>
          <w:color w:val="auto"/>
          <w:sz w:val="22"/>
          <w:szCs w:val="22"/>
          <w:lang w:eastAsia="en-GB"/>
        </w:rPr>
      </w:pPr>
      <w:r w:rsidRPr="00E228FA">
        <w:rPr>
          <w:noProof/>
        </w:rPr>
        <w:lastRenderedPageBreak/>
        <w:t>Annex C - Household Energy Efficiency schemes</w:t>
      </w:r>
      <w:r>
        <w:rPr>
          <w:noProof/>
        </w:rPr>
        <w:tab/>
      </w:r>
      <w:r>
        <w:rPr>
          <w:noProof/>
        </w:rPr>
        <w:fldChar w:fldCharType="begin"/>
      </w:r>
      <w:r>
        <w:rPr>
          <w:noProof/>
        </w:rPr>
        <w:instrText xml:space="preserve"> PAGEREF _Toc406514310 \h </w:instrText>
      </w:r>
      <w:r>
        <w:rPr>
          <w:noProof/>
        </w:rPr>
      </w:r>
      <w:r>
        <w:rPr>
          <w:noProof/>
        </w:rPr>
        <w:fldChar w:fldCharType="separate"/>
      </w:r>
      <w:r>
        <w:rPr>
          <w:noProof/>
        </w:rPr>
        <w:t>50</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lang w:eastAsia="en-GB"/>
        </w:rPr>
        <w:t>ECO, Cashback, Green Deal Plans and Green Deal Home Improvement Fund</w:t>
      </w:r>
      <w:r>
        <w:rPr>
          <w:noProof/>
        </w:rPr>
        <w:tab/>
      </w:r>
      <w:r>
        <w:rPr>
          <w:noProof/>
        </w:rPr>
        <w:fldChar w:fldCharType="begin"/>
      </w:r>
      <w:r>
        <w:rPr>
          <w:noProof/>
        </w:rPr>
        <w:instrText xml:space="preserve"> PAGEREF _Toc406514311 \h </w:instrText>
      </w:r>
      <w:r>
        <w:rPr>
          <w:noProof/>
        </w:rPr>
      </w:r>
      <w:r>
        <w:rPr>
          <w:noProof/>
        </w:rPr>
        <w:fldChar w:fldCharType="separate"/>
      </w:r>
      <w:r>
        <w:rPr>
          <w:noProof/>
        </w:rPr>
        <w:t>50</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Feed-In Tariffs</w:t>
      </w:r>
      <w:r>
        <w:rPr>
          <w:noProof/>
        </w:rPr>
        <w:tab/>
      </w:r>
      <w:r>
        <w:rPr>
          <w:noProof/>
        </w:rPr>
        <w:fldChar w:fldCharType="begin"/>
      </w:r>
      <w:r>
        <w:rPr>
          <w:noProof/>
        </w:rPr>
        <w:instrText xml:space="preserve"> PAGEREF _Toc406514312 \h </w:instrText>
      </w:r>
      <w:r>
        <w:rPr>
          <w:noProof/>
        </w:rPr>
      </w:r>
      <w:r>
        <w:rPr>
          <w:noProof/>
        </w:rPr>
        <w:fldChar w:fldCharType="separate"/>
      </w:r>
      <w:r>
        <w:rPr>
          <w:noProof/>
        </w:rPr>
        <w:t>50</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Renewable Heat Premium Payment</w:t>
      </w:r>
      <w:r>
        <w:rPr>
          <w:noProof/>
        </w:rPr>
        <w:tab/>
      </w:r>
      <w:r>
        <w:rPr>
          <w:noProof/>
        </w:rPr>
        <w:fldChar w:fldCharType="begin"/>
      </w:r>
      <w:r>
        <w:rPr>
          <w:noProof/>
        </w:rPr>
        <w:instrText xml:space="preserve"> PAGEREF _Toc406514313 \h </w:instrText>
      </w:r>
      <w:r>
        <w:rPr>
          <w:noProof/>
        </w:rPr>
      </w:r>
      <w:r>
        <w:rPr>
          <w:noProof/>
        </w:rPr>
        <w:fldChar w:fldCharType="separate"/>
      </w:r>
      <w:r>
        <w:rPr>
          <w:noProof/>
        </w:rPr>
        <w:t>50</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Householders’ scheme</w:t>
      </w:r>
      <w:r>
        <w:rPr>
          <w:noProof/>
        </w:rPr>
        <w:tab/>
      </w:r>
      <w:r>
        <w:rPr>
          <w:noProof/>
        </w:rPr>
        <w:fldChar w:fldCharType="begin"/>
      </w:r>
      <w:r>
        <w:rPr>
          <w:noProof/>
        </w:rPr>
        <w:instrText xml:space="preserve"> PAGEREF _Toc406514314 \h </w:instrText>
      </w:r>
      <w:r>
        <w:rPr>
          <w:noProof/>
        </w:rPr>
      </w:r>
      <w:r>
        <w:rPr>
          <w:noProof/>
        </w:rPr>
        <w:fldChar w:fldCharType="separate"/>
      </w:r>
      <w:r>
        <w:rPr>
          <w:noProof/>
        </w:rPr>
        <w:t>51</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Communities scheme</w:t>
      </w:r>
      <w:r>
        <w:rPr>
          <w:noProof/>
        </w:rPr>
        <w:tab/>
      </w:r>
      <w:r>
        <w:rPr>
          <w:noProof/>
        </w:rPr>
        <w:fldChar w:fldCharType="begin"/>
      </w:r>
      <w:r>
        <w:rPr>
          <w:noProof/>
        </w:rPr>
        <w:instrText xml:space="preserve"> PAGEREF _Toc406514315 \h </w:instrText>
      </w:r>
      <w:r>
        <w:rPr>
          <w:noProof/>
        </w:rPr>
      </w:r>
      <w:r>
        <w:rPr>
          <w:noProof/>
        </w:rPr>
        <w:fldChar w:fldCharType="separate"/>
      </w:r>
      <w:r>
        <w:rPr>
          <w:noProof/>
        </w:rPr>
        <w:t>51</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Domestic RHI</w:t>
      </w:r>
      <w:r>
        <w:rPr>
          <w:noProof/>
        </w:rPr>
        <w:tab/>
      </w:r>
      <w:r>
        <w:rPr>
          <w:noProof/>
        </w:rPr>
        <w:fldChar w:fldCharType="begin"/>
      </w:r>
      <w:r>
        <w:rPr>
          <w:noProof/>
        </w:rPr>
        <w:instrText xml:space="preserve"> PAGEREF _Toc406514316 \h </w:instrText>
      </w:r>
      <w:r>
        <w:rPr>
          <w:noProof/>
        </w:rPr>
      </w:r>
      <w:r>
        <w:rPr>
          <w:noProof/>
        </w:rPr>
        <w:fldChar w:fldCharType="separate"/>
      </w:r>
      <w:r>
        <w:rPr>
          <w:noProof/>
        </w:rPr>
        <w:t>52</w:t>
      </w:r>
      <w:r>
        <w:rPr>
          <w:noProof/>
        </w:rPr>
        <w:fldChar w:fldCharType="end"/>
      </w:r>
    </w:p>
    <w:p w:rsidR="00371261" w:rsidRDefault="00371261" w:rsidP="00371261">
      <w:pPr>
        <w:pStyle w:val="TOC3"/>
        <w:tabs>
          <w:tab w:val="right" w:leader="dot" w:pos="10054"/>
        </w:tabs>
        <w:spacing w:before="0" w:after="60"/>
        <w:rPr>
          <w:rFonts w:asciiTheme="minorHAnsi" w:eastAsiaTheme="minorEastAsia" w:hAnsiTheme="minorHAnsi" w:cstheme="minorBidi"/>
          <w:noProof/>
          <w:sz w:val="22"/>
          <w:szCs w:val="22"/>
          <w:lang w:eastAsia="en-GB"/>
        </w:rPr>
      </w:pPr>
      <w:r>
        <w:rPr>
          <w:noProof/>
        </w:rPr>
        <w:t>Smart Meters</w:t>
      </w:r>
      <w:r>
        <w:rPr>
          <w:noProof/>
        </w:rPr>
        <w:tab/>
      </w:r>
      <w:r>
        <w:rPr>
          <w:noProof/>
        </w:rPr>
        <w:fldChar w:fldCharType="begin"/>
      </w:r>
      <w:r>
        <w:rPr>
          <w:noProof/>
        </w:rPr>
        <w:instrText xml:space="preserve"> PAGEREF _Toc406514317 \h </w:instrText>
      </w:r>
      <w:r>
        <w:rPr>
          <w:noProof/>
        </w:rPr>
      </w:r>
      <w:r>
        <w:rPr>
          <w:noProof/>
        </w:rPr>
        <w:fldChar w:fldCharType="separate"/>
      </w:r>
      <w:r>
        <w:rPr>
          <w:noProof/>
        </w:rPr>
        <w:t>52</w:t>
      </w:r>
      <w:r>
        <w:rPr>
          <w:noProof/>
        </w:rPr>
        <w:fldChar w:fldCharType="end"/>
      </w:r>
    </w:p>
    <w:p w:rsidR="0069661B" w:rsidRDefault="00A3396D" w:rsidP="00371261">
      <w:pPr>
        <w:pStyle w:val="Paragraphtext"/>
        <w:spacing w:before="0" w:after="60"/>
        <w:rPr>
          <w:rFonts w:cs="Arial"/>
        </w:rPr>
      </w:pPr>
      <w:r w:rsidRPr="008A5812">
        <w:rPr>
          <w:rFonts w:cs="Arial"/>
        </w:rPr>
        <w:fldChar w:fldCharType="end"/>
      </w:r>
    </w:p>
    <w:p w:rsidR="0006123D" w:rsidRPr="00C92F38" w:rsidRDefault="0006123D" w:rsidP="00371261">
      <w:pPr>
        <w:pStyle w:val="Heading2"/>
        <w:spacing w:before="0" w:after="60"/>
        <w:rPr>
          <w:sz w:val="32"/>
          <w:szCs w:val="32"/>
        </w:rPr>
      </w:pPr>
      <w:bookmarkStart w:id="11" w:name="_Toc406514273"/>
      <w:bookmarkStart w:id="12" w:name="_Toc287863055"/>
      <w:r w:rsidRPr="00C92F38">
        <w:rPr>
          <w:sz w:val="32"/>
          <w:szCs w:val="32"/>
        </w:rPr>
        <w:t>Charts</w:t>
      </w:r>
      <w:bookmarkEnd w:id="11"/>
    </w:p>
    <w:p w:rsidR="00464866" w:rsidRPr="007A21C2" w:rsidRDefault="000F4B03" w:rsidP="00371261">
      <w:pPr>
        <w:pStyle w:val="TableofFigures"/>
        <w:tabs>
          <w:tab w:val="right" w:leader="dot" w:pos="10054"/>
        </w:tabs>
        <w:spacing w:before="0" w:after="60"/>
        <w:jc w:val="both"/>
        <w:rPr>
          <w:rFonts w:eastAsiaTheme="minorEastAsia"/>
          <w:noProof/>
          <w:szCs w:val="24"/>
          <w:lang w:eastAsia="en-GB"/>
        </w:rPr>
      </w:pPr>
      <w:r w:rsidRPr="003B1120">
        <w:rPr>
          <w:szCs w:val="24"/>
        </w:rPr>
        <w:fldChar w:fldCharType="begin"/>
      </w:r>
      <w:r w:rsidRPr="003B1120">
        <w:rPr>
          <w:szCs w:val="24"/>
        </w:rPr>
        <w:instrText xml:space="preserve"> TOC \h \z \c "Chart" </w:instrText>
      </w:r>
      <w:r w:rsidRPr="003B1120">
        <w:rPr>
          <w:szCs w:val="24"/>
        </w:rPr>
        <w:fldChar w:fldCharType="separate"/>
      </w:r>
      <w:hyperlink w:anchor="_Toc406419484" w:history="1">
        <w:r w:rsidR="00464866" w:rsidRPr="007A21C2">
          <w:rPr>
            <w:rStyle w:val="Hyperlink"/>
            <w:rFonts w:ascii="Arial" w:eastAsia="MS Mincho" w:hAnsi="Arial"/>
            <w:noProof/>
            <w:szCs w:val="24"/>
          </w:rPr>
          <w:t>Chart 1.1 - Percentage of Green Deal Assessments lodged, up to 30</w:t>
        </w:r>
        <w:r w:rsidR="00464866" w:rsidRPr="007A21C2">
          <w:rPr>
            <w:rStyle w:val="Hyperlink"/>
            <w:rFonts w:ascii="Arial" w:eastAsia="MS Mincho" w:hAnsi="Arial"/>
            <w:noProof/>
            <w:szCs w:val="24"/>
            <w:vertAlign w:val="superscript"/>
          </w:rPr>
          <w:t>th</w:t>
        </w:r>
        <w:r w:rsidR="00464866" w:rsidRPr="007A21C2">
          <w:rPr>
            <w:rStyle w:val="Hyperlink"/>
            <w:rFonts w:ascii="Arial" w:eastAsia="MS Mincho" w:hAnsi="Arial"/>
            <w:noProof/>
            <w:szCs w:val="24"/>
          </w:rPr>
          <w:t xml:space="preserve"> September 2014, by Energy Efficiency (EE) Band compared with EE Band ratings of all England properties in 2012</w:t>
        </w:r>
        <w:r w:rsidR="00464866" w:rsidRPr="007A21C2">
          <w:rPr>
            <w:noProof/>
            <w:webHidden/>
            <w:szCs w:val="24"/>
          </w:rPr>
          <w:tab/>
        </w:r>
        <w:r w:rsidR="00464866" w:rsidRPr="007A21C2">
          <w:rPr>
            <w:noProof/>
            <w:webHidden/>
            <w:szCs w:val="24"/>
          </w:rPr>
          <w:fldChar w:fldCharType="begin"/>
        </w:r>
        <w:r w:rsidR="00464866" w:rsidRPr="007A21C2">
          <w:rPr>
            <w:noProof/>
            <w:webHidden/>
            <w:szCs w:val="24"/>
          </w:rPr>
          <w:instrText xml:space="preserve"> PAGEREF _Toc406419484 \h </w:instrText>
        </w:r>
        <w:r w:rsidR="00464866" w:rsidRPr="007A21C2">
          <w:rPr>
            <w:noProof/>
            <w:webHidden/>
            <w:szCs w:val="24"/>
          </w:rPr>
        </w:r>
        <w:r w:rsidR="00464866" w:rsidRPr="007A21C2">
          <w:rPr>
            <w:noProof/>
            <w:webHidden/>
            <w:szCs w:val="24"/>
          </w:rPr>
          <w:fldChar w:fldCharType="separate"/>
        </w:r>
        <w:r w:rsidR="008312D7">
          <w:rPr>
            <w:noProof/>
            <w:webHidden/>
            <w:szCs w:val="24"/>
          </w:rPr>
          <w:t>8</w:t>
        </w:r>
        <w:r w:rsidR="00464866" w:rsidRPr="007A21C2">
          <w:rPr>
            <w:noProof/>
            <w:webHidden/>
            <w:szCs w:val="24"/>
          </w:rPr>
          <w:fldChar w:fldCharType="end"/>
        </w:r>
      </w:hyperlink>
    </w:p>
    <w:p w:rsidR="00464866" w:rsidRPr="00464866" w:rsidRDefault="00C34310" w:rsidP="00371261">
      <w:pPr>
        <w:pStyle w:val="TableofFigures"/>
        <w:tabs>
          <w:tab w:val="right" w:leader="dot" w:pos="10054"/>
        </w:tabs>
        <w:spacing w:before="0" w:after="60"/>
        <w:jc w:val="both"/>
        <w:rPr>
          <w:rFonts w:asciiTheme="minorHAnsi" w:eastAsiaTheme="minorEastAsia" w:hAnsiTheme="minorHAnsi" w:cstheme="minorBidi"/>
          <w:noProof/>
          <w:szCs w:val="24"/>
          <w:lang w:eastAsia="en-GB"/>
        </w:rPr>
      </w:pPr>
      <w:hyperlink w:anchor="_Toc406419485" w:history="1">
        <w:r w:rsidR="00464866" w:rsidRPr="00464866">
          <w:rPr>
            <w:rStyle w:val="Hyperlink"/>
            <w:rFonts w:ascii="Arial" w:eastAsia="MS Mincho" w:hAnsi="Arial"/>
            <w:noProof/>
            <w:szCs w:val="24"/>
          </w:rPr>
          <w:t>Chart 1.2 - Percentage of Green Deal Assessments, and England properties by property type, up to 30</w:t>
        </w:r>
        <w:r w:rsidR="00464866" w:rsidRPr="00464866">
          <w:rPr>
            <w:rStyle w:val="Hyperlink"/>
            <w:rFonts w:ascii="Arial" w:eastAsia="MS Mincho" w:hAnsi="Arial"/>
            <w:noProof/>
            <w:szCs w:val="24"/>
            <w:vertAlign w:val="superscript"/>
          </w:rPr>
          <w:t>th</w:t>
        </w:r>
        <w:r w:rsidR="00464866" w:rsidRPr="00464866">
          <w:rPr>
            <w:rStyle w:val="Hyperlink"/>
            <w:rFonts w:ascii="Arial" w:eastAsia="MS Mincho" w:hAnsi="Arial"/>
            <w:noProof/>
            <w:szCs w:val="24"/>
          </w:rPr>
          <w:t xml:space="preserve"> September 2014</w:t>
        </w:r>
        <w:r w:rsidR="00464866" w:rsidRPr="00464866">
          <w:rPr>
            <w:noProof/>
            <w:webHidden/>
            <w:szCs w:val="24"/>
          </w:rPr>
          <w:tab/>
        </w:r>
        <w:r w:rsidR="00464866" w:rsidRPr="00464866">
          <w:rPr>
            <w:noProof/>
            <w:webHidden/>
            <w:szCs w:val="24"/>
          </w:rPr>
          <w:fldChar w:fldCharType="begin"/>
        </w:r>
        <w:r w:rsidR="00464866" w:rsidRPr="00464866">
          <w:rPr>
            <w:noProof/>
            <w:webHidden/>
            <w:szCs w:val="24"/>
          </w:rPr>
          <w:instrText xml:space="preserve"> PAGEREF _Toc406419485 \h </w:instrText>
        </w:r>
        <w:r w:rsidR="00464866" w:rsidRPr="00464866">
          <w:rPr>
            <w:noProof/>
            <w:webHidden/>
            <w:szCs w:val="24"/>
          </w:rPr>
        </w:r>
        <w:r w:rsidR="00464866" w:rsidRPr="00464866">
          <w:rPr>
            <w:noProof/>
            <w:webHidden/>
            <w:szCs w:val="24"/>
          </w:rPr>
          <w:fldChar w:fldCharType="separate"/>
        </w:r>
        <w:r w:rsidR="008312D7">
          <w:rPr>
            <w:noProof/>
            <w:webHidden/>
            <w:szCs w:val="24"/>
          </w:rPr>
          <w:t>9</w:t>
        </w:r>
        <w:r w:rsidR="00464866" w:rsidRPr="00464866">
          <w:rPr>
            <w:noProof/>
            <w:webHidden/>
            <w:szCs w:val="24"/>
          </w:rPr>
          <w:fldChar w:fldCharType="end"/>
        </w:r>
      </w:hyperlink>
    </w:p>
    <w:p w:rsidR="00464866" w:rsidRPr="00464866" w:rsidRDefault="00C34310" w:rsidP="00371261">
      <w:pPr>
        <w:pStyle w:val="TableofFigures"/>
        <w:tabs>
          <w:tab w:val="right" w:leader="dot" w:pos="10054"/>
        </w:tabs>
        <w:spacing w:before="0" w:after="60"/>
        <w:jc w:val="both"/>
        <w:rPr>
          <w:rFonts w:asciiTheme="minorHAnsi" w:eastAsiaTheme="minorEastAsia" w:hAnsiTheme="minorHAnsi" w:cstheme="minorBidi"/>
          <w:noProof/>
          <w:szCs w:val="24"/>
          <w:lang w:eastAsia="en-GB"/>
        </w:rPr>
      </w:pPr>
      <w:hyperlink w:anchor="_Toc406419486" w:history="1">
        <w:r w:rsidR="00464866" w:rsidRPr="00464866">
          <w:rPr>
            <w:rStyle w:val="Hyperlink"/>
            <w:rFonts w:ascii="Arial" w:eastAsia="MS Mincho" w:hAnsi="Arial"/>
            <w:noProof/>
            <w:szCs w:val="24"/>
          </w:rPr>
          <w:t>Chart 1.3</w:t>
        </w:r>
        <w:r w:rsidR="00464866" w:rsidRPr="00464866">
          <w:rPr>
            <w:rStyle w:val="Hyperlink"/>
            <w:rFonts w:ascii="Arial" w:eastAsia="MS Mincho" w:hAnsi="Arial"/>
            <w:b/>
            <w:noProof/>
            <w:szCs w:val="24"/>
          </w:rPr>
          <w:t xml:space="preserve"> </w:t>
        </w:r>
        <w:r w:rsidR="00464866" w:rsidRPr="00464866">
          <w:rPr>
            <w:rStyle w:val="Hyperlink"/>
            <w:rFonts w:ascii="Arial" w:eastAsia="MS Mincho" w:hAnsi="Arial"/>
            <w:noProof/>
            <w:szCs w:val="24"/>
          </w:rPr>
          <w:t>– Percentage of Green Deal Assessments and Great Britain properties by tenure, up to 30</w:t>
        </w:r>
        <w:r w:rsidR="00464866" w:rsidRPr="00464866">
          <w:rPr>
            <w:rStyle w:val="Hyperlink"/>
            <w:rFonts w:ascii="Arial" w:eastAsia="MS Mincho" w:hAnsi="Arial"/>
            <w:noProof/>
            <w:szCs w:val="24"/>
            <w:vertAlign w:val="superscript"/>
          </w:rPr>
          <w:t>th</w:t>
        </w:r>
        <w:r w:rsidR="00464866" w:rsidRPr="00464866">
          <w:rPr>
            <w:rStyle w:val="Hyperlink"/>
            <w:rFonts w:ascii="Arial" w:eastAsia="MS Mincho" w:hAnsi="Arial"/>
            <w:noProof/>
            <w:szCs w:val="24"/>
          </w:rPr>
          <w:t xml:space="preserve"> September 2014</w:t>
        </w:r>
        <w:r w:rsidR="00464866" w:rsidRPr="00464866">
          <w:rPr>
            <w:noProof/>
            <w:webHidden/>
            <w:szCs w:val="24"/>
          </w:rPr>
          <w:tab/>
        </w:r>
        <w:r w:rsidR="00464866" w:rsidRPr="00464866">
          <w:rPr>
            <w:noProof/>
            <w:webHidden/>
            <w:szCs w:val="24"/>
          </w:rPr>
          <w:fldChar w:fldCharType="begin"/>
        </w:r>
        <w:r w:rsidR="00464866" w:rsidRPr="00464866">
          <w:rPr>
            <w:noProof/>
            <w:webHidden/>
            <w:szCs w:val="24"/>
          </w:rPr>
          <w:instrText xml:space="preserve"> PAGEREF _Toc406419486 \h </w:instrText>
        </w:r>
        <w:r w:rsidR="00464866" w:rsidRPr="00464866">
          <w:rPr>
            <w:noProof/>
            <w:webHidden/>
            <w:szCs w:val="24"/>
          </w:rPr>
        </w:r>
        <w:r w:rsidR="00464866" w:rsidRPr="00464866">
          <w:rPr>
            <w:noProof/>
            <w:webHidden/>
            <w:szCs w:val="24"/>
          </w:rPr>
          <w:fldChar w:fldCharType="separate"/>
        </w:r>
        <w:r w:rsidR="008312D7">
          <w:rPr>
            <w:noProof/>
            <w:webHidden/>
            <w:szCs w:val="24"/>
          </w:rPr>
          <w:t>10</w:t>
        </w:r>
        <w:r w:rsidR="00464866" w:rsidRPr="00464866">
          <w:rPr>
            <w:noProof/>
            <w:webHidden/>
            <w:szCs w:val="24"/>
          </w:rPr>
          <w:fldChar w:fldCharType="end"/>
        </w:r>
      </w:hyperlink>
    </w:p>
    <w:p w:rsidR="00464866" w:rsidRPr="00464866" w:rsidRDefault="00C34310" w:rsidP="00371261">
      <w:pPr>
        <w:pStyle w:val="TableofFigures"/>
        <w:tabs>
          <w:tab w:val="right" w:leader="dot" w:pos="10054"/>
        </w:tabs>
        <w:spacing w:before="0" w:after="60"/>
        <w:jc w:val="both"/>
        <w:rPr>
          <w:rFonts w:asciiTheme="minorHAnsi" w:eastAsiaTheme="minorEastAsia" w:hAnsiTheme="minorHAnsi" w:cstheme="minorBidi"/>
          <w:noProof/>
          <w:szCs w:val="24"/>
          <w:lang w:eastAsia="en-GB"/>
        </w:rPr>
      </w:pPr>
      <w:hyperlink w:anchor="_Toc406419487" w:history="1">
        <w:r w:rsidR="00464866" w:rsidRPr="00464866">
          <w:rPr>
            <w:rStyle w:val="Hyperlink"/>
            <w:rFonts w:ascii="Arial" w:eastAsia="MS Mincho" w:hAnsi="Arial"/>
            <w:noProof/>
            <w:szCs w:val="24"/>
          </w:rPr>
          <w:t>Chart 1.4</w:t>
        </w:r>
        <w:r w:rsidR="00464866" w:rsidRPr="00464866">
          <w:rPr>
            <w:rStyle w:val="Hyperlink"/>
            <w:rFonts w:ascii="Arial" w:eastAsia="MS Mincho" w:hAnsi="Arial"/>
            <w:b/>
            <w:noProof/>
            <w:szCs w:val="24"/>
          </w:rPr>
          <w:t xml:space="preserve"> </w:t>
        </w:r>
        <w:r w:rsidR="00464866" w:rsidRPr="00464866">
          <w:rPr>
            <w:rStyle w:val="Hyperlink"/>
            <w:rFonts w:ascii="Arial" w:eastAsia="MS Mincho" w:hAnsi="Arial"/>
            <w:noProof/>
            <w:szCs w:val="24"/>
          </w:rPr>
          <w:t>– Percentage of households where GDHIF vouchers have been paid and England &amp; Wales properties by tenure, up to 30</w:t>
        </w:r>
        <w:r w:rsidR="00464866" w:rsidRPr="00464866">
          <w:rPr>
            <w:rStyle w:val="Hyperlink"/>
            <w:rFonts w:ascii="Arial" w:eastAsia="MS Mincho" w:hAnsi="Arial"/>
            <w:noProof/>
            <w:szCs w:val="24"/>
            <w:vertAlign w:val="superscript"/>
          </w:rPr>
          <w:t>th</w:t>
        </w:r>
        <w:r w:rsidR="00464866" w:rsidRPr="00464866">
          <w:rPr>
            <w:rStyle w:val="Hyperlink"/>
            <w:rFonts w:ascii="Arial" w:eastAsia="MS Mincho" w:hAnsi="Arial"/>
            <w:noProof/>
            <w:szCs w:val="24"/>
          </w:rPr>
          <w:t xml:space="preserve"> September 2014</w:t>
        </w:r>
        <w:r w:rsidR="00464866" w:rsidRPr="00464866">
          <w:rPr>
            <w:noProof/>
            <w:webHidden/>
            <w:szCs w:val="24"/>
          </w:rPr>
          <w:tab/>
        </w:r>
        <w:r w:rsidR="00464866" w:rsidRPr="00464866">
          <w:rPr>
            <w:noProof/>
            <w:webHidden/>
            <w:szCs w:val="24"/>
          </w:rPr>
          <w:fldChar w:fldCharType="begin"/>
        </w:r>
        <w:r w:rsidR="00464866" w:rsidRPr="00464866">
          <w:rPr>
            <w:noProof/>
            <w:webHidden/>
            <w:szCs w:val="24"/>
          </w:rPr>
          <w:instrText xml:space="preserve"> PAGEREF _Toc406419487 \h </w:instrText>
        </w:r>
        <w:r w:rsidR="00464866" w:rsidRPr="00464866">
          <w:rPr>
            <w:noProof/>
            <w:webHidden/>
            <w:szCs w:val="24"/>
          </w:rPr>
        </w:r>
        <w:r w:rsidR="00464866" w:rsidRPr="00464866">
          <w:rPr>
            <w:noProof/>
            <w:webHidden/>
            <w:szCs w:val="24"/>
          </w:rPr>
          <w:fldChar w:fldCharType="separate"/>
        </w:r>
        <w:r w:rsidR="008312D7">
          <w:rPr>
            <w:noProof/>
            <w:webHidden/>
            <w:szCs w:val="24"/>
          </w:rPr>
          <w:t>14</w:t>
        </w:r>
        <w:r w:rsidR="00464866" w:rsidRPr="00464866">
          <w:rPr>
            <w:noProof/>
            <w:webHidden/>
            <w:szCs w:val="24"/>
          </w:rPr>
          <w:fldChar w:fldCharType="end"/>
        </w:r>
      </w:hyperlink>
    </w:p>
    <w:p w:rsidR="00A51A54" w:rsidRPr="00A51A54" w:rsidRDefault="000F4B03" w:rsidP="00371261">
      <w:pPr>
        <w:pStyle w:val="TableofFigures"/>
        <w:tabs>
          <w:tab w:val="right" w:leader="dot" w:pos="10194"/>
        </w:tabs>
        <w:spacing w:before="0" w:after="60"/>
        <w:jc w:val="both"/>
        <w:rPr>
          <w:rFonts w:eastAsiaTheme="minorEastAsia"/>
          <w:noProof/>
          <w:sz w:val="22"/>
          <w:szCs w:val="22"/>
          <w:lang w:eastAsia="en-GB"/>
        </w:rPr>
      </w:pPr>
      <w:r w:rsidRPr="003B1120">
        <w:rPr>
          <w:szCs w:val="24"/>
        </w:rPr>
        <w:fldChar w:fldCharType="end"/>
      </w:r>
      <w:r w:rsidR="00EA185E" w:rsidRPr="003B1120">
        <w:rPr>
          <w:szCs w:val="24"/>
        </w:rPr>
        <w:fldChar w:fldCharType="begin"/>
      </w:r>
      <w:r w:rsidR="00EA185E" w:rsidRPr="003B1120">
        <w:rPr>
          <w:szCs w:val="24"/>
        </w:rPr>
        <w:instrText xml:space="preserve"> TOC \h \z \c "Figure" </w:instrText>
      </w:r>
      <w:r w:rsidR="00EA185E" w:rsidRPr="003B1120">
        <w:rPr>
          <w:szCs w:val="24"/>
        </w:rPr>
        <w:fldChar w:fldCharType="separate"/>
      </w:r>
      <w:hyperlink w:anchor="_Toc405914260" w:history="1">
        <w:r w:rsidR="00A51A54" w:rsidRPr="00A51A54">
          <w:rPr>
            <w:rStyle w:val="Hyperlink"/>
            <w:rFonts w:ascii="Arial" w:eastAsia="MS Mincho" w:hAnsi="Arial"/>
            <w:noProof/>
          </w:rPr>
          <w:t>Chart 2.1: Percentage of properties with insulation in Great Britain, March 2008 to September 2014</w:t>
        </w:r>
        <w:r w:rsidR="00A51A54" w:rsidRPr="00A51A54">
          <w:rPr>
            <w:noProof/>
            <w:webHidden/>
          </w:rPr>
          <w:tab/>
        </w:r>
        <w:r w:rsidR="00A51A54" w:rsidRPr="00A51A54">
          <w:rPr>
            <w:noProof/>
            <w:webHidden/>
          </w:rPr>
          <w:fldChar w:fldCharType="begin"/>
        </w:r>
        <w:r w:rsidR="00A51A54" w:rsidRPr="00A51A54">
          <w:rPr>
            <w:noProof/>
            <w:webHidden/>
          </w:rPr>
          <w:instrText xml:space="preserve"> PAGEREF _Toc405914260 \h </w:instrText>
        </w:r>
        <w:r w:rsidR="00A51A54" w:rsidRPr="00A51A54">
          <w:rPr>
            <w:noProof/>
            <w:webHidden/>
          </w:rPr>
        </w:r>
        <w:r w:rsidR="00A51A54" w:rsidRPr="00A51A54">
          <w:rPr>
            <w:noProof/>
            <w:webHidden/>
          </w:rPr>
          <w:fldChar w:fldCharType="separate"/>
        </w:r>
        <w:r w:rsidR="008312D7">
          <w:rPr>
            <w:noProof/>
            <w:webHidden/>
          </w:rPr>
          <w:t>35</w:t>
        </w:r>
        <w:r w:rsidR="00A51A54" w:rsidRPr="00A51A54">
          <w:rPr>
            <w:noProof/>
            <w:webHidden/>
          </w:rPr>
          <w:fldChar w:fldCharType="end"/>
        </w:r>
      </w:hyperlink>
    </w:p>
    <w:p w:rsidR="00A51A54" w:rsidRPr="00A51A54" w:rsidRDefault="00C34310" w:rsidP="00371261">
      <w:pPr>
        <w:pStyle w:val="TableofFigures"/>
        <w:tabs>
          <w:tab w:val="right" w:leader="dot" w:pos="10194"/>
        </w:tabs>
        <w:spacing w:before="0" w:after="60"/>
        <w:jc w:val="both"/>
        <w:rPr>
          <w:rFonts w:eastAsiaTheme="minorEastAsia"/>
          <w:noProof/>
          <w:sz w:val="22"/>
          <w:szCs w:val="22"/>
          <w:lang w:eastAsia="en-GB"/>
        </w:rPr>
      </w:pPr>
      <w:hyperlink w:anchor="_Toc405914261" w:history="1">
        <w:r w:rsidR="00A51A54" w:rsidRPr="00A51A54">
          <w:rPr>
            <w:rStyle w:val="Hyperlink"/>
            <w:rFonts w:ascii="Arial" w:eastAsia="MS Mincho" w:hAnsi="Arial"/>
            <w:noProof/>
          </w:rPr>
          <w:t>Chart 2.2: Homes in Great Britain with cavity wall insulation and loft insulation: March 2008 to September 2014 (Thousands)</w:t>
        </w:r>
        <w:r w:rsidR="00A51A54" w:rsidRPr="00A51A54">
          <w:rPr>
            <w:noProof/>
            <w:webHidden/>
          </w:rPr>
          <w:tab/>
        </w:r>
        <w:r w:rsidR="00A51A54" w:rsidRPr="00A51A54">
          <w:rPr>
            <w:noProof/>
            <w:webHidden/>
          </w:rPr>
          <w:fldChar w:fldCharType="begin"/>
        </w:r>
        <w:r w:rsidR="00A51A54" w:rsidRPr="00A51A54">
          <w:rPr>
            <w:noProof/>
            <w:webHidden/>
          </w:rPr>
          <w:instrText xml:space="preserve"> PAGEREF _Toc405914261 \h </w:instrText>
        </w:r>
        <w:r w:rsidR="00A51A54" w:rsidRPr="00A51A54">
          <w:rPr>
            <w:noProof/>
            <w:webHidden/>
          </w:rPr>
        </w:r>
        <w:r w:rsidR="00A51A54" w:rsidRPr="00A51A54">
          <w:rPr>
            <w:noProof/>
            <w:webHidden/>
          </w:rPr>
          <w:fldChar w:fldCharType="separate"/>
        </w:r>
        <w:r w:rsidR="008312D7">
          <w:rPr>
            <w:noProof/>
            <w:webHidden/>
          </w:rPr>
          <w:t>36</w:t>
        </w:r>
        <w:r w:rsidR="00A51A54" w:rsidRPr="00A51A54">
          <w:rPr>
            <w:noProof/>
            <w:webHidden/>
          </w:rPr>
          <w:fldChar w:fldCharType="end"/>
        </w:r>
      </w:hyperlink>
    </w:p>
    <w:p w:rsidR="00A51A54" w:rsidRPr="00A51A54" w:rsidRDefault="00C34310" w:rsidP="00371261">
      <w:pPr>
        <w:pStyle w:val="TableofFigures"/>
        <w:tabs>
          <w:tab w:val="right" w:leader="dot" w:pos="10194"/>
        </w:tabs>
        <w:spacing w:before="0" w:after="60"/>
        <w:jc w:val="both"/>
        <w:rPr>
          <w:rFonts w:eastAsiaTheme="minorEastAsia"/>
          <w:noProof/>
          <w:sz w:val="22"/>
          <w:szCs w:val="22"/>
          <w:lang w:eastAsia="en-GB"/>
        </w:rPr>
      </w:pPr>
      <w:hyperlink w:anchor="_Toc405914262" w:history="1">
        <w:r w:rsidR="00A51A54" w:rsidRPr="00A51A54">
          <w:rPr>
            <w:rStyle w:val="Hyperlink"/>
            <w:rFonts w:ascii="Arial" w:eastAsia="MS Mincho" w:hAnsi="Arial"/>
            <w:noProof/>
          </w:rPr>
          <w:t>Chart 2.3: Homes in Great Britain with solid wall insulation: March 2008 to September 2014 (Thousands)</w:t>
        </w:r>
        <w:r w:rsidR="00A51A54" w:rsidRPr="00A51A54">
          <w:rPr>
            <w:noProof/>
            <w:webHidden/>
          </w:rPr>
          <w:tab/>
        </w:r>
        <w:r w:rsidR="00A51A54" w:rsidRPr="00A51A54">
          <w:rPr>
            <w:noProof/>
            <w:webHidden/>
          </w:rPr>
          <w:fldChar w:fldCharType="begin"/>
        </w:r>
        <w:r w:rsidR="00A51A54" w:rsidRPr="00A51A54">
          <w:rPr>
            <w:noProof/>
            <w:webHidden/>
          </w:rPr>
          <w:instrText xml:space="preserve"> PAGEREF _Toc405914262 \h </w:instrText>
        </w:r>
        <w:r w:rsidR="00A51A54" w:rsidRPr="00A51A54">
          <w:rPr>
            <w:noProof/>
            <w:webHidden/>
          </w:rPr>
        </w:r>
        <w:r w:rsidR="00A51A54" w:rsidRPr="00A51A54">
          <w:rPr>
            <w:noProof/>
            <w:webHidden/>
          </w:rPr>
          <w:fldChar w:fldCharType="separate"/>
        </w:r>
        <w:r w:rsidR="008312D7">
          <w:rPr>
            <w:noProof/>
            <w:webHidden/>
          </w:rPr>
          <w:t>36</w:t>
        </w:r>
        <w:r w:rsidR="00A51A54" w:rsidRPr="00A51A54">
          <w:rPr>
            <w:noProof/>
            <w:webHidden/>
          </w:rPr>
          <w:fldChar w:fldCharType="end"/>
        </w:r>
      </w:hyperlink>
    </w:p>
    <w:p w:rsidR="00A51A54" w:rsidRPr="00A51A54" w:rsidRDefault="00C34310" w:rsidP="00371261">
      <w:pPr>
        <w:pStyle w:val="TableofFigures"/>
        <w:tabs>
          <w:tab w:val="right" w:leader="dot" w:pos="10194"/>
        </w:tabs>
        <w:spacing w:before="0" w:after="60"/>
        <w:jc w:val="both"/>
        <w:rPr>
          <w:rFonts w:eastAsiaTheme="minorEastAsia"/>
          <w:noProof/>
          <w:sz w:val="22"/>
          <w:szCs w:val="22"/>
          <w:lang w:eastAsia="en-GB"/>
        </w:rPr>
      </w:pPr>
      <w:hyperlink w:anchor="_Toc405914263" w:history="1">
        <w:r w:rsidR="00A51A54" w:rsidRPr="00A51A54">
          <w:rPr>
            <w:rStyle w:val="Hyperlink"/>
            <w:rFonts w:ascii="Arial" w:eastAsia="MS Mincho" w:hAnsi="Arial"/>
            <w:noProof/>
          </w:rPr>
          <w:t>Chart 2.4: Number of homes in Great Britain with cavity wall insulation and loft insulation by source, September 2014 (Thousands)</w:t>
        </w:r>
        <w:r w:rsidR="00A51A54" w:rsidRPr="00A51A54">
          <w:rPr>
            <w:noProof/>
            <w:webHidden/>
          </w:rPr>
          <w:tab/>
        </w:r>
        <w:r w:rsidR="00A51A54" w:rsidRPr="00A51A54">
          <w:rPr>
            <w:noProof/>
            <w:webHidden/>
          </w:rPr>
          <w:fldChar w:fldCharType="begin"/>
        </w:r>
        <w:r w:rsidR="00A51A54" w:rsidRPr="00A51A54">
          <w:rPr>
            <w:noProof/>
            <w:webHidden/>
          </w:rPr>
          <w:instrText xml:space="preserve"> PAGEREF _Toc405914263 \h </w:instrText>
        </w:r>
        <w:r w:rsidR="00A51A54" w:rsidRPr="00A51A54">
          <w:rPr>
            <w:noProof/>
            <w:webHidden/>
          </w:rPr>
        </w:r>
        <w:r w:rsidR="00A51A54" w:rsidRPr="00A51A54">
          <w:rPr>
            <w:noProof/>
            <w:webHidden/>
          </w:rPr>
          <w:fldChar w:fldCharType="separate"/>
        </w:r>
        <w:r w:rsidR="008312D7">
          <w:rPr>
            <w:noProof/>
            <w:webHidden/>
          </w:rPr>
          <w:t>37</w:t>
        </w:r>
        <w:r w:rsidR="00A51A54" w:rsidRPr="00A51A54">
          <w:rPr>
            <w:noProof/>
            <w:webHidden/>
          </w:rPr>
          <w:fldChar w:fldCharType="end"/>
        </w:r>
      </w:hyperlink>
    </w:p>
    <w:p w:rsidR="00A51A54" w:rsidRPr="00A51A54" w:rsidRDefault="00C34310" w:rsidP="00371261">
      <w:pPr>
        <w:pStyle w:val="TableofFigures"/>
        <w:tabs>
          <w:tab w:val="right" w:leader="dot" w:pos="10194"/>
        </w:tabs>
        <w:spacing w:before="0" w:after="60"/>
        <w:jc w:val="both"/>
        <w:rPr>
          <w:rFonts w:eastAsiaTheme="minorEastAsia"/>
          <w:noProof/>
          <w:sz w:val="22"/>
          <w:szCs w:val="22"/>
          <w:lang w:eastAsia="en-GB"/>
        </w:rPr>
      </w:pPr>
      <w:hyperlink w:anchor="_Toc405914264" w:history="1">
        <w:r w:rsidR="00A51A54" w:rsidRPr="00A51A54">
          <w:rPr>
            <w:rStyle w:val="Hyperlink"/>
            <w:rFonts w:ascii="Arial" w:eastAsia="MS Mincho" w:hAnsi="Arial"/>
            <w:noProof/>
          </w:rPr>
          <w:t>Chart 2.5: Number of homes in Great Britain with solid wall insulation by source, September 2014 (Thousands)</w:t>
        </w:r>
        <w:r w:rsidR="00A51A54" w:rsidRPr="00A51A54">
          <w:rPr>
            <w:noProof/>
            <w:webHidden/>
          </w:rPr>
          <w:tab/>
        </w:r>
        <w:r w:rsidR="00A51A54" w:rsidRPr="00A51A54">
          <w:rPr>
            <w:noProof/>
            <w:webHidden/>
          </w:rPr>
          <w:fldChar w:fldCharType="begin"/>
        </w:r>
        <w:r w:rsidR="00A51A54" w:rsidRPr="00A51A54">
          <w:rPr>
            <w:noProof/>
            <w:webHidden/>
          </w:rPr>
          <w:instrText xml:space="preserve"> PAGEREF _Toc405914264 \h </w:instrText>
        </w:r>
        <w:r w:rsidR="00A51A54" w:rsidRPr="00A51A54">
          <w:rPr>
            <w:noProof/>
            <w:webHidden/>
          </w:rPr>
        </w:r>
        <w:r w:rsidR="00A51A54" w:rsidRPr="00A51A54">
          <w:rPr>
            <w:noProof/>
            <w:webHidden/>
          </w:rPr>
          <w:fldChar w:fldCharType="separate"/>
        </w:r>
        <w:r w:rsidR="008312D7">
          <w:rPr>
            <w:noProof/>
            <w:webHidden/>
          </w:rPr>
          <w:t>38</w:t>
        </w:r>
        <w:r w:rsidR="00A51A54" w:rsidRPr="00A51A54">
          <w:rPr>
            <w:noProof/>
            <w:webHidden/>
          </w:rPr>
          <w:fldChar w:fldCharType="end"/>
        </w:r>
      </w:hyperlink>
    </w:p>
    <w:p w:rsidR="00A51A54" w:rsidRPr="00A51A54" w:rsidRDefault="00C34310" w:rsidP="00371261">
      <w:pPr>
        <w:pStyle w:val="TableofFigures"/>
        <w:tabs>
          <w:tab w:val="right" w:leader="dot" w:pos="10194"/>
        </w:tabs>
        <w:spacing w:before="0" w:after="60"/>
        <w:jc w:val="both"/>
        <w:rPr>
          <w:rFonts w:eastAsiaTheme="minorEastAsia"/>
          <w:noProof/>
          <w:sz w:val="22"/>
          <w:szCs w:val="22"/>
          <w:lang w:eastAsia="en-GB"/>
        </w:rPr>
      </w:pPr>
      <w:hyperlink w:anchor="_Toc405914265" w:history="1">
        <w:r w:rsidR="00A51A54" w:rsidRPr="00A51A54">
          <w:rPr>
            <w:rStyle w:val="Hyperlink"/>
            <w:rFonts w:ascii="Arial" w:eastAsia="MS Mincho" w:hAnsi="Arial"/>
            <w:noProof/>
          </w:rPr>
          <w:t>Chart 2.6: Remaining potential to insulate the housing stock in Great Britain, September 2014</w:t>
        </w:r>
        <w:r w:rsidR="00464866">
          <w:rPr>
            <w:rStyle w:val="Hyperlink"/>
            <w:rFonts w:ascii="Arial" w:eastAsia="MS Mincho" w:hAnsi="Arial"/>
            <w:noProof/>
          </w:rPr>
          <w:t>..</w:t>
        </w:r>
        <w:r w:rsidR="00A51A54">
          <w:rPr>
            <w:rStyle w:val="Hyperlink"/>
            <w:rFonts w:ascii="Arial" w:eastAsia="MS Mincho" w:hAnsi="Arial"/>
            <w:noProof/>
          </w:rPr>
          <w:t>.</w:t>
        </w:r>
        <w:r w:rsidR="00A51A54" w:rsidRPr="00A51A54">
          <w:rPr>
            <w:noProof/>
            <w:webHidden/>
          </w:rPr>
          <w:tab/>
        </w:r>
        <w:r w:rsidR="00A51A54" w:rsidRPr="00A51A54">
          <w:rPr>
            <w:noProof/>
            <w:webHidden/>
          </w:rPr>
          <w:fldChar w:fldCharType="begin"/>
        </w:r>
        <w:r w:rsidR="00A51A54" w:rsidRPr="00A51A54">
          <w:rPr>
            <w:noProof/>
            <w:webHidden/>
          </w:rPr>
          <w:instrText xml:space="preserve"> PAGEREF _Toc405914265 \h </w:instrText>
        </w:r>
        <w:r w:rsidR="00A51A54" w:rsidRPr="00A51A54">
          <w:rPr>
            <w:noProof/>
            <w:webHidden/>
          </w:rPr>
        </w:r>
        <w:r w:rsidR="00A51A54" w:rsidRPr="00A51A54">
          <w:rPr>
            <w:noProof/>
            <w:webHidden/>
          </w:rPr>
          <w:fldChar w:fldCharType="separate"/>
        </w:r>
        <w:r w:rsidR="008312D7">
          <w:rPr>
            <w:noProof/>
            <w:webHidden/>
          </w:rPr>
          <w:t>39</w:t>
        </w:r>
        <w:r w:rsidR="00A51A54" w:rsidRPr="00A51A54">
          <w:rPr>
            <w:noProof/>
            <w:webHidden/>
          </w:rPr>
          <w:fldChar w:fldCharType="end"/>
        </w:r>
      </w:hyperlink>
    </w:p>
    <w:p w:rsidR="007454FF" w:rsidRPr="007454FF" w:rsidRDefault="00EA185E" w:rsidP="00371261">
      <w:pPr>
        <w:spacing w:before="0" w:after="60"/>
        <w:jc w:val="both"/>
        <w:rPr>
          <w:szCs w:val="24"/>
        </w:rPr>
      </w:pPr>
      <w:r w:rsidRPr="003B1120">
        <w:rPr>
          <w:szCs w:val="24"/>
        </w:rPr>
        <w:fldChar w:fldCharType="end"/>
      </w:r>
    </w:p>
    <w:p w:rsidR="002C6612" w:rsidRPr="0035303E" w:rsidRDefault="002C6612" w:rsidP="00371261">
      <w:pPr>
        <w:pStyle w:val="Heading2"/>
        <w:spacing w:before="0" w:after="60"/>
        <w:jc w:val="both"/>
        <w:rPr>
          <w:sz w:val="32"/>
          <w:szCs w:val="32"/>
        </w:rPr>
      </w:pPr>
      <w:bookmarkStart w:id="13" w:name="_Toc406514274"/>
      <w:r w:rsidRPr="0035303E">
        <w:rPr>
          <w:sz w:val="32"/>
          <w:szCs w:val="32"/>
        </w:rPr>
        <w:t>Maps</w:t>
      </w:r>
      <w:bookmarkEnd w:id="13"/>
    </w:p>
    <w:p w:rsidR="00464866" w:rsidRPr="00464866" w:rsidRDefault="002C6612" w:rsidP="00371261">
      <w:pPr>
        <w:pStyle w:val="TableofFigures"/>
        <w:tabs>
          <w:tab w:val="right" w:leader="dot" w:pos="10054"/>
        </w:tabs>
        <w:spacing w:before="0" w:after="60"/>
        <w:jc w:val="both"/>
        <w:rPr>
          <w:rFonts w:eastAsiaTheme="minorEastAsia"/>
          <w:noProof/>
          <w:sz w:val="22"/>
          <w:szCs w:val="22"/>
          <w:lang w:eastAsia="en-GB"/>
        </w:rPr>
      </w:pPr>
      <w:r w:rsidRPr="00A51A54">
        <w:rPr>
          <w:color w:val="FF0000"/>
          <w:szCs w:val="24"/>
        </w:rPr>
        <w:fldChar w:fldCharType="begin"/>
      </w:r>
      <w:r w:rsidRPr="00A51A54">
        <w:rPr>
          <w:color w:val="FF0000"/>
          <w:szCs w:val="24"/>
        </w:rPr>
        <w:instrText xml:space="preserve"> TOC \h \z \c "Map" </w:instrText>
      </w:r>
      <w:r w:rsidRPr="00A51A54">
        <w:rPr>
          <w:color w:val="FF0000"/>
          <w:szCs w:val="24"/>
        </w:rPr>
        <w:fldChar w:fldCharType="separate"/>
      </w:r>
      <w:hyperlink w:anchor="_Toc406419488" w:history="1">
        <w:r w:rsidR="00464866" w:rsidRPr="00464866">
          <w:rPr>
            <w:rStyle w:val="Hyperlink"/>
            <w:rFonts w:ascii="Arial" w:eastAsia="MS Mincho" w:hAnsi="Arial"/>
            <w:noProof/>
          </w:rPr>
          <w:t>Map 1.1 – Number of Green Deal Assessments per 1,000 households lodged by Local Authority up to 30</w:t>
        </w:r>
        <w:r w:rsidR="00464866" w:rsidRPr="00464866">
          <w:rPr>
            <w:rStyle w:val="Hyperlink"/>
            <w:rFonts w:ascii="Arial" w:eastAsia="MS Mincho" w:hAnsi="Arial"/>
            <w:noProof/>
            <w:vertAlign w:val="superscript"/>
          </w:rPr>
          <w:t>th</w:t>
        </w:r>
        <w:r w:rsidR="00464866" w:rsidRPr="00464866">
          <w:rPr>
            <w:rStyle w:val="Hyperlink"/>
            <w:rFonts w:ascii="Arial" w:eastAsia="MS Mincho" w:hAnsi="Arial"/>
            <w:noProof/>
          </w:rPr>
          <w:t xml:space="preserve"> September 2014</w:t>
        </w:r>
        <w:r w:rsidR="00464866" w:rsidRPr="00464866">
          <w:rPr>
            <w:noProof/>
            <w:webHidden/>
          </w:rPr>
          <w:tab/>
        </w:r>
        <w:r w:rsidR="00464866" w:rsidRPr="00464866">
          <w:rPr>
            <w:noProof/>
            <w:webHidden/>
          </w:rPr>
          <w:fldChar w:fldCharType="begin"/>
        </w:r>
        <w:r w:rsidR="00464866" w:rsidRPr="00464866">
          <w:rPr>
            <w:noProof/>
            <w:webHidden/>
          </w:rPr>
          <w:instrText xml:space="preserve"> PAGEREF _Toc406419488 \h </w:instrText>
        </w:r>
        <w:r w:rsidR="00464866" w:rsidRPr="00464866">
          <w:rPr>
            <w:noProof/>
            <w:webHidden/>
          </w:rPr>
        </w:r>
        <w:r w:rsidR="00464866" w:rsidRPr="00464866">
          <w:rPr>
            <w:noProof/>
            <w:webHidden/>
          </w:rPr>
          <w:fldChar w:fldCharType="separate"/>
        </w:r>
        <w:r w:rsidR="003F5A8E">
          <w:rPr>
            <w:noProof/>
            <w:webHidden/>
          </w:rPr>
          <w:t>11</w:t>
        </w:r>
        <w:r w:rsidR="00464866" w:rsidRPr="00464866">
          <w:rPr>
            <w:noProof/>
            <w:webHidden/>
          </w:rPr>
          <w:fldChar w:fldCharType="end"/>
        </w:r>
      </w:hyperlink>
    </w:p>
    <w:p w:rsidR="00464866" w:rsidRPr="00464866" w:rsidRDefault="00C34310" w:rsidP="00371261">
      <w:pPr>
        <w:pStyle w:val="TableofFigures"/>
        <w:tabs>
          <w:tab w:val="right" w:leader="dot" w:pos="10054"/>
        </w:tabs>
        <w:spacing w:before="0" w:after="60"/>
        <w:jc w:val="both"/>
        <w:rPr>
          <w:rFonts w:eastAsiaTheme="minorEastAsia"/>
          <w:noProof/>
          <w:sz w:val="22"/>
          <w:szCs w:val="22"/>
          <w:lang w:eastAsia="en-GB"/>
        </w:rPr>
      </w:pPr>
      <w:hyperlink w:anchor="_Toc406419489" w:history="1">
        <w:r w:rsidR="00464866" w:rsidRPr="00464866">
          <w:rPr>
            <w:rStyle w:val="Hyperlink"/>
            <w:rFonts w:ascii="Arial" w:eastAsia="MS Mincho" w:hAnsi="Arial"/>
            <w:noProof/>
          </w:rPr>
          <w:t>Map 1.2 – Provisional number of households in receipt of ECO measures by Local Authority per 1,000 households</w:t>
        </w:r>
        <w:r w:rsidR="00464866" w:rsidRPr="00464866">
          <w:rPr>
            <w:noProof/>
            <w:webHidden/>
          </w:rPr>
          <w:tab/>
        </w:r>
        <w:r w:rsidR="00464866" w:rsidRPr="00464866">
          <w:rPr>
            <w:noProof/>
            <w:webHidden/>
          </w:rPr>
          <w:fldChar w:fldCharType="begin"/>
        </w:r>
        <w:r w:rsidR="00464866" w:rsidRPr="00464866">
          <w:rPr>
            <w:noProof/>
            <w:webHidden/>
          </w:rPr>
          <w:instrText xml:space="preserve"> PAGEREF _Toc406419489 \h </w:instrText>
        </w:r>
        <w:r w:rsidR="00464866" w:rsidRPr="00464866">
          <w:rPr>
            <w:noProof/>
            <w:webHidden/>
          </w:rPr>
        </w:r>
        <w:r w:rsidR="00464866" w:rsidRPr="00464866">
          <w:rPr>
            <w:noProof/>
            <w:webHidden/>
          </w:rPr>
          <w:fldChar w:fldCharType="separate"/>
        </w:r>
        <w:r w:rsidR="003F5A8E">
          <w:rPr>
            <w:noProof/>
            <w:webHidden/>
          </w:rPr>
          <w:t>16</w:t>
        </w:r>
        <w:r w:rsidR="00464866" w:rsidRPr="00464866">
          <w:rPr>
            <w:noProof/>
            <w:webHidden/>
          </w:rPr>
          <w:fldChar w:fldCharType="end"/>
        </w:r>
      </w:hyperlink>
    </w:p>
    <w:p w:rsidR="0006123D" w:rsidRPr="0035303E" w:rsidRDefault="002C6612" w:rsidP="00371261">
      <w:pPr>
        <w:pStyle w:val="Introduction"/>
        <w:spacing w:before="0" w:after="60"/>
        <w:jc w:val="both"/>
        <w:rPr>
          <w:rFonts w:cs="Arial"/>
          <w:color w:val="FF0000"/>
          <w:sz w:val="24"/>
          <w:szCs w:val="24"/>
        </w:rPr>
      </w:pPr>
      <w:r w:rsidRPr="00A51A54">
        <w:rPr>
          <w:rFonts w:cs="Arial"/>
          <w:color w:val="FF0000"/>
          <w:sz w:val="24"/>
          <w:szCs w:val="24"/>
        </w:rPr>
        <w:fldChar w:fldCharType="end"/>
      </w:r>
    </w:p>
    <w:p w:rsidR="00D12323" w:rsidRPr="004669C3" w:rsidRDefault="00183230" w:rsidP="00975728">
      <w:pPr>
        <w:pStyle w:val="Heading2"/>
        <w:rPr>
          <w:b w:val="0"/>
          <w:sz w:val="50"/>
          <w:szCs w:val="50"/>
        </w:rPr>
      </w:pPr>
      <w:bookmarkStart w:id="14" w:name="_Toc287863056"/>
      <w:bookmarkEnd w:id="4"/>
      <w:bookmarkEnd w:id="12"/>
      <w:r>
        <w:rPr>
          <w:lang w:eastAsia="en-GB"/>
        </w:rPr>
        <w:br w:type="page"/>
      </w:r>
      <w:bookmarkStart w:id="15" w:name="_Toc406514275"/>
      <w:r w:rsidR="00D12323" w:rsidRPr="004669C3">
        <w:rPr>
          <w:b w:val="0"/>
          <w:sz w:val="50"/>
          <w:szCs w:val="50"/>
        </w:rPr>
        <w:lastRenderedPageBreak/>
        <w:t>Key points</w:t>
      </w:r>
      <w:bookmarkEnd w:id="15"/>
      <w:r w:rsidR="00D12323" w:rsidRPr="004669C3">
        <w:rPr>
          <w:b w:val="0"/>
          <w:sz w:val="50"/>
          <w:szCs w:val="50"/>
        </w:rPr>
        <w:tab/>
      </w:r>
    </w:p>
    <w:p w:rsidR="008A71F1" w:rsidRPr="00F21673" w:rsidRDefault="008A71F1" w:rsidP="00F21673">
      <w:pPr>
        <w:spacing w:after="0" w:line="240" w:lineRule="auto"/>
        <w:contextualSpacing/>
        <w:jc w:val="both"/>
        <w:rPr>
          <w:szCs w:val="24"/>
        </w:rPr>
      </w:pPr>
    </w:p>
    <w:p w:rsidR="00291E07" w:rsidRDefault="00291E07" w:rsidP="00291E07">
      <w:pPr>
        <w:pStyle w:val="Heading4"/>
        <w:rPr>
          <w:u w:val="single"/>
        </w:rPr>
      </w:pPr>
      <w:bookmarkStart w:id="16" w:name="_Green_Deal,_ECO"/>
      <w:bookmarkEnd w:id="16"/>
      <w:r w:rsidRPr="00D801C2">
        <w:rPr>
          <w:u w:val="single"/>
        </w:rPr>
        <w:t>Green Deal, ECO and Cashback</w:t>
      </w:r>
      <w:r w:rsidR="00D801C2">
        <w:rPr>
          <w:u w:val="single"/>
        </w:rPr>
        <w:t>:</w:t>
      </w:r>
      <w:r w:rsidRPr="00D801C2">
        <w:rPr>
          <w:u w:val="single"/>
        </w:rPr>
        <w:t xml:space="preserve"> January </w:t>
      </w:r>
      <w:r w:rsidR="0091494C">
        <w:rPr>
          <w:u w:val="single"/>
        </w:rPr>
        <w:t xml:space="preserve">2013 </w:t>
      </w:r>
      <w:r w:rsidRPr="00D801C2">
        <w:rPr>
          <w:u w:val="single"/>
        </w:rPr>
        <w:t xml:space="preserve">to </w:t>
      </w:r>
      <w:r w:rsidR="00841034">
        <w:rPr>
          <w:u w:val="single"/>
        </w:rPr>
        <w:t>September</w:t>
      </w:r>
      <w:r w:rsidR="002F723B">
        <w:rPr>
          <w:u w:val="single"/>
        </w:rPr>
        <w:t xml:space="preserve"> 2014</w:t>
      </w:r>
    </w:p>
    <w:p w:rsidR="00950483" w:rsidRDefault="00950483" w:rsidP="00933993">
      <w:pPr>
        <w:spacing w:after="0" w:line="240" w:lineRule="auto"/>
        <w:contextualSpacing/>
        <w:jc w:val="both"/>
        <w:rPr>
          <w:szCs w:val="24"/>
        </w:rPr>
      </w:pPr>
    </w:p>
    <w:p w:rsidR="00ED27D5" w:rsidRPr="008E730B" w:rsidRDefault="00B512F6" w:rsidP="00933993">
      <w:pPr>
        <w:spacing w:after="0" w:line="240" w:lineRule="auto"/>
        <w:contextualSpacing/>
        <w:jc w:val="both"/>
      </w:pPr>
      <w:r w:rsidRPr="008E730B">
        <w:rPr>
          <w:szCs w:val="24"/>
        </w:rPr>
        <w:t>A provisional 9</w:t>
      </w:r>
      <w:r w:rsidR="008E730B" w:rsidRPr="008E730B">
        <w:rPr>
          <w:szCs w:val="24"/>
        </w:rPr>
        <w:t>95</w:t>
      </w:r>
      <w:r w:rsidRPr="008E730B">
        <w:rPr>
          <w:szCs w:val="24"/>
        </w:rPr>
        <w:t>,000 measures were installed</w:t>
      </w:r>
      <w:r w:rsidR="0010080F" w:rsidRPr="008E730B">
        <w:rPr>
          <w:rStyle w:val="FootnoteReference"/>
          <w:szCs w:val="24"/>
        </w:rPr>
        <w:footnoteReference w:id="2"/>
      </w:r>
      <w:r w:rsidRPr="008E730B">
        <w:rPr>
          <w:szCs w:val="24"/>
        </w:rPr>
        <w:t xml:space="preserve"> in around </w:t>
      </w:r>
      <w:r w:rsidR="0010080F">
        <w:rPr>
          <w:szCs w:val="24"/>
        </w:rPr>
        <w:t>80</w:t>
      </w:r>
      <w:r w:rsidR="008E730B" w:rsidRPr="008E730B">
        <w:rPr>
          <w:szCs w:val="24"/>
        </w:rPr>
        <w:t>9</w:t>
      </w:r>
      <w:r w:rsidRPr="008E730B">
        <w:rPr>
          <w:szCs w:val="24"/>
        </w:rPr>
        <w:t>,000 properties</w:t>
      </w:r>
      <w:r w:rsidR="0010080F" w:rsidRPr="008E730B">
        <w:rPr>
          <w:rStyle w:val="FootnoteReference"/>
          <w:szCs w:val="24"/>
        </w:rPr>
        <w:footnoteReference w:id="3"/>
      </w:r>
      <w:r w:rsidRPr="008E730B">
        <w:rPr>
          <w:szCs w:val="24"/>
        </w:rPr>
        <w:t xml:space="preserve"> through ECO</w:t>
      </w:r>
      <w:r w:rsidR="00C7003E">
        <w:rPr>
          <w:rStyle w:val="FootnoteReference"/>
          <w:szCs w:val="24"/>
        </w:rPr>
        <w:footnoteReference w:id="4"/>
      </w:r>
      <w:r w:rsidRPr="008E730B">
        <w:rPr>
          <w:szCs w:val="24"/>
        </w:rPr>
        <w:t xml:space="preserve">, Cashback, Green Deal </w:t>
      </w:r>
      <w:r w:rsidR="008E730B" w:rsidRPr="008E730B">
        <w:rPr>
          <w:szCs w:val="24"/>
        </w:rPr>
        <w:t xml:space="preserve">Plans </w:t>
      </w:r>
      <w:r w:rsidRPr="008E730B">
        <w:rPr>
          <w:szCs w:val="24"/>
        </w:rPr>
        <w:t xml:space="preserve">and the </w:t>
      </w:r>
      <w:r w:rsidR="008A71F1">
        <w:rPr>
          <w:szCs w:val="24"/>
        </w:rPr>
        <w:t>GDHIF</w:t>
      </w:r>
      <w:r w:rsidRPr="008E730B">
        <w:rPr>
          <w:szCs w:val="24"/>
        </w:rPr>
        <w:t xml:space="preserve"> to the end of </w:t>
      </w:r>
      <w:r w:rsidR="00841034" w:rsidRPr="008E730B">
        <w:rPr>
          <w:szCs w:val="24"/>
        </w:rPr>
        <w:t>September</w:t>
      </w:r>
      <w:r w:rsidRPr="008E730B">
        <w:rPr>
          <w:szCs w:val="24"/>
        </w:rPr>
        <w:t xml:space="preserve"> 2014</w:t>
      </w:r>
      <w:r w:rsidR="0091494C" w:rsidRPr="008E730B">
        <w:rPr>
          <w:szCs w:val="24"/>
        </w:rPr>
        <w:t>.</w:t>
      </w:r>
    </w:p>
    <w:p w:rsidR="00933993" w:rsidRPr="008E730B" w:rsidRDefault="00933993" w:rsidP="00933993">
      <w:pPr>
        <w:spacing w:before="0" w:after="200" w:line="240" w:lineRule="auto"/>
        <w:ind w:left="786"/>
        <w:contextualSpacing/>
        <w:jc w:val="both"/>
      </w:pPr>
    </w:p>
    <w:p w:rsidR="00933993" w:rsidRPr="008E730B" w:rsidRDefault="00CA7000" w:rsidP="00933993">
      <w:pPr>
        <w:spacing w:after="0" w:line="240" w:lineRule="auto"/>
        <w:contextualSpacing/>
        <w:jc w:val="both"/>
      </w:pPr>
      <w:r w:rsidRPr="008E730B">
        <w:t xml:space="preserve">Of the </w:t>
      </w:r>
      <w:r w:rsidR="008E730B" w:rsidRPr="008E730B">
        <w:t>356</w:t>
      </w:r>
      <w:r w:rsidRPr="008E730B">
        <w:t>,</w:t>
      </w:r>
      <w:r w:rsidR="008E730B" w:rsidRPr="008E730B">
        <w:t>514</w:t>
      </w:r>
      <w:r w:rsidR="00933993" w:rsidRPr="008E730B">
        <w:t xml:space="preserve"> Green Deal Assessments in Great Britain:</w:t>
      </w:r>
    </w:p>
    <w:p w:rsidR="00ED27D5" w:rsidRPr="008E730B" w:rsidRDefault="00ED27D5" w:rsidP="00ED27D5">
      <w:pPr>
        <w:spacing w:line="240" w:lineRule="auto"/>
        <w:ind w:left="720"/>
        <w:contextualSpacing/>
        <w:jc w:val="both"/>
      </w:pPr>
    </w:p>
    <w:p w:rsidR="00950483" w:rsidRPr="00EA66E6" w:rsidRDefault="008E730B" w:rsidP="00216867">
      <w:pPr>
        <w:numPr>
          <w:ilvl w:val="0"/>
          <w:numId w:val="5"/>
        </w:numPr>
        <w:spacing w:before="0" w:after="200" w:line="240" w:lineRule="auto"/>
        <w:ind w:left="709" w:hanging="425"/>
        <w:contextualSpacing/>
        <w:jc w:val="both"/>
      </w:pPr>
      <w:r w:rsidRPr="008E730B">
        <w:t>The majority (88</w:t>
      </w:r>
      <w:r w:rsidR="00950483" w:rsidRPr="008E730B">
        <w:t xml:space="preserve"> per cent) of properties getting a GD Assessment had an energy efficiency band rating of D or lower. This compares to 82 per cent of the overall domestic </w:t>
      </w:r>
      <w:r w:rsidR="00950483" w:rsidRPr="00EA66E6">
        <w:t xml:space="preserve">building stock in England. </w:t>
      </w:r>
    </w:p>
    <w:p w:rsidR="00950483" w:rsidRPr="00EA66E6" w:rsidRDefault="00950483" w:rsidP="00216867">
      <w:pPr>
        <w:spacing w:before="0" w:after="200" w:line="240" w:lineRule="auto"/>
        <w:ind w:left="709" w:hanging="425"/>
        <w:contextualSpacing/>
        <w:jc w:val="both"/>
      </w:pPr>
    </w:p>
    <w:p w:rsidR="002404FA" w:rsidRPr="00EA66E6" w:rsidRDefault="00BB6756" w:rsidP="00216867">
      <w:pPr>
        <w:numPr>
          <w:ilvl w:val="0"/>
          <w:numId w:val="5"/>
        </w:numPr>
        <w:spacing w:before="0" w:after="200" w:line="240" w:lineRule="auto"/>
        <w:ind w:left="709" w:hanging="425"/>
        <w:contextualSpacing/>
        <w:jc w:val="both"/>
      </w:pPr>
      <w:r w:rsidRPr="00EA66E6">
        <w:t xml:space="preserve">There were </w:t>
      </w:r>
      <w:r w:rsidR="00EA66E6" w:rsidRPr="00EA66E6">
        <w:t>1,107</w:t>
      </w:r>
      <w:r w:rsidRPr="00EA66E6">
        <w:t>,</w:t>
      </w:r>
      <w:r w:rsidR="00EA66E6" w:rsidRPr="00EA66E6">
        <w:t>559</w:t>
      </w:r>
      <w:r w:rsidRPr="00EA66E6">
        <w:t xml:space="preserve"> improvements recommended in Gr</w:t>
      </w:r>
      <w:r w:rsidR="00BC35E1" w:rsidRPr="00EA66E6">
        <w:t>een Deal Assessments (around</w:t>
      </w:r>
      <w:r w:rsidR="00B91E88" w:rsidRPr="00EA66E6">
        <w:t xml:space="preserve"> </w:t>
      </w:r>
      <w:r w:rsidR="00597E8F" w:rsidRPr="00EA66E6">
        <w:t xml:space="preserve">three </w:t>
      </w:r>
      <w:r w:rsidRPr="00EA66E6">
        <w:t xml:space="preserve">improvements per assessment). </w:t>
      </w:r>
      <w:r w:rsidR="002404FA" w:rsidRPr="00EA66E6">
        <w:t xml:space="preserve">The most common </w:t>
      </w:r>
      <w:r w:rsidR="00AF7FBF">
        <w:t xml:space="preserve">single </w:t>
      </w:r>
      <w:r w:rsidR="002404FA" w:rsidRPr="00EA66E6">
        <w:t xml:space="preserve">measure recommended was to install loft insulation. This accounted for 14 per cent of all </w:t>
      </w:r>
      <w:r w:rsidR="00EA66E6" w:rsidRPr="00EA66E6">
        <w:t xml:space="preserve">recommended </w:t>
      </w:r>
      <w:r w:rsidR="002404FA" w:rsidRPr="00EA66E6">
        <w:t xml:space="preserve">measures and was recommended in </w:t>
      </w:r>
      <w:r w:rsidR="00EA66E6" w:rsidRPr="00EA66E6">
        <w:t>45</w:t>
      </w:r>
      <w:r w:rsidR="00AF7FBF">
        <w:t xml:space="preserve"> per cent of all GD A</w:t>
      </w:r>
      <w:r w:rsidR="00597E8F" w:rsidRPr="00EA66E6">
        <w:t>ssessments.</w:t>
      </w:r>
    </w:p>
    <w:p w:rsidR="002404FA" w:rsidRPr="00841034" w:rsidRDefault="002404FA" w:rsidP="00216867">
      <w:pPr>
        <w:spacing w:line="240" w:lineRule="auto"/>
        <w:ind w:left="709" w:hanging="425"/>
        <w:contextualSpacing/>
        <w:jc w:val="both"/>
        <w:rPr>
          <w:highlight w:val="yellow"/>
        </w:rPr>
      </w:pPr>
    </w:p>
    <w:p w:rsidR="00ED27D5" w:rsidRPr="00EA66E6" w:rsidRDefault="00597E8F" w:rsidP="00216867">
      <w:pPr>
        <w:numPr>
          <w:ilvl w:val="0"/>
          <w:numId w:val="5"/>
        </w:numPr>
        <w:spacing w:before="0" w:after="200" w:line="240" w:lineRule="auto"/>
        <w:ind w:left="709" w:hanging="425"/>
        <w:contextualSpacing/>
        <w:jc w:val="both"/>
      </w:pPr>
      <w:r w:rsidRPr="00EA66E6">
        <w:t>Around</w:t>
      </w:r>
      <w:r w:rsidR="00CA7000" w:rsidRPr="00EA66E6">
        <w:t xml:space="preserve"> t</w:t>
      </w:r>
      <w:r w:rsidR="002A0F5B" w:rsidRPr="00EA66E6">
        <w:t>hree quarters</w:t>
      </w:r>
      <w:r w:rsidR="00AF7FBF">
        <w:t xml:space="preserve"> of GD </w:t>
      </w:r>
      <w:r w:rsidR="00ED27D5" w:rsidRPr="00EA66E6">
        <w:t>Assessments were in owner-occupied properties (</w:t>
      </w:r>
      <w:r w:rsidR="00EA66E6" w:rsidRPr="00EA66E6">
        <w:t>272,561</w:t>
      </w:r>
      <w:r w:rsidR="00ED27D5" w:rsidRPr="00EA66E6">
        <w:t xml:space="preserve">), </w:t>
      </w:r>
      <w:r w:rsidR="00BC35E1" w:rsidRPr="00EA66E6">
        <w:t>1</w:t>
      </w:r>
      <w:r w:rsidR="00EA66E6" w:rsidRPr="00EA66E6">
        <w:t>2</w:t>
      </w:r>
      <w:r w:rsidR="00D25BE6" w:rsidRPr="00EA66E6">
        <w:t xml:space="preserve"> per cent</w:t>
      </w:r>
      <w:r w:rsidR="002A0F5B" w:rsidRPr="00EA66E6">
        <w:t xml:space="preserve"> in the</w:t>
      </w:r>
      <w:r w:rsidR="00ED27D5" w:rsidRPr="00EA66E6">
        <w:t xml:space="preserve"> private rented sector</w:t>
      </w:r>
      <w:r w:rsidR="00EA66E6" w:rsidRPr="00EA66E6">
        <w:t xml:space="preserve"> and 11</w:t>
      </w:r>
      <w:r w:rsidR="00343945" w:rsidRPr="00EA66E6">
        <w:t xml:space="preserve"> per cent are in the social rented sector.</w:t>
      </w:r>
    </w:p>
    <w:p w:rsidR="00ED27D5" w:rsidRPr="00EA66E6" w:rsidRDefault="00ED27D5" w:rsidP="00216867">
      <w:pPr>
        <w:spacing w:before="0" w:after="200" w:line="240" w:lineRule="auto"/>
        <w:ind w:left="709" w:hanging="425"/>
        <w:contextualSpacing/>
        <w:jc w:val="both"/>
      </w:pPr>
    </w:p>
    <w:p w:rsidR="00AB7802" w:rsidRPr="00EA66E6" w:rsidRDefault="00BC35E1" w:rsidP="004F4968">
      <w:pPr>
        <w:spacing w:after="0" w:line="240" w:lineRule="auto"/>
        <w:contextualSpacing/>
        <w:jc w:val="both"/>
      </w:pPr>
      <w:r w:rsidRPr="00EA66E6">
        <w:t xml:space="preserve">Of the </w:t>
      </w:r>
      <w:r w:rsidR="00EA66E6" w:rsidRPr="00EA66E6">
        <w:t>2</w:t>
      </w:r>
      <w:r w:rsidR="002B1326" w:rsidRPr="00EA66E6">
        <w:t>,58</w:t>
      </w:r>
      <w:r w:rsidR="00EA66E6" w:rsidRPr="00EA66E6">
        <w:t>1</w:t>
      </w:r>
      <w:r w:rsidR="00AB7802" w:rsidRPr="00EA66E6">
        <w:t xml:space="preserve"> ‘live’ Green Deal Plans with measures installed in Great Britain</w:t>
      </w:r>
      <w:r w:rsidR="004F4968" w:rsidRPr="00EA66E6">
        <w:t>, t</w:t>
      </w:r>
      <w:r w:rsidR="00EA66E6" w:rsidRPr="00EA66E6">
        <w:t>he majority (65</w:t>
      </w:r>
      <w:r w:rsidR="002B1326" w:rsidRPr="00EA66E6">
        <w:t xml:space="preserve"> per cent)</w:t>
      </w:r>
      <w:r w:rsidR="00AB7802" w:rsidRPr="00EA66E6">
        <w:t xml:space="preserve"> </w:t>
      </w:r>
      <w:r w:rsidR="0027699B" w:rsidRPr="00EA66E6">
        <w:t>of these</w:t>
      </w:r>
      <w:r w:rsidR="00631881" w:rsidRPr="00EA66E6">
        <w:t xml:space="preserve"> </w:t>
      </w:r>
      <w:r w:rsidR="00AB7802" w:rsidRPr="00EA66E6">
        <w:t xml:space="preserve">were </w:t>
      </w:r>
      <w:r w:rsidR="00004A30" w:rsidRPr="00EA66E6">
        <w:t>for</w:t>
      </w:r>
      <w:r w:rsidR="00AB7802" w:rsidRPr="00EA66E6">
        <w:t xml:space="preserve"> properties in Scotland (</w:t>
      </w:r>
      <w:r w:rsidR="00EA66E6" w:rsidRPr="00EA66E6">
        <w:t>1,680</w:t>
      </w:r>
      <w:r w:rsidR="00AB7802" w:rsidRPr="00EA66E6">
        <w:t xml:space="preserve"> Plans)</w:t>
      </w:r>
      <w:r w:rsidR="0027699B" w:rsidRPr="00EA66E6">
        <w:t>.</w:t>
      </w:r>
    </w:p>
    <w:p w:rsidR="00AB7802" w:rsidRPr="00915452" w:rsidRDefault="00AB7802" w:rsidP="00216867">
      <w:pPr>
        <w:spacing w:before="0" w:after="200" w:line="240" w:lineRule="auto"/>
        <w:ind w:left="709" w:hanging="425"/>
        <w:contextualSpacing/>
        <w:jc w:val="both"/>
      </w:pPr>
    </w:p>
    <w:p w:rsidR="00253F81" w:rsidRPr="00915452" w:rsidRDefault="00D25BE6" w:rsidP="00A0689C">
      <w:pPr>
        <w:spacing w:line="240" w:lineRule="auto"/>
        <w:contextualSpacing/>
        <w:jc w:val="both"/>
      </w:pPr>
      <w:r w:rsidRPr="00915452">
        <w:t xml:space="preserve">A </w:t>
      </w:r>
      <w:r w:rsidR="00253F81" w:rsidRPr="00915452">
        <w:t>provisional</w:t>
      </w:r>
      <w:r w:rsidR="00915452" w:rsidRPr="00915452">
        <w:t xml:space="preserve"> 964</w:t>
      </w:r>
      <w:r w:rsidR="002B1326" w:rsidRPr="00915452">
        <w:t>,</w:t>
      </w:r>
      <w:r w:rsidR="00915452" w:rsidRPr="00915452">
        <w:t>401</w:t>
      </w:r>
      <w:r w:rsidR="00253F81" w:rsidRPr="00915452">
        <w:t xml:space="preserve"> measures </w:t>
      </w:r>
      <w:r w:rsidR="00D75CC1">
        <w:t>in 785,39</w:t>
      </w:r>
      <w:r w:rsidR="00915452">
        <w:t xml:space="preserve">4 properties </w:t>
      </w:r>
      <w:r w:rsidRPr="00915452">
        <w:t xml:space="preserve">had been </w:t>
      </w:r>
      <w:r w:rsidR="00253F81" w:rsidRPr="00915452">
        <w:t>installed under ECO:</w:t>
      </w:r>
    </w:p>
    <w:p w:rsidR="00253F81" w:rsidRPr="00915452" w:rsidRDefault="00253F81" w:rsidP="00216867">
      <w:pPr>
        <w:spacing w:line="240" w:lineRule="auto"/>
        <w:ind w:left="709" w:hanging="425"/>
        <w:contextualSpacing/>
        <w:jc w:val="both"/>
      </w:pPr>
    </w:p>
    <w:p w:rsidR="00253F81" w:rsidRPr="00915452" w:rsidRDefault="00253F81" w:rsidP="00216867">
      <w:pPr>
        <w:numPr>
          <w:ilvl w:val="0"/>
          <w:numId w:val="5"/>
        </w:numPr>
        <w:spacing w:before="0" w:after="200" w:line="240" w:lineRule="auto"/>
        <w:ind w:left="709" w:hanging="425"/>
        <w:contextualSpacing/>
        <w:jc w:val="both"/>
      </w:pPr>
      <w:r w:rsidRPr="00915452">
        <w:t xml:space="preserve">Around </w:t>
      </w:r>
      <w:r w:rsidR="00757743" w:rsidRPr="00915452">
        <w:t xml:space="preserve">one </w:t>
      </w:r>
      <w:r w:rsidRPr="00915452">
        <w:t>fifth (</w:t>
      </w:r>
      <w:r w:rsidR="00915452" w:rsidRPr="00915452">
        <w:t xml:space="preserve">20 </w:t>
      </w:r>
      <w:r w:rsidRPr="00915452">
        <w:t xml:space="preserve">per cent) of ECO measures were </w:t>
      </w:r>
      <w:r w:rsidR="00BC35E1" w:rsidRPr="00915452">
        <w:t>in the North West (1</w:t>
      </w:r>
      <w:r w:rsidR="00915452" w:rsidRPr="00915452">
        <w:t>90</w:t>
      </w:r>
      <w:r w:rsidRPr="00915452">
        <w:t>,</w:t>
      </w:r>
      <w:r w:rsidR="0014506F">
        <w:t>200</w:t>
      </w:r>
      <w:r w:rsidR="00BC35E1" w:rsidRPr="00915452">
        <w:t xml:space="preserve">), the </w:t>
      </w:r>
      <w:r w:rsidRPr="00915452">
        <w:t>highest in any region. 1</w:t>
      </w:r>
      <w:r w:rsidR="00915452" w:rsidRPr="00915452">
        <w:t>2</w:t>
      </w:r>
      <w:r w:rsidRPr="00915452">
        <w:t xml:space="preserve"> per cent of ECO measure</w:t>
      </w:r>
      <w:r w:rsidR="00EF5D0B" w:rsidRPr="00915452">
        <w:t xml:space="preserve">s were installed in Scotland </w:t>
      </w:r>
      <w:r w:rsidR="00915452" w:rsidRPr="00915452">
        <w:t>(11</w:t>
      </w:r>
      <w:r w:rsidR="002B1326" w:rsidRPr="00915452">
        <w:t>2</w:t>
      </w:r>
      <w:r w:rsidRPr="00915452">
        <w:t>,</w:t>
      </w:r>
      <w:r w:rsidR="00915452" w:rsidRPr="00915452">
        <w:t>521</w:t>
      </w:r>
      <w:r w:rsidRPr="00915452">
        <w:t xml:space="preserve">) and </w:t>
      </w:r>
      <w:r w:rsidR="00EF5D0B" w:rsidRPr="00915452">
        <w:t>six</w:t>
      </w:r>
      <w:r w:rsidRPr="00915452">
        <w:t xml:space="preserve"> per cent were in Wales (</w:t>
      </w:r>
      <w:r w:rsidR="00915452" w:rsidRPr="00915452">
        <w:t>54</w:t>
      </w:r>
      <w:r w:rsidR="002B1326" w:rsidRPr="00915452">
        <w:t>,</w:t>
      </w:r>
      <w:r w:rsidR="00915452" w:rsidRPr="00915452">
        <w:t>900</w:t>
      </w:r>
      <w:r w:rsidRPr="00915452">
        <w:t>).</w:t>
      </w:r>
    </w:p>
    <w:p w:rsidR="00975728" w:rsidRPr="00915452" w:rsidRDefault="00975728" w:rsidP="00216867">
      <w:pPr>
        <w:spacing w:before="0" w:after="200" w:line="240" w:lineRule="auto"/>
        <w:ind w:left="709" w:hanging="425"/>
        <w:contextualSpacing/>
        <w:jc w:val="both"/>
      </w:pPr>
    </w:p>
    <w:p w:rsidR="006E384C" w:rsidRPr="00675700" w:rsidRDefault="006E384C" w:rsidP="00216867">
      <w:pPr>
        <w:numPr>
          <w:ilvl w:val="0"/>
          <w:numId w:val="5"/>
        </w:numPr>
        <w:spacing w:before="0" w:after="0" w:line="270" w:lineRule="atLeast"/>
        <w:ind w:left="709" w:hanging="425"/>
        <w:jc w:val="both"/>
      </w:pPr>
      <w:r w:rsidRPr="00675700">
        <w:t>In Great Britain</w:t>
      </w:r>
      <w:r w:rsidR="00D25BE6" w:rsidRPr="00670C6B">
        <w:t>, on average,</w:t>
      </w:r>
      <w:r w:rsidRPr="00670C6B">
        <w:t xml:space="preserve"> there were </w:t>
      </w:r>
      <w:r w:rsidR="00A0689C" w:rsidRPr="00670C6B">
        <w:t>around</w:t>
      </w:r>
      <w:r w:rsidR="00BC35E1" w:rsidRPr="00670C6B">
        <w:t xml:space="preserve"> 3</w:t>
      </w:r>
      <w:r w:rsidR="00336FE6" w:rsidRPr="00670C6B">
        <w:t>0</w:t>
      </w:r>
      <w:r w:rsidRPr="00670C6B">
        <w:t xml:space="preserve"> </w:t>
      </w:r>
      <w:r w:rsidR="00915452" w:rsidRPr="00670C6B">
        <w:t xml:space="preserve">households with </w:t>
      </w:r>
      <w:r w:rsidRPr="00670C6B">
        <w:t>ECO measures per 1,000 households</w:t>
      </w:r>
      <w:r w:rsidR="00507BBC" w:rsidRPr="00670C6B">
        <w:t>, i.e.</w:t>
      </w:r>
      <w:r w:rsidRPr="00670C6B">
        <w:t xml:space="preserve"> </w:t>
      </w:r>
      <w:r w:rsidR="00336FE6" w:rsidRPr="00670C6B">
        <w:t>around</w:t>
      </w:r>
      <w:r w:rsidR="0019131D" w:rsidRPr="00670C6B">
        <w:t xml:space="preserve"> </w:t>
      </w:r>
      <w:r w:rsidR="003F64D6" w:rsidRPr="00670C6B">
        <w:t>three</w:t>
      </w:r>
      <w:r w:rsidR="00BC35E1" w:rsidRPr="00670C6B">
        <w:t xml:space="preserve"> per cent</w:t>
      </w:r>
      <w:r w:rsidRPr="00670C6B">
        <w:t xml:space="preserve"> of all households in Great Britain had a measure installed under ECO funding. The North </w:t>
      </w:r>
      <w:r w:rsidR="00FA35AA" w:rsidRPr="00670C6B">
        <w:t>West and North Ea</w:t>
      </w:r>
      <w:r w:rsidR="00A0689C" w:rsidRPr="00670C6B">
        <w:t xml:space="preserve">st had the highest amount with </w:t>
      </w:r>
      <w:r w:rsidR="00FA35AA" w:rsidRPr="00670C6B">
        <w:t>5</w:t>
      </w:r>
      <w:r w:rsidR="00336FE6" w:rsidRPr="00670C6B">
        <w:t>1</w:t>
      </w:r>
      <w:r w:rsidR="0019131D" w:rsidRPr="00670C6B">
        <w:t xml:space="preserve"> and </w:t>
      </w:r>
      <w:r w:rsidR="00D75CC1">
        <w:t>48</w:t>
      </w:r>
      <w:r w:rsidR="00D50674" w:rsidRPr="00670C6B">
        <w:t xml:space="preserve"> households </w:t>
      </w:r>
      <w:r w:rsidR="00D50674" w:rsidRPr="00675700">
        <w:t>with</w:t>
      </w:r>
      <w:r w:rsidRPr="00675700">
        <w:t xml:space="preserve"> ECO measures per 1,000 households</w:t>
      </w:r>
      <w:r w:rsidR="0019131D" w:rsidRPr="00675700">
        <w:t xml:space="preserve"> respectively</w:t>
      </w:r>
      <w:r w:rsidRPr="00675700">
        <w:t xml:space="preserve">. </w:t>
      </w:r>
      <w:r w:rsidR="00FA35AA" w:rsidRPr="00675700">
        <w:t xml:space="preserve">In Scotland there were around </w:t>
      </w:r>
      <w:r w:rsidR="00D75CC1">
        <w:t>40</w:t>
      </w:r>
      <w:r w:rsidR="00D50674" w:rsidRPr="00675700">
        <w:t xml:space="preserve"> households with</w:t>
      </w:r>
      <w:r w:rsidRPr="00675700">
        <w:t xml:space="preserve"> ECO measures per 1,000 households and </w:t>
      </w:r>
      <w:r w:rsidR="00D75CC1">
        <w:t>32</w:t>
      </w:r>
      <w:r w:rsidRPr="00675700">
        <w:t xml:space="preserve"> </w:t>
      </w:r>
      <w:r w:rsidR="001946E3" w:rsidRPr="00675700">
        <w:t xml:space="preserve">per 1,000 households </w:t>
      </w:r>
      <w:r w:rsidRPr="00675700">
        <w:t>in Wales.</w:t>
      </w:r>
    </w:p>
    <w:p w:rsidR="00F21673" w:rsidRDefault="00F21673" w:rsidP="00A0689C">
      <w:pPr>
        <w:spacing w:line="240" w:lineRule="auto"/>
        <w:contextualSpacing/>
        <w:jc w:val="both"/>
      </w:pPr>
    </w:p>
    <w:p w:rsidR="005D1B89" w:rsidRDefault="005D1B89" w:rsidP="00A0689C">
      <w:pPr>
        <w:spacing w:line="240" w:lineRule="auto"/>
        <w:contextualSpacing/>
        <w:jc w:val="both"/>
      </w:pPr>
    </w:p>
    <w:p w:rsidR="005D1B89" w:rsidRDefault="005D1B89" w:rsidP="00A0689C">
      <w:pPr>
        <w:spacing w:line="240" w:lineRule="auto"/>
        <w:contextualSpacing/>
        <w:jc w:val="both"/>
      </w:pPr>
    </w:p>
    <w:p w:rsidR="005D1B89" w:rsidRDefault="005D1B89" w:rsidP="00A0689C">
      <w:pPr>
        <w:spacing w:line="240" w:lineRule="auto"/>
        <w:contextualSpacing/>
        <w:jc w:val="both"/>
      </w:pPr>
    </w:p>
    <w:p w:rsidR="005D1B89" w:rsidRDefault="005D1B89" w:rsidP="00A0689C">
      <w:pPr>
        <w:spacing w:line="240" w:lineRule="auto"/>
        <w:contextualSpacing/>
        <w:jc w:val="both"/>
      </w:pPr>
    </w:p>
    <w:p w:rsidR="005D1B89" w:rsidRDefault="005D1B89" w:rsidP="00A0689C">
      <w:pPr>
        <w:spacing w:line="240" w:lineRule="auto"/>
        <w:contextualSpacing/>
        <w:jc w:val="both"/>
      </w:pPr>
    </w:p>
    <w:p w:rsidR="00253F81" w:rsidRPr="00963E6D" w:rsidRDefault="00253F81" w:rsidP="00A0689C">
      <w:pPr>
        <w:spacing w:line="240" w:lineRule="auto"/>
        <w:contextualSpacing/>
        <w:jc w:val="both"/>
      </w:pPr>
      <w:r w:rsidRPr="00963E6D">
        <w:t>Carbon and energy saving</w:t>
      </w:r>
    </w:p>
    <w:p w:rsidR="00253F81" w:rsidRPr="00963E6D" w:rsidRDefault="00253F81" w:rsidP="00216867">
      <w:pPr>
        <w:spacing w:line="240" w:lineRule="auto"/>
        <w:ind w:left="709" w:hanging="425"/>
        <w:contextualSpacing/>
        <w:jc w:val="both"/>
      </w:pPr>
    </w:p>
    <w:p w:rsidR="002404FA" w:rsidRPr="00963E6D" w:rsidRDefault="00253F81" w:rsidP="00216867">
      <w:pPr>
        <w:numPr>
          <w:ilvl w:val="0"/>
          <w:numId w:val="5"/>
        </w:numPr>
        <w:spacing w:before="0" w:after="200" w:line="240" w:lineRule="auto"/>
        <w:ind w:left="709" w:hanging="425"/>
        <w:contextualSpacing/>
        <w:jc w:val="both"/>
      </w:pPr>
      <w:r w:rsidRPr="00963E6D">
        <w:rPr>
          <w:color w:val="000000"/>
        </w:rPr>
        <w:t xml:space="preserve">The </w:t>
      </w:r>
      <w:r w:rsidR="00EA455B" w:rsidRPr="00963E6D">
        <w:rPr>
          <w:color w:val="000000"/>
        </w:rPr>
        <w:t xml:space="preserve">provisional </w:t>
      </w:r>
      <w:r w:rsidRPr="00963E6D">
        <w:rPr>
          <w:color w:val="000000"/>
        </w:rPr>
        <w:t>estimated lifetime carbon savings of measures installed under ECO (excluding Affordab</w:t>
      </w:r>
      <w:r w:rsidR="00C878CF" w:rsidRPr="00963E6D">
        <w:rPr>
          <w:color w:val="000000"/>
        </w:rPr>
        <w:t xml:space="preserve">le Warmth), </w:t>
      </w:r>
      <w:r w:rsidR="00273816" w:rsidRPr="00963E6D">
        <w:rPr>
          <w:color w:val="000000"/>
        </w:rPr>
        <w:t>Cashback</w:t>
      </w:r>
      <w:r w:rsidR="008312D7">
        <w:rPr>
          <w:color w:val="000000"/>
        </w:rPr>
        <w:t>, GDHIF</w:t>
      </w:r>
      <w:r w:rsidR="00C878CF" w:rsidRPr="00963E6D">
        <w:rPr>
          <w:color w:val="000000"/>
        </w:rPr>
        <w:t xml:space="preserve"> and Green Deal</w:t>
      </w:r>
      <w:r w:rsidR="00273816" w:rsidRPr="00963E6D">
        <w:rPr>
          <w:color w:val="000000"/>
        </w:rPr>
        <w:t xml:space="preserve"> was </w:t>
      </w:r>
      <w:r w:rsidR="00F71660" w:rsidRPr="00963E6D">
        <w:rPr>
          <w:color w:val="000000"/>
        </w:rPr>
        <w:t xml:space="preserve">between </w:t>
      </w:r>
      <w:r w:rsidR="00885B51" w:rsidRPr="00963E6D">
        <w:rPr>
          <w:color w:val="000000"/>
        </w:rPr>
        <w:t>11.1</w:t>
      </w:r>
      <w:r w:rsidR="00C7003E" w:rsidRPr="00963E6D">
        <w:rPr>
          <w:color w:val="000000"/>
        </w:rPr>
        <w:t xml:space="preserve"> – 1</w:t>
      </w:r>
      <w:r w:rsidR="00885B51" w:rsidRPr="00963E6D">
        <w:rPr>
          <w:color w:val="000000"/>
        </w:rPr>
        <w:t>1.7</w:t>
      </w:r>
      <w:r w:rsidR="00C878CF" w:rsidRPr="00963E6D">
        <w:rPr>
          <w:color w:val="000000"/>
        </w:rPr>
        <w:t xml:space="preserve"> MtCO2 </w:t>
      </w:r>
      <w:r w:rsidRPr="00963E6D">
        <w:rPr>
          <w:color w:val="000000"/>
        </w:rPr>
        <w:t xml:space="preserve">with </w:t>
      </w:r>
      <w:r w:rsidR="00EA455B" w:rsidRPr="00963E6D">
        <w:rPr>
          <w:color w:val="000000"/>
        </w:rPr>
        <w:t xml:space="preserve">provisional </w:t>
      </w:r>
      <w:r w:rsidRPr="00963E6D">
        <w:rPr>
          <w:color w:val="000000"/>
        </w:rPr>
        <w:t xml:space="preserve">estimated </w:t>
      </w:r>
      <w:r w:rsidR="00273816" w:rsidRPr="00963E6D">
        <w:rPr>
          <w:color w:val="000000"/>
        </w:rPr>
        <w:t>lifetime energy s</w:t>
      </w:r>
      <w:r w:rsidR="00F5051E" w:rsidRPr="00963E6D">
        <w:rPr>
          <w:color w:val="000000"/>
        </w:rPr>
        <w:t>avings between 4</w:t>
      </w:r>
      <w:r w:rsidR="00963E6D" w:rsidRPr="00963E6D">
        <w:rPr>
          <w:color w:val="000000"/>
        </w:rPr>
        <w:t>9,600</w:t>
      </w:r>
      <w:r w:rsidR="00C878CF" w:rsidRPr="00963E6D">
        <w:rPr>
          <w:color w:val="000000"/>
        </w:rPr>
        <w:t xml:space="preserve"> – </w:t>
      </w:r>
      <w:r w:rsidR="00F5051E" w:rsidRPr="00963E6D">
        <w:rPr>
          <w:color w:val="000000"/>
        </w:rPr>
        <w:t>5</w:t>
      </w:r>
      <w:r w:rsidR="00963E6D" w:rsidRPr="00963E6D">
        <w:rPr>
          <w:color w:val="000000"/>
        </w:rPr>
        <w:t>2,900</w:t>
      </w:r>
      <w:r w:rsidR="00F71660" w:rsidRPr="00963E6D">
        <w:rPr>
          <w:color w:val="000000"/>
        </w:rPr>
        <w:t xml:space="preserve"> </w:t>
      </w:r>
      <w:proofErr w:type="spellStart"/>
      <w:r w:rsidR="00C878CF" w:rsidRPr="00963E6D">
        <w:rPr>
          <w:color w:val="000000"/>
        </w:rPr>
        <w:t>GWh</w:t>
      </w:r>
      <w:proofErr w:type="spellEnd"/>
      <w:r w:rsidR="00C878CF" w:rsidRPr="00963E6D">
        <w:rPr>
          <w:color w:val="000000"/>
        </w:rPr>
        <w:t>.</w:t>
      </w:r>
    </w:p>
    <w:p w:rsidR="00291E07" w:rsidRPr="00D801C2" w:rsidRDefault="00291E07" w:rsidP="002A0F5B">
      <w:pPr>
        <w:pStyle w:val="Heading4"/>
        <w:spacing w:after="0"/>
        <w:rPr>
          <w:u w:val="single"/>
        </w:rPr>
      </w:pPr>
      <w:r w:rsidRPr="00D801C2">
        <w:rPr>
          <w:u w:val="single"/>
        </w:rPr>
        <w:t>Home insulation levels</w:t>
      </w:r>
      <w:r w:rsidR="00D801C2" w:rsidRPr="00D801C2">
        <w:rPr>
          <w:u w:val="single"/>
        </w:rPr>
        <w:t>:</w:t>
      </w:r>
      <w:r w:rsidRPr="00D801C2">
        <w:rPr>
          <w:u w:val="single"/>
        </w:rPr>
        <w:t xml:space="preserve"> </w:t>
      </w:r>
      <w:r w:rsidR="00841034">
        <w:rPr>
          <w:u w:val="single"/>
        </w:rPr>
        <w:t>September</w:t>
      </w:r>
      <w:r w:rsidR="002F723B">
        <w:rPr>
          <w:u w:val="single"/>
        </w:rPr>
        <w:t xml:space="preserve"> 2014</w:t>
      </w:r>
    </w:p>
    <w:p w:rsidR="004669C3" w:rsidRPr="004669C3" w:rsidRDefault="004669C3" w:rsidP="004669C3">
      <w:pPr>
        <w:spacing w:before="0" w:after="200" w:line="240" w:lineRule="auto"/>
        <w:ind w:left="720"/>
        <w:contextualSpacing/>
        <w:jc w:val="both"/>
      </w:pPr>
    </w:p>
    <w:p w:rsidR="002A74D5" w:rsidRPr="002A74D5" w:rsidRDefault="002A74D5" w:rsidP="007A21C2">
      <w:pPr>
        <w:spacing w:before="0" w:after="0"/>
        <w:rPr>
          <w:b/>
        </w:rPr>
      </w:pPr>
      <w:r w:rsidRPr="002A74D5">
        <w:t xml:space="preserve">It is estimated that at the end of </w:t>
      </w:r>
      <w:r w:rsidR="00841034">
        <w:t>September</w:t>
      </w:r>
      <w:r w:rsidR="002F723B">
        <w:t xml:space="preserve"> 2014</w:t>
      </w:r>
      <w:r w:rsidRPr="002A74D5">
        <w:t>:</w:t>
      </w:r>
      <w:r w:rsidR="007A21C2">
        <w:rPr>
          <w:b/>
        </w:rPr>
        <w:br/>
      </w:r>
    </w:p>
    <w:p w:rsidR="00745AAD" w:rsidRPr="0060750C" w:rsidRDefault="00745AAD" w:rsidP="007A21C2">
      <w:pPr>
        <w:numPr>
          <w:ilvl w:val="0"/>
          <w:numId w:val="5"/>
        </w:numPr>
        <w:spacing w:before="0" w:after="0"/>
        <w:ind w:left="709" w:hanging="283"/>
        <w:contextualSpacing/>
        <w:jc w:val="both"/>
      </w:pPr>
      <w:r w:rsidRPr="0060750C">
        <w:t xml:space="preserve">There </w:t>
      </w:r>
      <w:r w:rsidR="00080315" w:rsidRPr="0060750C">
        <w:t>were 27.3 million homes</w:t>
      </w:r>
      <w:r w:rsidR="00336FE6">
        <w:t xml:space="preserve"> in Great Britain. Of these </w:t>
      </w:r>
      <w:r w:rsidR="00336FE6" w:rsidRPr="008B592B">
        <w:t>19.</w:t>
      </w:r>
      <w:r w:rsidR="008B592B" w:rsidRPr="008B592B">
        <w:t>3</w:t>
      </w:r>
      <w:r w:rsidR="00080315" w:rsidRPr="008B592B">
        <w:t xml:space="preserve"> </w:t>
      </w:r>
      <w:r w:rsidR="00080315" w:rsidRPr="0060750C">
        <w:t>million had cavity walls with the remaining 8.0 million having solid walls. 23.</w:t>
      </w:r>
      <w:r w:rsidR="0060750C" w:rsidRPr="0060750C">
        <w:t>9</w:t>
      </w:r>
      <w:r w:rsidR="00080315" w:rsidRPr="0060750C">
        <w:t xml:space="preserve"> million </w:t>
      </w:r>
      <w:proofErr w:type="gramStart"/>
      <w:r w:rsidR="00080315" w:rsidRPr="0060750C">
        <w:t>properties</w:t>
      </w:r>
      <w:proofErr w:type="gramEnd"/>
      <w:r w:rsidR="00080315" w:rsidRPr="0060750C">
        <w:t xml:space="preserve"> had a loft.</w:t>
      </w:r>
    </w:p>
    <w:p w:rsidR="00921BFD" w:rsidRPr="00A30224" w:rsidRDefault="00921BFD" w:rsidP="00921BFD">
      <w:pPr>
        <w:spacing w:before="0" w:after="0"/>
        <w:ind w:left="709" w:hanging="283"/>
        <w:contextualSpacing/>
        <w:jc w:val="both"/>
        <w:rPr>
          <w:highlight w:val="yellow"/>
        </w:rPr>
      </w:pPr>
    </w:p>
    <w:p w:rsidR="00921BFD" w:rsidRPr="0060750C" w:rsidRDefault="00921BFD" w:rsidP="00921BFD">
      <w:pPr>
        <w:numPr>
          <w:ilvl w:val="0"/>
          <w:numId w:val="5"/>
        </w:numPr>
        <w:spacing w:before="0" w:after="0" w:line="270" w:lineRule="atLeast"/>
        <w:ind w:left="709" w:hanging="283"/>
        <w:jc w:val="both"/>
      </w:pPr>
      <w:r w:rsidRPr="0060750C">
        <w:t xml:space="preserve">Compared </w:t>
      </w:r>
      <w:r w:rsidR="00080315" w:rsidRPr="0060750C">
        <w:t xml:space="preserve">with </w:t>
      </w:r>
      <w:r w:rsidR="00A30224" w:rsidRPr="0060750C">
        <w:t>September</w:t>
      </w:r>
      <w:r w:rsidR="00080315" w:rsidRPr="0060750C">
        <w:t xml:space="preserve"> 2013, 2</w:t>
      </w:r>
      <w:r w:rsidR="0060750C" w:rsidRPr="0060750C">
        <w:t>2</w:t>
      </w:r>
      <w:r w:rsidR="00080315" w:rsidRPr="0060750C">
        <w:t xml:space="preserve">0,000 more properties had loft insulation of at least 125mm, </w:t>
      </w:r>
      <w:r w:rsidR="0060750C" w:rsidRPr="0060750C">
        <w:t>38</w:t>
      </w:r>
      <w:r w:rsidR="00080315" w:rsidRPr="0060750C">
        <w:t>0,000 more had cavity wall insulation and 56,000 more had solid wall insulation.</w:t>
      </w:r>
    </w:p>
    <w:p w:rsidR="00745AAD" w:rsidRPr="00A30224" w:rsidRDefault="00745AAD" w:rsidP="00921BFD">
      <w:pPr>
        <w:spacing w:before="0" w:after="0" w:line="270" w:lineRule="atLeast"/>
        <w:ind w:left="709" w:hanging="283"/>
        <w:jc w:val="both"/>
        <w:rPr>
          <w:highlight w:val="yellow"/>
        </w:rPr>
      </w:pPr>
    </w:p>
    <w:p w:rsidR="00080315" w:rsidRPr="00452D19" w:rsidRDefault="00AB2AF6" w:rsidP="00080315">
      <w:pPr>
        <w:numPr>
          <w:ilvl w:val="0"/>
          <w:numId w:val="5"/>
        </w:numPr>
        <w:spacing w:before="0" w:after="0" w:line="270" w:lineRule="exact"/>
        <w:ind w:left="709" w:hanging="283"/>
        <w:jc w:val="both"/>
      </w:pPr>
      <w:r w:rsidRPr="0060750C">
        <w:t>16.</w:t>
      </w:r>
      <w:r w:rsidR="0060750C" w:rsidRPr="0060750C">
        <w:t>5</w:t>
      </w:r>
      <w:r w:rsidRPr="0060750C">
        <w:t xml:space="preserve"> </w:t>
      </w:r>
      <w:r w:rsidR="00080315" w:rsidRPr="0060750C">
        <w:t xml:space="preserve">million </w:t>
      </w:r>
      <w:proofErr w:type="gramStart"/>
      <w:r w:rsidR="00080315" w:rsidRPr="0060750C">
        <w:t>homes</w:t>
      </w:r>
      <w:proofErr w:type="gramEnd"/>
      <w:r w:rsidR="00080315" w:rsidRPr="0060750C">
        <w:t xml:space="preserve"> had loft insulation of at least 125mm (69 per cent of homes with lofts). </w:t>
      </w:r>
      <w:r w:rsidR="00080315" w:rsidRPr="00452D19">
        <w:t>Of the 7.3 million homes with lofts without at least 125mm of insulation, only a small number are estimated to have no insulation – around 1 per cent of all properties with a loft.</w:t>
      </w:r>
    </w:p>
    <w:p w:rsidR="00745AAD" w:rsidRPr="00A30224" w:rsidRDefault="00745AAD" w:rsidP="00080315">
      <w:pPr>
        <w:spacing w:before="0" w:after="0" w:line="270" w:lineRule="atLeast"/>
        <w:ind w:left="709"/>
        <w:jc w:val="both"/>
        <w:rPr>
          <w:highlight w:val="yellow"/>
        </w:rPr>
      </w:pPr>
    </w:p>
    <w:p w:rsidR="00745AAD" w:rsidRPr="00452D19" w:rsidRDefault="00745AAD" w:rsidP="00921BFD">
      <w:pPr>
        <w:numPr>
          <w:ilvl w:val="0"/>
          <w:numId w:val="5"/>
        </w:numPr>
        <w:spacing w:before="0" w:after="0" w:line="270" w:lineRule="atLeast"/>
        <w:ind w:left="709" w:hanging="283"/>
        <w:jc w:val="both"/>
      </w:pPr>
      <w:r w:rsidRPr="00452D19">
        <w:t>13.</w:t>
      </w:r>
      <w:r w:rsidR="00452D19" w:rsidRPr="00452D19">
        <w:t>9</w:t>
      </w:r>
      <w:r w:rsidRPr="00452D19">
        <w:t xml:space="preserve"> </w:t>
      </w:r>
      <w:r w:rsidR="00080315" w:rsidRPr="00452D19">
        <w:t xml:space="preserve">million </w:t>
      </w:r>
      <w:proofErr w:type="gramStart"/>
      <w:r w:rsidR="00080315" w:rsidRPr="00452D19">
        <w:t>homes</w:t>
      </w:r>
      <w:proofErr w:type="gramEnd"/>
      <w:r w:rsidR="00080315" w:rsidRPr="00452D19">
        <w:t xml:space="preserve"> had cavity wall insulation (72 per cent of homes with cavity walls). Of the 5.0 million homes without cavity wall insulation, most are hard to treat, with only 0.7 million of them being uninsulated easy to treat standard cavities.</w:t>
      </w:r>
    </w:p>
    <w:p w:rsidR="00745AAD" w:rsidRPr="00A30224" w:rsidRDefault="00745AAD" w:rsidP="00921BFD">
      <w:pPr>
        <w:spacing w:before="0" w:after="0" w:line="270" w:lineRule="atLeast"/>
        <w:ind w:left="709" w:hanging="283"/>
        <w:jc w:val="both"/>
        <w:rPr>
          <w:highlight w:val="yellow"/>
        </w:rPr>
      </w:pPr>
    </w:p>
    <w:p w:rsidR="00745AAD" w:rsidRPr="00452D19" w:rsidRDefault="00080315" w:rsidP="00921BFD">
      <w:pPr>
        <w:numPr>
          <w:ilvl w:val="0"/>
          <w:numId w:val="5"/>
        </w:numPr>
        <w:spacing w:before="0" w:after="0" w:line="270" w:lineRule="atLeast"/>
        <w:ind w:left="709" w:hanging="283"/>
        <w:jc w:val="both"/>
      </w:pPr>
      <w:r w:rsidRPr="00452D19">
        <w:t>2</w:t>
      </w:r>
      <w:r w:rsidR="00452D19" w:rsidRPr="00452D19">
        <w:t>73</w:t>
      </w:r>
      <w:r w:rsidR="00745AAD" w:rsidRPr="00452D19">
        <w:t>,000 homes had solid wall insulation (3 per cent of homes with solid walls).</w:t>
      </w:r>
    </w:p>
    <w:p w:rsidR="00B13BB7" w:rsidRPr="002A74D5" w:rsidRDefault="00B13BB7" w:rsidP="00B13BB7">
      <w:pPr>
        <w:spacing w:before="0" w:after="0" w:line="270" w:lineRule="atLeast"/>
        <w:ind w:left="714"/>
        <w:jc w:val="both"/>
      </w:pPr>
    </w:p>
    <w:p w:rsidR="00D50674" w:rsidRDefault="00D50674" w:rsidP="00B13BB7">
      <w:pPr>
        <w:pStyle w:val="Heading4"/>
        <w:spacing w:before="0" w:after="0"/>
        <w:rPr>
          <w:u w:val="single"/>
        </w:rPr>
      </w:pPr>
    </w:p>
    <w:p w:rsidR="00B13BB7" w:rsidRPr="001D62EA" w:rsidRDefault="00B13BB7" w:rsidP="00B13BB7">
      <w:pPr>
        <w:pStyle w:val="Heading4"/>
        <w:spacing w:before="0" w:after="0"/>
        <w:rPr>
          <w:u w:val="single"/>
        </w:rPr>
      </w:pPr>
      <w:r w:rsidRPr="001D62EA">
        <w:rPr>
          <w:u w:val="single"/>
        </w:rPr>
        <w:t>Household Energy schemes</w:t>
      </w:r>
    </w:p>
    <w:p w:rsidR="00D50674" w:rsidRPr="00D50674" w:rsidRDefault="00D50674" w:rsidP="00591351">
      <w:pPr>
        <w:spacing w:before="0" w:after="0" w:line="240" w:lineRule="auto"/>
        <w:contextualSpacing/>
        <w:jc w:val="both"/>
        <w:rPr>
          <w:color w:val="000000" w:themeColor="text1"/>
          <w:szCs w:val="24"/>
        </w:rPr>
      </w:pPr>
    </w:p>
    <w:p w:rsidR="00591351" w:rsidRPr="00B11E08" w:rsidRDefault="00591351" w:rsidP="00591351">
      <w:pPr>
        <w:spacing w:before="0" w:after="0" w:line="240" w:lineRule="auto"/>
        <w:contextualSpacing/>
        <w:jc w:val="both"/>
        <w:rPr>
          <w:szCs w:val="24"/>
        </w:rPr>
      </w:pPr>
      <w:r w:rsidRPr="00B11E08">
        <w:rPr>
          <w:color w:val="000000" w:themeColor="text1"/>
          <w:szCs w:val="24"/>
        </w:rPr>
        <w:t xml:space="preserve">Between January 2013 and </w:t>
      </w:r>
      <w:r w:rsidR="00A30224" w:rsidRPr="00B11E08">
        <w:rPr>
          <w:color w:val="000000" w:themeColor="text1"/>
          <w:szCs w:val="24"/>
        </w:rPr>
        <w:t>September</w:t>
      </w:r>
      <w:r w:rsidRPr="00B11E08">
        <w:rPr>
          <w:color w:val="000000" w:themeColor="text1"/>
          <w:szCs w:val="24"/>
        </w:rPr>
        <w:t xml:space="preserve"> 2014, measures were installed through ECO in </w:t>
      </w:r>
      <w:r w:rsidR="0019131D" w:rsidRPr="00B11E08">
        <w:rPr>
          <w:color w:val="000000" w:themeColor="text1"/>
          <w:szCs w:val="24"/>
        </w:rPr>
        <w:t>7</w:t>
      </w:r>
      <w:r w:rsidR="00B11E08" w:rsidRPr="00B11E08">
        <w:rPr>
          <w:color w:val="000000" w:themeColor="text1"/>
          <w:szCs w:val="24"/>
        </w:rPr>
        <w:t>85,4</w:t>
      </w:r>
      <w:r w:rsidRPr="00B11E08">
        <w:rPr>
          <w:color w:val="000000" w:themeColor="text1"/>
          <w:szCs w:val="24"/>
        </w:rPr>
        <w:t>00 properties, following the redem</w:t>
      </w:r>
      <w:r w:rsidR="0019131D" w:rsidRPr="00B11E08">
        <w:rPr>
          <w:color w:val="000000" w:themeColor="text1"/>
          <w:szCs w:val="24"/>
        </w:rPr>
        <w:t>ption of Cashback vouchers in 1</w:t>
      </w:r>
      <w:r w:rsidR="00D50674" w:rsidRPr="00B11E08">
        <w:rPr>
          <w:color w:val="000000" w:themeColor="text1"/>
          <w:szCs w:val="24"/>
        </w:rPr>
        <w:t>4,7</w:t>
      </w:r>
      <w:r w:rsidRPr="00B11E08">
        <w:rPr>
          <w:color w:val="000000" w:themeColor="text1"/>
          <w:szCs w:val="24"/>
        </w:rPr>
        <w:t>00 properties</w:t>
      </w:r>
      <w:r w:rsidR="00D50674" w:rsidRPr="00B11E08">
        <w:rPr>
          <w:color w:val="000000" w:themeColor="text1"/>
          <w:szCs w:val="24"/>
        </w:rPr>
        <w:t>,</w:t>
      </w:r>
      <w:r w:rsidRPr="00B11E08">
        <w:rPr>
          <w:color w:val="000000" w:themeColor="text1"/>
          <w:szCs w:val="24"/>
        </w:rPr>
        <w:t xml:space="preserve"> </w:t>
      </w:r>
      <w:r w:rsidR="00D50674" w:rsidRPr="00B11E08">
        <w:rPr>
          <w:color w:val="000000" w:themeColor="text1"/>
          <w:szCs w:val="24"/>
        </w:rPr>
        <w:t xml:space="preserve">around 2,600 households had funded measures through Green Deal finance Plans, and 6,600 households had funded measures through Green Deal Home Improvement Fund. </w:t>
      </w:r>
      <w:r w:rsidRPr="00B11E08">
        <w:rPr>
          <w:szCs w:val="24"/>
        </w:rPr>
        <w:t>1</w:t>
      </w:r>
      <w:r w:rsidR="00B11E08" w:rsidRPr="00B11E08">
        <w:rPr>
          <w:szCs w:val="24"/>
        </w:rPr>
        <w:t>66</w:t>
      </w:r>
      <w:r w:rsidRPr="00B11E08">
        <w:rPr>
          <w:szCs w:val="24"/>
        </w:rPr>
        <w:t>,000 properties benefitted from Feed-in Tariffs installations, 9,000 properties benefitted from a Renewable Heat Premium Payment</w:t>
      </w:r>
      <w:r w:rsidR="00B11E08" w:rsidRPr="00B11E08">
        <w:rPr>
          <w:szCs w:val="24"/>
        </w:rPr>
        <w:t>, and 1,70</w:t>
      </w:r>
      <w:r w:rsidR="005604CE" w:rsidRPr="00B11E08">
        <w:rPr>
          <w:szCs w:val="24"/>
        </w:rPr>
        <w:t xml:space="preserve">0 properties benefitted from domestic </w:t>
      </w:r>
      <w:r w:rsidR="00E60A53" w:rsidRPr="00B11E08">
        <w:rPr>
          <w:szCs w:val="24"/>
        </w:rPr>
        <w:t>R</w:t>
      </w:r>
      <w:r w:rsidR="005604CE" w:rsidRPr="00B11E08">
        <w:rPr>
          <w:szCs w:val="24"/>
        </w:rPr>
        <w:t xml:space="preserve">enewable </w:t>
      </w:r>
      <w:r w:rsidR="00E60A53" w:rsidRPr="00B11E08">
        <w:rPr>
          <w:szCs w:val="24"/>
        </w:rPr>
        <w:t>H</w:t>
      </w:r>
      <w:r w:rsidR="005604CE" w:rsidRPr="00B11E08">
        <w:rPr>
          <w:szCs w:val="24"/>
        </w:rPr>
        <w:t xml:space="preserve">eat </w:t>
      </w:r>
      <w:r w:rsidR="00E60A53" w:rsidRPr="00B11E08">
        <w:rPr>
          <w:szCs w:val="24"/>
        </w:rPr>
        <w:t>I</w:t>
      </w:r>
      <w:r w:rsidR="005604CE" w:rsidRPr="00B11E08">
        <w:rPr>
          <w:szCs w:val="24"/>
        </w:rPr>
        <w:t>ncentive</w:t>
      </w:r>
      <w:r w:rsidRPr="00B11E08">
        <w:rPr>
          <w:szCs w:val="24"/>
        </w:rPr>
        <w:t xml:space="preserve">. In addition to this, </w:t>
      </w:r>
      <w:r w:rsidR="00B11E08" w:rsidRPr="00B11E08">
        <w:rPr>
          <w:szCs w:val="24"/>
        </w:rPr>
        <w:t>62</w:t>
      </w:r>
      <w:r w:rsidR="005604CE" w:rsidRPr="00B11E08">
        <w:rPr>
          <w:szCs w:val="24"/>
        </w:rPr>
        <w:t>1,</w:t>
      </w:r>
      <w:r w:rsidR="00B11E08" w:rsidRPr="00B11E08">
        <w:rPr>
          <w:szCs w:val="24"/>
        </w:rPr>
        <w:t>600</w:t>
      </w:r>
      <w:r w:rsidRPr="00B11E08">
        <w:rPr>
          <w:szCs w:val="24"/>
        </w:rPr>
        <w:t xml:space="preserve"> electricity and gas Smart Meters have been installed in domestic properties during the foundation stage of the roll-out programme.</w:t>
      </w:r>
    </w:p>
    <w:p w:rsidR="00591351" w:rsidRPr="00B11E08" w:rsidRDefault="00591351" w:rsidP="00591351">
      <w:pPr>
        <w:spacing w:before="0" w:after="0" w:line="240" w:lineRule="auto"/>
        <w:contextualSpacing/>
        <w:jc w:val="both"/>
        <w:rPr>
          <w:szCs w:val="24"/>
        </w:rPr>
      </w:pPr>
    </w:p>
    <w:p w:rsidR="00591351" w:rsidRPr="00EB57B9" w:rsidRDefault="002818E8" w:rsidP="00591351">
      <w:pPr>
        <w:spacing w:after="0" w:line="240" w:lineRule="auto"/>
        <w:contextualSpacing/>
        <w:jc w:val="both"/>
        <w:rPr>
          <w:color w:val="0D0D0D" w:themeColor="text1" w:themeTint="F2"/>
          <w:szCs w:val="24"/>
        </w:rPr>
      </w:pPr>
      <w:r w:rsidRPr="00B11E08">
        <w:rPr>
          <w:szCs w:val="24"/>
        </w:rPr>
        <w:t>In aggregate this is around 9</w:t>
      </w:r>
      <w:r w:rsidR="00B11E08" w:rsidRPr="00B11E08">
        <w:rPr>
          <w:szCs w:val="24"/>
        </w:rPr>
        <w:t>86</w:t>
      </w:r>
      <w:r w:rsidRPr="00B11E08">
        <w:rPr>
          <w:szCs w:val="24"/>
        </w:rPr>
        <w:t xml:space="preserve">,000 </w:t>
      </w:r>
      <w:r w:rsidR="00591351" w:rsidRPr="00B11E08">
        <w:rPr>
          <w:szCs w:val="24"/>
        </w:rPr>
        <w:t>household properties receiving energy efficiency or renewable measures</w:t>
      </w:r>
      <w:r w:rsidR="001D62EA" w:rsidRPr="00B11E08">
        <w:rPr>
          <w:szCs w:val="24"/>
        </w:rPr>
        <w:t xml:space="preserve"> through these schemes</w:t>
      </w:r>
      <w:r w:rsidR="00591351" w:rsidRPr="00B11E08">
        <w:rPr>
          <w:szCs w:val="24"/>
        </w:rPr>
        <w:t xml:space="preserve">, but not unique properties. </w:t>
      </w:r>
      <w:r w:rsidR="00591351" w:rsidRPr="00EB57B9">
        <w:rPr>
          <w:szCs w:val="24"/>
        </w:rPr>
        <w:t xml:space="preserve">Currently </w:t>
      </w:r>
      <w:r w:rsidR="00591351" w:rsidRPr="00EB57B9">
        <w:rPr>
          <w:color w:val="0D0D0D" w:themeColor="text1" w:themeTint="F2"/>
          <w:szCs w:val="24"/>
        </w:rPr>
        <w:t xml:space="preserve">we are not able to properly assess the overlap where households are part of more than one scheme. We will continue to work to understand the overlap. Our first step in understanding the overlap will be to look at ECO, </w:t>
      </w:r>
      <w:proofErr w:type="spellStart"/>
      <w:r w:rsidR="00591351" w:rsidRPr="00EB57B9">
        <w:rPr>
          <w:color w:val="0D0D0D" w:themeColor="text1" w:themeTint="F2"/>
          <w:szCs w:val="24"/>
        </w:rPr>
        <w:t>FiTs</w:t>
      </w:r>
      <w:proofErr w:type="spellEnd"/>
      <w:r w:rsidR="00591351" w:rsidRPr="00EB57B9">
        <w:rPr>
          <w:color w:val="0D0D0D" w:themeColor="text1" w:themeTint="F2"/>
          <w:szCs w:val="24"/>
        </w:rPr>
        <w:t xml:space="preserve">, GD and RHPP/RHI which will allow an estimate to be produced for unique properties receiving energy efficiency or renewable measures. </w:t>
      </w:r>
    </w:p>
    <w:p w:rsidR="00591351" w:rsidRPr="00EB57B9" w:rsidRDefault="00591351" w:rsidP="00591351">
      <w:pPr>
        <w:spacing w:after="0" w:line="240" w:lineRule="auto"/>
        <w:contextualSpacing/>
        <w:jc w:val="both"/>
        <w:rPr>
          <w:szCs w:val="24"/>
        </w:rPr>
      </w:pPr>
    </w:p>
    <w:p w:rsidR="00591351" w:rsidRDefault="00591351" w:rsidP="00591351">
      <w:pPr>
        <w:spacing w:after="0" w:line="240" w:lineRule="auto"/>
        <w:contextualSpacing/>
        <w:jc w:val="both"/>
        <w:rPr>
          <w:szCs w:val="24"/>
        </w:rPr>
      </w:pPr>
      <w:r w:rsidRPr="00EB57B9">
        <w:rPr>
          <w:szCs w:val="24"/>
        </w:rPr>
        <w:t>Understanding the overlap with Smart meters will be more complex, as currently these data are not available at property level and as such are excluded from the combined figure given above.</w:t>
      </w:r>
      <w:r w:rsidRPr="001D62EA">
        <w:rPr>
          <w:szCs w:val="24"/>
        </w:rPr>
        <w:t xml:space="preserve"> </w:t>
      </w:r>
    </w:p>
    <w:p w:rsidR="0006123D" w:rsidRPr="008A5812" w:rsidRDefault="00855AC0" w:rsidP="00554BE5">
      <w:pPr>
        <w:pStyle w:val="ChapterHead"/>
        <w:spacing w:before="0" w:after="200"/>
        <w:rPr>
          <w:rFonts w:cs="Arial"/>
          <w:szCs w:val="50"/>
        </w:rPr>
      </w:pPr>
      <w:bookmarkStart w:id="17" w:name="_Toc406514276"/>
      <w:bookmarkStart w:id="18" w:name="SECTION1"/>
      <w:r>
        <w:rPr>
          <w:rFonts w:cs="Arial"/>
          <w:szCs w:val="50"/>
        </w:rPr>
        <w:lastRenderedPageBreak/>
        <w:t xml:space="preserve">Section </w:t>
      </w:r>
      <w:r w:rsidR="00444F2D">
        <w:rPr>
          <w:rFonts w:cs="Arial"/>
          <w:szCs w:val="50"/>
        </w:rPr>
        <w:t>1</w:t>
      </w:r>
      <w:r>
        <w:rPr>
          <w:rFonts w:cs="Arial"/>
          <w:szCs w:val="50"/>
        </w:rPr>
        <w:t xml:space="preserve"> - </w:t>
      </w:r>
      <w:r w:rsidR="00975728">
        <w:rPr>
          <w:rFonts w:cs="Arial"/>
          <w:szCs w:val="50"/>
        </w:rPr>
        <w:t xml:space="preserve">Green Deal and ECO </w:t>
      </w:r>
      <w:r w:rsidR="005E7FA7">
        <w:rPr>
          <w:rFonts w:cs="Arial"/>
          <w:szCs w:val="50"/>
        </w:rPr>
        <w:t>statistics</w:t>
      </w:r>
      <w:bookmarkEnd w:id="17"/>
    </w:p>
    <w:p w:rsidR="006D27C5" w:rsidRDefault="00253F81" w:rsidP="00054D4E">
      <w:pPr>
        <w:spacing w:before="0" w:after="0" w:line="270" w:lineRule="atLeast"/>
        <w:jc w:val="both"/>
        <w:rPr>
          <w:szCs w:val="24"/>
        </w:rPr>
      </w:pPr>
      <w:bookmarkStart w:id="19" w:name="Figure1"/>
      <w:bookmarkEnd w:id="18"/>
      <w:r w:rsidRPr="00253F81">
        <w:rPr>
          <w:szCs w:val="24"/>
        </w:rPr>
        <w:t>This section of the report provides detailed information on different elements of the Green Deal, including a geographic breakdown of where GD Assessments took place and the characteristics of these proper</w:t>
      </w:r>
      <w:r w:rsidR="00975728">
        <w:rPr>
          <w:szCs w:val="24"/>
        </w:rPr>
        <w:t>ties. This report also provides</w:t>
      </w:r>
      <w:r w:rsidRPr="00253F81">
        <w:rPr>
          <w:szCs w:val="24"/>
        </w:rPr>
        <w:t xml:space="preserve"> geographic breakdowns on measure</w:t>
      </w:r>
      <w:r w:rsidR="002241BF">
        <w:rPr>
          <w:szCs w:val="24"/>
        </w:rPr>
        <w:t>s</w:t>
      </w:r>
      <w:r w:rsidRPr="00253F81">
        <w:rPr>
          <w:szCs w:val="24"/>
        </w:rPr>
        <w:t xml:space="preserve"> installed through Cashback</w:t>
      </w:r>
      <w:r w:rsidR="0096797D">
        <w:rPr>
          <w:szCs w:val="24"/>
        </w:rPr>
        <w:t>, Green Deal Home Improvement Fund</w:t>
      </w:r>
      <w:r w:rsidRPr="00253F81">
        <w:rPr>
          <w:szCs w:val="24"/>
        </w:rPr>
        <w:t xml:space="preserve"> and ECO as well as estimates of the carbon savings achieved through these measures.</w:t>
      </w:r>
      <w:r w:rsidR="004322AD">
        <w:rPr>
          <w:szCs w:val="24"/>
        </w:rPr>
        <w:t xml:space="preserve"> </w:t>
      </w:r>
      <w:r w:rsidRPr="001D62EA">
        <w:rPr>
          <w:szCs w:val="24"/>
        </w:rPr>
        <w:t xml:space="preserve">Where the report refers to table numbers in brackets, these are included in </w:t>
      </w:r>
      <w:hyperlink w:anchor="GDECOTables" w:history="1">
        <w:r w:rsidR="001946E3" w:rsidRPr="001D62EA">
          <w:rPr>
            <w:rStyle w:val="Hyperlink"/>
            <w:rFonts w:ascii="Arial" w:hAnsi="Arial"/>
            <w:szCs w:val="24"/>
          </w:rPr>
          <w:t>GD/ECO tables</w:t>
        </w:r>
      </w:hyperlink>
      <w:r w:rsidRPr="001D62EA">
        <w:rPr>
          <w:color w:val="FF0000"/>
          <w:szCs w:val="24"/>
        </w:rPr>
        <w:t xml:space="preserve"> </w:t>
      </w:r>
      <w:r w:rsidRPr="001D62EA">
        <w:rPr>
          <w:szCs w:val="24"/>
        </w:rPr>
        <w:t xml:space="preserve">and separately in </w:t>
      </w:r>
      <w:r w:rsidR="0004479C" w:rsidRPr="001D62EA">
        <w:rPr>
          <w:szCs w:val="24"/>
        </w:rPr>
        <w:t xml:space="preserve">the accompanying </w:t>
      </w:r>
      <w:r w:rsidRPr="001D62EA">
        <w:rPr>
          <w:szCs w:val="24"/>
        </w:rPr>
        <w:t xml:space="preserve">Excel </w:t>
      </w:r>
      <w:r w:rsidR="0004479C" w:rsidRPr="00F25140">
        <w:rPr>
          <w:szCs w:val="24"/>
        </w:rPr>
        <w:t xml:space="preserve">tables </w:t>
      </w:r>
      <w:hyperlink r:id="rId27" w:history="1">
        <w:r w:rsidRPr="00F25140">
          <w:rPr>
            <w:rStyle w:val="Hyperlink"/>
            <w:rFonts w:ascii="Arial" w:hAnsi="Arial"/>
            <w:szCs w:val="24"/>
          </w:rPr>
          <w:t>here</w:t>
        </w:r>
      </w:hyperlink>
      <w:r w:rsidRPr="00F25140">
        <w:rPr>
          <w:szCs w:val="24"/>
        </w:rPr>
        <w:t>.</w:t>
      </w:r>
    </w:p>
    <w:p w:rsidR="00054D4E" w:rsidRPr="008A5812" w:rsidRDefault="00054D4E" w:rsidP="00054D4E">
      <w:pPr>
        <w:spacing w:before="0" w:after="0" w:line="270" w:lineRule="atLeast"/>
        <w:jc w:val="both"/>
        <w:rPr>
          <w:szCs w:val="24"/>
        </w:rPr>
      </w:pPr>
    </w:p>
    <w:p w:rsidR="00D12323" w:rsidRDefault="00D12323" w:rsidP="00054D4E">
      <w:pPr>
        <w:pStyle w:val="Heading2"/>
        <w:spacing w:before="0" w:after="0"/>
      </w:pPr>
      <w:bookmarkStart w:id="20" w:name="_Toc406514277"/>
      <w:r w:rsidRPr="008A5812">
        <w:t xml:space="preserve">Green Deal Assessments, </w:t>
      </w:r>
      <w:r w:rsidR="00F8119F">
        <w:t xml:space="preserve">lodged </w:t>
      </w:r>
      <w:r w:rsidR="00C56AEA" w:rsidRPr="00C56AEA">
        <w:t xml:space="preserve">up to </w:t>
      </w:r>
      <w:r w:rsidR="00A249C8">
        <w:t>30</w:t>
      </w:r>
      <w:r w:rsidR="00A249C8" w:rsidRPr="00A249C8">
        <w:rPr>
          <w:vertAlign w:val="superscript"/>
        </w:rPr>
        <w:t>th</w:t>
      </w:r>
      <w:r w:rsidR="00A249C8">
        <w:t xml:space="preserve"> </w:t>
      </w:r>
      <w:r w:rsidR="002A30A9">
        <w:t>September</w:t>
      </w:r>
      <w:r w:rsidR="002F723B">
        <w:t xml:space="preserve"> 2014</w:t>
      </w:r>
      <w:bookmarkEnd w:id="20"/>
      <w:r w:rsidR="00C56AEA" w:rsidRPr="00C56AEA">
        <w:t xml:space="preserve"> </w:t>
      </w:r>
    </w:p>
    <w:p w:rsidR="006D27C5" w:rsidRPr="008A5812" w:rsidRDefault="006D27C5" w:rsidP="00054D4E">
      <w:pPr>
        <w:spacing w:before="0" w:after="0" w:line="270" w:lineRule="atLeast"/>
        <w:jc w:val="both"/>
        <w:rPr>
          <w:szCs w:val="24"/>
          <w:u w:val="single"/>
        </w:rPr>
      </w:pPr>
    </w:p>
    <w:p w:rsidR="00251497" w:rsidRDefault="00251497" w:rsidP="00251497">
      <w:pPr>
        <w:spacing w:before="0" w:after="0" w:line="270" w:lineRule="atLeast"/>
        <w:jc w:val="both"/>
        <w:rPr>
          <w:szCs w:val="24"/>
        </w:rPr>
      </w:pPr>
      <w:r w:rsidRPr="008A5812">
        <w:rPr>
          <w:szCs w:val="24"/>
        </w:rPr>
        <w:t>The first step in the Green Deal process involves a Green Deal Assessor coming to the home, talking to the owner/occupier about their energy use and seeing if they can benefit from making energy efficiency improvements to their property.</w:t>
      </w:r>
      <w:r>
        <w:rPr>
          <w:szCs w:val="24"/>
        </w:rPr>
        <w:t xml:space="preserve"> This leads to </w:t>
      </w:r>
      <w:r w:rsidRPr="008A5812">
        <w:rPr>
          <w:szCs w:val="24"/>
        </w:rPr>
        <w:t>a Green Deal Advice Report be</w:t>
      </w:r>
      <w:r>
        <w:rPr>
          <w:szCs w:val="24"/>
        </w:rPr>
        <w:t>ing</w:t>
      </w:r>
      <w:r w:rsidRPr="008A5812">
        <w:rPr>
          <w:szCs w:val="24"/>
        </w:rPr>
        <w:t xml:space="preserve"> produced </w:t>
      </w:r>
      <w:r>
        <w:rPr>
          <w:szCs w:val="24"/>
        </w:rPr>
        <w:t xml:space="preserve">for the householder and </w:t>
      </w:r>
      <w:r w:rsidRPr="008A5812">
        <w:rPr>
          <w:szCs w:val="24"/>
        </w:rPr>
        <w:t>lodged on a national register. The customer is then able to view the energy efficiency measures which have been recommended and understand the potential costs and savings.</w:t>
      </w:r>
    </w:p>
    <w:p w:rsidR="00251497" w:rsidRPr="008A5812" w:rsidRDefault="00251497" w:rsidP="00251497">
      <w:pPr>
        <w:spacing w:before="0" w:after="0" w:line="270" w:lineRule="atLeast"/>
        <w:jc w:val="both"/>
        <w:rPr>
          <w:szCs w:val="24"/>
        </w:rPr>
      </w:pPr>
    </w:p>
    <w:p w:rsidR="00251497" w:rsidRDefault="00251497" w:rsidP="00251497">
      <w:pPr>
        <w:spacing w:before="0" w:after="0" w:line="270" w:lineRule="atLeast"/>
        <w:jc w:val="both"/>
        <w:rPr>
          <w:szCs w:val="24"/>
        </w:rPr>
      </w:pPr>
      <w:r w:rsidRPr="008A5812">
        <w:rPr>
          <w:szCs w:val="24"/>
        </w:rPr>
        <w:t xml:space="preserve">For more information on the </w:t>
      </w:r>
      <w:hyperlink r:id="rId28" w:anchor="getting-your-home-assessed" w:history="1">
        <w:r w:rsidR="00F25140">
          <w:rPr>
            <w:rStyle w:val="Hyperlink"/>
            <w:rFonts w:ascii="Arial" w:hAnsi="Arial"/>
            <w:szCs w:val="24"/>
          </w:rPr>
          <w:t>GD A</w:t>
        </w:r>
        <w:r w:rsidRPr="008A5812">
          <w:rPr>
            <w:rStyle w:val="Hyperlink"/>
            <w:rFonts w:ascii="Arial" w:hAnsi="Arial"/>
            <w:szCs w:val="24"/>
          </w:rPr>
          <w:t xml:space="preserve">ssessment </w:t>
        </w:r>
        <w:proofErr w:type="gramStart"/>
        <w:r w:rsidRPr="008A5812">
          <w:rPr>
            <w:rStyle w:val="Hyperlink"/>
            <w:rFonts w:ascii="Arial" w:hAnsi="Arial"/>
            <w:szCs w:val="24"/>
          </w:rPr>
          <w:t>process see</w:t>
        </w:r>
        <w:proofErr w:type="gramEnd"/>
        <w:r w:rsidRPr="008A5812">
          <w:rPr>
            <w:rStyle w:val="Hyperlink"/>
            <w:rFonts w:ascii="Arial" w:hAnsi="Arial"/>
            <w:szCs w:val="24"/>
          </w:rPr>
          <w:t xml:space="preserve"> here</w:t>
        </w:r>
      </w:hyperlink>
      <w:r w:rsidRPr="008A5812">
        <w:rPr>
          <w:szCs w:val="24"/>
        </w:rPr>
        <w:t>.</w:t>
      </w:r>
    </w:p>
    <w:p w:rsidR="00054D4E" w:rsidRDefault="00054D4E" w:rsidP="00054D4E">
      <w:pPr>
        <w:spacing w:before="0" w:after="0" w:line="270" w:lineRule="atLeast"/>
        <w:jc w:val="both"/>
        <w:rPr>
          <w:szCs w:val="24"/>
        </w:rPr>
      </w:pPr>
    </w:p>
    <w:p w:rsidR="00C453CE" w:rsidRPr="0017774D" w:rsidRDefault="00C453CE" w:rsidP="00C453CE">
      <w:pPr>
        <w:spacing w:before="0" w:after="0"/>
        <w:rPr>
          <w:u w:val="single"/>
        </w:rPr>
      </w:pPr>
      <w:r w:rsidRPr="0017774D">
        <w:rPr>
          <w:u w:val="single"/>
        </w:rPr>
        <w:t>Energy Effici</w:t>
      </w:r>
      <w:r>
        <w:rPr>
          <w:u w:val="single"/>
        </w:rPr>
        <w:t>ency Rating (EER) Bands (Table 1</w:t>
      </w:r>
      <w:r w:rsidR="00886EB3">
        <w:rPr>
          <w:u w:val="single"/>
        </w:rPr>
        <w:t>.</w:t>
      </w:r>
      <w:r w:rsidR="00167BD2">
        <w:rPr>
          <w:u w:val="single"/>
        </w:rPr>
        <w:t>1</w:t>
      </w:r>
      <w:r w:rsidRPr="0017774D">
        <w:rPr>
          <w:u w:val="single"/>
        </w:rPr>
        <w:t>, Chart 1</w:t>
      </w:r>
      <w:r w:rsidR="00170DD3">
        <w:rPr>
          <w:u w:val="single"/>
        </w:rPr>
        <w:t>.</w:t>
      </w:r>
      <w:r w:rsidR="00F7592E">
        <w:rPr>
          <w:u w:val="single"/>
        </w:rPr>
        <w:t>1</w:t>
      </w:r>
      <w:r w:rsidRPr="0017774D">
        <w:rPr>
          <w:u w:val="single"/>
        </w:rPr>
        <w:t>)</w:t>
      </w:r>
    </w:p>
    <w:p w:rsidR="00C453CE" w:rsidRPr="00945559" w:rsidRDefault="00C453CE" w:rsidP="00C453CE">
      <w:pPr>
        <w:spacing w:after="0" w:line="240" w:lineRule="auto"/>
        <w:contextualSpacing/>
        <w:jc w:val="both"/>
        <w:rPr>
          <w:szCs w:val="24"/>
          <w:u w:val="single"/>
        </w:rPr>
      </w:pPr>
    </w:p>
    <w:p w:rsidR="00BB6756" w:rsidRDefault="00C453CE" w:rsidP="00AF5FBD">
      <w:pPr>
        <w:spacing w:before="0" w:after="0" w:line="240" w:lineRule="auto"/>
        <w:contextualSpacing/>
        <w:jc w:val="both"/>
        <w:rPr>
          <w:szCs w:val="24"/>
        </w:rPr>
      </w:pPr>
      <w:r w:rsidRPr="0043489A">
        <w:rPr>
          <w:szCs w:val="24"/>
        </w:rPr>
        <w:t xml:space="preserve">The energy efficiency rating is presented in an A-G banding system for an Energy Performance Certificate, where Band </w:t>
      </w:r>
      <w:proofErr w:type="gramStart"/>
      <w:r w:rsidRPr="0043489A">
        <w:rPr>
          <w:szCs w:val="24"/>
        </w:rPr>
        <w:t>A</w:t>
      </w:r>
      <w:proofErr w:type="gramEnd"/>
      <w:r w:rsidRPr="0043489A">
        <w:rPr>
          <w:szCs w:val="24"/>
        </w:rPr>
        <w:t xml:space="preserve"> rating represents low energy costs (i.e. the most efficient band) and Band </w:t>
      </w:r>
      <w:proofErr w:type="spellStart"/>
      <w:r w:rsidRPr="0043489A">
        <w:rPr>
          <w:szCs w:val="24"/>
        </w:rPr>
        <w:t>G rating</w:t>
      </w:r>
      <w:proofErr w:type="spellEnd"/>
      <w:r w:rsidRPr="0043489A">
        <w:rPr>
          <w:szCs w:val="24"/>
        </w:rPr>
        <w:t xml:space="preserve"> represents high energy costs (i.e. the least efficient band). </w:t>
      </w:r>
      <w:bookmarkStart w:id="21" w:name="_Toc372290139"/>
      <w:r w:rsidR="0043489A" w:rsidRPr="0043489A">
        <w:rPr>
          <w:szCs w:val="24"/>
        </w:rPr>
        <w:t>The majority (88</w:t>
      </w:r>
      <w:r w:rsidR="00D75580" w:rsidRPr="0043489A">
        <w:rPr>
          <w:szCs w:val="24"/>
        </w:rPr>
        <w:t xml:space="preserve"> per cent) of properties getting a GD Assessment had an energy efficiency band rating of D or lower, suggesting that GD Assessments are generally happening in properties which could benefit</w:t>
      </w:r>
      <w:r w:rsidR="005D1B89">
        <w:rPr>
          <w:szCs w:val="24"/>
        </w:rPr>
        <w:t xml:space="preserve"> most</w:t>
      </w:r>
      <w:r w:rsidR="00D75580" w:rsidRPr="0043489A">
        <w:rPr>
          <w:szCs w:val="24"/>
        </w:rPr>
        <w:t xml:space="preserve"> from energy efficien</w:t>
      </w:r>
      <w:r w:rsidR="00A56780" w:rsidRPr="0043489A">
        <w:rPr>
          <w:szCs w:val="24"/>
        </w:rPr>
        <w:t>cy measures. This compares to 82</w:t>
      </w:r>
      <w:r w:rsidR="00D75580" w:rsidRPr="0043489A">
        <w:rPr>
          <w:szCs w:val="24"/>
        </w:rPr>
        <w:t xml:space="preserve"> per cent of the overall domestic building stock in England reported in the English Housing Survey</w:t>
      </w:r>
      <w:r w:rsidR="00D75580" w:rsidRPr="0043489A">
        <w:rPr>
          <w:szCs w:val="24"/>
          <w:vertAlign w:val="superscript"/>
        </w:rPr>
        <w:footnoteReference w:id="5"/>
      </w:r>
      <w:r w:rsidR="00D75580" w:rsidRPr="0043489A">
        <w:rPr>
          <w:szCs w:val="24"/>
        </w:rPr>
        <w:t xml:space="preserve">. </w:t>
      </w:r>
    </w:p>
    <w:p w:rsidR="00205007" w:rsidRPr="00FB0E7D" w:rsidRDefault="00205007" w:rsidP="00AF5FBD">
      <w:pPr>
        <w:spacing w:before="0" w:after="0" w:line="240" w:lineRule="auto"/>
        <w:contextualSpacing/>
        <w:jc w:val="both"/>
        <w:rPr>
          <w:szCs w:val="24"/>
        </w:rPr>
      </w:pPr>
    </w:p>
    <w:p w:rsidR="00C453CE" w:rsidRPr="00205007" w:rsidRDefault="00911320" w:rsidP="00AF5FBD">
      <w:pPr>
        <w:pStyle w:val="Caption"/>
        <w:spacing w:before="0"/>
        <w:jc w:val="both"/>
        <w:rPr>
          <w:sz w:val="24"/>
          <w:szCs w:val="24"/>
        </w:rPr>
      </w:pPr>
      <w:bookmarkStart w:id="22" w:name="_Toc406419484"/>
      <w:r w:rsidRPr="000F4B03">
        <w:rPr>
          <w:b w:val="0"/>
          <w:sz w:val="24"/>
          <w:szCs w:val="24"/>
        </w:rPr>
        <w:t xml:space="preserve">Chart </w:t>
      </w:r>
      <w:r w:rsidRPr="000F4B03">
        <w:rPr>
          <w:b w:val="0"/>
          <w:sz w:val="24"/>
          <w:szCs w:val="24"/>
        </w:rPr>
        <w:fldChar w:fldCharType="begin"/>
      </w:r>
      <w:r w:rsidRPr="000F4B03">
        <w:rPr>
          <w:b w:val="0"/>
          <w:sz w:val="24"/>
          <w:szCs w:val="24"/>
        </w:rPr>
        <w:instrText xml:space="preserve"> SEQ Chart \* ARABIC </w:instrText>
      </w:r>
      <w:r w:rsidRPr="000F4B03">
        <w:rPr>
          <w:b w:val="0"/>
          <w:sz w:val="24"/>
          <w:szCs w:val="24"/>
        </w:rPr>
        <w:fldChar w:fldCharType="separate"/>
      </w:r>
      <w:r w:rsidR="006B5574">
        <w:rPr>
          <w:b w:val="0"/>
          <w:noProof/>
          <w:sz w:val="24"/>
          <w:szCs w:val="24"/>
        </w:rPr>
        <w:t>1</w:t>
      </w:r>
      <w:r w:rsidRPr="000F4B03">
        <w:rPr>
          <w:b w:val="0"/>
          <w:sz w:val="24"/>
          <w:szCs w:val="24"/>
        </w:rPr>
        <w:fldChar w:fldCharType="end"/>
      </w:r>
      <w:r>
        <w:rPr>
          <w:b w:val="0"/>
          <w:sz w:val="24"/>
          <w:szCs w:val="24"/>
        </w:rPr>
        <w:t>.1</w:t>
      </w:r>
      <w:r w:rsidRPr="000F4B03">
        <w:rPr>
          <w:b w:val="0"/>
          <w:sz w:val="24"/>
          <w:szCs w:val="24"/>
        </w:rPr>
        <w:t xml:space="preserve"> </w:t>
      </w:r>
      <w:r w:rsidR="00C453CE" w:rsidRPr="000F4B03">
        <w:rPr>
          <w:b w:val="0"/>
          <w:sz w:val="24"/>
          <w:szCs w:val="24"/>
        </w:rPr>
        <w:t xml:space="preserve">- </w:t>
      </w:r>
      <w:bookmarkStart w:id="23" w:name="chart1"/>
      <w:bookmarkEnd w:id="21"/>
      <w:r w:rsidR="00C453CE" w:rsidRPr="00F8119F">
        <w:rPr>
          <w:b w:val="0"/>
          <w:sz w:val="24"/>
          <w:szCs w:val="24"/>
        </w:rPr>
        <w:t>Percentage of G</w:t>
      </w:r>
      <w:r w:rsidR="00C453CE">
        <w:rPr>
          <w:b w:val="0"/>
          <w:sz w:val="24"/>
          <w:szCs w:val="24"/>
        </w:rPr>
        <w:t xml:space="preserve">reen </w:t>
      </w:r>
      <w:r w:rsidR="00C453CE" w:rsidRPr="00F8119F">
        <w:rPr>
          <w:b w:val="0"/>
          <w:sz w:val="24"/>
          <w:szCs w:val="24"/>
        </w:rPr>
        <w:t>D</w:t>
      </w:r>
      <w:r w:rsidR="00C453CE">
        <w:rPr>
          <w:b w:val="0"/>
          <w:sz w:val="24"/>
          <w:szCs w:val="24"/>
        </w:rPr>
        <w:t>eal</w:t>
      </w:r>
      <w:r w:rsidR="00C453CE" w:rsidRPr="00F8119F">
        <w:rPr>
          <w:b w:val="0"/>
          <w:sz w:val="24"/>
          <w:szCs w:val="24"/>
        </w:rPr>
        <w:t xml:space="preserve"> Assessments lodged, up to </w:t>
      </w:r>
      <w:r w:rsidR="004C2622">
        <w:rPr>
          <w:b w:val="0"/>
          <w:sz w:val="24"/>
          <w:szCs w:val="24"/>
        </w:rPr>
        <w:t>30</w:t>
      </w:r>
      <w:r w:rsidR="004C2622" w:rsidRPr="004C2622">
        <w:rPr>
          <w:b w:val="0"/>
          <w:sz w:val="24"/>
          <w:szCs w:val="24"/>
          <w:vertAlign w:val="superscript"/>
        </w:rPr>
        <w:t>th</w:t>
      </w:r>
      <w:r w:rsidR="004C2622">
        <w:rPr>
          <w:b w:val="0"/>
          <w:sz w:val="24"/>
          <w:szCs w:val="24"/>
        </w:rPr>
        <w:t xml:space="preserve"> </w:t>
      </w:r>
      <w:r w:rsidR="002A30A9">
        <w:rPr>
          <w:b w:val="0"/>
          <w:sz w:val="24"/>
          <w:szCs w:val="24"/>
        </w:rPr>
        <w:t>September</w:t>
      </w:r>
      <w:r w:rsidR="002F723B">
        <w:rPr>
          <w:b w:val="0"/>
          <w:sz w:val="24"/>
          <w:szCs w:val="24"/>
        </w:rPr>
        <w:t xml:space="preserve"> 2014</w:t>
      </w:r>
      <w:r w:rsidR="00C453CE" w:rsidRPr="00F8119F">
        <w:rPr>
          <w:b w:val="0"/>
          <w:sz w:val="24"/>
          <w:szCs w:val="24"/>
        </w:rPr>
        <w:t xml:space="preserve">, by Energy Efficiency </w:t>
      </w:r>
      <w:r w:rsidR="002D5425">
        <w:rPr>
          <w:b w:val="0"/>
          <w:sz w:val="24"/>
          <w:szCs w:val="24"/>
        </w:rPr>
        <w:t xml:space="preserve">(EE) </w:t>
      </w:r>
      <w:r w:rsidR="00C453CE" w:rsidRPr="00F8119F">
        <w:rPr>
          <w:b w:val="0"/>
          <w:sz w:val="24"/>
          <w:szCs w:val="24"/>
        </w:rPr>
        <w:t xml:space="preserve">Band compared with </w:t>
      </w:r>
      <w:r w:rsidR="002D5425">
        <w:rPr>
          <w:b w:val="0"/>
          <w:sz w:val="24"/>
          <w:szCs w:val="24"/>
        </w:rPr>
        <w:t>EE</w:t>
      </w:r>
      <w:r w:rsidR="00C453CE" w:rsidRPr="00F8119F">
        <w:rPr>
          <w:b w:val="0"/>
          <w:sz w:val="24"/>
          <w:szCs w:val="24"/>
        </w:rPr>
        <w:t xml:space="preserve"> Band ratings of all England properties </w:t>
      </w:r>
      <w:r w:rsidR="00C453CE" w:rsidRPr="00AF5FBD">
        <w:rPr>
          <w:b w:val="0"/>
          <w:sz w:val="24"/>
          <w:szCs w:val="24"/>
        </w:rPr>
        <w:t>in 201</w:t>
      </w:r>
      <w:r w:rsidR="00205007" w:rsidRPr="00AF5FBD">
        <w:rPr>
          <w:b w:val="0"/>
          <w:sz w:val="24"/>
          <w:szCs w:val="24"/>
        </w:rPr>
        <w:t>2</w:t>
      </w:r>
      <w:bookmarkEnd w:id="22"/>
      <w:r w:rsidR="00C453CE" w:rsidRPr="00945559">
        <w:rPr>
          <w:sz w:val="24"/>
          <w:szCs w:val="24"/>
        </w:rPr>
        <w:t xml:space="preserve"> </w:t>
      </w:r>
      <w:bookmarkEnd w:id="23"/>
    </w:p>
    <w:p w:rsidR="002A30A9" w:rsidRDefault="0043489A" w:rsidP="002A30A9">
      <w:pPr>
        <w:spacing w:after="0" w:line="240" w:lineRule="auto"/>
        <w:contextualSpacing/>
        <w:jc w:val="both"/>
        <w:rPr>
          <w:szCs w:val="24"/>
          <w:u w:val="single"/>
        </w:rPr>
      </w:pPr>
      <w:r w:rsidRPr="00A51A54">
        <w:rPr>
          <w:noProof/>
          <w:szCs w:val="24"/>
          <w:lang w:eastAsia="en-GB"/>
        </w:rPr>
        <w:drawing>
          <wp:inline distT="0" distB="0" distL="0" distR="0" wp14:anchorId="3A8C803F" wp14:editId="3B20CE53">
            <wp:extent cx="5818909" cy="2305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8909" cy="2305925"/>
                    </a:xfrm>
                    <a:prstGeom prst="rect">
                      <a:avLst/>
                    </a:prstGeom>
                    <a:noFill/>
                  </pic:spPr>
                </pic:pic>
              </a:graphicData>
            </a:graphic>
          </wp:inline>
        </w:drawing>
      </w:r>
    </w:p>
    <w:p w:rsidR="00C453CE" w:rsidRPr="00BF6A17" w:rsidRDefault="00C453CE" w:rsidP="002A30A9">
      <w:pPr>
        <w:spacing w:after="0" w:line="240" w:lineRule="auto"/>
        <w:contextualSpacing/>
        <w:jc w:val="both"/>
      </w:pPr>
      <w:r w:rsidRPr="00BF6A17">
        <w:rPr>
          <w:szCs w:val="24"/>
          <w:u w:val="single"/>
        </w:rPr>
        <w:lastRenderedPageBreak/>
        <w:t xml:space="preserve">Property Type (Table </w:t>
      </w:r>
      <w:r w:rsidR="000C5549" w:rsidRPr="00BF6A17">
        <w:rPr>
          <w:szCs w:val="24"/>
          <w:u w:val="single"/>
        </w:rPr>
        <w:t>1.</w:t>
      </w:r>
      <w:r w:rsidR="00167BD2" w:rsidRPr="00BF6A17">
        <w:rPr>
          <w:szCs w:val="24"/>
          <w:u w:val="single"/>
        </w:rPr>
        <w:t>2</w:t>
      </w:r>
      <w:r w:rsidRPr="00BF6A17">
        <w:rPr>
          <w:szCs w:val="24"/>
          <w:u w:val="single"/>
        </w:rPr>
        <w:t xml:space="preserve">, Chart </w:t>
      </w:r>
      <w:r w:rsidR="00A90BE2" w:rsidRPr="00BF6A17">
        <w:rPr>
          <w:szCs w:val="24"/>
          <w:u w:val="single"/>
        </w:rPr>
        <w:t>1.</w:t>
      </w:r>
      <w:r w:rsidR="00F7592E" w:rsidRPr="00BF6A17">
        <w:rPr>
          <w:szCs w:val="24"/>
          <w:u w:val="single"/>
        </w:rPr>
        <w:t>2</w:t>
      </w:r>
      <w:r w:rsidRPr="00BF6A17">
        <w:rPr>
          <w:szCs w:val="24"/>
          <w:u w:val="single"/>
        </w:rPr>
        <w:t>)</w:t>
      </w:r>
      <w:bookmarkStart w:id="24" w:name="chart2_new"/>
      <w:bookmarkEnd w:id="24"/>
    </w:p>
    <w:p w:rsidR="00C453CE" w:rsidRPr="00BF6A17" w:rsidRDefault="00C453CE" w:rsidP="00C453CE">
      <w:pPr>
        <w:pStyle w:val="ListParagraph"/>
        <w:ind w:left="0"/>
        <w:contextualSpacing/>
        <w:jc w:val="both"/>
        <w:rPr>
          <w:rFonts w:ascii="Arial" w:hAnsi="Arial" w:cs="Arial"/>
          <w:sz w:val="24"/>
          <w:szCs w:val="24"/>
          <w:u w:val="single"/>
        </w:rPr>
      </w:pPr>
    </w:p>
    <w:p w:rsidR="00C453CE" w:rsidRDefault="00C453CE" w:rsidP="00C453CE">
      <w:pPr>
        <w:pStyle w:val="ListParagraph"/>
        <w:ind w:left="0"/>
        <w:contextualSpacing/>
        <w:jc w:val="both"/>
        <w:rPr>
          <w:rFonts w:ascii="Arial" w:hAnsi="Arial" w:cs="Arial"/>
          <w:sz w:val="24"/>
          <w:szCs w:val="24"/>
        </w:rPr>
      </w:pPr>
      <w:r w:rsidRPr="00BF6A17">
        <w:rPr>
          <w:rFonts w:ascii="Arial" w:hAnsi="Arial" w:cs="Arial"/>
          <w:sz w:val="24"/>
          <w:szCs w:val="24"/>
        </w:rPr>
        <w:t xml:space="preserve">Chart </w:t>
      </w:r>
      <w:r w:rsidR="00B85237" w:rsidRPr="00BF6A17">
        <w:rPr>
          <w:rFonts w:ascii="Arial" w:hAnsi="Arial" w:cs="Arial"/>
          <w:sz w:val="24"/>
          <w:szCs w:val="24"/>
        </w:rPr>
        <w:t>1.</w:t>
      </w:r>
      <w:r w:rsidRPr="00BF6A17">
        <w:rPr>
          <w:rFonts w:ascii="Arial" w:hAnsi="Arial" w:cs="Arial"/>
          <w:sz w:val="24"/>
          <w:szCs w:val="24"/>
        </w:rPr>
        <w:t>2 shows that 7</w:t>
      </w:r>
      <w:r w:rsidR="008D1101" w:rsidRPr="00BF6A17">
        <w:rPr>
          <w:rFonts w:ascii="Arial" w:hAnsi="Arial" w:cs="Arial"/>
          <w:sz w:val="24"/>
          <w:szCs w:val="24"/>
        </w:rPr>
        <w:t>7</w:t>
      </w:r>
      <w:r w:rsidRPr="00BF6A17">
        <w:rPr>
          <w:rFonts w:ascii="Arial" w:hAnsi="Arial" w:cs="Arial"/>
          <w:sz w:val="24"/>
          <w:szCs w:val="24"/>
        </w:rPr>
        <w:t xml:space="preserve"> per cent of GD Assessments wer</w:t>
      </w:r>
      <w:r w:rsidR="00903E5B" w:rsidRPr="00BF6A17">
        <w:rPr>
          <w:rFonts w:ascii="Arial" w:hAnsi="Arial" w:cs="Arial"/>
          <w:sz w:val="24"/>
          <w:szCs w:val="24"/>
        </w:rPr>
        <w:t>e in houses (</w:t>
      </w:r>
      <w:r w:rsidR="00BF6A17" w:rsidRPr="00BF6A17">
        <w:rPr>
          <w:rFonts w:ascii="Arial" w:hAnsi="Arial" w:cs="Arial"/>
          <w:sz w:val="24"/>
          <w:szCs w:val="24"/>
        </w:rPr>
        <w:t>273</w:t>
      </w:r>
      <w:r w:rsidR="00903E5B" w:rsidRPr="00BF6A17">
        <w:rPr>
          <w:rFonts w:ascii="Arial" w:hAnsi="Arial" w:cs="Arial"/>
          <w:sz w:val="24"/>
          <w:szCs w:val="24"/>
        </w:rPr>
        <w:t>,</w:t>
      </w:r>
      <w:r w:rsidR="00BF6A17" w:rsidRPr="00BF6A17">
        <w:rPr>
          <w:rFonts w:ascii="Arial" w:hAnsi="Arial" w:cs="Arial"/>
          <w:sz w:val="24"/>
          <w:szCs w:val="24"/>
        </w:rPr>
        <w:t>502</w:t>
      </w:r>
      <w:r w:rsidR="00FF76A4" w:rsidRPr="00BF6A17">
        <w:rPr>
          <w:rFonts w:ascii="Arial" w:hAnsi="Arial" w:cs="Arial"/>
          <w:sz w:val="24"/>
          <w:szCs w:val="24"/>
        </w:rPr>
        <w:t>), 1</w:t>
      </w:r>
      <w:r w:rsidR="00BF6A17" w:rsidRPr="00BF6A17">
        <w:rPr>
          <w:rFonts w:ascii="Arial" w:hAnsi="Arial" w:cs="Arial"/>
          <w:sz w:val="24"/>
          <w:szCs w:val="24"/>
        </w:rPr>
        <w:t>1</w:t>
      </w:r>
      <w:r w:rsidR="00FF76A4" w:rsidRPr="00BF6A17">
        <w:rPr>
          <w:rFonts w:ascii="Arial" w:hAnsi="Arial" w:cs="Arial"/>
          <w:sz w:val="24"/>
          <w:szCs w:val="24"/>
        </w:rPr>
        <w:t xml:space="preserve"> </w:t>
      </w:r>
      <w:r w:rsidRPr="00BF6A17">
        <w:rPr>
          <w:rFonts w:ascii="Arial" w:hAnsi="Arial" w:cs="Arial"/>
          <w:sz w:val="24"/>
          <w:szCs w:val="24"/>
        </w:rPr>
        <w:t>per cent were in flats (</w:t>
      </w:r>
      <w:r w:rsidR="00BF6A17" w:rsidRPr="00BF6A17">
        <w:rPr>
          <w:rFonts w:ascii="Arial" w:hAnsi="Arial" w:cs="Arial"/>
          <w:sz w:val="24"/>
          <w:szCs w:val="24"/>
        </w:rPr>
        <w:t>39</w:t>
      </w:r>
      <w:r w:rsidR="00FF76A4" w:rsidRPr="00BF6A17">
        <w:rPr>
          <w:rFonts w:ascii="Arial" w:hAnsi="Arial" w:cs="Arial"/>
          <w:sz w:val="24"/>
          <w:szCs w:val="24"/>
        </w:rPr>
        <w:t>,</w:t>
      </w:r>
      <w:r w:rsidR="00BF6A17" w:rsidRPr="00BF6A17">
        <w:rPr>
          <w:rFonts w:ascii="Arial" w:hAnsi="Arial" w:cs="Arial"/>
          <w:sz w:val="24"/>
          <w:szCs w:val="24"/>
        </w:rPr>
        <w:t>392</w:t>
      </w:r>
      <w:r w:rsidR="00750DF5" w:rsidRPr="00BF6A17">
        <w:rPr>
          <w:rFonts w:ascii="Arial" w:hAnsi="Arial" w:cs="Arial"/>
          <w:sz w:val="24"/>
          <w:szCs w:val="24"/>
        </w:rPr>
        <w:t xml:space="preserve">), </w:t>
      </w:r>
      <w:r w:rsidR="004C2622" w:rsidRPr="00BF6A17">
        <w:rPr>
          <w:rFonts w:ascii="Arial" w:hAnsi="Arial" w:cs="Arial"/>
          <w:sz w:val="24"/>
          <w:szCs w:val="24"/>
        </w:rPr>
        <w:t>1</w:t>
      </w:r>
      <w:r w:rsidR="00BF6A17" w:rsidRPr="00BF6A17">
        <w:rPr>
          <w:rFonts w:ascii="Arial" w:hAnsi="Arial" w:cs="Arial"/>
          <w:sz w:val="24"/>
          <w:szCs w:val="24"/>
        </w:rPr>
        <w:t>1</w:t>
      </w:r>
      <w:r w:rsidR="004C2622" w:rsidRPr="00BF6A17">
        <w:rPr>
          <w:rFonts w:ascii="Arial" w:hAnsi="Arial" w:cs="Arial"/>
          <w:sz w:val="24"/>
          <w:szCs w:val="24"/>
        </w:rPr>
        <w:t xml:space="preserve"> </w:t>
      </w:r>
      <w:r w:rsidRPr="00BF6A17">
        <w:rPr>
          <w:rFonts w:ascii="Arial" w:hAnsi="Arial" w:cs="Arial"/>
          <w:sz w:val="24"/>
          <w:szCs w:val="24"/>
        </w:rPr>
        <w:t>per cent were in bungalows (</w:t>
      </w:r>
      <w:r w:rsidR="00BF6A17" w:rsidRPr="00BF6A17">
        <w:rPr>
          <w:rFonts w:ascii="Arial" w:hAnsi="Arial" w:cs="Arial"/>
          <w:sz w:val="24"/>
          <w:szCs w:val="24"/>
        </w:rPr>
        <w:t xml:space="preserve">37,444), </w:t>
      </w:r>
      <w:r w:rsidRPr="00BF6A17">
        <w:rPr>
          <w:rFonts w:ascii="Arial" w:hAnsi="Arial" w:cs="Arial"/>
          <w:sz w:val="24"/>
          <w:szCs w:val="24"/>
        </w:rPr>
        <w:t>and two per cent were in maisonettes (</w:t>
      </w:r>
      <w:r w:rsidR="00BF6A17" w:rsidRPr="00BF6A17">
        <w:rPr>
          <w:rFonts w:ascii="Arial" w:hAnsi="Arial" w:cs="Arial"/>
          <w:sz w:val="24"/>
          <w:szCs w:val="24"/>
        </w:rPr>
        <w:t>6</w:t>
      </w:r>
      <w:r w:rsidR="004C2622" w:rsidRPr="00BF6A17">
        <w:rPr>
          <w:rFonts w:ascii="Arial" w:hAnsi="Arial" w:cs="Arial"/>
          <w:sz w:val="24"/>
          <w:szCs w:val="24"/>
        </w:rPr>
        <w:t>,</w:t>
      </w:r>
      <w:r w:rsidR="00BF6A17" w:rsidRPr="00BF6A17">
        <w:rPr>
          <w:rFonts w:ascii="Arial" w:hAnsi="Arial" w:cs="Arial"/>
          <w:sz w:val="24"/>
          <w:szCs w:val="24"/>
        </w:rPr>
        <w:t>176</w:t>
      </w:r>
      <w:r w:rsidRPr="00BF6A17">
        <w:rPr>
          <w:rFonts w:ascii="Arial" w:hAnsi="Arial" w:cs="Arial"/>
          <w:sz w:val="24"/>
          <w:szCs w:val="24"/>
        </w:rPr>
        <w:t>). The housing stock in England</w:t>
      </w:r>
      <w:r w:rsidRPr="00BF6A17">
        <w:rPr>
          <w:rStyle w:val="FootnoteReference"/>
          <w:rFonts w:ascii="Arial" w:hAnsi="Arial" w:cs="Arial"/>
          <w:sz w:val="24"/>
          <w:szCs w:val="24"/>
        </w:rPr>
        <w:footnoteReference w:id="6"/>
      </w:r>
      <w:r w:rsidRPr="00BF6A17">
        <w:rPr>
          <w:rFonts w:ascii="Arial" w:hAnsi="Arial" w:cs="Arial"/>
          <w:sz w:val="24"/>
          <w:szCs w:val="24"/>
        </w:rPr>
        <w:t xml:space="preserve"> (as reported in the English</w:t>
      </w:r>
      <w:r w:rsidR="00AF5FBD" w:rsidRPr="00BF6A17">
        <w:rPr>
          <w:rFonts w:ascii="Arial" w:hAnsi="Arial" w:cs="Arial"/>
          <w:sz w:val="24"/>
          <w:szCs w:val="24"/>
        </w:rPr>
        <w:t xml:space="preserve"> Housing Survey 2012</w:t>
      </w:r>
      <w:r w:rsidRPr="00BF6A17">
        <w:rPr>
          <w:rFonts w:ascii="Arial" w:hAnsi="Arial" w:cs="Arial"/>
          <w:sz w:val="24"/>
          <w:szCs w:val="24"/>
        </w:rPr>
        <w:t>-1</w:t>
      </w:r>
      <w:r w:rsidR="00AF5FBD" w:rsidRPr="00BF6A17">
        <w:rPr>
          <w:rFonts w:ascii="Arial" w:hAnsi="Arial" w:cs="Arial"/>
          <w:sz w:val="24"/>
          <w:szCs w:val="24"/>
        </w:rPr>
        <w:t>3</w:t>
      </w:r>
      <w:r w:rsidRPr="00BF6A17">
        <w:rPr>
          <w:rStyle w:val="FootnoteReference"/>
          <w:rFonts w:ascii="Arial" w:hAnsi="Arial" w:cs="Arial"/>
          <w:sz w:val="24"/>
          <w:szCs w:val="24"/>
        </w:rPr>
        <w:footnoteReference w:id="7"/>
      </w:r>
      <w:r w:rsidRPr="00BF6A17">
        <w:rPr>
          <w:rFonts w:ascii="Arial" w:hAnsi="Arial" w:cs="Arial"/>
          <w:sz w:val="24"/>
          <w:szCs w:val="24"/>
        </w:rPr>
        <w:t>) shows that 71 per cent of property types were houses, 20 per cent were flats and/or maisonettes (purpose built flat or converted flat), and nine per cent were bungalows.</w:t>
      </w:r>
    </w:p>
    <w:p w:rsidR="00C453CE" w:rsidRDefault="00C453CE" w:rsidP="00C453CE">
      <w:pPr>
        <w:pStyle w:val="ListParagraph"/>
        <w:ind w:left="0"/>
        <w:contextualSpacing/>
        <w:jc w:val="both"/>
        <w:rPr>
          <w:rFonts w:ascii="Arial" w:hAnsi="Arial" w:cs="Arial"/>
          <w:sz w:val="24"/>
          <w:szCs w:val="24"/>
        </w:rPr>
      </w:pPr>
    </w:p>
    <w:p w:rsidR="00C453CE" w:rsidRPr="00F8119F" w:rsidRDefault="00911320" w:rsidP="00C453CE">
      <w:pPr>
        <w:pStyle w:val="ListParagraph"/>
        <w:ind w:left="0"/>
        <w:contextualSpacing/>
        <w:jc w:val="both"/>
        <w:rPr>
          <w:rFonts w:ascii="Arial" w:hAnsi="Arial" w:cs="Arial"/>
          <w:sz w:val="24"/>
          <w:szCs w:val="24"/>
        </w:rPr>
      </w:pPr>
      <w:bookmarkStart w:id="25" w:name="_Toc406419485"/>
      <w:proofErr w:type="gramStart"/>
      <w:r w:rsidRPr="00F8119F">
        <w:rPr>
          <w:rFonts w:ascii="Arial" w:hAnsi="Arial" w:cs="Arial"/>
          <w:sz w:val="24"/>
          <w:szCs w:val="24"/>
        </w:rPr>
        <w:t xml:space="preserve">Chart </w:t>
      </w:r>
      <w:r>
        <w:rPr>
          <w:rFonts w:ascii="Arial" w:hAnsi="Arial" w:cs="Arial"/>
          <w:sz w:val="24"/>
          <w:szCs w:val="24"/>
        </w:rPr>
        <w:t>1.</w:t>
      </w:r>
      <w:proofErr w:type="gramEnd"/>
      <w:r w:rsidRPr="00F8119F">
        <w:rPr>
          <w:rFonts w:ascii="Arial" w:hAnsi="Arial" w:cs="Arial"/>
          <w:sz w:val="24"/>
          <w:szCs w:val="24"/>
        </w:rPr>
        <w:fldChar w:fldCharType="begin"/>
      </w:r>
      <w:r w:rsidRPr="00F8119F">
        <w:rPr>
          <w:rFonts w:ascii="Arial" w:hAnsi="Arial" w:cs="Arial"/>
          <w:sz w:val="24"/>
          <w:szCs w:val="24"/>
        </w:rPr>
        <w:instrText xml:space="preserve"> SEQ Chart \* ARABIC </w:instrText>
      </w:r>
      <w:r w:rsidRPr="00F8119F">
        <w:rPr>
          <w:rFonts w:ascii="Arial" w:hAnsi="Arial" w:cs="Arial"/>
          <w:sz w:val="24"/>
          <w:szCs w:val="24"/>
        </w:rPr>
        <w:fldChar w:fldCharType="separate"/>
      </w:r>
      <w:r w:rsidR="006B5574">
        <w:rPr>
          <w:rFonts w:ascii="Arial" w:hAnsi="Arial" w:cs="Arial"/>
          <w:noProof/>
          <w:sz w:val="24"/>
          <w:szCs w:val="24"/>
        </w:rPr>
        <w:t>2</w:t>
      </w:r>
      <w:r w:rsidRPr="00F8119F">
        <w:rPr>
          <w:rFonts w:ascii="Arial" w:hAnsi="Arial" w:cs="Arial"/>
          <w:sz w:val="24"/>
          <w:szCs w:val="24"/>
        </w:rPr>
        <w:fldChar w:fldCharType="end"/>
      </w:r>
      <w:r>
        <w:rPr>
          <w:rFonts w:ascii="Arial" w:hAnsi="Arial" w:cs="Arial"/>
          <w:sz w:val="24"/>
          <w:szCs w:val="24"/>
        </w:rPr>
        <w:t xml:space="preserve"> </w:t>
      </w:r>
      <w:r w:rsidR="00C453CE" w:rsidRPr="00F8119F">
        <w:rPr>
          <w:rFonts w:ascii="Arial" w:hAnsi="Arial" w:cs="Arial"/>
          <w:sz w:val="24"/>
          <w:szCs w:val="24"/>
        </w:rPr>
        <w:t>- Percentage of Green Deal Assessments</w:t>
      </w:r>
      <w:r w:rsidR="00372AC8">
        <w:rPr>
          <w:rFonts w:ascii="Arial" w:hAnsi="Arial" w:cs="Arial"/>
          <w:sz w:val="24"/>
          <w:szCs w:val="24"/>
        </w:rPr>
        <w:t>,</w:t>
      </w:r>
      <w:r w:rsidR="00C453CE" w:rsidRPr="00F8119F">
        <w:rPr>
          <w:rFonts w:ascii="Arial" w:hAnsi="Arial" w:cs="Arial"/>
          <w:sz w:val="24"/>
          <w:szCs w:val="24"/>
        </w:rPr>
        <w:t xml:space="preserve"> and England properties by property type, up to </w:t>
      </w:r>
      <w:r w:rsidR="004C2622">
        <w:rPr>
          <w:rFonts w:ascii="Arial" w:hAnsi="Arial" w:cs="Arial"/>
          <w:sz w:val="24"/>
          <w:szCs w:val="24"/>
        </w:rPr>
        <w:t>30</w:t>
      </w:r>
      <w:r w:rsidR="004C2622" w:rsidRPr="004C2622">
        <w:rPr>
          <w:rFonts w:ascii="Arial" w:hAnsi="Arial" w:cs="Arial"/>
          <w:sz w:val="24"/>
          <w:szCs w:val="24"/>
          <w:vertAlign w:val="superscript"/>
        </w:rPr>
        <w:t>th</w:t>
      </w:r>
      <w:r w:rsidR="004C2622">
        <w:rPr>
          <w:rFonts w:ascii="Arial" w:hAnsi="Arial" w:cs="Arial"/>
          <w:sz w:val="24"/>
          <w:szCs w:val="24"/>
        </w:rPr>
        <w:t xml:space="preserve"> </w:t>
      </w:r>
      <w:r w:rsidR="002A30A9">
        <w:rPr>
          <w:rFonts w:ascii="Arial" w:hAnsi="Arial" w:cs="Arial"/>
          <w:sz w:val="24"/>
          <w:szCs w:val="24"/>
        </w:rPr>
        <w:t>September</w:t>
      </w:r>
      <w:r w:rsidR="002F723B">
        <w:rPr>
          <w:rFonts w:ascii="Arial" w:hAnsi="Arial" w:cs="Arial"/>
          <w:sz w:val="24"/>
          <w:szCs w:val="24"/>
        </w:rPr>
        <w:t xml:space="preserve"> 2014</w:t>
      </w:r>
      <w:bookmarkEnd w:id="25"/>
    </w:p>
    <w:p w:rsidR="00C453CE" w:rsidRPr="00973985" w:rsidRDefault="00C453CE" w:rsidP="00C453CE">
      <w:pPr>
        <w:pStyle w:val="ListParagraph"/>
        <w:ind w:left="0"/>
        <w:contextualSpacing/>
        <w:jc w:val="both"/>
        <w:rPr>
          <w:rFonts w:ascii="Arial" w:hAnsi="Arial" w:cs="Arial"/>
        </w:rPr>
      </w:pPr>
    </w:p>
    <w:p w:rsidR="00C453CE" w:rsidRDefault="008D1101" w:rsidP="00C453CE">
      <w:pPr>
        <w:pStyle w:val="ListParagraph"/>
        <w:ind w:left="0"/>
        <w:contextualSpacing/>
        <w:jc w:val="both"/>
        <w:rPr>
          <w:rFonts w:ascii="Arial" w:hAnsi="Arial" w:cs="Arial"/>
        </w:rPr>
      </w:pPr>
      <w:r>
        <w:rPr>
          <w:rFonts w:ascii="Arial" w:hAnsi="Arial" w:cs="Arial"/>
          <w:noProof/>
          <w:lang w:eastAsia="en-GB"/>
        </w:rPr>
        <w:drawing>
          <wp:inline distT="0" distB="0" distL="0" distR="0" wp14:anchorId="74980D08" wp14:editId="0838E5AB">
            <wp:extent cx="5468620" cy="31946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8620" cy="3194685"/>
                    </a:xfrm>
                    <a:prstGeom prst="rect">
                      <a:avLst/>
                    </a:prstGeom>
                    <a:noFill/>
                  </pic:spPr>
                </pic:pic>
              </a:graphicData>
            </a:graphic>
          </wp:inline>
        </w:drawing>
      </w:r>
    </w:p>
    <w:p w:rsidR="00C453CE" w:rsidRDefault="00C453CE" w:rsidP="00C453CE">
      <w:pPr>
        <w:pStyle w:val="ListParagraph"/>
        <w:ind w:left="0"/>
        <w:contextualSpacing/>
        <w:jc w:val="both"/>
        <w:rPr>
          <w:rFonts w:ascii="Arial" w:hAnsi="Arial" w:cs="Arial"/>
        </w:rPr>
      </w:pPr>
    </w:p>
    <w:p w:rsidR="00365B68" w:rsidRDefault="00365B68" w:rsidP="00C453CE">
      <w:pPr>
        <w:pStyle w:val="ListParagraph"/>
        <w:ind w:left="0"/>
        <w:contextualSpacing/>
        <w:jc w:val="both"/>
        <w:rPr>
          <w:rFonts w:ascii="Arial" w:hAnsi="Arial" w:cs="Arial"/>
        </w:rPr>
      </w:pPr>
    </w:p>
    <w:p w:rsidR="00C453CE" w:rsidRPr="00B6327B" w:rsidRDefault="00C453CE" w:rsidP="00C453CE">
      <w:pPr>
        <w:pStyle w:val="ListParagraph"/>
        <w:ind w:left="0"/>
        <w:contextualSpacing/>
        <w:jc w:val="both"/>
        <w:rPr>
          <w:rFonts w:ascii="Arial" w:hAnsi="Arial" w:cs="Arial"/>
          <w:sz w:val="24"/>
          <w:szCs w:val="24"/>
          <w:u w:val="single"/>
        </w:rPr>
      </w:pPr>
      <w:r>
        <w:rPr>
          <w:rFonts w:ascii="Arial" w:hAnsi="Arial" w:cs="Arial"/>
          <w:sz w:val="24"/>
          <w:szCs w:val="24"/>
          <w:u w:val="single"/>
        </w:rPr>
        <w:t xml:space="preserve">Tenure (Table </w:t>
      </w:r>
      <w:r w:rsidR="000C5549">
        <w:rPr>
          <w:rFonts w:ascii="Arial" w:hAnsi="Arial" w:cs="Arial"/>
          <w:sz w:val="24"/>
          <w:szCs w:val="24"/>
          <w:u w:val="single"/>
        </w:rPr>
        <w:t>1.</w:t>
      </w:r>
      <w:r w:rsidR="00167BD2">
        <w:rPr>
          <w:rFonts w:ascii="Arial" w:hAnsi="Arial" w:cs="Arial"/>
          <w:sz w:val="24"/>
          <w:szCs w:val="24"/>
          <w:u w:val="single"/>
        </w:rPr>
        <w:t>3</w:t>
      </w:r>
      <w:r w:rsidRPr="00B6327B">
        <w:rPr>
          <w:rFonts w:ascii="Arial" w:hAnsi="Arial" w:cs="Arial"/>
          <w:sz w:val="24"/>
          <w:szCs w:val="24"/>
          <w:u w:val="single"/>
        </w:rPr>
        <w:t xml:space="preserve">, Chart </w:t>
      </w:r>
      <w:r w:rsidR="00A90BE2">
        <w:rPr>
          <w:rFonts w:ascii="Arial" w:hAnsi="Arial" w:cs="Arial"/>
          <w:sz w:val="24"/>
          <w:szCs w:val="24"/>
          <w:u w:val="single"/>
        </w:rPr>
        <w:t>1.</w:t>
      </w:r>
      <w:r w:rsidR="00F7592E">
        <w:rPr>
          <w:rFonts w:ascii="Arial" w:hAnsi="Arial" w:cs="Arial"/>
          <w:sz w:val="24"/>
          <w:szCs w:val="24"/>
          <w:u w:val="single"/>
        </w:rPr>
        <w:t>3</w:t>
      </w:r>
      <w:r w:rsidRPr="00B6327B">
        <w:rPr>
          <w:rFonts w:ascii="Arial" w:hAnsi="Arial" w:cs="Arial"/>
          <w:sz w:val="24"/>
          <w:szCs w:val="24"/>
          <w:u w:val="single"/>
        </w:rPr>
        <w:t>)</w:t>
      </w:r>
    </w:p>
    <w:p w:rsidR="00C453CE" w:rsidRPr="00B6327B" w:rsidRDefault="00C453CE" w:rsidP="00C453CE">
      <w:pPr>
        <w:pStyle w:val="ListParagraph"/>
        <w:ind w:left="0"/>
        <w:contextualSpacing/>
        <w:jc w:val="both"/>
        <w:rPr>
          <w:rFonts w:ascii="Arial" w:hAnsi="Arial" w:cs="Arial"/>
          <w:sz w:val="24"/>
          <w:szCs w:val="24"/>
          <w:u w:val="single"/>
        </w:rPr>
      </w:pPr>
    </w:p>
    <w:p w:rsidR="00C453CE" w:rsidRDefault="004C2622" w:rsidP="00C453CE">
      <w:pPr>
        <w:pStyle w:val="ListParagraph"/>
        <w:ind w:left="0"/>
        <w:contextualSpacing/>
        <w:jc w:val="both"/>
        <w:rPr>
          <w:rFonts w:ascii="Arial" w:hAnsi="Arial" w:cs="Arial"/>
          <w:sz w:val="24"/>
          <w:szCs w:val="24"/>
        </w:rPr>
      </w:pPr>
      <w:r w:rsidRPr="00BF6A17">
        <w:rPr>
          <w:rFonts w:ascii="Arial" w:hAnsi="Arial" w:cs="Arial"/>
          <w:sz w:val="24"/>
          <w:szCs w:val="24"/>
        </w:rPr>
        <w:t xml:space="preserve">Around </w:t>
      </w:r>
      <w:r w:rsidR="00750DF5" w:rsidRPr="00BF6A17">
        <w:rPr>
          <w:rFonts w:ascii="Arial" w:hAnsi="Arial" w:cs="Arial"/>
          <w:sz w:val="24"/>
          <w:szCs w:val="24"/>
        </w:rPr>
        <w:t>t</w:t>
      </w:r>
      <w:r w:rsidR="00182F26" w:rsidRPr="00BF6A17">
        <w:rPr>
          <w:rFonts w:ascii="Arial" w:hAnsi="Arial" w:cs="Arial"/>
          <w:sz w:val="24"/>
          <w:szCs w:val="24"/>
        </w:rPr>
        <w:t>hree quarters</w:t>
      </w:r>
      <w:r w:rsidR="00C453CE" w:rsidRPr="00BF6A17">
        <w:rPr>
          <w:rFonts w:ascii="Arial" w:hAnsi="Arial" w:cs="Arial"/>
          <w:sz w:val="24"/>
          <w:szCs w:val="24"/>
        </w:rPr>
        <w:t xml:space="preserve"> of GD Assessments were in owner-occupied properties (</w:t>
      </w:r>
      <w:r w:rsidR="00BF6A17" w:rsidRPr="00BF6A17">
        <w:rPr>
          <w:rFonts w:ascii="Arial" w:hAnsi="Arial" w:cs="Arial"/>
          <w:sz w:val="24"/>
          <w:szCs w:val="24"/>
        </w:rPr>
        <w:t>272,561), 12</w:t>
      </w:r>
      <w:r w:rsidR="00DB47D0" w:rsidRPr="00BF6A17">
        <w:rPr>
          <w:rFonts w:ascii="Arial" w:hAnsi="Arial" w:cs="Arial"/>
          <w:sz w:val="24"/>
          <w:szCs w:val="24"/>
        </w:rPr>
        <w:t xml:space="preserve"> per cent were</w:t>
      </w:r>
      <w:r w:rsidR="00BF6A17" w:rsidRPr="00BF6A17">
        <w:rPr>
          <w:rFonts w:ascii="Arial" w:hAnsi="Arial" w:cs="Arial"/>
          <w:sz w:val="24"/>
          <w:szCs w:val="24"/>
        </w:rPr>
        <w:t xml:space="preserve"> in the private rented sector (44</w:t>
      </w:r>
      <w:r w:rsidR="00DB47D0" w:rsidRPr="00BF6A17">
        <w:rPr>
          <w:rFonts w:ascii="Arial" w:hAnsi="Arial" w:cs="Arial"/>
          <w:sz w:val="24"/>
          <w:szCs w:val="24"/>
        </w:rPr>
        <w:t>,</w:t>
      </w:r>
      <w:r w:rsidR="00BF6A17" w:rsidRPr="00BF6A17">
        <w:rPr>
          <w:rFonts w:ascii="Arial" w:hAnsi="Arial" w:cs="Arial"/>
          <w:sz w:val="24"/>
          <w:szCs w:val="24"/>
        </w:rPr>
        <w:t>235) and 11</w:t>
      </w:r>
      <w:r w:rsidR="00C453CE" w:rsidRPr="00BF6A17">
        <w:rPr>
          <w:rFonts w:ascii="Arial" w:hAnsi="Arial" w:cs="Arial"/>
          <w:sz w:val="24"/>
          <w:szCs w:val="24"/>
        </w:rPr>
        <w:t xml:space="preserve"> per cent were in the social rented sector (</w:t>
      </w:r>
      <w:r w:rsidR="00DB47D0" w:rsidRPr="00BF6A17">
        <w:rPr>
          <w:rFonts w:ascii="Arial" w:hAnsi="Arial" w:cs="Arial"/>
          <w:sz w:val="24"/>
          <w:szCs w:val="24"/>
        </w:rPr>
        <w:t>3</w:t>
      </w:r>
      <w:r w:rsidR="00BF6A17" w:rsidRPr="00BF6A17">
        <w:rPr>
          <w:rFonts w:ascii="Arial" w:hAnsi="Arial" w:cs="Arial"/>
          <w:sz w:val="24"/>
          <w:szCs w:val="24"/>
        </w:rPr>
        <w:t>7</w:t>
      </w:r>
      <w:r w:rsidR="00DB47D0" w:rsidRPr="00BF6A17">
        <w:rPr>
          <w:rFonts w:ascii="Arial" w:hAnsi="Arial" w:cs="Arial"/>
          <w:sz w:val="24"/>
          <w:szCs w:val="24"/>
        </w:rPr>
        <w:t>,</w:t>
      </w:r>
      <w:r w:rsidR="00BF6A17" w:rsidRPr="00BF6A17">
        <w:rPr>
          <w:rFonts w:ascii="Arial" w:hAnsi="Arial" w:cs="Arial"/>
          <w:sz w:val="24"/>
          <w:szCs w:val="24"/>
        </w:rPr>
        <w:t>828</w:t>
      </w:r>
      <w:r w:rsidR="00DB47D0" w:rsidRPr="00BF6A17">
        <w:rPr>
          <w:rFonts w:ascii="Arial" w:hAnsi="Arial" w:cs="Arial"/>
          <w:sz w:val="24"/>
          <w:szCs w:val="24"/>
        </w:rPr>
        <w:t xml:space="preserve">). </w:t>
      </w:r>
      <w:r w:rsidR="00C453CE" w:rsidRPr="00BF6A17">
        <w:rPr>
          <w:rFonts w:ascii="Arial" w:hAnsi="Arial" w:cs="Arial"/>
          <w:sz w:val="24"/>
          <w:szCs w:val="24"/>
        </w:rPr>
        <w:t>In comparison, according to dwelling stock figures released by Department for Communities and Local Government</w:t>
      </w:r>
      <w:r w:rsidR="00C453CE" w:rsidRPr="00BF6A17">
        <w:rPr>
          <w:rStyle w:val="FootnoteReference"/>
          <w:rFonts w:ascii="Arial" w:hAnsi="Arial" w:cs="Arial"/>
          <w:sz w:val="24"/>
          <w:szCs w:val="24"/>
        </w:rPr>
        <w:footnoteReference w:id="8"/>
      </w:r>
      <w:r w:rsidR="00C453CE" w:rsidRPr="00BF6A17">
        <w:rPr>
          <w:rFonts w:ascii="Arial" w:hAnsi="Arial" w:cs="Arial"/>
          <w:sz w:val="24"/>
          <w:szCs w:val="24"/>
        </w:rPr>
        <w:t xml:space="preserve"> for Great Britain there were 6</w:t>
      </w:r>
      <w:r w:rsidR="003C76A9" w:rsidRPr="00BF6A17">
        <w:rPr>
          <w:rFonts w:ascii="Arial" w:hAnsi="Arial" w:cs="Arial"/>
          <w:sz w:val="24"/>
          <w:szCs w:val="24"/>
        </w:rPr>
        <w:t>4</w:t>
      </w:r>
      <w:r w:rsidR="00C453CE" w:rsidRPr="00BF6A17">
        <w:rPr>
          <w:rFonts w:ascii="Arial" w:hAnsi="Arial" w:cs="Arial"/>
          <w:sz w:val="24"/>
          <w:szCs w:val="24"/>
        </w:rPr>
        <w:t xml:space="preserve"> per cent</w:t>
      </w:r>
      <w:r w:rsidR="00C453CE" w:rsidRPr="00BF6A17">
        <w:rPr>
          <w:sz w:val="24"/>
          <w:szCs w:val="24"/>
        </w:rPr>
        <w:t xml:space="preserve"> </w:t>
      </w:r>
      <w:r w:rsidR="00B05F65" w:rsidRPr="00BF6A17">
        <w:rPr>
          <w:rFonts w:ascii="Arial" w:hAnsi="Arial" w:cs="Arial"/>
          <w:sz w:val="24"/>
          <w:szCs w:val="24"/>
        </w:rPr>
        <w:t>owner-occupied and</w:t>
      </w:r>
      <w:r w:rsidR="004765D2" w:rsidRPr="00BF6A17">
        <w:rPr>
          <w:rFonts w:ascii="Arial" w:hAnsi="Arial" w:cs="Arial"/>
          <w:sz w:val="24"/>
          <w:szCs w:val="24"/>
        </w:rPr>
        <w:t xml:space="preserve"> </w:t>
      </w:r>
      <w:r w:rsidR="00D329D0" w:rsidRPr="00BF6A17">
        <w:rPr>
          <w:rFonts w:ascii="Arial" w:hAnsi="Arial" w:cs="Arial"/>
          <w:sz w:val="24"/>
          <w:szCs w:val="24"/>
        </w:rPr>
        <w:t>1</w:t>
      </w:r>
      <w:r w:rsidR="00C453CE" w:rsidRPr="00BF6A17">
        <w:rPr>
          <w:rFonts w:ascii="Arial" w:hAnsi="Arial" w:cs="Arial"/>
          <w:sz w:val="24"/>
          <w:szCs w:val="24"/>
        </w:rPr>
        <w:t>8 per cent</w:t>
      </w:r>
      <w:r w:rsidR="00D329D0" w:rsidRPr="00BF6A17">
        <w:rPr>
          <w:rFonts w:ascii="Arial" w:hAnsi="Arial" w:cs="Arial"/>
          <w:sz w:val="24"/>
          <w:szCs w:val="24"/>
        </w:rPr>
        <w:t xml:space="preserve"> </w:t>
      </w:r>
      <w:r w:rsidR="00B05F65" w:rsidRPr="00BF6A17">
        <w:rPr>
          <w:rFonts w:ascii="Arial" w:hAnsi="Arial" w:cs="Arial"/>
          <w:sz w:val="24"/>
          <w:szCs w:val="24"/>
        </w:rPr>
        <w:t xml:space="preserve">were </w:t>
      </w:r>
      <w:r w:rsidR="00D329D0" w:rsidRPr="00BF6A17">
        <w:rPr>
          <w:rFonts w:ascii="Arial" w:hAnsi="Arial" w:cs="Arial"/>
          <w:sz w:val="24"/>
          <w:szCs w:val="24"/>
        </w:rPr>
        <w:t xml:space="preserve">for </w:t>
      </w:r>
      <w:r w:rsidR="00C453CE" w:rsidRPr="00BF6A17">
        <w:rPr>
          <w:rFonts w:ascii="Arial" w:hAnsi="Arial" w:cs="Arial"/>
          <w:sz w:val="24"/>
          <w:szCs w:val="24"/>
        </w:rPr>
        <w:t xml:space="preserve">social rented sector and </w:t>
      </w:r>
      <w:r w:rsidR="00D329D0" w:rsidRPr="00BF6A17">
        <w:rPr>
          <w:rFonts w:ascii="Arial" w:hAnsi="Arial" w:cs="Arial"/>
          <w:sz w:val="24"/>
          <w:szCs w:val="24"/>
        </w:rPr>
        <w:t>the</w:t>
      </w:r>
      <w:r w:rsidR="00C453CE" w:rsidRPr="00BF6A17">
        <w:rPr>
          <w:rFonts w:ascii="Arial" w:hAnsi="Arial" w:cs="Arial"/>
          <w:sz w:val="24"/>
          <w:szCs w:val="24"/>
        </w:rPr>
        <w:t xml:space="preserve"> private rented sector</w:t>
      </w:r>
      <w:r w:rsidR="00B05F65" w:rsidRPr="00BF6A17">
        <w:rPr>
          <w:rFonts w:ascii="Arial" w:hAnsi="Arial" w:cs="Arial"/>
          <w:sz w:val="24"/>
          <w:szCs w:val="24"/>
        </w:rPr>
        <w:t xml:space="preserve"> respectively</w:t>
      </w:r>
      <w:r w:rsidR="00C453CE" w:rsidRPr="00BF6A17">
        <w:rPr>
          <w:rFonts w:ascii="Arial" w:hAnsi="Arial" w:cs="Arial"/>
          <w:sz w:val="24"/>
          <w:szCs w:val="24"/>
        </w:rPr>
        <w:t>. This suggests that a higher proportion of GD Assessments were in owner-occupied properties than would be expected from the distribution of the housing stock.</w:t>
      </w:r>
    </w:p>
    <w:p w:rsidR="00C453CE" w:rsidRDefault="00C453CE" w:rsidP="00C453CE">
      <w:pPr>
        <w:pStyle w:val="ListParagraph"/>
        <w:ind w:left="0"/>
        <w:contextualSpacing/>
        <w:jc w:val="both"/>
        <w:rPr>
          <w:rFonts w:ascii="Arial" w:hAnsi="Arial" w:cs="Arial"/>
          <w:sz w:val="24"/>
          <w:szCs w:val="24"/>
        </w:rPr>
      </w:pPr>
    </w:p>
    <w:p w:rsidR="003C76A9" w:rsidRDefault="003C76A9" w:rsidP="00C453CE">
      <w:pPr>
        <w:pStyle w:val="ListParagraph"/>
        <w:ind w:left="0"/>
        <w:contextualSpacing/>
        <w:jc w:val="both"/>
        <w:rPr>
          <w:rFonts w:ascii="Arial" w:hAnsi="Arial" w:cs="Arial"/>
          <w:sz w:val="24"/>
          <w:szCs w:val="24"/>
        </w:rPr>
      </w:pPr>
    </w:p>
    <w:p w:rsidR="003C76A9" w:rsidRDefault="003C76A9" w:rsidP="00C453CE">
      <w:pPr>
        <w:pStyle w:val="ListParagraph"/>
        <w:ind w:left="0"/>
        <w:contextualSpacing/>
        <w:jc w:val="both"/>
        <w:rPr>
          <w:rFonts w:ascii="Arial" w:hAnsi="Arial" w:cs="Arial"/>
          <w:sz w:val="24"/>
          <w:szCs w:val="24"/>
        </w:rPr>
      </w:pPr>
    </w:p>
    <w:p w:rsidR="00C453CE" w:rsidRDefault="00911320" w:rsidP="00C453CE">
      <w:pPr>
        <w:pStyle w:val="ListParagraph"/>
        <w:ind w:left="0"/>
        <w:contextualSpacing/>
        <w:jc w:val="both"/>
        <w:rPr>
          <w:rFonts w:ascii="Arial" w:hAnsi="Arial" w:cs="Arial"/>
          <w:sz w:val="24"/>
          <w:szCs w:val="24"/>
        </w:rPr>
      </w:pPr>
      <w:bookmarkStart w:id="26" w:name="_Toc406419486"/>
      <w:proofErr w:type="gramStart"/>
      <w:r w:rsidRPr="00B6327B">
        <w:rPr>
          <w:rFonts w:ascii="Arial" w:hAnsi="Arial" w:cs="Arial"/>
          <w:sz w:val="24"/>
          <w:szCs w:val="24"/>
        </w:rPr>
        <w:lastRenderedPageBreak/>
        <w:t xml:space="preserve">Chart </w:t>
      </w:r>
      <w:r>
        <w:rPr>
          <w:rFonts w:ascii="Arial" w:hAnsi="Arial" w:cs="Arial"/>
          <w:sz w:val="24"/>
          <w:szCs w:val="24"/>
        </w:rPr>
        <w:t>1.</w:t>
      </w:r>
      <w:proofErr w:type="gramEnd"/>
      <w:r w:rsidRPr="00B6327B">
        <w:rPr>
          <w:rFonts w:ascii="Arial" w:hAnsi="Arial" w:cs="Arial"/>
          <w:b/>
          <w:sz w:val="24"/>
          <w:szCs w:val="24"/>
        </w:rPr>
        <w:fldChar w:fldCharType="begin"/>
      </w:r>
      <w:r w:rsidRPr="00B6327B">
        <w:rPr>
          <w:rFonts w:ascii="Arial" w:hAnsi="Arial" w:cs="Arial"/>
          <w:sz w:val="24"/>
          <w:szCs w:val="24"/>
        </w:rPr>
        <w:instrText xml:space="preserve"> SEQ Chart \* ARABIC </w:instrText>
      </w:r>
      <w:r w:rsidRPr="00B6327B">
        <w:rPr>
          <w:rFonts w:ascii="Arial" w:hAnsi="Arial" w:cs="Arial"/>
          <w:b/>
          <w:sz w:val="24"/>
          <w:szCs w:val="24"/>
        </w:rPr>
        <w:fldChar w:fldCharType="separate"/>
      </w:r>
      <w:r w:rsidR="006B5574">
        <w:rPr>
          <w:rFonts w:ascii="Arial" w:hAnsi="Arial" w:cs="Arial"/>
          <w:noProof/>
          <w:sz w:val="24"/>
          <w:szCs w:val="24"/>
        </w:rPr>
        <w:t>3</w:t>
      </w:r>
      <w:r w:rsidRPr="00B6327B">
        <w:rPr>
          <w:rFonts w:ascii="Arial" w:hAnsi="Arial" w:cs="Arial"/>
          <w:b/>
          <w:sz w:val="24"/>
          <w:szCs w:val="24"/>
        </w:rPr>
        <w:fldChar w:fldCharType="end"/>
      </w:r>
      <w:r>
        <w:rPr>
          <w:rFonts w:ascii="Arial" w:hAnsi="Arial" w:cs="Arial"/>
          <w:b/>
          <w:sz w:val="24"/>
          <w:szCs w:val="24"/>
        </w:rPr>
        <w:t xml:space="preserve"> </w:t>
      </w:r>
      <w:r w:rsidR="00C453CE" w:rsidRPr="00B6327B">
        <w:rPr>
          <w:rFonts w:ascii="Arial" w:hAnsi="Arial" w:cs="Arial"/>
          <w:sz w:val="24"/>
          <w:szCs w:val="24"/>
        </w:rPr>
        <w:t xml:space="preserve">– Percentage of Green Deal Assessments and </w:t>
      </w:r>
      <w:r w:rsidR="00C453CE">
        <w:rPr>
          <w:rFonts w:ascii="Arial" w:hAnsi="Arial" w:cs="Arial"/>
          <w:sz w:val="24"/>
          <w:szCs w:val="24"/>
        </w:rPr>
        <w:t>Great Britain</w:t>
      </w:r>
      <w:r w:rsidR="00C453CE" w:rsidRPr="00B6327B">
        <w:rPr>
          <w:rFonts w:ascii="Arial" w:hAnsi="Arial" w:cs="Arial"/>
          <w:sz w:val="24"/>
          <w:szCs w:val="24"/>
        </w:rPr>
        <w:t xml:space="preserve"> properties by tenure, up to </w:t>
      </w:r>
      <w:r w:rsidR="00DB47D0">
        <w:rPr>
          <w:rFonts w:ascii="Arial" w:hAnsi="Arial" w:cs="Arial"/>
          <w:sz w:val="24"/>
          <w:szCs w:val="24"/>
        </w:rPr>
        <w:t>30</w:t>
      </w:r>
      <w:r w:rsidR="00DB47D0" w:rsidRPr="00DB47D0">
        <w:rPr>
          <w:rFonts w:ascii="Arial" w:hAnsi="Arial" w:cs="Arial"/>
          <w:sz w:val="24"/>
          <w:szCs w:val="24"/>
          <w:vertAlign w:val="superscript"/>
        </w:rPr>
        <w:t>th</w:t>
      </w:r>
      <w:r w:rsidR="00DB47D0">
        <w:rPr>
          <w:rFonts w:ascii="Arial" w:hAnsi="Arial" w:cs="Arial"/>
          <w:sz w:val="24"/>
          <w:szCs w:val="24"/>
        </w:rPr>
        <w:t xml:space="preserve"> </w:t>
      </w:r>
      <w:r w:rsidR="002A30A9">
        <w:rPr>
          <w:rFonts w:ascii="Arial" w:hAnsi="Arial" w:cs="Arial"/>
          <w:sz w:val="24"/>
          <w:szCs w:val="24"/>
        </w:rPr>
        <w:t>September</w:t>
      </w:r>
      <w:r w:rsidR="002F723B">
        <w:rPr>
          <w:rFonts w:ascii="Arial" w:hAnsi="Arial" w:cs="Arial"/>
          <w:sz w:val="24"/>
          <w:szCs w:val="24"/>
        </w:rPr>
        <w:t xml:space="preserve"> 2014</w:t>
      </w:r>
      <w:bookmarkStart w:id="27" w:name="chart3_new"/>
      <w:bookmarkEnd w:id="26"/>
      <w:bookmarkEnd w:id="27"/>
    </w:p>
    <w:p w:rsidR="00DB47D0" w:rsidRDefault="00DB47D0" w:rsidP="00C453CE">
      <w:pPr>
        <w:pStyle w:val="ListParagraph"/>
        <w:ind w:left="0"/>
        <w:contextualSpacing/>
        <w:jc w:val="both"/>
        <w:rPr>
          <w:rFonts w:ascii="Arial" w:hAnsi="Arial" w:cs="Arial"/>
          <w:sz w:val="24"/>
          <w:szCs w:val="24"/>
        </w:rPr>
      </w:pPr>
    </w:p>
    <w:p w:rsidR="00054648" w:rsidRDefault="00937CE8" w:rsidP="00C453CE">
      <w:pPr>
        <w:pStyle w:val="ListParagraph"/>
        <w:ind w:left="0"/>
        <w:contextualSpacing/>
        <w:jc w:val="both"/>
        <w:rPr>
          <w:rFonts w:ascii="Arial" w:hAnsi="Arial" w:cs="Arial"/>
          <w:sz w:val="24"/>
          <w:szCs w:val="24"/>
        </w:rPr>
      </w:pPr>
      <w:r>
        <w:rPr>
          <w:rFonts w:ascii="Arial" w:hAnsi="Arial" w:cs="Arial"/>
          <w:noProof/>
          <w:sz w:val="24"/>
          <w:szCs w:val="24"/>
          <w:lang w:eastAsia="en-GB"/>
        </w:rPr>
        <w:drawing>
          <wp:inline distT="0" distB="0" distL="0" distR="0" wp14:anchorId="09CF8B0B" wp14:editId="7A15E821">
            <wp:extent cx="5991225" cy="258929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9575" cy="2592899"/>
                    </a:xfrm>
                    <a:prstGeom prst="rect">
                      <a:avLst/>
                    </a:prstGeom>
                    <a:noFill/>
                  </pic:spPr>
                </pic:pic>
              </a:graphicData>
            </a:graphic>
          </wp:inline>
        </w:drawing>
      </w:r>
    </w:p>
    <w:p w:rsidR="00C453CE" w:rsidRDefault="00C453CE" w:rsidP="00C453CE">
      <w:pPr>
        <w:pStyle w:val="ListParagraph"/>
        <w:ind w:left="0"/>
        <w:contextualSpacing/>
        <w:jc w:val="both"/>
        <w:rPr>
          <w:rFonts w:ascii="Arial" w:hAnsi="Arial" w:cs="Arial"/>
          <w:sz w:val="24"/>
          <w:szCs w:val="24"/>
        </w:rPr>
      </w:pPr>
    </w:p>
    <w:p w:rsidR="003C76A9" w:rsidRPr="00B6327B" w:rsidRDefault="003C76A9" w:rsidP="00C453CE">
      <w:pPr>
        <w:pStyle w:val="ListParagraph"/>
        <w:ind w:left="0"/>
        <w:contextualSpacing/>
        <w:jc w:val="both"/>
        <w:rPr>
          <w:rFonts w:ascii="Arial" w:hAnsi="Arial" w:cs="Arial"/>
          <w:sz w:val="24"/>
          <w:szCs w:val="24"/>
        </w:rPr>
      </w:pPr>
    </w:p>
    <w:p w:rsidR="00C453CE" w:rsidRPr="00846A59" w:rsidRDefault="00C453CE" w:rsidP="00C453CE">
      <w:pPr>
        <w:pStyle w:val="ListParagraph"/>
        <w:ind w:left="0"/>
        <w:contextualSpacing/>
        <w:jc w:val="both"/>
        <w:rPr>
          <w:rFonts w:ascii="Arial" w:hAnsi="Arial" w:cs="Arial"/>
          <w:sz w:val="24"/>
          <w:szCs w:val="24"/>
          <w:u w:val="single"/>
        </w:rPr>
      </w:pPr>
      <w:r w:rsidRPr="00846A59">
        <w:rPr>
          <w:rFonts w:ascii="Arial" w:hAnsi="Arial" w:cs="Arial"/>
          <w:sz w:val="24"/>
          <w:szCs w:val="24"/>
          <w:u w:val="single"/>
        </w:rPr>
        <w:t xml:space="preserve">On or off the Mains Gas Grid (Table </w:t>
      </w:r>
      <w:r w:rsidR="000C5549" w:rsidRPr="00846A59">
        <w:rPr>
          <w:rFonts w:ascii="Arial" w:hAnsi="Arial" w:cs="Arial"/>
          <w:sz w:val="24"/>
          <w:szCs w:val="24"/>
          <w:u w:val="single"/>
        </w:rPr>
        <w:t>1.</w:t>
      </w:r>
      <w:r w:rsidR="00167BD2" w:rsidRPr="00846A59">
        <w:rPr>
          <w:rFonts w:ascii="Arial" w:hAnsi="Arial" w:cs="Arial"/>
          <w:sz w:val="24"/>
          <w:szCs w:val="24"/>
          <w:u w:val="single"/>
        </w:rPr>
        <w:t>4</w:t>
      </w:r>
      <w:r w:rsidRPr="00846A59">
        <w:rPr>
          <w:rFonts w:ascii="Arial" w:hAnsi="Arial" w:cs="Arial"/>
          <w:sz w:val="24"/>
          <w:szCs w:val="24"/>
          <w:u w:val="single"/>
        </w:rPr>
        <w:t>)</w:t>
      </w:r>
    </w:p>
    <w:p w:rsidR="00C453CE" w:rsidRPr="00846A59" w:rsidRDefault="00C453CE" w:rsidP="00C453CE">
      <w:pPr>
        <w:pStyle w:val="ListParagraph"/>
        <w:ind w:left="0"/>
        <w:contextualSpacing/>
        <w:jc w:val="both"/>
        <w:rPr>
          <w:rFonts w:ascii="Arial" w:hAnsi="Arial" w:cs="Arial"/>
          <w:sz w:val="24"/>
          <w:szCs w:val="24"/>
        </w:rPr>
      </w:pPr>
    </w:p>
    <w:p w:rsidR="00C453CE" w:rsidRPr="00254D10" w:rsidRDefault="0029152C" w:rsidP="00C453CE">
      <w:pPr>
        <w:pStyle w:val="ListParagraph"/>
        <w:ind w:left="0"/>
        <w:contextualSpacing/>
        <w:jc w:val="both"/>
        <w:rPr>
          <w:rFonts w:ascii="Arial" w:hAnsi="Arial" w:cs="Arial"/>
          <w:sz w:val="24"/>
          <w:szCs w:val="24"/>
        </w:rPr>
      </w:pPr>
      <w:r w:rsidRPr="00846A59">
        <w:rPr>
          <w:rFonts w:ascii="Arial" w:hAnsi="Arial" w:cs="Arial"/>
          <w:sz w:val="24"/>
          <w:szCs w:val="24"/>
        </w:rPr>
        <w:t>In 2012</w:t>
      </w:r>
      <w:r w:rsidR="00D25BE6" w:rsidRPr="00846A59">
        <w:rPr>
          <w:rFonts w:ascii="Arial" w:hAnsi="Arial" w:cs="Arial"/>
          <w:sz w:val="24"/>
          <w:szCs w:val="24"/>
        </w:rPr>
        <w:t>,</w:t>
      </w:r>
      <w:r w:rsidRPr="00846A59">
        <w:rPr>
          <w:rFonts w:ascii="Arial" w:hAnsi="Arial" w:cs="Arial"/>
          <w:sz w:val="24"/>
          <w:szCs w:val="24"/>
        </w:rPr>
        <w:t xml:space="preserve"> it was estimated 2.8</w:t>
      </w:r>
      <w:r w:rsidR="00C453CE" w:rsidRPr="00846A59">
        <w:rPr>
          <w:rFonts w:ascii="Arial" w:hAnsi="Arial" w:cs="Arial"/>
          <w:sz w:val="24"/>
          <w:szCs w:val="24"/>
        </w:rPr>
        <w:t xml:space="preserve"> million households do not have mains-gas supply in Great Britain</w:t>
      </w:r>
      <w:r w:rsidR="00C453CE" w:rsidRPr="00846A59">
        <w:rPr>
          <w:rStyle w:val="FootnoteReference"/>
          <w:rFonts w:ascii="Arial" w:hAnsi="Arial" w:cs="Arial"/>
          <w:sz w:val="24"/>
          <w:szCs w:val="24"/>
        </w:rPr>
        <w:footnoteReference w:id="9"/>
      </w:r>
      <w:r w:rsidRPr="00846A59">
        <w:rPr>
          <w:rFonts w:ascii="Arial" w:hAnsi="Arial" w:cs="Arial"/>
          <w:sz w:val="24"/>
          <w:szCs w:val="24"/>
        </w:rPr>
        <w:t xml:space="preserve">. This is around 11 </w:t>
      </w:r>
      <w:r w:rsidR="00C453CE" w:rsidRPr="00846A59">
        <w:rPr>
          <w:rFonts w:ascii="Arial" w:hAnsi="Arial" w:cs="Arial"/>
          <w:sz w:val="24"/>
          <w:szCs w:val="24"/>
        </w:rPr>
        <w:t>per cent of all properties in Great Britai</w:t>
      </w:r>
      <w:r w:rsidR="00D47324" w:rsidRPr="00846A59">
        <w:rPr>
          <w:rFonts w:ascii="Arial" w:hAnsi="Arial" w:cs="Arial"/>
          <w:sz w:val="24"/>
          <w:szCs w:val="24"/>
        </w:rPr>
        <w:t xml:space="preserve">n, which is </w:t>
      </w:r>
      <w:r w:rsidR="00C702BD" w:rsidRPr="00846A59">
        <w:rPr>
          <w:rFonts w:ascii="Arial" w:hAnsi="Arial" w:cs="Arial"/>
          <w:sz w:val="24"/>
          <w:szCs w:val="24"/>
        </w:rPr>
        <w:t>similar</w:t>
      </w:r>
      <w:r w:rsidRPr="00846A59">
        <w:rPr>
          <w:rFonts w:ascii="Arial" w:hAnsi="Arial" w:cs="Arial"/>
          <w:sz w:val="24"/>
          <w:szCs w:val="24"/>
        </w:rPr>
        <w:t xml:space="preserve"> (albeit lower)</w:t>
      </w:r>
      <w:r w:rsidR="00C702BD" w:rsidRPr="00846A59">
        <w:rPr>
          <w:rFonts w:ascii="Arial" w:hAnsi="Arial" w:cs="Arial"/>
          <w:sz w:val="24"/>
          <w:szCs w:val="24"/>
        </w:rPr>
        <w:t xml:space="preserve"> to the</w:t>
      </w:r>
      <w:r w:rsidR="00846A59" w:rsidRPr="00846A59">
        <w:rPr>
          <w:rFonts w:ascii="Arial" w:hAnsi="Arial" w:cs="Arial"/>
          <w:sz w:val="24"/>
          <w:szCs w:val="24"/>
        </w:rPr>
        <w:t xml:space="preserve"> 15</w:t>
      </w:r>
      <w:r w:rsidR="00C702BD" w:rsidRPr="00846A59">
        <w:rPr>
          <w:rFonts w:ascii="Arial" w:hAnsi="Arial" w:cs="Arial"/>
          <w:sz w:val="24"/>
          <w:szCs w:val="24"/>
        </w:rPr>
        <w:t xml:space="preserve"> per </w:t>
      </w:r>
      <w:r w:rsidR="00C702BD" w:rsidRPr="00254D10">
        <w:rPr>
          <w:rFonts w:ascii="Arial" w:hAnsi="Arial" w:cs="Arial"/>
          <w:sz w:val="24"/>
          <w:szCs w:val="24"/>
        </w:rPr>
        <w:t>cent</w:t>
      </w:r>
      <w:r w:rsidR="00D47324" w:rsidRPr="00254D10">
        <w:rPr>
          <w:rFonts w:ascii="Arial" w:hAnsi="Arial" w:cs="Arial"/>
          <w:sz w:val="24"/>
          <w:szCs w:val="24"/>
        </w:rPr>
        <w:t xml:space="preserve"> </w:t>
      </w:r>
      <w:r w:rsidR="00937CE8">
        <w:rPr>
          <w:rFonts w:ascii="Arial" w:hAnsi="Arial" w:cs="Arial"/>
          <w:sz w:val="24"/>
          <w:szCs w:val="24"/>
        </w:rPr>
        <w:t>of properties which had a GD A</w:t>
      </w:r>
      <w:r w:rsidR="00C453CE" w:rsidRPr="00254D10">
        <w:rPr>
          <w:rFonts w:ascii="Arial" w:hAnsi="Arial" w:cs="Arial"/>
          <w:sz w:val="24"/>
          <w:szCs w:val="24"/>
        </w:rPr>
        <w:t>ssessment and were off the mains-gas grid.</w:t>
      </w:r>
    </w:p>
    <w:p w:rsidR="00C453CE" w:rsidRPr="00254D10" w:rsidRDefault="00C453CE" w:rsidP="00C453CE">
      <w:pPr>
        <w:pStyle w:val="ListParagraph"/>
        <w:ind w:left="0"/>
        <w:contextualSpacing/>
        <w:jc w:val="both"/>
        <w:rPr>
          <w:rFonts w:ascii="Arial" w:hAnsi="Arial" w:cs="Arial"/>
          <w:sz w:val="24"/>
          <w:szCs w:val="24"/>
        </w:rPr>
      </w:pPr>
      <w:r w:rsidRPr="00254D10">
        <w:rPr>
          <w:rFonts w:ascii="Arial" w:hAnsi="Arial" w:cs="Arial"/>
          <w:sz w:val="24"/>
          <w:szCs w:val="24"/>
        </w:rPr>
        <w:t xml:space="preserve"> </w:t>
      </w:r>
    </w:p>
    <w:p w:rsidR="00C453CE" w:rsidRPr="00254D10" w:rsidRDefault="00C453CE" w:rsidP="00C453CE">
      <w:pPr>
        <w:pStyle w:val="ListParagraph"/>
        <w:spacing w:after="200"/>
        <w:ind w:left="0"/>
        <w:contextualSpacing/>
        <w:jc w:val="both"/>
        <w:rPr>
          <w:rFonts w:ascii="Arial" w:hAnsi="Arial" w:cs="Arial"/>
          <w:sz w:val="24"/>
          <w:szCs w:val="24"/>
          <w:u w:val="single"/>
        </w:rPr>
      </w:pPr>
      <w:r w:rsidRPr="00254D10">
        <w:rPr>
          <w:rFonts w:ascii="Arial" w:hAnsi="Arial" w:cs="Arial"/>
          <w:sz w:val="24"/>
          <w:szCs w:val="24"/>
          <w:u w:val="single"/>
        </w:rPr>
        <w:t xml:space="preserve">Recommended measures (Tables </w:t>
      </w:r>
      <w:r w:rsidR="000C5549" w:rsidRPr="00254D10">
        <w:rPr>
          <w:rFonts w:ascii="Arial" w:hAnsi="Arial" w:cs="Arial"/>
          <w:sz w:val="24"/>
          <w:szCs w:val="24"/>
          <w:u w:val="single"/>
        </w:rPr>
        <w:t>1.</w:t>
      </w:r>
      <w:r w:rsidR="00167BD2" w:rsidRPr="00254D10">
        <w:rPr>
          <w:rFonts w:ascii="Arial" w:hAnsi="Arial" w:cs="Arial"/>
          <w:sz w:val="24"/>
          <w:szCs w:val="24"/>
          <w:u w:val="single"/>
        </w:rPr>
        <w:t>5</w:t>
      </w:r>
      <w:r w:rsidRPr="00254D10">
        <w:rPr>
          <w:rFonts w:ascii="Arial" w:hAnsi="Arial" w:cs="Arial"/>
          <w:sz w:val="24"/>
          <w:szCs w:val="24"/>
          <w:u w:val="single"/>
        </w:rPr>
        <w:t xml:space="preserve">, </w:t>
      </w:r>
      <w:r w:rsidR="000C5549" w:rsidRPr="00254D10">
        <w:rPr>
          <w:rFonts w:ascii="Arial" w:hAnsi="Arial" w:cs="Arial"/>
          <w:sz w:val="24"/>
          <w:szCs w:val="24"/>
          <w:u w:val="single"/>
        </w:rPr>
        <w:t>1.</w:t>
      </w:r>
      <w:r w:rsidR="00167BD2" w:rsidRPr="00254D10">
        <w:rPr>
          <w:rFonts w:ascii="Arial" w:hAnsi="Arial" w:cs="Arial"/>
          <w:sz w:val="24"/>
          <w:szCs w:val="24"/>
          <w:u w:val="single"/>
        </w:rPr>
        <w:t>5</w:t>
      </w:r>
      <w:r w:rsidRPr="00254D10">
        <w:rPr>
          <w:rFonts w:ascii="Arial" w:hAnsi="Arial" w:cs="Arial"/>
          <w:sz w:val="24"/>
          <w:szCs w:val="24"/>
          <w:u w:val="single"/>
        </w:rPr>
        <w:t xml:space="preserve">a, </w:t>
      </w:r>
      <w:r w:rsidR="000C5549" w:rsidRPr="00254D10">
        <w:rPr>
          <w:rFonts w:ascii="Arial" w:hAnsi="Arial" w:cs="Arial"/>
          <w:sz w:val="24"/>
          <w:szCs w:val="24"/>
          <w:u w:val="single"/>
        </w:rPr>
        <w:t>1.</w:t>
      </w:r>
      <w:r w:rsidR="00167BD2" w:rsidRPr="00254D10">
        <w:rPr>
          <w:rFonts w:ascii="Arial" w:hAnsi="Arial" w:cs="Arial"/>
          <w:sz w:val="24"/>
          <w:szCs w:val="24"/>
          <w:u w:val="single"/>
        </w:rPr>
        <w:t>5</w:t>
      </w:r>
      <w:r w:rsidRPr="00254D10">
        <w:rPr>
          <w:rFonts w:ascii="Arial" w:hAnsi="Arial" w:cs="Arial"/>
          <w:sz w:val="24"/>
          <w:szCs w:val="24"/>
          <w:u w:val="single"/>
        </w:rPr>
        <w:t>b)</w:t>
      </w:r>
    </w:p>
    <w:p w:rsidR="00C453CE" w:rsidRPr="00254D10" w:rsidRDefault="00C453CE" w:rsidP="00C453CE">
      <w:pPr>
        <w:pStyle w:val="ListParagraph"/>
        <w:spacing w:after="200"/>
        <w:ind w:left="0"/>
        <w:contextualSpacing/>
        <w:jc w:val="both"/>
        <w:rPr>
          <w:rFonts w:ascii="Arial" w:hAnsi="Arial" w:cs="Arial"/>
          <w:sz w:val="24"/>
          <w:szCs w:val="24"/>
        </w:rPr>
      </w:pPr>
    </w:p>
    <w:p w:rsidR="00C453CE" w:rsidRPr="00254D10" w:rsidRDefault="00C453CE" w:rsidP="00C453CE">
      <w:pPr>
        <w:pStyle w:val="ListParagraph"/>
        <w:spacing w:after="200"/>
        <w:ind w:left="0"/>
        <w:contextualSpacing/>
        <w:jc w:val="both"/>
        <w:rPr>
          <w:rFonts w:ascii="Arial" w:hAnsi="Arial" w:cs="Arial"/>
          <w:sz w:val="24"/>
          <w:szCs w:val="24"/>
        </w:rPr>
      </w:pPr>
      <w:r w:rsidRPr="00254D10">
        <w:rPr>
          <w:rFonts w:ascii="Arial" w:hAnsi="Arial" w:cs="Arial"/>
          <w:sz w:val="24"/>
          <w:szCs w:val="24"/>
        </w:rPr>
        <w:t xml:space="preserve">There were </w:t>
      </w:r>
      <w:r w:rsidR="00846A59" w:rsidRPr="00254D10">
        <w:rPr>
          <w:rFonts w:ascii="Arial" w:hAnsi="Arial" w:cs="Arial"/>
          <w:sz w:val="24"/>
          <w:szCs w:val="24"/>
        </w:rPr>
        <w:t>1,107</w:t>
      </w:r>
      <w:r w:rsidR="00DB47D0" w:rsidRPr="00254D10">
        <w:rPr>
          <w:rFonts w:ascii="Arial" w:hAnsi="Arial" w:cs="Arial"/>
          <w:sz w:val="24"/>
          <w:szCs w:val="24"/>
        </w:rPr>
        <w:t>,</w:t>
      </w:r>
      <w:r w:rsidR="00846A59" w:rsidRPr="00254D10">
        <w:rPr>
          <w:rFonts w:ascii="Arial" w:hAnsi="Arial" w:cs="Arial"/>
          <w:sz w:val="24"/>
          <w:szCs w:val="24"/>
        </w:rPr>
        <w:t>559</w:t>
      </w:r>
      <w:r w:rsidRPr="00254D10">
        <w:rPr>
          <w:rFonts w:ascii="Arial" w:hAnsi="Arial" w:cs="Arial"/>
          <w:sz w:val="24"/>
          <w:szCs w:val="24"/>
        </w:rPr>
        <w:t xml:space="preserve"> improvements recommended in Green Deal Advic</w:t>
      </w:r>
      <w:r w:rsidR="00C702BD" w:rsidRPr="00254D10">
        <w:rPr>
          <w:rFonts w:ascii="Arial" w:hAnsi="Arial" w:cs="Arial"/>
          <w:sz w:val="24"/>
          <w:szCs w:val="24"/>
        </w:rPr>
        <w:t xml:space="preserve">e Reports, </w:t>
      </w:r>
      <w:r w:rsidR="00DB47D0" w:rsidRPr="00254D10">
        <w:rPr>
          <w:rFonts w:ascii="Arial" w:hAnsi="Arial" w:cs="Arial"/>
          <w:sz w:val="24"/>
          <w:szCs w:val="24"/>
        </w:rPr>
        <w:t xml:space="preserve">so </w:t>
      </w:r>
      <w:r w:rsidR="00C702BD" w:rsidRPr="00254D10">
        <w:rPr>
          <w:rFonts w:ascii="Arial" w:hAnsi="Arial" w:cs="Arial"/>
          <w:sz w:val="24"/>
          <w:szCs w:val="24"/>
        </w:rPr>
        <w:t xml:space="preserve">on average </w:t>
      </w:r>
      <w:r w:rsidR="00DB47D0" w:rsidRPr="00254D10">
        <w:rPr>
          <w:rFonts w:ascii="Arial" w:hAnsi="Arial" w:cs="Arial"/>
          <w:sz w:val="24"/>
          <w:szCs w:val="24"/>
        </w:rPr>
        <w:t xml:space="preserve">there were </w:t>
      </w:r>
      <w:r w:rsidR="00C702BD" w:rsidRPr="00254D10">
        <w:rPr>
          <w:rFonts w:ascii="Arial" w:hAnsi="Arial" w:cs="Arial"/>
          <w:sz w:val="24"/>
          <w:szCs w:val="24"/>
        </w:rPr>
        <w:t xml:space="preserve">around </w:t>
      </w:r>
      <w:r w:rsidR="00DB47D0" w:rsidRPr="00254D10">
        <w:rPr>
          <w:rFonts w:ascii="Arial" w:hAnsi="Arial" w:cs="Arial"/>
          <w:sz w:val="24"/>
          <w:szCs w:val="24"/>
        </w:rPr>
        <w:t>three</w:t>
      </w:r>
      <w:r w:rsidRPr="00254D10">
        <w:rPr>
          <w:rFonts w:ascii="Arial" w:hAnsi="Arial" w:cs="Arial"/>
          <w:sz w:val="24"/>
          <w:szCs w:val="24"/>
        </w:rPr>
        <w:t xml:space="preserve"> recommended measures per GD Assessment. I</w:t>
      </w:r>
      <w:r w:rsidR="00892CB2" w:rsidRPr="00254D10">
        <w:rPr>
          <w:rFonts w:ascii="Arial" w:hAnsi="Arial" w:cs="Arial"/>
          <w:sz w:val="24"/>
          <w:szCs w:val="24"/>
        </w:rPr>
        <w:t>n 3</w:t>
      </w:r>
      <w:r w:rsidR="00846A59" w:rsidRPr="00254D10">
        <w:rPr>
          <w:rFonts w:ascii="Arial" w:hAnsi="Arial" w:cs="Arial"/>
          <w:sz w:val="24"/>
          <w:szCs w:val="24"/>
        </w:rPr>
        <w:t>6</w:t>
      </w:r>
      <w:r w:rsidR="00892CB2" w:rsidRPr="00254D10">
        <w:rPr>
          <w:rFonts w:ascii="Arial" w:hAnsi="Arial" w:cs="Arial"/>
          <w:sz w:val="24"/>
          <w:szCs w:val="24"/>
        </w:rPr>
        <w:t xml:space="preserve"> per cent of Assessments (</w:t>
      </w:r>
      <w:r w:rsidR="00846A59" w:rsidRPr="00254D10">
        <w:rPr>
          <w:rFonts w:ascii="Arial" w:hAnsi="Arial" w:cs="Arial"/>
          <w:sz w:val="24"/>
          <w:szCs w:val="24"/>
        </w:rPr>
        <w:t>127</w:t>
      </w:r>
      <w:r w:rsidR="00892CB2" w:rsidRPr="00254D10">
        <w:rPr>
          <w:rFonts w:ascii="Arial" w:hAnsi="Arial" w:cs="Arial"/>
          <w:sz w:val="24"/>
          <w:szCs w:val="24"/>
        </w:rPr>
        <w:t>,</w:t>
      </w:r>
      <w:r w:rsidR="00846A59" w:rsidRPr="00254D10">
        <w:rPr>
          <w:rFonts w:ascii="Arial" w:hAnsi="Arial" w:cs="Arial"/>
          <w:sz w:val="24"/>
          <w:szCs w:val="24"/>
        </w:rPr>
        <w:t>414</w:t>
      </w:r>
      <w:r w:rsidR="009A1803" w:rsidRPr="00254D10">
        <w:rPr>
          <w:rFonts w:ascii="Arial" w:hAnsi="Arial" w:cs="Arial"/>
          <w:sz w:val="24"/>
          <w:szCs w:val="24"/>
        </w:rPr>
        <w:t xml:space="preserve">) </w:t>
      </w:r>
      <w:r w:rsidR="00631881" w:rsidRPr="00254D10">
        <w:rPr>
          <w:rFonts w:ascii="Arial" w:hAnsi="Arial" w:cs="Arial"/>
          <w:sz w:val="24"/>
          <w:szCs w:val="24"/>
        </w:rPr>
        <w:t xml:space="preserve">only </w:t>
      </w:r>
      <w:r w:rsidR="009A1803" w:rsidRPr="00254D10">
        <w:rPr>
          <w:rFonts w:ascii="Arial" w:hAnsi="Arial" w:cs="Arial"/>
          <w:sz w:val="24"/>
          <w:szCs w:val="24"/>
        </w:rPr>
        <w:t xml:space="preserve">one measure was recommended </w:t>
      </w:r>
      <w:r w:rsidR="00167BD2" w:rsidRPr="00254D10">
        <w:rPr>
          <w:rFonts w:ascii="Arial" w:hAnsi="Arial" w:cs="Arial"/>
          <w:sz w:val="24"/>
          <w:szCs w:val="24"/>
        </w:rPr>
        <w:t>(Table 1.5</w:t>
      </w:r>
      <w:r w:rsidRPr="00254D10">
        <w:rPr>
          <w:rFonts w:ascii="Arial" w:hAnsi="Arial" w:cs="Arial"/>
          <w:sz w:val="24"/>
          <w:szCs w:val="24"/>
        </w:rPr>
        <w:t>b).</w:t>
      </w:r>
    </w:p>
    <w:p w:rsidR="00C453CE" w:rsidRPr="00254D10" w:rsidRDefault="00C453CE" w:rsidP="00C453CE">
      <w:pPr>
        <w:pStyle w:val="ListParagraph"/>
        <w:spacing w:after="200"/>
        <w:ind w:left="0"/>
        <w:contextualSpacing/>
        <w:jc w:val="both"/>
        <w:rPr>
          <w:rFonts w:ascii="Arial" w:hAnsi="Arial" w:cs="Arial"/>
          <w:sz w:val="24"/>
          <w:szCs w:val="24"/>
        </w:rPr>
      </w:pPr>
    </w:p>
    <w:p w:rsidR="00C453CE" w:rsidRPr="00254D10" w:rsidRDefault="00C453CE" w:rsidP="00C453CE">
      <w:pPr>
        <w:pStyle w:val="ListParagraph"/>
        <w:spacing w:after="200"/>
        <w:ind w:left="0"/>
        <w:contextualSpacing/>
        <w:jc w:val="both"/>
        <w:rPr>
          <w:rFonts w:ascii="Arial" w:hAnsi="Arial" w:cs="Arial"/>
          <w:sz w:val="24"/>
          <w:szCs w:val="24"/>
        </w:rPr>
      </w:pPr>
      <w:r w:rsidRPr="00254D10">
        <w:rPr>
          <w:rFonts w:ascii="Arial" w:hAnsi="Arial" w:cs="Arial"/>
          <w:sz w:val="24"/>
          <w:szCs w:val="24"/>
        </w:rPr>
        <w:t xml:space="preserve">The most common </w:t>
      </w:r>
      <w:r w:rsidR="004322AD">
        <w:rPr>
          <w:rFonts w:ascii="Arial" w:hAnsi="Arial" w:cs="Arial"/>
          <w:sz w:val="24"/>
          <w:szCs w:val="24"/>
        </w:rPr>
        <w:t xml:space="preserve">single </w:t>
      </w:r>
      <w:r w:rsidRPr="00254D10">
        <w:rPr>
          <w:rFonts w:ascii="Arial" w:hAnsi="Arial" w:cs="Arial"/>
          <w:sz w:val="24"/>
          <w:szCs w:val="24"/>
        </w:rPr>
        <w:t xml:space="preserve">measure recommended was to install loft insulation. This accounted for 14 per cent of all </w:t>
      </w:r>
      <w:r w:rsidR="00B13BB7" w:rsidRPr="00254D10">
        <w:rPr>
          <w:rFonts w:ascii="Arial" w:hAnsi="Arial" w:cs="Arial"/>
          <w:sz w:val="24"/>
          <w:szCs w:val="24"/>
        </w:rPr>
        <w:t xml:space="preserve">recorded </w:t>
      </w:r>
      <w:r w:rsidR="00393E75" w:rsidRPr="00254D10">
        <w:rPr>
          <w:rFonts w:ascii="Arial" w:hAnsi="Arial" w:cs="Arial"/>
          <w:sz w:val="24"/>
          <w:szCs w:val="24"/>
        </w:rPr>
        <w:t xml:space="preserve">measures </w:t>
      </w:r>
      <w:r w:rsidR="00631881" w:rsidRPr="00254D10">
        <w:rPr>
          <w:rFonts w:ascii="Arial" w:hAnsi="Arial" w:cs="Arial"/>
          <w:sz w:val="24"/>
          <w:szCs w:val="24"/>
        </w:rPr>
        <w:t>and was</w:t>
      </w:r>
      <w:r w:rsidR="00393E75" w:rsidRPr="00254D10">
        <w:rPr>
          <w:rFonts w:ascii="Arial" w:hAnsi="Arial" w:cs="Arial"/>
          <w:sz w:val="24"/>
          <w:szCs w:val="24"/>
        </w:rPr>
        <w:t xml:space="preserve"> recommended in</w:t>
      </w:r>
      <w:r w:rsidRPr="00254D10">
        <w:rPr>
          <w:rFonts w:ascii="Arial" w:hAnsi="Arial" w:cs="Arial"/>
          <w:sz w:val="24"/>
          <w:szCs w:val="24"/>
        </w:rPr>
        <w:t xml:space="preserve"> </w:t>
      </w:r>
      <w:r w:rsidR="00DB47D0" w:rsidRPr="00254D10">
        <w:rPr>
          <w:rFonts w:ascii="Arial" w:hAnsi="Arial" w:cs="Arial"/>
          <w:sz w:val="24"/>
          <w:szCs w:val="24"/>
        </w:rPr>
        <w:t>around 4</w:t>
      </w:r>
      <w:r w:rsidR="00254D10" w:rsidRPr="00254D10">
        <w:rPr>
          <w:rFonts w:ascii="Arial" w:hAnsi="Arial" w:cs="Arial"/>
          <w:sz w:val="24"/>
          <w:szCs w:val="24"/>
        </w:rPr>
        <w:t>5</w:t>
      </w:r>
      <w:r w:rsidR="00DB47D0" w:rsidRPr="00254D10">
        <w:rPr>
          <w:rFonts w:ascii="Arial" w:hAnsi="Arial" w:cs="Arial"/>
          <w:sz w:val="24"/>
          <w:szCs w:val="24"/>
        </w:rPr>
        <w:t xml:space="preserve"> per cent</w:t>
      </w:r>
      <w:r w:rsidR="000C5549" w:rsidRPr="00254D10">
        <w:rPr>
          <w:rFonts w:ascii="Arial" w:hAnsi="Arial" w:cs="Arial"/>
          <w:sz w:val="24"/>
          <w:szCs w:val="24"/>
        </w:rPr>
        <w:t xml:space="preserve"> </w:t>
      </w:r>
      <w:r w:rsidR="001E100F">
        <w:rPr>
          <w:rFonts w:ascii="Arial" w:hAnsi="Arial" w:cs="Arial"/>
          <w:sz w:val="24"/>
          <w:szCs w:val="24"/>
        </w:rPr>
        <w:t>of all GD A</w:t>
      </w:r>
      <w:r w:rsidR="00167BD2" w:rsidRPr="00254D10">
        <w:rPr>
          <w:rFonts w:ascii="Arial" w:hAnsi="Arial" w:cs="Arial"/>
          <w:sz w:val="24"/>
          <w:szCs w:val="24"/>
        </w:rPr>
        <w:t>ssessments (Table 1.5</w:t>
      </w:r>
      <w:r w:rsidRPr="00254D10">
        <w:rPr>
          <w:rFonts w:ascii="Arial" w:hAnsi="Arial" w:cs="Arial"/>
          <w:sz w:val="24"/>
          <w:szCs w:val="24"/>
        </w:rPr>
        <w:t>a).</w:t>
      </w:r>
    </w:p>
    <w:p w:rsidR="00054D4E" w:rsidRPr="00254D10" w:rsidRDefault="00C453CE" w:rsidP="00054D4E">
      <w:pPr>
        <w:pStyle w:val="Heading3"/>
        <w:spacing w:before="0" w:after="0"/>
        <w:rPr>
          <w:b w:val="0"/>
          <w:u w:val="single"/>
        </w:rPr>
      </w:pPr>
      <w:r w:rsidRPr="00254D10">
        <w:rPr>
          <w:b w:val="0"/>
          <w:u w:val="single"/>
        </w:rPr>
        <w:t xml:space="preserve">Geographic location (Tables </w:t>
      </w:r>
      <w:r w:rsidR="000C5549" w:rsidRPr="00254D10">
        <w:rPr>
          <w:b w:val="0"/>
          <w:u w:val="single"/>
        </w:rPr>
        <w:t>1.</w:t>
      </w:r>
      <w:r w:rsidR="00167BD2" w:rsidRPr="00254D10">
        <w:rPr>
          <w:b w:val="0"/>
          <w:u w:val="single"/>
        </w:rPr>
        <w:t>6</w:t>
      </w:r>
      <w:r w:rsidR="00054D4E" w:rsidRPr="00254D10">
        <w:rPr>
          <w:b w:val="0"/>
          <w:u w:val="single"/>
        </w:rPr>
        <w:t xml:space="preserve">, </w:t>
      </w:r>
      <w:r w:rsidR="000C5549" w:rsidRPr="00254D10">
        <w:rPr>
          <w:b w:val="0"/>
          <w:u w:val="single"/>
        </w:rPr>
        <w:t>1.</w:t>
      </w:r>
      <w:r w:rsidR="00167BD2" w:rsidRPr="00254D10">
        <w:rPr>
          <w:b w:val="0"/>
          <w:u w:val="single"/>
        </w:rPr>
        <w:t>6</w:t>
      </w:r>
      <w:r w:rsidR="00054D4E" w:rsidRPr="00254D10">
        <w:rPr>
          <w:b w:val="0"/>
          <w:u w:val="single"/>
        </w:rPr>
        <w:t xml:space="preserve">a, </w:t>
      </w:r>
      <w:r w:rsidR="000C5549" w:rsidRPr="00254D10">
        <w:rPr>
          <w:b w:val="0"/>
          <w:u w:val="single"/>
        </w:rPr>
        <w:t>1.</w:t>
      </w:r>
      <w:r w:rsidR="00167BD2" w:rsidRPr="00254D10">
        <w:rPr>
          <w:b w:val="0"/>
          <w:u w:val="single"/>
        </w:rPr>
        <w:t>6b</w:t>
      </w:r>
      <w:r w:rsidR="00054D4E" w:rsidRPr="00254D10">
        <w:rPr>
          <w:b w:val="0"/>
          <w:u w:val="single"/>
        </w:rPr>
        <w:t>, Map 1</w:t>
      </w:r>
      <w:r w:rsidR="00170DD3" w:rsidRPr="00254D10">
        <w:rPr>
          <w:b w:val="0"/>
          <w:u w:val="single"/>
        </w:rPr>
        <w:t>.1</w:t>
      </w:r>
      <w:r w:rsidR="00054D4E" w:rsidRPr="00254D10">
        <w:rPr>
          <w:b w:val="0"/>
          <w:u w:val="single"/>
        </w:rPr>
        <w:t>)</w:t>
      </w:r>
    </w:p>
    <w:p w:rsidR="00054D4E" w:rsidRPr="00254D10" w:rsidRDefault="00054D4E" w:rsidP="00054D4E">
      <w:pPr>
        <w:spacing w:before="0" w:after="0"/>
      </w:pPr>
    </w:p>
    <w:p w:rsidR="00054D4E" w:rsidRPr="00254D10" w:rsidRDefault="00054D4E" w:rsidP="00054D4E">
      <w:pPr>
        <w:spacing w:before="0" w:after="0" w:line="270" w:lineRule="atLeast"/>
        <w:jc w:val="both"/>
        <w:rPr>
          <w:szCs w:val="24"/>
        </w:rPr>
      </w:pPr>
      <w:r w:rsidRPr="00254D10">
        <w:rPr>
          <w:szCs w:val="24"/>
        </w:rPr>
        <w:t>GD Assessments have been taking place in properties throughout Great Britain</w:t>
      </w:r>
      <w:r w:rsidR="00B95825" w:rsidRPr="00254D10">
        <w:rPr>
          <w:szCs w:val="24"/>
        </w:rPr>
        <w:t xml:space="preserve"> with </w:t>
      </w:r>
      <w:r w:rsidR="00254D10" w:rsidRPr="00254D10">
        <w:rPr>
          <w:szCs w:val="24"/>
        </w:rPr>
        <w:t>356</w:t>
      </w:r>
      <w:r w:rsidR="00892CB2" w:rsidRPr="00254D10">
        <w:rPr>
          <w:szCs w:val="24"/>
        </w:rPr>
        <w:t>,</w:t>
      </w:r>
      <w:r w:rsidR="00254D10" w:rsidRPr="00254D10">
        <w:rPr>
          <w:szCs w:val="24"/>
        </w:rPr>
        <w:t>514</w:t>
      </w:r>
      <w:r w:rsidRPr="00254D10">
        <w:rPr>
          <w:szCs w:val="24"/>
        </w:rPr>
        <w:t xml:space="preserve"> GD Assessments lodged in total</w:t>
      </w:r>
      <w:r w:rsidR="00B95825" w:rsidRPr="00254D10">
        <w:rPr>
          <w:szCs w:val="24"/>
        </w:rPr>
        <w:t xml:space="preserve"> up to </w:t>
      </w:r>
      <w:r w:rsidR="00613666" w:rsidRPr="00254D10">
        <w:rPr>
          <w:szCs w:val="24"/>
        </w:rPr>
        <w:t>30</w:t>
      </w:r>
      <w:r w:rsidR="00613666" w:rsidRPr="00254D10">
        <w:rPr>
          <w:szCs w:val="24"/>
          <w:vertAlign w:val="superscript"/>
        </w:rPr>
        <w:t>th</w:t>
      </w:r>
      <w:r w:rsidR="00613666" w:rsidRPr="00254D10">
        <w:rPr>
          <w:szCs w:val="24"/>
        </w:rPr>
        <w:t xml:space="preserve"> </w:t>
      </w:r>
      <w:r w:rsidR="00FA5386" w:rsidRPr="00254D10">
        <w:rPr>
          <w:szCs w:val="24"/>
        </w:rPr>
        <w:t>September</w:t>
      </w:r>
      <w:r w:rsidR="002035D4" w:rsidRPr="00254D10">
        <w:rPr>
          <w:szCs w:val="24"/>
        </w:rPr>
        <w:t xml:space="preserve"> 2014</w:t>
      </w:r>
      <w:r w:rsidR="00AB4C54" w:rsidRPr="00254D10">
        <w:rPr>
          <w:szCs w:val="24"/>
        </w:rPr>
        <w:t xml:space="preserve"> </w:t>
      </w:r>
      <w:r w:rsidR="00B95825" w:rsidRPr="00254D10">
        <w:rPr>
          <w:szCs w:val="24"/>
        </w:rPr>
        <w:t xml:space="preserve">(see </w:t>
      </w:r>
      <w:r w:rsidRPr="00254D10">
        <w:rPr>
          <w:szCs w:val="24"/>
        </w:rPr>
        <w:t xml:space="preserve">Table </w:t>
      </w:r>
      <w:r w:rsidR="000F3D99" w:rsidRPr="00254D10">
        <w:rPr>
          <w:szCs w:val="24"/>
        </w:rPr>
        <w:t>1.</w:t>
      </w:r>
      <w:r w:rsidR="00167BD2" w:rsidRPr="00254D10">
        <w:rPr>
          <w:szCs w:val="24"/>
        </w:rPr>
        <w:t>6</w:t>
      </w:r>
      <w:r w:rsidRPr="00254D10">
        <w:rPr>
          <w:szCs w:val="24"/>
        </w:rPr>
        <w:t xml:space="preserve"> </w:t>
      </w:r>
      <w:r w:rsidR="00B95825" w:rsidRPr="00254D10">
        <w:rPr>
          <w:szCs w:val="24"/>
        </w:rPr>
        <w:t>for the</w:t>
      </w:r>
      <w:r w:rsidRPr="00254D10">
        <w:rPr>
          <w:szCs w:val="24"/>
        </w:rPr>
        <w:t xml:space="preserve"> regional breakdown</w:t>
      </w:r>
      <w:r w:rsidR="00B95825" w:rsidRPr="00254D10">
        <w:rPr>
          <w:szCs w:val="24"/>
        </w:rPr>
        <w:t xml:space="preserve">). </w:t>
      </w:r>
      <w:r w:rsidRPr="00254D10">
        <w:rPr>
          <w:szCs w:val="24"/>
        </w:rPr>
        <w:t>Tables 1</w:t>
      </w:r>
      <w:r w:rsidR="00167BD2" w:rsidRPr="00254D10">
        <w:rPr>
          <w:szCs w:val="24"/>
        </w:rPr>
        <w:t>.6</w:t>
      </w:r>
      <w:r w:rsidRPr="00254D10">
        <w:rPr>
          <w:szCs w:val="24"/>
        </w:rPr>
        <w:t>a and 1</w:t>
      </w:r>
      <w:r w:rsidR="00167BD2" w:rsidRPr="00254D10">
        <w:rPr>
          <w:szCs w:val="24"/>
        </w:rPr>
        <w:t>.6</w:t>
      </w:r>
      <w:r w:rsidRPr="00254D10">
        <w:rPr>
          <w:szCs w:val="24"/>
        </w:rPr>
        <w:t xml:space="preserve">b present the number of GD Assessments that took place in each Local Authority (LA) (Table </w:t>
      </w:r>
      <w:r w:rsidR="000C5549" w:rsidRPr="00254D10">
        <w:rPr>
          <w:szCs w:val="24"/>
        </w:rPr>
        <w:t>1.</w:t>
      </w:r>
      <w:r w:rsidR="00167BD2" w:rsidRPr="00254D10">
        <w:rPr>
          <w:szCs w:val="24"/>
        </w:rPr>
        <w:t>6</w:t>
      </w:r>
      <w:r w:rsidRPr="00254D10">
        <w:rPr>
          <w:szCs w:val="24"/>
        </w:rPr>
        <w:t xml:space="preserve">a) and Parliamentary Constituency (Table </w:t>
      </w:r>
      <w:r w:rsidR="000C5549" w:rsidRPr="00254D10">
        <w:rPr>
          <w:szCs w:val="24"/>
        </w:rPr>
        <w:t>1.</w:t>
      </w:r>
      <w:r w:rsidR="00167BD2" w:rsidRPr="00254D10">
        <w:rPr>
          <w:szCs w:val="24"/>
        </w:rPr>
        <w:t>6</w:t>
      </w:r>
      <w:r w:rsidRPr="00254D10">
        <w:rPr>
          <w:szCs w:val="24"/>
        </w:rPr>
        <w:t>b).</w:t>
      </w:r>
      <w:r w:rsidR="00C45775" w:rsidRPr="00254D10">
        <w:rPr>
          <w:szCs w:val="24"/>
        </w:rPr>
        <w:t xml:space="preserve"> </w:t>
      </w:r>
    </w:p>
    <w:p w:rsidR="00054D4E" w:rsidRPr="00254D10" w:rsidRDefault="00054D4E" w:rsidP="00054D4E">
      <w:pPr>
        <w:spacing w:before="0" w:after="0" w:line="270" w:lineRule="atLeast"/>
        <w:jc w:val="both"/>
        <w:rPr>
          <w:szCs w:val="24"/>
        </w:rPr>
      </w:pPr>
    </w:p>
    <w:p w:rsidR="007172F4" w:rsidRDefault="00C45775" w:rsidP="007172F4">
      <w:pPr>
        <w:spacing w:before="0" w:after="200" w:line="240" w:lineRule="auto"/>
        <w:contextualSpacing/>
        <w:jc w:val="both"/>
      </w:pPr>
      <w:r w:rsidRPr="00254D10">
        <w:t>T</w:t>
      </w:r>
      <w:r w:rsidR="00F12302" w:rsidRPr="00254D10">
        <w:t>he number of GD Assessment</w:t>
      </w:r>
      <w:r w:rsidR="002241BF" w:rsidRPr="00254D10">
        <w:t>s</w:t>
      </w:r>
      <w:r w:rsidRPr="00254D10">
        <w:t xml:space="preserve"> per 1,000 households </w:t>
      </w:r>
      <w:r w:rsidR="00F12302" w:rsidRPr="00254D10">
        <w:t>gives a better indication of the areas which have had the most assessments in relation to the number of properties in that area.</w:t>
      </w:r>
      <w:r w:rsidRPr="00254D10">
        <w:t xml:space="preserve"> </w:t>
      </w:r>
      <w:r w:rsidR="00DF5EBB" w:rsidRPr="00254D10">
        <w:t xml:space="preserve">There were on average </w:t>
      </w:r>
      <w:r w:rsidR="00254D10" w:rsidRPr="00254D10">
        <w:t>14</w:t>
      </w:r>
      <w:r w:rsidR="00DF5EBB" w:rsidRPr="00254D10">
        <w:t xml:space="preserve"> Green Deal Assessments per 1,000 households in Great Britain. </w:t>
      </w:r>
      <w:r w:rsidR="00892CB2" w:rsidRPr="00254D10">
        <w:t>Scotland</w:t>
      </w:r>
      <w:r w:rsidR="00DF5EBB" w:rsidRPr="00254D10">
        <w:t xml:space="preserve"> </w:t>
      </w:r>
      <w:r w:rsidR="00892CB2" w:rsidRPr="00254D10">
        <w:t>had the</w:t>
      </w:r>
      <w:r w:rsidR="00DF5EBB" w:rsidRPr="00254D10">
        <w:t xml:space="preserve"> highest number of Green Deal Assessments per 1,000 households </w:t>
      </w:r>
      <w:r w:rsidR="00F12302" w:rsidRPr="00254D10">
        <w:t xml:space="preserve">with </w:t>
      </w:r>
      <w:r w:rsidR="00254D10" w:rsidRPr="00254D10">
        <w:t>22</w:t>
      </w:r>
      <w:r w:rsidR="00F12302" w:rsidRPr="00254D10">
        <w:t xml:space="preserve">. </w:t>
      </w:r>
      <w:r w:rsidR="002712B6" w:rsidRPr="00254D10">
        <w:t xml:space="preserve">Wales had </w:t>
      </w:r>
      <w:r w:rsidR="00254D10" w:rsidRPr="00254D10">
        <w:t xml:space="preserve">12 </w:t>
      </w:r>
      <w:r w:rsidR="00DF5EBB" w:rsidRPr="00254D10">
        <w:t>Green Deal Assessments per 1,000 households</w:t>
      </w:r>
      <w:r w:rsidR="00FE30AA" w:rsidRPr="00254D10">
        <w:t xml:space="preserve"> (Map 1.1).</w:t>
      </w:r>
    </w:p>
    <w:p w:rsidR="00705A31" w:rsidRPr="00886EB3" w:rsidRDefault="00C45775" w:rsidP="007172F4">
      <w:pPr>
        <w:spacing w:before="0" w:after="200" w:line="240" w:lineRule="auto"/>
        <w:contextualSpacing/>
        <w:jc w:val="both"/>
        <w:rPr>
          <w:szCs w:val="24"/>
        </w:rPr>
      </w:pPr>
      <w:r>
        <w:rPr>
          <w:b/>
          <w:szCs w:val="24"/>
        </w:rPr>
        <w:br w:type="page"/>
      </w:r>
      <w:bookmarkStart w:id="28" w:name="_Toc406419488"/>
      <w:r w:rsidR="000F6A40" w:rsidRPr="00EB6EAA">
        <w:rPr>
          <w:szCs w:val="24"/>
        </w:rPr>
        <w:lastRenderedPageBreak/>
        <w:t xml:space="preserve">Map </w:t>
      </w:r>
      <w:r w:rsidR="000F6A40" w:rsidRPr="00EB6EAA">
        <w:rPr>
          <w:b/>
          <w:szCs w:val="24"/>
        </w:rPr>
        <w:fldChar w:fldCharType="begin"/>
      </w:r>
      <w:r w:rsidR="000F6A40" w:rsidRPr="00EB6EAA">
        <w:rPr>
          <w:szCs w:val="24"/>
        </w:rPr>
        <w:instrText xml:space="preserve"> SEQ Map \* ARABIC </w:instrText>
      </w:r>
      <w:r w:rsidR="000F6A40" w:rsidRPr="00EB6EAA">
        <w:rPr>
          <w:b/>
          <w:szCs w:val="24"/>
        </w:rPr>
        <w:fldChar w:fldCharType="separate"/>
      </w:r>
      <w:r w:rsidR="006B5574">
        <w:rPr>
          <w:noProof/>
          <w:szCs w:val="24"/>
        </w:rPr>
        <w:t>1</w:t>
      </w:r>
      <w:r w:rsidR="000F6A40" w:rsidRPr="00EB6EAA">
        <w:rPr>
          <w:b/>
          <w:szCs w:val="24"/>
        </w:rPr>
        <w:fldChar w:fldCharType="end"/>
      </w:r>
      <w:r w:rsidR="000F6A40" w:rsidRPr="00EB6EAA">
        <w:rPr>
          <w:szCs w:val="24"/>
        </w:rPr>
        <w:t xml:space="preserve">.1 </w:t>
      </w:r>
      <w:r w:rsidR="00054D4E" w:rsidRPr="00EB6EAA">
        <w:rPr>
          <w:szCs w:val="24"/>
        </w:rPr>
        <w:t>– N</w:t>
      </w:r>
      <w:r w:rsidR="00F12302" w:rsidRPr="00EB6EAA">
        <w:rPr>
          <w:szCs w:val="24"/>
        </w:rPr>
        <w:t xml:space="preserve">umber of Green Deal Assessments per 1,000 households </w:t>
      </w:r>
      <w:r w:rsidR="00054D4E" w:rsidRPr="00EB6EAA">
        <w:rPr>
          <w:szCs w:val="24"/>
        </w:rPr>
        <w:t xml:space="preserve">lodged by Local Authority up to </w:t>
      </w:r>
      <w:r w:rsidR="00613666" w:rsidRPr="00EB6EAA">
        <w:rPr>
          <w:szCs w:val="24"/>
        </w:rPr>
        <w:t>30</w:t>
      </w:r>
      <w:r w:rsidR="00613666" w:rsidRPr="00EB6EAA">
        <w:rPr>
          <w:szCs w:val="24"/>
          <w:vertAlign w:val="superscript"/>
        </w:rPr>
        <w:t>th</w:t>
      </w:r>
      <w:r w:rsidR="00613666" w:rsidRPr="00EB6EAA">
        <w:rPr>
          <w:szCs w:val="24"/>
        </w:rPr>
        <w:t xml:space="preserve"> </w:t>
      </w:r>
      <w:r w:rsidR="008A1860" w:rsidRPr="00EB6EAA">
        <w:rPr>
          <w:szCs w:val="24"/>
        </w:rPr>
        <w:t>September</w:t>
      </w:r>
      <w:r w:rsidR="002F723B" w:rsidRPr="00EB6EAA">
        <w:rPr>
          <w:szCs w:val="24"/>
        </w:rPr>
        <w:t xml:space="preserve"> 2014</w:t>
      </w:r>
      <w:bookmarkEnd w:id="28"/>
    </w:p>
    <w:p w:rsidR="00BB05E2" w:rsidRDefault="00EB6EAA" w:rsidP="00DC00F2">
      <w:pPr>
        <w:spacing w:line="240" w:lineRule="auto"/>
        <w:jc w:val="center"/>
      </w:pPr>
      <w:bookmarkStart w:id="29" w:name="Cashbackmeasuresinstalled"/>
      <w:bookmarkEnd w:id="29"/>
      <w:r>
        <w:rPr>
          <w:noProof/>
          <w:lang w:eastAsia="en-GB"/>
        </w:rPr>
        <w:drawing>
          <wp:inline distT="0" distB="0" distL="0" distR="0" wp14:anchorId="3577309A" wp14:editId="38904C1A">
            <wp:extent cx="6164046" cy="8721828"/>
            <wp:effectExtent l="0" t="0" r="8255" b="3175"/>
            <wp:docPr id="10" name="Picture 10" descr="U:\Statistics\Energy Efficiency\8. Green Deal\Restricted\2014 releases\December 2014 releases\Quarterly release\Maps\OAsSep14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tatistics\Energy Efficiency\8. Green Deal\Restricted\2014 releases\December 2014 releases\Quarterly release\Maps\OAsSep14HH.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8151" cy="8727636"/>
                    </a:xfrm>
                    <a:prstGeom prst="rect">
                      <a:avLst/>
                    </a:prstGeom>
                    <a:noFill/>
                    <a:ln>
                      <a:noFill/>
                    </a:ln>
                  </pic:spPr>
                </pic:pic>
              </a:graphicData>
            </a:graphic>
          </wp:inline>
        </w:drawing>
      </w:r>
    </w:p>
    <w:p w:rsidR="00A523EC" w:rsidRPr="007563ED" w:rsidRDefault="00E01370" w:rsidP="00E01370">
      <w:pPr>
        <w:spacing w:before="0" w:after="0" w:line="240" w:lineRule="auto"/>
        <w:contextualSpacing/>
        <w:jc w:val="both"/>
      </w:pPr>
      <w:r w:rsidRPr="007563ED">
        <w:lastRenderedPageBreak/>
        <w:t xml:space="preserve">Within England, </w:t>
      </w:r>
      <w:r w:rsidR="004322AD" w:rsidRPr="007563ED">
        <w:t xml:space="preserve">Oldham </w:t>
      </w:r>
      <w:r w:rsidRPr="007563ED">
        <w:t>Local A</w:t>
      </w:r>
      <w:r w:rsidR="004322AD">
        <w:t xml:space="preserve">uthority </w:t>
      </w:r>
      <w:r w:rsidR="007563ED" w:rsidRPr="007563ED">
        <w:t xml:space="preserve">had </w:t>
      </w:r>
      <w:r w:rsidR="004322AD">
        <w:t xml:space="preserve">the most </w:t>
      </w:r>
      <w:r w:rsidR="00AF7FBF">
        <w:t>GD A</w:t>
      </w:r>
      <w:r w:rsidRPr="007563ED">
        <w:t>ssess</w:t>
      </w:r>
      <w:r w:rsidR="007563ED" w:rsidRPr="007563ED">
        <w:t>ments per 1,000 households</w:t>
      </w:r>
      <w:r w:rsidR="0090694C">
        <w:t xml:space="preserve"> (34). In Scotland, three Local Authorities had more GD Assessments per 1,000 households; </w:t>
      </w:r>
      <w:r w:rsidR="0090694C" w:rsidRPr="007563ED">
        <w:t>North Lanarkshire</w:t>
      </w:r>
      <w:r w:rsidR="0090694C">
        <w:t xml:space="preserve"> (35)</w:t>
      </w:r>
      <w:r w:rsidRPr="007563ED">
        <w:t>, Midlothian</w:t>
      </w:r>
      <w:r w:rsidR="0090694C">
        <w:t xml:space="preserve"> (38) and </w:t>
      </w:r>
      <w:r w:rsidR="0090694C" w:rsidRPr="007563ED">
        <w:t xml:space="preserve">Clackmannanshire </w:t>
      </w:r>
      <w:r w:rsidR="0090694C">
        <w:t>(64).</w:t>
      </w:r>
    </w:p>
    <w:p w:rsidR="00E01370" w:rsidRDefault="00E01370" w:rsidP="00E01370">
      <w:pPr>
        <w:spacing w:before="0" w:after="0" w:line="240" w:lineRule="auto"/>
        <w:contextualSpacing/>
        <w:jc w:val="both"/>
      </w:pPr>
    </w:p>
    <w:p w:rsidR="005F485C" w:rsidRDefault="005F485C" w:rsidP="00E01370">
      <w:pPr>
        <w:spacing w:before="0" w:after="0" w:line="240" w:lineRule="auto"/>
        <w:contextualSpacing/>
        <w:jc w:val="both"/>
      </w:pPr>
      <w:r>
        <w:t>Map</w:t>
      </w:r>
      <w:r w:rsidR="00B56A91">
        <w:t xml:space="preserve"> </w:t>
      </w:r>
      <w:r>
        <w:t>1.1 shows</w:t>
      </w:r>
      <w:r w:rsidR="00FF4A08">
        <w:t xml:space="preserve"> a difference in the level</w:t>
      </w:r>
      <w:r w:rsidR="004B113E">
        <w:t xml:space="preserve"> of Green Deal Assessments per 1</w:t>
      </w:r>
      <w:r w:rsidR="00FF4A08">
        <w:t xml:space="preserve">,000 households </w:t>
      </w:r>
      <w:r w:rsidR="004B113E">
        <w:t xml:space="preserve">at a regional level. </w:t>
      </w:r>
      <w:r w:rsidR="00FF4A08">
        <w:t>Local Authorities</w:t>
      </w:r>
      <w:r w:rsidR="004B113E">
        <w:t xml:space="preserve"> in </w:t>
      </w:r>
      <w:r w:rsidR="00B56A91">
        <w:t xml:space="preserve">Southern England (the South </w:t>
      </w:r>
      <w:r w:rsidR="004B113E" w:rsidRPr="004B113E">
        <w:t xml:space="preserve">East, </w:t>
      </w:r>
      <w:r w:rsidR="00B56A91">
        <w:t xml:space="preserve">London, the South West, and </w:t>
      </w:r>
      <w:r w:rsidR="004B113E" w:rsidRPr="004B113E">
        <w:t>the East)</w:t>
      </w:r>
      <w:r w:rsidR="00FF4A08">
        <w:t xml:space="preserve"> </w:t>
      </w:r>
      <w:r w:rsidR="00B56A91">
        <w:t>have fewer</w:t>
      </w:r>
      <w:r w:rsidR="00FF4A08">
        <w:t xml:space="preserve"> assessments per 1,000 householders compared to Local Authorities </w:t>
      </w:r>
      <w:r w:rsidR="00B56A91">
        <w:t>in other regions of Great Britain</w:t>
      </w:r>
      <w:r w:rsidR="00FF4A08">
        <w:t>.</w:t>
      </w:r>
    </w:p>
    <w:p w:rsidR="005F485C" w:rsidRPr="007563ED" w:rsidRDefault="005F485C" w:rsidP="00E01370">
      <w:pPr>
        <w:spacing w:before="0" w:after="0" w:line="240" w:lineRule="auto"/>
        <w:contextualSpacing/>
        <w:jc w:val="both"/>
      </w:pPr>
    </w:p>
    <w:p w:rsidR="009F2B59" w:rsidRPr="007563ED" w:rsidRDefault="009F2B59" w:rsidP="00E01370">
      <w:pPr>
        <w:pStyle w:val="Heading2"/>
        <w:spacing w:before="0" w:after="0"/>
      </w:pPr>
      <w:bookmarkStart w:id="30" w:name="_Toc406514278"/>
      <w:r w:rsidRPr="007563ED">
        <w:t>Green Deal Plans</w:t>
      </w:r>
      <w:r w:rsidR="004765D2" w:rsidRPr="007563ED">
        <w:t xml:space="preserve">, up to </w:t>
      </w:r>
      <w:r w:rsidR="007563ED" w:rsidRPr="007563ED">
        <w:t>30</w:t>
      </w:r>
      <w:r w:rsidR="007563ED" w:rsidRPr="007563ED">
        <w:rPr>
          <w:vertAlign w:val="superscript"/>
        </w:rPr>
        <w:t>th</w:t>
      </w:r>
      <w:r w:rsidR="007563ED" w:rsidRPr="007563ED">
        <w:t xml:space="preserve"> September</w:t>
      </w:r>
      <w:r w:rsidR="002F723B" w:rsidRPr="007563ED">
        <w:t xml:space="preserve"> 2014</w:t>
      </w:r>
      <w:bookmarkEnd w:id="30"/>
    </w:p>
    <w:p w:rsidR="00BB05E2" w:rsidRPr="007563ED" w:rsidRDefault="00BB05E2" w:rsidP="00E01370">
      <w:pPr>
        <w:spacing w:before="0" w:after="0"/>
        <w:jc w:val="both"/>
      </w:pPr>
    </w:p>
    <w:p w:rsidR="009F2B59" w:rsidRPr="007563ED" w:rsidRDefault="007563ED" w:rsidP="00E01370">
      <w:pPr>
        <w:spacing w:before="0" w:after="0"/>
        <w:jc w:val="both"/>
      </w:pPr>
      <w:r w:rsidRPr="007563ED">
        <w:t>Of the 2</w:t>
      </w:r>
      <w:r w:rsidR="00C96A19" w:rsidRPr="007563ED">
        <w:t>,</w:t>
      </w:r>
      <w:r w:rsidR="00DC00F2" w:rsidRPr="007563ED">
        <w:t>5</w:t>
      </w:r>
      <w:r w:rsidRPr="007563ED">
        <w:t>81</w:t>
      </w:r>
      <w:r w:rsidR="009F2B59" w:rsidRPr="007563ED">
        <w:t xml:space="preserve"> Green Deal Plans</w:t>
      </w:r>
      <w:r w:rsidR="004765D2" w:rsidRPr="007563ED">
        <w:t xml:space="preserve"> which were ‘live’ up to </w:t>
      </w:r>
      <w:r w:rsidR="002F7C53" w:rsidRPr="007563ED">
        <w:t>30</w:t>
      </w:r>
      <w:r w:rsidR="002F7C53" w:rsidRPr="007563ED">
        <w:rPr>
          <w:vertAlign w:val="superscript"/>
        </w:rPr>
        <w:t>th</w:t>
      </w:r>
      <w:r w:rsidR="002F7C53" w:rsidRPr="007563ED">
        <w:t xml:space="preserve"> </w:t>
      </w:r>
      <w:r w:rsidR="00BF740F" w:rsidRPr="007563ED">
        <w:t>September</w:t>
      </w:r>
      <w:r w:rsidR="002F723B" w:rsidRPr="007563ED">
        <w:t xml:space="preserve"> 2014</w:t>
      </w:r>
      <w:r w:rsidR="004765D2" w:rsidRPr="007563ED">
        <w:t xml:space="preserve"> (i.e. </w:t>
      </w:r>
      <w:r w:rsidR="009F2B59" w:rsidRPr="007563ED">
        <w:t xml:space="preserve">measures </w:t>
      </w:r>
      <w:r w:rsidR="004765D2" w:rsidRPr="007563ED">
        <w:t xml:space="preserve">were </w:t>
      </w:r>
      <w:r w:rsidR="009F2B59" w:rsidRPr="007563ED">
        <w:t>installed</w:t>
      </w:r>
      <w:r w:rsidR="004765D2" w:rsidRPr="007563ED">
        <w:t xml:space="preserve"> and billing had commenced)</w:t>
      </w:r>
      <w:r w:rsidR="00B669A5" w:rsidRPr="007563ED">
        <w:t>,</w:t>
      </w:r>
      <w:r w:rsidR="007172F4" w:rsidRPr="007563ED">
        <w:t xml:space="preserve"> </w:t>
      </w:r>
      <w:r w:rsidRPr="007563ED">
        <w:t>65</w:t>
      </w:r>
      <w:r w:rsidR="00C96A19" w:rsidRPr="007563ED">
        <w:t xml:space="preserve"> per cent</w:t>
      </w:r>
      <w:r w:rsidR="00DC00F2" w:rsidRPr="007563ED">
        <w:t xml:space="preserve"> of Green Deal Plans with measures installed were for pr</w:t>
      </w:r>
      <w:r w:rsidR="004F4968" w:rsidRPr="007563ED">
        <w:t xml:space="preserve">operties in Scotland, </w:t>
      </w:r>
      <w:r w:rsidRPr="007563ED">
        <w:t>32</w:t>
      </w:r>
      <w:r w:rsidR="007172F4" w:rsidRPr="007563ED">
        <w:t xml:space="preserve"> per cent were </w:t>
      </w:r>
      <w:r w:rsidR="002712B6" w:rsidRPr="007563ED">
        <w:t xml:space="preserve">for properties </w:t>
      </w:r>
      <w:r w:rsidR="00DC00F2" w:rsidRPr="007563ED">
        <w:t>in England and t</w:t>
      </w:r>
      <w:r w:rsidRPr="007563ED">
        <w:t xml:space="preserve">hree </w:t>
      </w:r>
      <w:r w:rsidR="007172F4" w:rsidRPr="007563ED">
        <w:t xml:space="preserve">per cent were </w:t>
      </w:r>
      <w:r w:rsidR="002712B6" w:rsidRPr="007563ED">
        <w:t xml:space="preserve">for properties </w:t>
      </w:r>
      <w:r w:rsidR="007172F4" w:rsidRPr="007563ED">
        <w:t xml:space="preserve">in Wales </w:t>
      </w:r>
      <w:r w:rsidR="00886EB3" w:rsidRPr="007563ED">
        <w:t>(see Table 1.</w:t>
      </w:r>
      <w:r w:rsidR="00167BD2" w:rsidRPr="007563ED">
        <w:t>7</w:t>
      </w:r>
      <w:r w:rsidR="007172F4" w:rsidRPr="007563ED">
        <w:t>).</w:t>
      </w:r>
    </w:p>
    <w:p w:rsidR="00BB05E2" w:rsidRPr="00BF740F" w:rsidRDefault="00BB05E2" w:rsidP="00E01370">
      <w:pPr>
        <w:pStyle w:val="Heading2"/>
        <w:spacing w:before="0" w:after="0"/>
        <w:rPr>
          <w:highlight w:val="yellow"/>
        </w:rPr>
      </w:pPr>
    </w:p>
    <w:p w:rsidR="00E62B6B" w:rsidRPr="00BF740F" w:rsidRDefault="00AA2D70" w:rsidP="00E01370">
      <w:pPr>
        <w:pStyle w:val="Heading2"/>
        <w:spacing w:before="0" w:after="0"/>
      </w:pPr>
      <w:bookmarkStart w:id="31" w:name="_Toc406514279"/>
      <w:r w:rsidRPr="00BF740F">
        <w:t>Pioneer Places</w:t>
      </w:r>
      <w:bookmarkEnd w:id="31"/>
    </w:p>
    <w:p w:rsidR="00BB05E2" w:rsidRPr="00BF740F" w:rsidRDefault="00BB05E2" w:rsidP="00E01370">
      <w:pPr>
        <w:spacing w:before="0" w:after="0"/>
        <w:jc w:val="both"/>
      </w:pPr>
    </w:p>
    <w:p w:rsidR="009C224B" w:rsidRPr="00BF740F" w:rsidRDefault="009C224B" w:rsidP="00E01370">
      <w:pPr>
        <w:spacing w:before="0" w:after="0"/>
        <w:jc w:val="both"/>
      </w:pPr>
      <w:r w:rsidRPr="00BF740F">
        <w:t xml:space="preserve">The Green Deal Pioneer Places Fund of £10m was allocated to Local Authorities and/or consortia of Local Authorities in England to demonstrate ambitious approaches to kick starting local Green </w:t>
      </w:r>
      <w:r w:rsidRPr="00BF740F">
        <w:rPr>
          <w:color w:val="000000" w:themeColor="text1"/>
        </w:rPr>
        <w:t>Deal activity in both the domestic and non-domestic sectors. Among a range of outcomes from these projects was funding for GD Assessments.</w:t>
      </w:r>
    </w:p>
    <w:p w:rsidR="009C224B" w:rsidRPr="00BF740F" w:rsidRDefault="009C224B" w:rsidP="00E01370">
      <w:pPr>
        <w:spacing w:before="0" w:after="0"/>
        <w:jc w:val="both"/>
      </w:pPr>
    </w:p>
    <w:p w:rsidR="009C224B" w:rsidRPr="00BF740F" w:rsidRDefault="004F4968" w:rsidP="00E01370">
      <w:pPr>
        <w:spacing w:before="0" w:after="0"/>
        <w:jc w:val="both"/>
      </w:pPr>
      <w:r w:rsidRPr="00BF740F">
        <w:t>E</w:t>
      </w:r>
      <w:r w:rsidR="00A0128D" w:rsidRPr="00BF740F">
        <w:t>s</w:t>
      </w:r>
      <w:r w:rsidR="00631881" w:rsidRPr="00BF740F">
        <w:t>timates based on data returns submitted to</w:t>
      </w:r>
      <w:r w:rsidR="009C224B" w:rsidRPr="00BF740F">
        <w:t xml:space="preserve"> DECC by </w:t>
      </w:r>
      <w:r w:rsidR="000D6958" w:rsidRPr="00BF740F">
        <w:t>11</w:t>
      </w:r>
      <w:r w:rsidR="000D6958" w:rsidRPr="00BF740F">
        <w:rPr>
          <w:vertAlign w:val="superscript"/>
        </w:rPr>
        <w:t>th</w:t>
      </w:r>
      <w:r w:rsidR="000D6958" w:rsidRPr="00BF740F">
        <w:t xml:space="preserve"> February 2014 estimate</w:t>
      </w:r>
      <w:r w:rsidR="009C224B" w:rsidRPr="00BF740F">
        <w:t xml:space="preserve"> </w:t>
      </w:r>
      <w:proofErr w:type="gramStart"/>
      <w:r w:rsidR="009C224B" w:rsidRPr="00BF740F">
        <w:t>that</w:t>
      </w:r>
      <w:proofErr w:type="gramEnd"/>
      <w:r w:rsidR="009C224B" w:rsidRPr="00BF740F">
        <w:t xml:space="preserve"> </w:t>
      </w:r>
      <w:r w:rsidR="000D6958" w:rsidRPr="00BF740F">
        <w:t>9,543</w:t>
      </w:r>
      <w:r w:rsidR="009C224B" w:rsidRPr="00BF740F">
        <w:t xml:space="preserve"> Domestic Green Deal Assessments were lodged having been funded through the Green D</w:t>
      </w:r>
      <w:r w:rsidR="00AA2D70" w:rsidRPr="00BF740F">
        <w:t xml:space="preserve">eal Pioneer Places (see Table </w:t>
      </w:r>
      <w:r w:rsidR="000C5549" w:rsidRPr="00BF740F">
        <w:t>1.</w:t>
      </w:r>
      <w:r w:rsidR="00167BD2" w:rsidRPr="00BF740F">
        <w:t>8</w:t>
      </w:r>
      <w:r w:rsidR="009C224B" w:rsidRPr="00BF740F">
        <w:t>).</w:t>
      </w:r>
      <w:r w:rsidR="00620019" w:rsidRPr="00BF740F">
        <w:t xml:space="preserve"> </w:t>
      </w:r>
      <w:r w:rsidR="00E6442B" w:rsidRPr="00BF740F">
        <w:t xml:space="preserve">These assessments are included in the data on overall number </w:t>
      </w:r>
      <w:r w:rsidR="00E6442B" w:rsidRPr="00A51A54">
        <w:t xml:space="preserve">of </w:t>
      </w:r>
      <w:r w:rsidR="004B42FB" w:rsidRPr="00A51A54">
        <w:t>356,514</w:t>
      </w:r>
      <w:r w:rsidR="00E6442B" w:rsidRPr="00A51A54">
        <w:t xml:space="preserve"> </w:t>
      </w:r>
      <w:r w:rsidR="00E6442B" w:rsidRPr="00BF740F">
        <w:t>Green Deal Assessments as reported above.</w:t>
      </w:r>
      <w:r w:rsidR="00B56A91">
        <w:t xml:space="preserve"> If measures were installed following these assessments these will be captured under other delivery mechanisms reported within </w:t>
      </w:r>
      <w:r w:rsidR="00916A9F">
        <w:t>the</w:t>
      </w:r>
      <w:r w:rsidR="00B56A91">
        <w:t xml:space="preserve"> official statistics in this release.</w:t>
      </w:r>
    </w:p>
    <w:p w:rsidR="00BC7ED2" w:rsidRPr="00BF740F" w:rsidRDefault="00BC7ED2" w:rsidP="00BB05E2">
      <w:pPr>
        <w:spacing w:before="0" w:after="0"/>
        <w:jc w:val="both"/>
        <w:rPr>
          <w:highlight w:val="yellow"/>
        </w:rPr>
      </w:pPr>
    </w:p>
    <w:p w:rsidR="00144EE8" w:rsidRPr="00BF740F" w:rsidRDefault="00144EE8" w:rsidP="00BB05E2">
      <w:pPr>
        <w:pStyle w:val="Heading2"/>
        <w:spacing w:before="0" w:after="0"/>
      </w:pPr>
      <w:bookmarkStart w:id="32" w:name="_Toc406514280"/>
      <w:r w:rsidRPr="00BF740F">
        <w:t>Core Cities</w:t>
      </w:r>
      <w:bookmarkEnd w:id="32"/>
    </w:p>
    <w:p w:rsidR="00382423" w:rsidRPr="00BF740F" w:rsidRDefault="00382423" w:rsidP="00BB05E2">
      <w:pPr>
        <w:spacing w:before="0" w:after="0"/>
      </w:pPr>
    </w:p>
    <w:p w:rsidR="00382423" w:rsidRPr="00BF740F" w:rsidRDefault="00382423" w:rsidP="00BB05E2">
      <w:pPr>
        <w:spacing w:before="0" w:after="0"/>
        <w:jc w:val="both"/>
        <w:rPr>
          <w:color w:val="0D0D0D" w:themeColor="text1" w:themeTint="F2"/>
        </w:rPr>
      </w:pPr>
      <w:r w:rsidRPr="00BF740F">
        <w:rPr>
          <w:color w:val="0D0D0D" w:themeColor="text1" w:themeTint="F2"/>
        </w:rPr>
        <w:t>Eight cities across England received funding of £10.8m in total to trial early aspects of the Green Deal process and support them to help kick-start the Green Deal. The projects included conducting energy efficiency assessments as well as retrofitting properties across whole communities.</w:t>
      </w:r>
    </w:p>
    <w:p w:rsidR="00382423" w:rsidRPr="00BF740F" w:rsidRDefault="00382423" w:rsidP="00BB05E2">
      <w:pPr>
        <w:spacing w:before="0" w:after="0"/>
        <w:jc w:val="both"/>
        <w:rPr>
          <w:color w:val="0D0D0D" w:themeColor="text1" w:themeTint="F2"/>
        </w:rPr>
      </w:pPr>
    </w:p>
    <w:p w:rsidR="00B05F65" w:rsidRPr="00BF740F" w:rsidRDefault="004F4968" w:rsidP="00BB05E2">
      <w:pPr>
        <w:spacing w:before="0" w:after="0"/>
        <w:jc w:val="both"/>
        <w:rPr>
          <w:color w:val="FF0000"/>
        </w:rPr>
      </w:pPr>
      <w:r w:rsidRPr="00BF740F">
        <w:rPr>
          <w:color w:val="0D0D0D" w:themeColor="text1" w:themeTint="F2"/>
        </w:rPr>
        <w:t>E</w:t>
      </w:r>
      <w:r w:rsidR="00382423" w:rsidRPr="00BF740F">
        <w:rPr>
          <w:color w:val="0D0D0D" w:themeColor="text1" w:themeTint="F2"/>
        </w:rPr>
        <w:t xml:space="preserve">stimates based on data returns submitted to DECC by </w:t>
      </w:r>
      <w:r w:rsidR="000D6958" w:rsidRPr="00BF740F">
        <w:rPr>
          <w:color w:val="0D0D0D" w:themeColor="text1" w:themeTint="F2"/>
        </w:rPr>
        <w:t>11</w:t>
      </w:r>
      <w:r w:rsidR="000D6958" w:rsidRPr="00BF740F">
        <w:rPr>
          <w:color w:val="0D0D0D" w:themeColor="text1" w:themeTint="F2"/>
          <w:vertAlign w:val="superscript"/>
        </w:rPr>
        <w:t>th</w:t>
      </w:r>
      <w:r w:rsidR="000D6958" w:rsidRPr="00BF740F">
        <w:rPr>
          <w:color w:val="0D0D0D" w:themeColor="text1" w:themeTint="F2"/>
        </w:rPr>
        <w:t xml:space="preserve"> February 2014</w:t>
      </w:r>
      <w:r w:rsidR="00382423" w:rsidRPr="00BF740F">
        <w:rPr>
          <w:color w:val="0D0D0D" w:themeColor="text1" w:themeTint="F2"/>
        </w:rPr>
        <w:t xml:space="preserve"> </w:t>
      </w:r>
      <w:r w:rsidR="005923D1" w:rsidRPr="00BF740F">
        <w:rPr>
          <w:color w:val="0D0D0D" w:themeColor="text1" w:themeTint="F2"/>
        </w:rPr>
        <w:t xml:space="preserve">estimate </w:t>
      </w:r>
      <w:r w:rsidR="00382423" w:rsidRPr="00BF740F">
        <w:rPr>
          <w:color w:val="0D0D0D" w:themeColor="text1" w:themeTint="F2"/>
        </w:rPr>
        <w:t xml:space="preserve">that around </w:t>
      </w:r>
      <w:r w:rsidR="000D6958" w:rsidRPr="00BF740F">
        <w:rPr>
          <w:color w:val="0D0D0D" w:themeColor="text1" w:themeTint="F2"/>
        </w:rPr>
        <w:t>2,817</w:t>
      </w:r>
      <w:r w:rsidR="00382423" w:rsidRPr="00BF740F">
        <w:rPr>
          <w:color w:val="0D0D0D" w:themeColor="text1" w:themeTint="F2"/>
        </w:rPr>
        <w:t xml:space="preserve"> properties had installed energy efficiency measures which had been funded through the Core Cities projects</w:t>
      </w:r>
      <w:r w:rsidR="00886EB3" w:rsidRPr="00BF740F">
        <w:rPr>
          <w:color w:val="0D0D0D" w:themeColor="text1" w:themeTint="F2"/>
        </w:rPr>
        <w:t xml:space="preserve"> </w:t>
      </w:r>
      <w:r w:rsidR="00167BD2" w:rsidRPr="00BF740F">
        <w:t>(see Table 1.9</w:t>
      </w:r>
      <w:r w:rsidR="00886EB3" w:rsidRPr="00BF740F">
        <w:t>).</w:t>
      </w:r>
      <w:r w:rsidR="00382423" w:rsidRPr="00BF740F">
        <w:rPr>
          <w:color w:val="0D0D0D" w:themeColor="text1" w:themeTint="F2"/>
        </w:rPr>
        <w:t xml:space="preserve"> The</w:t>
      </w:r>
      <w:r w:rsidR="00382423" w:rsidRPr="00BF740F">
        <w:t xml:space="preserve"> provisional number of measures installed in these properties was </w:t>
      </w:r>
      <w:r w:rsidR="00FB4A95" w:rsidRPr="00BF740F">
        <w:t>3,</w:t>
      </w:r>
      <w:r w:rsidR="000D6958" w:rsidRPr="00BF740F">
        <w:t>919</w:t>
      </w:r>
      <w:r w:rsidR="00382423" w:rsidRPr="00BF740F">
        <w:rPr>
          <w:rStyle w:val="FootnoteReference"/>
        </w:rPr>
        <w:footnoteReference w:id="10"/>
      </w:r>
      <w:r w:rsidR="00382423" w:rsidRPr="00BF740F">
        <w:t>. Over 1,</w:t>
      </w:r>
      <w:r w:rsidR="000D6958" w:rsidRPr="00BF740F">
        <w:t xml:space="preserve">500 </w:t>
      </w:r>
      <w:r w:rsidR="00382423" w:rsidRPr="00BF740F">
        <w:t>of these measures were</w:t>
      </w:r>
      <w:r w:rsidR="00886EB3" w:rsidRPr="00BF740F">
        <w:t xml:space="preserve"> external solid wall insulation (see Ta</w:t>
      </w:r>
      <w:r w:rsidR="00167BD2" w:rsidRPr="00BF740F">
        <w:t>ble 1.9</w:t>
      </w:r>
      <w:r w:rsidR="00886EB3" w:rsidRPr="00BF740F">
        <w:t>a).</w:t>
      </w:r>
      <w:r w:rsidR="00620019" w:rsidRPr="00BF740F">
        <w:t xml:space="preserve"> </w:t>
      </w:r>
      <w:r w:rsidR="00E6442B" w:rsidRPr="00BF740F">
        <w:t>Numbers of core city funded measures and household’s benefiting from installing energy efficiency measures through Core cities funding are not included in Table</w:t>
      </w:r>
      <w:r w:rsidR="00BF740F" w:rsidRPr="00BF740F">
        <w:t xml:space="preserve"> </w:t>
      </w:r>
      <w:r w:rsidR="00E6442B" w:rsidRPr="00BF740F">
        <w:t xml:space="preserve">1 and Table 1a of </w:t>
      </w:r>
      <w:r w:rsidR="00AE7202" w:rsidRPr="00BF740F">
        <w:t>the monthly statistical release</w:t>
      </w:r>
      <w:r w:rsidR="00E6442B" w:rsidRPr="00BF740F">
        <w:t xml:space="preserve"> as there is a large overlap with other delivery mechanisms (particularly with ECO). </w:t>
      </w:r>
      <w:proofErr w:type="gramStart"/>
      <w:r w:rsidR="00620019" w:rsidRPr="00BF740F">
        <w:t>As with Pioneer Places, these figures were first published in March 2014.</w:t>
      </w:r>
      <w:proofErr w:type="gramEnd"/>
    </w:p>
    <w:p w:rsidR="00BB05E2" w:rsidRDefault="00BB05E2" w:rsidP="00BB05E2">
      <w:pPr>
        <w:pStyle w:val="Heading2"/>
        <w:spacing w:before="0" w:after="0"/>
        <w:rPr>
          <w:highlight w:val="yellow"/>
        </w:rPr>
      </w:pPr>
    </w:p>
    <w:p w:rsidR="00F57E12" w:rsidRDefault="00F57E12" w:rsidP="00F57E12">
      <w:pPr>
        <w:rPr>
          <w:highlight w:val="yellow"/>
        </w:rPr>
      </w:pPr>
    </w:p>
    <w:p w:rsidR="00F57E12" w:rsidRPr="00F57E12" w:rsidRDefault="00F57E12" w:rsidP="00F57E12">
      <w:pPr>
        <w:rPr>
          <w:highlight w:val="yellow"/>
        </w:rPr>
      </w:pPr>
    </w:p>
    <w:p w:rsidR="00C877B7" w:rsidRPr="00BF740F" w:rsidRDefault="00C877B7" w:rsidP="00BB05E2">
      <w:pPr>
        <w:pStyle w:val="Heading2"/>
        <w:spacing w:before="0" w:after="0"/>
      </w:pPr>
      <w:bookmarkStart w:id="33" w:name="_Toc406514281"/>
      <w:r w:rsidRPr="00BF740F">
        <w:lastRenderedPageBreak/>
        <w:t xml:space="preserve">Cashback measures installed, up to </w:t>
      </w:r>
      <w:r w:rsidR="00C96A19" w:rsidRPr="00BF740F">
        <w:t>30</w:t>
      </w:r>
      <w:r w:rsidR="00C96A19" w:rsidRPr="00BF740F">
        <w:rPr>
          <w:vertAlign w:val="superscript"/>
        </w:rPr>
        <w:t>th</w:t>
      </w:r>
      <w:r w:rsidR="00C96A19" w:rsidRPr="00BF740F">
        <w:t xml:space="preserve"> </w:t>
      </w:r>
      <w:r w:rsidR="00BF740F" w:rsidRPr="00BF740F">
        <w:t>September</w:t>
      </w:r>
      <w:r w:rsidR="002F723B" w:rsidRPr="00BF740F">
        <w:t xml:space="preserve"> 2014</w:t>
      </w:r>
      <w:r w:rsidR="0095040F">
        <w:t xml:space="preserve"> (end of the scheme)</w:t>
      </w:r>
      <w:bookmarkEnd w:id="33"/>
    </w:p>
    <w:p w:rsidR="00C877B7" w:rsidRPr="00BF740F" w:rsidRDefault="00C877B7" w:rsidP="00BB05E2">
      <w:pPr>
        <w:pStyle w:val="ListParagraph"/>
        <w:ind w:left="0"/>
        <w:contextualSpacing/>
        <w:jc w:val="both"/>
        <w:rPr>
          <w:rFonts w:ascii="Arial" w:hAnsi="Arial" w:cs="Arial"/>
          <w:b/>
        </w:rPr>
      </w:pPr>
    </w:p>
    <w:p w:rsidR="00C877B7" w:rsidRPr="00C412B1" w:rsidRDefault="00C96A19" w:rsidP="00BB05E2">
      <w:pPr>
        <w:spacing w:before="0" w:after="0" w:line="270" w:lineRule="atLeast"/>
        <w:jc w:val="both"/>
      </w:pPr>
      <w:r w:rsidRPr="00BF740F">
        <w:t xml:space="preserve">The Cashback scheme was available from January 2013 to June 2014 in England and Wales. It was a financial incentive specifically aimed to encourage domestic customers to get measures installed through the Green Deal process, although it is the customers’ choice whether they decide to take out Green Deal finance or other sources of finance to fund the installation of the measures. The Cashback scheme closed </w:t>
      </w:r>
      <w:r w:rsidR="0095040F">
        <w:t xml:space="preserve">for applications </w:t>
      </w:r>
      <w:r w:rsidRPr="00BF740F">
        <w:t>at the end of June 2014</w:t>
      </w:r>
      <w:r w:rsidR="0095040F">
        <w:t xml:space="preserve"> and all redemptions required measures to be installed before the end of September 2014</w:t>
      </w:r>
      <w:r w:rsidRPr="00BF740F">
        <w:t xml:space="preserve">. </w:t>
      </w:r>
      <w:r w:rsidR="0095040F">
        <w:t xml:space="preserve">Therefore this breakdown is the final summary of </w:t>
      </w:r>
      <w:r w:rsidR="00C412B1" w:rsidRPr="00C412B1">
        <w:t>the Cashback scheme.</w:t>
      </w:r>
      <w:r w:rsidRPr="00C412B1">
        <w:t xml:space="preserve"> </w:t>
      </w:r>
      <w:r w:rsidR="00C877B7" w:rsidRPr="00C412B1">
        <w:t xml:space="preserve">There were </w:t>
      </w:r>
      <w:r w:rsidR="00660410" w:rsidRPr="00C412B1">
        <w:t>1</w:t>
      </w:r>
      <w:r w:rsidR="00C412B1" w:rsidRPr="00C412B1">
        <w:t>4</w:t>
      </w:r>
      <w:r w:rsidR="00660410" w:rsidRPr="00C412B1">
        <w:t>,</w:t>
      </w:r>
      <w:r w:rsidR="00C412B1" w:rsidRPr="00C412B1">
        <w:t>743</w:t>
      </w:r>
      <w:r w:rsidR="00C877B7" w:rsidRPr="00C412B1">
        <w:t xml:space="preserve"> </w:t>
      </w:r>
      <w:r w:rsidR="00FE7493" w:rsidRPr="00C412B1">
        <w:t>properties</w:t>
      </w:r>
      <w:r w:rsidR="00FE7493" w:rsidRPr="00C412B1">
        <w:rPr>
          <w:rStyle w:val="FootnoteReference"/>
        </w:rPr>
        <w:footnoteReference w:id="11"/>
      </w:r>
      <w:r w:rsidR="00FE7493" w:rsidRPr="00C412B1">
        <w:t xml:space="preserve"> where measures had been installed following payment from the Cashback scheme</w:t>
      </w:r>
      <w:r w:rsidR="00C877B7" w:rsidRPr="00C412B1">
        <w:t xml:space="preserve"> up to </w:t>
      </w:r>
      <w:r w:rsidR="00660410" w:rsidRPr="00C412B1">
        <w:t>30</w:t>
      </w:r>
      <w:r w:rsidR="00660410" w:rsidRPr="00C412B1">
        <w:rPr>
          <w:vertAlign w:val="superscript"/>
        </w:rPr>
        <w:t>th</w:t>
      </w:r>
      <w:r w:rsidR="00660410" w:rsidRPr="00C412B1">
        <w:t xml:space="preserve"> </w:t>
      </w:r>
      <w:r w:rsidR="00BF740F" w:rsidRPr="00C412B1">
        <w:t>September</w:t>
      </w:r>
      <w:r w:rsidR="00660410" w:rsidRPr="00C412B1">
        <w:t xml:space="preserve"> 2014</w:t>
      </w:r>
      <w:r w:rsidR="00C412B1" w:rsidRPr="00C412B1">
        <w:t xml:space="preserve"> (the end of the scheme)</w:t>
      </w:r>
      <w:r w:rsidR="00C877B7" w:rsidRPr="00C412B1">
        <w:t>.</w:t>
      </w:r>
    </w:p>
    <w:p w:rsidR="003D4150" w:rsidRPr="00C412B1" w:rsidRDefault="003D4150" w:rsidP="00BB05E2">
      <w:pPr>
        <w:spacing w:before="0" w:after="0" w:line="270" w:lineRule="atLeast"/>
        <w:jc w:val="both"/>
      </w:pPr>
    </w:p>
    <w:p w:rsidR="00C877B7" w:rsidRPr="00C412B1" w:rsidRDefault="00C877B7" w:rsidP="00BB05E2">
      <w:pPr>
        <w:spacing w:before="0" w:after="0" w:line="270" w:lineRule="atLeast"/>
        <w:jc w:val="both"/>
        <w:rPr>
          <w:u w:val="single"/>
        </w:rPr>
      </w:pPr>
      <w:r w:rsidRPr="00C412B1">
        <w:rPr>
          <w:u w:val="single"/>
        </w:rPr>
        <w:t xml:space="preserve">Geographic location of </w:t>
      </w:r>
      <w:r w:rsidR="00FE7493" w:rsidRPr="00C412B1">
        <w:rPr>
          <w:u w:val="single"/>
        </w:rPr>
        <w:t xml:space="preserve">properties </w:t>
      </w:r>
      <w:r w:rsidRPr="00C412B1">
        <w:rPr>
          <w:u w:val="single"/>
        </w:rPr>
        <w:t xml:space="preserve">where </w:t>
      </w:r>
      <w:r w:rsidR="00FE7493" w:rsidRPr="00C412B1">
        <w:rPr>
          <w:u w:val="single"/>
        </w:rPr>
        <w:t>measures were installed following Cashback payment</w:t>
      </w:r>
      <w:r w:rsidRPr="00C412B1">
        <w:rPr>
          <w:u w:val="single"/>
        </w:rPr>
        <w:t xml:space="preserve">, up to </w:t>
      </w:r>
      <w:r w:rsidR="007F4A26" w:rsidRPr="00C412B1">
        <w:rPr>
          <w:u w:val="single"/>
        </w:rPr>
        <w:t>30</w:t>
      </w:r>
      <w:r w:rsidR="007F4A26" w:rsidRPr="00C412B1">
        <w:rPr>
          <w:u w:val="single"/>
          <w:vertAlign w:val="superscript"/>
        </w:rPr>
        <w:t>th</w:t>
      </w:r>
      <w:r w:rsidR="007F4A26" w:rsidRPr="00C412B1">
        <w:rPr>
          <w:u w:val="single"/>
        </w:rPr>
        <w:t xml:space="preserve"> </w:t>
      </w:r>
      <w:r w:rsidR="00BF740F" w:rsidRPr="00C412B1">
        <w:rPr>
          <w:u w:val="single"/>
        </w:rPr>
        <w:t>September</w:t>
      </w:r>
      <w:r w:rsidR="002035D4" w:rsidRPr="00C412B1">
        <w:rPr>
          <w:u w:val="single"/>
        </w:rPr>
        <w:t xml:space="preserve"> 2014</w:t>
      </w:r>
      <w:r w:rsidR="00495F3E" w:rsidRPr="00C412B1">
        <w:rPr>
          <w:u w:val="single"/>
        </w:rPr>
        <w:t xml:space="preserve"> </w:t>
      </w:r>
      <w:r w:rsidR="00167BD2" w:rsidRPr="00C412B1">
        <w:rPr>
          <w:u w:val="single"/>
        </w:rPr>
        <w:t>(Tables 1.10, 1.10</w:t>
      </w:r>
      <w:r w:rsidRPr="00C412B1">
        <w:rPr>
          <w:u w:val="single"/>
        </w:rPr>
        <w:t xml:space="preserve">a and </w:t>
      </w:r>
      <w:r w:rsidR="000C5549" w:rsidRPr="00C412B1">
        <w:rPr>
          <w:u w:val="single"/>
        </w:rPr>
        <w:t>1</w:t>
      </w:r>
      <w:r w:rsidR="00167BD2" w:rsidRPr="00C412B1">
        <w:rPr>
          <w:u w:val="single"/>
        </w:rPr>
        <w:t>.10</w:t>
      </w:r>
      <w:r w:rsidRPr="00C412B1">
        <w:rPr>
          <w:u w:val="single"/>
        </w:rPr>
        <w:t>b)</w:t>
      </w:r>
    </w:p>
    <w:p w:rsidR="003D4150" w:rsidRPr="00C412B1" w:rsidRDefault="003D4150" w:rsidP="00BB05E2">
      <w:pPr>
        <w:spacing w:before="0" w:after="0" w:line="270" w:lineRule="atLeast"/>
        <w:jc w:val="both"/>
        <w:rPr>
          <w:u w:val="single"/>
        </w:rPr>
      </w:pPr>
    </w:p>
    <w:p w:rsidR="00C877B7" w:rsidRPr="00C412B1" w:rsidRDefault="00C877B7" w:rsidP="00C412B1">
      <w:pPr>
        <w:spacing w:before="0" w:after="0" w:line="270" w:lineRule="atLeast"/>
        <w:jc w:val="both"/>
        <w:rPr>
          <w:bCs/>
        </w:rPr>
      </w:pPr>
      <w:r w:rsidRPr="00C412B1">
        <w:rPr>
          <w:bCs/>
        </w:rPr>
        <w:t xml:space="preserve">Table </w:t>
      </w:r>
      <w:r w:rsidR="00167BD2" w:rsidRPr="00C412B1">
        <w:rPr>
          <w:bCs/>
        </w:rPr>
        <w:t>1.10</w:t>
      </w:r>
      <w:r w:rsidRPr="00C412B1">
        <w:rPr>
          <w:bCs/>
        </w:rPr>
        <w:t xml:space="preserve"> presents the regional breakdown of </w:t>
      </w:r>
      <w:r w:rsidR="003D4150" w:rsidRPr="00C412B1">
        <w:rPr>
          <w:bCs/>
        </w:rPr>
        <w:t xml:space="preserve">properties where measures were installed following Cashback payment up to </w:t>
      </w:r>
      <w:r w:rsidR="00335295" w:rsidRPr="00C412B1">
        <w:rPr>
          <w:bCs/>
        </w:rPr>
        <w:t>30</w:t>
      </w:r>
      <w:r w:rsidR="00335295" w:rsidRPr="00C412B1">
        <w:rPr>
          <w:bCs/>
          <w:vertAlign w:val="superscript"/>
        </w:rPr>
        <w:t>th</w:t>
      </w:r>
      <w:r w:rsidR="00335295" w:rsidRPr="00C412B1">
        <w:rPr>
          <w:bCs/>
        </w:rPr>
        <w:t xml:space="preserve"> </w:t>
      </w:r>
      <w:r w:rsidR="00BF740F" w:rsidRPr="00C412B1">
        <w:rPr>
          <w:bCs/>
        </w:rPr>
        <w:t>September</w:t>
      </w:r>
      <w:r w:rsidR="002035D4" w:rsidRPr="00C412B1">
        <w:rPr>
          <w:bCs/>
        </w:rPr>
        <w:t xml:space="preserve"> 2014</w:t>
      </w:r>
      <w:r w:rsidRPr="00C412B1">
        <w:rPr>
          <w:bCs/>
        </w:rPr>
        <w:t xml:space="preserve">. Tables </w:t>
      </w:r>
      <w:r w:rsidR="00167BD2" w:rsidRPr="00C412B1">
        <w:rPr>
          <w:bCs/>
        </w:rPr>
        <w:t>1.10</w:t>
      </w:r>
      <w:r w:rsidR="000F3D99" w:rsidRPr="00C412B1">
        <w:rPr>
          <w:bCs/>
        </w:rPr>
        <w:t>a and 1.</w:t>
      </w:r>
      <w:r w:rsidR="00167BD2" w:rsidRPr="00C412B1">
        <w:rPr>
          <w:bCs/>
        </w:rPr>
        <w:t>10</w:t>
      </w:r>
      <w:r w:rsidRPr="00C412B1">
        <w:rPr>
          <w:bCs/>
        </w:rPr>
        <w:t xml:space="preserve">b present </w:t>
      </w:r>
      <w:r w:rsidR="003D4150" w:rsidRPr="00C412B1">
        <w:rPr>
          <w:bCs/>
        </w:rPr>
        <w:t>these breakdowns of Cashback properties by</w:t>
      </w:r>
      <w:r w:rsidRPr="00C412B1">
        <w:rPr>
          <w:bCs/>
        </w:rPr>
        <w:t xml:space="preserve"> LA and Parliamentary Constituency in England and Wales</w:t>
      </w:r>
      <w:r w:rsidR="00C412B1" w:rsidRPr="00C412B1">
        <w:rPr>
          <w:rStyle w:val="FootnoteReference"/>
          <w:bCs/>
        </w:rPr>
        <w:footnoteReference w:id="12"/>
      </w:r>
      <w:r w:rsidRPr="00C412B1">
        <w:rPr>
          <w:bCs/>
        </w:rPr>
        <w:t xml:space="preserve"> up to </w:t>
      </w:r>
      <w:r w:rsidR="007F4A26" w:rsidRPr="00C412B1">
        <w:rPr>
          <w:bCs/>
        </w:rPr>
        <w:t>30</w:t>
      </w:r>
      <w:r w:rsidR="007F4A26" w:rsidRPr="00C412B1">
        <w:rPr>
          <w:bCs/>
          <w:vertAlign w:val="superscript"/>
        </w:rPr>
        <w:t>th</w:t>
      </w:r>
      <w:r w:rsidR="007F4A26" w:rsidRPr="00C412B1">
        <w:rPr>
          <w:bCs/>
        </w:rPr>
        <w:t xml:space="preserve"> </w:t>
      </w:r>
      <w:r w:rsidR="00C412B1" w:rsidRPr="00C412B1">
        <w:rPr>
          <w:bCs/>
        </w:rPr>
        <w:t>September</w:t>
      </w:r>
      <w:r w:rsidR="002035D4" w:rsidRPr="00C412B1">
        <w:rPr>
          <w:bCs/>
        </w:rPr>
        <w:t xml:space="preserve"> 2014</w:t>
      </w:r>
      <w:r w:rsidR="00C412B1" w:rsidRPr="00C412B1">
        <w:rPr>
          <w:bCs/>
        </w:rPr>
        <w:t xml:space="preserve"> </w:t>
      </w:r>
      <w:r w:rsidR="00C412B1" w:rsidRPr="00C412B1">
        <w:t>(the end of the scheme).</w:t>
      </w:r>
    </w:p>
    <w:p w:rsidR="00C412B1" w:rsidRPr="00C412B1" w:rsidRDefault="00C412B1" w:rsidP="00C412B1">
      <w:pPr>
        <w:spacing w:before="0" w:after="0" w:line="270" w:lineRule="atLeast"/>
        <w:jc w:val="both"/>
        <w:rPr>
          <w:bCs/>
        </w:rPr>
      </w:pPr>
    </w:p>
    <w:p w:rsidR="00C877B7" w:rsidRPr="00AA2599" w:rsidRDefault="00522088" w:rsidP="00BB05E2">
      <w:pPr>
        <w:spacing w:before="0" w:after="0" w:line="270" w:lineRule="atLeast"/>
        <w:jc w:val="both"/>
        <w:rPr>
          <w:bCs/>
          <w:color w:val="000000" w:themeColor="text1"/>
        </w:rPr>
      </w:pPr>
      <w:r w:rsidRPr="00AA2599">
        <w:rPr>
          <w:bCs/>
          <w:color w:val="000000" w:themeColor="text1"/>
        </w:rPr>
        <w:t xml:space="preserve">There </w:t>
      </w:r>
      <w:r w:rsidR="00C31D96" w:rsidRPr="00AA2599">
        <w:rPr>
          <w:bCs/>
          <w:color w:val="000000" w:themeColor="text1"/>
        </w:rPr>
        <w:t xml:space="preserve">were </w:t>
      </w:r>
      <w:r w:rsidR="004B42FB" w:rsidRPr="00AA2599">
        <w:rPr>
          <w:bCs/>
          <w:color w:val="000000" w:themeColor="text1"/>
        </w:rPr>
        <w:t>6.2</w:t>
      </w:r>
      <w:r w:rsidR="0085228F" w:rsidRPr="00AA2599">
        <w:rPr>
          <w:bCs/>
          <w:color w:val="000000" w:themeColor="text1"/>
        </w:rPr>
        <w:t xml:space="preserve"> </w:t>
      </w:r>
      <w:r w:rsidRPr="00AA2599">
        <w:rPr>
          <w:bCs/>
          <w:color w:val="000000" w:themeColor="text1"/>
        </w:rPr>
        <w:t xml:space="preserve">Cashback </w:t>
      </w:r>
      <w:r w:rsidR="00B47113" w:rsidRPr="00AA2599">
        <w:rPr>
          <w:bCs/>
          <w:color w:val="000000" w:themeColor="text1"/>
        </w:rPr>
        <w:t xml:space="preserve">payments per 10,000 households in England and Wales. The region with the highest number of </w:t>
      </w:r>
      <w:proofErr w:type="spellStart"/>
      <w:r w:rsidR="00B47113" w:rsidRPr="00AA2599">
        <w:rPr>
          <w:bCs/>
          <w:color w:val="000000" w:themeColor="text1"/>
        </w:rPr>
        <w:t>Cashbacks</w:t>
      </w:r>
      <w:proofErr w:type="spellEnd"/>
      <w:r w:rsidR="00B47113" w:rsidRPr="00AA2599">
        <w:rPr>
          <w:bCs/>
          <w:color w:val="000000" w:themeColor="text1"/>
        </w:rPr>
        <w:t xml:space="preserve"> paid per number of households was the North West with </w:t>
      </w:r>
      <w:r w:rsidR="004B42FB" w:rsidRPr="00AA2599">
        <w:rPr>
          <w:bCs/>
          <w:color w:val="000000" w:themeColor="text1"/>
        </w:rPr>
        <w:t>11.1</w:t>
      </w:r>
      <w:r w:rsidR="00C412B1" w:rsidRPr="00AA2599">
        <w:rPr>
          <w:bCs/>
          <w:color w:val="000000" w:themeColor="text1"/>
        </w:rPr>
        <w:t xml:space="preserve"> (</w:t>
      </w:r>
      <w:r w:rsidR="00B47113" w:rsidRPr="00AA2599">
        <w:rPr>
          <w:bCs/>
          <w:color w:val="000000" w:themeColor="text1"/>
        </w:rPr>
        <w:t xml:space="preserve">accounting for </w:t>
      </w:r>
      <w:r w:rsidR="00C412B1" w:rsidRPr="00AA2599">
        <w:rPr>
          <w:bCs/>
          <w:color w:val="000000" w:themeColor="text1"/>
        </w:rPr>
        <w:t>23</w:t>
      </w:r>
      <w:r w:rsidR="00C31D96" w:rsidRPr="00AA2599">
        <w:rPr>
          <w:bCs/>
          <w:color w:val="000000" w:themeColor="text1"/>
        </w:rPr>
        <w:t xml:space="preserve"> per cent</w:t>
      </w:r>
      <w:r w:rsidR="00C877B7" w:rsidRPr="00AA2599">
        <w:rPr>
          <w:bCs/>
          <w:color w:val="000000" w:themeColor="text1"/>
        </w:rPr>
        <w:t xml:space="preserve"> of</w:t>
      </w:r>
      <w:r w:rsidR="00B47113" w:rsidRPr="00AA2599">
        <w:rPr>
          <w:bCs/>
          <w:color w:val="000000" w:themeColor="text1"/>
        </w:rPr>
        <w:t xml:space="preserve"> all</w:t>
      </w:r>
      <w:r w:rsidR="00C412B1" w:rsidRPr="00AA2599">
        <w:rPr>
          <w:bCs/>
          <w:color w:val="000000" w:themeColor="text1"/>
        </w:rPr>
        <w:t xml:space="preserve"> C</w:t>
      </w:r>
      <w:r w:rsidR="00C877B7" w:rsidRPr="00AA2599">
        <w:rPr>
          <w:bCs/>
          <w:color w:val="000000" w:themeColor="text1"/>
        </w:rPr>
        <w:t>ashback vouchers paid</w:t>
      </w:r>
      <w:r w:rsidR="00B47113" w:rsidRPr="00AA2599">
        <w:rPr>
          <w:bCs/>
          <w:color w:val="000000" w:themeColor="text1"/>
        </w:rPr>
        <w:t xml:space="preserve">, </w:t>
      </w:r>
      <w:r w:rsidR="00C877B7" w:rsidRPr="00AA2599">
        <w:rPr>
          <w:bCs/>
          <w:color w:val="000000" w:themeColor="text1"/>
        </w:rPr>
        <w:t>see Table 1</w:t>
      </w:r>
      <w:r w:rsidR="00AC2A11" w:rsidRPr="00AA2599">
        <w:rPr>
          <w:bCs/>
          <w:color w:val="000000" w:themeColor="text1"/>
        </w:rPr>
        <w:t>.</w:t>
      </w:r>
      <w:r w:rsidR="00167BD2" w:rsidRPr="00AA2599">
        <w:rPr>
          <w:bCs/>
          <w:color w:val="000000" w:themeColor="text1"/>
        </w:rPr>
        <w:t>10</w:t>
      </w:r>
      <w:r w:rsidR="00C877B7" w:rsidRPr="00AA2599">
        <w:rPr>
          <w:bCs/>
          <w:color w:val="000000" w:themeColor="text1"/>
        </w:rPr>
        <w:t xml:space="preserve">). </w:t>
      </w:r>
      <w:r w:rsidR="00B47113" w:rsidRPr="00AA2599">
        <w:rPr>
          <w:bCs/>
          <w:color w:val="000000" w:themeColor="text1"/>
        </w:rPr>
        <w:t xml:space="preserve">There were </w:t>
      </w:r>
      <w:r w:rsidR="004B42FB" w:rsidRPr="00AA2599">
        <w:rPr>
          <w:bCs/>
          <w:color w:val="000000" w:themeColor="text1"/>
        </w:rPr>
        <w:t>4.7</w:t>
      </w:r>
      <w:r w:rsidR="00B47113" w:rsidRPr="00AA2599">
        <w:rPr>
          <w:bCs/>
          <w:color w:val="000000" w:themeColor="text1"/>
        </w:rPr>
        <w:t xml:space="preserve"> Cashback payments per 10,000 households in Wales.</w:t>
      </w:r>
      <w:bookmarkStart w:id="34" w:name="ECOmeasures"/>
      <w:bookmarkEnd w:id="34"/>
    </w:p>
    <w:p w:rsidR="00BB05E2" w:rsidRDefault="00BB05E2" w:rsidP="00BB05E2">
      <w:pPr>
        <w:spacing w:before="0" w:after="0" w:line="270" w:lineRule="atLeast"/>
        <w:jc w:val="both"/>
        <w:rPr>
          <w:bCs/>
          <w:highlight w:val="yellow"/>
        </w:rPr>
      </w:pPr>
    </w:p>
    <w:p w:rsidR="0030399C" w:rsidRPr="00637C07" w:rsidRDefault="000F5DE9" w:rsidP="0030399C">
      <w:pPr>
        <w:spacing w:before="0" w:after="0" w:line="270" w:lineRule="atLeast"/>
        <w:jc w:val="both"/>
        <w:rPr>
          <w:u w:val="single"/>
        </w:rPr>
      </w:pPr>
      <w:r w:rsidRPr="00637C07">
        <w:rPr>
          <w:u w:val="single"/>
        </w:rPr>
        <w:t xml:space="preserve">The </w:t>
      </w:r>
      <w:r w:rsidR="00637C07" w:rsidRPr="00637C07">
        <w:rPr>
          <w:u w:val="single"/>
        </w:rPr>
        <w:t>t</w:t>
      </w:r>
      <w:r w:rsidR="0095040F" w:rsidRPr="00637C07">
        <w:rPr>
          <w:u w:val="single"/>
        </w:rPr>
        <w:t xml:space="preserve">enure of properties where measures were installed </w:t>
      </w:r>
      <w:r w:rsidR="0030399C" w:rsidRPr="00637C07">
        <w:rPr>
          <w:u w:val="single"/>
        </w:rPr>
        <w:t xml:space="preserve">using </w:t>
      </w:r>
      <w:r w:rsidR="0095040F" w:rsidRPr="00637C07">
        <w:rPr>
          <w:u w:val="single"/>
        </w:rPr>
        <w:t xml:space="preserve">Cashback </w:t>
      </w:r>
      <w:r w:rsidR="0030399C" w:rsidRPr="00637C07">
        <w:rPr>
          <w:u w:val="single"/>
        </w:rPr>
        <w:t>(T</w:t>
      </w:r>
      <w:r w:rsidR="0095040F" w:rsidRPr="00637C07">
        <w:rPr>
          <w:u w:val="single"/>
        </w:rPr>
        <w:t>able 1.10c</w:t>
      </w:r>
      <w:r w:rsidR="0030399C" w:rsidRPr="00637C07">
        <w:rPr>
          <w:u w:val="single"/>
        </w:rPr>
        <w:t>)</w:t>
      </w:r>
    </w:p>
    <w:p w:rsidR="0030399C" w:rsidRPr="00637C07" w:rsidRDefault="0030399C" w:rsidP="0030399C">
      <w:pPr>
        <w:spacing w:before="0" w:after="0" w:line="270" w:lineRule="atLeast"/>
        <w:jc w:val="both"/>
      </w:pPr>
    </w:p>
    <w:p w:rsidR="0095040F" w:rsidRPr="0030399C" w:rsidRDefault="0030399C" w:rsidP="0030399C">
      <w:pPr>
        <w:spacing w:before="0" w:after="0" w:line="270" w:lineRule="atLeast"/>
        <w:jc w:val="both"/>
      </w:pPr>
      <w:r w:rsidRPr="00637C07">
        <w:t>Around 91 per cent of properties that had installed measures using Cashback were owner-occupied. Eight per cent were in the social rented sector and two per cent were in the private rented sector (see Table 1.10c).</w:t>
      </w:r>
    </w:p>
    <w:p w:rsidR="0095040F" w:rsidRPr="0095040F" w:rsidRDefault="0095040F" w:rsidP="0095040F"/>
    <w:p w:rsidR="0095040F" w:rsidRPr="00BF740F" w:rsidRDefault="0095040F" w:rsidP="0095040F">
      <w:pPr>
        <w:pStyle w:val="Heading2"/>
        <w:spacing w:before="0" w:after="0"/>
      </w:pPr>
      <w:bookmarkStart w:id="35" w:name="_Toc406514282"/>
      <w:r>
        <w:t>Green Deal Home Improvement Fund</w:t>
      </w:r>
      <w:r w:rsidRPr="00BF740F">
        <w:t xml:space="preserve"> measures installed, up to 30</w:t>
      </w:r>
      <w:r w:rsidRPr="00BF740F">
        <w:rPr>
          <w:vertAlign w:val="superscript"/>
        </w:rPr>
        <w:t>th</w:t>
      </w:r>
      <w:r w:rsidRPr="00BF740F">
        <w:t xml:space="preserve"> September 2014</w:t>
      </w:r>
      <w:bookmarkEnd w:id="35"/>
    </w:p>
    <w:p w:rsidR="0095040F" w:rsidRPr="00BF740F" w:rsidRDefault="0095040F" w:rsidP="0095040F">
      <w:pPr>
        <w:pStyle w:val="ListParagraph"/>
        <w:ind w:left="0"/>
        <w:contextualSpacing/>
        <w:jc w:val="both"/>
        <w:rPr>
          <w:rFonts w:ascii="Arial" w:hAnsi="Arial" w:cs="Arial"/>
          <w:b/>
        </w:rPr>
      </w:pPr>
    </w:p>
    <w:p w:rsidR="0095040F" w:rsidRPr="00BF740F" w:rsidRDefault="000F5DE9" w:rsidP="000F5DE9">
      <w:pPr>
        <w:spacing w:before="0" w:after="0" w:line="240" w:lineRule="auto"/>
        <w:jc w:val="both"/>
      </w:pPr>
      <w:r w:rsidRPr="00E25B06">
        <w:rPr>
          <w:iCs/>
          <w:color w:val="000000"/>
          <w:szCs w:val="24"/>
          <w:lang w:eastAsia="en-GB"/>
        </w:rPr>
        <w:t xml:space="preserve">The Green Deal Home Improvement Fund (GDHIF) </w:t>
      </w:r>
      <w:r>
        <w:rPr>
          <w:iCs/>
          <w:color w:val="000000"/>
          <w:szCs w:val="24"/>
          <w:lang w:eastAsia="en-GB"/>
        </w:rPr>
        <w:t>i</w:t>
      </w:r>
      <w:r w:rsidRPr="00E25B06">
        <w:rPr>
          <w:iCs/>
          <w:color w:val="000000"/>
          <w:szCs w:val="24"/>
          <w:lang w:eastAsia="en-GB"/>
        </w:rPr>
        <w:t>s an incentive scheme open to all householders in England and Wales wanting to improve the energy efficiency of</w:t>
      </w:r>
      <w:r>
        <w:rPr>
          <w:iCs/>
          <w:color w:val="000000"/>
          <w:szCs w:val="24"/>
          <w:lang w:eastAsia="en-GB"/>
        </w:rPr>
        <w:t xml:space="preserve"> their homes. The scheme allows</w:t>
      </w:r>
      <w:r w:rsidRPr="00E25B06">
        <w:rPr>
          <w:iCs/>
          <w:color w:val="000000"/>
          <w:szCs w:val="24"/>
          <w:lang w:eastAsia="en-GB"/>
        </w:rPr>
        <w:t xml:space="preserve"> householders to choos</w:t>
      </w:r>
      <w:r w:rsidRPr="00411A58">
        <w:rPr>
          <w:iCs/>
          <w:color w:val="000000"/>
          <w:szCs w:val="24"/>
          <w:lang w:eastAsia="en-GB"/>
        </w:rPr>
        <w:t>e one or both of two offers available and they are eligible to claim up to £7,600. The Green Deal Home Improvement Fund (GDHIF) opened in June 2014 and closed to new applicants at 6:30pm on 24 July 2014</w:t>
      </w:r>
      <w:r w:rsidR="00411A58">
        <w:rPr>
          <w:iCs/>
          <w:color w:val="000000"/>
          <w:szCs w:val="24"/>
          <w:lang w:eastAsia="en-GB"/>
        </w:rPr>
        <w:t>.</w:t>
      </w:r>
      <w:r w:rsidRPr="00411A58">
        <w:rPr>
          <w:iCs/>
          <w:color w:val="000000"/>
          <w:szCs w:val="24"/>
          <w:lang w:eastAsia="en-GB"/>
        </w:rPr>
        <w:t xml:space="preserve"> </w:t>
      </w:r>
      <w:r w:rsidR="00AF605E" w:rsidRPr="005104F7">
        <w:rPr>
          <w:iCs/>
          <w:color w:val="000000"/>
          <w:szCs w:val="24"/>
          <w:lang w:eastAsia="en-GB"/>
        </w:rPr>
        <w:t xml:space="preserve">GDHIF </w:t>
      </w:r>
      <w:r w:rsidR="00AF605E">
        <w:rPr>
          <w:iCs/>
          <w:color w:val="000000"/>
          <w:szCs w:val="24"/>
          <w:lang w:eastAsia="en-GB"/>
        </w:rPr>
        <w:t>release 2</w:t>
      </w:r>
      <w:r w:rsidR="00AF605E" w:rsidRPr="005104F7">
        <w:rPr>
          <w:iCs/>
          <w:color w:val="000000"/>
          <w:szCs w:val="24"/>
          <w:lang w:eastAsia="en-GB"/>
        </w:rPr>
        <w:t xml:space="preserve"> commenced on 10 December 2014.</w:t>
      </w:r>
      <w:r w:rsidR="00AF605E">
        <w:rPr>
          <w:iCs/>
          <w:color w:val="000000"/>
          <w:szCs w:val="24"/>
          <w:lang w:eastAsia="en-GB"/>
        </w:rPr>
        <w:t xml:space="preserve"> Under GDHIF release 1 t</w:t>
      </w:r>
      <w:r w:rsidR="0095040F" w:rsidRPr="00411A58">
        <w:t xml:space="preserve">here were </w:t>
      </w:r>
      <w:r w:rsidRPr="00411A58">
        <w:t>6,611</w:t>
      </w:r>
      <w:r w:rsidR="0095040F" w:rsidRPr="00411A58">
        <w:t xml:space="preserve"> </w:t>
      </w:r>
      <w:r w:rsidR="00EB27AA">
        <w:t xml:space="preserve">GDHIF vouchers paid </w:t>
      </w:r>
      <w:r w:rsidR="009B37E8">
        <w:t xml:space="preserve">(to 6,603 individual households) </w:t>
      </w:r>
      <w:r w:rsidR="00EB27AA">
        <w:t>following installation of measures</w:t>
      </w:r>
      <w:r w:rsidR="00411A58" w:rsidRPr="00411A58">
        <w:t xml:space="preserve"> </w:t>
      </w:r>
      <w:r w:rsidR="0095040F" w:rsidRPr="00411A58">
        <w:t>up to 30</w:t>
      </w:r>
      <w:r w:rsidR="0095040F" w:rsidRPr="00411A58">
        <w:rPr>
          <w:vertAlign w:val="superscript"/>
        </w:rPr>
        <w:t>th</w:t>
      </w:r>
      <w:r w:rsidR="0095040F" w:rsidRPr="00411A58">
        <w:t xml:space="preserve"> September 2014</w:t>
      </w:r>
      <w:r w:rsidR="00411A58">
        <w:rPr>
          <w:rStyle w:val="FootnoteReference"/>
        </w:rPr>
        <w:footnoteReference w:id="13"/>
      </w:r>
      <w:r w:rsidR="0095040F" w:rsidRPr="00411A58">
        <w:t>.</w:t>
      </w:r>
    </w:p>
    <w:p w:rsidR="0095040F" w:rsidRPr="00BF740F" w:rsidRDefault="0095040F" w:rsidP="0095040F">
      <w:pPr>
        <w:spacing w:before="0" w:after="0" w:line="270" w:lineRule="atLeast"/>
        <w:jc w:val="both"/>
      </w:pPr>
    </w:p>
    <w:p w:rsidR="00F57E12" w:rsidRDefault="00F57E12" w:rsidP="0095040F">
      <w:pPr>
        <w:spacing w:before="0" w:after="0" w:line="270" w:lineRule="atLeast"/>
        <w:jc w:val="both"/>
        <w:rPr>
          <w:u w:val="single"/>
        </w:rPr>
      </w:pPr>
    </w:p>
    <w:p w:rsidR="00F57E12" w:rsidRDefault="00F57E12" w:rsidP="0095040F">
      <w:pPr>
        <w:spacing w:before="0" w:after="0" w:line="270" w:lineRule="atLeast"/>
        <w:jc w:val="both"/>
        <w:rPr>
          <w:u w:val="single"/>
        </w:rPr>
      </w:pPr>
    </w:p>
    <w:p w:rsidR="0095040F" w:rsidRPr="00411A58" w:rsidRDefault="0095040F" w:rsidP="0095040F">
      <w:pPr>
        <w:spacing w:before="0" w:after="0" w:line="270" w:lineRule="atLeast"/>
        <w:jc w:val="both"/>
        <w:rPr>
          <w:u w:val="single"/>
        </w:rPr>
      </w:pPr>
      <w:r w:rsidRPr="00411A58">
        <w:rPr>
          <w:u w:val="single"/>
        </w:rPr>
        <w:lastRenderedPageBreak/>
        <w:t xml:space="preserve">Geographic location of properties where measures were installed </w:t>
      </w:r>
      <w:r w:rsidR="000F5DE9" w:rsidRPr="00411A58">
        <w:rPr>
          <w:u w:val="single"/>
        </w:rPr>
        <w:t>using GDHIF</w:t>
      </w:r>
      <w:r w:rsidRPr="00411A58">
        <w:rPr>
          <w:u w:val="single"/>
        </w:rPr>
        <w:t xml:space="preserve"> payment, up to 30</w:t>
      </w:r>
      <w:r w:rsidRPr="00411A58">
        <w:rPr>
          <w:u w:val="single"/>
          <w:vertAlign w:val="superscript"/>
        </w:rPr>
        <w:t>th</w:t>
      </w:r>
      <w:r w:rsidRPr="00411A58">
        <w:rPr>
          <w:u w:val="single"/>
        </w:rPr>
        <w:t xml:space="preserve"> September 2014 (Tables 1.10</w:t>
      </w:r>
      <w:r w:rsidR="000F5DE9" w:rsidRPr="00411A58">
        <w:rPr>
          <w:u w:val="single"/>
        </w:rPr>
        <w:t>d, 1.10e and 1.10f</w:t>
      </w:r>
      <w:r w:rsidRPr="00411A58">
        <w:rPr>
          <w:u w:val="single"/>
        </w:rPr>
        <w:t>)</w:t>
      </w:r>
    </w:p>
    <w:p w:rsidR="0095040F" w:rsidRPr="00BF740F" w:rsidRDefault="0095040F" w:rsidP="0095040F">
      <w:pPr>
        <w:spacing w:before="0" w:after="0" w:line="270" w:lineRule="atLeast"/>
        <w:jc w:val="both"/>
        <w:rPr>
          <w:highlight w:val="yellow"/>
          <w:u w:val="single"/>
        </w:rPr>
      </w:pPr>
    </w:p>
    <w:p w:rsidR="0095040F" w:rsidRPr="00411A58" w:rsidRDefault="00AF605E" w:rsidP="0095040F">
      <w:pPr>
        <w:spacing w:before="0" w:after="0" w:line="270" w:lineRule="atLeast"/>
        <w:jc w:val="both"/>
        <w:rPr>
          <w:bCs/>
        </w:rPr>
      </w:pPr>
      <w:r>
        <w:rPr>
          <w:color w:val="000000"/>
          <w:lang w:eastAsia="en-GB"/>
        </w:rPr>
        <w:t xml:space="preserve">For the first time this release includes </w:t>
      </w:r>
      <w:r w:rsidRPr="008A71F1">
        <w:rPr>
          <w:color w:val="000000"/>
          <w:lang w:eastAsia="en-GB"/>
        </w:rPr>
        <w:t>geographical breakdowns</w:t>
      </w:r>
      <w:r>
        <w:rPr>
          <w:color w:val="000000"/>
          <w:lang w:eastAsia="en-GB"/>
        </w:rPr>
        <w:t xml:space="preserve"> of GDHIF</w:t>
      </w:r>
      <w:r>
        <w:rPr>
          <w:bCs/>
        </w:rPr>
        <w:t xml:space="preserve">. </w:t>
      </w:r>
      <w:r w:rsidR="0095040F" w:rsidRPr="00411A58">
        <w:rPr>
          <w:bCs/>
        </w:rPr>
        <w:t>Table 1.10</w:t>
      </w:r>
      <w:r w:rsidR="00411A58" w:rsidRPr="00411A58">
        <w:rPr>
          <w:bCs/>
        </w:rPr>
        <w:t>d</w:t>
      </w:r>
      <w:r w:rsidR="0095040F" w:rsidRPr="00411A58">
        <w:rPr>
          <w:bCs/>
        </w:rPr>
        <w:t xml:space="preserve"> presents the regional breakdown of properties where measures were installed </w:t>
      </w:r>
      <w:r w:rsidR="00411A58" w:rsidRPr="00411A58">
        <w:rPr>
          <w:bCs/>
        </w:rPr>
        <w:t>with GDHIF</w:t>
      </w:r>
      <w:r w:rsidR="0095040F" w:rsidRPr="00411A58">
        <w:rPr>
          <w:bCs/>
        </w:rPr>
        <w:t xml:space="preserve"> payment up to 30</w:t>
      </w:r>
      <w:r w:rsidR="0095040F" w:rsidRPr="00411A58">
        <w:rPr>
          <w:bCs/>
          <w:vertAlign w:val="superscript"/>
        </w:rPr>
        <w:t>th</w:t>
      </w:r>
      <w:r w:rsidR="0095040F" w:rsidRPr="00411A58">
        <w:rPr>
          <w:bCs/>
        </w:rPr>
        <w:t xml:space="preserve"> September 2014. Tables 1.10</w:t>
      </w:r>
      <w:r w:rsidR="00411A58" w:rsidRPr="00411A58">
        <w:rPr>
          <w:bCs/>
        </w:rPr>
        <w:t>e and 1.10f</w:t>
      </w:r>
      <w:r w:rsidR="0095040F" w:rsidRPr="00411A58">
        <w:rPr>
          <w:bCs/>
        </w:rPr>
        <w:t xml:space="preserve"> present these breakdowns of </w:t>
      </w:r>
      <w:r w:rsidR="00411A58" w:rsidRPr="00411A58">
        <w:rPr>
          <w:bCs/>
        </w:rPr>
        <w:t>GDHIF</w:t>
      </w:r>
      <w:r w:rsidR="0095040F" w:rsidRPr="00411A58">
        <w:rPr>
          <w:bCs/>
        </w:rPr>
        <w:t xml:space="preserve"> properties by LA and Parliamentary Constituency in England and Wales up to 30</w:t>
      </w:r>
      <w:r w:rsidR="0095040F" w:rsidRPr="00411A58">
        <w:rPr>
          <w:bCs/>
          <w:vertAlign w:val="superscript"/>
        </w:rPr>
        <w:t>th</w:t>
      </w:r>
      <w:r w:rsidR="0095040F" w:rsidRPr="00411A58">
        <w:rPr>
          <w:bCs/>
        </w:rPr>
        <w:t xml:space="preserve"> </w:t>
      </w:r>
      <w:r w:rsidR="00411A58" w:rsidRPr="00411A58">
        <w:rPr>
          <w:bCs/>
        </w:rPr>
        <w:t>September</w:t>
      </w:r>
      <w:r w:rsidR="0095040F" w:rsidRPr="00411A58">
        <w:rPr>
          <w:bCs/>
        </w:rPr>
        <w:t xml:space="preserve"> 2014</w:t>
      </w:r>
      <w:r w:rsidR="0095040F" w:rsidRPr="00411A58">
        <w:rPr>
          <w:rStyle w:val="FootnoteReference"/>
          <w:bCs/>
        </w:rPr>
        <w:footnoteReference w:id="14"/>
      </w:r>
      <w:r w:rsidR="0095040F" w:rsidRPr="00411A58">
        <w:rPr>
          <w:bCs/>
        </w:rPr>
        <w:t>.</w:t>
      </w:r>
    </w:p>
    <w:p w:rsidR="00890B6C" w:rsidRDefault="00890B6C" w:rsidP="0095040F">
      <w:pPr>
        <w:spacing w:before="0" w:after="0" w:line="270" w:lineRule="atLeast"/>
        <w:jc w:val="both"/>
        <w:rPr>
          <w:bCs/>
        </w:rPr>
      </w:pPr>
    </w:p>
    <w:p w:rsidR="0095040F" w:rsidRDefault="0095040F" w:rsidP="0095040F">
      <w:pPr>
        <w:spacing w:before="0" w:after="0" w:line="270" w:lineRule="atLeast"/>
        <w:jc w:val="both"/>
        <w:rPr>
          <w:bCs/>
        </w:rPr>
      </w:pPr>
      <w:r w:rsidRPr="008E730B">
        <w:rPr>
          <w:bCs/>
        </w:rPr>
        <w:t xml:space="preserve">There </w:t>
      </w:r>
      <w:r w:rsidRPr="00670C6B">
        <w:rPr>
          <w:bCs/>
        </w:rPr>
        <w:t xml:space="preserve">were </w:t>
      </w:r>
      <w:r w:rsidR="00637C07" w:rsidRPr="00670C6B">
        <w:rPr>
          <w:bCs/>
        </w:rPr>
        <w:t>2</w:t>
      </w:r>
      <w:r w:rsidRPr="00670C6B">
        <w:rPr>
          <w:bCs/>
        </w:rPr>
        <w:t xml:space="preserve">.8 </w:t>
      </w:r>
      <w:r w:rsidR="00637C07" w:rsidRPr="00670C6B">
        <w:rPr>
          <w:bCs/>
        </w:rPr>
        <w:t>GDHIF</w:t>
      </w:r>
      <w:r w:rsidRPr="00670C6B">
        <w:rPr>
          <w:bCs/>
        </w:rPr>
        <w:t xml:space="preserve"> payments per 10,000 househ</w:t>
      </w:r>
      <w:r w:rsidR="003A01D0" w:rsidRPr="00670C6B">
        <w:rPr>
          <w:bCs/>
        </w:rPr>
        <w:t>olds in England and Wales. The area</w:t>
      </w:r>
      <w:r w:rsidRPr="00670C6B">
        <w:rPr>
          <w:bCs/>
        </w:rPr>
        <w:t xml:space="preserve"> with the highest number of </w:t>
      </w:r>
      <w:r w:rsidR="003A01D0" w:rsidRPr="00670C6B">
        <w:rPr>
          <w:bCs/>
        </w:rPr>
        <w:t>GDHIF voucher payments</w:t>
      </w:r>
      <w:r w:rsidRPr="00670C6B">
        <w:rPr>
          <w:bCs/>
        </w:rPr>
        <w:t xml:space="preserve"> p</w:t>
      </w:r>
      <w:r w:rsidR="003A01D0" w:rsidRPr="00670C6B">
        <w:rPr>
          <w:bCs/>
        </w:rPr>
        <w:t xml:space="preserve">er number of households was Wales </w:t>
      </w:r>
      <w:r w:rsidRPr="00670C6B">
        <w:rPr>
          <w:bCs/>
        </w:rPr>
        <w:t xml:space="preserve">with </w:t>
      </w:r>
      <w:r w:rsidR="000E07C4" w:rsidRPr="00670C6B">
        <w:rPr>
          <w:bCs/>
        </w:rPr>
        <w:t>7.5</w:t>
      </w:r>
      <w:r w:rsidR="003A01D0" w:rsidRPr="00670C6B">
        <w:rPr>
          <w:bCs/>
        </w:rPr>
        <w:t xml:space="preserve"> </w:t>
      </w:r>
      <w:r w:rsidRPr="00670C6B">
        <w:rPr>
          <w:bCs/>
        </w:rPr>
        <w:t xml:space="preserve">(accounting for </w:t>
      </w:r>
      <w:r w:rsidR="000E07C4" w:rsidRPr="00670C6B">
        <w:rPr>
          <w:bCs/>
        </w:rPr>
        <w:t>15</w:t>
      </w:r>
      <w:r w:rsidRPr="00670C6B">
        <w:rPr>
          <w:bCs/>
        </w:rPr>
        <w:t xml:space="preserve"> per cent of all </w:t>
      </w:r>
      <w:r w:rsidR="003A01D0" w:rsidRPr="00670C6B">
        <w:rPr>
          <w:bCs/>
        </w:rPr>
        <w:t>GDHIF</w:t>
      </w:r>
      <w:r w:rsidR="000E07C4" w:rsidRPr="00670C6B">
        <w:rPr>
          <w:bCs/>
        </w:rPr>
        <w:t xml:space="preserve"> </w:t>
      </w:r>
      <w:r w:rsidRPr="00670C6B">
        <w:rPr>
          <w:bCs/>
        </w:rPr>
        <w:t>vouchers paid, see Table 1.10</w:t>
      </w:r>
      <w:r w:rsidR="003A01D0" w:rsidRPr="00670C6B">
        <w:rPr>
          <w:bCs/>
        </w:rPr>
        <w:t>d</w:t>
      </w:r>
      <w:r w:rsidRPr="00670C6B">
        <w:rPr>
          <w:bCs/>
        </w:rPr>
        <w:t xml:space="preserve">). </w:t>
      </w:r>
    </w:p>
    <w:p w:rsidR="00AF605E" w:rsidRPr="008E730B" w:rsidRDefault="00AF605E" w:rsidP="0095040F">
      <w:pPr>
        <w:spacing w:before="0" w:after="0" w:line="270" w:lineRule="atLeast"/>
        <w:jc w:val="both"/>
        <w:rPr>
          <w:bCs/>
        </w:rPr>
      </w:pPr>
    </w:p>
    <w:p w:rsidR="00637C07" w:rsidRPr="008E730B" w:rsidRDefault="00637C07" w:rsidP="00637C07">
      <w:pPr>
        <w:spacing w:before="0" w:after="0" w:line="270" w:lineRule="atLeast"/>
        <w:jc w:val="both"/>
        <w:rPr>
          <w:u w:val="single"/>
        </w:rPr>
      </w:pPr>
      <w:r w:rsidRPr="008E730B">
        <w:rPr>
          <w:u w:val="single"/>
        </w:rPr>
        <w:t>The tenure of properties where measures were installed using GDHIF (Table 1.10</w:t>
      </w:r>
      <w:r w:rsidR="008E730B" w:rsidRPr="008E730B">
        <w:rPr>
          <w:u w:val="single"/>
        </w:rPr>
        <w:t>g</w:t>
      </w:r>
      <w:r w:rsidR="009B37E8">
        <w:rPr>
          <w:u w:val="single"/>
        </w:rPr>
        <w:t>)</w:t>
      </w:r>
    </w:p>
    <w:p w:rsidR="00637C07" w:rsidRPr="008E730B" w:rsidRDefault="00637C07" w:rsidP="00637C07">
      <w:pPr>
        <w:spacing w:before="0" w:after="0" w:line="270" w:lineRule="atLeast"/>
        <w:jc w:val="both"/>
      </w:pPr>
    </w:p>
    <w:p w:rsidR="00637C07" w:rsidRPr="0030399C" w:rsidRDefault="00BF5086" w:rsidP="00637C07">
      <w:pPr>
        <w:spacing w:before="0" w:after="0" w:line="270" w:lineRule="atLeast"/>
        <w:jc w:val="both"/>
      </w:pPr>
      <w:r>
        <w:rPr>
          <w:color w:val="000000"/>
          <w:lang w:eastAsia="en-GB"/>
        </w:rPr>
        <w:t>Also for the first time this release includes tenure</w:t>
      </w:r>
      <w:r w:rsidRPr="008A71F1">
        <w:rPr>
          <w:color w:val="000000"/>
          <w:lang w:eastAsia="en-GB"/>
        </w:rPr>
        <w:t xml:space="preserve"> breakdowns</w:t>
      </w:r>
      <w:r>
        <w:rPr>
          <w:color w:val="000000"/>
          <w:lang w:eastAsia="en-GB"/>
        </w:rPr>
        <w:t xml:space="preserve"> of GDHIF.</w:t>
      </w:r>
      <w:r w:rsidRPr="008E730B">
        <w:t xml:space="preserve"> </w:t>
      </w:r>
      <w:r w:rsidR="00637C07" w:rsidRPr="008E730B">
        <w:t xml:space="preserve">Around </w:t>
      </w:r>
      <w:r w:rsidR="008E730B" w:rsidRPr="008E730B">
        <w:t>87</w:t>
      </w:r>
      <w:r w:rsidR="00637C07" w:rsidRPr="008E730B">
        <w:t xml:space="preserve"> per cent of properties that had installed measures using </w:t>
      </w:r>
      <w:r w:rsidR="00D55A0A">
        <w:t>GDHIF</w:t>
      </w:r>
      <w:r w:rsidR="00637C07" w:rsidRPr="008E730B">
        <w:t xml:space="preserve"> were owner-occupied. </w:t>
      </w:r>
      <w:r w:rsidR="008E730B" w:rsidRPr="008E730B">
        <w:t xml:space="preserve">12 </w:t>
      </w:r>
      <w:r w:rsidR="00637C07" w:rsidRPr="008E730B">
        <w:t xml:space="preserve">per cent were in the </w:t>
      </w:r>
      <w:r w:rsidR="008E730B" w:rsidRPr="008E730B">
        <w:t xml:space="preserve">private </w:t>
      </w:r>
      <w:r w:rsidR="00637C07" w:rsidRPr="008E730B">
        <w:t xml:space="preserve">rented sector and </w:t>
      </w:r>
      <w:r w:rsidR="008E730B" w:rsidRPr="008E730B">
        <w:t>one</w:t>
      </w:r>
      <w:r w:rsidR="00637C07" w:rsidRPr="008E730B">
        <w:t xml:space="preserve"> per cent were in the </w:t>
      </w:r>
      <w:r w:rsidR="008E730B" w:rsidRPr="008E730B">
        <w:t>social</w:t>
      </w:r>
      <w:r w:rsidR="00637C07" w:rsidRPr="008E730B">
        <w:t xml:space="preserve"> rented sector</w:t>
      </w:r>
      <w:r w:rsidR="008E730B" w:rsidRPr="008E730B">
        <w:t xml:space="preserve"> (see Table 1.10g</w:t>
      </w:r>
      <w:r w:rsidR="00637C07" w:rsidRPr="008E730B">
        <w:t>).</w:t>
      </w:r>
    </w:p>
    <w:p w:rsidR="0095040F" w:rsidRDefault="0095040F" w:rsidP="00BB05E2">
      <w:pPr>
        <w:spacing w:before="0" w:after="0" w:line="270" w:lineRule="atLeast"/>
        <w:jc w:val="both"/>
        <w:rPr>
          <w:bCs/>
          <w:highlight w:val="yellow"/>
        </w:rPr>
      </w:pPr>
    </w:p>
    <w:p w:rsidR="00890B6C" w:rsidRDefault="00890B6C" w:rsidP="00890B6C">
      <w:pPr>
        <w:pStyle w:val="ListParagraph"/>
        <w:ind w:left="0"/>
        <w:contextualSpacing/>
        <w:jc w:val="both"/>
        <w:rPr>
          <w:rFonts w:ascii="Arial" w:hAnsi="Arial" w:cs="Arial"/>
          <w:sz w:val="24"/>
          <w:szCs w:val="24"/>
        </w:rPr>
      </w:pPr>
      <w:bookmarkStart w:id="36" w:name="_Toc406419487"/>
      <w:proofErr w:type="gramStart"/>
      <w:r w:rsidRPr="00B6327B">
        <w:rPr>
          <w:rFonts w:ascii="Arial" w:hAnsi="Arial" w:cs="Arial"/>
          <w:sz w:val="24"/>
          <w:szCs w:val="24"/>
        </w:rPr>
        <w:t xml:space="preserve">Chart </w:t>
      </w:r>
      <w:r>
        <w:rPr>
          <w:rFonts w:ascii="Arial" w:hAnsi="Arial" w:cs="Arial"/>
          <w:sz w:val="24"/>
          <w:szCs w:val="24"/>
        </w:rPr>
        <w:t>1.</w:t>
      </w:r>
      <w:proofErr w:type="gramEnd"/>
      <w:r w:rsidRPr="00B6327B">
        <w:rPr>
          <w:rFonts w:ascii="Arial" w:hAnsi="Arial" w:cs="Arial"/>
          <w:b/>
          <w:sz w:val="24"/>
          <w:szCs w:val="24"/>
        </w:rPr>
        <w:fldChar w:fldCharType="begin"/>
      </w:r>
      <w:r w:rsidRPr="00B6327B">
        <w:rPr>
          <w:rFonts w:ascii="Arial" w:hAnsi="Arial" w:cs="Arial"/>
          <w:sz w:val="24"/>
          <w:szCs w:val="24"/>
        </w:rPr>
        <w:instrText xml:space="preserve"> SEQ Chart \* ARABIC </w:instrText>
      </w:r>
      <w:r w:rsidRPr="00B6327B">
        <w:rPr>
          <w:rFonts w:ascii="Arial" w:hAnsi="Arial" w:cs="Arial"/>
          <w:b/>
          <w:sz w:val="24"/>
          <w:szCs w:val="24"/>
        </w:rPr>
        <w:fldChar w:fldCharType="separate"/>
      </w:r>
      <w:r w:rsidR="006B5574">
        <w:rPr>
          <w:rFonts w:ascii="Arial" w:hAnsi="Arial" w:cs="Arial"/>
          <w:noProof/>
          <w:sz w:val="24"/>
          <w:szCs w:val="24"/>
        </w:rPr>
        <w:t>4</w:t>
      </w:r>
      <w:r w:rsidRPr="00B6327B">
        <w:rPr>
          <w:rFonts w:ascii="Arial" w:hAnsi="Arial" w:cs="Arial"/>
          <w:b/>
          <w:sz w:val="24"/>
          <w:szCs w:val="24"/>
        </w:rPr>
        <w:fldChar w:fldCharType="end"/>
      </w:r>
      <w:r>
        <w:rPr>
          <w:rFonts w:ascii="Arial" w:hAnsi="Arial" w:cs="Arial"/>
          <w:b/>
          <w:sz w:val="24"/>
          <w:szCs w:val="24"/>
        </w:rPr>
        <w:t xml:space="preserve"> </w:t>
      </w:r>
      <w:r w:rsidRPr="00B6327B">
        <w:rPr>
          <w:rFonts w:ascii="Arial" w:hAnsi="Arial" w:cs="Arial"/>
          <w:sz w:val="24"/>
          <w:szCs w:val="24"/>
        </w:rPr>
        <w:t xml:space="preserve">– Percentage </w:t>
      </w:r>
      <w:r>
        <w:rPr>
          <w:rFonts w:ascii="Arial" w:hAnsi="Arial" w:cs="Arial"/>
          <w:sz w:val="24"/>
          <w:szCs w:val="24"/>
        </w:rPr>
        <w:t xml:space="preserve">of households </w:t>
      </w:r>
      <w:r w:rsidRPr="00890B6C">
        <w:rPr>
          <w:rFonts w:ascii="Arial" w:hAnsi="Arial" w:cs="Arial"/>
          <w:sz w:val="24"/>
          <w:szCs w:val="24"/>
        </w:rPr>
        <w:t xml:space="preserve">where GDHIF </w:t>
      </w:r>
      <w:r>
        <w:rPr>
          <w:rFonts w:ascii="Arial" w:hAnsi="Arial" w:cs="Arial"/>
          <w:sz w:val="24"/>
          <w:szCs w:val="24"/>
        </w:rPr>
        <w:t xml:space="preserve">vouchers have been paid </w:t>
      </w:r>
      <w:r w:rsidR="006A773B">
        <w:rPr>
          <w:rFonts w:ascii="Arial" w:hAnsi="Arial" w:cs="Arial"/>
          <w:sz w:val="24"/>
          <w:szCs w:val="24"/>
        </w:rPr>
        <w:t>and England &amp; Wales</w:t>
      </w:r>
      <w:r w:rsidR="006A773B">
        <w:rPr>
          <w:rStyle w:val="FootnoteReference"/>
          <w:rFonts w:ascii="Arial" w:hAnsi="Arial" w:cs="Arial"/>
          <w:sz w:val="24"/>
          <w:szCs w:val="24"/>
        </w:rPr>
        <w:footnoteReference w:id="15"/>
      </w:r>
      <w:r w:rsidRPr="00B6327B">
        <w:rPr>
          <w:rFonts w:ascii="Arial" w:hAnsi="Arial" w:cs="Arial"/>
          <w:sz w:val="24"/>
          <w:szCs w:val="24"/>
        </w:rPr>
        <w:t xml:space="preserve"> properties by tenure, up to </w:t>
      </w:r>
      <w:r>
        <w:rPr>
          <w:rFonts w:ascii="Arial" w:hAnsi="Arial" w:cs="Arial"/>
          <w:sz w:val="24"/>
          <w:szCs w:val="24"/>
        </w:rPr>
        <w:t>30</w:t>
      </w:r>
      <w:r w:rsidRPr="00DB47D0">
        <w:rPr>
          <w:rFonts w:ascii="Arial" w:hAnsi="Arial" w:cs="Arial"/>
          <w:sz w:val="24"/>
          <w:szCs w:val="24"/>
          <w:vertAlign w:val="superscript"/>
        </w:rPr>
        <w:t>th</w:t>
      </w:r>
      <w:r>
        <w:rPr>
          <w:rFonts w:ascii="Arial" w:hAnsi="Arial" w:cs="Arial"/>
          <w:sz w:val="24"/>
          <w:szCs w:val="24"/>
        </w:rPr>
        <w:t xml:space="preserve"> September 2014</w:t>
      </w:r>
      <w:bookmarkEnd w:id="36"/>
    </w:p>
    <w:p w:rsidR="00890B6C" w:rsidRDefault="00890B6C" w:rsidP="00BB05E2">
      <w:pPr>
        <w:spacing w:before="0" w:after="0" w:line="270" w:lineRule="atLeast"/>
        <w:jc w:val="both"/>
        <w:rPr>
          <w:bCs/>
          <w:highlight w:val="yellow"/>
        </w:rPr>
      </w:pPr>
    </w:p>
    <w:p w:rsidR="00890B6C" w:rsidRDefault="006A773B" w:rsidP="00BB05E2">
      <w:pPr>
        <w:spacing w:before="0" w:after="0" w:line="270" w:lineRule="atLeast"/>
        <w:jc w:val="both"/>
        <w:rPr>
          <w:bCs/>
          <w:highlight w:val="yellow"/>
        </w:rPr>
      </w:pPr>
      <w:r>
        <w:rPr>
          <w:bCs/>
          <w:noProof/>
          <w:lang w:eastAsia="en-GB"/>
        </w:rPr>
        <w:drawing>
          <wp:inline distT="0" distB="0" distL="0" distR="0" wp14:anchorId="12C45837" wp14:editId="1178F67F">
            <wp:extent cx="6023610" cy="3035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3610" cy="3035935"/>
                    </a:xfrm>
                    <a:prstGeom prst="rect">
                      <a:avLst/>
                    </a:prstGeom>
                    <a:noFill/>
                  </pic:spPr>
                </pic:pic>
              </a:graphicData>
            </a:graphic>
          </wp:inline>
        </w:drawing>
      </w:r>
    </w:p>
    <w:p w:rsidR="0095040F" w:rsidRPr="00BF740F" w:rsidRDefault="0095040F" w:rsidP="00BB05E2">
      <w:pPr>
        <w:spacing w:before="0" w:after="0" w:line="270" w:lineRule="atLeast"/>
        <w:jc w:val="both"/>
        <w:rPr>
          <w:bCs/>
          <w:highlight w:val="yellow"/>
        </w:rPr>
      </w:pPr>
    </w:p>
    <w:p w:rsidR="00C877B7" w:rsidRPr="00BF740F" w:rsidRDefault="00C877B7" w:rsidP="00BB05E2">
      <w:pPr>
        <w:pStyle w:val="Heading2"/>
        <w:spacing w:before="0" w:after="0"/>
      </w:pPr>
      <w:bookmarkStart w:id="37" w:name="_Toc406514283"/>
      <w:r w:rsidRPr="00BF740F">
        <w:t xml:space="preserve">Measures installed under ECO, up to </w:t>
      </w:r>
      <w:r w:rsidR="007F4A26" w:rsidRPr="00BF740F">
        <w:t>30</w:t>
      </w:r>
      <w:r w:rsidR="007F4A26" w:rsidRPr="00BF740F">
        <w:rPr>
          <w:vertAlign w:val="superscript"/>
        </w:rPr>
        <w:t>th</w:t>
      </w:r>
      <w:r w:rsidR="007F4A26" w:rsidRPr="00BF740F">
        <w:t xml:space="preserve"> </w:t>
      </w:r>
      <w:r w:rsidR="00BF740F" w:rsidRPr="00BF740F">
        <w:t>September</w:t>
      </w:r>
      <w:r w:rsidR="002F723B" w:rsidRPr="00BF740F">
        <w:t xml:space="preserve"> 2014</w:t>
      </w:r>
      <w:bookmarkEnd w:id="37"/>
    </w:p>
    <w:p w:rsidR="008F4B52" w:rsidRPr="00A16536" w:rsidRDefault="008F4B52" w:rsidP="00BB05E2">
      <w:pPr>
        <w:spacing w:before="0" w:after="0"/>
        <w:rPr>
          <w:b/>
          <w:bCs/>
        </w:rPr>
      </w:pPr>
    </w:p>
    <w:p w:rsidR="008F4B52" w:rsidRPr="00A16536" w:rsidRDefault="008F4B52" w:rsidP="00BB05E2">
      <w:pPr>
        <w:spacing w:before="0" w:after="0" w:line="270" w:lineRule="atLeast"/>
        <w:jc w:val="both"/>
        <w:rPr>
          <w:szCs w:val="24"/>
        </w:rPr>
      </w:pPr>
      <w:r w:rsidRPr="00A16536">
        <w:rPr>
          <w:szCs w:val="24"/>
        </w:rPr>
        <w:t xml:space="preserve">The </w:t>
      </w:r>
      <w:hyperlink r:id="rId34" w:history="1">
        <w:r w:rsidRPr="00A16536">
          <w:rPr>
            <w:rStyle w:val="Hyperlink"/>
            <w:rFonts w:ascii="Arial" w:hAnsi="Arial"/>
            <w:szCs w:val="24"/>
          </w:rPr>
          <w:t>Energy Com</w:t>
        </w:r>
        <w:r w:rsidRPr="00A16536">
          <w:rPr>
            <w:rStyle w:val="Hyperlink"/>
            <w:rFonts w:ascii="Arial" w:hAnsi="Arial"/>
            <w:szCs w:val="24"/>
          </w:rPr>
          <w:t>p</w:t>
        </w:r>
        <w:r w:rsidRPr="00A16536">
          <w:rPr>
            <w:rStyle w:val="Hyperlink"/>
            <w:rFonts w:ascii="Arial" w:hAnsi="Arial"/>
            <w:szCs w:val="24"/>
          </w:rPr>
          <w:t>any Obligation</w:t>
        </w:r>
      </w:hyperlink>
      <w:r w:rsidRPr="00A16536">
        <w:rPr>
          <w:szCs w:val="24"/>
        </w:rPr>
        <w:t xml:space="preserve"> (ECO) </w:t>
      </w:r>
      <w:r w:rsidR="00B47286" w:rsidRPr="00A16536">
        <w:rPr>
          <w:lang w:val="en"/>
        </w:rPr>
        <w:t>was introduced in</w:t>
      </w:r>
      <w:r w:rsidR="00970EA9" w:rsidRPr="00A16536">
        <w:rPr>
          <w:lang w:val="en"/>
        </w:rPr>
        <w:t xml:space="preserve"> January 2013 to reduce</w:t>
      </w:r>
      <w:r w:rsidR="00B47286" w:rsidRPr="00A16536">
        <w:rPr>
          <w:lang w:val="en"/>
        </w:rPr>
        <w:t xml:space="preserve"> energy consumption and support people living in fuel poverty. </w:t>
      </w:r>
      <w:r w:rsidRPr="00A16536">
        <w:rPr>
          <w:color w:val="000000"/>
          <w:szCs w:val="24"/>
        </w:rPr>
        <w:t>All measures installed under ECO are provisional until the end of the obligation period as checks are undertaken</w:t>
      </w:r>
      <w:r w:rsidR="0044043D" w:rsidRPr="00A16536">
        <w:rPr>
          <w:color w:val="000000"/>
          <w:szCs w:val="24"/>
        </w:rPr>
        <w:t xml:space="preserve"> by Ofgem</w:t>
      </w:r>
      <w:r w:rsidRPr="00A16536">
        <w:rPr>
          <w:color w:val="000000"/>
          <w:szCs w:val="24"/>
        </w:rPr>
        <w:t xml:space="preserve">. </w:t>
      </w:r>
    </w:p>
    <w:p w:rsidR="008F4B52" w:rsidRPr="00BF740F" w:rsidRDefault="008F4B52" w:rsidP="00BB05E2">
      <w:pPr>
        <w:spacing w:before="0" w:after="0" w:line="270" w:lineRule="atLeast"/>
        <w:jc w:val="both"/>
        <w:rPr>
          <w:highlight w:val="yellow"/>
        </w:rPr>
      </w:pPr>
    </w:p>
    <w:p w:rsidR="00C877B7" w:rsidRPr="00BF740F" w:rsidRDefault="00C877B7" w:rsidP="00BB05E2">
      <w:pPr>
        <w:spacing w:before="0" w:after="0" w:line="270" w:lineRule="atLeast"/>
        <w:jc w:val="both"/>
        <w:rPr>
          <w:u w:val="single"/>
        </w:rPr>
      </w:pPr>
      <w:r w:rsidRPr="00BF740F">
        <w:rPr>
          <w:u w:val="single"/>
        </w:rPr>
        <w:lastRenderedPageBreak/>
        <w:t xml:space="preserve">Geographic location of provisional measures installed under ECO, up to </w:t>
      </w:r>
      <w:r w:rsidR="007F4A26" w:rsidRPr="00BF740F">
        <w:rPr>
          <w:u w:val="single"/>
        </w:rPr>
        <w:t>30</w:t>
      </w:r>
      <w:r w:rsidR="007F4A26" w:rsidRPr="00BF740F">
        <w:rPr>
          <w:u w:val="single"/>
          <w:vertAlign w:val="superscript"/>
        </w:rPr>
        <w:t>th</w:t>
      </w:r>
      <w:r w:rsidR="007F4A26" w:rsidRPr="00BF740F">
        <w:rPr>
          <w:u w:val="single"/>
        </w:rPr>
        <w:t xml:space="preserve"> </w:t>
      </w:r>
      <w:r w:rsidR="00BF740F" w:rsidRPr="00BF740F">
        <w:rPr>
          <w:u w:val="single"/>
        </w:rPr>
        <w:t>September</w:t>
      </w:r>
      <w:r w:rsidR="002035D4" w:rsidRPr="00BF740F">
        <w:rPr>
          <w:u w:val="single"/>
        </w:rPr>
        <w:t xml:space="preserve"> 2014</w:t>
      </w:r>
      <w:r w:rsidR="00AC2A11" w:rsidRPr="00BF740F">
        <w:rPr>
          <w:u w:val="single"/>
        </w:rPr>
        <w:t xml:space="preserve"> (Tables </w:t>
      </w:r>
      <w:r w:rsidR="008C3541" w:rsidRPr="00BF740F">
        <w:rPr>
          <w:u w:val="single"/>
        </w:rPr>
        <w:t>1.</w:t>
      </w:r>
      <w:r w:rsidR="00AC2A11" w:rsidRPr="00BF740F">
        <w:rPr>
          <w:u w:val="single"/>
        </w:rPr>
        <w:t>1</w:t>
      </w:r>
      <w:r w:rsidR="00167BD2" w:rsidRPr="00BF740F">
        <w:rPr>
          <w:u w:val="single"/>
        </w:rPr>
        <w:t>1</w:t>
      </w:r>
      <w:r w:rsidRPr="00BF740F">
        <w:rPr>
          <w:u w:val="single"/>
        </w:rPr>
        <w:t xml:space="preserve">, </w:t>
      </w:r>
      <w:r w:rsidR="008C3541" w:rsidRPr="00BF740F">
        <w:rPr>
          <w:u w:val="single"/>
        </w:rPr>
        <w:t>1.</w:t>
      </w:r>
      <w:r w:rsidR="00167BD2" w:rsidRPr="00BF740F">
        <w:rPr>
          <w:u w:val="single"/>
        </w:rPr>
        <w:t>11</w:t>
      </w:r>
      <w:r w:rsidRPr="00BF740F">
        <w:rPr>
          <w:u w:val="single"/>
        </w:rPr>
        <w:t xml:space="preserve">a and </w:t>
      </w:r>
      <w:r w:rsidR="008C3541" w:rsidRPr="00BF740F">
        <w:rPr>
          <w:u w:val="single"/>
        </w:rPr>
        <w:t>1.</w:t>
      </w:r>
      <w:r w:rsidR="00AC2A11" w:rsidRPr="00BF740F">
        <w:rPr>
          <w:u w:val="single"/>
        </w:rPr>
        <w:t>1</w:t>
      </w:r>
      <w:r w:rsidR="00167BD2" w:rsidRPr="00BF740F">
        <w:rPr>
          <w:u w:val="single"/>
        </w:rPr>
        <w:t>1</w:t>
      </w:r>
      <w:r w:rsidR="000B674F">
        <w:rPr>
          <w:u w:val="single"/>
        </w:rPr>
        <w:t>b</w:t>
      </w:r>
      <w:r w:rsidRPr="00BF740F">
        <w:rPr>
          <w:u w:val="single"/>
        </w:rPr>
        <w:t>)</w:t>
      </w:r>
    </w:p>
    <w:p w:rsidR="008F4B52" w:rsidRPr="00BF740F" w:rsidRDefault="008F4B52" w:rsidP="00BB05E2">
      <w:pPr>
        <w:spacing w:before="0" w:after="0" w:line="270" w:lineRule="atLeast"/>
        <w:jc w:val="both"/>
        <w:rPr>
          <w:bCs/>
          <w:highlight w:val="yellow"/>
        </w:rPr>
      </w:pPr>
    </w:p>
    <w:p w:rsidR="00C877B7" w:rsidRPr="00E026B8" w:rsidRDefault="006E384C" w:rsidP="00BB05E2">
      <w:pPr>
        <w:spacing w:before="0" w:after="0" w:line="270" w:lineRule="atLeast"/>
        <w:jc w:val="both"/>
        <w:rPr>
          <w:bCs/>
        </w:rPr>
      </w:pPr>
      <w:r w:rsidRPr="00DF52C5">
        <w:rPr>
          <w:bCs/>
        </w:rPr>
        <w:t>Tables 1.1</w:t>
      </w:r>
      <w:r w:rsidR="00167BD2" w:rsidRPr="00DF52C5">
        <w:rPr>
          <w:bCs/>
        </w:rPr>
        <w:t>1, 1.11a and 1.11</w:t>
      </w:r>
      <w:r w:rsidR="00C877B7" w:rsidRPr="00DF52C5">
        <w:rPr>
          <w:bCs/>
        </w:rPr>
        <w:t>b present the number of provisional measures installed under ECO, broken down by obl</w:t>
      </w:r>
      <w:r w:rsidRPr="00DF52C5">
        <w:rPr>
          <w:bCs/>
        </w:rPr>
        <w:t>iga</w:t>
      </w:r>
      <w:r w:rsidR="00167BD2" w:rsidRPr="00DF52C5">
        <w:rPr>
          <w:bCs/>
        </w:rPr>
        <w:t>tion, in each region (Table 1.11), LA (Table 1.11</w:t>
      </w:r>
      <w:r w:rsidR="00C877B7" w:rsidRPr="00DF52C5">
        <w:rPr>
          <w:bCs/>
        </w:rPr>
        <w:t>a) and Par</w:t>
      </w:r>
      <w:r w:rsidRPr="00DF52C5">
        <w:rPr>
          <w:bCs/>
        </w:rPr>
        <w:t xml:space="preserve">liamentary </w:t>
      </w:r>
      <w:r w:rsidRPr="00E026B8">
        <w:rPr>
          <w:bCs/>
        </w:rPr>
        <w:t>Constituency (Table 1.1</w:t>
      </w:r>
      <w:r w:rsidR="00167BD2" w:rsidRPr="00E026B8">
        <w:rPr>
          <w:bCs/>
        </w:rPr>
        <w:t>1</w:t>
      </w:r>
      <w:r w:rsidR="00C877B7" w:rsidRPr="00E026B8">
        <w:rPr>
          <w:bCs/>
        </w:rPr>
        <w:t xml:space="preserve">b) up to </w:t>
      </w:r>
      <w:r w:rsidR="007F4A26" w:rsidRPr="00E026B8">
        <w:rPr>
          <w:bCs/>
        </w:rPr>
        <w:t>30</w:t>
      </w:r>
      <w:r w:rsidR="007F4A26" w:rsidRPr="00E026B8">
        <w:rPr>
          <w:bCs/>
          <w:vertAlign w:val="superscript"/>
        </w:rPr>
        <w:t>th</w:t>
      </w:r>
      <w:r w:rsidR="007F4A26" w:rsidRPr="00E026B8">
        <w:rPr>
          <w:bCs/>
        </w:rPr>
        <w:t xml:space="preserve"> </w:t>
      </w:r>
      <w:r w:rsidR="00DF52C5" w:rsidRPr="00E026B8">
        <w:rPr>
          <w:bCs/>
        </w:rPr>
        <w:t>September</w:t>
      </w:r>
      <w:r w:rsidR="002035D4" w:rsidRPr="00E026B8">
        <w:rPr>
          <w:bCs/>
        </w:rPr>
        <w:t xml:space="preserve"> 2014</w:t>
      </w:r>
      <w:r w:rsidR="00C877B7" w:rsidRPr="00E026B8">
        <w:rPr>
          <w:bCs/>
        </w:rPr>
        <w:t>.</w:t>
      </w:r>
    </w:p>
    <w:p w:rsidR="00C877B7" w:rsidRPr="00E026B8" w:rsidRDefault="00C877B7" w:rsidP="00BB05E2">
      <w:pPr>
        <w:spacing w:before="0" w:after="0" w:line="240" w:lineRule="auto"/>
        <w:contextualSpacing/>
        <w:jc w:val="both"/>
        <w:rPr>
          <w:b/>
          <w:bCs/>
        </w:rPr>
      </w:pPr>
    </w:p>
    <w:p w:rsidR="00423B95" w:rsidRPr="00E026B8" w:rsidRDefault="009A7ECE" w:rsidP="00BB05E2">
      <w:pPr>
        <w:spacing w:before="0" w:after="0" w:line="270" w:lineRule="atLeast"/>
        <w:jc w:val="both"/>
      </w:pPr>
      <w:r>
        <w:t>Around one</w:t>
      </w:r>
      <w:r w:rsidR="003D5BF3" w:rsidRPr="00E026B8">
        <w:t xml:space="preserve"> fifth (</w:t>
      </w:r>
      <w:r w:rsidR="00E026B8" w:rsidRPr="00E026B8">
        <w:t xml:space="preserve">20 </w:t>
      </w:r>
      <w:r w:rsidR="00FD5072" w:rsidRPr="00E026B8">
        <w:t>per cent) of ECO measures were in the North West (</w:t>
      </w:r>
      <w:r w:rsidR="007F4A26" w:rsidRPr="00E026B8">
        <w:t>1</w:t>
      </w:r>
      <w:r w:rsidR="00E026B8" w:rsidRPr="00E026B8">
        <w:t>90</w:t>
      </w:r>
      <w:r w:rsidR="003D5BF3" w:rsidRPr="00E026B8">
        <w:t>,</w:t>
      </w:r>
      <w:r>
        <w:t>200</w:t>
      </w:r>
      <w:r w:rsidR="007F4A26" w:rsidRPr="00E026B8">
        <w:t>)</w:t>
      </w:r>
      <w:r w:rsidR="00FD5072" w:rsidRPr="00E026B8">
        <w:t>, the highest in any region. 1</w:t>
      </w:r>
      <w:r w:rsidR="00E026B8" w:rsidRPr="00E026B8">
        <w:t>2</w:t>
      </w:r>
      <w:r w:rsidR="00FD5072" w:rsidRPr="00E026B8">
        <w:t xml:space="preserve"> per cent of ECO measure</w:t>
      </w:r>
      <w:r w:rsidR="00AC78C5" w:rsidRPr="00E026B8">
        <w:t>s were install</w:t>
      </w:r>
      <w:r w:rsidR="007F4A26" w:rsidRPr="00E026B8">
        <w:t>ed in Scotland (1</w:t>
      </w:r>
      <w:r w:rsidR="00E026B8" w:rsidRPr="00E026B8">
        <w:t>12</w:t>
      </w:r>
      <w:r w:rsidR="00FD5072" w:rsidRPr="00E026B8">
        <w:t>,</w:t>
      </w:r>
      <w:r w:rsidR="00E026B8" w:rsidRPr="00E026B8">
        <w:t>521</w:t>
      </w:r>
      <w:r w:rsidR="00FD5072" w:rsidRPr="00E026B8">
        <w:t>) an</w:t>
      </w:r>
      <w:r w:rsidR="007F4A26" w:rsidRPr="00E026B8">
        <w:t>d six per cent were in Wales (</w:t>
      </w:r>
      <w:r w:rsidR="00E026B8" w:rsidRPr="00E026B8">
        <w:t>54,900).</w:t>
      </w:r>
      <w:r w:rsidR="00891689" w:rsidRPr="00E026B8">
        <w:t xml:space="preserve"> </w:t>
      </w:r>
    </w:p>
    <w:p w:rsidR="00E46993" w:rsidRDefault="00E46993" w:rsidP="000B674F">
      <w:pPr>
        <w:spacing w:before="0" w:after="0" w:line="270" w:lineRule="atLeast"/>
        <w:jc w:val="both"/>
        <w:rPr>
          <w:u w:val="single"/>
        </w:rPr>
      </w:pPr>
    </w:p>
    <w:p w:rsidR="000B674F" w:rsidRPr="00010E69" w:rsidRDefault="000B674F" w:rsidP="000B674F">
      <w:pPr>
        <w:spacing w:before="0" w:after="0" w:line="270" w:lineRule="atLeast"/>
        <w:jc w:val="both"/>
        <w:rPr>
          <w:u w:val="single"/>
        </w:rPr>
      </w:pPr>
      <w:r w:rsidRPr="00BF740F">
        <w:rPr>
          <w:u w:val="single"/>
        </w:rPr>
        <w:t xml:space="preserve">Geographic location of </w:t>
      </w:r>
      <w:r>
        <w:rPr>
          <w:u w:val="single"/>
        </w:rPr>
        <w:t>p</w:t>
      </w:r>
      <w:r w:rsidRPr="000B674F">
        <w:rPr>
          <w:u w:val="single"/>
        </w:rPr>
        <w:t>rovisional number of households in receipt of ECO measures</w:t>
      </w:r>
      <w:r w:rsidRPr="00BF740F">
        <w:rPr>
          <w:u w:val="single"/>
        </w:rPr>
        <w:t xml:space="preserve">, up to </w:t>
      </w:r>
      <w:r w:rsidRPr="00010E69">
        <w:rPr>
          <w:u w:val="single"/>
        </w:rPr>
        <w:t>30</w:t>
      </w:r>
      <w:r w:rsidRPr="00010E69">
        <w:rPr>
          <w:u w:val="single"/>
          <w:vertAlign w:val="superscript"/>
        </w:rPr>
        <w:t>th</w:t>
      </w:r>
      <w:r w:rsidRPr="00010E69">
        <w:rPr>
          <w:u w:val="single"/>
        </w:rPr>
        <w:t xml:space="preserve"> September 2014 (Tables 1.11c, 1.11d, 1.11e and Map 1.2)</w:t>
      </w:r>
    </w:p>
    <w:p w:rsidR="00E026B8" w:rsidRPr="00010E69" w:rsidRDefault="00E026B8" w:rsidP="00E026B8">
      <w:pPr>
        <w:spacing w:before="0" w:after="0" w:line="270" w:lineRule="atLeast"/>
        <w:jc w:val="both"/>
      </w:pPr>
    </w:p>
    <w:p w:rsidR="003B1120" w:rsidRDefault="003B1120" w:rsidP="003B1120">
      <w:pPr>
        <w:spacing w:before="0" w:after="0" w:line="270" w:lineRule="atLeast"/>
        <w:jc w:val="both"/>
        <w:rPr>
          <w:bCs/>
        </w:rPr>
      </w:pPr>
      <w:r w:rsidRPr="003B1120">
        <w:rPr>
          <w:bCs/>
        </w:rPr>
        <w:t>Up to 30</w:t>
      </w:r>
      <w:r w:rsidRPr="003B1120">
        <w:rPr>
          <w:bCs/>
          <w:vertAlign w:val="superscript"/>
        </w:rPr>
        <w:t>th</w:t>
      </w:r>
      <w:r w:rsidRPr="003B1120">
        <w:rPr>
          <w:bCs/>
        </w:rPr>
        <w:t xml:space="preserve"> September 2014, </w:t>
      </w:r>
      <w:r w:rsidR="00AA2599" w:rsidRPr="00AA2599">
        <w:rPr>
          <w:bCs/>
        </w:rPr>
        <w:t>785,</w:t>
      </w:r>
      <w:r w:rsidR="00AA2599">
        <w:rPr>
          <w:bCs/>
        </w:rPr>
        <w:t>394</w:t>
      </w:r>
      <w:r w:rsidR="00AA2599" w:rsidRPr="00AA2599">
        <w:rPr>
          <w:bCs/>
        </w:rPr>
        <w:t xml:space="preserve"> </w:t>
      </w:r>
      <w:r w:rsidRPr="003B1120">
        <w:rPr>
          <w:bCs/>
        </w:rPr>
        <w:t>unique properties</w:t>
      </w:r>
      <w:r w:rsidRPr="003B1120">
        <w:rPr>
          <w:rStyle w:val="FootnoteReference"/>
          <w:bCs/>
        </w:rPr>
        <w:footnoteReference w:id="16"/>
      </w:r>
      <w:r w:rsidRPr="003B1120">
        <w:rPr>
          <w:bCs/>
        </w:rPr>
        <w:t xml:space="preserve"> had benefitted from having at least one ECO measure installed (Tab</w:t>
      </w:r>
      <w:r w:rsidR="002846E9">
        <w:rPr>
          <w:bCs/>
        </w:rPr>
        <w:t>le 1.11). By ECO obligation, 319,621</w:t>
      </w:r>
      <w:r w:rsidRPr="003B1120">
        <w:rPr>
          <w:bCs/>
        </w:rPr>
        <w:t xml:space="preserve"> unique properties had Carbon Saving</w:t>
      </w:r>
      <w:r w:rsidR="002846E9">
        <w:rPr>
          <w:bCs/>
        </w:rPr>
        <w:t>s Target measures installed, 301,097</w:t>
      </w:r>
      <w:r w:rsidRPr="003B1120">
        <w:rPr>
          <w:bCs/>
        </w:rPr>
        <w:t xml:space="preserve"> properties ha</w:t>
      </w:r>
      <w:bookmarkStart w:id="38" w:name="Map5"/>
      <w:bookmarkEnd w:id="38"/>
      <w:r w:rsidRPr="003B1120">
        <w:rPr>
          <w:bCs/>
        </w:rPr>
        <w:t>d Affordable Warmth (HH</w:t>
      </w:r>
      <w:r w:rsidR="002846E9">
        <w:rPr>
          <w:bCs/>
        </w:rPr>
        <w:t>CRO) measures installed, and 182,384</w:t>
      </w:r>
      <w:r w:rsidRPr="003B1120">
        <w:rPr>
          <w:bCs/>
        </w:rPr>
        <w:t xml:space="preserve"> properties had Carbon Saving Community measures installed</w:t>
      </w:r>
      <w:r w:rsidR="00FB1E83">
        <w:rPr>
          <w:bCs/>
        </w:rPr>
        <w:t>, of which 1,466 properties had measures installed under the rural sub-obligation</w:t>
      </w:r>
      <w:r w:rsidRPr="003B1120">
        <w:rPr>
          <w:bCs/>
        </w:rPr>
        <w:t>.</w:t>
      </w:r>
    </w:p>
    <w:p w:rsidR="003B1120" w:rsidRDefault="003B1120" w:rsidP="00E026B8">
      <w:pPr>
        <w:spacing w:before="0" w:after="0" w:line="270" w:lineRule="atLeast"/>
        <w:jc w:val="both"/>
      </w:pPr>
    </w:p>
    <w:p w:rsidR="00E026B8" w:rsidRPr="00010E69" w:rsidRDefault="00E026B8" w:rsidP="00E026B8">
      <w:pPr>
        <w:spacing w:before="0" w:after="0" w:line="270" w:lineRule="atLeast"/>
        <w:jc w:val="both"/>
      </w:pPr>
      <w:r w:rsidRPr="00010E69">
        <w:t xml:space="preserve">When comparing areas, it is more representative to </w:t>
      </w:r>
      <w:r w:rsidR="00010E69" w:rsidRPr="00010E69">
        <w:t xml:space="preserve">use the number of households in receipt of ECO measures </w:t>
      </w:r>
      <w:r w:rsidRPr="00010E69">
        <w:t>per 1,000 households. In Great Britain, on average, there wer</w:t>
      </w:r>
      <w:r w:rsidRPr="00670C6B">
        <w:t>e around 3</w:t>
      </w:r>
      <w:r w:rsidR="00D55A0A" w:rsidRPr="00670C6B">
        <w:t>0</w:t>
      </w:r>
      <w:r w:rsidR="00010E69" w:rsidRPr="00670C6B">
        <w:t xml:space="preserve"> households in receipt of</w:t>
      </w:r>
      <w:r w:rsidRPr="00670C6B">
        <w:t xml:space="preserve"> ECO measures per 1,000 hou</w:t>
      </w:r>
      <w:r w:rsidR="00D55A0A" w:rsidRPr="00670C6B">
        <w:t>seholds or, in other words, around</w:t>
      </w:r>
      <w:r w:rsidRPr="00670C6B">
        <w:t xml:space="preserve"> three per cent of all households in Great Britain had a measure installed under ECO funding. The North West and North East had the highest amount with 5</w:t>
      </w:r>
      <w:r w:rsidR="00D55A0A" w:rsidRPr="00670C6B">
        <w:t>1</w:t>
      </w:r>
      <w:r w:rsidRPr="00670C6B">
        <w:t xml:space="preserve"> and </w:t>
      </w:r>
      <w:r w:rsidR="002846E9">
        <w:t>48</w:t>
      </w:r>
      <w:r w:rsidR="00010E69" w:rsidRPr="00010E69">
        <w:t xml:space="preserve"> households with</w:t>
      </w:r>
      <w:r w:rsidRPr="00010E69">
        <w:t xml:space="preserve"> ECO measures per 1,000 households respectively. In Scotland there were around </w:t>
      </w:r>
      <w:r w:rsidR="002846E9">
        <w:t>40</w:t>
      </w:r>
      <w:r w:rsidRPr="00010E69">
        <w:t xml:space="preserve"> ECO measures per 1,000 households and </w:t>
      </w:r>
      <w:r w:rsidR="002846E9">
        <w:t>32</w:t>
      </w:r>
      <w:r w:rsidRPr="00010E69">
        <w:t xml:space="preserve"> per 1,000 households in Wales. Blackpool had the highest proportion of ECO measures in any Local Authority area in Great Britain, with </w:t>
      </w:r>
      <w:r w:rsidR="002846E9">
        <w:t>around 119</w:t>
      </w:r>
      <w:r w:rsidR="00010E69" w:rsidRPr="00010E69">
        <w:t xml:space="preserve"> households with</w:t>
      </w:r>
      <w:r w:rsidRPr="00010E69">
        <w:t xml:space="preserve"> ECO measures per 1,000 households.</w:t>
      </w:r>
    </w:p>
    <w:p w:rsidR="00E026B8" w:rsidRDefault="00E026B8" w:rsidP="00BB05E2">
      <w:pPr>
        <w:spacing w:before="0" w:after="0" w:line="270" w:lineRule="atLeast"/>
        <w:jc w:val="both"/>
        <w:rPr>
          <w:highlight w:val="yellow"/>
        </w:rPr>
      </w:pPr>
    </w:p>
    <w:p w:rsidR="00F17AF9" w:rsidRDefault="00010E69" w:rsidP="00F17AF9">
      <w:pPr>
        <w:spacing w:before="0" w:after="0" w:line="270" w:lineRule="atLeast"/>
        <w:jc w:val="both"/>
      </w:pPr>
      <w:r w:rsidRPr="00020551">
        <w:t>Table 1.11d</w:t>
      </w:r>
      <w:r w:rsidR="000B674F" w:rsidRPr="00020551">
        <w:t xml:space="preserve"> and</w:t>
      </w:r>
      <w:r w:rsidR="00E026B8" w:rsidRPr="00020551">
        <w:t xml:space="preserve"> </w:t>
      </w:r>
      <w:r w:rsidR="00FD5072" w:rsidRPr="00020551">
        <w:t xml:space="preserve">Map </w:t>
      </w:r>
      <w:r w:rsidR="00170DD3" w:rsidRPr="00020551">
        <w:t>1.</w:t>
      </w:r>
      <w:r w:rsidR="00FD5072" w:rsidRPr="00020551">
        <w:t xml:space="preserve">2 </w:t>
      </w:r>
      <w:r w:rsidR="00CC11E0" w:rsidRPr="00020551">
        <w:t xml:space="preserve">shows the provisional </w:t>
      </w:r>
      <w:r w:rsidR="003B1120" w:rsidRPr="00020551">
        <w:t xml:space="preserve">number of households in receipt of ECO measures </w:t>
      </w:r>
      <w:r w:rsidR="00CC11E0" w:rsidRPr="00020551">
        <w:t>by Local Authority per 1,000 households. This shows the concentration of ECO measures in the North West and North East of England as well as South Wales and parts of Scotland.</w:t>
      </w:r>
      <w:r w:rsidR="00CC11E0">
        <w:t xml:space="preserve"> </w:t>
      </w:r>
    </w:p>
    <w:p w:rsidR="00F17AF9" w:rsidRPr="00F17AF9" w:rsidRDefault="00F17AF9" w:rsidP="00F17AF9">
      <w:pPr>
        <w:spacing w:before="0" w:after="0" w:line="270" w:lineRule="atLeast"/>
        <w:jc w:val="both"/>
      </w:pPr>
    </w:p>
    <w:p w:rsidR="00C877B7" w:rsidRDefault="00423B95" w:rsidP="00620019">
      <w:pPr>
        <w:spacing w:before="0" w:after="0" w:line="270" w:lineRule="atLeast"/>
        <w:jc w:val="both"/>
        <w:rPr>
          <w:noProof/>
          <w:lang w:eastAsia="en-GB"/>
        </w:rPr>
      </w:pPr>
      <w:r>
        <w:rPr>
          <w:b/>
          <w:szCs w:val="24"/>
        </w:rPr>
        <w:br w:type="page"/>
      </w:r>
      <w:bookmarkStart w:id="39" w:name="_Toc406419489"/>
      <w:proofErr w:type="gramStart"/>
      <w:r w:rsidR="00620019">
        <w:rPr>
          <w:szCs w:val="24"/>
        </w:rPr>
        <w:lastRenderedPageBreak/>
        <w:t xml:space="preserve">Map </w:t>
      </w:r>
      <w:r w:rsidR="000F6A40" w:rsidRPr="00620019">
        <w:rPr>
          <w:szCs w:val="24"/>
        </w:rPr>
        <w:t>1.</w:t>
      </w:r>
      <w:proofErr w:type="gramEnd"/>
      <w:r w:rsidR="000F6A40" w:rsidRPr="00620019">
        <w:rPr>
          <w:szCs w:val="24"/>
        </w:rPr>
        <w:fldChar w:fldCharType="begin"/>
      </w:r>
      <w:r w:rsidR="000F6A40" w:rsidRPr="00620019">
        <w:rPr>
          <w:szCs w:val="24"/>
        </w:rPr>
        <w:instrText xml:space="preserve"> SEQ Map \* ARABIC </w:instrText>
      </w:r>
      <w:r w:rsidR="000F6A40" w:rsidRPr="00620019">
        <w:rPr>
          <w:szCs w:val="24"/>
        </w:rPr>
        <w:fldChar w:fldCharType="separate"/>
      </w:r>
      <w:r w:rsidR="006B5574">
        <w:rPr>
          <w:noProof/>
          <w:szCs w:val="24"/>
        </w:rPr>
        <w:t>2</w:t>
      </w:r>
      <w:r w:rsidR="000F6A40" w:rsidRPr="00620019">
        <w:rPr>
          <w:szCs w:val="24"/>
        </w:rPr>
        <w:fldChar w:fldCharType="end"/>
      </w:r>
      <w:r w:rsidR="000F6A40" w:rsidRPr="00620019">
        <w:rPr>
          <w:szCs w:val="24"/>
        </w:rPr>
        <w:t xml:space="preserve"> </w:t>
      </w:r>
      <w:r w:rsidR="00554BE5" w:rsidRPr="00620019">
        <w:rPr>
          <w:szCs w:val="24"/>
        </w:rPr>
        <w:t xml:space="preserve">– </w:t>
      </w:r>
      <w:r w:rsidR="000B674F" w:rsidRPr="00EB6EAA">
        <w:rPr>
          <w:szCs w:val="24"/>
        </w:rPr>
        <w:t xml:space="preserve">Provisional number of households in receipt of ECO measures by </w:t>
      </w:r>
      <w:r w:rsidR="00554BE5" w:rsidRPr="00EB6EAA">
        <w:rPr>
          <w:szCs w:val="24"/>
        </w:rPr>
        <w:t>Local Authority per 1,000 households</w:t>
      </w:r>
      <w:bookmarkStart w:id="40" w:name="TheSupplyChain"/>
      <w:bookmarkStart w:id="41" w:name="ECObrokerage"/>
      <w:bookmarkStart w:id="42" w:name="Map2"/>
      <w:bookmarkStart w:id="43" w:name="Map3"/>
      <w:bookmarkEnd w:id="39"/>
      <w:bookmarkEnd w:id="40"/>
      <w:bookmarkEnd w:id="41"/>
    </w:p>
    <w:p w:rsidR="00857A3C" w:rsidRPr="00CC11E0" w:rsidRDefault="00D6533B" w:rsidP="00620019">
      <w:pPr>
        <w:spacing w:before="0" w:after="0" w:line="270" w:lineRule="atLeast"/>
        <w:jc w:val="both"/>
      </w:pPr>
      <w:r>
        <w:rPr>
          <w:noProof/>
          <w:lang w:eastAsia="en-GB"/>
        </w:rPr>
        <w:drawing>
          <wp:inline distT="0" distB="0" distL="0" distR="0" wp14:anchorId="689528AC" wp14:editId="3D4633B7">
            <wp:extent cx="6337170" cy="8963025"/>
            <wp:effectExtent l="0" t="0" r="6985" b="0"/>
            <wp:docPr id="1" name="Picture 1" descr="U:\Statistics\Energy Efficiency\8. Green Deal\Restricted\2014 releases\December 2014 releases\Quarterly release\Maps\ECO_homes_sep14_by_hh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tatistics\Energy Efficiency\8. Green Deal\Restricted\2014 releases\December 2014 releases\Quarterly release\Maps\ECO_homes_sep14_by_hh_.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43335" cy="8971745"/>
                    </a:xfrm>
                    <a:prstGeom prst="rect">
                      <a:avLst/>
                    </a:prstGeom>
                    <a:noFill/>
                    <a:ln>
                      <a:noFill/>
                    </a:ln>
                  </pic:spPr>
                </pic:pic>
              </a:graphicData>
            </a:graphic>
          </wp:inline>
        </w:drawing>
      </w:r>
    </w:p>
    <w:p w:rsidR="00C877B7" w:rsidRDefault="00C877B7" w:rsidP="007C5903">
      <w:pPr>
        <w:spacing w:before="0" w:after="0" w:line="270" w:lineRule="atLeast"/>
        <w:jc w:val="both"/>
        <w:rPr>
          <w:b/>
          <w:bCs/>
          <w:u w:val="single"/>
        </w:rPr>
      </w:pPr>
      <w:r>
        <w:rPr>
          <w:bCs/>
          <w:u w:val="single"/>
        </w:rPr>
        <w:lastRenderedPageBreak/>
        <w:t>Fu</w:t>
      </w:r>
      <w:r w:rsidR="000934E6">
        <w:rPr>
          <w:bCs/>
          <w:u w:val="single"/>
        </w:rPr>
        <w:t xml:space="preserve">rther breakdowns of </w:t>
      </w:r>
      <w:r w:rsidRPr="003D1715">
        <w:rPr>
          <w:bCs/>
          <w:u w:val="single"/>
        </w:rPr>
        <w:t xml:space="preserve">provisional measures installed under </w:t>
      </w:r>
      <w:r w:rsidRPr="0007126A">
        <w:rPr>
          <w:bCs/>
          <w:u w:val="single"/>
        </w:rPr>
        <w:t xml:space="preserve">ECO, up to </w:t>
      </w:r>
      <w:r w:rsidR="002010BC">
        <w:rPr>
          <w:bCs/>
          <w:u w:val="single"/>
        </w:rPr>
        <w:t>30</w:t>
      </w:r>
      <w:r w:rsidR="002010BC" w:rsidRPr="002010BC">
        <w:rPr>
          <w:bCs/>
          <w:u w:val="single"/>
          <w:vertAlign w:val="superscript"/>
        </w:rPr>
        <w:t>th</w:t>
      </w:r>
      <w:r w:rsidR="002010BC">
        <w:rPr>
          <w:bCs/>
          <w:u w:val="single"/>
        </w:rPr>
        <w:t xml:space="preserve"> </w:t>
      </w:r>
      <w:r w:rsidR="00DF52C5">
        <w:rPr>
          <w:bCs/>
          <w:u w:val="single"/>
        </w:rPr>
        <w:t>September</w:t>
      </w:r>
      <w:r w:rsidR="002035D4">
        <w:rPr>
          <w:bCs/>
          <w:u w:val="single"/>
        </w:rPr>
        <w:t xml:space="preserve"> 2014</w:t>
      </w:r>
      <w:r w:rsidR="003839B4">
        <w:rPr>
          <w:bCs/>
          <w:u w:val="single"/>
        </w:rPr>
        <w:t xml:space="preserve"> </w:t>
      </w:r>
      <w:r w:rsidRPr="0007126A">
        <w:rPr>
          <w:bCs/>
          <w:u w:val="single"/>
        </w:rPr>
        <w:t>(Table</w:t>
      </w:r>
      <w:r w:rsidR="000934E6">
        <w:rPr>
          <w:bCs/>
          <w:u w:val="single"/>
        </w:rPr>
        <w:t>s</w:t>
      </w:r>
      <w:r w:rsidRPr="0007126A">
        <w:rPr>
          <w:bCs/>
          <w:u w:val="single"/>
        </w:rPr>
        <w:t xml:space="preserve"> </w:t>
      </w:r>
      <w:r w:rsidR="00167BD2">
        <w:rPr>
          <w:bCs/>
          <w:u w:val="single"/>
        </w:rPr>
        <w:t>1.12, 1.12a, 1.12b,</w:t>
      </w:r>
      <w:r w:rsidR="00CB123C">
        <w:rPr>
          <w:bCs/>
          <w:u w:val="single"/>
        </w:rPr>
        <w:t xml:space="preserve"> and</w:t>
      </w:r>
      <w:r w:rsidR="00167BD2">
        <w:rPr>
          <w:bCs/>
          <w:u w:val="single"/>
        </w:rPr>
        <w:t xml:space="preserve"> 1.12</w:t>
      </w:r>
      <w:r w:rsidR="000934E6">
        <w:rPr>
          <w:bCs/>
          <w:u w:val="single"/>
        </w:rPr>
        <w:t>c</w:t>
      </w:r>
      <w:r w:rsidRPr="0007126A">
        <w:rPr>
          <w:bCs/>
          <w:u w:val="single"/>
        </w:rPr>
        <w:t>)</w:t>
      </w:r>
      <w:r w:rsidRPr="003D1715">
        <w:rPr>
          <w:b/>
          <w:bCs/>
          <w:u w:val="single"/>
        </w:rPr>
        <w:t xml:space="preserve"> </w:t>
      </w:r>
    </w:p>
    <w:p w:rsidR="00CC11E0" w:rsidRPr="003D1715" w:rsidRDefault="00CC11E0" w:rsidP="007C5903">
      <w:pPr>
        <w:spacing w:before="0" w:after="0" w:line="270" w:lineRule="atLeast"/>
        <w:jc w:val="both"/>
        <w:rPr>
          <w:b/>
          <w:bCs/>
          <w:u w:val="single"/>
        </w:rPr>
      </w:pPr>
    </w:p>
    <w:p w:rsidR="00C877B7" w:rsidRPr="00DD7C4F" w:rsidRDefault="00C877B7" w:rsidP="00D45D10">
      <w:pPr>
        <w:spacing w:before="0" w:after="0" w:line="270" w:lineRule="atLeast"/>
        <w:jc w:val="both"/>
      </w:pPr>
      <w:r w:rsidRPr="00DD7C4F">
        <w:rPr>
          <w:bCs/>
        </w:rPr>
        <w:t>Table</w:t>
      </w:r>
      <w:r w:rsidR="00FC65AB" w:rsidRPr="00DD7C4F">
        <w:rPr>
          <w:bCs/>
        </w:rPr>
        <w:t>s</w:t>
      </w:r>
      <w:r w:rsidRPr="00DD7C4F">
        <w:rPr>
          <w:bCs/>
        </w:rPr>
        <w:t xml:space="preserve"> 1</w:t>
      </w:r>
      <w:r w:rsidR="00167BD2" w:rsidRPr="00DD7C4F">
        <w:rPr>
          <w:bCs/>
        </w:rPr>
        <w:t>.12 to 1.12</w:t>
      </w:r>
      <w:r w:rsidR="00FC65AB" w:rsidRPr="00DD7C4F">
        <w:rPr>
          <w:bCs/>
        </w:rPr>
        <w:t>d</w:t>
      </w:r>
      <w:r w:rsidRPr="00DD7C4F">
        <w:rPr>
          <w:bCs/>
        </w:rPr>
        <w:t xml:space="preserve"> present</w:t>
      </w:r>
      <w:r w:rsidR="001F5350" w:rsidRPr="00DD7C4F">
        <w:rPr>
          <w:bCs/>
        </w:rPr>
        <w:t xml:space="preserve"> further analysis</w:t>
      </w:r>
      <w:r w:rsidR="00FC65AB" w:rsidRPr="00DD7C4F">
        <w:rPr>
          <w:bCs/>
        </w:rPr>
        <w:t xml:space="preserve"> of </w:t>
      </w:r>
      <w:r w:rsidRPr="00DD7C4F">
        <w:rPr>
          <w:bCs/>
        </w:rPr>
        <w:t xml:space="preserve">provisional measures installed under ECO up to </w:t>
      </w:r>
      <w:r w:rsidR="009023EE" w:rsidRPr="00DD7C4F">
        <w:rPr>
          <w:bCs/>
        </w:rPr>
        <w:t>30</w:t>
      </w:r>
      <w:r w:rsidR="009023EE" w:rsidRPr="00DD7C4F">
        <w:rPr>
          <w:bCs/>
          <w:vertAlign w:val="superscript"/>
        </w:rPr>
        <w:t>th</w:t>
      </w:r>
      <w:r w:rsidR="009023EE" w:rsidRPr="00DD7C4F">
        <w:rPr>
          <w:bCs/>
        </w:rPr>
        <w:t xml:space="preserve"> </w:t>
      </w:r>
      <w:r w:rsidR="00DF52C5" w:rsidRPr="00DD7C4F">
        <w:rPr>
          <w:bCs/>
        </w:rPr>
        <w:t>September</w:t>
      </w:r>
      <w:r w:rsidR="002035D4" w:rsidRPr="00DD7C4F">
        <w:rPr>
          <w:bCs/>
        </w:rPr>
        <w:t xml:space="preserve"> 2014</w:t>
      </w:r>
      <w:r w:rsidR="00FC65AB" w:rsidRPr="00DD7C4F">
        <w:rPr>
          <w:bCs/>
        </w:rPr>
        <w:t xml:space="preserve">, including </w:t>
      </w:r>
      <w:r w:rsidR="001F5350" w:rsidRPr="00DD7C4F">
        <w:rPr>
          <w:bCs/>
        </w:rPr>
        <w:t xml:space="preserve">breakdowns </w:t>
      </w:r>
      <w:r w:rsidR="00FC65AB" w:rsidRPr="00DD7C4F">
        <w:rPr>
          <w:bCs/>
        </w:rPr>
        <w:t>by fuel type, prop</w:t>
      </w:r>
      <w:r w:rsidR="00E20E62" w:rsidRPr="00DD7C4F">
        <w:rPr>
          <w:bCs/>
        </w:rPr>
        <w:t>erty type and</w:t>
      </w:r>
      <w:r w:rsidR="00FC65AB" w:rsidRPr="00DD7C4F">
        <w:rPr>
          <w:bCs/>
        </w:rPr>
        <w:t xml:space="preserve"> tenure</w:t>
      </w:r>
      <w:r w:rsidR="001F5350" w:rsidRPr="00DD7C4F">
        <w:rPr>
          <w:bCs/>
        </w:rPr>
        <w:t>, the percentage of measures traded through br</w:t>
      </w:r>
      <w:r w:rsidR="00B42728" w:rsidRPr="00DD7C4F">
        <w:rPr>
          <w:bCs/>
        </w:rPr>
        <w:t xml:space="preserve">okerage and </w:t>
      </w:r>
      <w:r w:rsidR="008070BE" w:rsidRPr="00DD7C4F">
        <w:rPr>
          <w:bCs/>
        </w:rPr>
        <w:t>estimated bill savings for Affordable Warmth measures.</w:t>
      </w:r>
      <w:r w:rsidR="00E20E62" w:rsidRPr="00DD7C4F">
        <w:rPr>
          <w:bCs/>
        </w:rPr>
        <w:t xml:space="preserve"> Findings of note include </w:t>
      </w:r>
      <w:r w:rsidR="009023EE" w:rsidRPr="00DD7C4F">
        <w:rPr>
          <w:bCs/>
        </w:rPr>
        <w:t>that 84</w:t>
      </w:r>
      <w:r w:rsidR="00E20E62" w:rsidRPr="00DD7C4F">
        <w:rPr>
          <w:bCs/>
        </w:rPr>
        <w:t xml:space="preserve"> per cent of Carbon Saving Target measures were</w:t>
      </w:r>
      <w:r w:rsidR="00FC65AB" w:rsidRPr="00DD7C4F">
        <w:rPr>
          <w:bCs/>
        </w:rPr>
        <w:t xml:space="preserve"> </w:t>
      </w:r>
      <w:r w:rsidR="00E20E62" w:rsidRPr="00DD7C4F">
        <w:rPr>
          <w:bCs/>
        </w:rPr>
        <w:t>installed</w:t>
      </w:r>
      <w:r w:rsidR="00D305EC" w:rsidRPr="00DD7C4F">
        <w:rPr>
          <w:bCs/>
        </w:rPr>
        <w:t xml:space="preserve"> </w:t>
      </w:r>
      <w:r w:rsidRPr="00DD7C4F">
        <w:rPr>
          <w:bCs/>
        </w:rPr>
        <w:t>in gas-fu</w:t>
      </w:r>
      <w:r w:rsidR="007C5903" w:rsidRPr="00DD7C4F">
        <w:rPr>
          <w:bCs/>
        </w:rPr>
        <w:t>elled properties</w:t>
      </w:r>
      <w:r w:rsidR="00046BDE" w:rsidRPr="00DD7C4F">
        <w:rPr>
          <w:bCs/>
        </w:rPr>
        <w:t xml:space="preserve">, </w:t>
      </w:r>
      <w:r w:rsidR="00D305EC" w:rsidRPr="00DD7C4F">
        <w:rPr>
          <w:bCs/>
        </w:rPr>
        <w:t xml:space="preserve">compared to </w:t>
      </w:r>
      <w:r w:rsidR="001F5350" w:rsidRPr="00DD7C4F">
        <w:rPr>
          <w:bCs/>
        </w:rPr>
        <w:t>9</w:t>
      </w:r>
      <w:r w:rsidR="00F8461A" w:rsidRPr="00DD7C4F">
        <w:rPr>
          <w:bCs/>
        </w:rPr>
        <w:t>2</w:t>
      </w:r>
      <w:r w:rsidR="001F5350" w:rsidRPr="00DD7C4F">
        <w:rPr>
          <w:bCs/>
        </w:rPr>
        <w:t xml:space="preserve"> per cent of all ECO measures and 84 per cent of all households </w:t>
      </w:r>
      <w:r w:rsidRPr="00DD7C4F">
        <w:t>in England</w:t>
      </w:r>
      <w:r w:rsidRPr="00DD7C4F">
        <w:rPr>
          <w:rStyle w:val="FootnoteReference"/>
        </w:rPr>
        <w:footnoteReference w:id="17"/>
      </w:r>
      <w:r w:rsidRPr="00DD7C4F">
        <w:t>. This suggests that a higher proportion of measures installed under ECO were in gas-fuelled properties that would be expected from the housing stock.</w:t>
      </w:r>
    </w:p>
    <w:p w:rsidR="001F5350" w:rsidRPr="00705534" w:rsidRDefault="001F5350" w:rsidP="00B42728">
      <w:pPr>
        <w:spacing w:before="0" w:after="0" w:line="270" w:lineRule="atLeast"/>
        <w:jc w:val="both"/>
      </w:pPr>
    </w:p>
    <w:p w:rsidR="001F5350" w:rsidRPr="00535D8B" w:rsidRDefault="001F5350" w:rsidP="00EA455B">
      <w:pPr>
        <w:spacing w:before="0" w:after="0" w:line="270" w:lineRule="atLeast"/>
        <w:jc w:val="both"/>
      </w:pPr>
      <w:r w:rsidRPr="004D2C9E">
        <w:t>The la</w:t>
      </w:r>
      <w:r w:rsidR="00FD5BB3" w:rsidRPr="004D2C9E">
        <w:t>rge majority of ECO measures (7</w:t>
      </w:r>
      <w:r w:rsidR="009C70BB" w:rsidRPr="004D2C9E">
        <w:t>5</w:t>
      </w:r>
      <w:r w:rsidRPr="004D2C9E">
        <w:t xml:space="preserve"> per cent) w</w:t>
      </w:r>
      <w:r w:rsidR="001C6CD8" w:rsidRPr="004D2C9E">
        <w:t>ere installed in houses, with 1</w:t>
      </w:r>
      <w:r w:rsidR="009023EE" w:rsidRPr="004D2C9E">
        <w:t>9</w:t>
      </w:r>
      <w:r w:rsidRPr="004D2C9E">
        <w:t xml:space="preserve"> per cent installed in flats and the remainder in bungalows and maisonettes. However, this</w:t>
      </w:r>
      <w:r w:rsidR="00194F8A" w:rsidRPr="004D2C9E">
        <w:t xml:space="preserve"> varies by obligation, with a greater proportion of</w:t>
      </w:r>
      <w:r w:rsidRPr="004D2C9E">
        <w:t xml:space="preserve"> Carbon Saving Targe</w:t>
      </w:r>
      <w:r w:rsidR="001C6CD8" w:rsidRPr="004D2C9E">
        <w:t>t measures installed in flats (33</w:t>
      </w:r>
      <w:r w:rsidRPr="004D2C9E">
        <w:t xml:space="preserve"> per cent), compared with Carbon Saving </w:t>
      </w:r>
      <w:r w:rsidR="00194F8A" w:rsidRPr="004D2C9E">
        <w:t>Communities</w:t>
      </w:r>
      <w:r w:rsidRPr="004D2C9E">
        <w:t xml:space="preserve"> measures (</w:t>
      </w:r>
      <w:r w:rsidR="001C6CD8" w:rsidRPr="004D2C9E">
        <w:t>1</w:t>
      </w:r>
      <w:r w:rsidR="00DD7C4F" w:rsidRPr="004D2C9E">
        <w:t xml:space="preserve">6 </w:t>
      </w:r>
      <w:r w:rsidR="00194F8A" w:rsidRPr="004D2C9E">
        <w:t>per cent of all measures) an</w:t>
      </w:r>
      <w:r w:rsidR="001C6CD8" w:rsidRPr="004D2C9E">
        <w:t xml:space="preserve">d Affordable Warmth measures (five </w:t>
      </w:r>
      <w:r w:rsidR="00194F8A" w:rsidRPr="004D2C9E">
        <w:t>per cent of all measures)</w:t>
      </w:r>
      <w:r w:rsidR="00E34FD7" w:rsidRPr="004D2C9E">
        <w:t>. There were</w:t>
      </w:r>
      <w:r w:rsidR="00A0128D" w:rsidRPr="004D2C9E">
        <w:t xml:space="preserve"> </w:t>
      </w:r>
      <w:r w:rsidR="009C70BB" w:rsidRPr="004D2C9E">
        <w:t>54</w:t>
      </w:r>
      <w:r w:rsidR="00A0128D" w:rsidRPr="004D2C9E">
        <w:t>,</w:t>
      </w:r>
      <w:r w:rsidR="009C70BB" w:rsidRPr="004D2C9E">
        <w:t>633</w:t>
      </w:r>
      <w:r w:rsidR="00705534" w:rsidRPr="004D2C9E">
        <w:t xml:space="preserve"> properties with</w:t>
      </w:r>
      <w:r w:rsidR="00A0128D" w:rsidRPr="004D2C9E">
        <w:t xml:space="preserve"> ECO measures installed between</w:t>
      </w:r>
      <w:r w:rsidR="00E34FD7" w:rsidRPr="004D2C9E">
        <w:t xml:space="preserve"> </w:t>
      </w:r>
      <w:r w:rsidR="00DD7C4F" w:rsidRPr="004D2C9E">
        <w:t>July</w:t>
      </w:r>
      <w:r w:rsidR="00A0128D" w:rsidRPr="004D2C9E">
        <w:t xml:space="preserve"> and </w:t>
      </w:r>
      <w:r w:rsidR="00DF52C5" w:rsidRPr="004D2C9E">
        <w:t>September</w:t>
      </w:r>
      <w:r w:rsidR="00A0128D" w:rsidRPr="004D2C9E">
        <w:t xml:space="preserve"> 2014 (see </w:t>
      </w:r>
      <w:hyperlink w:anchor="TableC1" w:history="1">
        <w:r w:rsidR="00A0128D" w:rsidRPr="004D2C9E">
          <w:rPr>
            <w:rStyle w:val="Hyperlink"/>
            <w:rFonts w:ascii="Arial" w:hAnsi="Arial"/>
          </w:rPr>
          <w:t>Tab</w:t>
        </w:r>
        <w:r w:rsidR="00A0128D" w:rsidRPr="004D2C9E">
          <w:rPr>
            <w:rStyle w:val="Hyperlink"/>
            <w:rFonts w:ascii="Arial" w:hAnsi="Arial"/>
          </w:rPr>
          <w:t>l</w:t>
        </w:r>
        <w:r w:rsidR="00A0128D" w:rsidRPr="004D2C9E">
          <w:rPr>
            <w:rStyle w:val="Hyperlink"/>
            <w:rFonts w:ascii="Arial" w:hAnsi="Arial"/>
          </w:rPr>
          <w:t>e C</w:t>
        </w:r>
        <w:r w:rsidR="00A0128D" w:rsidRPr="004D2C9E">
          <w:rPr>
            <w:rStyle w:val="Hyperlink"/>
            <w:rFonts w:ascii="Arial" w:hAnsi="Arial"/>
          </w:rPr>
          <w:t>1</w:t>
        </w:r>
      </w:hyperlink>
      <w:r w:rsidR="00A0128D" w:rsidRPr="004D2C9E">
        <w:t>).</w:t>
      </w:r>
    </w:p>
    <w:p w:rsidR="00CB123C" w:rsidRDefault="00CB123C" w:rsidP="00CB123C">
      <w:pPr>
        <w:spacing w:before="0" w:after="0"/>
        <w:jc w:val="both"/>
        <w:rPr>
          <w:rStyle w:val="Hyperlink"/>
          <w:rFonts w:ascii="Arial" w:hAnsi="Arial"/>
          <w:u w:val="none"/>
        </w:rPr>
      </w:pPr>
    </w:p>
    <w:p w:rsidR="00CB123C" w:rsidRDefault="00CB123C" w:rsidP="00CB123C">
      <w:pPr>
        <w:spacing w:before="0" w:after="0" w:line="270" w:lineRule="atLeast"/>
        <w:jc w:val="both"/>
        <w:rPr>
          <w:b/>
          <w:bCs/>
          <w:u w:val="single"/>
        </w:rPr>
      </w:pPr>
      <w:r w:rsidRPr="00CB123C">
        <w:rPr>
          <w:bCs/>
          <w:u w:val="single"/>
        </w:rPr>
        <w:t>Estimated lifetime bill savings for Affordable Wa</w:t>
      </w:r>
      <w:r>
        <w:rPr>
          <w:bCs/>
          <w:u w:val="single"/>
        </w:rPr>
        <w:t>rmth measures installed</w:t>
      </w:r>
      <w:r w:rsidRPr="0007126A">
        <w:rPr>
          <w:bCs/>
          <w:u w:val="single"/>
        </w:rPr>
        <w:t xml:space="preserve">, up to </w:t>
      </w:r>
      <w:r>
        <w:rPr>
          <w:bCs/>
          <w:u w:val="single"/>
        </w:rPr>
        <w:t>30</w:t>
      </w:r>
      <w:r w:rsidRPr="002010BC">
        <w:rPr>
          <w:bCs/>
          <w:u w:val="single"/>
          <w:vertAlign w:val="superscript"/>
        </w:rPr>
        <w:t>th</w:t>
      </w:r>
      <w:r>
        <w:rPr>
          <w:bCs/>
          <w:u w:val="single"/>
        </w:rPr>
        <w:t xml:space="preserve"> September 2014 </w:t>
      </w:r>
      <w:r w:rsidRPr="0007126A">
        <w:rPr>
          <w:bCs/>
          <w:u w:val="single"/>
        </w:rPr>
        <w:t>(Table</w:t>
      </w:r>
      <w:r>
        <w:rPr>
          <w:bCs/>
          <w:u w:val="single"/>
        </w:rPr>
        <w:t xml:space="preserve"> 1.12d</w:t>
      </w:r>
      <w:r w:rsidRPr="0007126A">
        <w:rPr>
          <w:bCs/>
          <w:u w:val="single"/>
        </w:rPr>
        <w:t>)</w:t>
      </w:r>
      <w:r w:rsidRPr="003D1715">
        <w:rPr>
          <w:b/>
          <w:bCs/>
          <w:u w:val="single"/>
        </w:rPr>
        <w:t xml:space="preserve"> </w:t>
      </w:r>
    </w:p>
    <w:p w:rsidR="00CB123C" w:rsidRPr="00CB123C" w:rsidRDefault="00CB123C" w:rsidP="00CB123C">
      <w:pPr>
        <w:spacing w:before="0" w:after="0"/>
        <w:jc w:val="both"/>
        <w:rPr>
          <w:rStyle w:val="Hyperlink"/>
          <w:rFonts w:ascii="Arial" w:hAnsi="Arial"/>
          <w:color w:val="FF0000"/>
          <w:u w:val="none"/>
        </w:rPr>
      </w:pPr>
    </w:p>
    <w:p w:rsidR="00CB123C" w:rsidRPr="00CB123C" w:rsidRDefault="00CB123C" w:rsidP="00CB123C">
      <w:pPr>
        <w:spacing w:before="0" w:after="0"/>
        <w:jc w:val="both"/>
        <w:rPr>
          <w:rStyle w:val="Hyperlink"/>
          <w:rFonts w:ascii="Arial" w:hAnsi="Arial"/>
          <w:color w:val="auto"/>
          <w:u w:val="none"/>
        </w:rPr>
      </w:pPr>
      <w:r w:rsidRPr="00CB123C">
        <w:rPr>
          <w:rStyle w:val="Hyperlink"/>
          <w:rFonts w:ascii="Arial" w:hAnsi="Arial"/>
          <w:color w:val="auto"/>
          <w:u w:val="none"/>
        </w:rPr>
        <w:t>Having installed 379,442 affordable warmth ECO measures, we estimate it will result in around £4.5bn worth of notional lifetime bill savings.</w:t>
      </w:r>
    </w:p>
    <w:p w:rsidR="00EA455B" w:rsidRDefault="00EA455B" w:rsidP="00EA455B">
      <w:pPr>
        <w:pStyle w:val="Heading2"/>
        <w:spacing w:before="0" w:after="0" w:line="240" w:lineRule="auto"/>
      </w:pPr>
    </w:p>
    <w:p w:rsidR="009840D5" w:rsidRDefault="002619A1" w:rsidP="00EA455B">
      <w:pPr>
        <w:pStyle w:val="Heading2"/>
        <w:spacing w:before="0" w:after="0" w:line="240" w:lineRule="auto"/>
      </w:pPr>
      <w:bookmarkStart w:id="44" w:name="_Toc406514284"/>
      <w:r>
        <w:t>ECO c</w:t>
      </w:r>
      <w:r w:rsidR="00AD44B6">
        <w:t>osts</w:t>
      </w:r>
      <w:bookmarkEnd w:id="44"/>
    </w:p>
    <w:p w:rsidR="00AD44B6" w:rsidRPr="00AD44B6" w:rsidRDefault="00AD44B6" w:rsidP="00AD44B6">
      <w:pPr>
        <w:spacing w:before="0" w:after="0"/>
      </w:pPr>
    </w:p>
    <w:p w:rsidR="007006DA" w:rsidRPr="00410D20" w:rsidRDefault="007006DA" w:rsidP="007006DA">
      <w:pPr>
        <w:spacing w:before="0" w:after="0" w:line="240" w:lineRule="auto"/>
        <w:jc w:val="both"/>
        <w:rPr>
          <w:rFonts w:eastAsiaTheme="minorHAnsi"/>
          <w:color w:val="0000FF"/>
          <w:szCs w:val="24"/>
          <w:u w:val="single"/>
        </w:rPr>
      </w:pPr>
      <w:r w:rsidRPr="00410D20">
        <w:rPr>
          <w:rFonts w:eastAsiaTheme="minorHAnsi"/>
          <w:szCs w:val="24"/>
        </w:rPr>
        <w:t xml:space="preserve">DECC receives monthly summary information from the seven obligated energy suppliers on their costs associated with delivering ECO. It is important to note that these figures relate to all costs as reported by suppliers as at the end of </w:t>
      </w:r>
      <w:r w:rsidR="00DF52C5">
        <w:rPr>
          <w:rFonts w:eastAsiaTheme="minorHAnsi"/>
          <w:szCs w:val="24"/>
        </w:rPr>
        <w:t>September</w:t>
      </w:r>
      <w:r w:rsidRPr="00410D20">
        <w:rPr>
          <w:rFonts w:eastAsiaTheme="minorHAnsi"/>
          <w:szCs w:val="24"/>
        </w:rPr>
        <w:t xml:space="preserve"> </w:t>
      </w:r>
      <w:r w:rsidRPr="00A0128D">
        <w:rPr>
          <w:rFonts w:eastAsiaTheme="minorHAnsi"/>
          <w:szCs w:val="24"/>
        </w:rPr>
        <w:t xml:space="preserve">2014. For more information on ECO costs please see </w:t>
      </w:r>
      <w:hyperlink w:anchor="AnnexA" w:history="1">
        <w:r w:rsidRPr="00A0128D">
          <w:rPr>
            <w:rFonts w:eastAsiaTheme="minorHAnsi"/>
            <w:color w:val="0000FF"/>
            <w:szCs w:val="24"/>
            <w:u w:val="single"/>
          </w:rPr>
          <w:t>Anne</w:t>
        </w:r>
        <w:r w:rsidRPr="00A0128D">
          <w:rPr>
            <w:rFonts w:eastAsiaTheme="minorHAnsi"/>
            <w:color w:val="0000FF"/>
            <w:szCs w:val="24"/>
            <w:u w:val="single"/>
          </w:rPr>
          <w:t>x</w:t>
        </w:r>
        <w:r w:rsidRPr="00A0128D">
          <w:rPr>
            <w:rFonts w:eastAsiaTheme="minorHAnsi"/>
            <w:color w:val="0000FF"/>
            <w:szCs w:val="24"/>
            <w:u w:val="single"/>
          </w:rPr>
          <w:t xml:space="preserve"> A</w:t>
        </w:r>
      </w:hyperlink>
      <w:r w:rsidRPr="00A0128D">
        <w:rPr>
          <w:rFonts w:eastAsiaTheme="minorHAnsi"/>
          <w:szCs w:val="24"/>
        </w:rPr>
        <w:t xml:space="preserve"> and full definitions are included</w:t>
      </w:r>
      <w:r w:rsidR="0027699B" w:rsidRPr="00A0128D">
        <w:rPr>
          <w:rFonts w:eastAsiaTheme="minorHAnsi"/>
          <w:szCs w:val="24"/>
        </w:rPr>
        <w:t xml:space="preserve"> in the</w:t>
      </w:r>
      <w:r w:rsidRPr="00A0128D">
        <w:rPr>
          <w:rFonts w:eastAsiaTheme="minorHAnsi"/>
          <w:szCs w:val="24"/>
        </w:rPr>
        <w:t xml:space="preserve"> </w:t>
      </w:r>
      <w:hyperlink r:id="rId36" w:history="1">
        <w:r w:rsidR="0027699B" w:rsidRPr="00A0128D">
          <w:rPr>
            <w:rStyle w:val="Hyperlink"/>
            <w:rFonts w:ascii="Arial" w:hAnsi="Arial"/>
            <w:szCs w:val="24"/>
          </w:rPr>
          <w:t>Methodo</w:t>
        </w:r>
        <w:r w:rsidR="0027699B" w:rsidRPr="00A0128D">
          <w:rPr>
            <w:rStyle w:val="Hyperlink"/>
            <w:rFonts w:ascii="Arial" w:hAnsi="Arial"/>
            <w:szCs w:val="24"/>
          </w:rPr>
          <w:t>l</w:t>
        </w:r>
        <w:r w:rsidR="0027699B" w:rsidRPr="00A0128D">
          <w:rPr>
            <w:rStyle w:val="Hyperlink"/>
            <w:rFonts w:ascii="Arial" w:hAnsi="Arial"/>
            <w:szCs w:val="24"/>
          </w:rPr>
          <w:t>ogy note</w:t>
        </w:r>
      </w:hyperlink>
      <w:r w:rsidRPr="00A0128D">
        <w:rPr>
          <w:rFonts w:eastAsiaTheme="minorHAnsi"/>
          <w:color w:val="0000FF"/>
          <w:szCs w:val="24"/>
          <w:u w:val="single"/>
        </w:rPr>
        <w:t>.</w:t>
      </w:r>
    </w:p>
    <w:p w:rsidR="007006DA" w:rsidRPr="00410D20" w:rsidRDefault="007006DA" w:rsidP="007006DA">
      <w:pPr>
        <w:spacing w:before="0" w:after="0" w:line="240" w:lineRule="auto"/>
        <w:jc w:val="both"/>
        <w:rPr>
          <w:rFonts w:eastAsiaTheme="minorHAnsi"/>
          <w:color w:val="000000" w:themeColor="text1"/>
          <w:szCs w:val="24"/>
          <w:highlight w:val="yellow"/>
        </w:rPr>
      </w:pPr>
    </w:p>
    <w:p w:rsidR="007006DA" w:rsidRPr="00410D20" w:rsidRDefault="007006DA" w:rsidP="007006DA">
      <w:pPr>
        <w:spacing w:before="0" w:after="0" w:line="240" w:lineRule="auto"/>
        <w:jc w:val="both"/>
        <w:rPr>
          <w:rFonts w:eastAsiaTheme="minorHAnsi"/>
          <w:szCs w:val="24"/>
        </w:rPr>
      </w:pPr>
      <w:r w:rsidRPr="00410D20">
        <w:rPr>
          <w:rFonts w:eastAsiaTheme="minorHAnsi"/>
          <w:color w:val="000000" w:themeColor="text1"/>
          <w:szCs w:val="24"/>
        </w:rPr>
        <w:t xml:space="preserve">The </w:t>
      </w:r>
      <w:r w:rsidRPr="00705534">
        <w:rPr>
          <w:rFonts w:eastAsiaTheme="minorHAnsi"/>
          <w:color w:val="000000" w:themeColor="text1"/>
          <w:szCs w:val="24"/>
        </w:rPr>
        <w:t xml:space="preserve">latest aggregate delivery costs (up to the end of </w:t>
      </w:r>
      <w:r w:rsidR="00DF52C5" w:rsidRPr="00705534">
        <w:rPr>
          <w:rFonts w:eastAsiaTheme="minorHAnsi"/>
          <w:color w:val="000000" w:themeColor="text1"/>
          <w:szCs w:val="24"/>
        </w:rPr>
        <w:t>September</w:t>
      </w:r>
      <w:r w:rsidRPr="00705534">
        <w:rPr>
          <w:rFonts w:eastAsiaTheme="minorHAnsi"/>
          <w:color w:val="000000" w:themeColor="text1"/>
          <w:szCs w:val="24"/>
        </w:rPr>
        <w:t xml:space="preserve"> 2014) are included in Table 1.13. These are historic costs and future costs may go up or down depending on a range of factors. Projected annual costs are based on scaling information (associated with the ECO targets currently in legislation) from the first </w:t>
      </w:r>
      <w:r w:rsidR="00705534" w:rsidRPr="00705534">
        <w:rPr>
          <w:rFonts w:eastAsiaTheme="minorHAnsi"/>
          <w:color w:val="000000" w:themeColor="text1"/>
          <w:szCs w:val="24"/>
        </w:rPr>
        <w:t>21</w:t>
      </w:r>
      <w:r w:rsidRPr="00705534">
        <w:rPr>
          <w:rFonts w:eastAsiaTheme="minorHAnsi"/>
          <w:color w:val="000000" w:themeColor="text1"/>
          <w:szCs w:val="24"/>
        </w:rPr>
        <w:t xml:space="preserve"> months of the scheme and then scaled for the remaining </w:t>
      </w:r>
      <w:r w:rsidR="00705534" w:rsidRPr="00705534">
        <w:rPr>
          <w:rFonts w:eastAsiaTheme="minorHAnsi"/>
          <w:color w:val="000000" w:themeColor="text1"/>
          <w:szCs w:val="24"/>
        </w:rPr>
        <w:t>six</w:t>
      </w:r>
      <w:r w:rsidRPr="00705534">
        <w:rPr>
          <w:rFonts w:eastAsiaTheme="minorHAnsi"/>
          <w:color w:val="000000" w:themeColor="text1"/>
          <w:szCs w:val="24"/>
        </w:rPr>
        <w:t xml:space="preserve"> months</w:t>
      </w:r>
      <w:r w:rsidR="00E34FD7" w:rsidRPr="00705534">
        <w:rPr>
          <w:rFonts w:eastAsiaTheme="minorHAnsi"/>
          <w:color w:val="000000" w:themeColor="text1"/>
          <w:szCs w:val="24"/>
        </w:rPr>
        <w:t xml:space="preserve"> up to the end of March 2015</w:t>
      </w:r>
      <w:r w:rsidRPr="00705534">
        <w:rPr>
          <w:rFonts w:eastAsiaTheme="minorHAnsi"/>
          <w:color w:val="000000" w:themeColor="text1"/>
          <w:szCs w:val="24"/>
        </w:rPr>
        <w:t>. These costs are only indicative of the amount energy suppliers could pass through to customers on their bills to fund their compliance with their share of the obligation. These figures suggest that, if suppliers pass through the reported costs incurred in the year they are reported, then customers currently pay an average of around £55 per annum to fund ECO (this is an illustrative amount which is calculated by dividing the total costs by the 26 million</w:t>
      </w:r>
      <w:r w:rsidR="00F57E12">
        <w:rPr>
          <w:rStyle w:val="FootnoteReference"/>
          <w:rFonts w:eastAsiaTheme="minorHAnsi"/>
          <w:color w:val="000000" w:themeColor="text1"/>
          <w:szCs w:val="24"/>
        </w:rPr>
        <w:footnoteReference w:id="18"/>
      </w:r>
      <w:r w:rsidRPr="00705534">
        <w:rPr>
          <w:rFonts w:eastAsiaTheme="minorHAnsi"/>
          <w:color w:val="000000" w:themeColor="text1"/>
          <w:szCs w:val="24"/>
        </w:rPr>
        <w:t xml:space="preserve"> account holders). Projected costs are slightly higher than the central scenario in the 2012 </w:t>
      </w:r>
      <w:hyperlink r:id="rId37" w:history="1">
        <w:r w:rsidRPr="00705534">
          <w:rPr>
            <w:rFonts w:eastAsiaTheme="minorHAnsi"/>
            <w:color w:val="0000FF"/>
            <w:szCs w:val="24"/>
            <w:u w:val="single"/>
          </w:rPr>
          <w:t>DECC Im</w:t>
        </w:r>
        <w:r w:rsidRPr="00705534">
          <w:rPr>
            <w:rFonts w:eastAsiaTheme="minorHAnsi"/>
            <w:color w:val="0000FF"/>
            <w:szCs w:val="24"/>
            <w:u w:val="single"/>
          </w:rPr>
          <w:t>p</w:t>
        </w:r>
        <w:r w:rsidRPr="00705534">
          <w:rPr>
            <w:rFonts w:eastAsiaTheme="minorHAnsi"/>
            <w:color w:val="0000FF"/>
            <w:szCs w:val="24"/>
            <w:u w:val="single"/>
          </w:rPr>
          <w:t>act Assessment</w:t>
        </w:r>
      </w:hyperlink>
      <w:r w:rsidRPr="00705534">
        <w:rPr>
          <w:rFonts w:eastAsiaTheme="minorHAnsi"/>
          <w:szCs w:val="24"/>
        </w:rPr>
        <w:t xml:space="preserve"> for ECO but within DECC’s estimates of the costs of delivering previous obligations.</w:t>
      </w:r>
      <w:r w:rsidRPr="00410D20">
        <w:rPr>
          <w:rFonts w:eastAsiaTheme="minorHAnsi"/>
          <w:color w:val="1F497D"/>
          <w:szCs w:val="24"/>
        </w:rPr>
        <w:t xml:space="preserve"> </w:t>
      </w:r>
    </w:p>
    <w:p w:rsidR="007006DA" w:rsidRPr="00410D20" w:rsidRDefault="007006DA" w:rsidP="007006DA">
      <w:pPr>
        <w:spacing w:before="0" w:after="0" w:line="240" w:lineRule="auto"/>
        <w:jc w:val="both"/>
        <w:rPr>
          <w:rFonts w:eastAsiaTheme="minorHAnsi"/>
          <w:szCs w:val="24"/>
        </w:rPr>
      </w:pPr>
    </w:p>
    <w:p w:rsidR="007006DA" w:rsidRPr="00410D20" w:rsidRDefault="007006DA" w:rsidP="007006DA">
      <w:pPr>
        <w:spacing w:before="0" w:after="0" w:line="270" w:lineRule="atLeast"/>
        <w:jc w:val="both"/>
        <w:rPr>
          <w:rFonts w:eastAsiaTheme="minorHAnsi"/>
          <w:color w:val="000000"/>
          <w:szCs w:val="24"/>
          <w:lang w:eastAsia="en-GB"/>
        </w:rPr>
      </w:pPr>
      <w:r w:rsidRPr="00410D20">
        <w:rPr>
          <w:rFonts w:eastAsiaTheme="minorHAnsi"/>
          <w:color w:val="000000"/>
          <w:szCs w:val="24"/>
          <w:lang w:eastAsia="en-GB"/>
        </w:rPr>
        <w:t xml:space="preserve">The Government announced proposals for a </w:t>
      </w:r>
      <w:hyperlink r:id="rId38" w:history="1">
        <w:r w:rsidRPr="00410D20">
          <w:rPr>
            <w:rFonts w:eastAsiaTheme="minorHAnsi"/>
            <w:color w:val="0000FF"/>
            <w:szCs w:val="24"/>
            <w:u w:val="single"/>
            <w:lang w:eastAsia="en-GB"/>
          </w:rPr>
          <w:t>set of c</w:t>
        </w:r>
        <w:r w:rsidRPr="00410D20">
          <w:rPr>
            <w:rFonts w:eastAsiaTheme="minorHAnsi"/>
            <w:color w:val="0000FF"/>
            <w:szCs w:val="24"/>
            <w:u w:val="single"/>
            <w:lang w:eastAsia="en-GB"/>
          </w:rPr>
          <w:t>h</w:t>
        </w:r>
        <w:r w:rsidRPr="00410D20">
          <w:rPr>
            <w:rFonts w:eastAsiaTheme="minorHAnsi"/>
            <w:color w:val="0000FF"/>
            <w:szCs w:val="24"/>
            <w:u w:val="single"/>
            <w:lang w:eastAsia="en-GB"/>
          </w:rPr>
          <w:t>anges to ECO</w:t>
        </w:r>
      </w:hyperlink>
      <w:r w:rsidRPr="00410D20">
        <w:rPr>
          <w:rFonts w:eastAsiaTheme="minorHAnsi"/>
          <w:color w:val="000000"/>
          <w:szCs w:val="24"/>
          <w:lang w:eastAsia="en-GB"/>
        </w:rPr>
        <w:t xml:space="preserve"> in December 2013</w:t>
      </w:r>
      <w:r w:rsidRPr="00410D20">
        <w:rPr>
          <w:rFonts w:eastAsiaTheme="minorHAnsi"/>
          <w:color w:val="000000" w:themeColor="text1"/>
          <w:szCs w:val="24"/>
          <w:lang w:eastAsia="en-GB"/>
        </w:rPr>
        <w:t xml:space="preserve">, which were consulted on in spring 2014. These include: introducing ECO targets for the two year </w:t>
      </w:r>
      <w:r w:rsidRPr="00410D20">
        <w:rPr>
          <w:rFonts w:eastAsiaTheme="minorHAnsi"/>
          <w:color w:val="000000" w:themeColor="text1"/>
          <w:szCs w:val="24"/>
          <w:lang w:eastAsia="en-GB"/>
        </w:rPr>
        <w:lastRenderedPageBreak/>
        <w:t>period to the end of March 2017; reducing the March 2015 CERO by 33%; and allowing additional measures (</w:t>
      </w:r>
      <w:r w:rsidRPr="00705534">
        <w:rPr>
          <w:rFonts w:eastAsiaTheme="minorHAnsi"/>
          <w:color w:val="000000" w:themeColor="text1"/>
          <w:szCs w:val="24"/>
          <w:lang w:eastAsia="en-GB"/>
        </w:rPr>
        <w:t xml:space="preserve">loft and standard cavity wall insulation, and district heating) to be eligible under the CERO target. The Government confirmed its intention to introduce these changes into legislation in its 22 July 2014 response </w:t>
      </w:r>
      <w:hyperlink r:id="rId39" w:history="1">
        <w:r w:rsidRPr="00705534">
          <w:rPr>
            <w:rFonts w:eastAsiaTheme="minorHAnsi"/>
            <w:color w:val="0000FF"/>
            <w:szCs w:val="24"/>
            <w:u w:val="single"/>
            <w:lang w:eastAsia="en-GB"/>
          </w:rPr>
          <w:t>h</w:t>
        </w:r>
        <w:r w:rsidRPr="00705534">
          <w:rPr>
            <w:rFonts w:eastAsiaTheme="minorHAnsi"/>
            <w:color w:val="0000FF"/>
            <w:szCs w:val="24"/>
            <w:u w:val="single"/>
            <w:lang w:eastAsia="en-GB"/>
          </w:rPr>
          <w:t>e</w:t>
        </w:r>
        <w:r w:rsidRPr="00705534">
          <w:rPr>
            <w:rFonts w:eastAsiaTheme="minorHAnsi"/>
            <w:color w:val="0000FF"/>
            <w:szCs w:val="24"/>
            <w:u w:val="single"/>
            <w:lang w:eastAsia="en-GB"/>
          </w:rPr>
          <w:t>re</w:t>
        </w:r>
      </w:hyperlink>
      <w:r w:rsidRPr="00705534">
        <w:rPr>
          <w:rFonts w:eastAsiaTheme="minorHAnsi"/>
          <w:color w:val="7030A0"/>
          <w:szCs w:val="24"/>
          <w:lang w:eastAsia="en-GB"/>
        </w:rPr>
        <w:t xml:space="preserve">. </w:t>
      </w:r>
      <w:r w:rsidRPr="00705534">
        <w:rPr>
          <w:rFonts w:eastAsiaTheme="minorHAnsi"/>
          <w:color w:val="000000" w:themeColor="text1"/>
          <w:szCs w:val="24"/>
          <w:lang w:eastAsia="en-GB"/>
        </w:rPr>
        <w:t xml:space="preserve">The revised regulations </w:t>
      </w:r>
      <w:r w:rsidR="0056715F">
        <w:rPr>
          <w:rFonts w:eastAsiaTheme="minorHAnsi"/>
          <w:color w:val="000000" w:themeColor="text1"/>
          <w:szCs w:val="24"/>
          <w:lang w:eastAsia="en-GB"/>
        </w:rPr>
        <w:t>were passed by Parliament</w:t>
      </w:r>
      <w:r w:rsidR="00F57E12">
        <w:rPr>
          <w:rFonts w:eastAsiaTheme="minorHAnsi"/>
          <w:color w:val="000000" w:themeColor="text1"/>
          <w:szCs w:val="24"/>
          <w:lang w:eastAsia="en-GB"/>
        </w:rPr>
        <w:t xml:space="preserve"> on 5 December 2014</w:t>
      </w:r>
      <w:r w:rsidR="0056715F">
        <w:rPr>
          <w:rFonts w:eastAsiaTheme="minorHAnsi"/>
          <w:color w:val="000000" w:themeColor="text1"/>
          <w:szCs w:val="24"/>
          <w:lang w:eastAsia="en-GB"/>
        </w:rPr>
        <w:t xml:space="preserve">. A number of </w:t>
      </w:r>
      <w:r w:rsidR="00B1732A">
        <w:rPr>
          <w:rFonts w:eastAsiaTheme="minorHAnsi"/>
          <w:color w:val="000000" w:themeColor="text1"/>
          <w:szCs w:val="24"/>
          <w:lang w:eastAsia="en-GB"/>
        </w:rPr>
        <w:t>measures</w:t>
      </w:r>
      <w:r w:rsidR="0056715F">
        <w:rPr>
          <w:rFonts w:eastAsiaTheme="minorHAnsi"/>
          <w:color w:val="000000" w:themeColor="text1"/>
          <w:szCs w:val="24"/>
          <w:lang w:eastAsia="en-GB"/>
        </w:rPr>
        <w:t xml:space="preserve"> that were installed since 1 April 2014 in anticipation of these </w:t>
      </w:r>
      <w:proofErr w:type="gramStart"/>
      <w:r w:rsidR="0056715F">
        <w:rPr>
          <w:rFonts w:eastAsiaTheme="minorHAnsi"/>
          <w:color w:val="000000" w:themeColor="text1"/>
          <w:szCs w:val="24"/>
          <w:lang w:eastAsia="en-GB"/>
        </w:rPr>
        <w:t>changes,</w:t>
      </w:r>
      <w:proofErr w:type="gramEnd"/>
      <w:r w:rsidR="0056715F">
        <w:rPr>
          <w:rFonts w:eastAsiaTheme="minorHAnsi"/>
          <w:color w:val="000000" w:themeColor="text1"/>
          <w:szCs w:val="24"/>
          <w:lang w:eastAsia="en-GB"/>
        </w:rPr>
        <w:t xml:space="preserve"> will be included once notified to Ofgem</w:t>
      </w:r>
      <w:r w:rsidRPr="00705534">
        <w:rPr>
          <w:rFonts w:eastAsiaTheme="minorHAnsi"/>
          <w:color w:val="000000" w:themeColor="text1"/>
          <w:szCs w:val="24"/>
          <w:lang w:eastAsia="en-GB"/>
        </w:rPr>
        <w:t>.</w:t>
      </w:r>
      <w:r w:rsidRPr="00410D20">
        <w:rPr>
          <w:rFonts w:eastAsiaTheme="minorHAnsi"/>
          <w:color w:val="000000" w:themeColor="text1"/>
          <w:szCs w:val="24"/>
          <w:lang w:eastAsia="en-GB"/>
        </w:rPr>
        <w:t xml:space="preserve"> </w:t>
      </w:r>
    </w:p>
    <w:p w:rsidR="007006DA" w:rsidRPr="00410D20" w:rsidRDefault="007006DA" w:rsidP="007006DA">
      <w:pPr>
        <w:spacing w:before="0" w:after="0" w:line="240" w:lineRule="auto"/>
        <w:jc w:val="both"/>
        <w:rPr>
          <w:rFonts w:eastAsiaTheme="minorHAnsi"/>
          <w:szCs w:val="24"/>
        </w:rPr>
      </w:pPr>
    </w:p>
    <w:p w:rsidR="007006DA" w:rsidRPr="00654AE1" w:rsidRDefault="007006DA" w:rsidP="007006DA">
      <w:pPr>
        <w:spacing w:before="0" w:after="0" w:line="240" w:lineRule="auto"/>
        <w:jc w:val="both"/>
        <w:rPr>
          <w:rFonts w:eastAsiaTheme="minorHAnsi"/>
          <w:color w:val="000000" w:themeColor="text1"/>
          <w:szCs w:val="24"/>
        </w:rPr>
      </w:pPr>
      <w:r w:rsidRPr="00705534">
        <w:rPr>
          <w:rFonts w:eastAsiaTheme="minorHAnsi"/>
          <w:color w:val="000000" w:themeColor="text1"/>
          <w:szCs w:val="24"/>
        </w:rPr>
        <w:t>The Government published its latest assessment of the potential costs to suppliers of delivering th</w:t>
      </w:r>
      <w:r w:rsidRPr="00654AE1">
        <w:rPr>
          <w:rFonts w:eastAsiaTheme="minorHAnsi"/>
          <w:color w:val="000000" w:themeColor="text1"/>
          <w:szCs w:val="24"/>
        </w:rPr>
        <w:t xml:space="preserve">e revised ECO targets in the 22 July </w:t>
      </w:r>
      <w:r w:rsidR="00410D20" w:rsidRPr="00654AE1">
        <w:rPr>
          <w:rFonts w:eastAsiaTheme="minorHAnsi"/>
          <w:color w:val="000000" w:themeColor="text1"/>
          <w:szCs w:val="24"/>
        </w:rPr>
        <w:t xml:space="preserve">2014 </w:t>
      </w:r>
      <w:hyperlink r:id="rId40" w:history="1">
        <w:r w:rsidRPr="00654AE1">
          <w:rPr>
            <w:rFonts w:eastAsiaTheme="minorHAnsi"/>
            <w:color w:val="0000FF"/>
            <w:szCs w:val="24"/>
            <w:u w:val="single"/>
          </w:rPr>
          <w:t>DECC Im</w:t>
        </w:r>
        <w:r w:rsidRPr="00654AE1">
          <w:rPr>
            <w:rFonts w:eastAsiaTheme="minorHAnsi"/>
            <w:color w:val="0000FF"/>
            <w:szCs w:val="24"/>
            <w:u w:val="single"/>
          </w:rPr>
          <w:t>p</w:t>
        </w:r>
        <w:r w:rsidRPr="00654AE1">
          <w:rPr>
            <w:rFonts w:eastAsiaTheme="minorHAnsi"/>
            <w:color w:val="0000FF"/>
            <w:szCs w:val="24"/>
            <w:u w:val="single"/>
          </w:rPr>
          <w:t>act Assessment</w:t>
        </w:r>
      </w:hyperlink>
      <w:r w:rsidRPr="00654AE1">
        <w:rPr>
          <w:rFonts w:eastAsiaTheme="minorHAnsi"/>
          <w:color w:val="7030A0"/>
          <w:szCs w:val="24"/>
        </w:rPr>
        <w:t xml:space="preserve">. </w:t>
      </w:r>
      <w:r w:rsidRPr="00654AE1">
        <w:rPr>
          <w:rFonts w:eastAsiaTheme="minorHAnsi"/>
          <w:color w:val="000000" w:themeColor="text1"/>
          <w:szCs w:val="24"/>
        </w:rPr>
        <w:t xml:space="preserve">This assessment reflected the whole package of changes, including the retrospective change of allowing companies to deliver cheaper measures from 1 April 2014. It also reflected updated assumptions on the likely carry-forward to ECO from previous obligation schemes, the estimated impact of the </w:t>
      </w:r>
      <w:proofErr w:type="spellStart"/>
      <w:r w:rsidRPr="00654AE1">
        <w:rPr>
          <w:rFonts w:eastAsiaTheme="minorHAnsi"/>
          <w:color w:val="000000" w:themeColor="text1"/>
          <w:szCs w:val="24"/>
        </w:rPr>
        <w:t>levelisation</w:t>
      </w:r>
      <w:proofErr w:type="spellEnd"/>
      <w:r w:rsidRPr="00654AE1">
        <w:rPr>
          <w:rFonts w:eastAsiaTheme="minorHAnsi"/>
          <w:color w:val="000000" w:themeColor="text1"/>
          <w:szCs w:val="24"/>
        </w:rPr>
        <w:t xml:space="preserve"> mechanism </w:t>
      </w:r>
      <w:r w:rsidR="00410D20" w:rsidRPr="00654AE1">
        <w:rPr>
          <w:rFonts w:eastAsiaTheme="minorHAnsi"/>
          <w:color w:val="000000" w:themeColor="text1"/>
          <w:szCs w:val="24"/>
        </w:rPr>
        <w:t>(</w:t>
      </w:r>
      <w:r w:rsidR="00410D20" w:rsidRPr="00654AE1">
        <w:rPr>
          <w:color w:val="000000" w:themeColor="text1"/>
          <w:szCs w:val="24"/>
        </w:rPr>
        <w:t>which would provide uplift to CERO carbon scoring</w:t>
      </w:r>
      <w:r w:rsidR="00410D20" w:rsidRPr="00654AE1">
        <w:rPr>
          <w:rFonts w:eastAsiaTheme="minorHAnsi"/>
          <w:color w:val="000000" w:themeColor="text1"/>
          <w:szCs w:val="24"/>
        </w:rPr>
        <w:t xml:space="preserve">) </w:t>
      </w:r>
      <w:r w:rsidRPr="00654AE1">
        <w:rPr>
          <w:rFonts w:eastAsiaTheme="minorHAnsi"/>
          <w:color w:val="000000" w:themeColor="text1"/>
          <w:szCs w:val="24"/>
        </w:rPr>
        <w:t>and an assumption that the obligated companies would bring forward some of their 2017 target delivery to the period to 31 March 2015. T</w:t>
      </w:r>
      <w:r w:rsidR="00E9209B" w:rsidRPr="00654AE1">
        <w:rPr>
          <w:rFonts w:eastAsiaTheme="minorHAnsi"/>
          <w:color w:val="000000" w:themeColor="text1"/>
          <w:szCs w:val="24"/>
        </w:rPr>
        <w:t>he total ECO cost estimates in T</w:t>
      </w:r>
      <w:r w:rsidRPr="00654AE1">
        <w:rPr>
          <w:rFonts w:eastAsiaTheme="minorHAnsi"/>
          <w:color w:val="000000" w:themeColor="text1"/>
          <w:szCs w:val="24"/>
        </w:rPr>
        <w:t>able 1.13, however, are based on the companies’ reported costs and will not reflect all the forthcoming changes to ECO. In particular, they do not include the costs of delivering the additional, likely cheaper, measures companies can deliver retrospectively under CERO (these “interim measures” cannot be verified by Ofgem until the legislation is in force). Further, the scaled up costs reflect the 31 March 2015 target ambition currently in legislation and not, like the 22 July IA, the Department’s estimates of the actual ambition the companies might deliver to March 2015. Therefore, assuming that the average/highest/lowest prices to date continue to be paid throughout t</w:t>
      </w:r>
      <w:r w:rsidR="00E9209B" w:rsidRPr="00654AE1">
        <w:rPr>
          <w:rFonts w:eastAsiaTheme="minorHAnsi"/>
          <w:color w:val="000000" w:themeColor="text1"/>
          <w:szCs w:val="24"/>
        </w:rPr>
        <w:t>he obligation period, shown in T</w:t>
      </w:r>
      <w:r w:rsidRPr="00654AE1">
        <w:rPr>
          <w:rFonts w:eastAsiaTheme="minorHAnsi"/>
          <w:color w:val="000000" w:themeColor="text1"/>
          <w:szCs w:val="24"/>
        </w:rPr>
        <w:t>able 1.13, is unlikely to be an accurate projection of future costs. The projected costs based on reported costs will be revised once the new ECO legislation is in place and these measures can be notified to Ofgem.</w:t>
      </w:r>
    </w:p>
    <w:p w:rsidR="007006DA" w:rsidRPr="00654AE1" w:rsidRDefault="007006DA" w:rsidP="007006DA">
      <w:pPr>
        <w:spacing w:before="0" w:after="0" w:line="240" w:lineRule="auto"/>
        <w:jc w:val="both"/>
        <w:rPr>
          <w:rFonts w:eastAsiaTheme="minorHAnsi"/>
          <w:szCs w:val="24"/>
        </w:rPr>
      </w:pPr>
    </w:p>
    <w:p w:rsidR="007006DA" w:rsidRPr="00410D20" w:rsidRDefault="007006DA" w:rsidP="007006DA">
      <w:pPr>
        <w:spacing w:before="0" w:after="0" w:line="240" w:lineRule="auto"/>
        <w:jc w:val="both"/>
        <w:rPr>
          <w:rFonts w:eastAsiaTheme="minorHAnsi"/>
          <w:szCs w:val="24"/>
        </w:rPr>
      </w:pPr>
      <w:r w:rsidRPr="00654AE1">
        <w:rPr>
          <w:rFonts w:eastAsiaTheme="minorHAnsi"/>
          <w:szCs w:val="24"/>
        </w:rPr>
        <w:t xml:space="preserve">Table 1.13a shows the average price by obligation and the highest and lowest prices reported by </w:t>
      </w:r>
      <w:r w:rsidRPr="00654AE1">
        <w:rPr>
          <w:rFonts w:eastAsiaTheme="minorHAnsi"/>
          <w:color w:val="000000" w:themeColor="text1"/>
          <w:szCs w:val="24"/>
        </w:rPr>
        <w:t xml:space="preserve">suppliers for each obligation as at the end of </w:t>
      </w:r>
      <w:r w:rsidR="00E9209B" w:rsidRPr="00654AE1">
        <w:rPr>
          <w:rFonts w:eastAsiaTheme="minorHAnsi"/>
          <w:color w:val="000000" w:themeColor="text1"/>
          <w:szCs w:val="24"/>
        </w:rPr>
        <w:t>September</w:t>
      </w:r>
      <w:r w:rsidRPr="00654AE1">
        <w:rPr>
          <w:rFonts w:eastAsiaTheme="minorHAnsi"/>
          <w:color w:val="000000" w:themeColor="text1"/>
          <w:szCs w:val="24"/>
        </w:rPr>
        <w:t xml:space="preserve"> 2014. The suppliers have not been identified to protect commercial confidentiality. This shows that some energy suppliers are discharging their obligation more cost effectively than others. If the highest prices for each ECO obligation are scaled, and suppliers were to deliver their currently legislated ECO targets to 31 March 2015, the overall scheme would cost around £1.6bn per year. Scaling up the lowest prices would bring </w:t>
      </w:r>
      <w:r w:rsidRPr="00654AE1">
        <w:rPr>
          <w:rFonts w:eastAsiaTheme="minorHAnsi"/>
          <w:szCs w:val="24"/>
        </w:rPr>
        <w:t>the overall scheme in at around £1.3bn per year, and the average prices resulting in around £1.5bn per year. This includes cost revisions submitted from some energy companies as previously reported.</w:t>
      </w:r>
    </w:p>
    <w:p w:rsidR="00975396" w:rsidRDefault="00975396" w:rsidP="001F5350">
      <w:pPr>
        <w:pStyle w:val="Heading2"/>
        <w:spacing w:before="0" w:after="0"/>
      </w:pPr>
      <w:bookmarkStart w:id="45" w:name="_Toc375046008"/>
    </w:p>
    <w:p w:rsidR="001F5350" w:rsidRDefault="001F5350" w:rsidP="001F5350">
      <w:pPr>
        <w:pStyle w:val="Heading2"/>
        <w:spacing w:before="0" w:after="0"/>
      </w:pPr>
      <w:bookmarkStart w:id="46" w:name="_Toc406514285"/>
      <w:r>
        <w:t>ECO Brokerage</w:t>
      </w:r>
      <w:bookmarkEnd w:id="45"/>
      <w:bookmarkEnd w:id="46"/>
    </w:p>
    <w:p w:rsidR="001F5350" w:rsidRPr="007C5903" w:rsidRDefault="001F5350" w:rsidP="001F5350">
      <w:pPr>
        <w:spacing w:before="0" w:after="0"/>
      </w:pPr>
    </w:p>
    <w:p w:rsidR="001F5350" w:rsidRDefault="001F5350" w:rsidP="00E01370">
      <w:pPr>
        <w:spacing w:before="0" w:after="0" w:line="270" w:lineRule="atLeast"/>
        <w:jc w:val="both"/>
      </w:pPr>
      <w:r w:rsidRPr="008A5812">
        <w:t xml:space="preserve">The </w:t>
      </w:r>
      <w:hyperlink r:id="rId41" w:history="1">
        <w:r w:rsidRPr="008A5812">
          <w:rPr>
            <w:rStyle w:val="Hyperlink"/>
            <w:rFonts w:ascii="Arial" w:hAnsi="Arial"/>
          </w:rPr>
          <w:t>ECO Br</w:t>
        </w:r>
        <w:r w:rsidRPr="008A5812">
          <w:rPr>
            <w:rStyle w:val="Hyperlink"/>
            <w:rFonts w:ascii="Arial" w:hAnsi="Arial"/>
          </w:rPr>
          <w:t>o</w:t>
        </w:r>
        <w:r w:rsidRPr="008A5812">
          <w:rPr>
            <w:rStyle w:val="Hyperlink"/>
            <w:rFonts w:ascii="Arial" w:hAnsi="Arial"/>
          </w:rPr>
          <w:t>kerage</w:t>
        </w:r>
      </w:hyperlink>
      <w:r w:rsidRPr="008A5812">
        <w:t xml:space="preserve"> system operates as a fortnightly anonymous auction where providers can sell ‘lots’ of future measures of ECO Carbon Saving Obligation, ECO Carbon Saving Communities and ECO Affordable Warmth, to energy companies in return for ECO subsidy.</w:t>
      </w:r>
    </w:p>
    <w:p w:rsidR="001F5350" w:rsidRPr="00945559" w:rsidRDefault="001F5350" w:rsidP="00E01370">
      <w:pPr>
        <w:spacing w:before="0" w:after="0" w:line="270" w:lineRule="atLeast"/>
        <w:jc w:val="both"/>
      </w:pPr>
    </w:p>
    <w:p w:rsidR="001F5350" w:rsidRPr="001837BF" w:rsidRDefault="001F5350" w:rsidP="00E01370">
      <w:pPr>
        <w:spacing w:before="0" w:after="0" w:line="270" w:lineRule="atLeast"/>
        <w:jc w:val="both"/>
        <w:rPr>
          <w:bCs/>
          <w:u w:val="single"/>
        </w:rPr>
      </w:pPr>
      <w:r w:rsidRPr="001837BF">
        <w:rPr>
          <w:bCs/>
          <w:u w:val="single"/>
        </w:rPr>
        <w:t xml:space="preserve">ECO Brokerage clearing prices by ECO obligation by auction, up to </w:t>
      </w:r>
      <w:r w:rsidR="00194F8A" w:rsidRPr="001837BF">
        <w:rPr>
          <w:bCs/>
          <w:u w:val="single"/>
        </w:rPr>
        <w:t>end of</w:t>
      </w:r>
      <w:r w:rsidR="00C50128" w:rsidRPr="001837BF">
        <w:rPr>
          <w:bCs/>
          <w:u w:val="single"/>
        </w:rPr>
        <w:t xml:space="preserve"> </w:t>
      </w:r>
      <w:r w:rsidR="00E9209B" w:rsidRPr="001837BF">
        <w:rPr>
          <w:bCs/>
          <w:u w:val="single"/>
        </w:rPr>
        <w:t>September</w:t>
      </w:r>
      <w:r w:rsidR="002F723B" w:rsidRPr="001837BF">
        <w:rPr>
          <w:bCs/>
          <w:u w:val="single"/>
        </w:rPr>
        <w:t xml:space="preserve"> 2014</w:t>
      </w:r>
      <w:r w:rsidRPr="001837BF">
        <w:rPr>
          <w:bCs/>
          <w:u w:val="single"/>
        </w:rPr>
        <w:t xml:space="preserve"> (Table 1.1</w:t>
      </w:r>
      <w:r w:rsidR="00167BD2" w:rsidRPr="001837BF">
        <w:rPr>
          <w:bCs/>
          <w:u w:val="single"/>
        </w:rPr>
        <w:t>4</w:t>
      </w:r>
      <w:r w:rsidRPr="001837BF">
        <w:rPr>
          <w:bCs/>
          <w:u w:val="single"/>
        </w:rPr>
        <w:t>)</w:t>
      </w:r>
    </w:p>
    <w:p w:rsidR="001F5350" w:rsidRPr="001837BF" w:rsidRDefault="001F5350" w:rsidP="00E01370">
      <w:pPr>
        <w:spacing w:before="0" w:after="0" w:line="270" w:lineRule="atLeast"/>
        <w:rPr>
          <w:bCs/>
          <w:u w:val="single"/>
        </w:rPr>
      </w:pPr>
    </w:p>
    <w:p w:rsidR="001F5350" w:rsidRDefault="00167BD2" w:rsidP="00E9209B">
      <w:pPr>
        <w:spacing w:before="0" w:after="0" w:line="240" w:lineRule="auto"/>
        <w:jc w:val="both"/>
        <w:rPr>
          <w:rStyle w:val="Hyperlink"/>
          <w:rFonts w:ascii="Arial" w:hAnsi="Arial"/>
          <w:szCs w:val="24"/>
        </w:rPr>
      </w:pPr>
      <w:r w:rsidRPr="001837BF">
        <w:rPr>
          <w:bCs/>
        </w:rPr>
        <w:t>Table 1.14</w:t>
      </w:r>
      <w:r w:rsidR="001F5350" w:rsidRPr="001837BF">
        <w:rPr>
          <w:bCs/>
        </w:rPr>
        <w:t xml:space="preserve"> presents the clearing prices of all lots sold through ECO brokerage from all </w:t>
      </w:r>
      <w:r w:rsidR="001837BF" w:rsidRPr="001837BF">
        <w:rPr>
          <w:bCs/>
        </w:rPr>
        <w:t>44</w:t>
      </w:r>
      <w:r w:rsidR="001F5350" w:rsidRPr="001837BF">
        <w:rPr>
          <w:bCs/>
        </w:rPr>
        <w:t xml:space="preserve"> auctions taking place up to the end of</w:t>
      </w:r>
      <w:r w:rsidR="001837BF" w:rsidRPr="001837BF">
        <w:rPr>
          <w:bCs/>
        </w:rPr>
        <w:t xml:space="preserve"> September</w:t>
      </w:r>
      <w:r w:rsidR="002035D4" w:rsidRPr="001837BF">
        <w:rPr>
          <w:bCs/>
        </w:rPr>
        <w:t xml:space="preserve"> 2014</w:t>
      </w:r>
      <w:r w:rsidR="001F5350" w:rsidRPr="001837BF">
        <w:t xml:space="preserve">, with a total value of contracts let </w:t>
      </w:r>
      <w:r w:rsidR="007460D4" w:rsidRPr="001837BF">
        <w:t>worth £</w:t>
      </w:r>
      <w:r w:rsidR="00BC5CAB" w:rsidRPr="001837BF">
        <w:t>4</w:t>
      </w:r>
      <w:r w:rsidR="001837BF" w:rsidRPr="001837BF">
        <w:t>18</w:t>
      </w:r>
      <w:r w:rsidR="001F5350" w:rsidRPr="001837BF">
        <w:t xml:space="preserve"> million.</w:t>
      </w:r>
      <w:r w:rsidR="001F5350" w:rsidRPr="001837BF">
        <w:rPr>
          <w:bCs/>
        </w:rPr>
        <w:t xml:space="preserve"> </w:t>
      </w:r>
      <w:r w:rsidR="00BC5CAB" w:rsidRPr="001837BF">
        <w:rPr>
          <w:bCs/>
        </w:rPr>
        <w:t>Auctions 25, 32, 33, 34, 36</w:t>
      </w:r>
      <w:r w:rsidR="001837BF" w:rsidRPr="001837BF">
        <w:rPr>
          <w:bCs/>
        </w:rPr>
        <w:t xml:space="preserve">, </w:t>
      </w:r>
      <w:r w:rsidR="00A63E5C">
        <w:rPr>
          <w:bCs/>
        </w:rPr>
        <w:t xml:space="preserve">and </w:t>
      </w:r>
      <w:r w:rsidR="001837BF" w:rsidRPr="001837BF">
        <w:rPr>
          <w:bCs/>
        </w:rPr>
        <w:t xml:space="preserve">40 </w:t>
      </w:r>
      <w:r w:rsidR="00BC5CAB" w:rsidRPr="001837BF">
        <w:rPr>
          <w:bCs/>
        </w:rPr>
        <w:t xml:space="preserve">saw no contracts let. The levels of brokerage activity in recent months are likely to have been affected by uncertainty around the period, following the announced proposals for a </w:t>
      </w:r>
      <w:hyperlink r:id="rId42" w:history="1">
        <w:r w:rsidR="00BC5CAB" w:rsidRPr="001837BF">
          <w:rPr>
            <w:rStyle w:val="Hyperlink"/>
            <w:rFonts w:ascii="Arial" w:hAnsi="Arial"/>
          </w:rPr>
          <w:t>set of</w:t>
        </w:r>
        <w:r w:rsidR="00BC5CAB" w:rsidRPr="001837BF">
          <w:rPr>
            <w:rStyle w:val="Hyperlink"/>
            <w:rFonts w:ascii="Arial" w:hAnsi="Arial"/>
          </w:rPr>
          <w:t xml:space="preserve"> </w:t>
        </w:r>
        <w:r w:rsidR="00BC5CAB" w:rsidRPr="001837BF">
          <w:rPr>
            <w:rStyle w:val="Hyperlink"/>
            <w:rFonts w:ascii="Arial" w:hAnsi="Arial"/>
          </w:rPr>
          <w:t>changes to ECO</w:t>
        </w:r>
      </w:hyperlink>
      <w:r w:rsidR="00BC5CAB" w:rsidRPr="001837BF">
        <w:rPr>
          <w:rStyle w:val="Hyperlink"/>
          <w:rFonts w:ascii="Arial" w:hAnsi="Arial"/>
        </w:rPr>
        <w:t>.</w:t>
      </w:r>
      <w:r w:rsidR="00BC5CAB" w:rsidRPr="001837BF">
        <w:rPr>
          <w:bCs/>
        </w:rPr>
        <w:t xml:space="preserve"> T</w:t>
      </w:r>
      <w:r w:rsidR="001F5350" w:rsidRPr="001837BF">
        <w:rPr>
          <w:bCs/>
        </w:rPr>
        <w:t>h</w:t>
      </w:r>
      <w:r w:rsidR="00BC5CAB" w:rsidRPr="001837BF">
        <w:rPr>
          <w:bCs/>
        </w:rPr>
        <w:t>e average price paid for lots has been</w:t>
      </w:r>
      <w:r w:rsidR="001F5350" w:rsidRPr="001837BF">
        <w:rPr>
          <w:bCs/>
        </w:rPr>
        <w:t xml:space="preserve"> decreasing for the </w:t>
      </w:r>
      <w:r w:rsidR="001F5350" w:rsidRPr="001837BF">
        <w:t>Carbon Saving Obligation</w:t>
      </w:r>
      <w:r w:rsidR="007460D4" w:rsidRPr="001837BF">
        <w:t xml:space="preserve">, Carbon Saving Communities (CSCO) </w:t>
      </w:r>
      <w:r w:rsidR="001F5350" w:rsidRPr="001837BF">
        <w:t>and ECO Affordable Warmth</w:t>
      </w:r>
      <w:r w:rsidR="001F5350" w:rsidRPr="001837BF">
        <w:rPr>
          <w:bCs/>
        </w:rPr>
        <w:t>.</w:t>
      </w:r>
      <w:r w:rsidR="00E9209B" w:rsidRPr="001837BF">
        <w:rPr>
          <w:bCs/>
        </w:rPr>
        <w:t xml:space="preserve"> </w:t>
      </w:r>
      <w:r w:rsidR="001F5350" w:rsidRPr="001837BF">
        <w:rPr>
          <w:bCs/>
          <w:szCs w:val="24"/>
        </w:rPr>
        <w:t xml:space="preserve">For more detail on the results of each auction, please see </w:t>
      </w:r>
      <w:hyperlink r:id="rId43" w:history="1">
        <w:r w:rsidR="001F5350" w:rsidRPr="001837BF">
          <w:rPr>
            <w:rStyle w:val="Hyperlink"/>
            <w:rFonts w:ascii="Arial" w:hAnsi="Arial"/>
            <w:szCs w:val="24"/>
          </w:rPr>
          <w:t>ECO</w:t>
        </w:r>
        <w:r w:rsidR="001F5350" w:rsidRPr="001837BF">
          <w:rPr>
            <w:rStyle w:val="Hyperlink"/>
            <w:rFonts w:ascii="Arial" w:hAnsi="Arial"/>
            <w:szCs w:val="24"/>
          </w:rPr>
          <w:t xml:space="preserve"> </w:t>
        </w:r>
        <w:r w:rsidR="001F5350" w:rsidRPr="001837BF">
          <w:rPr>
            <w:rStyle w:val="Hyperlink"/>
            <w:rFonts w:ascii="Arial" w:hAnsi="Arial"/>
            <w:szCs w:val="24"/>
          </w:rPr>
          <w:t>Brokerage</w:t>
        </w:r>
      </w:hyperlink>
      <w:r w:rsidR="00E9209B" w:rsidRPr="001837BF">
        <w:rPr>
          <w:rStyle w:val="Hyperlink"/>
          <w:rFonts w:ascii="Arial" w:hAnsi="Arial"/>
          <w:szCs w:val="24"/>
        </w:rPr>
        <w:t>.</w:t>
      </w:r>
    </w:p>
    <w:p w:rsidR="00EA455B" w:rsidRPr="00EA455B" w:rsidRDefault="00C878CF" w:rsidP="00EA455B">
      <w:pPr>
        <w:pStyle w:val="Heading2"/>
        <w:spacing w:before="0" w:after="0"/>
        <w:jc w:val="both"/>
      </w:pPr>
      <w:bookmarkStart w:id="47" w:name="_Toc406514286"/>
      <w:bookmarkStart w:id="48" w:name="_Toc375313963"/>
      <w:r>
        <w:lastRenderedPageBreak/>
        <w:t xml:space="preserve">Estimated carbon and energy savings for measures installed through </w:t>
      </w:r>
      <w:r w:rsidR="008312D7" w:rsidRPr="008312D7">
        <w:t>ECO, Green Deal Plans, GDHIF and Cashback</w:t>
      </w:r>
      <w:r>
        <w:t xml:space="preserve">, up to </w:t>
      </w:r>
      <w:r w:rsidR="007955A0">
        <w:t>30</w:t>
      </w:r>
      <w:r w:rsidR="007955A0" w:rsidRPr="007955A0">
        <w:rPr>
          <w:vertAlign w:val="superscript"/>
        </w:rPr>
        <w:t>th</w:t>
      </w:r>
      <w:r w:rsidR="007955A0">
        <w:t xml:space="preserve"> </w:t>
      </w:r>
      <w:r w:rsidR="00727288">
        <w:t>September</w:t>
      </w:r>
      <w:r w:rsidR="002035D4">
        <w:t xml:space="preserve"> 2014</w:t>
      </w:r>
      <w:bookmarkEnd w:id="47"/>
    </w:p>
    <w:p w:rsidR="00EA455B" w:rsidRDefault="00EA455B" w:rsidP="00E01370">
      <w:pPr>
        <w:spacing w:before="0" w:after="0"/>
        <w:jc w:val="both"/>
        <w:rPr>
          <w:color w:val="000000"/>
        </w:rPr>
      </w:pPr>
    </w:p>
    <w:p w:rsidR="00C878CF" w:rsidRDefault="00C878CF" w:rsidP="00E01370">
      <w:pPr>
        <w:spacing w:before="0" w:after="0"/>
        <w:jc w:val="both"/>
        <w:rPr>
          <w:color w:val="000000"/>
        </w:rPr>
      </w:pPr>
      <w:r w:rsidRPr="00C878CF">
        <w:rPr>
          <w:color w:val="000000"/>
        </w:rPr>
        <w:t xml:space="preserve">The </w:t>
      </w:r>
      <w:hyperlink r:id="rId44" w:history="1">
        <w:r w:rsidRPr="00C878CF">
          <w:rPr>
            <w:rStyle w:val="Hyperlink"/>
            <w:rFonts w:ascii="Arial" w:hAnsi="Arial"/>
          </w:rPr>
          <w:t>Final Stage Impact A</w:t>
        </w:r>
        <w:r w:rsidRPr="00C878CF">
          <w:rPr>
            <w:rStyle w:val="Hyperlink"/>
            <w:rFonts w:ascii="Arial" w:hAnsi="Arial"/>
          </w:rPr>
          <w:t>s</w:t>
        </w:r>
        <w:r w:rsidRPr="00C878CF">
          <w:rPr>
            <w:rStyle w:val="Hyperlink"/>
            <w:rFonts w:ascii="Arial" w:hAnsi="Arial"/>
          </w:rPr>
          <w:t>sessment</w:t>
        </w:r>
      </w:hyperlink>
      <w:r w:rsidRPr="00C878CF">
        <w:rPr>
          <w:color w:val="000000"/>
        </w:rPr>
        <w:t xml:space="preserve"> for the Green Deal and Energy Company Obligation reported that both policies would lead to significant carbon and energy savings. This section estimates the carbon and energy savings derived from measures installed through these policy areas.</w:t>
      </w:r>
    </w:p>
    <w:p w:rsidR="00E01370" w:rsidRPr="00C878CF" w:rsidRDefault="00E01370" w:rsidP="00E01370">
      <w:pPr>
        <w:spacing w:before="0" w:after="0"/>
        <w:jc w:val="both"/>
        <w:rPr>
          <w:color w:val="000000"/>
        </w:rPr>
      </w:pPr>
    </w:p>
    <w:p w:rsidR="00C878CF" w:rsidRPr="00F7592E" w:rsidRDefault="00C878CF" w:rsidP="00E01370">
      <w:pPr>
        <w:spacing w:before="0" w:after="0" w:line="270" w:lineRule="exact"/>
        <w:jc w:val="both"/>
        <w:rPr>
          <w:b/>
          <w:bCs/>
          <w:color w:val="000000" w:themeColor="text1"/>
          <w:u w:val="single"/>
        </w:rPr>
      </w:pPr>
      <w:r w:rsidRPr="00F7592E">
        <w:rPr>
          <w:color w:val="000000" w:themeColor="text1"/>
          <w:u w:val="single"/>
        </w:rPr>
        <w:t>Estimated carbon and energy savings relating to measures installed through ECO,</w:t>
      </w:r>
      <w:r w:rsidR="00167BD2">
        <w:rPr>
          <w:color w:val="000000" w:themeColor="text1"/>
          <w:u w:val="single"/>
        </w:rPr>
        <w:t xml:space="preserve"> </w:t>
      </w:r>
      <w:r w:rsidR="00457C4A">
        <w:rPr>
          <w:color w:val="000000" w:themeColor="text1"/>
          <w:u w:val="single"/>
        </w:rPr>
        <w:t xml:space="preserve">Green Deal Plans, </w:t>
      </w:r>
      <w:r w:rsidR="00464866">
        <w:rPr>
          <w:color w:val="000000" w:themeColor="text1"/>
          <w:u w:val="single"/>
        </w:rPr>
        <w:t>GDHIF</w:t>
      </w:r>
      <w:r w:rsidR="00457C4A">
        <w:rPr>
          <w:color w:val="000000" w:themeColor="text1"/>
          <w:u w:val="single"/>
        </w:rPr>
        <w:t xml:space="preserve"> and Cashback </w:t>
      </w:r>
      <w:r w:rsidR="00167BD2">
        <w:rPr>
          <w:color w:val="000000" w:themeColor="text1"/>
          <w:u w:val="single"/>
        </w:rPr>
        <w:t xml:space="preserve">up to </w:t>
      </w:r>
      <w:r w:rsidR="007955A0">
        <w:rPr>
          <w:color w:val="000000" w:themeColor="text1"/>
          <w:u w:val="single"/>
        </w:rPr>
        <w:t>30</w:t>
      </w:r>
      <w:r w:rsidR="007955A0" w:rsidRPr="007955A0">
        <w:rPr>
          <w:color w:val="000000" w:themeColor="text1"/>
          <w:u w:val="single"/>
          <w:vertAlign w:val="superscript"/>
        </w:rPr>
        <w:t>th</w:t>
      </w:r>
      <w:r w:rsidR="007955A0">
        <w:rPr>
          <w:color w:val="000000" w:themeColor="text1"/>
          <w:u w:val="single"/>
        </w:rPr>
        <w:t xml:space="preserve"> </w:t>
      </w:r>
      <w:r w:rsidR="00727288">
        <w:rPr>
          <w:color w:val="000000" w:themeColor="text1"/>
          <w:u w:val="single"/>
        </w:rPr>
        <w:t>September</w:t>
      </w:r>
      <w:r w:rsidR="002035D4">
        <w:rPr>
          <w:color w:val="000000" w:themeColor="text1"/>
          <w:u w:val="single"/>
        </w:rPr>
        <w:t xml:space="preserve"> 2014</w:t>
      </w:r>
      <w:r w:rsidR="00167BD2">
        <w:rPr>
          <w:color w:val="000000" w:themeColor="text1"/>
          <w:u w:val="single"/>
        </w:rPr>
        <w:t xml:space="preserve"> (Table 1.15</w:t>
      </w:r>
      <w:r w:rsidRPr="00F7592E">
        <w:rPr>
          <w:color w:val="000000" w:themeColor="text1"/>
          <w:u w:val="single"/>
        </w:rPr>
        <w:t>)</w:t>
      </w:r>
      <w:r w:rsidRPr="00F7592E">
        <w:rPr>
          <w:b/>
          <w:bCs/>
          <w:color w:val="000000" w:themeColor="text1"/>
          <w:u w:val="single"/>
        </w:rPr>
        <w:t xml:space="preserve"> </w:t>
      </w:r>
    </w:p>
    <w:p w:rsidR="00C878CF" w:rsidRPr="00F7592E" w:rsidRDefault="00C878CF" w:rsidP="00E01370">
      <w:pPr>
        <w:spacing w:before="0" w:after="0" w:line="270" w:lineRule="exact"/>
        <w:rPr>
          <w:b/>
          <w:bCs/>
          <w:color w:val="000000" w:themeColor="text1"/>
          <w:u w:val="single"/>
        </w:rPr>
      </w:pPr>
    </w:p>
    <w:p w:rsidR="00C878CF" w:rsidRPr="00963E6D" w:rsidRDefault="00167BD2" w:rsidP="00E01370">
      <w:pPr>
        <w:spacing w:before="0" w:after="0"/>
        <w:jc w:val="both"/>
        <w:rPr>
          <w:color w:val="000000" w:themeColor="text1"/>
        </w:rPr>
      </w:pPr>
      <w:r w:rsidRPr="00963E6D">
        <w:rPr>
          <w:color w:val="000000" w:themeColor="text1"/>
        </w:rPr>
        <w:t>Table 1.15</w:t>
      </w:r>
      <w:r w:rsidR="00C878CF" w:rsidRPr="00963E6D">
        <w:rPr>
          <w:color w:val="000000" w:themeColor="text1"/>
        </w:rPr>
        <w:t xml:space="preserve"> presents the estimated impact of measures installed through Cashback, Green Deal Plans</w:t>
      </w:r>
      <w:r w:rsidR="00963E6D" w:rsidRPr="00963E6D">
        <w:rPr>
          <w:color w:val="000000" w:themeColor="text1"/>
        </w:rPr>
        <w:t>, Green Deal Home Improvement Fund</w:t>
      </w:r>
      <w:r w:rsidR="00C878CF" w:rsidRPr="00963E6D">
        <w:rPr>
          <w:color w:val="000000" w:themeColor="text1"/>
        </w:rPr>
        <w:t xml:space="preserve"> </w:t>
      </w:r>
      <w:r w:rsidR="00963E6D">
        <w:rPr>
          <w:color w:val="000000" w:themeColor="text1"/>
        </w:rPr>
        <w:t xml:space="preserve">(GDHIF) </w:t>
      </w:r>
      <w:r w:rsidR="00C878CF" w:rsidRPr="00963E6D">
        <w:rPr>
          <w:color w:val="000000" w:themeColor="text1"/>
        </w:rPr>
        <w:t xml:space="preserve">or under ECO (through the Carbon Saving Obligation and Carbon Saving Communities Obligation) up to the end of </w:t>
      </w:r>
      <w:r w:rsidR="00727288" w:rsidRPr="00963E6D">
        <w:rPr>
          <w:color w:val="000000" w:themeColor="text1"/>
        </w:rPr>
        <w:t>September</w:t>
      </w:r>
      <w:r w:rsidR="002F723B" w:rsidRPr="00963E6D">
        <w:rPr>
          <w:color w:val="000000" w:themeColor="text1"/>
        </w:rPr>
        <w:t xml:space="preserve"> 2014</w:t>
      </w:r>
      <w:r w:rsidR="00C878CF" w:rsidRPr="00963E6D">
        <w:rPr>
          <w:color w:val="000000" w:themeColor="text1"/>
        </w:rPr>
        <w:t xml:space="preserve">. Affordable Warmth is excluded because carbon reductions are not the stated aim of this policy and difficulties in accurately estimating their carbon impact. This obligation of ECO is anticipated to lead to a net reduction in carbon. However, this depends on reductions in the traded sector emissions out-weighing any increase in non-traded sector emissions. </w:t>
      </w:r>
    </w:p>
    <w:p w:rsidR="00E01370" w:rsidRPr="00963E6D" w:rsidRDefault="00E01370" w:rsidP="00E01370">
      <w:pPr>
        <w:spacing w:before="0" w:after="0"/>
        <w:jc w:val="both"/>
        <w:rPr>
          <w:color w:val="000000" w:themeColor="text1"/>
        </w:rPr>
      </w:pPr>
    </w:p>
    <w:p w:rsidR="00F5051E" w:rsidRDefault="0004479C" w:rsidP="00E01370">
      <w:pPr>
        <w:spacing w:before="0" w:after="0"/>
        <w:jc w:val="both"/>
        <w:rPr>
          <w:color w:val="000000" w:themeColor="text1"/>
        </w:rPr>
      </w:pPr>
      <w:r w:rsidRPr="00963E6D">
        <w:rPr>
          <w:color w:val="000000" w:themeColor="text1"/>
        </w:rPr>
        <w:t>The</w:t>
      </w:r>
      <w:r w:rsidR="00E01CDD" w:rsidRPr="00963E6D">
        <w:rPr>
          <w:color w:val="000000" w:themeColor="text1"/>
        </w:rPr>
        <w:t xml:space="preserve"> provisional</w:t>
      </w:r>
      <w:r w:rsidRPr="00963E6D">
        <w:rPr>
          <w:color w:val="000000" w:themeColor="text1"/>
        </w:rPr>
        <w:t xml:space="preserve"> total estimated carbon savings of these measures</w:t>
      </w:r>
      <w:r w:rsidR="003147F6" w:rsidRPr="00963E6D">
        <w:rPr>
          <w:color w:val="000000" w:themeColor="text1"/>
        </w:rPr>
        <w:t xml:space="preserve"> (based on savings as set out in the Impact Assessment)</w:t>
      </w:r>
      <w:r w:rsidRPr="00963E6D">
        <w:rPr>
          <w:color w:val="000000" w:themeColor="text1"/>
        </w:rPr>
        <w:t xml:space="preserve"> is in the range </w:t>
      </w:r>
      <w:r w:rsidR="00963E6D" w:rsidRPr="00963E6D">
        <w:rPr>
          <w:color w:val="000000" w:themeColor="text1"/>
        </w:rPr>
        <w:t xml:space="preserve">11.1 – 11.7 MtCO2 with provisional estimated lifetime energy savings between 49,600 – 52,900 </w:t>
      </w:r>
      <w:proofErr w:type="spellStart"/>
      <w:r w:rsidR="00963E6D" w:rsidRPr="00963E6D">
        <w:rPr>
          <w:color w:val="000000" w:themeColor="text1"/>
        </w:rPr>
        <w:t>GWh</w:t>
      </w:r>
      <w:proofErr w:type="spellEnd"/>
      <w:r w:rsidR="00963E6D" w:rsidRPr="00963E6D">
        <w:rPr>
          <w:color w:val="000000" w:themeColor="text1"/>
        </w:rPr>
        <w:t>.</w:t>
      </w:r>
    </w:p>
    <w:p w:rsidR="00963E6D" w:rsidRPr="007460D4" w:rsidRDefault="00963E6D" w:rsidP="00E01370">
      <w:pPr>
        <w:spacing w:before="0" w:after="0"/>
        <w:jc w:val="both"/>
        <w:rPr>
          <w:color w:val="000000" w:themeColor="text1"/>
          <w:highlight w:val="yellow"/>
        </w:rPr>
      </w:pPr>
    </w:p>
    <w:p w:rsidR="00E01CDD" w:rsidRDefault="009F626F" w:rsidP="00E01370">
      <w:pPr>
        <w:spacing w:before="0" w:after="0"/>
        <w:jc w:val="both"/>
        <w:rPr>
          <w:color w:val="000000" w:themeColor="text1"/>
        </w:rPr>
      </w:pPr>
      <w:r w:rsidRPr="009F626F">
        <w:rPr>
          <w:color w:val="000000" w:themeColor="text1"/>
        </w:rPr>
        <w:t>For Green Deal Plan</w:t>
      </w:r>
      <w:r w:rsidR="00963E6D">
        <w:rPr>
          <w:color w:val="000000" w:themeColor="text1"/>
        </w:rPr>
        <w:t>s, GDHIF</w:t>
      </w:r>
      <w:r w:rsidRPr="009F626F">
        <w:rPr>
          <w:color w:val="000000" w:themeColor="text1"/>
        </w:rPr>
        <w:t xml:space="preserve"> and Cashback measures, the net estimated carbon savings has been calculated from the difference between that in the original EPC (pre-installation of measures) and the </w:t>
      </w:r>
      <w:r>
        <w:rPr>
          <w:color w:val="000000" w:themeColor="text1"/>
        </w:rPr>
        <w:t>updated</w:t>
      </w:r>
      <w:r w:rsidRPr="009F626F">
        <w:rPr>
          <w:color w:val="000000" w:themeColor="text1"/>
        </w:rPr>
        <w:t xml:space="preserve"> EPC (post installation of measures). For ECO measures, the estimated lifetime carbon savings has been revised to account for estimated levels of comfort taking, which better represent our understanding of the assumed net impact of the installed measures.</w:t>
      </w:r>
    </w:p>
    <w:p w:rsidR="002F38E8" w:rsidRDefault="002F38E8" w:rsidP="00E01370">
      <w:pPr>
        <w:spacing w:before="0" w:after="0"/>
        <w:jc w:val="both"/>
        <w:rPr>
          <w:color w:val="000000" w:themeColor="text1"/>
        </w:rPr>
      </w:pPr>
    </w:p>
    <w:p w:rsidR="002F38E8" w:rsidRDefault="002F38E8" w:rsidP="00E01370">
      <w:pPr>
        <w:spacing w:before="0" w:after="0"/>
        <w:jc w:val="both"/>
        <w:rPr>
          <w:color w:val="000000" w:themeColor="text1"/>
        </w:rPr>
      </w:pPr>
      <w:r w:rsidRPr="002F38E8">
        <w:rPr>
          <w:color w:val="000000" w:themeColor="text1"/>
        </w:rPr>
        <w:t>Estimated carbon and energy savings relating to m</w:t>
      </w:r>
      <w:r>
        <w:rPr>
          <w:color w:val="000000" w:themeColor="text1"/>
        </w:rPr>
        <w:t>easures installed through ECO (</w:t>
      </w:r>
      <w:r w:rsidRPr="002F38E8">
        <w:rPr>
          <w:color w:val="000000" w:themeColor="text1"/>
        </w:rPr>
        <w:t xml:space="preserve">as well as Cashback and Green Deal Plans) are reduced by 15% to account for behavioural change following the installation of measures. This is consistent with the 2012 Green Deal/ECO final Impact Assessment analysis, and in no way impacts on the progress reported in supplier obligations. Therefore, the carbon estimates for ECO may differ from </w:t>
      </w:r>
      <w:r w:rsidR="00DE3DCC">
        <w:rPr>
          <w:color w:val="000000" w:themeColor="text1"/>
        </w:rPr>
        <w:t>those published through Ofgem.</w:t>
      </w:r>
    </w:p>
    <w:p w:rsidR="009F626F" w:rsidRDefault="009F626F" w:rsidP="00E01370">
      <w:pPr>
        <w:spacing w:before="0" w:after="0"/>
        <w:jc w:val="both"/>
        <w:rPr>
          <w:color w:val="000000" w:themeColor="text1"/>
          <w:highlight w:val="yellow"/>
        </w:rPr>
      </w:pPr>
    </w:p>
    <w:p w:rsidR="00C878CF" w:rsidRDefault="00C878CF" w:rsidP="00E01370">
      <w:pPr>
        <w:spacing w:before="0" w:after="0"/>
        <w:jc w:val="both"/>
        <w:rPr>
          <w:rStyle w:val="Hyperlink"/>
          <w:rFonts w:ascii="Arial" w:hAnsi="Arial"/>
          <w:u w:val="none"/>
        </w:rPr>
      </w:pPr>
      <w:r w:rsidRPr="00E01CDD">
        <w:t xml:space="preserve">More information on the methodology used is included </w:t>
      </w:r>
      <w:hyperlink r:id="rId45" w:history="1">
        <w:r w:rsidRPr="00E01CDD">
          <w:rPr>
            <w:rStyle w:val="Hyperlink"/>
            <w:rFonts w:ascii="Arial" w:hAnsi="Arial"/>
          </w:rPr>
          <w:t>he</w:t>
        </w:r>
        <w:r w:rsidRPr="00E01CDD">
          <w:rPr>
            <w:rStyle w:val="Hyperlink"/>
            <w:rFonts w:ascii="Arial" w:hAnsi="Arial"/>
          </w:rPr>
          <w:t>r</w:t>
        </w:r>
        <w:r w:rsidRPr="00E01CDD">
          <w:rPr>
            <w:rStyle w:val="Hyperlink"/>
            <w:rFonts w:ascii="Arial" w:hAnsi="Arial"/>
          </w:rPr>
          <w:t>e</w:t>
        </w:r>
      </w:hyperlink>
      <w:r w:rsidRPr="00E01CDD">
        <w:rPr>
          <w:rStyle w:val="Hyperlink"/>
          <w:rFonts w:ascii="Arial" w:hAnsi="Arial"/>
          <w:u w:val="none"/>
        </w:rPr>
        <w:t>.</w:t>
      </w:r>
    </w:p>
    <w:p w:rsidR="00AE7202" w:rsidRDefault="00AE7202" w:rsidP="00E01370">
      <w:pPr>
        <w:pStyle w:val="Heading2"/>
        <w:spacing w:before="0" w:after="0"/>
      </w:pPr>
      <w:bookmarkStart w:id="49" w:name="_Toc382986909"/>
      <w:bookmarkEnd w:id="48"/>
    </w:p>
    <w:p w:rsidR="00E01370" w:rsidRPr="006E32CC" w:rsidRDefault="00625B11" w:rsidP="00E01370">
      <w:pPr>
        <w:pStyle w:val="Heading2"/>
        <w:spacing w:before="0" w:after="0"/>
      </w:pPr>
      <w:bookmarkStart w:id="50" w:name="_Toc406514287"/>
      <w:r w:rsidRPr="006E32CC">
        <w:t>Measures not captured by administrative data sources</w:t>
      </w:r>
      <w:bookmarkEnd w:id="49"/>
      <w:bookmarkEnd w:id="50"/>
      <w:r w:rsidRPr="006E32CC">
        <w:t xml:space="preserve"> </w:t>
      </w:r>
      <w:r w:rsidR="00E01370" w:rsidRPr="006E32CC">
        <w:br/>
      </w:r>
    </w:p>
    <w:p w:rsidR="00625B11" w:rsidRDefault="00625B11" w:rsidP="00E01370">
      <w:pPr>
        <w:spacing w:before="0" w:after="0"/>
        <w:jc w:val="both"/>
        <w:rPr>
          <w:color w:val="000000"/>
        </w:rPr>
      </w:pPr>
      <w:r w:rsidRPr="006E32CC">
        <w:rPr>
          <w:color w:val="000000"/>
        </w:rPr>
        <w:t xml:space="preserve">This report provides detail on measures installed in properties through </w:t>
      </w:r>
      <w:r w:rsidR="00020551">
        <w:rPr>
          <w:color w:val="000000"/>
        </w:rPr>
        <w:t>ECO</w:t>
      </w:r>
      <w:r w:rsidRPr="006E32CC">
        <w:rPr>
          <w:color w:val="000000"/>
        </w:rPr>
        <w:t xml:space="preserve">, with support from Cashback and Green Deal and Local Authority programmes, which make up the majority of measures installed. </w:t>
      </w:r>
      <w:r w:rsidR="00D92053" w:rsidRPr="006E32CC">
        <w:rPr>
          <w:color w:val="000000"/>
        </w:rPr>
        <w:t>As first reported in March 2014’s quarterly release, w</w:t>
      </w:r>
      <w:r w:rsidRPr="006E32CC">
        <w:rPr>
          <w:color w:val="000000"/>
        </w:rPr>
        <w:t>e have successfully matched these datasets and determined that, of the 75,884 households who had a GD Assessment between April and September 2013, around 46,000 measures had been installed in around 40,000 households with support from any of these schemes.</w:t>
      </w:r>
    </w:p>
    <w:p w:rsidR="00E01370" w:rsidRPr="00744824" w:rsidRDefault="00E01370" w:rsidP="00E01370">
      <w:pPr>
        <w:spacing w:before="0" w:after="0"/>
        <w:jc w:val="both"/>
        <w:rPr>
          <w:color w:val="000000"/>
        </w:rPr>
      </w:pPr>
    </w:p>
    <w:p w:rsidR="00625B11" w:rsidRDefault="00625B11" w:rsidP="00E01370">
      <w:pPr>
        <w:spacing w:before="0" w:after="0"/>
        <w:jc w:val="both"/>
      </w:pPr>
      <w:r w:rsidRPr="00744824">
        <w:t xml:space="preserve">Additionally, there are a small number of measures installed, but </w:t>
      </w:r>
      <w:r>
        <w:t>not captured by our administrative data sources</w:t>
      </w:r>
      <w:r w:rsidRPr="00744824">
        <w:t xml:space="preserve"> (i.e. measures which followed a Green Deal Assessment but were not financed or part financed through a delivery route already reported). Using findings from Waves 2 and 3 of the </w:t>
      </w:r>
      <w:hyperlink r:id="rId46" w:history="1">
        <w:r w:rsidRPr="00744824">
          <w:rPr>
            <w:rStyle w:val="Hyperlink"/>
            <w:rFonts w:ascii="Arial" w:hAnsi="Arial"/>
          </w:rPr>
          <w:t>GD Assess</w:t>
        </w:r>
        <w:r w:rsidRPr="00744824">
          <w:rPr>
            <w:rStyle w:val="Hyperlink"/>
            <w:rFonts w:ascii="Arial" w:hAnsi="Arial"/>
          </w:rPr>
          <w:t>m</w:t>
        </w:r>
        <w:r w:rsidRPr="00744824">
          <w:rPr>
            <w:rStyle w:val="Hyperlink"/>
            <w:rFonts w:ascii="Arial" w:hAnsi="Arial"/>
          </w:rPr>
          <w:t>ents research</w:t>
        </w:r>
      </w:hyperlink>
      <w:r w:rsidRPr="00744824">
        <w:t xml:space="preserve">, we have been able to match the large </w:t>
      </w:r>
      <w:r w:rsidRPr="00744824">
        <w:lastRenderedPageBreak/>
        <w:t xml:space="preserve">majority of measures reported by those interviewed to our mainstream data collections. Through this, we estimate that for every seven to nine measures installed through one of our reported routes </w:t>
      </w:r>
      <w:r>
        <w:t>with an accompanying</w:t>
      </w:r>
      <w:r w:rsidRPr="00744824">
        <w:t xml:space="preserve"> Green Deal Assessment (ECO, Cashback, Green Deal finance, Core Cities, other DECC policies), that one additional measure is installed </w:t>
      </w:r>
      <w:r>
        <w:t xml:space="preserve">entirely </w:t>
      </w:r>
      <w:r w:rsidRPr="00744824">
        <w:t>using alternative finance</w:t>
      </w:r>
      <w:r w:rsidRPr="00744824">
        <w:rPr>
          <w:rStyle w:val="FootnoteReference"/>
        </w:rPr>
        <w:footnoteReference w:id="19"/>
      </w:r>
      <w:r w:rsidRPr="00744824">
        <w:t>. These measures may have been paid for through a number of alternative finance packages including savings, payment from a landlord, housing association or Local Authority o</w:t>
      </w:r>
      <w:r>
        <w:t>r other type of loan or credit, but would not have received funding from any of our reported routes.</w:t>
      </w:r>
    </w:p>
    <w:p w:rsidR="00E01370" w:rsidRPr="00744824" w:rsidRDefault="00E01370" w:rsidP="00E01370">
      <w:pPr>
        <w:spacing w:before="0" w:after="0"/>
        <w:jc w:val="both"/>
      </w:pPr>
    </w:p>
    <w:p w:rsidR="00625B11" w:rsidRDefault="00625B11" w:rsidP="00E01370">
      <w:pPr>
        <w:spacing w:before="0" w:after="0"/>
        <w:jc w:val="both"/>
        <w:rPr>
          <w:color w:val="000000"/>
        </w:rPr>
      </w:pPr>
      <w:r w:rsidRPr="00675700">
        <w:rPr>
          <w:color w:val="000000"/>
        </w:rPr>
        <w:t>Applying these estimates to the total number of measures installed with an accompanying Green Deal Assessment equates to an additional 3,000 to 4,000 households installing between 5,000 and 7,000 measures over six months. This results in an estimated 1,000 measures being installed per month. In the context of all measures installed – as many ECO measures will not have an accompanying Green Deal Assessment – this equates to an additional two per cent of all measures being installed over the six month period, but not being captured by our administrative data sources.</w:t>
      </w:r>
    </w:p>
    <w:p w:rsidR="00E01370" w:rsidRPr="00625B11" w:rsidRDefault="00E01370" w:rsidP="00E01370">
      <w:pPr>
        <w:spacing w:before="0" w:after="0"/>
        <w:jc w:val="both"/>
        <w:rPr>
          <w:color w:val="000000"/>
        </w:rPr>
      </w:pPr>
    </w:p>
    <w:p w:rsidR="00625B11" w:rsidRDefault="00625B11" w:rsidP="00E01370">
      <w:pPr>
        <w:spacing w:before="0" w:after="0"/>
        <w:jc w:val="both"/>
        <w:rPr>
          <w:color w:val="000000"/>
        </w:rPr>
      </w:pPr>
      <w:r w:rsidRPr="00744824">
        <w:rPr>
          <w:color w:val="000000"/>
        </w:rPr>
        <w:t xml:space="preserve">For more detail on the analysis behind these estimates please see the </w:t>
      </w:r>
      <w:hyperlink r:id="rId47" w:history="1">
        <w:r w:rsidRPr="009079D3">
          <w:rPr>
            <w:rStyle w:val="Hyperlink"/>
            <w:rFonts w:ascii="Arial" w:hAnsi="Arial"/>
            <w:szCs w:val="24"/>
          </w:rPr>
          <w:t>Meth</w:t>
        </w:r>
        <w:r w:rsidRPr="009079D3">
          <w:rPr>
            <w:rStyle w:val="Hyperlink"/>
            <w:rFonts w:ascii="Arial" w:hAnsi="Arial"/>
            <w:szCs w:val="24"/>
          </w:rPr>
          <w:t>o</w:t>
        </w:r>
        <w:r w:rsidRPr="009079D3">
          <w:rPr>
            <w:rStyle w:val="Hyperlink"/>
            <w:rFonts w:ascii="Arial" w:hAnsi="Arial"/>
            <w:szCs w:val="24"/>
          </w:rPr>
          <w:t>dology note</w:t>
        </w:r>
      </w:hyperlink>
      <w:r w:rsidRPr="00744824">
        <w:rPr>
          <w:color w:val="000000"/>
        </w:rPr>
        <w:t>. We will continue to review these calculations.</w:t>
      </w:r>
    </w:p>
    <w:p w:rsidR="00E01370" w:rsidRPr="00744824" w:rsidRDefault="00E01370" w:rsidP="00E01370">
      <w:pPr>
        <w:spacing w:before="0" w:after="0"/>
        <w:jc w:val="both"/>
        <w:rPr>
          <w:color w:val="000000"/>
        </w:rPr>
      </w:pPr>
    </w:p>
    <w:p w:rsidR="00E01370" w:rsidRDefault="00C877B7" w:rsidP="00E01370">
      <w:pPr>
        <w:pStyle w:val="Heading2"/>
        <w:tabs>
          <w:tab w:val="left" w:pos="4215"/>
        </w:tabs>
        <w:spacing w:before="0" w:after="0"/>
      </w:pPr>
      <w:bookmarkStart w:id="51" w:name="_Toc406514288"/>
      <w:r w:rsidRPr="006623B5">
        <w:t xml:space="preserve">The Supply </w:t>
      </w:r>
      <w:r>
        <w:t>C</w:t>
      </w:r>
      <w:r w:rsidRPr="006623B5">
        <w:t>hain</w:t>
      </w:r>
      <w:bookmarkStart w:id="52" w:name="Supply_chain_new"/>
      <w:bookmarkEnd w:id="52"/>
      <w:bookmarkEnd w:id="51"/>
    </w:p>
    <w:p w:rsidR="00C877B7" w:rsidRPr="006623B5" w:rsidRDefault="00C0335C" w:rsidP="00E01370">
      <w:pPr>
        <w:pStyle w:val="Heading2"/>
        <w:tabs>
          <w:tab w:val="left" w:pos="4215"/>
        </w:tabs>
        <w:spacing w:before="0" w:after="0"/>
      </w:pPr>
      <w:r>
        <w:tab/>
      </w:r>
    </w:p>
    <w:p w:rsidR="00C877B7" w:rsidRDefault="00C877B7" w:rsidP="00E01370">
      <w:pPr>
        <w:spacing w:before="0" w:after="0" w:line="240" w:lineRule="auto"/>
        <w:jc w:val="both"/>
      </w:pPr>
      <w:r w:rsidRPr="00C6274E">
        <w:t>To understand more about the organisations and infrastructure underpinning the Green Deal, this report also includes a section on geographical coverage of the number of Assessor organisations and Green Deal Installer organisations.</w:t>
      </w:r>
    </w:p>
    <w:p w:rsidR="00C6274E" w:rsidRPr="00C6274E" w:rsidRDefault="00C6274E" w:rsidP="00E01370">
      <w:pPr>
        <w:spacing w:before="0" w:after="0" w:line="240" w:lineRule="auto"/>
        <w:jc w:val="both"/>
      </w:pPr>
    </w:p>
    <w:p w:rsidR="00C877B7" w:rsidRDefault="00C877B7" w:rsidP="00E01370">
      <w:pPr>
        <w:spacing w:before="0" w:after="0" w:line="270" w:lineRule="atLeast"/>
        <w:jc w:val="both"/>
        <w:rPr>
          <w:u w:val="single"/>
        </w:rPr>
      </w:pPr>
      <w:r w:rsidRPr="00C6274E">
        <w:rPr>
          <w:u w:val="single"/>
        </w:rPr>
        <w:t>Supply chain operational coverage</w:t>
      </w:r>
      <w:r w:rsidRPr="006E32CC">
        <w:rPr>
          <w:u w:val="single"/>
        </w:rPr>
        <w:t>, as at 28</w:t>
      </w:r>
      <w:r w:rsidRPr="006E32CC">
        <w:rPr>
          <w:u w:val="single"/>
          <w:vertAlign w:val="superscript"/>
        </w:rPr>
        <w:t>th</w:t>
      </w:r>
      <w:r w:rsidRPr="006E32CC">
        <w:rPr>
          <w:u w:val="single"/>
        </w:rPr>
        <w:t xml:space="preserve"> </w:t>
      </w:r>
      <w:r w:rsidR="001727AB" w:rsidRPr="006E32CC">
        <w:rPr>
          <w:u w:val="single"/>
        </w:rPr>
        <w:t>October</w:t>
      </w:r>
      <w:r w:rsidR="001727AB">
        <w:rPr>
          <w:u w:val="single"/>
        </w:rPr>
        <w:t xml:space="preserve"> </w:t>
      </w:r>
      <w:r w:rsidR="00040C25">
        <w:rPr>
          <w:u w:val="single"/>
        </w:rPr>
        <w:t xml:space="preserve">2014 </w:t>
      </w:r>
      <w:r w:rsidRPr="00C6274E">
        <w:rPr>
          <w:u w:val="single"/>
        </w:rPr>
        <w:t>(Table 1</w:t>
      </w:r>
      <w:r w:rsidR="00A97DA9">
        <w:rPr>
          <w:u w:val="single"/>
        </w:rPr>
        <w:t>.1</w:t>
      </w:r>
      <w:r w:rsidR="00167BD2">
        <w:rPr>
          <w:u w:val="single"/>
        </w:rPr>
        <w:t>6</w:t>
      </w:r>
      <w:r w:rsidRPr="00C6274E">
        <w:rPr>
          <w:u w:val="single"/>
        </w:rPr>
        <w:t>)</w:t>
      </w:r>
    </w:p>
    <w:p w:rsidR="00C6274E" w:rsidRPr="00C6274E" w:rsidRDefault="00C6274E" w:rsidP="00E01370">
      <w:pPr>
        <w:spacing w:before="0" w:after="0" w:line="270" w:lineRule="atLeast"/>
        <w:jc w:val="both"/>
        <w:rPr>
          <w:u w:val="single"/>
        </w:rPr>
      </w:pPr>
    </w:p>
    <w:p w:rsidR="00C6274E" w:rsidRDefault="00C877B7" w:rsidP="00E01370">
      <w:pPr>
        <w:spacing w:before="0" w:after="0" w:line="240" w:lineRule="auto"/>
        <w:jc w:val="both"/>
      </w:pPr>
      <w:r w:rsidRPr="00C6274E">
        <w:t>The supply chain to support the Green Deal has been developing since October 2012. This includes individual Advisors (who carry out and produce Green Deal Advice Reports) and Assessor organisations (who employ authorised Green Deal Advisors), Green Deal Providers (who quote for and arrange Green Deal Plans with customers), and Installer organisations</w:t>
      </w:r>
      <w:r w:rsidRPr="00C6274E">
        <w:rPr>
          <w:rStyle w:val="FootnoteReference"/>
        </w:rPr>
        <w:footnoteReference w:id="20"/>
      </w:r>
      <w:r w:rsidRPr="00C6274E">
        <w:t xml:space="preserve"> (who install energy efficiency improvements under the GD finance mechanism). </w:t>
      </w:r>
    </w:p>
    <w:p w:rsidR="00F17AF9" w:rsidRPr="00C6274E" w:rsidRDefault="00F17AF9" w:rsidP="00E01370">
      <w:pPr>
        <w:spacing w:before="0" w:after="0" w:line="240" w:lineRule="auto"/>
        <w:jc w:val="both"/>
      </w:pPr>
    </w:p>
    <w:p w:rsidR="00C877B7" w:rsidRDefault="00C877B7" w:rsidP="00E01370">
      <w:pPr>
        <w:spacing w:before="0" w:after="0" w:line="240" w:lineRule="auto"/>
        <w:jc w:val="both"/>
        <w:rPr>
          <w:color w:val="FF0000"/>
        </w:rPr>
      </w:pPr>
      <w:r w:rsidRPr="00C6274E">
        <w:rPr>
          <w:color w:val="000000"/>
        </w:rPr>
        <w:t>The</w:t>
      </w:r>
      <w:r w:rsidRPr="00C6274E">
        <w:rPr>
          <w:color w:val="FF0000"/>
        </w:rPr>
        <w:t xml:space="preserve"> </w:t>
      </w:r>
      <w:r w:rsidRPr="00C6274E">
        <w:t xml:space="preserve">Green Deal Oversight and Regulation Body (ORB) </w:t>
      </w:r>
      <w:r w:rsidRPr="00C6274E">
        <w:rPr>
          <w:color w:val="000000"/>
        </w:rPr>
        <w:t xml:space="preserve">produces publically available information on the supply chain, and the latest figures are available by using the search tool on the </w:t>
      </w:r>
      <w:hyperlink r:id="rId48" w:history="1">
        <w:r w:rsidRPr="00C6274E">
          <w:rPr>
            <w:rStyle w:val="Hyperlink"/>
            <w:rFonts w:ascii="Arial" w:hAnsi="Arial"/>
          </w:rPr>
          <w:t>ORB web</w:t>
        </w:r>
        <w:r w:rsidRPr="00C6274E">
          <w:rPr>
            <w:rStyle w:val="Hyperlink"/>
            <w:rFonts w:ascii="Arial" w:hAnsi="Arial"/>
          </w:rPr>
          <w:t>s</w:t>
        </w:r>
        <w:r w:rsidRPr="00C6274E">
          <w:rPr>
            <w:rStyle w:val="Hyperlink"/>
            <w:rFonts w:ascii="Arial" w:hAnsi="Arial"/>
          </w:rPr>
          <w:t>ite</w:t>
        </w:r>
      </w:hyperlink>
      <w:r w:rsidRPr="00C6274E">
        <w:rPr>
          <w:color w:val="000000"/>
        </w:rPr>
        <w:t xml:space="preserve">. There is also information available on </w:t>
      </w:r>
      <w:hyperlink r:id="rId49" w:history="1">
        <w:r w:rsidRPr="00C6274E">
          <w:rPr>
            <w:rStyle w:val="Hyperlink"/>
            <w:rFonts w:ascii="Arial" w:hAnsi="Arial"/>
          </w:rPr>
          <w:t>contacts</w:t>
        </w:r>
        <w:r w:rsidRPr="00C6274E">
          <w:rPr>
            <w:rStyle w:val="Hyperlink"/>
            <w:rFonts w:ascii="Arial" w:hAnsi="Arial"/>
          </w:rPr>
          <w:t xml:space="preserve"> </w:t>
        </w:r>
        <w:r w:rsidRPr="00C6274E">
          <w:rPr>
            <w:rStyle w:val="Hyperlink"/>
            <w:rFonts w:ascii="Arial" w:hAnsi="Arial"/>
          </w:rPr>
          <w:t>in local areas.</w:t>
        </w:r>
      </w:hyperlink>
      <w:r w:rsidRPr="00C6274E">
        <w:rPr>
          <w:color w:val="FF0000"/>
        </w:rPr>
        <w:t xml:space="preserve"> </w:t>
      </w:r>
    </w:p>
    <w:p w:rsidR="00C6274E" w:rsidRPr="00C6274E" w:rsidRDefault="00C6274E" w:rsidP="00E01370">
      <w:pPr>
        <w:spacing w:before="0" w:after="0" w:line="240" w:lineRule="auto"/>
        <w:jc w:val="both"/>
        <w:rPr>
          <w:color w:val="FF0000"/>
        </w:rPr>
      </w:pPr>
    </w:p>
    <w:p w:rsidR="00C877B7" w:rsidRPr="00E01370" w:rsidRDefault="00C877B7" w:rsidP="00E01370">
      <w:pPr>
        <w:spacing w:before="0" w:after="0" w:line="240" w:lineRule="auto"/>
        <w:jc w:val="both"/>
      </w:pPr>
      <w:r w:rsidRPr="00C6274E">
        <w:t xml:space="preserve">These organisations operate in different geographical locations and provide a wide variety </w:t>
      </w:r>
      <w:r w:rsidR="003B2919">
        <w:t>of of</w:t>
      </w:r>
      <w:r w:rsidR="008071E6">
        <w:t>fers to consumers. Table 1.1</w:t>
      </w:r>
      <w:r w:rsidR="00167BD2">
        <w:t>6</w:t>
      </w:r>
      <w:r w:rsidRPr="00C6274E">
        <w:t xml:space="preserve"> show</w:t>
      </w:r>
      <w:r w:rsidR="00040C25">
        <w:t>s</w:t>
      </w:r>
      <w:r w:rsidRPr="00C6274E">
        <w:t xml:space="preserve"> the self-reported operational coverage of Green Deal Providers, Assessor organisations and Installers by Local Authority</w:t>
      </w:r>
      <w:r w:rsidR="00F17AF9" w:rsidRPr="00F17AF9">
        <w:t xml:space="preserve"> </w:t>
      </w:r>
      <w:r w:rsidR="0033545B">
        <w:t xml:space="preserve">that they are </w:t>
      </w:r>
      <w:r w:rsidR="00F17AF9">
        <w:t>expecting to operate</w:t>
      </w:r>
      <w:r w:rsidR="0033545B">
        <w:t xml:space="preserve"> within</w:t>
      </w:r>
      <w:r w:rsidR="0033545B">
        <w:rPr>
          <w:rStyle w:val="FootnoteReference"/>
        </w:rPr>
        <w:footnoteReference w:id="21"/>
      </w:r>
      <w:r w:rsidRPr="00C6274E">
        <w:t>. These figures are based on information submitted</w:t>
      </w:r>
      <w:r w:rsidRPr="00C6274E">
        <w:rPr>
          <w:rStyle w:val="FootnoteReference"/>
        </w:rPr>
        <w:footnoteReference w:id="22"/>
      </w:r>
      <w:r w:rsidRPr="00C6274E">
        <w:t xml:space="preserve"> to the ORB consumer search tool by a number of these </w:t>
      </w:r>
      <w:r w:rsidR="0033545B">
        <w:t xml:space="preserve">participating organisations and indicate a </w:t>
      </w:r>
      <w:r>
        <w:t>good coverage</w:t>
      </w:r>
      <w:r w:rsidR="0033545B">
        <w:t xml:space="preserve"> across </w:t>
      </w:r>
      <w:r>
        <w:t>Great Britain.</w:t>
      </w:r>
      <w:r w:rsidR="006B5FDD">
        <w:t xml:space="preserve"> </w:t>
      </w:r>
      <w:bookmarkEnd w:id="42"/>
      <w:bookmarkEnd w:id="43"/>
    </w:p>
    <w:bookmarkEnd w:id="19"/>
    <w:p w:rsidR="00415EE4" w:rsidRPr="00C50FC5" w:rsidRDefault="00C06107" w:rsidP="00E01370">
      <w:pPr>
        <w:pStyle w:val="ChapterHead"/>
        <w:spacing w:before="0" w:after="0"/>
        <w:rPr>
          <w:rFonts w:cs="Arial"/>
          <w:szCs w:val="50"/>
        </w:rPr>
      </w:pPr>
      <w:r>
        <w:rPr>
          <w:rFonts w:cs="Arial"/>
          <w:szCs w:val="50"/>
        </w:rPr>
        <w:br w:type="page"/>
      </w:r>
      <w:bookmarkStart w:id="53" w:name="GDECOTables"/>
      <w:bookmarkStart w:id="54" w:name="_Toc406514289"/>
      <w:bookmarkEnd w:id="53"/>
      <w:r w:rsidR="000F3D99">
        <w:rPr>
          <w:rFonts w:cs="Arial"/>
          <w:szCs w:val="50"/>
        </w:rPr>
        <w:lastRenderedPageBreak/>
        <w:t>GD and ECO</w:t>
      </w:r>
      <w:r w:rsidR="00E90724" w:rsidRPr="008A5812">
        <w:rPr>
          <w:rFonts w:cs="Arial"/>
          <w:szCs w:val="50"/>
        </w:rPr>
        <w:t xml:space="preserve"> Tables</w:t>
      </w:r>
      <w:bookmarkEnd w:id="54"/>
    </w:p>
    <w:p w:rsidR="00AA0520" w:rsidRPr="00AA0520" w:rsidRDefault="00AA0520" w:rsidP="00AA0520">
      <w:pPr>
        <w:pStyle w:val="Caption"/>
        <w:spacing w:before="240" w:after="240"/>
        <w:rPr>
          <w:b w:val="0"/>
          <w:i/>
          <w:szCs w:val="50"/>
        </w:rPr>
      </w:pPr>
      <w:r w:rsidRPr="00C57D9D">
        <w:rPr>
          <w:b w:val="0"/>
          <w:i/>
        </w:rPr>
        <w:t>Please note, percentages may not add up to totals due to rounding.</w:t>
      </w:r>
    </w:p>
    <w:p w:rsidR="00415EE4" w:rsidRPr="00992E9F" w:rsidRDefault="00C351B2" w:rsidP="00415EE4">
      <w:pPr>
        <w:spacing w:before="0" w:after="0" w:line="270" w:lineRule="atLeast"/>
        <w:jc w:val="both"/>
        <w:rPr>
          <w:b/>
          <w:bCs/>
        </w:rPr>
      </w:pPr>
      <w:r w:rsidRPr="00992E9F">
        <w:rPr>
          <w:b/>
          <w:bCs/>
        </w:rPr>
        <w:t>Table 1.1</w:t>
      </w:r>
      <w:r w:rsidR="00415EE4" w:rsidRPr="00992E9F">
        <w:rPr>
          <w:b/>
          <w:bCs/>
        </w:rPr>
        <w:t xml:space="preserve">: Number of Green Deal Assessments by Energy Efficiency Band, up to </w:t>
      </w:r>
      <w:r w:rsidR="007E138E" w:rsidRPr="00992E9F">
        <w:rPr>
          <w:b/>
          <w:bCs/>
        </w:rPr>
        <w:t xml:space="preserve">30th </w:t>
      </w:r>
      <w:r w:rsidR="001727AB" w:rsidRPr="00992E9F">
        <w:rPr>
          <w:b/>
          <w:bCs/>
        </w:rPr>
        <w:t>September</w:t>
      </w:r>
      <w:r w:rsidR="002F723B" w:rsidRPr="00992E9F">
        <w:rPr>
          <w:b/>
          <w:bCs/>
        </w:rPr>
        <w:t xml:space="preserve"> 2014</w:t>
      </w:r>
      <w:r w:rsidR="008F084B" w:rsidRPr="00992E9F">
        <w:rPr>
          <w:b/>
          <w:bCs/>
        </w:rPr>
        <w:t>, Great Britain</w:t>
      </w:r>
    </w:p>
    <w:p w:rsidR="00415EE4" w:rsidRDefault="00415EE4" w:rsidP="00415EE4">
      <w:pPr>
        <w:spacing w:before="0" w:after="0" w:line="270" w:lineRule="atLeast"/>
        <w:rPr>
          <w:b/>
          <w:bCs/>
          <w:highlight w:val="yellow"/>
        </w:rPr>
      </w:pPr>
    </w:p>
    <w:tbl>
      <w:tblPr>
        <w:tblW w:w="8840" w:type="dxa"/>
        <w:tblInd w:w="93" w:type="dxa"/>
        <w:tblLook w:val="04A0" w:firstRow="1" w:lastRow="0" w:firstColumn="1" w:lastColumn="0" w:noHBand="0" w:noVBand="1"/>
      </w:tblPr>
      <w:tblGrid>
        <w:gridCol w:w="4020"/>
        <w:gridCol w:w="1340"/>
        <w:gridCol w:w="1760"/>
        <w:gridCol w:w="1720"/>
      </w:tblGrid>
      <w:tr w:rsidR="00415EE4" w:rsidRPr="00E37C86" w:rsidTr="004955B3">
        <w:trPr>
          <w:trHeight w:val="555"/>
        </w:trPr>
        <w:tc>
          <w:tcPr>
            <w:tcW w:w="4020" w:type="dxa"/>
            <w:tcBorders>
              <w:top w:val="single" w:sz="4" w:space="0" w:color="auto"/>
              <w:left w:val="nil"/>
              <w:bottom w:val="single" w:sz="4" w:space="0" w:color="auto"/>
              <w:right w:val="nil"/>
            </w:tcBorders>
            <w:shd w:val="clear" w:color="auto" w:fill="auto"/>
            <w:noWrap/>
            <w:vAlign w:val="center"/>
            <w:hideMark/>
          </w:tcPr>
          <w:p w:rsidR="00415EE4" w:rsidRPr="00E37C86" w:rsidRDefault="00415EE4" w:rsidP="00415EE4">
            <w:pPr>
              <w:spacing w:before="0" w:after="0" w:line="240" w:lineRule="auto"/>
              <w:rPr>
                <w:color w:val="000000"/>
                <w:lang w:eastAsia="en-GB"/>
              </w:rPr>
            </w:pPr>
            <w:r w:rsidRPr="00E37C86">
              <w:rPr>
                <w:color w:val="000000"/>
                <w:lang w:eastAsia="en-GB"/>
              </w:rPr>
              <w:t>Energy Efficiency Band</w:t>
            </w:r>
          </w:p>
        </w:tc>
        <w:tc>
          <w:tcPr>
            <w:tcW w:w="1340" w:type="dxa"/>
            <w:tcBorders>
              <w:top w:val="single" w:sz="4" w:space="0" w:color="auto"/>
              <w:left w:val="nil"/>
              <w:bottom w:val="single" w:sz="4" w:space="0" w:color="auto"/>
              <w:right w:val="nil"/>
            </w:tcBorders>
            <w:shd w:val="clear" w:color="auto" w:fill="auto"/>
            <w:noWrap/>
            <w:vAlign w:val="bottom"/>
            <w:hideMark/>
          </w:tcPr>
          <w:p w:rsidR="00415EE4" w:rsidRPr="00E37C86" w:rsidRDefault="00415EE4" w:rsidP="00415EE4">
            <w:pPr>
              <w:spacing w:before="0" w:after="0" w:line="240" w:lineRule="auto"/>
              <w:rPr>
                <w:color w:val="000000"/>
                <w:lang w:eastAsia="en-GB"/>
              </w:rPr>
            </w:pPr>
            <w:r w:rsidRPr="00E37C86">
              <w:rPr>
                <w:color w:val="000000"/>
                <w:lang w:eastAsia="en-GB"/>
              </w:rPr>
              <w:t> </w:t>
            </w:r>
          </w:p>
        </w:tc>
        <w:tc>
          <w:tcPr>
            <w:tcW w:w="176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Green Deal Assessments</w:t>
            </w:r>
          </w:p>
        </w:tc>
        <w:tc>
          <w:tcPr>
            <w:tcW w:w="172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Percentage of Assessments</w:t>
            </w:r>
          </w:p>
        </w:tc>
      </w:tr>
      <w:tr w:rsidR="00197017" w:rsidRPr="00E37C86" w:rsidTr="004955B3">
        <w:trPr>
          <w:trHeight w:val="285"/>
        </w:trPr>
        <w:tc>
          <w:tcPr>
            <w:tcW w:w="4020" w:type="dxa"/>
            <w:tcBorders>
              <w:top w:val="nil"/>
              <w:left w:val="nil"/>
              <w:bottom w:val="nil"/>
              <w:right w:val="nil"/>
            </w:tcBorders>
            <w:shd w:val="clear" w:color="000000" w:fill="FFFFFF"/>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A</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color w:val="000000"/>
                <w:szCs w:val="24"/>
              </w:rPr>
            </w:pPr>
            <w:r>
              <w:rPr>
                <w:color w:val="000000"/>
                <w:szCs w:val="24"/>
              </w:rPr>
              <w:t>329</w:t>
            </w: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i/>
                <w:iCs/>
                <w:color w:val="000000"/>
                <w:szCs w:val="24"/>
              </w:rPr>
            </w:pPr>
            <w:r w:rsidRPr="00197017">
              <w:rPr>
                <w:i/>
                <w:iCs/>
                <w:color w:val="000000"/>
                <w:szCs w:val="24"/>
              </w:rPr>
              <w:t>0</w:t>
            </w:r>
          </w:p>
        </w:tc>
      </w:tr>
      <w:tr w:rsidR="00197017" w:rsidRPr="00E37C86" w:rsidTr="004955B3">
        <w:trPr>
          <w:trHeight w:val="285"/>
        </w:trPr>
        <w:tc>
          <w:tcPr>
            <w:tcW w:w="4020" w:type="dxa"/>
            <w:tcBorders>
              <w:top w:val="nil"/>
              <w:left w:val="nil"/>
              <w:bottom w:val="nil"/>
              <w:right w:val="nil"/>
            </w:tcBorders>
            <w:shd w:val="clear" w:color="000000" w:fill="FFFFFF"/>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B</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color w:val="000000"/>
                <w:szCs w:val="24"/>
              </w:rPr>
            </w:pPr>
            <w:r>
              <w:rPr>
                <w:color w:val="000000"/>
                <w:szCs w:val="24"/>
              </w:rPr>
              <w:t>3,095</w:t>
            </w: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i/>
                <w:iCs/>
                <w:color w:val="000000"/>
                <w:szCs w:val="24"/>
              </w:rPr>
            </w:pPr>
            <w:r w:rsidRPr="00197017">
              <w:rPr>
                <w:i/>
                <w:iCs/>
                <w:color w:val="000000"/>
                <w:szCs w:val="24"/>
              </w:rPr>
              <w:t>1</w:t>
            </w:r>
          </w:p>
        </w:tc>
      </w:tr>
      <w:tr w:rsidR="00197017" w:rsidRPr="00E37C86" w:rsidTr="004955B3">
        <w:trPr>
          <w:trHeight w:val="285"/>
        </w:trPr>
        <w:tc>
          <w:tcPr>
            <w:tcW w:w="4020" w:type="dxa"/>
            <w:tcBorders>
              <w:top w:val="nil"/>
              <w:left w:val="nil"/>
              <w:bottom w:val="nil"/>
              <w:right w:val="nil"/>
            </w:tcBorders>
            <w:shd w:val="clear" w:color="000000" w:fill="FFFFFF"/>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C</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color w:val="000000"/>
                <w:szCs w:val="24"/>
              </w:rPr>
            </w:pPr>
            <w:r>
              <w:rPr>
                <w:color w:val="000000"/>
                <w:szCs w:val="24"/>
              </w:rPr>
              <w:t>38,860</w:t>
            </w:r>
          </w:p>
        </w:tc>
        <w:tc>
          <w:tcPr>
            <w:tcW w:w="172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i/>
                <w:iCs/>
                <w:color w:val="000000"/>
                <w:szCs w:val="24"/>
              </w:rPr>
            </w:pPr>
            <w:r>
              <w:rPr>
                <w:i/>
                <w:iCs/>
                <w:color w:val="000000"/>
                <w:szCs w:val="24"/>
              </w:rPr>
              <w:t>11</w:t>
            </w:r>
          </w:p>
        </w:tc>
      </w:tr>
      <w:tr w:rsidR="00197017" w:rsidRPr="00E37C86" w:rsidTr="004955B3">
        <w:trPr>
          <w:trHeight w:val="285"/>
        </w:trPr>
        <w:tc>
          <w:tcPr>
            <w:tcW w:w="4020" w:type="dxa"/>
            <w:tcBorders>
              <w:top w:val="nil"/>
              <w:left w:val="nil"/>
              <w:bottom w:val="nil"/>
              <w:right w:val="nil"/>
            </w:tcBorders>
            <w:shd w:val="clear" w:color="000000" w:fill="FFFFFF"/>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D</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color w:val="000000"/>
                <w:szCs w:val="24"/>
              </w:rPr>
            </w:pPr>
            <w:r>
              <w:rPr>
                <w:color w:val="000000"/>
                <w:szCs w:val="24"/>
              </w:rPr>
              <w:t>181,476</w:t>
            </w:r>
          </w:p>
        </w:tc>
        <w:tc>
          <w:tcPr>
            <w:tcW w:w="172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i/>
                <w:iCs/>
                <w:color w:val="000000"/>
                <w:szCs w:val="24"/>
              </w:rPr>
            </w:pPr>
            <w:r>
              <w:rPr>
                <w:i/>
                <w:iCs/>
                <w:color w:val="000000"/>
                <w:szCs w:val="24"/>
              </w:rPr>
              <w:t>51</w:t>
            </w:r>
          </w:p>
        </w:tc>
      </w:tr>
      <w:tr w:rsidR="00197017" w:rsidRPr="00E37C86" w:rsidTr="004955B3">
        <w:trPr>
          <w:trHeight w:val="285"/>
        </w:trPr>
        <w:tc>
          <w:tcPr>
            <w:tcW w:w="4020" w:type="dxa"/>
            <w:tcBorders>
              <w:top w:val="nil"/>
              <w:left w:val="nil"/>
              <w:bottom w:val="nil"/>
              <w:right w:val="nil"/>
            </w:tcBorders>
            <w:shd w:val="clear" w:color="000000" w:fill="FFFFFF"/>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E</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color w:val="000000"/>
                <w:szCs w:val="24"/>
              </w:rPr>
            </w:pPr>
            <w:r>
              <w:rPr>
                <w:color w:val="000000"/>
                <w:szCs w:val="24"/>
              </w:rPr>
              <w:t>99,315</w:t>
            </w:r>
          </w:p>
        </w:tc>
        <w:tc>
          <w:tcPr>
            <w:tcW w:w="172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i/>
                <w:iCs/>
                <w:color w:val="000000"/>
                <w:szCs w:val="24"/>
              </w:rPr>
            </w:pPr>
            <w:r>
              <w:rPr>
                <w:i/>
                <w:iCs/>
                <w:color w:val="000000"/>
                <w:szCs w:val="24"/>
              </w:rPr>
              <w:t>28</w:t>
            </w:r>
          </w:p>
        </w:tc>
      </w:tr>
      <w:tr w:rsidR="00197017" w:rsidRPr="00E37C86" w:rsidTr="004955B3">
        <w:trPr>
          <w:trHeight w:val="285"/>
        </w:trPr>
        <w:tc>
          <w:tcPr>
            <w:tcW w:w="4020" w:type="dxa"/>
            <w:tcBorders>
              <w:top w:val="nil"/>
              <w:left w:val="nil"/>
              <w:bottom w:val="nil"/>
              <w:right w:val="nil"/>
            </w:tcBorders>
            <w:shd w:val="clear" w:color="000000" w:fill="FFFFFF"/>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F</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color w:val="000000"/>
                <w:szCs w:val="24"/>
              </w:rPr>
            </w:pPr>
            <w:r>
              <w:rPr>
                <w:color w:val="000000"/>
                <w:szCs w:val="24"/>
              </w:rPr>
              <w:t>25,933</w:t>
            </w: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i/>
                <w:iCs/>
                <w:color w:val="000000"/>
                <w:szCs w:val="24"/>
              </w:rPr>
            </w:pPr>
            <w:r w:rsidRPr="00197017">
              <w:rPr>
                <w:i/>
                <w:iCs/>
                <w:color w:val="000000"/>
                <w:szCs w:val="24"/>
              </w:rPr>
              <w:t>7</w:t>
            </w:r>
          </w:p>
        </w:tc>
      </w:tr>
      <w:tr w:rsidR="00197017" w:rsidRPr="00E37C86" w:rsidTr="004955B3">
        <w:trPr>
          <w:trHeight w:val="285"/>
        </w:trPr>
        <w:tc>
          <w:tcPr>
            <w:tcW w:w="4020" w:type="dxa"/>
            <w:tcBorders>
              <w:top w:val="nil"/>
              <w:left w:val="nil"/>
              <w:bottom w:val="nil"/>
              <w:right w:val="nil"/>
            </w:tcBorders>
            <w:shd w:val="clear" w:color="000000" w:fill="FFFFFF"/>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G</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color w:val="000000"/>
                <w:szCs w:val="24"/>
              </w:rPr>
            </w:pPr>
            <w:r>
              <w:rPr>
                <w:color w:val="000000"/>
                <w:szCs w:val="24"/>
              </w:rPr>
              <w:t>7,506</w:t>
            </w: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i/>
                <w:iCs/>
                <w:color w:val="000000"/>
                <w:szCs w:val="24"/>
              </w:rPr>
            </w:pPr>
            <w:r w:rsidRPr="00197017">
              <w:rPr>
                <w:i/>
                <w:iCs/>
                <w:color w:val="000000"/>
                <w:szCs w:val="24"/>
              </w:rPr>
              <w:t>2</w:t>
            </w:r>
          </w:p>
        </w:tc>
      </w:tr>
      <w:tr w:rsidR="00197017" w:rsidRPr="00E37C86" w:rsidTr="004955B3">
        <w:trPr>
          <w:trHeight w:val="285"/>
        </w:trPr>
        <w:tc>
          <w:tcPr>
            <w:tcW w:w="4020" w:type="dxa"/>
            <w:tcBorders>
              <w:top w:val="nil"/>
              <w:left w:val="nil"/>
              <w:bottom w:val="nil"/>
              <w:right w:val="nil"/>
            </w:tcBorders>
            <w:shd w:val="clear" w:color="000000" w:fill="FFFFFF"/>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 </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197017" w:rsidP="00197017">
            <w:pPr>
              <w:spacing w:before="0" w:after="0"/>
              <w:rPr>
                <w:color w:val="000000"/>
                <w:szCs w:val="24"/>
              </w:rPr>
            </w:pP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rPr>
                <w:i/>
                <w:iCs/>
                <w:color w:val="000000"/>
                <w:szCs w:val="24"/>
              </w:rPr>
            </w:pPr>
          </w:p>
        </w:tc>
      </w:tr>
      <w:tr w:rsidR="00197017" w:rsidRPr="00E37C86" w:rsidTr="004955B3">
        <w:trPr>
          <w:trHeight w:val="300"/>
        </w:trPr>
        <w:tc>
          <w:tcPr>
            <w:tcW w:w="4020" w:type="dxa"/>
            <w:tcBorders>
              <w:top w:val="nil"/>
              <w:left w:val="nil"/>
              <w:bottom w:val="single" w:sz="4" w:space="0" w:color="auto"/>
              <w:right w:val="nil"/>
            </w:tcBorders>
            <w:shd w:val="clear" w:color="000000" w:fill="FFFFFF"/>
            <w:noWrap/>
            <w:vAlign w:val="bottom"/>
            <w:hideMark/>
          </w:tcPr>
          <w:p w:rsidR="00197017" w:rsidRPr="00E37C86" w:rsidRDefault="00197017" w:rsidP="00415EE4">
            <w:pPr>
              <w:spacing w:before="0" w:after="0" w:line="240" w:lineRule="auto"/>
              <w:rPr>
                <w:b/>
                <w:bCs/>
                <w:color w:val="000000"/>
                <w:lang w:eastAsia="en-GB"/>
              </w:rPr>
            </w:pPr>
            <w:r w:rsidRPr="00E37C86">
              <w:rPr>
                <w:b/>
                <w:bCs/>
                <w:color w:val="000000"/>
                <w:lang w:eastAsia="en-GB"/>
              </w:rPr>
              <w:t>Total</w:t>
            </w:r>
          </w:p>
        </w:tc>
        <w:tc>
          <w:tcPr>
            <w:tcW w:w="1340" w:type="dxa"/>
            <w:tcBorders>
              <w:top w:val="nil"/>
              <w:left w:val="nil"/>
              <w:bottom w:val="single" w:sz="4" w:space="0" w:color="auto"/>
              <w:right w:val="nil"/>
            </w:tcBorders>
            <w:shd w:val="clear" w:color="auto" w:fill="auto"/>
            <w:noWrap/>
            <w:vAlign w:val="bottom"/>
            <w:hideMark/>
          </w:tcPr>
          <w:p w:rsidR="00197017" w:rsidRPr="00E37C86" w:rsidRDefault="00197017" w:rsidP="00415EE4">
            <w:pPr>
              <w:spacing w:before="0" w:after="0" w:line="240" w:lineRule="auto"/>
              <w:rPr>
                <w:b/>
                <w:bCs/>
                <w:color w:val="000000"/>
                <w:lang w:eastAsia="en-GB"/>
              </w:rPr>
            </w:pPr>
            <w:r w:rsidRPr="00E37C86">
              <w:rPr>
                <w:b/>
                <w:bCs/>
                <w:color w:val="000000"/>
                <w:lang w:eastAsia="en-GB"/>
              </w:rPr>
              <w:t> </w:t>
            </w:r>
          </w:p>
        </w:tc>
        <w:tc>
          <w:tcPr>
            <w:tcW w:w="1760" w:type="dxa"/>
            <w:tcBorders>
              <w:top w:val="nil"/>
              <w:left w:val="nil"/>
              <w:bottom w:val="single" w:sz="4" w:space="0" w:color="auto"/>
              <w:right w:val="nil"/>
            </w:tcBorders>
            <w:shd w:val="clear" w:color="auto" w:fill="auto"/>
            <w:noWrap/>
            <w:vAlign w:val="bottom"/>
            <w:hideMark/>
          </w:tcPr>
          <w:p w:rsidR="00197017" w:rsidRPr="00197017" w:rsidRDefault="00992E9F" w:rsidP="00197017">
            <w:pPr>
              <w:spacing w:before="0" w:after="0"/>
              <w:jc w:val="right"/>
              <w:rPr>
                <w:b/>
                <w:bCs/>
                <w:color w:val="000000"/>
                <w:szCs w:val="24"/>
              </w:rPr>
            </w:pPr>
            <w:r>
              <w:rPr>
                <w:b/>
                <w:bCs/>
                <w:color w:val="000000"/>
                <w:szCs w:val="24"/>
              </w:rPr>
              <w:t>356,514</w:t>
            </w:r>
          </w:p>
        </w:tc>
        <w:tc>
          <w:tcPr>
            <w:tcW w:w="1720" w:type="dxa"/>
            <w:tcBorders>
              <w:top w:val="nil"/>
              <w:left w:val="nil"/>
              <w:bottom w:val="single" w:sz="4" w:space="0" w:color="auto"/>
              <w:right w:val="nil"/>
            </w:tcBorders>
            <w:shd w:val="clear" w:color="auto" w:fill="auto"/>
            <w:noWrap/>
            <w:vAlign w:val="bottom"/>
            <w:hideMark/>
          </w:tcPr>
          <w:p w:rsidR="00197017" w:rsidRPr="00197017" w:rsidRDefault="00197017" w:rsidP="00197017">
            <w:pPr>
              <w:spacing w:before="0" w:after="0"/>
              <w:jc w:val="right"/>
              <w:rPr>
                <w:b/>
                <w:bCs/>
                <w:i/>
                <w:iCs/>
                <w:color w:val="000000"/>
                <w:szCs w:val="24"/>
              </w:rPr>
            </w:pPr>
            <w:r w:rsidRPr="00197017">
              <w:rPr>
                <w:b/>
                <w:bCs/>
                <w:i/>
                <w:iCs/>
                <w:color w:val="000000"/>
                <w:szCs w:val="24"/>
              </w:rPr>
              <w:t>100</w:t>
            </w:r>
          </w:p>
        </w:tc>
      </w:tr>
    </w:tbl>
    <w:p w:rsidR="00415EE4" w:rsidRDefault="00415EE4" w:rsidP="00415EE4">
      <w:pPr>
        <w:spacing w:before="0" w:after="0" w:line="270" w:lineRule="atLeast"/>
        <w:jc w:val="both"/>
        <w:rPr>
          <w:b/>
          <w:bCs/>
        </w:rPr>
      </w:pPr>
    </w:p>
    <w:p w:rsidR="00C32763" w:rsidRDefault="00C32763" w:rsidP="00415EE4">
      <w:pPr>
        <w:spacing w:before="0" w:after="0" w:line="270" w:lineRule="atLeast"/>
        <w:jc w:val="both"/>
        <w:rPr>
          <w:b/>
          <w:bCs/>
        </w:rPr>
      </w:pPr>
    </w:p>
    <w:p w:rsidR="002D15AF" w:rsidRDefault="002D15AF" w:rsidP="00415EE4">
      <w:pPr>
        <w:spacing w:before="0" w:after="0" w:line="270" w:lineRule="atLeast"/>
        <w:jc w:val="both"/>
        <w:rPr>
          <w:b/>
          <w:bCs/>
        </w:rPr>
      </w:pPr>
    </w:p>
    <w:p w:rsidR="00415EE4" w:rsidRDefault="00C351B2" w:rsidP="00415EE4">
      <w:pPr>
        <w:spacing w:before="0" w:after="0" w:line="270" w:lineRule="atLeast"/>
        <w:jc w:val="both"/>
        <w:rPr>
          <w:b/>
          <w:bCs/>
        </w:rPr>
      </w:pPr>
      <w:r w:rsidRPr="00992E9F">
        <w:rPr>
          <w:b/>
          <w:bCs/>
        </w:rPr>
        <w:t>Table 1.2</w:t>
      </w:r>
      <w:r w:rsidR="00415EE4" w:rsidRPr="00992E9F">
        <w:rPr>
          <w:b/>
          <w:bCs/>
        </w:rPr>
        <w:t xml:space="preserve">: Number of Green Deal Assessments by Property Type up to </w:t>
      </w:r>
      <w:r w:rsidR="007E138E" w:rsidRPr="00992E9F">
        <w:rPr>
          <w:b/>
          <w:bCs/>
        </w:rPr>
        <w:t xml:space="preserve">30th </w:t>
      </w:r>
      <w:r w:rsidR="001727AB" w:rsidRPr="00992E9F">
        <w:rPr>
          <w:b/>
          <w:bCs/>
        </w:rPr>
        <w:t>September</w:t>
      </w:r>
      <w:r w:rsidR="002F723B" w:rsidRPr="00992E9F">
        <w:rPr>
          <w:b/>
          <w:bCs/>
        </w:rPr>
        <w:t xml:space="preserve"> 2014</w:t>
      </w:r>
      <w:r w:rsidR="008F084B" w:rsidRPr="00992E9F">
        <w:rPr>
          <w:b/>
          <w:bCs/>
        </w:rPr>
        <w:t>, Great Britain</w:t>
      </w:r>
    </w:p>
    <w:p w:rsidR="00415EE4" w:rsidRDefault="00415EE4" w:rsidP="00415EE4">
      <w:pPr>
        <w:spacing w:before="0" w:after="0" w:line="270" w:lineRule="atLeast"/>
        <w:rPr>
          <w:b/>
          <w:bCs/>
        </w:rPr>
      </w:pPr>
    </w:p>
    <w:tbl>
      <w:tblPr>
        <w:tblW w:w="8840" w:type="dxa"/>
        <w:tblInd w:w="93" w:type="dxa"/>
        <w:tblLook w:val="04A0" w:firstRow="1" w:lastRow="0" w:firstColumn="1" w:lastColumn="0" w:noHBand="0" w:noVBand="1"/>
      </w:tblPr>
      <w:tblGrid>
        <w:gridCol w:w="4020"/>
        <w:gridCol w:w="1340"/>
        <w:gridCol w:w="1760"/>
        <w:gridCol w:w="1720"/>
      </w:tblGrid>
      <w:tr w:rsidR="00415EE4" w:rsidRPr="00E37C86" w:rsidTr="004955B3">
        <w:trPr>
          <w:trHeight w:val="555"/>
        </w:trPr>
        <w:tc>
          <w:tcPr>
            <w:tcW w:w="4020" w:type="dxa"/>
            <w:tcBorders>
              <w:top w:val="single" w:sz="4" w:space="0" w:color="auto"/>
              <w:left w:val="nil"/>
              <w:bottom w:val="single" w:sz="4" w:space="0" w:color="auto"/>
              <w:right w:val="nil"/>
            </w:tcBorders>
            <w:shd w:val="clear" w:color="auto" w:fill="auto"/>
            <w:noWrap/>
            <w:vAlign w:val="center"/>
            <w:hideMark/>
          </w:tcPr>
          <w:p w:rsidR="00415EE4" w:rsidRPr="00E37C86" w:rsidRDefault="00415EE4" w:rsidP="00415EE4">
            <w:pPr>
              <w:spacing w:before="0" w:after="0" w:line="240" w:lineRule="auto"/>
              <w:rPr>
                <w:color w:val="000000"/>
                <w:lang w:eastAsia="en-GB"/>
              </w:rPr>
            </w:pPr>
            <w:r w:rsidRPr="00E37C86">
              <w:rPr>
                <w:color w:val="000000"/>
                <w:lang w:eastAsia="en-GB"/>
              </w:rPr>
              <w:t>Property Type</w:t>
            </w:r>
          </w:p>
        </w:tc>
        <w:tc>
          <w:tcPr>
            <w:tcW w:w="1340" w:type="dxa"/>
            <w:tcBorders>
              <w:top w:val="single" w:sz="4" w:space="0" w:color="auto"/>
              <w:left w:val="nil"/>
              <w:bottom w:val="single" w:sz="4" w:space="0" w:color="auto"/>
              <w:right w:val="nil"/>
            </w:tcBorders>
            <w:shd w:val="clear" w:color="auto" w:fill="auto"/>
            <w:noWrap/>
            <w:vAlign w:val="bottom"/>
            <w:hideMark/>
          </w:tcPr>
          <w:p w:rsidR="00415EE4" w:rsidRPr="00E37C86" w:rsidRDefault="00415EE4" w:rsidP="00415EE4">
            <w:pPr>
              <w:spacing w:before="0" w:after="0" w:line="240" w:lineRule="auto"/>
              <w:rPr>
                <w:color w:val="000000"/>
                <w:lang w:eastAsia="en-GB"/>
              </w:rPr>
            </w:pPr>
            <w:r w:rsidRPr="00E37C86">
              <w:rPr>
                <w:color w:val="000000"/>
                <w:lang w:eastAsia="en-GB"/>
              </w:rPr>
              <w:t> </w:t>
            </w:r>
          </w:p>
        </w:tc>
        <w:tc>
          <w:tcPr>
            <w:tcW w:w="176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Green Deal Assessments</w:t>
            </w:r>
          </w:p>
        </w:tc>
        <w:tc>
          <w:tcPr>
            <w:tcW w:w="172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Percentage of Assessments</w:t>
            </w:r>
          </w:p>
        </w:tc>
      </w:tr>
      <w:tr w:rsidR="00197017" w:rsidRPr="00E37C86" w:rsidTr="004955B3">
        <w:trPr>
          <w:trHeight w:val="285"/>
        </w:trPr>
        <w:tc>
          <w:tcPr>
            <w:tcW w:w="402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House</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color w:val="000000"/>
                <w:szCs w:val="24"/>
              </w:rPr>
            </w:pPr>
            <w:r>
              <w:rPr>
                <w:color w:val="000000"/>
                <w:szCs w:val="24"/>
              </w:rPr>
              <w:t>273,502</w:t>
            </w:r>
          </w:p>
        </w:tc>
        <w:tc>
          <w:tcPr>
            <w:tcW w:w="172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i/>
                <w:iCs/>
                <w:color w:val="000000"/>
                <w:szCs w:val="24"/>
              </w:rPr>
            </w:pPr>
            <w:r>
              <w:rPr>
                <w:i/>
                <w:iCs/>
                <w:color w:val="000000"/>
                <w:szCs w:val="24"/>
              </w:rPr>
              <w:t>77</w:t>
            </w:r>
          </w:p>
        </w:tc>
      </w:tr>
      <w:tr w:rsidR="00197017" w:rsidRPr="00E37C86" w:rsidTr="004955B3">
        <w:trPr>
          <w:trHeight w:val="285"/>
        </w:trPr>
        <w:tc>
          <w:tcPr>
            <w:tcW w:w="402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Bungalow</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color w:val="000000"/>
                <w:szCs w:val="24"/>
              </w:rPr>
            </w:pPr>
            <w:r>
              <w:rPr>
                <w:color w:val="000000"/>
                <w:szCs w:val="24"/>
              </w:rPr>
              <w:t>37,444</w:t>
            </w:r>
          </w:p>
        </w:tc>
        <w:tc>
          <w:tcPr>
            <w:tcW w:w="172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i/>
                <w:iCs/>
                <w:color w:val="000000"/>
                <w:szCs w:val="24"/>
              </w:rPr>
            </w:pPr>
            <w:r>
              <w:rPr>
                <w:i/>
                <w:iCs/>
                <w:color w:val="000000"/>
                <w:szCs w:val="24"/>
              </w:rPr>
              <w:t>11</w:t>
            </w:r>
          </w:p>
        </w:tc>
      </w:tr>
      <w:tr w:rsidR="00197017" w:rsidRPr="00E37C86" w:rsidTr="004955B3">
        <w:trPr>
          <w:trHeight w:val="285"/>
        </w:trPr>
        <w:tc>
          <w:tcPr>
            <w:tcW w:w="402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Flat</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color w:val="000000"/>
                <w:szCs w:val="24"/>
              </w:rPr>
            </w:pPr>
            <w:r>
              <w:rPr>
                <w:color w:val="000000"/>
                <w:szCs w:val="24"/>
              </w:rPr>
              <w:t>39,392</w:t>
            </w:r>
          </w:p>
        </w:tc>
        <w:tc>
          <w:tcPr>
            <w:tcW w:w="172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i/>
                <w:iCs/>
                <w:color w:val="000000"/>
                <w:szCs w:val="24"/>
              </w:rPr>
            </w:pPr>
            <w:r>
              <w:rPr>
                <w:i/>
                <w:iCs/>
                <w:color w:val="000000"/>
                <w:szCs w:val="24"/>
              </w:rPr>
              <w:t>11</w:t>
            </w:r>
          </w:p>
        </w:tc>
      </w:tr>
      <w:tr w:rsidR="00197017" w:rsidRPr="00E37C86" w:rsidTr="004955B3">
        <w:trPr>
          <w:trHeight w:val="285"/>
        </w:trPr>
        <w:tc>
          <w:tcPr>
            <w:tcW w:w="402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Maisonette</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992E9F" w:rsidP="00197017">
            <w:pPr>
              <w:spacing w:before="0" w:after="0"/>
              <w:jc w:val="right"/>
              <w:rPr>
                <w:color w:val="000000"/>
                <w:szCs w:val="24"/>
              </w:rPr>
            </w:pPr>
            <w:r>
              <w:rPr>
                <w:color w:val="000000"/>
                <w:szCs w:val="24"/>
              </w:rPr>
              <w:t>6,176</w:t>
            </w: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i/>
                <w:iCs/>
                <w:color w:val="000000"/>
                <w:szCs w:val="24"/>
              </w:rPr>
            </w:pPr>
            <w:r w:rsidRPr="00197017">
              <w:rPr>
                <w:i/>
                <w:iCs/>
                <w:color w:val="000000"/>
                <w:szCs w:val="24"/>
              </w:rPr>
              <w:t>2</w:t>
            </w:r>
          </w:p>
        </w:tc>
      </w:tr>
      <w:tr w:rsidR="00197017" w:rsidRPr="00E37C86" w:rsidTr="004955B3">
        <w:trPr>
          <w:trHeight w:val="285"/>
        </w:trPr>
        <w:tc>
          <w:tcPr>
            <w:tcW w:w="402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197017" w:rsidP="00197017">
            <w:pPr>
              <w:spacing w:before="0" w:after="0"/>
              <w:rPr>
                <w:color w:val="000000"/>
                <w:szCs w:val="24"/>
              </w:rPr>
            </w:pP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rPr>
                <w:color w:val="000000"/>
                <w:szCs w:val="24"/>
              </w:rPr>
            </w:pPr>
          </w:p>
        </w:tc>
      </w:tr>
      <w:tr w:rsidR="00197017" w:rsidRPr="00E37C86" w:rsidTr="004955B3">
        <w:trPr>
          <w:trHeight w:val="300"/>
        </w:trPr>
        <w:tc>
          <w:tcPr>
            <w:tcW w:w="4020" w:type="dxa"/>
            <w:tcBorders>
              <w:top w:val="nil"/>
              <w:left w:val="nil"/>
              <w:bottom w:val="single" w:sz="4" w:space="0" w:color="auto"/>
              <w:right w:val="nil"/>
            </w:tcBorders>
            <w:shd w:val="clear" w:color="000000" w:fill="FFFFFF"/>
            <w:noWrap/>
            <w:vAlign w:val="bottom"/>
            <w:hideMark/>
          </w:tcPr>
          <w:p w:rsidR="00197017" w:rsidRPr="00E37C86" w:rsidRDefault="00197017" w:rsidP="00415EE4">
            <w:pPr>
              <w:spacing w:before="0" w:after="0" w:line="240" w:lineRule="auto"/>
              <w:rPr>
                <w:b/>
                <w:bCs/>
                <w:color w:val="000000"/>
                <w:lang w:eastAsia="en-GB"/>
              </w:rPr>
            </w:pPr>
            <w:r w:rsidRPr="00E37C86">
              <w:rPr>
                <w:b/>
                <w:bCs/>
                <w:color w:val="000000"/>
                <w:lang w:eastAsia="en-GB"/>
              </w:rPr>
              <w:t>Total</w:t>
            </w:r>
          </w:p>
        </w:tc>
        <w:tc>
          <w:tcPr>
            <w:tcW w:w="1340" w:type="dxa"/>
            <w:tcBorders>
              <w:top w:val="nil"/>
              <w:left w:val="nil"/>
              <w:bottom w:val="single" w:sz="4" w:space="0" w:color="auto"/>
              <w:right w:val="nil"/>
            </w:tcBorders>
            <w:shd w:val="clear" w:color="auto" w:fill="auto"/>
            <w:noWrap/>
            <w:vAlign w:val="bottom"/>
            <w:hideMark/>
          </w:tcPr>
          <w:p w:rsidR="00197017" w:rsidRPr="00E37C86" w:rsidRDefault="00197017" w:rsidP="00415EE4">
            <w:pPr>
              <w:spacing w:before="0" w:after="0" w:line="240" w:lineRule="auto"/>
              <w:rPr>
                <w:b/>
                <w:bCs/>
                <w:color w:val="000000"/>
                <w:lang w:eastAsia="en-GB"/>
              </w:rPr>
            </w:pPr>
            <w:r w:rsidRPr="00E37C86">
              <w:rPr>
                <w:b/>
                <w:bCs/>
                <w:color w:val="000000"/>
                <w:lang w:eastAsia="en-GB"/>
              </w:rPr>
              <w:t> </w:t>
            </w:r>
          </w:p>
        </w:tc>
        <w:tc>
          <w:tcPr>
            <w:tcW w:w="1760" w:type="dxa"/>
            <w:tcBorders>
              <w:top w:val="nil"/>
              <w:left w:val="nil"/>
              <w:bottom w:val="single" w:sz="4" w:space="0" w:color="auto"/>
              <w:right w:val="nil"/>
            </w:tcBorders>
            <w:shd w:val="clear" w:color="auto" w:fill="auto"/>
            <w:noWrap/>
            <w:vAlign w:val="bottom"/>
            <w:hideMark/>
          </w:tcPr>
          <w:p w:rsidR="00197017" w:rsidRPr="00197017" w:rsidRDefault="00992E9F" w:rsidP="00197017">
            <w:pPr>
              <w:spacing w:before="0" w:after="0"/>
              <w:jc w:val="right"/>
              <w:rPr>
                <w:b/>
                <w:bCs/>
                <w:color w:val="000000"/>
                <w:szCs w:val="24"/>
              </w:rPr>
            </w:pPr>
            <w:r>
              <w:rPr>
                <w:b/>
                <w:bCs/>
                <w:color w:val="000000"/>
                <w:szCs w:val="24"/>
              </w:rPr>
              <w:t>356,514</w:t>
            </w:r>
          </w:p>
        </w:tc>
        <w:tc>
          <w:tcPr>
            <w:tcW w:w="1720" w:type="dxa"/>
            <w:tcBorders>
              <w:top w:val="nil"/>
              <w:left w:val="nil"/>
              <w:bottom w:val="single" w:sz="4" w:space="0" w:color="auto"/>
              <w:right w:val="nil"/>
            </w:tcBorders>
            <w:shd w:val="clear" w:color="auto" w:fill="auto"/>
            <w:noWrap/>
            <w:vAlign w:val="bottom"/>
            <w:hideMark/>
          </w:tcPr>
          <w:p w:rsidR="00197017" w:rsidRPr="00197017" w:rsidRDefault="00197017" w:rsidP="00197017">
            <w:pPr>
              <w:spacing w:before="0" w:after="0"/>
              <w:jc w:val="right"/>
              <w:rPr>
                <w:b/>
                <w:bCs/>
                <w:i/>
                <w:iCs/>
                <w:color w:val="000000"/>
                <w:szCs w:val="24"/>
              </w:rPr>
            </w:pPr>
            <w:r w:rsidRPr="00197017">
              <w:rPr>
                <w:b/>
                <w:bCs/>
                <w:i/>
                <w:iCs/>
                <w:color w:val="000000"/>
                <w:szCs w:val="24"/>
              </w:rPr>
              <w:t>100</w:t>
            </w:r>
          </w:p>
        </w:tc>
      </w:tr>
    </w:tbl>
    <w:p w:rsidR="00415EE4" w:rsidRDefault="00415EE4" w:rsidP="00415EE4">
      <w:pPr>
        <w:spacing w:before="0" w:after="0" w:line="270" w:lineRule="atLeast"/>
        <w:rPr>
          <w:b/>
          <w:bCs/>
          <w:highlight w:val="yellow"/>
        </w:rPr>
      </w:pPr>
    </w:p>
    <w:p w:rsidR="00C32763" w:rsidRPr="00D1378A" w:rsidRDefault="00C32763" w:rsidP="00415EE4">
      <w:pPr>
        <w:spacing w:line="270" w:lineRule="atLeast"/>
        <w:jc w:val="both"/>
        <w:rPr>
          <w:b/>
          <w:bCs/>
          <w:highlight w:val="yellow"/>
        </w:rPr>
      </w:pPr>
    </w:p>
    <w:p w:rsidR="00415EE4" w:rsidRDefault="00C351B2" w:rsidP="00415EE4">
      <w:pPr>
        <w:spacing w:before="0" w:after="0" w:line="270" w:lineRule="atLeast"/>
        <w:jc w:val="both"/>
        <w:rPr>
          <w:b/>
          <w:bCs/>
        </w:rPr>
      </w:pPr>
      <w:r w:rsidRPr="00992E9F">
        <w:rPr>
          <w:b/>
          <w:bCs/>
        </w:rPr>
        <w:t>Table 1.3</w:t>
      </w:r>
      <w:r w:rsidR="00415EE4" w:rsidRPr="00992E9F">
        <w:rPr>
          <w:b/>
          <w:bCs/>
        </w:rPr>
        <w:t xml:space="preserve">: Number of Green Deal Assessments by tenure, up to </w:t>
      </w:r>
      <w:r w:rsidR="007E138E" w:rsidRPr="00992E9F">
        <w:rPr>
          <w:b/>
          <w:bCs/>
        </w:rPr>
        <w:t xml:space="preserve">30th </w:t>
      </w:r>
      <w:r w:rsidR="001727AB" w:rsidRPr="00992E9F">
        <w:rPr>
          <w:b/>
          <w:bCs/>
        </w:rPr>
        <w:t>September</w:t>
      </w:r>
      <w:r w:rsidR="002F723B" w:rsidRPr="00992E9F">
        <w:rPr>
          <w:b/>
          <w:bCs/>
        </w:rPr>
        <w:t xml:space="preserve"> 2014</w:t>
      </w:r>
      <w:r w:rsidR="008F084B" w:rsidRPr="00992E9F">
        <w:rPr>
          <w:b/>
          <w:bCs/>
        </w:rPr>
        <w:t>, Great Britain</w:t>
      </w:r>
    </w:p>
    <w:p w:rsidR="00415EE4" w:rsidRDefault="00415EE4" w:rsidP="00415EE4">
      <w:pPr>
        <w:spacing w:before="0" w:after="0" w:line="270" w:lineRule="atLeast"/>
        <w:rPr>
          <w:b/>
          <w:bCs/>
        </w:rPr>
      </w:pPr>
    </w:p>
    <w:tbl>
      <w:tblPr>
        <w:tblW w:w="9095" w:type="dxa"/>
        <w:tblInd w:w="93" w:type="dxa"/>
        <w:tblLook w:val="04A0" w:firstRow="1" w:lastRow="0" w:firstColumn="1" w:lastColumn="0" w:noHBand="0" w:noVBand="1"/>
      </w:tblPr>
      <w:tblGrid>
        <w:gridCol w:w="3701"/>
        <w:gridCol w:w="1278"/>
        <w:gridCol w:w="2042"/>
        <w:gridCol w:w="2074"/>
      </w:tblGrid>
      <w:tr w:rsidR="00415EE4" w:rsidRPr="0068316D" w:rsidTr="004955B3">
        <w:trPr>
          <w:trHeight w:val="549"/>
        </w:trPr>
        <w:tc>
          <w:tcPr>
            <w:tcW w:w="3701" w:type="dxa"/>
            <w:tcBorders>
              <w:top w:val="single" w:sz="4" w:space="0" w:color="auto"/>
              <w:left w:val="nil"/>
              <w:bottom w:val="single" w:sz="4" w:space="0" w:color="auto"/>
              <w:right w:val="nil"/>
            </w:tcBorders>
            <w:shd w:val="clear" w:color="auto" w:fill="auto"/>
            <w:noWrap/>
            <w:vAlign w:val="center"/>
            <w:hideMark/>
          </w:tcPr>
          <w:p w:rsidR="00415EE4" w:rsidRPr="0068316D" w:rsidRDefault="00415EE4" w:rsidP="00415EE4">
            <w:pPr>
              <w:spacing w:before="0" w:after="0" w:line="240" w:lineRule="auto"/>
              <w:rPr>
                <w:color w:val="000000"/>
                <w:lang w:eastAsia="en-GB"/>
              </w:rPr>
            </w:pPr>
            <w:r w:rsidRPr="0068316D">
              <w:rPr>
                <w:color w:val="000000"/>
                <w:lang w:eastAsia="en-GB"/>
              </w:rPr>
              <w:t>Tenure</w:t>
            </w:r>
          </w:p>
        </w:tc>
        <w:tc>
          <w:tcPr>
            <w:tcW w:w="1278" w:type="dxa"/>
            <w:tcBorders>
              <w:top w:val="single" w:sz="4" w:space="0" w:color="auto"/>
              <w:left w:val="nil"/>
              <w:bottom w:val="single" w:sz="4" w:space="0" w:color="auto"/>
              <w:right w:val="nil"/>
            </w:tcBorders>
            <w:shd w:val="clear" w:color="auto" w:fill="auto"/>
            <w:noWrap/>
            <w:vAlign w:val="bottom"/>
            <w:hideMark/>
          </w:tcPr>
          <w:p w:rsidR="00415EE4" w:rsidRPr="0068316D" w:rsidRDefault="00415EE4" w:rsidP="00415EE4">
            <w:pPr>
              <w:spacing w:before="0" w:after="0" w:line="240" w:lineRule="auto"/>
              <w:rPr>
                <w:color w:val="000000"/>
                <w:lang w:eastAsia="en-GB"/>
              </w:rPr>
            </w:pPr>
            <w:r w:rsidRPr="0068316D">
              <w:rPr>
                <w:color w:val="000000"/>
                <w:lang w:eastAsia="en-GB"/>
              </w:rPr>
              <w:t> </w:t>
            </w:r>
          </w:p>
        </w:tc>
        <w:tc>
          <w:tcPr>
            <w:tcW w:w="2042" w:type="dxa"/>
            <w:tcBorders>
              <w:top w:val="single" w:sz="4" w:space="0" w:color="auto"/>
              <w:left w:val="nil"/>
              <w:bottom w:val="single" w:sz="4" w:space="0" w:color="auto"/>
              <w:right w:val="nil"/>
            </w:tcBorders>
            <w:shd w:val="clear" w:color="auto" w:fill="auto"/>
            <w:vAlign w:val="bottom"/>
            <w:hideMark/>
          </w:tcPr>
          <w:p w:rsidR="00415EE4" w:rsidRPr="0068316D" w:rsidRDefault="00415EE4" w:rsidP="00415EE4">
            <w:pPr>
              <w:spacing w:before="0" w:after="0" w:line="240" w:lineRule="auto"/>
              <w:jc w:val="right"/>
              <w:rPr>
                <w:color w:val="000000"/>
                <w:lang w:eastAsia="en-GB"/>
              </w:rPr>
            </w:pPr>
            <w:r w:rsidRPr="0068316D">
              <w:rPr>
                <w:color w:val="000000"/>
                <w:lang w:eastAsia="en-GB"/>
              </w:rPr>
              <w:t>Green Deal Assessments</w:t>
            </w:r>
          </w:p>
        </w:tc>
        <w:tc>
          <w:tcPr>
            <w:tcW w:w="2074" w:type="dxa"/>
            <w:tcBorders>
              <w:top w:val="single" w:sz="4" w:space="0" w:color="auto"/>
              <w:left w:val="nil"/>
              <w:bottom w:val="single" w:sz="4" w:space="0" w:color="auto"/>
              <w:right w:val="nil"/>
            </w:tcBorders>
            <w:shd w:val="clear" w:color="auto" w:fill="auto"/>
            <w:vAlign w:val="bottom"/>
            <w:hideMark/>
          </w:tcPr>
          <w:p w:rsidR="00415EE4" w:rsidRPr="0068316D" w:rsidRDefault="00415EE4" w:rsidP="00415EE4">
            <w:pPr>
              <w:spacing w:before="0" w:after="0" w:line="240" w:lineRule="auto"/>
              <w:jc w:val="right"/>
              <w:rPr>
                <w:color w:val="000000"/>
                <w:lang w:eastAsia="en-GB"/>
              </w:rPr>
            </w:pPr>
            <w:r w:rsidRPr="0068316D">
              <w:rPr>
                <w:color w:val="000000"/>
                <w:lang w:eastAsia="en-GB"/>
              </w:rPr>
              <w:t>Valid Percentage of Assessments</w:t>
            </w:r>
            <w:r w:rsidRPr="0068316D">
              <w:rPr>
                <w:color w:val="000000"/>
                <w:vertAlign w:val="superscript"/>
                <w:lang w:eastAsia="en-GB"/>
              </w:rPr>
              <w:t>1</w:t>
            </w:r>
          </w:p>
        </w:tc>
      </w:tr>
      <w:tr w:rsidR="00725D44" w:rsidRPr="0068316D" w:rsidTr="004955B3">
        <w:trPr>
          <w:trHeight w:val="281"/>
        </w:trPr>
        <w:tc>
          <w:tcPr>
            <w:tcW w:w="3701" w:type="dxa"/>
            <w:tcBorders>
              <w:top w:val="nil"/>
              <w:left w:val="nil"/>
              <w:bottom w:val="nil"/>
              <w:right w:val="nil"/>
            </w:tcBorders>
            <w:shd w:val="clear" w:color="000000" w:fill="FFFFFF"/>
            <w:noWrap/>
            <w:vAlign w:val="bottom"/>
            <w:hideMark/>
          </w:tcPr>
          <w:p w:rsidR="00725D44" w:rsidRPr="0068316D" w:rsidRDefault="00725D44" w:rsidP="00415EE4">
            <w:pPr>
              <w:spacing w:before="0" w:after="0" w:line="240" w:lineRule="auto"/>
              <w:rPr>
                <w:color w:val="000000"/>
                <w:lang w:eastAsia="en-GB"/>
              </w:rPr>
            </w:pPr>
            <w:r w:rsidRPr="0068316D">
              <w:rPr>
                <w:color w:val="000000"/>
                <w:lang w:eastAsia="en-GB"/>
              </w:rPr>
              <w:t>Owner-occupied</w:t>
            </w:r>
          </w:p>
        </w:tc>
        <w:tc>
          <w:tcPr>
            <w:tcW w:w="1278" w:type="dxa"/>
            <w:tcBorders>
              <w:top w:val="nil"/>
              <w:left w:val="nil"/>
              <w:bottom w:val="nil"/>
              <w:right w:val="nil"/>
            </w:tcBorders>
            <w:shd w:val="clear" w:color="auto" w:fill="auto"/>
            <w:noWrap/>
            <w:vAlign w:val="bottom"/>
            <w:hideMark/>
          </w:tcPr>
          <w:p w:rsidR="00725D44" w:rsidRPr="0068316D" w:rsidRDefault="00725D44"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25D44" w:rsidRPr="00725D44" w:rsidRDefault="00992E9F" w:rsidP="00725D44">
            <w:pPr>
              <w:spacing w:before="0" w:after="0"/>
              <w:jc w:val="right"/>
              <w:rPr>
                <w:color w:val="000000"/>
                <w:szCs w:val="24"/>
              </w:rPr>
            </w:pPr>
            <w:r>
              <w:rPr>
                <w:color w:val="000000"/>
                <w:szCs w:val="24"/>
              </w:rPr>
              <w:t>272,561</w:t>
            </w:r>
          </w:p>
        </w:tc>
        <w:tc>
          <w:tcPr>
            <w:tcW w:w="2074" w:type="dxa"/>
            <w:tcBorders>
              <w:top w:val="nil"/>
              <w:left w:val="nil"/>
              <w:bottom w:val="nil"/>
              <w:right w:val="nil"/>
            </w:tcBorders>
            <w:shd w:val="clear" w:color="auto" w:fill="auto"/>
            <w:noWrap/>
            <w:vAlign w:val="bottom"/>
            <w:hideMark/>
          </w:tcPr>
          <w:p w:rsidR="00725D44" w:rsidRPr="00725D44" w:rsidRDefault="00992E9F" w:rsidP="00725D44">
            <w:pPr>
              <w:spacing w:before="0" w:after="0"/>
              <w:jc w:val="right"/>
              <w:rPr>
                <w:i/>
                <w:iCs/>
                <w:color w:val="000000"/>
                <w:szCs w:val="24"/>
              </w:rPr>
            </w:pPr>
            <w:r>
              <w:rPr>
                <w:i/>
                <w:iCs/>
                <w:color w:val="000000"/>
                <w:szCs w:val="24"/>
              </w:rPr>
              <w:t>77</w:t>
            </w:r>
          </w:p>
        </w:tc>
      </w:tr>
      <w:tr w:rsidR="00725D44" w:rsidRPr="0068316D" w:rsidTr="004955B3">
        <w:trPr>
          <w:trHeight w:val="281"/>
        </w:trPr>
        <w:tc>
          <w:tcPr>
            <w:tcW w:w="3701" w:type="dxa"/>
            <w:tcBorders>
              <w:top w:val="nil"/>
              <w:left w:val="nil"/>
              <w:bottom w:val="nil"/>
              <w:right w:val="nil"/>
            </w:tcBorders>
            <w:shd w:val="clear" w:color="000000" w:fill="FFFFFF"/>
            <w:noWrap/>
            <w:vAlign w:val="bottom"/>
            <w:hideMark/>
          </w:tcPr>
          <w:p w:rsidR="00725D44" w:rsidRPr="0068316D" w:rsidRDefault="00725D44" w:rsidP="00415EE4">
            <w:pPr>
              <w:spacing w:before="0" w:after="0" w:line="240" w:lineRule="auto"/>
              <w:rPr>
                <w:color w:val="000000"/>
                <w:lang w:eastAsia="en-GB"/>
              </w:rPr>
            </w:pPr>
            <w:r w:rsidRPr="0068316D">
              <w:rPr>
                <w:color w:val="000000"/>
                <w:lang w:eastAsia="en-GB"/>
              </w:rPr>
              <w:t>Rented (private)</w:t>
            </w:r>
          </w:p>
        </w:tc>
        <w:tc>
          <w:tcPr>
            <w:tcW w:w="1278" w:type="dxa"/>
            <w:tcBorders>
              <w:top w:val="nil"/>
              <w:left w:val="nil"/>
              <w:bottom w:val="nil"/>
              <w:right w:val="nil"/>
            </w:tcBorders>
            <w:shd w:val="clear" w:color="auto" w:fill="auto"/>
            <w:noWrap/>
            <w:vAlign w:val="bottom"/>
            <w:hideMark/>
          </w:tcPr>
          <w:p w:rsidR="00725D44" w:rsidRPr="0068316D" w:rsidRDefault="00725D44"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25D44" w:rsidRPr="00725D44" w:rsidRDefault="00992E9F" w:rsidP="00725D44">
            <w:pPr>
              <w:spacing w:before="0" w:after="0"/>
              <w:jc w:val="right"/>
              <w:rPr>
                <w:color w:val="000000"/>
                <w:szCs w:val="24"/>
              </w:rPr>
            </w:pPr>
            <w:r>
              <w:rPr>
                <w:color w:val="000000"/>
                <w:szCs w:val="24"/>
              </w:rPr>
              <w:t>44,235</w:t>
            </w:r>
          </w:p>
        </w:tc>
        <w:tc>
          <w:tcPr>
            <w:tcW w:w="2074" w:type="dxa"/>
            <w:tcBorders>
              <w:top w:val="nil"/>
              <w:left w:val="nil"/>
              <w:bottom w:val="nil"/>
              <w:right w:val="nil"/>
            </w:tcBorders>
            <w:shd w:val="clear" w:color="auto" w:fill="auto"/>
            <w:noWrap/>
            <w:vAlign w:val="bottom"/>
            <w:hideMark/>
          </w:tcPr>
          <w:p w:rsidR="00725D44" w:rsidRPr="00725D44" w:rsidRDefault="00725D44" w:rsidP="00725D44">
            <w:pPr>
              <w:spacing w:before="0" w:after="0"/>
              <w:jc w:val="right"/>
              <w:rPr>
                <w:i/>
                <w:iCs/>
                <w:color w:val="000000"/>
                <w:szCs w:val="24"/>
              </w:rPr>
            </w:pPr>
            <w:r w:rsidRPr="00725D44">
              <w:rPr>
                <w:i/>
                <w:iCs/>
                <w:color w:val="000000"/>
                <w:szCs w:val="24"/>
              </w:rPr>
              <w:t>1</w:t>
            </w:r>
            <w:r w:rsidR="006337F5">
              <w:rPr>
                <w:i/>
                <w:iCs/>
                <w:color w:val="000000"/>
                <w:szCs w:val="24"/>
              </w:rPr>
              <w:t>2</w:t>
            </w:r>
          </w:p>
        </w:tc>
      </w:tr>
      <w:tr w:rsidR="00725D44" w:rsidRPr="0068316D" w:rsidTr="004955B3">
        <w:trPr>
          <w:trHeight w:val="281"/>
        </w:trPr>
        <w:tc>
          <w:tcPr>
            <w:tcW w:w="3701" w:type="dxa"/>
            <w:tcBorders>
              <w:top w:val="nil"/>
              <w:left w:val="nil"/>
              <w:bottom w:val="nil"/>
              <w:right w:val="nil"/>
            </w:tcBorders>
            <w:shd w:val="clear" w:color="000000" w:fill="FFFFFF"/>
            <w:noWrap/>
            <w:vAlign w:val="bottom"/>
            <w:hideMark/>
          </w:tcPr>
          <w:p w:rsidR="00725D44" w:rsidRPr="0068316D" w:rsidRDefault="00725D44" w:rsidP="00415EE4">
            <w:pPr>
              <w:spacing w:before="0" w:after="0" w:line="240" w:lineRule="auto"/>
              <w:rPr>
                <w:color w:val="000000"/>
                <w:lang w:eastAsia="en-GB"/>
              </w:rPr>
            </w:pPr>
            <w:r w:rsidRPr="0068316D">
              <w:rPr>
                <w:color w:val="000000"/>
                <w:lang w:eastAsia="en-GB"/>
              </w:rPr>
              <w:t>Rented (social)</w:t>
            </w:r>
          </w:p>
        </w:tc>
        <w:tc>
          <w:tcPr>
            <w:tcW w:w="1278" w:type="dxa"/>
            <w:tcBorders>
              <w:top w:val="nil"/>
              <w:left w:val="nil"/>
              <w:bottom w:val="nil"/>
              <w:right w:val="nil"/>
            </w:tcBorders>
            <w:shd w:val="clear" w:color="auto" w:fill="auto"/>
            <w:noWrap/>
            <w:vAlign w:val="bottom"/>
            <w:hideMark/>
          </w:tcPr>
          <w:p w:rsidR="00725D44" w:rsidRPr="0068316D" w:rsidRDefault="00725D44"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25D44" w:rsidRPr="00725D44" w:rsidRDefault="00992E9F" w:rsidP="00725D44">
            <w:pPr>
              <w:spacing w:before="0" w:after="0"/>
              <w:jc w:val="right"/>
              <w:rPr>
                <w:color w:val="000000"/>
                <w:szCs w:val="24"/>
              </w:rPr>
            </w:pPr>
            <w:r>
              <w:rPr>
                <w:color w:val="000000"/>
                <w:szCs w:val="24"/>
              </w:rPr>
              <w:t>37,828</w:t>
            </w:r>
          </w:p>
        </w:tc>
        <w:tc>
          <w:tcPr>
            <w:tcW w:w="2074" w:type="dxa"/>
            <w:tcBorders>
              <w:top w:val="nil"/>
              <w:left w:val="nil"/>
              <w:bottom w:val="nil"/>
              <w:right w:val="nil"/>
            </w:tcBorders>
            <w:shd w:val="clear" w:color="auto" w:fill="auto"/>
            <w:noWrap/>
            <w:vAlign w:val="bottom"/>
            <w:hideMark/>
          </w:tcPr>
          <w:p w:rsidR="00725D44" w:rsidRPr="00725D44" w:rsidRDefault="00992E9F" w:rsidP="00725D44">
            <w:pPr>
              <w:spacing w:before="0" w:after="0"/>
              <w:jc w:val="right"/>
              <w:rPr>
                <w:i/>
                <w:iCs/>
                <w:color w:val="000000"/>
                <w:szCs w:val="24"/>
              </w:rPr>
            </w:pPr>
            <w:r>
              <w:rPr>
                <w:i/>
                <w:iCs/>
                <w:color w:val="000000"/>
                <w:szCs w:val="24"/>
              </w:rPr>
              <w:t>11</w:t>
            </w:r>
          </w:p>
        </w:tc>
      </w:tr>
      <w:tr w:rsidR="00725D44" w:rsidRPr="0068316D" w:rsidTr="004955B3">
        <w:trPr>
          <w:trHeight w:val="281"/>
        </w:trPr>
        <w:tc>
          <w:tcPr>
            <w:tcW w:w="3701" w:type="dxa"/>
            <w:tcBorders>
              <w:top w:val="nil"/>
              <w:left w:val="nil"/>
              <w:bottom w:val="nil"/>
              <w:right w:val="nil"/>
            </w:tcBorders>
            <w:shd w:val="clear" w:color="000000" w:fill="FFFFFF"/>
            <w:noWrap/>
            <w:vAlign w:val="bottom"/>
            <w:hideMark/>
          </w:tcPr>
          <w:p w:rsidR="00725D44" w:rsidRPr="0068316D" w:rsidRDefault="00725D44" w:rsidP="00415EE4">
            <w:pPr>
              <w:spacing w:before="0" w:after="0" w:line="240" w:lineRule="auto"/>
              <w:rPr>
                <w:color w:val="000000"/>
                <w:lang w:eastAsia="en-GB"/>
              </w:rPr>
            </w:pPr>
            <w:r w:rsidRPr="0068316D">
              <w:rPr>
                <w:color w:val="000000"/>
                <w:lang w:eastAsia="en-GB"/>
              </w:rPr>
              <w:t> </w:t>
            </w:r>
          </w:p>
        </w:tc>
        <w:tc>
          <w:tcPr>
            <w:tcW w:w="1278" w:type="dxa"/>
            <w:tcBorders>
              <w:top w:val="nil"/>
              <w:left w:val="nil"/>
              <w:bottom w:val="nil"/>
              <w:right w:val="nil"/>
            </w:tcBorders>
            <w:shd w:val="clear" w:color="auto" w:fill="auto"/>
            <w:noWrap/>
            <w:vAlign w:val="bottom"/>
            <w:hideMark/>
          </w:tcPr>
          <w:p w:rsidR="00725D44" w:rsidRPr="0068316D" w:rsidRDefault="00725D44"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25D44" w:rsidRPr="00725D44" w:rsidRDefault="00725D44" w:rsidP="00725D44">
            <w:pPr>
              <w:spacing w:before="0" w:after="0"/>
              <w:rPr>
                <w:color w:val="000000"/>
                <w:szCs w:val="24"/>
              </w:rPr>
            </w:pPr>
          </w:p>
        </w:tc>
        <w:tc>
          <w:tcPr>
            <w:tcW w:w="2074" w:type="dxa"/>
            <w:tcBorders>
              <w:top w:val="nil"/>
              <w:left w:val="nil"/>
              <w:bottom w:val="nil"/>
              <w:right w:val="nil"/>
            </w:tcBorders>
            <w:shd w:val="clear" w:color="auto" w:fill="auto"/>
            <w:noWrap/>
            <w:vAlign w:val="bottom"/>
            <w:hideMark/>
          </w:tcPr>
          <w:p w:rsidR="00725D44" w:rsidRPr="00725D44" w:rsidRDefault="00725D44" w:rsidP="00725D44">
            <w:pPr>
              <w:spacing w:before="0" w:after="0"/>
              <w:rPr>
                <w:i/>
                <w:iCs/>
                <w:color w:val="000000"/>
                <w:szCs w:val="24"/>
              </w:rPr>
            </w:pPr>
          </w:p>
        </w:tc>
      </w:tr>
      <w:tr w:rsidR="00725D44" w:rsidRPr="0068316D" w:rsidTr="004955B3">
        <w:trPr>
          <w:trHeight w:val="281"/>
        </w:trPr>
        <w:tc>
          <w:tcPr>
            <w:tcW w:w="3701" w:type="dxa"/>
            <w:tcBorders>
              <w:top w:val="nil"/>
              <w:left w:val="nil"/>
              <w:bottom w:val="nil"/>
              <w:right w:val="nil"/>
            </w:tcBorders>
            <w:shd w:val="clear" w:color="000000" w:fill="FFFFFF"/>
            <w:noWrap/>
            <w:vAlign w:val="bottom"/>
            <w:hideMark/>
          </w:tcPr>
          <w:p w:rsidR="00725D44" w:rsidRPr="0068316D" w:rsidRDefault="00725D44" w:rsidP="00415EE4">
            <w:pPr>
              <w:spacing w:before="0" w:after="0" w:line="240" w:lineRule="auto"/>
              <w:rPr>
                <w:color w:val="000000"/>
                <w:lang w:eastAsia="en-GB"/>
              </w:rPr>
            </w:pPr>
            <w:r w:rsidRPr="0068316D">
              <w:rPr>
                <w:color w:val="000000"/>
                <w:lang w:eastAsia="en-GB"/>
              </w:rPr>
              <w:t>Unknown</w:t>
            </w:r>
          </w:p>
        </w:tc>
        <w:tc>
          <w:tcPr>
            <w:tcW w:w="1278" w:type="dxa"/>
            <w:tcBorders>
              <w:top w:val="nil"/>
              <w:left w:val="nil"/>
              <w:bottom w:val="nil"/>
              <w:right w:val="nil"/>
            </w:tcBorders>
            <w:shd w:val="clear" w:color="auto" w:fill="auto"/>
            <w:noWrap/>
            <w:vAlign w:val="bottom"/>
            <w:hideMark/>
          </w:tcPr>
          <w:p w:rsidR="00725D44" w:rsidRPr="0068316D" w:rsidRDefault="00725D44"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25D44" w:rsidRPr="00725D44" w:rsidRDefault="00725D44" w:rsidP="00992E9F">
            <w:pPr>
              <w:spacing w:before="0" w:after="0"/>
              <w:jc w:val="right"/>
              <w:rPr>
                <w:color w:val="000000"/>
                <w:szCs w:val="24"/>
              </w:rPr>
            </w:pPr>
            <w:r w:rsidRPr="00725D44">
              <w:rPr>
                <w:color w:val="000000"/>
                <w:szCs w:val="24"/>
              </w:rPr>
              <w:t>1,</w:t>
            </w:r>
            <w:r w:rsidR="00992E9F">
              <w:rPr>
                <w:color w:val="000000"/>
                <w:szCs w:val="24"/>
              </w:rPr>
              <w:t>890</w:t>
            </w:r>
          </w:p>
        </w:tc>
        <w:tc>
          <w:tcPr>
            <w:tcW w:w="2074" w:type="dxa"/>
            <w:tcBorders>
              <w:top w:val="nil"/>
              <w:left w:val="nil"/>
              <w:bottom w:val="nil"/>
              <w:right w:val="nil"/>
            </w:tcBorders>
            <w:shd w:val="clear" w:color="auto" w:fill="auto"/>
            <w:noWrap/>
            <w:vAlign w:val="bottom"/>
            <w:hideMark/>
          </w:tcPr>
          <w:p w:rsidR="00725D44" w:rsidRPr="00725D44" w:rsidRDefault="00725D44" w:rsidP="00725D44">
            <w:pPr>
              <w:spacing w:before="0" w:after="0"/>
              <w:jc w:val="right"/>
              <w:rPr>
                <w:i/>
                <w:iCs/>
                <w:color w:val="000000"/>
                <w:szCs w:val="24"/>
              </w:rPr>
            </w:pPr>
            <w:r w:rsidRPr="00725D44">
              <w:rPr>
                <w:i/>
                <w:iCs/>
                <w:color w:val="000000"/>
                <w:szCs w:val="24"/>
              </w:rPr>
              <w:t>-</w:t>
            </w:r>
          </w:p>
        </w:tc>
      </w:tr>
      <w:tr w:rsidR="00725D44" w:rsidRPr="0068316D" w:rsidTr="004955B3">
        <w:trPr>
          <w:trHeight w:val="281"/>
        </w:trPr>
        <w:tc>
          <w:tcPr>
            <w:tcW w:w="3701" w:type="dxa"/>
            <w:tcBorders>
              <w:top w:val="nil"/>
              <w:left w:val="nil"/>
              <w:bottom w:val="nil"/>
              <w:right w:val="nil"/>
            </w:tcBorders>
            <w:shd w:val="clear" w:color="auto" w:fill="auto"/>
            <w:noWrap/>
            <w:vAlign w:val="bottom"/>
            <w:hideMark/>
          </w:tcPr>
          <w:p w:rsidR="00725D44" w:rsidRPr="0068316D" w:rsidRDefault="00725D44" w:rsidP="00415EE4">
            <w:pPr>
              <w:spacing w:before="0" w:after="0" w:line="240" w:lineRule="auto"/>
              <w:rPr>
                <w:color w:val="000000"/>
                <w:lang w:eastAsia="en-GB"/>
              </w:rPr>
            </w:pPr>
          </w:p>
        </w:tc>
        <w:tc>
          <w:tcPr>
            <w:tcW w:w="1278" w:type="dxa"/>
            <w:tcBorders>
              <w:top w:val="nil"/>
              <w:left w:val="nil"/>
              <w:bottom w:val="nil"/>
              <w:right w:val="nil"/>
            </w:tcBorders>
            <w:shd w:val="clear" w:color="auto" w:fill="auto"/>
            <w:noWrap/>
            <w:vAlign w:val="bottom"/>
            <w:hideMark/>
          </w:tcPr>
          <w:p w:rsidR="00725D44" w:rsidRPr="0068316D" w:rsidRDefault="00725D44"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25D44" w:rsidRPr="00725D44" w:rsidRDefault="00725D44" w:rsidP="00725D44">
            <w:pPr>
              <w:spacing w:before="0" w:after="0"/>
              <w:rPr>
                <w:color w:val="000000"/>
                <w:szCs w:val="24"/>
              </w:rPr>
            </w:pPr>
          </w:p>
        </w:tc>
        <w:tc>
          <w:tcPr>
            <w:tcW w:w="2074" w:type="dxa"/>
            <w:tcBorders>
              <w:top w:val="nil"/>
              <w:left w:val="nil"/>
              <w:bottom w:val="nil"/>
              <w:right w:val="nil"/>
            </w:tcBorders>
            <w:shd w:val="clear" w:color="auto" w:fill="auto"/>
            <w:noWrap/>
            <w:vAlign w:val="bottom"/>
            <w:hideMark/>
          </w:tcPr>
          <w:p w:rsidR="00725D44" w:rsidRPr="00725D44" w:rsidRDefault="00725D44" w:rsidP="00725D44">
            <w:pPr>
              <w:spacing w:before="0" w:after="0"/>
              <w:rPr>
                <w:color w:val="000000"/>
                <w:szCs w:val="24"/>
              </w:rPr>
            </w:pPr>
          </w:p>
        </w:tc>
      </w:tr>
      <w:tr w:rsidR="00725D44" w:rsidRPr="0068316D" w:rsidTr="004955B3">
        <w:trPr>
          <w:trHeight w:val="296"/>
        </w:trPr>
        <w:tc>
          <w:tcPr>
            <w:tcW w:w="3701" w:type="dxa"/>
            <w:tcBorders>
              <w:top w:val="nil"/>
              <w:left w:val="nil"/>
              <w:bottom w:val="single" w:sz="4" w:space="0" w:color="auto"/>
              <w:right w:val="nil"/>
            </w:tcBorders>
            <w:shd w:val="clear" w:color="000000" w:fill="FFFFFF"/>
            <w:noWrap/>
            <w:vAlign w:val="bottom"/>
            <w:hideMark/>
          </w:tcPr>
          <w:p w:rsidR="00725D44" w:rsidRPr="0068316D" w:rsidRDefault="00725D44" w:rsidP="00415EE4">
            <w:pPr>
              <w:spacing w:before="0" w:after="0" w:line="240" w:lineRule="auto"/>
              <w:rPr>
                <w:b/>
                <w:bCs/>
                <w:color w:val="000000"/>
                <w:lang w:eastAsia="en-GB"/>
              </w:rPr>
            </w:pPr>
            <w:r w:rsidRPr="0068316D">
              <w:rPr>
                <w:b/>
                <w:bCs/>
                <w:color w:val="000000"/>
                <w:lang w:eastAsia="en-GB"/>
              </w:rPr>
              <w:t>Total</w:t>
            </w:r>
          </w:p>
        </w:tc>
        <w:tc>
          <w:tcPr>
            <w:tcW w:w="1278" w:type="dxa"/>
            <w:tcBorders>
              <w:top w:val="nil"/>
              <w:left w:val="nil"/>
              <w:bottom w:val="single" w:sz="4" w:space="0" w:color="auto"/>
              <w:right w:val="nil"/>
            </w:tcBorders>
            <w:shd w:val="clear" w:color="auto" w:fill="auto"/>
            <w:noWrap/>
            <w:vAlign w:val="bottom"/>
            <w:hideMark/>
          </w:tcPr>
          <w:p w:rsidR="00725D44" w:rsidRPr="0068316D" w:rsidRDefault="00725D44" w:rsidP="00415EE4">
            <w:pPr>
              <w:spacing w:before="0" w:after="0" w:line="240" w:lineRule="auto"/>
              <w:rPr>
                <w:b/>
                <w:bCs/>
                <w:color w:val="000000"/>
                <w:lang w:eastAsia="en-GB"/>
              </w:rPr>
            </w:pPr>
            <w:r w:rsidRPr="0068316D">
              <w:rPr>
                <w:b/>
                <w:bCs/>
                <w:color w:val="000000"/>
                <w:lang w:eastAsia="en-GB"/>
              </w:rPr>
              <w:t> </w:t>
            </w:r>
          </w:p>
        </w:tc>
        <w:tc>
          <w:tcPr>
            <w:tcW w:w="2042" w:type="dxa"/>
            <w:tcBorders>
              <w:top w:val="nil"/>
              <w:left w:val="nil"/>
              <w:bottom w:val="single" w:sz="4" w:space="0" w:color="auto"/>
              <w:right w:val="nil"/>
            </w:tcBorders>
            <w:shd w:val="clear" w:color="auto" w:fill="auto"/>
            <w:noWrap/>
            <w:vAlign w:val="bottom"/>
            <w:hideMark/>
          </w:tcPr>
          <w:p w:rsidR="00725D44" w:rsidRPr="00725D44" w:rsidRDefault="00992E9F" w:rsidP="00725D44">
            <w:pPr>
              <w:spacing w:before="0" w:after="0"/>
              <w:jc w:val="right"/>
              <w:rPr>
                <w:b/>
                <w:bCs/>
                <w:color w:val="000000"/>
                <w:szCs w:val="24"/>
              </w:rPr>
            </w:pPr>
            <w:r>
              <w:rPr>
                <w:b/>
                <w:bCs/>
                <w:color w:val="000000"/>
                <w:szCs w:val="24"/>
              </w:rPr>
              <w:t>356,514</w:t>
            </w:r>
          </w:p>
        </w:tc>
        <w:tc>
          <w:tcPr>
            <w:tcW w:w="2074" w:type="dxa"/>
            <w:tcBorders>
              <w:top w:val="nil"/>
              <w:left w:val="nil"/>
              <w:bottom w:val="single" w:sz="4" w:space="0" w:color="auto"/>
              <w:right w:val="nil"/>
            </w:tcBorders>
            <w:shd w:val="clear" w:color="auto" w:fill="auto"/>
            <w:noWrap/>
            <w:vAlign w:val="bottom"/>
            <w:hideMark/>
          </w:tcPr>
          <w:p w:rsidR="00725D44" w:rsidRPr="00725D44" w:rsidRDefault="00725D44" w:rsidP="00725D44">
            <w:pPr>
              <w:spacing w:before="0" w:after="0"/>
              <w:jc w:val="right"/>
              <w:rPr>
                <w:b/>
                <w:bCs/>
                <w:i/>
                <w:iCs/>
                <w:color w:val="000000"/>
                <w:szCs w:val="24"/>
              </w:rPr>
            </w:pPr>
            <w:r w:rsidRPr="00725D44">
              <w:rPr>
                <w:b/>
                <w:bCs/>
                <w:i/>
                <w:iCs/>
                <w:color w:val="000000"/>
                <w:szCs w:val="24"/>
              </w:rPr>
              <w:t>100</w:t>
            </w:r>
          </w:p>
        </w:tc>
      </w:tr>
    </w:tbl>
    <w:p w:rsidR="00415EE4" w:rsidRDefault="00415EE4" w:rsidP="00415EE4">
      <w:pPr>
        <w:spacing w:before="0" w:after="0" w:line="270" w:lineRule="atLeast"/>
        <w:jc w:val="both"/>
        <w:rPr>
          <w:b/>
          <w:bCs/>
        </w:rPr>
      </w:pPr>
    </w:p>
    <w:p w:rsidR="001727AB" w:rsidRDefault="00415EE4" w:rsidP="00415EE4">
      <w:pPr>
        <w:spacing w:before="0" w:after="0" w:line="270" w:lineRule="atLeast"/>
        <w:jc w:val="both"/>
        <w:rPr>
          <w:bCs/>
          <w:sz w:val="21"/>
          <w:szCs w:val="21"/>
        </w:rPr>
      </w:pPr>
      <w:r w:rsidRPr="003D6AAC">
        <w:rPr>
          <w:bCs/>
          <w:sz w:val="21"/>
          <w:szCs w:val="21"/>
          <w:vertAlign w:val="superscript"/>
        </w:rPr>
        <w:t>1</w:t>
      </w:r>
      <w:r w:rsidRPr="003D6AAC">
        <w:rPr>
          <w:bCs/>
          <w:sz w:val="21"/>
          <w:szCs w:val="21"/>
        </w:rPr>
        <w:t xml:space="preserve"> Percentage of Assessments is calculated only for those Assessments where tenure is known.</w:t>
      </w:r>
    </w:p>
    <w:p w:rsidR="00992E9F" w:rsidRDefault="00992E9F" w:rsidP="00415EE4">
      <w:pPr>
        <w:spacing w:before="0" w:after="0" w:line="270" w:lineRule="atLeast"/>
        <w:jc w:val="both"/>
        <w:rPr>
          <w:bCs/>
          <w:sz w:val="21"/>
          <w:szCs w:val="21"/>
        </w:rPr>
      </w:pPr>
    </w:p>
    <w:p w:rsidR="00415EE4" w:rsidRPr="001727AB" w:rsidRDefault="00C351B2" w:rsidP="00415EE4">
      <w:pPr>
        <w:spacing w:before="0" w:after="0" w:line="270" w:lineRule="atLeast"/>
        <w:jc w:val="both"/>
        <w:rPr>
          <w:bCs/>
          <w:sz w:val="21"/>
          <w:szCs w:val="21"/>
        </w:rPr>
      </w:pPr>
      <w:r w:rsidRPr="00A3359E">
        <w:rPr>
          <w:b/>
          <w:bCs/>
        </w:rPr>
        <w:lastRenderedPageBreak/>
        <w:t>Table 1.4</w:t>
      </w:r>
      <w:r w:rsidR="00415EE4" w:rsidRPr="00A3359E">
        <w:rPr>
          <w:b/>
          <w:bCs/>
        </w:rPr>
        <w:t xml:space="preserve">: Number of Green Deal Assessments by whether property is on or off the Mains Gas Grid, up to </w:t>
      </w:r>
      <w:r w:rsidR="007E138E" w:rsidRPr="00A3359E">
        <w:rPr>
          <w:b/>
          <w:bCs/>
        </w:rPr>
        <w:t xml:space="preserve">30th </w:t>
      </w:r>
      <w:r w:rsidR="001727AB" w:rsidRPr="00A3359E">
        <w:rPr>
          <w:b/>
          <w:bCs/>
        </w:rPr>
        <w:t>September</w:t>
      </w:r>
      <w:r w:rsidR="002F723B" w:rsidRPr="00A3359E">
        <w:rPr>
          <w:b/>
          <w:bCs/>
        </w:rPr>
        <w:t xml:space="preserve"> 2014</w:t>
      </w:r>
      <w:r w:rsidR="00415EE4" w:rsidRPr="00A3359E">
        <w:rPr>
          <w:b/>
          <w:bCs/>
        </w:rPr>
        <w:t xml:space="preserve">, </w:t>
      </w:r>
      <w:r w:rsidR="008F084B" w:rsidRPr="00A3359E">
        <w:rPr>
          <w:b/>
          <w:bCs/>
        </w:rPr>
        <w:t>Great Britain</w:t>
      </w:r>
    </w:p>
    <w:p w:rsidR="00415EE4" w:rsidRDefault="00415EE4" w:rsidP="00415EE4">
      <w:pPr>
        <w:spacing w:before="0" w:after="0" w:line="270" w:lineRule="atLeast"/>
        <w:rPr>
          <w:b/>
          <w:bCs/>
          <w:highlight w:val="yellow"/>
        </w:rPr>
      </w:pPr>
    </w:p>
    <w:tbl>
      <w:tblPr>
        <w:tblW w:w="9654" w:type="dxa"/>
        <w:tblInd w:w="93" w:type="dxa"/>
        <w:tblLook w:val="04A0" w:firstRow="1" w:lastRow="0" w:firstColumn="1" w:lastColumn="0" w:noHBand="0" w:noVBand="1"/>
      </w:tblPr>
      <w:tblGrid>
        <w:gridCol w:w="4955"/>
        <w:gridCol w:w="578"/>
        <w:gridCol w:w="1817"/>
        <w:gridCol w:w="2304"/>
      </w:tblGrid>
      <w:tr w:rsidR="00415EE4" w:rsidRPr="003A3ED6" w:rsidTr="00596CB9">
        <w:trPr>
          <w:trHeight w:val="574"/>
        </w:trPr>
        <w:tc>
          <w:tcPr>
            <w:tcW w:w="5533" w:type="dxa"/>
            <w:gridSpan w:val="2"/>
            <w:tcBorders>
              <w:top w:val="single" w:sz="4" w:space="0" w:color="auto"/>
              <w:left w:val="nil"/>
              <w:bottom w:val="single" w:sz="4" w:space="0" w:color="auto"/>
              <w:right w:val="nil"/>
            </w:tcBorders>
            <w:shd w:val="clear" w:color="auto" w:fill="auto"/>
            <w:noWrap/>
            <w:vAlign w:val="center"/>
            <w:hideMark/>
          </w:tcPr>
          <w:p w:rsidR="00415EE4" w:rsidRPr="003A3ED6" w:rsidRDefault="00415EE4" w:rsidP="00415EE4">
            <w:pPr>
              <w:spacing w:before="0" w:after="0" w:line="240" w:lineRule="auto"/>
              <w:rPr>
                <w:color w:val="000000"/>
                <w:lang w:eastAsia="en-GB"/>
              </w:rPr>
            </w:pPr>
            <w:r w:rsidRPr="003A3ED6">
              <w:rPr>
                <w:color w:val="000000"/>
                <w:lang w:eastAsia="en-GB"/>
              </w:rPr>
              <w:t>Properties by whether on or off Mains Gas Grid</w:t>
            </w:r>
          </w:p>
        </w:tc>
        <w:tc>
          <w:tcPr>
            <w:tcW w:w="1817" w:type="dxa"/>
            <w:tcBorders>
              <w:top w:val="single" w:sz="4" w:space="0" w:color="auto"/>
              <w:left w:val="nil"/>
              <w:bottom w:val="single" w:sz="4" w:space="0" w:color="auto"/>
              <w:right w:val="nil"/>
            </w:tcBorders>
            <w:shd w:val="clear" w:color="auto" w:fill="auto"/>
            <w:vAlign w:val="bottom"/>
            <w:hideMark/>
          </w:tcPr>
          <w:p w:rsidR="00415EE4" w:rsidRPr="003A3ED6" w:rsidRDefault="00415EE4" w:rsidP="00415EE4">
            <w:pPr>
              <w:spacing w:before="0" w:after="0" w:line="240" w:lineRule="auto"/>
              <w:jc w:val="right"/>
              <w:rPr>
                <w:color w:val="000000"/>
                <w:lang w:eastAsia="en-GB"/>
              </w:rPr>
            </w:pPr>
            <w:r w:rsidRPr="003A3ED6">
              <w:rPr>
                <w:color w:val="000000"/>
                <w:lang w:eastAsia="en-GB"/>
              </w:rPr>
              <w:t>Green Deal Assessments</w:t>
            </w:r>
          </w:p>
        </w:tc>
        <w:tc>
          <w:tcPr>
            <w:tcW w:w="2304" w:type="dxa"/>
            <w:tcBorders>
              <w:top w:val="single" w:sz="4" w:space="0" w:color="auto"/>
              <w:left w:val="nil"/>
              <w:bottom w:val="single" w:sz="4" w:space="0" w:color="auto"/>
              <w:right w:val="nil"/>
            </w:tcBorders>
            <w:shd w:val="clear" w:color="auto" w:fill="auto"/>
            <w:vAlign w:val="bottom"/>
            <w:hideMark/>
          </w:tcPr>
          <w:p w:rsidR="00415EE4" w:rsidRPr="003A3ED6" w:rsidRDefault="00596CB9" w:rsidP="00415EE4">
            <w:pPr>
              <w:spacing w:before="0" w:after="0" w:line="240" w:lineRule="auto"/>
              <w:jc w:val="right"/>
              <w:rPr>
                <w:color w:val="000000"/>
                <w:lang w:eastAsia="en-GB"/>
              </w:rPr>
            </w:pPr>
            <w:r>
              <w:rPr>
                <w:color w:val="000000"/>
                <w:lang w:eastAsia="en-GB"/>
              </w:rPr>
              <w:t xml:space="preserve">Valid </w:t>
            </w:r>
            <w:r w:rsidR="00415EE4" w:rsidRPr="003A3ED6">
              <w:rPr>
                <w:color w:val="000000"/>
                <w:lang w:eastAsia="en-GB"/>
              </w:rPr>
              <w:t>Percentage</w:t>
            </w:r>
            <w:r w:rsidRPr="00596CB9">
              <w:rPr>
                <w:color w:val="000000"/>
                <w:vertAlign w:val="superscript"/>
                <w:lang w:eastAsia="en-GB"/>
              </w:rPr>
              <w:t>1</w:t>
            </w:r>
            <w:r w:rsidR="00415EE4" w:rsidRPr="003A3ED6">
              <w:rPr>
                <w:color w:val="000000"/>
                <w:lang w:eastAsia="en-GB"/>
              </w:rPr>
              <w:t xml:space="preserve"> of Assessments</w:t>
            </w:r>
          </w:p>
        </w:tc>
      </w:tr>
      <w:tr w:rsidR="00725D44" w:rsidRPr="003A3ED6" w:rsidTr="00596CB9">
        <w:trPr>
          <w:trHeight w:val="295"/>
        </w:trPr>
        <w:tc>
          <w:tcPr>
            <w:tcW w:w="4955" w:type="dxa"/>
            <w:tcBorders>
              <w:top w:val="nil"/>
              <w:left w:val="nil"/>
              <w:bottom w:val="nil"/>
              <w:right w:val="nil"/>
            </w:tcBorders>
            <w:shd w:val="clear" w:color="auto" w:fill="auto"/>
            <w:noWrap/>
            <w:vAlign w:val="bottom"/>
            <w:hideMark/>
          </w:tcPr>
          <w:p w:rsidR="00725D44" w:rsidRPr="003A3ED6" w:rsidRDefault="00725D44" w:rsidP="00415EE4">
            <w:pPr>
              <w:spacing w:before="0" w:after="0" w:line="240" w:lineRule="auto"/>
              <w:rPr>
                <w:color w:val="000000"/>
                <w:lang w:eastAsia="en-GB"/>
              </w:rPr>
            </w:pPr>
            <w:r w:rsidRPr="003A3ED6">
              <w:rPr>
                <w:color w:val="000000"/>
                <w:lang w:eastAsia="en-GB"/>
              </w:rPr>
              <w:t>Off Gas</w:t>
            </w:r>
          </w:p>
        </w:tc>
        <w:tc>
          <w:tcPr>
            <w:tcW w:w="578" w:type="dxa"/>
            <w:tcBorders>
              <w:top w:val="nil"/>
              <w:left w:val="nil"/>
              <w:bottom w:val="nil"/>
              <w:right w:val="nil"/>
            </w:tcBorders>
            <w:shd w:val="clear" w:color="auto" w:fill="auto"/>
            <w:noWrap/>
            <w:vAlign w:val="bottom"/>
            <w:hideMark/>
          </w:tcPr>
          <w:p w:rsidR="00725D44" w:rsidRPr="003A3ED6" w:rsidRDefault="00725D44"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725D44" w:rsidRPr="00725D44" w:rsidRDefault="00A3359E" w:rsidP="00725D44">
            <w:pPr>
              <w:spacing w:before="0" w:after="0"/>
              <w:jc w:val="right"/>
              <w:rPr>
                <w:color w:val="000000"/>
                <w:szCs w:val="24"/>
              </w:rPr>
            </w:pPr>
            <w:r>
              <w:rPr>
                <w:color w:val="000000"/>
                <w:szCs w:val="24"/>
              </w:rPr>
              <w:t>52,214</w:t>
            </w:r>
          </w:p>
        </w:tc>
        <w:tc>
          <w:tcPr>
            <w:tcW w:w="2304" w:type="dxa"/>
            <w:tcBorders>
              <w:top w:val="nil"/>
              <w:left w:val="nil"/>
              <w:bottom w:val="nil"/>
              <w:right w:val="nil"/>
            </w:tcBorders>
            <w:shd w:val="clear" w:color="auto" w:fill="auto"/>
            <w:noWrap/>
            <w:vAlign w:val="bottom"/>
            <w:hideMark/>
          </w:tcPr>
          <w:p w:rsidR="00725D44" w:rsidRPr="00725D44" w:rsidRDefault="00A3359E" w:rsidP="00725D44">
            <w:pPr>
              <w:spacing w:before="0" w:after="0"/>
              <w:jc w:val="right"/>
              <w:rPr>
                <w:i/>
                <w:iCs/>
                <w:color w:val="000000"/>
                <w:szCs w:val="24"/>
              </w:rPr>
            </w:pPr>
            <w:r>
              <w:rPr>
                <w:i/>
                <w:iCs/>
                <w:color w:val="000000"/>
                <w:szCs w:val="24"/>
              </w:rPr>
              <w:t>15</w:t>
            </w:r>
          </w:p>
        </w:tc>
      </w:tr>
      <w:tr w:rsidR="00725D44" w:rsidRPr="003A3ED6" w:rsidTr="00596CB9">
        <w:trPr>
          <w:trHeight w:val="295"/>
        </w:trPr>
        <w:tc>
          <w:tcPr>
            <w:tcW w:w="4955" w:type="dxa"/>
            <w:tcBorders>
              <w:top w:val="nil"/>
              <w:left w:val="nil"/>
              <w:bottom w:val="nil"/>
              <w:right w:val="nil"/>
            </w:tcBorders>
            <w:shd w:val="clear" w:color="auto" w:fill="auto"/>
            <w:noWrap/>
            <w:vAlign w:val="bottom"/>
            <w:hideMark/>
          </w:tcPr>
          <w:p w:rsidR="00725D44" w:rsidRPr="003A3ED6" w:rsidRDefault="00725D44" w:rsidP="00415EE4">
            <w:pPr>
              <w:spacing w:before="0" w:after="0" w:line="240" w:lineRule="auto"/>
              <w:rPr>
                <w:color w:val="000000"/>
                <w:lang w:eastAsia="en-GB"/>
              </w:rPr>
            </w:pPr>
            <w:r w:rsidRPr="003A3ED6">
              <w:rPr>
                <w:color w:val="000000"/>
                <w:lang w:eastAsia="en-GB"/>
              </w:rPr>
              <w:t>On Gas</w:t>
            </w:r>
          </w:p>
        </w:tc>
        <w:tc>
          <w:tcPr>
            <w:tcW w:w="578" w:type="dxa"/>
            <w:tcBorders>
              <w:top w:val="nil"/>
              <w:left w:val="nil"/>
              <w:bottom w:val="nil"/>
              <w:right w:val="nil"/>
            </w:tcBorders>
            <w:shd w:val="clear" w:color="auto" w:fill="auto"/>
            <w:noWrap/>
            <w:vAlign w:val="bottom"/>
            <w:hideMark/>
          </w:tcPr>
          <w:p w:rsidR="00725D44" w:rsidRPr="003A3ED6" w:rsidRDefault="00725D44"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725D44" w:rsidRPr="00725D44" w:rsidRDefault="00A3359E" w:rsidP="00725D44">
            <w:pPr>
              <w:spacing w:before="0" w:after="0"/>
              <w:jc w:val="right"/>
              <w:rPr>
                <w:color w:val="000000"/>
                <w:szCs w:val="24"/>
              </w:rPr>
            </w:pPr>
            <w:r>
              <w:rPr>
                <w:color w:val="000000"/>
                <w:szCs w:val="24"/>
              </w:rPr>
              <w:t>303,791</w:t>
            </w:r>
          </w:p>
        </w:tc>
        <w:tc>
          <w:tcPr>
            <w:tcW w:w="2304" w:type="dxa"/>
            <w:tcBorders>
              <w:top w:val="nil"/>
              <w:left w:val="nil"/>
              <w:bottom w:val="nil"/>
              <w:right w:val="nil"/>
            </w:tcBorders>
            <w:shd w:val="clear" w:color="auto" w:fill="auto"/>
            <w:noWrap/>
            <w:vAlign w:val="bottom"/>
            <w:hideMark/>
          </w:tcPr>
          <w:p w:rsidR="00725D44" w:rsidRPr="00725D44" w:rsidRDefault="00A3359E" w:rsidP="00725D44">
            <w:pPr>
              <w:spacing w:before="0" w:after="0"/>
              <w:jc w:val="right"/>
              <w:rPr>
                <w:i/>
                <w:iCs/>
                <w:color w:val="000000"/>
                <w:szCs w:val="24"/>
              </w:rPr>
            </w:pPr>
            <w:r>
              <w:rPr>
                <w:i/>
                <w:iCs/>
                <w:color w:val="000000"/>
                <w:szCs w:val="24"/>
              </w:rPr>
              <w:t>85</w:t>
            </w:r>
          </w:p>
        </w:tc>
      </w:tr>
      <w:tr w:rsidR="00725D44" w:rsidRPr="003A3ED6" w:rsidTr="00E01370">
        <w:trPr>
          <w:trHeight w:val="112"/>
        </w:trPr>
        <w:tc>
          <w:tcPr>
            <w:tcW w:w="4955" w:type="dxa"/>
            <w:tcBorders>
              <w:top w:val="nil"/>
              <w:left w:val="nil"/>
              <w:bottom w:val="nil"/>
              <w:right w:val="nil"/>
            </w:tcBorders>
            <w:shd w:val="clear" w:color="auto" w:fill="auto"/>
            <w:noWrap/>
            <w:vAlign w:val="bottom"/>
            <w:hideMark/>
          </w:tcPr>
          <w:p w:rsidR="00725D44" w:rsidRPr="003A3ED6" w:rsidRDefault="00725D44" w:rsidP="00415EE4">
            <w:pPr>
              <w:spacing w:before="0" w:after="0" w:line="240" w:lineRule="auto"/>
              <w:rPr>
                <w:color w:val="000000"/>
                <w:lang w:eastAsia="en-GB"/>
              </w:rPr>
            </w:pPr>
          </w:p>
        </w:tc>
        <w:tc>
          <w:tcPr>
            <w:tcW w:w="578" w:type="dxa"/>
            <w:tcBorders>
              <w:top w:val="nil"/>
              <w:left w:val="nil"/>
              <w:bottom w:val="nil"/>
              <w:right w:val="nil"/>
            </w:tcBorders>
            <w:shd w:val="clear" w:color="auto" w:fill="auto"/>
            <w:noWrap/>
            <w:vAlign w:val="bottom"/>
            <w:hideMark/>
          </w:tcPr>
          <w:p w:rsidR="00725D44" w:rsidRPr="003A3ED6" w:rsidRDefault="00725D44"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725D44" w:rsidRPr="00725D44" w:rsidRDefault="00725D44" w:rsidP="00725D44">
            <w:pPr>
              <w:spacing w:before="0" w:after="0"/>
              <w:rPr>
                <w:color w:val="000000"/>
                <w:szCs w:val="24"/>
              </w:rPr>
            </w:pPr>
          </w:p>
        </w:tc>
        <w:tc>
          <w:tcPr>
            <w:tcW w:w="2304" w:type="dxa"/>
            <w:tcBorders>
              <w:top w:val="nil"/>
              <w:left w:val="nil"/>
              <w:bottom w:val="nil"/>
              <w:right w:val="nil"/>
            </w:tcBorders>
            <w:shd w:val="clear" w:color="auto" w:fill="auto"/>
            <w:noWrap/>
            <w:vAlign w:val="bottom"/>
            <w:hideMark/>
          </w:tcPr>
          <w:p w:rsidR="00725D44" w:rsidRPr="00725D44" w:rsidRDefault="00725D44" w:rsidP="00725D44">
            <w:pPr>
              <w:spacing w:before="0" w:after="0"/>
              <w:rPr>
                <w:i/>
                <w:iCs/>
                <w:color w:val="000000"/>
                <w:szCs w:val="24"/>
              </w:rPr>
            </w:pPr>
          </w:p>
        </w:tc>
      </w:tr>
      <w:tr w:rsidR="00725D44" w:rsidRPr="00241F1B" w:rsidTr="00596CB9">
        <w:trPr>
          <w:trHeight w:val="295"/>
        </w:trPr>
        <w:tc>
          <w:tcPr>
            <w:tcW w:w="4955" w:type="dxa"/>
            <w:tcBorders>
              <w:top w:val="nil"/>
              <w:left w:val="nil"/>
              <w:bottom w:val="nil"/>
              <w:right w:val="nil"/>
            </w:tcBorders>
            <w:shd w:val="clear" w:color="auto" w:fill="auto"/>
            <w:noWrap/>
            <w:vAlign w:val="bottom"/>
            <w:hideMark/>
          </w:tcPr>
          <w:p w:rsidR="00725D44" w:rsidRPr="003A3ED6" w:rsidRDefault="00725D44" w:rsidP="006530A9">
            <w:pPr>
              <w:spacing w:before="0" w:after="0" w:line="240" w:lineRule="auto"/>
              <w:rPr>
                <w:color w:val="000000"/>
                <w:lang w:eastAsia="en-GB"/>
              </w:rPr>
            </w:pPr>
            <w:r>
              <w:rPr>
                <w:color w:val="000000"/>
                <w:lang w:eastAsia="en-GB"/>
              </w:rPr>
              <w:t>Unknown</w:t>
            </w:r>
          </w:p>
        </w:tc>
        <w:tc>
          <w:tcPr>
            <w:tcW w:w="578" w:type="dxa"/>
            <w:tcBorders>
              <w:top w:val="nil"/>
              <w:left w:val="nil"/>
              <w:bottom w:val="nil"/>
              <w:right w:val="nil"/>
            </w:tcBorders>
            <w:shd w:val="clear" w:color="auto" w:fill="auto"/>
            <w:noWrap/>
            <w:vAlign w:val="bottom"/>
            <w:hideMark/>
          </w:tcPr>
          <w:p w:rsidR="00725D44" w:rsidRPr="003A3ED6" w:rsidRDefault="00725D44" w:rsidP="006530A9">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725D44" w:rsidRPr="00725D44" w:rsidRDefault="00A3359E" w:rsidP="00725D44">
            <w:pPr>
              <w:spacing w:before="0" w:after="0"/>
              <w:jc w:val="right"/>
              <w:rPr>
                <w:color w:val="000000"/>
                <w:szCs w:val="24"/>
              </w:rPr>
            </w:pPr>
            <w:r>
              <w:rPr>
                <w:color w:val="000000"/>
                <w:szCs w:val="24"/>
              </w:rPr>
              <w:t>509</w:t>
            </w:r>
          </w:p>
        </w:tc>
        <w:tc>
          <w:tcPr>
            <w:tcW w:w="2304" w:type="dxa"/>
            <w:tcBorders>
              <w:top w:val="nil"/>
              <w:left w:val="nil"/>
              <w:bottom w:val="nil"/>
              <w:right w:val="nil"/>
            </w:tcBorders>
            <w:shd w:val="clear" w:color="auto" w:fill="auto"/>
            <w:noWrap/>
            <w:vAlign w:val="bottom"/>
            <w:hideMark/>
          </w:tcPr>
          <w:p w:rsidR="00725D44" w:rsidRPr="00725D44" w:rsidRDefault="003D3CD9" w:rsidP="003D3CD9">
            <w:pPr>
              <w:spacing w:before="0" w:after="0"/>
              <w:jc w:val="right"/>
              <w:rPr>
                <w:i/>
                <w:iCs/>
                <w:color w:val="000000"/>
                <w:szCs w:val="24"/>
              </w:rPr>
            </w:pPr>
            <w:r>
              <w:rPr>
                <w:i/>
                <w:iCs/>
                <w:color w:val="000000"/>
                <w:szCs w:val="24"/>
              </w:rPr>
              <w:t>-</w:t>
            </w:r>
          </w:p>
        </w:tc>
      </w:tr>
      <w:tr w:rsidR="00725D44" w:rsidRPr="003A3ED6" w:rsidTr="00A35AB9">
        <w:trPr>
          <w:trHeight w:val="132"/>
        </w:trPr>
        <w:tc>
          <w:tcPr>
            <w:tcW w:w="4955" w:type="dxa"/>
            <w:tcBorders>
              <w:top w:val="nil"/>
              <w:left w:val="nil"/>
              <w:bottom w:val="nil"/>
              <w:right w:val="nil"/>
            </w:tcBorders>
            <w:shd w:val="clear" w:color="auto" w:fill="auto"/>
            <w:noWrap/>
            <w:vAlign w:val="bottom"/>
          </w:tcPr>
          <w:p w:rsidR="00725D44" w:rsidRPr="003A3ED6" w:rsidRDefault="00725D44" w:rsidP="00415EE4">
            <w:pPr>
              <w:spacing w:before="0" w:after="0" w:line="240" w:lineRule="auto"/>
              <w:rPr>
                <w:color w:val="000000"/>
                <w:lang w:eastAsia="en-GB"/>
              </w:rPr>
            </w:pPr>
          </w:p>
        </w:tc>
        <w:tc>
          <w:tcPr>
            <w:tcW w:w="578" w:type="dxa"/>
            <w:tcBorders>
              <w:top w:val="nil"/>
              <w:left w:val="nil"/>
              <w:bottom w:val="nil"/>
              <w:right w:val="nil"/>
            </w:tcBorders>
            <w:shd w:val="clear" w:color="auto" w:fill="auto"/>
            <w:noWrap/>
            <w:vAlign w:val="bottom"/>
          </w:tcPr>
          <w:p w:rsidR="00725D44" w:rsidRPr="003A3ED6" w:rsidRDefault="00725D44"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tcPr>
          <w:p w:rsidR="00725D44" w:rsidRPr="00725D44" w:rsidRDefault="00725D44" w:rsidP="00725D44">
            <w:pPr>
              <w:spacing w:before="0" w:after="0"/>
              <w:rPr>
                <w:color w:val="000000"/>
                <w:szCs w:val="24"/>
              </w:rPr>
            </w:pPr>
          </w:p>
        </w:tc>
        <w:tc>
          <w:tcPr>
            <w:tcW w:w="2304" w:type="dxa"/>
            <w:tcBorders>
              <w:top w:val="nil"/>
              <w:left w:val="nil"/>
              <w:bottom w:val="nil"/>
              <w:right w:val="nil"/>
            </w:tcBorders>
            <w:shd w:val="clear" w:color="auto" w:fill="auto"/>
            <w:noWrap/>
            <w:vAlign w:val="bottom"/>
          </w:tcPr>
          <w:p w:rsidR="00725D44" w:rsidRPr="00725D44" w:rsidRDefault="00725D44" w:rsidP="00725D44">
            <w:pPr>
              <w:spacing w:before="0" w:after="0"/>
              <w:rPr>
                <w:color w:val="000000"/>
                <w:szCs w:val="24"/>
              </w:rPr>
            </w:pPr>
          </w:p>
        </w:tc>
      </w:tr>
      <w:tr w:rsidR="00725D44" w:rsidRPr="003A3ED6" w:rsidTr="00596CB9">
        <w:trPr>
          <w:trHeight w:val="310"/>
        </w:trPr>
        <w:tc>
          <w:tcPr>
            <w:tcW w:w="4955" w:type="dxa"/>
            <w:tcBorders>
              <w:top w:val="nil"/>
              <w:left w:val="nil"/>
              <w:bottom w:val="single" w:sz="4" w:space="0" w:color="auto"/>
              <w:right w:val="nil"/>
            </w:tcBorders>
            <w:shd w:val="clear" w:color="000000" w:fill="FFFFFF"/>
            <w:noWrap/>
            <w:vAlign w:val="bottom"/>
            <w:hideMark/>
          </w:tcPr>
          <w:p w:rsidR="00725D44" w:rsidRPr="003A3ED6" w:rsidRDefault="00725D44" w:rsidP="00415EE4">
            <w:pPr>
              <w:spacing w:before="0" w:after="0" w:line="240" w:lineRule="auto"/>
              <w:rPr>
                <w:b/>
                <w:bCs/>
                <w:color w:val="000000"/>
                <w:lang w:eastAsia="en-GB"/>
              </w:rPr>
            </w:pPr>
            <w:r w:rsidRPr="003A3ED6">
              <w:rPr>
                <w:b/>
                <w:bCs/>
                <w:color w:val="000000"/>
                <w:lang w:eastAsia="en-GB"/>
              </w:rPr>
              <w:t>Total</w:t>
            </w:r>
          </w:p>
        </w:tc>
        <w:tc>
          <w:tcPr>
            <w:tcW w:w="578" w:type="dxa"/>
            <w:tcBorders>
              <w:top w:val="nil"/>
              <w:left w:val="nil"/>
              <w:bottom w:val="single" w:sz="4" w:space="0" w:color="auto"/>
              <w:right w:val="nil"/>
            </w:tcBorders>
            <w:shd w:val="clear" w:color="auto" w:fill="auto"/>
            <w:noWrap/>
            <w:vAlign w:val="bottom"/>
            <w:hideMark/>
          </w:tcPr>
          <w:p w:rsidR="00725D44" w:rsidRPr="003A3ED6" w:rsidRDefault="00725D44" w:rsidP="00415EE4">
            <w:pPr>
              <w:spacing w:before="0" w:after="0" w:line="240" w:lineRule="auto"/>
              <w:rPr>
                <w:b/>
                <w:bCs/>
                <w:color w:val="000000"/>
                <w:lang w:eastAsia="en-GB"/>
              </w:rPr>
            </w:pPr>
            <w:r w:rsidRPr="003A3ED6">
              <w:rPr>
                <w:b/>
                <w:bCs/>
                <w:color w:val="000000"/>
                <w:lang w:eastAsia="en-GB"/>
              </w:rPr>
              <w:t> </w:t>
            </w:r>
          </w:p>
        </w:tc>
        <w:tc>
          <w:tcPr>
            <w:tcW w:w="1817" w:type="dxa"/>
            <w:tcBorders>
              <w:top w:val="nil"/>
              <w:left w:val="nil"/>
              <w:bottom w:val="single" w:sz="4" w:space="0" w:color="auto"/>
              <w:right w:val="nil"/>
            </w:tcBorders>
            <w:shd w:val="clear" w:color="auto" w:fill="auto"/>
            <w:noWrap/>
            <w:vAlign w:val="bottom"/>
            <w:hideMark/>
          </w:tcPr>
          <w:p w:rsidR="00725D44" w:rsidRPr="00725D44" w:rsidRDefault="00A3359E" w:rsidP="00725D44">
            <w:pPr>
              <w:spacing w:before="0" w:after="0"/>
              <w:jc w:val="right"/>
              <w:rPr>
                <w:b/>
                <w:bCs/>
                <w:color w:val="000000"/>
                <w:szCs w:val="24"/>
              </w:rPr>
            </w:pPr>
            <w:r>
              <w:rPr>
                <w:b/>
                <w:bCs/>
                <w:color w:val="000000"/>
                <w:szCs w:val="24"/>
              </w:rPr>
              <w:t>356,514</w:t>
            </w:r>
          </w:p>
        </w:tc>
        <w:tc>
          <w:tcPr>
            <w:tcW w:w="2304" w:type="dxa"/>
            <w:tcBorders>
              <w:top w:val="nil"/>
              <w:left w:val="nil"/>
              <w:bottom w:val="single" w:sz="4" w:space="0" w:color="auto"/>
              <w:right w:val="nil"/>
            </w:tcBorders>
            <w:shd w:val="clear" w:color="auto" w:fill="auto"/>
            <w:noWrap/>
            <w:vAlign w:val="bottom"/>
            <w:hideMark/>
          </w:tcPr>
          <w:p w:rsidR="00725D44" w:rsidRPr="00725D44" w:rsidRDefault="00725D44" w:rsidP="00725D44">
            <w:pPr>
              <w:spacing w:before="0" w:after="0"/>
              <w:jc w:val="right"/>
              <w:rPr>
                <w:b/>
                <w:bCs/>
                <w:i/>
                <w:iCs/>
                <w:color w:val="000000"/>
                <w:szCs w:val="24"/>
              </w:rPr>
            </w:pPr>
            <w:r w:rsidRPr="00725D44">
              <w:rPr>
                <w:b/>
                <w:bCs/>
                <w:i/>
                <w:iCs/>
                <w:color w:val="000000"/>
                <w:szCs w:val="24"/>
              </w:rPr>
              <w:t>100</w:t>
            </w:r>
          </w:p>
        </w:tc>
      </w:tr>
    </w:tbl>
    <w:p w:rsidR="003D3CD9" w:rsidRPr="00A35AB9" w:rsidRDefault="00CF3099" w:rsidP="00A35AB9">
      <w:pPr>
        <w:spacing w:after="0" w:line="270" w:lineRule="atLeast"/>
        <w:jc w:val="both"/>
        <w:rPr>
          <w:bCs/>
          <w:sz w:val="21"/>
          <w:szCs w:val="21"/>
        </w:rPr>
      </w:pPr>
      <w:r w:rsidRPr="003D6AAC">
        <w:rPr>
          <w:bCs/>
          <w:sz w:val="21"/>
          <w:szCs w:val="21"/>
          <w:vertAlign w:val="superscript"/>
        </w:rPr>
        <w:t>1</w:t>
      </w:r>
      <w:r w:rsidRPr="003D6AAC">
        <w:rPr>
          <w:bCs/>
          <w:sz w:val="21"/>
          <w:szCs w:val="21"/>
        </w:rPr>
        <w:t xml:space="preserve"> </w:t>
      </w:r>
      <w:r w:rsidRPr="00CF3099">
        <w:rPr>
          <w:bCs/>
          <w:sz w:val="20"/>
        </w:rPr>
        <w:t>Percentage of Assessments is calculated only for those Assessments where Mains Gas connection is known.</w:t>
      </w:r>
      <w:r w:rsidR="00415EE4">
        <w:rPr>
          <w:b/>
          <w:bCs/>
          <w:highlight w:val="yellow"/>
        </w:rPr>
        <w:br/>
      </w:r>
    </w:p>
    <w:p w:rsidR="003D3CD9" w:rsidRDefault="003D3CD9" w:rsidP="00415EE4">
      <w:pPr>
        <w:spacing w:before="0" w:after="0" w:line="270" w:lineRule="atLeast"/>
        <w:jc w:val="both"/>
        <w:rPr>
          <w:b/>
          <w:bCs/>
        </w:rPr>
      </w:pPr>
    </w:p>
    <w:p w:rsidR="00415EE4" w:rsidRDefault="00415EE4" w:rsidP="00415EE4">
      <w:pPr>
        <w:spacing w:before="0" w:after="0" w:line="270" w:lineRule="atLeast"/>
        <w:jc w:val="both"/>
        <w:rPr>
          <w:b/>
          <w:bCs/>
        </w:rPr>
      </w:pPr>
      <w:r w:rsidRPr="00992E9F">
        <w:rPr>
          <w:b/>
          <w:bCs/>
        </w:rPr>
        <w:t xml:space="preserve">Table </w:t>
      </w:r>
      <w:r w:rsidR="00C351B2" w:rsidRPr="00992E9F">
        <w:rPr>
          <w:b/>
          <w:bCs/>
        </w:rPr>
        <w:t>1.5</w:t>
      </w:r>
      <w:r w:rsidRPr="00992E9F">
        <w:rPr>
          <w:b/>
          <w:bCs/>
        </w:rPr>
        <w:t>: Number of improvements recommended in Green Deal Assessments</w:t>
      </w:r>
      <w:r w:rsidR="00ED2911" w:rsidRPr="00ED2911">
        <w:rPr>
          <w:b/>
          <w:bCs/>
          <w:vertAlign w:val="superscript"/>
        </w:rPr>
        <w:t>1</w:t>
      </w:r>
      <w:r w:rsidRPr="00992E9F">
        <w:rPr>
          <w:b/>
          <w:bCs/>
        </w:rPr>
        <w:t xml:space="preserve"> by measure type (grouped), up to </w:t>
      </w:r>
      <w:r w:rsidR="007E138E" w:rsidRPr="00992E9F">
        <w:rPr>
          <w:b/>
          <w:bCs/>
        </w:rPr>
        <w:t xml:space="preserve">30th </w:t>
      </w:r>
      <w:r w:rsidR="001727AB" w:rsidRPr="00992E9F">
        <w:rPr>
          <w:b/>
          <w:bCs/>
        </w:rPr>
        <w:t>September</w:t>
      </w:r>
      <w:r w:rsidR="002F723B" w:rsidRPr="00992E9F">
        <w:rPr>
          <w:b/>
          <w:bCs/>
        </w:rPr>
        <w:t xml:space="preserve"> 2014</w:t>
      </w:r>
      <w:r w:rsidRPr="00992E9F">
        <w:rPr>
          <w:b/>
          <w:bCs/>
        </w:rPr>
        <w:t xml:space="preserve">, </w:t>
      </w:r>
      <w:r w:rsidR="0056741B" w:rsidRPr="00992E9F">
        <w:rPr>
          <w:b/>
          <w:bCs/>
        </w:rPr>
        <w:t>Great Britain</w:t>
      </w:r>
    </w:p>
    <w:p w:rsidR="00415EE4" w:rsidRDefault="00415EE4" w:rsidP="00415EE4">
      <w:pPr>
        <w:spacing w:before="0" w:after="0" w:line="270" w:lineRule="atLeast"/>
        <w:rPr>
          <w:b/>
          <w:bCs/>
        </w:rPr>
      </w:pPr>
    </w:p>
    <w:tbl>
      <w:tblPr>
        <w:tblW w:w="10080" w:type="dxa"/>
        <w:tblInd w:w="93" w:type="dxa"/>
        <w:tblLook w:val="04A0" w:firstRow="1" w:lastRow="0" w:firstColumn="1" w:lastColumn="0" w:noHBand="0" w:noVBand="1"/>
      </w:tblPr>
      <w:tblGrid>
        <w:gridCol w:w="3559"/>
        <w:gridCol w:w="992"/>
        <w:gridCol w:w="3402"/>
        <w:gridCol w:w="2127"/>
      </w:tblGrid>
      <w:tr w:rsidR="00415EE4" w:rsidRPr="00115E33" w:rsidTr="00A35AB9">
        <w:trPr>
          <w:trHeight w:val="550"/>
        </w:trPr>
        <w:tc>
          <w:tcPr>
            <w:tcW w:w="3559" w:type="dxa"/>
            <w:tcBorders>
              <w:top w:val="single" w:sz="4" w:space="0" w:color="auto"/>
              <w:left w:val="nil"/>
              <w:bottom w:val="single" w:sz="4" w:space="0" w:color="auto"/>
              <w:right w:val="nil"/>
            </w:tcBorders>
            <w:shd w:val="clear" w:color="auto" w:fill="auto"/>
            <w:noWrap/>
            <w:vAlign w:val="center"/>
            <w:hideMark/>
          </w:tcPr>
          <w:p w:rsidR="00415EE4" w:rsidRPr="00115E33" w:rsidRDefault="00415EE4" w:rsidP="00415EE4">
            <w:pPr>
              <w:spacing w:before="0" w:after="0" w:line="240" w:lineRule="auto"/>
              <w:rPr>
                <w:color w:val="000000"/>
                <w:lang w:eastAsia="en-GB"/>
              </w:rPr>
            </w:pPr>
            <w:r w:rsidRPr="00115E33">
              <w:rPr>
                <w:color w:val="000000"/>
                <w:lang w:eastAsia="en-GB"/>
              </w:rPr>
              <w:t>Measure Types</w:t>
            </w:r>
          </w:p>
        </w:tc>
        <w:tc>
          <w:tcPr>
            <w:tcW w:w="992" w:type="dxa"/>
            <w:tcBorders>
              <w:top w:val="single" w:sz="4" w:space="0" w:color="auto"/>
              <w:left w:val="nil"/>
              <w:bottom w:val="single" w:sz="4" w:space="0" w:color="auto"/>
              <w:right w:val="nil"/>
            </w:tcBorders>
            <w:shd w:val="clear" w:color="auto" w:fill="auto"/>
            <w:noWrap/>
            <w:vAlign w:val="bottom"/>
            <w:hideMark/>
          </w:tcPr>
          <w:p w:rsidR="00415EE4" w:rsidRPr="00115E33" w:rsidRDefault="00415EE4" w:rsidP="00415EE4">
            <w:pPr>
              <w:spacing w:before="0" w:after="0" w:line="240" w:lineRule="auto"/>
              <w:rPr>
                <w:color w:val="000000"/>
                <w:lang w:eastAsia="en-GB"/>
              </w:rPr>
            </w:pPr>
            <w:r w:rsidRPr="00115E33">
              <w:rPr>
                <w:color w:val="000000"/>
                <w:lang w:eastAsia="en-GB"/>
              </w:rPr>
              <w:t> </w:t>
            </w:r>
          </w:p>
        </w:tc>
        <w:tc>
          <w:tcPr>
            <w:tcW w:w="3402" w:type="dxa"/>
            <w:tcBorders>
              <w:top w:val="single" w:sz="4" w:space="0" w:color="auto"/>
              <w:left w:val="nil"/>
              <w:bottom w:val="single" w:sz="4" w:space="0" w:color="auto"/>
              <w:right w:val="nil"/>
            </w:tcBorders>
            <w:shd w:val="clear" w:color="auto" w:fill="auto"/>
            <w:vAlign w:val="bottom"/>
            <w:hideMark/>
          </w:tcPr>
          <w:p w:rsidR="00415EE4" w:rsidRPr="00115E33" w:rsidRDefault="00415EE4" w:rsidP="00415EE4">
            <w:pPr>
              <w:spacing w:before="0" w:after="0" w:line="240" w:lineRule="auto"/>
              <w:jc w:val="right"/>
              <w:rPr>
                <w:color w:val="000000"/>
                <w:lang w:eastAsia="en-GB"/>
              </w:rPr>
            </w:pPr>
            <w:r w:rsidRPr="00115E33">
              <w:rPr>
                <w:color w:val="000000"/>
                <w:lang w:eastAsia="en-GB"/>
              </w:rPr>
              <w:t xml:space="preserve">Number of improvements recommended </w:t>
            </w:r>
            <w:r w:rsidR="00ED2911">
              <w:rPr>
                <w:color w:val="000000"/>
                <w:vertAlign w:val="superscript"/>
                <w:lang w:eastAsia="en-GB"/>
              </w:rPr>
              <w:t>2</w:t>
            </w:r>
          </w:p>
        </w:tc>
        <w:tc>
          <w:tcPr>
            <w:tcW w:w="2127" w:type="dxa"/>
            <w:tcBorders>
              <w:top w:val="single" w:sz="4" w:space="0" w:color="auto"/>
              <w:left w:val="nil"/>
              <w:bottom w:val="single" w:sz="4" w:space="0" w:color="auto"/>
              <w:right w:val="nil"/>
            </w:tcBorders>
            <w:shd w:val="clear" w:color="auto" w:fill="auto"/>
            <w:vAlign w:val="bottom"/>
            <w:hideMark/>
          </w:tcPr>
          <w:p w:rsidR="00415EE4" w:rsidRPr="00115E33" w:rsidRDefault="00415EE4" w:rsidP="00415EE4">
            <w:pPr>
              <w:spacing w:before="0" w:after="0" w:line="240" w:lineRule="auto"/>
              <w:jc w:val="right"/>
              <w:rPr>
                <w:color w:val="000000"/>
                <w:lang w:eastAsia="en-GB"/>
              </w:rPr>
            </w:pPr>
            <w:r w:rsidRPr="00115E33">
              <w:rPr>
                <w:color w:val="000000"/>
                <w:lang w:eastAsia="en-GB"/>
              </w:rPr>
              <w:t>Percentage of improvements recommended</w:t>
            </w:r>
          </w:p>
        </w:tc>
      </w:tr>
      <w:tr w:rsidR="00134DD5" w:rsidRPr="00115E33" w:rsidTr="00A35AB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r w:rsidRPr="00115E33">
              <w:rPr>
                <w:color w:val="000000"/>
                <w:lang w:eastAsia="en-GB"/>
              </w:rPr>
              <w:t>Boiler</w:t>
            </w:r>
          </w:p>
        </w:tc>
        <w:tc>
          <w:tcPr>
            <w:tcW w:w="992"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3402" w:type="dxa"/>
            <w:tcBorders>
              <w:top w:val="nil"/>
              <w:left w:val="nil"/>
              <w:bottom w:val="nil"/>
              <w:right w:val="nil"/>
            </w:tcBorders>
            <w:shd w:val="clear" w:color="auto" w:fill="auto"/>
            <w:noWrap/>
            <w:vAlign w:val="bottom"/>
            <w:hideMark/>
          </w:tcPr>
          <w:p w:rsidR="00134DD5" w:rsidRPr="00134DD5" w:rsidRDefault="00992E9F" w:rsidP="00134DD5">
            <w:pPr>
              <w:spacing w:before="0" w:after="0"/>
              <w:jc w:val="right"/>
              <w:rPr>
                <w:color w:val="000000"/>
                <w:szCs w:val="24"/>
              </w:rPr>
            </w:pPr>
            <w:r>
              <w:rPr>
                <w:color w:val="000000"/>
                <w:szCs w:val="24"/>
              </w:rPr>
              <w:t>119,341</w:t>
            </w:r>
          </w:p>
        </w:tc>
        <w:tc>
          <w:tcPr>
            <w:tcW w:w="2127" w:type="dxa"/>
            <w:tcBorders>
              <w:top w:val="nil"/>
              <w:left w:val="nil"/>
              <w:bottom w:val="nil"/>
              <w:right w:val="nil"/>
            </w:tcBorders>
            <w:shd w:val="clear" w:color="auto" w:fill="auto"/>
            <w:noWrap/>
            <w:vAlign w:val="bottom"/>
            <w:hideMark/>
          </w:tcPr>
          <w:p w:rsidR="00134DD5" w:rsidRPr="00134DD5" w:rsidRDefault="00992E9F" w:rsidP="00134DD5">
            <w:pPr>
              <w:spacing w:before="0" w:after="0"/>
              <w:jc w:val="right"/>
              <w:rPr>
                <w:i/>
                <w:iCs/>
                <w:color w:val="000000"/>
                <w:szCs w:val="24"/>
              </w:rPr>
            </w:pPr>
            <w:r>
              <w:rPr>
                <w:i/>
                <w:iCs/>
                <w:color w:val="000000"/>
                <w:szCs w:val="24"/>
              </w:rPr>
              <w:t>10.8</w:t>
            </w:r>
          </w:p>
        </w:tc>
      </w:tr>
      <w:tr w:rsidR="00134DD5" w:rsidRPr="00115E33" w:rsidTr="00A35AB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r w:rsidRPr="00115E33">
              <w:rPr>
                <w:color w:val="000000"/>
                <w:lang w:eastAsia="en-GB"/>
              </w:rPr>
              <w:t>Cavity Wall Insulation</w:t>
            </w:r>
          </w:p>
        </w:tc>
        <w:tc>
          <w:tcPr>
            <w:tcW w:w="992"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3402" w:type="dxa"/>
            <w:tcBorders>
              <w:top w:val="nil"/>
              <w:left w:val="nil"/>
              <w:bottom w:val="nil"/>
              <w:right w:val="nil"/>
            </w:tcBorders>
            <w:shd w:val="clear" w:color="auto" w:fill="auto"/>
            <w:noWrap/>
            <w:vAlign w:val="bottom"/>
            <w:hideMark/>
          </w:tcPr>
          <w:p w:rsidR="00134DD5" w:rsidRPr="00134DD5" w:rsidRDefault="00992E9F" w:rsidP="00134DD5">
            <w:pPr>
              <w:spacing w:before="0" w:after="0"/>
              <w:jc w:val="right"/>
              <w:rPr>
                <w:color w:val="000000"/>
                <w:szCs w:val="24"/>
              </w:rPr>
            </w:pPr>
            <w:r>
              <w:rPr>
                <w:color w:val="000000"/>
                <w:szCs w:val="24"/>
              </w:rPr>
              <w:t>119,362</w:t>
            </w:r>
          </w:p>
        </w:tc>
        <w:tc>
          <w:tcPr>
            <w:tcW w:w="2127" w:type="dxa"/>
            <w:tcBorders>
              <w:top w:val="nil"/>
              <w:left w:val="nil"/>
              <w:bottom w:val="nil"/>
              <w:right w:val="nil"/>
            </w:tcBorders>
            <w:shd w:val="clear" w:color="auto" w:fill="auto"/>
            <w:noWrap/>
            <w:vAlign w:val="bottom"/>
            <w:hideMark/>
          </w:tcPr>
          <w:p w:rsidR="00134DD5" w:rsidRPr="00134DD5" w:rsidRDefault="00992E9F" w:rsidP="00134DD5">
            <w:pPr>
              <w:spacing w:before="0" w:after="0"/>
              <w:jc w:val="right"/>
              <w:rPr>
                <w:i/>
                <w:iCs/>
                <w:color w:val="000000"/>
                <w:szCs w:val="24"/>
              </w:rPr>
            </w:pPr>
            <w:r>
              <w:rPr>
                <w:i/>
                <w:iCs/>
                <w:color w:val="000000"/>
                <w:szCs w:val="24"/>
              </w:rPr>
              <w:t>10.8</w:t>
            </w:r>
          </w:p>
        </w:tc>
      </w:tr>
      <w:tr w:rsidR="00134DD5" w:rsidRPr="00115E33" w:rsidTr="00A35AB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r w:rsidRPr="00115E33">
              <w:rPr>
                <w:color w:val="000000"/>
                <w:lang w:eastAsia="en-GB"/>
              </w:rPr>
              <w:t>Loft Insulation</w:t>
            </w:r>
          </w:p>
        </w:tc>
        <w:tc>
          <w:tcPr>
            <w:tcW w:w="992"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3402" w:type="dxa"/>
            <w:tcBorders>
              <w:top w:val="nil"/>
              <w:left w:val="nil"/>
              <w:bottom w:val="nil"/>
              <w:right w:val="nil"/>
            </w:tcBorders>
            <w:shd w:val="clear" w:color="auto" w:fill="auto"/>
            <w:noWrap/>
            <w:vAlign w:val="bottom"/>
            <w:hideMark/>
          </w:tcPr>
          <w:p w:rsidR="00134DD5" w:rsidRPr="00134DD5" w:rsidRDefault="00992E9F" w:rsidP="00134DD5">
            <w:pPr>
              <w:spacing w:before="0" w:after="0"/>
              <w:jc w:val="right"/>
              <w:rPr>
                <w:color w:val="000000"/>
                <w:szCs w:val="24"/>
              </w:rPr>
            </w:pPr>
            <w:r>
              <w:rPr>
                <w:color w:val="000000"/>
                <w:szCs w:val="24"/>
              </w:rPr>
              <w:t>168,447</w:t>
            </w:r>
          </w:p>
        </w:tc>
        <w:tc>
          <w:tcPr>
            <w:tcW w:w="2127"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Cs w:val="24"/>
              </w:rPr>
            </w:pPr>
            <w:r w:rsidRPr="00134DD5">
              <w:rPr>
                <w:i/>
                <w:iCs/>
                <w:color w:val="000000"/>
                <w:szCs w:val="24"/>
              </w:rPr>
              <w:t>15.2</w:t>
            </w:r>
          </w:p>
        </w:tc>
      </w:tr>
      <w:tr w:rsidR="00134DD5" w:rsidRPr="00115E33" w:rsidTr="00A35AB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r w:rsidRPr="00115E33">
              <w:rPr>
                <w:color w:val="000000"/>
                <w:lang w:eastAsia="en-GB"/>
              </w:rPr>
              <w:t>Micro-generation</w:t>
            </w:r>
          </w:p>
        </w:tc>
        <w:tc>
          <w:tcPr>
            <w:tcW w:w="992"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3402" w:type="dxa"/>
            <w:tcBorders>
              <w:top w:val="nil"/>
              <w:left w:val="nil"/>
              <w:bottom w:val="nil"/>
              <w:right w:val="nil"/>
            </w:tcBorders>
            <w:shd w:val="clear" w:color="auto" w:fill="auto"/>
            <w:noWrap/>
            <w:vAlign w:val="bottom"/>
            <w:hideMark/>
          </w:tcPr>
          <w:p w:rsidR="00134DD5" w:rsidRPr="00134DD5" w:rsidRDefault="00992E9F" w:rsidP="00134DD5">
            <w:pPr>
              <w:spacing w:before="0" w:after="0"/>
              <w:jc w:val="right"/>
              <w:rPr>
                <w:color w:val="000000"/>
                <w:szCs w:val="24"/>
              </w:rPr>
            </w:pPr>
            <w:r>
              <w:rPr>
                <w:color w:val="000000"/>
                <w:szCs w:val="24"/>
              </w:rPr>
              <w:t>248,272</w:t>
            </w:r>
          </w:p>
        </w:tc>
        <w:tc>
          <w:tcPr>
            <w:tcW w:w="2127" w:type="dxa"/>
            <w:tcBorders>
              <w:top w:val="nil"/>
              <w:left w:val="nil"/>
              <w:bottom w:val="nil"/>
              <w:right w:val="nil"/>
            </w:tcBorders>
            <w:shd w:val="clear" w:color="auto" w:fill="auto"/>
            <w:noWrap/>
            <w:vAlign w:val="bottom"/>
            <w:hideMark/>
          </w:tcPr>
          <w:p w:rsidR="00134DD5" w:rsidRPr="00134DD5" w:rsidRDefault="00992E9F" w:rsidP="00134DD5">
            <w:pPr>
              <w:spacing w:before="0" w:after="0"/>
              <w:jc w:val="right"/>
              <w:rPr>
                <w:i/>
                <w:iCs/>
                <w:color w:val="000000"/>
                <w:szCs w:val="24"/>
              </w:rPr>
            </w:pPr>
            <w:r>
              <w:rPr>
                <w:i/>
                <w:iCs/>
                <w:color w:val="000000"/>
                <w:szCs w:val="24"/>
              </w:rPr>
              <w:t>22.4</w:t>
            </w:r>
          </w:p>
        </w:tc>
      </w:tr>
      <w:tr w:rsidR="00134DD5" w:rsidRPr="00115E33" w:rsidTr="00A35AB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r w:rsidRPr="00115E33">
              <w:rPr>
                <w:color w:val="000000"/>
                <w:lang w:eastAsia="en-GB"/>
              </w:rPr>
              <w:t>Other Heating</w:t>
            </w:r>
          </w:p>
        </w:tc>
        <w:tc>
          <w:tcPr>
            <w:tcW w:w="992"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3402" w:type="dxa"/>
            <w:tcBorders>
              <w:top w:val="nil"/>
              <w:left w:val="nil"/>
              <w:bottom w:val="nil"/>
              <w:right w:val="nil"/>
            </w:tcBorders>
            <w:shd w:val="clear" w:color="auto" w:fill="auto"/>
            <w:noWrap/>
            <w:vAlign w:val="bottom"/>
            <w:hideMark/>
          </w:tcPr>
          <w:p w:rsidR="00134DD5" w:rsidRPr="00134DD5" w:rsidRDefault="00992E9F" w:rsidP="00134DD5">
            <w:pPr>
              <w:spacing w:before="0" w:after="0"/>
              <w:jc w:val="right"/>
              <w:rPr>
                <w:color w:val="000000"/>
                <w:szCs w:val="24"/>
              </w:rPr>
            </w:pPr>
            <w:r>
              <w:rPr>
                <w:color w:val="000000"/>
                <w:szCs w:val="24"/>
              </w:rPr>
              <w:t>109,886</w:t>
            </w:r>
          </w:p>
        </w:tc>
        <w:tc>
          <w:tcPr>
            <w:tcW w:w="2127" w:type="dxa"/>
            <w:tcBorders>
              <w:top w:val="nil"/>
              <w:left w:val="nil"/>
              <w:bottom w:val="nil"/>
              <w:right w:val="nil"/>
            </w:tcBorders>
            <w:shd w:val="clear" w:color="auto" w:fill="auto"/>
            <w:noWrap/>
            <w:vAlign w:val="bottom"/>
            <w:hideMark/>
          </w:tcPr>
          <w:p w:rsidR="00134DD5" w:rsidRPr="00134DD5" w:rsidRDefault="00992E9F" w:rsidP="00134DD5">
            <w:pPr>
              <w:spacing w:before="0" w:after="0"/>
              <w:jc w:val="right"/>
              <w:rPr>
                <w:i/>
                <w:iCs/>
                <w:color w:val="000000"/>
                <w:szCs w:val="24"/>
              </w:rPr>
            </w:pPr>
            <w:r>
              <w:rPr>
                <w:i/>
                <w:iCs/>
                <w:color w:val="000000"/>
                <w:szCs w:val="24"/>
              </w:rPr>
              <w:t>9.9</w:t>
            </w:r>
          </w:p>
        </w:tc>
      </w:tr>
      <w:tr w:rsidR="00134DD5" w:rsidRPr="00115E33" w:rsidTr="00A35AB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r w:rsidRPr="00115E33">
              <w:rPr>
                <w:color w:val="000000"/>
                <w:lang w:eastAsia="en-GB"/>
              </w:rPr>
              <w:t>Other Insulation</w:t>
            </w:r>
          </w:p>
        </w:tc>
        <w:tc>
          <w:tcPr>
            <w:tcW w:w="992"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3402" w:type="dxa"/>
            <w:tcBorders>
              <w:top w:val="nil"/>
              <w:left w:val="nil"/>
              <w:bottom w:val="nil"/>
              <w:right w:val="nil"/>
            </w:tcBorders>
            <w:shd w:val="clear" w:color="auto" w:fill="auto"/>
            <w:noWrap/>
            <w:vAlign w:val="bottom"/>
            <w:hideMark/>
          </w:tcPr>
          <w:p w:rsidR="00134DD5" w:rsidRPr="00134DD5" w:rsidRDefault="00992E9F" w:rsidP="00134DD5">
            <w:pPr>
              <w:spacing w:before="0" w:after="0"/>
              <w:jc w:val="right"/>
              <w:rPr>
                <w:color w:val="000000"/>
                <w:szCs w:val="24"/>
              </w:rPr>
            </w:pPr>
            <w:r>
              <w:rPr>
                <w:color w:val="000000"/>
                <w:szCs w:val="24"/>
              </w:rPr>
              <w:t>221,854</w:t>
            </w:r>
          </w:p>
        </w:tc>
        <w:tc>
          <w:tcPr>
            <w:tcW w:w="2127" w:type="dxa"/>
            <w:tcBorders>
              <w:top w:val="nil"/>
              <w:left w:val="nil"/>
              <w:bottom w:val="nil"/>
              <w:right w:val="nil"/>
            </w:tcBorders>
            <w:shd w:val="clear" w:color="auto" w:fill="auto"/>
            <w:noWrap/>
            <w:vAlign w:val="bottom"/>
            <w:hideMark/>
          </w:tcPr>
          <w:p w:rsidR="00134DD5" w:rsidRPr="00134DD5" w:rsidRDefault="00992E9F" w:rsidP="00134DD5">
            <w:pPr>
              <w:spacing w:before="0" w:after="0"/>
              <w:jc w:val="right"/>
              <w:rPr>
                <w:i/>
                <w:iCs/>
                <w:color w:val="000000"/>
                <w:szCs w:val="24"/>
              </w:rPr>
            </w:pPr>
            <w:r>
              <w:rPr>
                <w:i/>
                <w:iCs/>
                <w:color w:val="000000"/>
                <w:szCs w:val="24"/>
              </w:rPr>
              <w:t>20.0</w:t>
            </w:r>
          </w:p>
        </w:tc>
      </w:tr>
      <w:tr w:rsidR="00134DD5" w:rsidRPr="00115E33" w:rsidTr="00A35AB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r w:rsidRPr="00115E33">
              <w:rPr>
                <w:color w:val="000000"/>
                <w:lang w:eastAsia="en-GB"/>
              </w:rPr>
              <w:t>Solid Wall Insulation</w:t>
            </w:r>
          </w:p>
        </w:tc>
        <w:tc>
          <w:tcPr>
            <w:tcW w:w="992"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3402" w:type="dxa"/>
            <w:tcBorders>
              <w:top w:val="nil"/>
              <w:left w:val="nil"/>
              <w:bottom w:val="nil"/>
              <w:right w:val="nil"/>
            </w:tcBorders>
            <w:shd w:val="clear" w:color="auto" w:fill="auto"/>
            <w:noWrap/>
            <w:vAlign w:val="bottom"/>
            <w:hideMark/>
          </w:tcPr>
          <w:p w:rsidR="00134DD5" w:rsidRPr="00134DD5" w:rsidRDefault="00992E9F" w:rsidP="00134DD5">
            <w:pPr>
              <w:spacing w:before="0" w:after="0"/>
              <w:jc w:val="right"/>
              <w:rPr>
                <w:color w:val="000000"/>
                <w:szCs w:val="24"/>
              </w:rPr>
            </w:pPr>
            <w:r>
              <w:rPr>
                <w:color w:val="000000"/>
                <w:szCs w:val="24"/>
              </w:rPr>
              <w:t>97,698</w:t>
            </w:r>
          </w:p>
        </w:tc>
        <w:tc>
          <w:tcPr>
            <w:tcW w:w="2127" w:type="dxa"/>
            <w:tcBorders>
              <w:top w:val="nil"/>
              <w:left w:val="nil"/>
              <w:bottom w:val="nil"/>
              <w:right w:val="nil"/>
            </w:tcBorders>
            <w:shd w:val="clear" w:color="auto" w:fill="auto"/>
            <w:noWrap/>
            <w:vAlign w:val="bottom"/>
            <w:hideMark/>
          </w:tcPr>
          <w:p w:rsidR="00134DD5" w:rsidRPr="00134DD5" w:rsidRDefault="00992E9F" w:rsidP="00134DD5">
            <w:pPr>
              <w:spacing w:before="0" w:after="0"/>
              <w:jc w:val="right"/>
              <w:rPr>
                <w:i/>
                <w:iCs/>
                <w:color w:val="000000"/>
                <w:szCs w:val="24"/>
              </w:rPr>
            </w:pPr>
            <w:r>
              <w:rPr>
                <w:i/>
                <w:iCs/>
                <w:color w:val="000000"/>
                <w:szCs w:val="24"/>
              </w:rPr>
              <w:t>8.8</w:t>
            </w:r>
          </w:p>
        </w:tc>
      </w:tr>
      <w:tr w:rsidR="00134DD5" w:rsidRPr="00115E33" w:rsidTr="00A35AB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r w:rsidRPr="00115E33">
              <w:rPr>
                <w:color w:val="000000"/>
                <w:lang w:eastAsia="en-GB"/>
              </w:rPr>
              <w:t>Window Glazing</w:t>
            </w:r>
          </w:p>
        </w:tc>
        <w:tc>
          <w:tcPr>
            <w:tcW w:w="992"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3402" w:type="dxa"/>
            <w:tcBorders>
              <w:top w:val="nil"/>
              <w:left w:val="nil"/>
              <w:bottom w:val="nil"/>
              <w:right w:val="nil"/>
            </w:tcBorders>
            <w:shd w:val="clear" w:color="auto" w:fill="auto"/>
            <w:noWrap/>
            <w:vAlign w:val="bottom"/>
            <w:hideMark/>
          </w:tcPr>
          <w:p w:rsidR="00134DD5" w:rsidRPr="00134DD5" w:rsidRDefault="00992E9F" w:rsidP="00134DD5">
            <w:pPr>
              <w:spacing w:before="0" w:after="0"/>
              <w:jc w:val="right"/>
              <w:rPr>
                <w:color w:val="000000"/>
                <w:szCs w:val="24"/>
              </w:rPr>
            </w:pPr>
            <w:r>
              <w:rPr>
                <w:color w:val="000000"/>
                <w:szCs w:val="24"/>
              </w:rPr>
              <w:t>22,699</w:t>
            </w:r>
          </w:p>
        </w:tc>
        <w:tc>
          <w:tcPr>
            <w:tcW w:w="2127" w:type="dxa"/>
            <w:tcBorders>
              <w:top w:val="nil"/>
              <w:left w:val="nil"/>
              <w:bottom w:val="nil"/>
              <w:right w:val="nil"/>
            </w:tcBorders>
            <w:shd w:val="clear" w:color="auto" w:fill="auto"/>
            <w:noWrap/>
            <w:vAlign w:val="bottom"/>
            <w:hideMark/>
          </w:tcPr>
          <w:p w:rsidR="00134DD5" w:rsidRPr="00134DD5" w:rsidRDefault="00992E9F" w:rsidP="00134DD5">
            <w:pPr>
              <w:spacing w:before="0" w:after="0"/>
              <w:jc w:val="right"/>
              <w:rPr>
                <w:i/>
                <w:iCs/>
                <w:color w:val="000000"/>
                <w:szCs w:val="24"/>
              </w:rPr>
            </w:pPr>
            <w:r>
              <w:rPr>
                <w:i/>
                <w:iCs/>
                <w:color w:val="000000"/>
                <w:szCs w:val="24"/>
              </w:rPr>
              <w:t>2.0</w:t>
            </w:r>
          </w:p>
        </w:tc>
      </w:tr>
      <w:tr w:rsidR="00134DD5" w:rsidRPr="00115E33" w:rsidTr="00A35AB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992"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3402" w:type="dxa"/>
            <w:tcBorders>
              <w:top w:val="nil"/>
              <w:left w:val="nil"/>
              <w:bottom w:val="nil"/>
              <w:right w:val="nil"/>
            </w:tcBorders>
            <w:shd w:val="clear" w:color="auto" w:fill="auto"/>
            <w:noWrap/>
            <w:vAlign w:val="bottom"/>
            <w:hideMark/>
          </w:tcPr>
          <w:p w:rsidR="00134DD5" w:rsidRPr="00134DD5" w:rsidRDefault="00134DD5" w:rsidP="00134DD5">
            <w:pPr>
              <w:spacing w:before="0" w:after="0"/>
              <w:rPr>
                <w:color w:val="000000"/>
                <w:szCs w:val="24"/>
              </w:rPr>
            </w:pPr>
          </w:p>
        </w:tc>
        <w:tc>
          <w:tcPr>
            <w:tcW w:w="2127" w:type="dxa"/>
            <w:tcBorders>
              <w:top w:val="nil"/>
              <w:left w:val="nil"/>
              <w:bottom w:val="nil"/>
              <w:right w:val="nil"/>
            </w:tcBorders>
            <w:shd w:val="clear" w:color="auto" w:fill="auto"/>
            <w:noWrap/>
            <w:vAlign w:val="bottom"/>
            <w:hideMark/>
          </w:tcPr>
          <w:p w:rsidR="00134DD5" w:rsidRPr="00134DD5" w:rsidRDefault="00134DD5" w:rsidP="00134DD5">
            <w:pPr>
              <w:spacing w:before="0" w:after="0"/>
              <w:rPr>
                <w:i/>
                <w:iCs/>
                <w:color w:val="000000"/>
                <w:szCs w:val="24"/>
              </w:rPr>
            </w:pPr>
          </w:p>
        </w:tc>
      </w:tr>
      <w:tr w:rsidR="00134DD5" w:rsidRPr="00115E33" w:rsidTr="00A35AB9">
        <w:trPr>
          <w:trHeight w:val="298"/>
        </w:trPr>
        <w:tc>
          <w:tcPr>
            <w:tcW w:w="3559" w:type="dxa"/>
            <w:tcBorders>
              <w:top w:val="nil"/>
              <w:left w:val="nil"/>
              <w:bottom w:val="single" w:sz="4" w:space="0" w:color="auto"/>
              <w:right w:val="nil"/>
            </w:tcBorders>
            <w:shd w:val="clear" w:color="000000" w:fill="FFFFFF"/>
            <w:noWrap/>
            <w:vAlign w:val="bottom"/>
            <w:hideMark/>
          </w:tcPr>
          <w:p w:rsidR="00134DD5" w:rsidRPr="00115E33" w:rsidRDefault="00134DD5" w:rsidP="00415EE4">
            <w:pPr>
              <w:spacing w:before="0" w:after="0" w:line="240" w:lineRule="auto"/>
              <w:rPr>
                <w:b/>
                <w:bCs/>
                <w:color w:val="000000"/>
                <w:lang w:eastAsia="en-GB"/>
              </w:rPr>
            </w:pPr>
            <w:r w:rsidRPr="00115E33">
              <w:rPr>
                <w:b/>
                <w:bCs/>
                <w:color w:val="000000"/>
                <w:lang w:eastAsia="en-GB"/>
              </w:rPr>
              <w:t>Total</w:t>
            </w:r>
          </w:p>
        </w:tc>
        <w:tc>
          <w:tcPr>
            <w:tcW w:w="992" w:type="dxa"/>
            <w:tcBorders>
              <w:top w:val="nil"/>
              <w:left w:val="nil"/>
              <w:bottom w:val="single" w:sz="4" w:space="0" w:color="auto"/>
              <w:right w:val="nil"/>
            </w:tcBorders>
            <w:shd w:val="clear" w:color="auto" w:fill="auto"/>
            <w:noWrap/>
            <w:vAlign w:val="bottom"/>
            <w:hideMark/>
          </w:tcPr>
          <w:p w:rsidR="00134DD5" w:rsidRPr="00115E33" w:rsidRDefault="00134DD5" w:rsidP="00415EE4">
            <w:pPr>
              <w:spacing w:before="0" w:after="0" w:line="240" w:lineRule="auto"/>
              <w:rPr>
                <w:b/>
                <w:bCs/>
                <w:color w:val="000000"/>
                <w:lang w:eastAsia="en-GB"/>
              </w:rPr>
            </w:pPr>
            <w:r w:rsidRPr="00115E33">
              <w:rPr>
                <w:b/>
                <w:bCs/>
                <w:color w:val="000000"/>
                <w:lang w:eastAsia="en-GB"/>
              </w:rPr>
              <w:t> </w:t>
            </w:r>
          </w:p>
        </w:tc>
        <w:tc>
          <w:tcPr>
            <w:tcW w:w="3402" w:type="dxa"/>
            <w:tcBorders>
              <w:top w:val="nil"/>
              <w:left w:val="nil"/>
              <w:bottom w:val="single" w:sz="4" w:space="0" w:color="auto"/>
              <w:right w:val="nil"/>
            </w:tcBorders>
            <w:shd w:val="clear" w:color="auto" w:fill="auto"/>
            <w:noWrap/>
            <w:vAlign w:val="bottom"/>
            <w:hideMark/>
          </w:tcPr>
          <w:p w:rsidR="00134DD5" w:rsidRPr="00134DD5" w:rsidRDefault="00992E9F" w:rsidP="00134DD5">
            <w:pPr>
              <w:spacing w:before="0" w:after="0"/>
              <w:jc w:val="right"/>
              <w:rPr>
                <w:b/>
                <w:bCs/>
                <w:color w:val="000000"/>
                <w:szCs w:val="24"/>
              </w:rPr>
            </w:pPr>
            <w:r>
              <w:rPr>
                <w:b/>
                <w:bCs/>
                <w:color w:val="000000"/>
                <w:szCs w:val="24"/>
              </w:rPr>
              <w:t>1,107,559</w:t>
            </w:r>
          </w:p>
        </w:tc>
        <w:tc>
          <w:tcPr>
            <w:tcW w:w="2127" w:type="dxa"/>
            <w:tcBorders>
              <w:top w:val="nil"/>
              <w:left w:val="nil"/>
              <w:bottom w:val="single" w:sz="4" w:space="0" w:color="auto"/>
              <w:right w:val="nil"/>
            </w:tcBorders>
            <w:shd w:val="clear" w:color="auto" w:fill="auto"/>
            <w:noWrap/>
            <w:vAlign w:val="bottom"/>
            <w:hideMark/>
          </w:tcPr>
          <w:p w:rsidR="00134DD5" w:rsidRPr="00134DD5" w:rsidRDefault="00134DD5" w:rsidP="00134DD5">
            <w:pPr>
              <w:spacing w:before="0" w:after="0"/>
              <w:jc w:val="right"/>
              <w:rPr>
                <w:b/>
                <w:bCs/>
                <w:i/>
                <w:iCs/>
                <w:color w:val="000000"/>
                <w:szCs w:val="24"/>
              </w:rPr>
            </w:pPr>
            <w:r w:rsidRPr="00134DD5">
              <w:rPr>
                <w:b/>
                <w:bCs/>
                <w:i/>
                <w:iCs/>
                <w:color w:val="000000"/>
                <w:szCs w:val="24"/>
              </w:rPr>
              <w:t>100</w:t>
            </w:r>
          </w:p>
        </w:tc>
      </w:tr>
    </w:tbl>
    <w:p w:rsidR="00D92110" w:rsidRDefault="00415EE4" w:rsidP="00A35AB9">
      <w:pPr>
        <w:spacing w:after="0" w:line="270" w:lineRule="atLeast"/>
        <w:jc w:val="both"/>
        <w:rPr>
          <w:bCs/>
          <w:sz w:val="21"/>
          <w:szCs w:val="21"/>
        </w:rPr>
      </w:pPr>
      <w:r w:rsidRPr="003D6AAC">
        <w:rPr>
          <w:bCs/>
          <w:sz w:val="21"/>
          <w:szCs w:val="21"/>
          <w:vertAlign w:val="superscript"/>
        </w:rPr>
        <w:t>1</w:t>
      </w:r>
      <w:r w:rsidRPr="003D6AAC">
        <w:rPr>
          <w:bCs/>
          <w:sz w:val="21"/>
          <w:szCs w:val="21"/>
        </w:rPr>
        <w:t xml:space="preserve"> </w:t>
      </w:r>
      <w:r w:rsidR="00D92110" w:rsidRPr="00D92110">
        <w:rPr>
          <w:bCs/>
          <w:sz w:val="21"/>
          <w:szCs w:val="21"/>
        </w:rPr>
        <w:t>Does not include recommended improvements from the Green Deal Improvement Package tool.</w:t>
      </w:r>
    </w:p>
    <w:p w:rsidR="00415EE4" w:rsidRPr="003D6AAC" w:rsidRDefault="00D92110" w:rsidP="00A35AB9">
      <w:pPr>
        <w:spacing w:before="0" w:after="0" w:line="270" w:lineRule="atLeast"/>
        <w:jc w:val="both"/>
        <w:rPr>
          <w:bCs/>
          <w:sz w:val="21"/>
          <w:szCs w:val="21"/>
        </w:rPr>
      </w:pPr>
      <w:r w:rsidRPr="00D92110">
        <w:rPr>
          <w:bCs/>
          <w:sz w:val="21"/>
          <w:szCs w:val="21"/>
          <w:vertAlign w:val="superscript"/>
        </w:rPr>
        <w:t>2</w:t>
      </w:r>
      <w:r>
        <w:rPr>
          <w:bCs/>
          <w:sz w:val="21"/>
          <w:szCs w:val="21"/>
        </w:rPr>
        <w:t xml:space="preserve"> </w:t>
      </w:r>
      <w:r w:rsidR="00415EE4" w:rsidRPr="003D6AAC">
        <w:rPr>
          <w:bCs/>
          <w:sz w:val="21"/>
          <w:szCs w:val="21"/>
        </w:rPr>
        <w:t xml:space="preserve">More than one improvement can be recommended per Assessment. On average, there are </w:t>
      </w:r>
      <w:r w:rsidR="00331FD0">
        <w:rPr>
          <w:bCs/>
          <w:sz w:val="21"/>
          <w:szCs w:val="21"/>
        </w:rPr>
        <w:t xml:space="preserve">around </w:t>
      </w:r>
      <w:r w:rsidR="00415EE4" w:rsidRPr="003D6AAC">
        <w:rPr>
          <w:bCs/>
          <w:sz w:val="21"/>
          <w:szCs w:val="21"/>
        </w:rPr>
        <w:t>three improvements recommended per Assessment.</w:t>
      </w:r>
    </w:p>
    <w:p w:rsidR="003D3CD9" w:rsidRDefault="003D3CD9" w:rsidP="00415EE4">
      <w:pPr>
        <w:spacing w:before="0" w:after="0" w:line="270" w:lineRule="atLeast"/>
        <w:jc w:val="both"/>
        <w:rPr>
          <w:b/>
          <w:bCs/>
        </w:rPr>
      </w:pPr>
    </w:p>
    <w:p w:rsidR="003D3CD9" w:rsidRDefault="003D3CD9" w:rsidP="00415EE4">
      <w:pPr>
        <w:spacing w:before="0" w:after="0" w:line="270" w:lineRule="atLeast"/>
        <w:jc w:val="both"/>
        <w:rPr>
          <w:b/>
          <w:bCs/>
        </w:rPr>
      </w:pPr>
    </w:p>
    <w:p w:rsidR="00415EE4" w:rsidRPr="00781E03" w:rsidRDefault="00C351B2" w:rsidP="00415EE4">
      <w:pPr>
        <w:spacing w:before="0" w:after="0" w:line="270" w:lineRule="atLeast"/>
        <w:jc w:val="both"/>
        <w:rPr>
          <w:b/>
          <w:bCs/>
        </w:rPr>
      </w:pPr>
      <w:r w:rsidRPr="00781E03">
        <w:rPr>
          <w:b/>
          <w:bCs/>
        </w:rPr>
        <w:t>Table 1.5</w:t>
      </w:r>
      <w:r w:rsidR="00415EE4" w:rsidRPr="00781E03">
        <w:rPr>
          <w:b/>
          <w:bCs/>
        </w:rPr>
        <w:t>a: Number of improvements by measures recommended in Green Deal Assessments</w:t>
      </w:r>
      <w:r w:rsidR="00ED2911" w:rsidRPr="00ED2911">
        <w:rPr>
          <w:b/>
          <w:bCs/>
          <w:vertAlign w:val="superscript"/>
        </w:rPr>
        <w:t>1</w:t>
      </w:r>
      <w:r w:rsidR="00415EE4" w:rsidRPr="00781E03">
        <w:rPr>
          <w:b/>
          <w:bCs/>
        </w:rPr>
        <w:t xml:space="preserve">, up to </w:t>
      </w:r>
      <w:r w:rsidR="007E138E" w:rsidRPr="00781E03">
        <w:rPr>
          <w:b/>
          <w:bCs/>
        </w:rPr>
        <w:t xml:space="preserve">30th </w:t>
      </w:r>
      <w:r w:rsidR="00784620" w:rsidRPr="00781E03">
        <w:rPr>
          <w:b/>
          <w:bCs/>
        </w:rPr>
        <w:t>September</w:t>
      </w:r>
      <w:r w:rsidR="002F723B" w:rsidRPr="00781E03">
        <w:rPr>
          <w:b/>
          <w:bCs/>
        </w:rPr>
        <w:t xml:space="preserve"> 2014</w:t>
      </w:r>
      <w:r w:rsidR="00415EE4" w:rsidRPr="00781E03">
        <w:rPr>
          <w:b/>
          <w:bCs/>
        </w:rPr>
        <w:t xml:space="preserve">, </w:t>
      </w:r>
      <w:r w:rsidR="004E44B6" w:rsidRPr="00781E03">
        <w:rPr>
          <w:b/>
          <w:bCs/>
        </w:rPr>
        <w:t>Great Britain</w:t>
      </w:r>
      <w:r w:rsidR="00415EE4" w:rsidRPr="00781E03">
        <w:rPr>
          <w:b/>
          <w:bCs/>
        </w:rPr>
        <w:t xml:space="preserve"> </w:t>
      </w:r>
    </w:p>
    <w:p w:rsidR="00415EE4" w:rsidRDefault="00415EE4" w:rsidP="00415EE4">
      <w:pPr>
        <w:spacing w:before="0" w:after="0" w:line="270" w:lineRule="atLeast"/>
        <w:rPr>
          <w:b/>
          <w:bCs/>
          <w:highlight w:val="yellow"/>
        </w:rPr>
      </w:pPr>
    </w:p>
    <w:tbl>
      <w:tblPr>
        <w:tblW w:w="10327" w:type="dxa"/>
        <w:tblInd w:w="93" w:type="dxa"/>
        <w:tblLook w:val="04A0" w:firstRow="1" w:lastRow="0" w:firstColumn="1" w:lastColumn="0" w:noHBand="0" w:noVBand="1"/>
      </w:tblPr>
      <w:tblGrid>
        <w:gridCol w:w="6225"/>
        <w:gridCol w:w="1655"/>
        <w:gridCol w:w="207"/>
        <w:gridCol w:w="584"/>
        <w:gridCol w:w="1656"/>
      </w:tblGrid>
      <w:tr w:rsidR="00415EE4" w:rsidRPr="00EA455B" w:rsidTr="00A35AB9">
        <w:trPr>
          <w:trHeight w:val="577"/>
        </w:trPr>
        <w:tc>
          <w:tcPr>
            <w:tcW w:w="6225" w:type="dxa"/>
            <w:tcBorders>
              <w:top w:val="single" w:sz="4" w:space="0" w:color="auto"/>
              <w:left w:val="nil"/>
              <w:bottom w:val="single" w:sz="4" w:space="0" w:color="auto"/>
              <w:right w:val="nil"/>
            </w:tcBorders>
            <w:shd w:val="clear" w:color="auto" w:fill="auto"/>
            <w:noWrap/>
            <w:vAlign w:val="center"/>
            <w:hideMark/>
          </w:tcPr>
          <w:p w:rsidR="00415EE4" w:rsidRPr="00EA455B" w:rsidRDefault="00415EE4" w:rsidP="00415EE4">
            <w:pPr>
              <w:spacing w:before="0" w:after="0" w:line="240" w:lineRule="auto"/>
              <w:rPr>
                <w:color w:val="000000"/>
                <w:sz w:val="22"/>
                <w:szCs w:val="22"/>
                <w:lang w:eastAsia="en-GB"/>
              </w:rPr>
            </w:pPr>
            <w:r w:rsidRPr="00EA455B">
              <w:rPr>
                <w:color w:val="000000"/>
                <w:sz w:val="22"/>
                <w:szCs w:val="22"/>
                <w:lang w:eastAsia="en-GB"/>
              </w:rPr>
              <w:t xml:space="preserve">Measure Type by Measures </w:t>
            </w:r>
          </w:p>
        </w:tc>
        <w:tc>
          <w:tcPr>
            <w:tcW w:w="2446" w:type="dxa"/>
            <w:gridSpan w:val="3"/>
            <w:tcBorders>
              <w:top w:val="single" w:sz="4" w:space="0" w:color="auto"/>
              <w:left w:val="nil"/>
              <w:bottom w:val="single" w:sz="4" w:space="0" w:color="auto"/>
              <w:right w:val="nil"/>
            </w:tcBorders>
            <w:shd w:val="clear" w:color="auto" w:fill="auto"/>
            <w:vAlign w:val="bottom"/>
            <w:hideMark/>
          </w:tcPr>
          <w:p w:rsidR="00415EE4" w:rsidRPr="00EA455B" w:rsidRDefault="00415EE4" w:rsidP="00415EE4">
            <w:pPr>
              <w:spacing w:before="0" w:after="0" w:line="240" w:lineRule="auto"/>
              <w:jc w:val="right"/>
              <w:rPr>
                <w:color w:val="000000"/>
                <w:sz w:val="22"/>
                <w:szCs w:val="22"/>
                <w:lang w:eastAsia="en-GB"/>
              </w:rPr>
            </w:pPr>
            <w:r w:rsidRPr="00EA455B">
              <w:rPr>
                <w:color w:val="000000"/>
                <w:sz w:val="22"/>
                <w:szCs w:val="22"/>
                <w:lang w:eastAsia="en-GB"/>
              </w:rPr>
              <w:t>Number of improvements recommended</w:t>
            </w:r>
            <w:r w:rsidR="00ED2911">
              <w:rPr>
                <w:color w:val="000000"/>
                <w:sz w:val="22"/>
                <w:szCs w:val="22"/>
                <w:vertAlign w:val="superscript"/>
                <w:lang w:eastAsia="en-GB"/>
              </w:rPr>
              <w:t>2</w:t>
            </w:r>
          </w:p>
        </w:tc>
        <w:tc>
          <w:tcPr>
            <w:tcW w:w="1656" w:type="dxa"/>
            <w:tcBorders>
              <w:top w:val="single" w:sz="4" w:space="0" w:color="auto"/>
              <w:left w:val="nil"/>
              <w:bottom w:val="single" w:sz="4" w:space="0" w:color="auto"/>
              <w:right w:val="nil"/>
            </w:tcBorders>
            <w:shd w:val="clear" w:color="auto" w:fill="auto"/>
            <w:vAlign w:val="bottom"/>
            <w:hideMark/>
          </w:tcPr>
          <w:p w:rsidR="00415EE4" w:rsidRPr="00EA455B" w:rsidRDefault="00415EE4" w:rsidP="00415EE4">
            <w:pPr>
              <w:spacing w:before="0" w:after="0" w:line="240" w:lineRule="auto"/>
              <w:jc w:val="right"/>
              <w:rPr>
                <w:color w:val="000000"/>
                <w:sz w:val="22"/>
                <w:szCs w:val="22"/>
                <w:lang w:eastAsia="en-GB"/>
              </w:rPr>
            </w:pPr>
            <w:r w:rsidRPr="00EA455B">
              <w:rPr>
                <w:color w:val="000000"/>
                <w:sz w:val="22"/>
                <w:szCs w:val="22"/>
                <w:lang w:eastAsia="en-GB"/>
              </w:rPr>
              <w:t>Percentage of improvements recommended</w:t>
            </w:r>
          </w:p>
        </w:tc>
      </w:tr>
      <w:tr w:rsidR="00134DD5" w:rsidRPr="00EA455B" w:rsidTr="00A35AB9">
        <w:trPr>
          <w:trHeight w:val="312"/>
        </w:trPr>
        <w:tc>
          <w:tcPr>
            <w:tcW w:w="6225" w:type="dxa"/>
            <w:tcBorders>
              <w:top w:val="nil"/>
              <w:left w:val="nil"/>
              <w:bottom w:val="nil"/>
              <w:right w:val="nil"/>
            </w:tcBorders>
            <w:shd w:val="clear" w:color="auto" w:fill="auto"/>
            <w:noWrap/>
            <w:vAlign w:val="center"/>
            <w:hideMark/>
          </w:tcPr>
          <w:p w:rsidR="00134DD5" w:rsidRPr="00EA455B" w:rsidRDefault="00134DD5" w:rsidP="00415EE4">
            <w:pPr>
              <w:spacing w:before="0" w:after="0" w:line="240" w:lineRule="auto"/>
              <w:rPr>
                <w:b/>
                <w:bCs/>
                <w:color w:val="000000"/>
                <w:sz w:val="22"/>
                <w:szCs w:val="22"/>
                <w:lang w:eastAsia="en-GB"/>
              </w:rPr>
            </w:pPr>
          </w:p>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t>Boiler</w:t>
            </w:r>
          </w:p>
        </w:tc>
        <w:tc>
          <w:tcPr>
            <w:tcW w:w="2446" w:type="dxa"/>
            <w:gridSpan w:val="3"/>
            <w:tcBorders>
              <w:top w:val="nil"/>
              <w:left w:val="nil"/>
              <w:bottom w:val="nil"/>
              <w:right w:val="nil"/>
            </w:tcBorders>
            <w:shd w:val="clear" w:color="auto" w:fill="auto"/>
            <w:vAlign w:val="bottom"/>
            <w:hideMark/>
          </w:tcPr>
          <w:p w:rsidR="00134DD5" w:rsidRPr="00134DD5" w:rsidRDefault="00340197" w:rsidP="00134DD5">
            <w:pPr>
              <w:spacing w:before="0" w:after="0"/>
              <w:jc w:val="right"/>
              <w:rPr>
                <w:b/>
                <w:bCs/>
                <w:color w:val="000000"/>
                <w:sz w:val="22"/>
                <w:szCs w:val="22"/>
              </w:rPr>
            </w:pPr>
            <w:r>
              <w:rPr>
                <w:b/>
                <w:bCs/>
                <w:color w:val="000000"/>
                <w:sz w:val="22"/>
                <w:szCs w:val="22"/>
              </w:rPr>
              <w:t>119,341</w:t>
            </w:r>
          </w:p>
        </w:tc>
        <w:tc>
          <w:tcPr>
            <w:tcW w:w="1656" w:type="dxa"/>
            <w:tcBorders>
              <w:top w:val="nil"/>
              <w:left w:val="nil"/>
              <w:bottom w:val="nil"/>
              <w:right w:val="nil"/>
            </w:tcBorders>
            <w:shd w:val="clear" w:color="auto" w:fill="auto"/>
            <w:vAlign w:val="bottom"/>
            <w:hideMark/>
          </w:tcPr>
          <w:p w:rsidR="00134DD5" w:rsidRPr="00134DD5" w:rsidRDefault="006E041B" w:rsidP="00134DD5">
            <w:pPr>
              <w:spacing w:before="0" w:after="0"/>
              <w:jc w:val="right"/>
              <w:rPr>
                <w:b/>
                <w:bCs/>
                <w:i/>
                <w:iCs/>
                <w:color w:val="000000"/>
                <w:sz w:val="22"/>
                <w:szCs w:val="22"/>
              </w:rPr>
            </w:pPr>
            <w:r>
              <w:rPr>
                <w:b/>
                <w:bCs/>
                <w:i/>
                <w:iCs/>
                <w:color w:val="000000"/>
                <w:sz w:val="22"/>
                <w:szCs w:val="22"/>
              </w:rPr>
              <w:t>10.8</w:t>
            </w:r>
          </w:p>
        </w:tc>
      </w:tr>
      <w:tr w:rsidR="00134DD5" w:rsidRPr="00EA455B" w:rsidTr="00A35AB9">
        <w:trPr>
          <w:trHeight w:val="530"/>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Change heating to gas condensing boiler (fuel switch</w:t>
            </w:r>
            <w:r w:rsidR="00A35AB9">
              <w:rPr>
                <w:color w:val="000000"/>
                <w:sz w:val="22"/>
                <w:szCs w:val="22"/>
                <w:lang w:eastAsia="en-GB"/>
              </w:rPr>
              <w:t>)</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812EFF">
            <w:pPr>
              <w:spacing w:before="0" w:after="0"/>
              <w:jc w:val="right"/>
              <w:rPr>
                <w:color w:val="000000"/>
                <w:sz w:val="22"/>
                <w:szCs w:val="22"/>
              </w:rPr>
            </w:pPr>
            <w:r>
              <w:rPr>
                <w:color w:val="000000"/>
                <w:sz w:val="22"/>
                <w:szCs w:val="22"/>
              </w:rPr>
              <w:t>4,311</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0.4</w:t>
            </w:r>
          </w:p>
        </w:tc>
      </w:tr>
      <w:tr w:rsidR="00134DD5" w:rsidRPr="00EA455B" w:rsidTr="00A35AB9">
        <w:trPr>
          <w:trHeight w:val="296"/>
        </w:trPr>
        <w:tc>
          <w:tcPr>
            <w:tcW w:w="7880" w:type="dxa"/>
            <w:gridSpan w:val="2"/>
            <w:tcBorders>
              <w:top w:val="nil"/>
              <w:left w:val="nil"/>
              <w:bottom w:val="nil"/>
              <w:right w:val="nil"/>
            </w:tcBorders>
            <w:shd w:val="clear" w:color="auto" w:fill="auto"/>
            <w:noWrap/>
            <w:vAlign w:val="bottom"/>
            <w:hideMark/>
          </w:tcPr>
          <w:p w:rsidR="00134DD5" w:rsidRPr="00EA455B" w:rsidRDefault="00134DD5" w:rsidP="00812EFF">
            <w:pPr>
              <w:spacing w:before="0" w:after="0" w:line="240" w:lineRule="auto"/>
              <w:jc w:val="center"/>
              <w:rPr>
                <w:color w:val="000000"/>
                <w:sz w:val="22"/>
                <w:szCs w:val="22"/>
                <w:lang w:eastAsia="en-GB"/>
              </w:rPr>
            </w:pPr>
            <w:r w:rsidRPr="00EA455B">
              <w:rPr>
                <w:color w:val="000000"/>
                <w:sz w:val="22"/>
                <w:szCs w:val="22"/>
                <w:lang w:eastAsia="en-GB"/>
              </w:rPr>
              <w:t>Change heating to gas condensing boiler (fuel switch), flue gas heat recovery</w:t>
            </w:r>
          </w:p>
        </w:tc>
        <w:tc>
          <w:tcPr>
            <w:tcW w:w="791" w:type="dxa"/>
            <w:gridSpan w:val="2"/>
            <w:tcBorders>
              <w:top w:val="nil"/>
              <w:left w:val="nil"/>
              <w:bottom w:val="nil"/>
              <w:right w:val="nil"/>
            </w:tcBorders>
            <w:shd w:val="clear" w:color="auto" w:fill="auto"/>
            <w:noWrap/>
            <w:vAlign w:val="bottom"/>
            <w:hideMark/>
          </w:tcPr>
          <w:p w:rsidR="00134DD5" w:rsidRPr="00134DD5" w:rsidRDefault="00812EFF" w:rsidP="00812EFF">
            <w:pPr>
              <w:spacing w:before="0" w:after="0"/>
              <w:jc w:val="right"/>
              <w:rPr>
                <w:color w:val="000000"/>
                <w:sz w:val="22"/>
                <w:szCs w:val="22"/>
              </w:rPr>
            </w:pPr>
            <w:r>
              <w:rPr>
                <w:color w:val="000000"/>
                <w:sz w:val="22"/>
                <w:szCs w:val="22"/>
              </w:rPr>
              <w:t xml:space="preserve">  </w:t>
            </w:r>
            <w:r w:rsidR="00340197">
              <w:rPr>
                <w:color w:val="000000"/>
                <w:sz w:val="22"/>
                <w:szCs w:val="22"/>
              </w:rPr>
              <w:t>645</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0.1</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Change heating to gas condensing boiler (no fuel switch)</w:t>
            </w:r>
          </w:p>
        </w:tc>
        <w:tc>
          <w:tcPr>
            <w:tcW w:w="2446" w:type="dxa"/>
            <w:gridSpan w:val="3"/>
            <w:tcBorders>
              <w:top w:val="nil"/>
              <w:left w:val="nil"/>
              <w:bottom w:val="nil"/>
              <w:right w:val="nil"/>
            </w:tcBorders>
            <w:shd w:val="clear" w:color="auto" w:fill="auto"/>
            <w:noWrap/>
            <w:vAlign w:val="bottom"/>
            <w:hideMark/>
          </w:tcPr>
          <w:p w:rsidR="00134DD5" w:rsidRPr="00134DD5" w:rsidRDefault="00134DD5" w:rsidP="00812EFF">
            <w:pPr>
              <w:spacing w:before="0" w:after="0"/>
              <w:jc w:val="right"/>
              <w:rPr>
                <w:color w:val="000000"/>
                <w:sz w:val="22"/>
                <w:szCs w:val="22"/>
              </w:rPr>
            </w:pPr>
            <w:r w:rsidRPr="00134DD5">
              <w:rPr>
                <w:color w:val="000000"/>
                <w:sz w:val="22"/>
                <w:szCs w:val="22"/>
              </w:rPr>
              <w:t>1,</w:t>
            </w:r>
            <w:r w:rsidR="00340197">
              <w:rPr>
                <w:color w:val="000000"/>
                <w:sz w:val="22"/>
                <w:szCs w:val="22"/>
              </w:rPr>
              <w:t>673</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0.2</w:t>
            </w:r>
          </w:p>
        </w:tc>
      </w:tr>
      <w:tr w:rsidR="00134DD5" w:rsidRPr="00EA455B" w:rsidTr="00A35AB9">
        <w:trPr>
          <w:trHeight w:val="296"/>
        </w:trPr>
        <w:tc>
          <w:tcPr>
            <w:tcW w:w="8087" w:type="dxa"/>
            <w:gridSpan w:val="3"/>
            <w:tcBorders>
              <w:top w:val="nil"/>
              <w:left w:val="nil"/>
              <w:bottom w:val="nil"/>
              <w:right w:val="nil"/>
            </w:tcBorders>
            <w:shd w:val="clear" w:color="auto" w:fill="auto"/>
            <w:noWrap/>
            <w:vAlign w:val="bottom"/>
            <w:hideMark/>
          </w:tcPr>
          <w:p w:rsidR="00134DD5" w:rsidRPr="00EA455B" w:rsidRDefault="00134DD5" w:rsidP="00A35AB9">
            <w:pPr>
              <w:spacing w:before="0" w:after="0" w:line="240" w:lineRule="auto"/>
              <w:rPr>
                <w:color w:val="000000"/>
                <w:sz w:val="22"/>
                <w:szCs w:val="22"/>
                <w:lang w:eastAsia="en-GB"/>
              </w:rPr>
            </w:pPr>
            <w:r w:rsidRPr="00EA455B">
              <w:rPr>
                <w:color w:val="000000"/>
                <w:sz w:val="22"/>
                <w:szCs w:val="22"/>
                <w:lang w:eastAsia="en-GB"/>
              </w:rPr>
              <w:t xml:space="preserve">Change heating to gas condensing boiler (no </w:t>
            </w:r>
            <w:r w:rsidR="00A35AB9">
              <w:rPr>
                <w:color w:val="000000"/>
                <w:sz w:val="22"/>
                <w:szCs w:val="22"/>
                <w:lang w:eastAsia="en-GB"/>
              </w:rPr>
              <w:t>fuel switch</w:t>
            </w:r>
            <w:r w:rsidRPr="00EA455B">
              <w:rPr>
                <w:color w:val="000000"/>
                <w:sz w:val="22"/>
                <w:szCs w:val="22"/>
                <w:lang w:eastAsia="en-GB"/>
              </w:rPr>
              <w:t>), flue gas heat recovery</w:t>
            </w:r>
          </w:p>
        </w:tc>
        <w:tc>
          <w:tcPr>
            <w:tcW w:w="584" w:type="dxa"/>
            <w:tcBorders>
              <w:top w:val="nil"/>
              <w:left w:val="nil"/>
              <w:bottom w:val="nil"/>
              <w:right w:val="nil"/>
            </w:tcBorders>
            <w:shd w:val="clear" w:color="auto" w:fill="auto"/>
            <w:noWrap/>
            <w:vAlign w:val="bottom"/>
            <w:hideMark/>
          </w:tcPr>
          <w:p w:rsidR="00134DD5" w:rsidRPr="00134DD5" w:rsidRDefault="00340197" w:rsidP="00812EFF">
            <w:pPr>
              <w:spacing w:before="0" w:after="0"/>
              <w:jc w:val="right"/>
              <w:rPr>
                <w:color w:val="000000"/>
                <w:sz w:val="22"/>
                <w:szCs w:val="22"/>
              </w:rPr>
            </w:pPr>
            <w:r>
              <w:rPr>
                <w:color w:val="000000"/>
                <w:sz w:val="22"/>
                <w:szCs w:val="22"/>
              </w:rPr>
              <w:t>191</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0.0</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Condensing oil boiler</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812EFF">
            <w:pPr>
              <w:spacing w:before="0" w:after="0"/>
              <w:jc w:val="right"/>
              <w:rPr>
                <w:color w:val="000000"/>
                <w:sz w:val="22"/>
                <w:szCs w:val="22"/>
              </w:rPr>
            </w:pPr>
            <w:r>
              <w:rPr>
                <w:color w:val="000000"/>
                <w:sz w:val="22"/>
                <w:szCs w:val="22"/>
              </w:rPr>
              <w:t>1,176</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0.1</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Upgrade boiler, same fuel</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812EFF">
            <w:pPr>
              <w:spacing w:before="0" w:after="0"/>
              <w:jc w:val="right"/>
              <w:rPr>
                <w:color w:val="000000"/>
                <w:sz w:val="22"/>
                <w:szCs w:val="22"/>
              </w:rPr>
            </w:pPr>
            <w:r>
              <w:rPr>
                <w:color w:val="000000"/>
                <w:sz w:val="22"/>
                <w:szCs w:val="22"/>
              </w:rPr>
              <w:t>99,852</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9.0</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Upgrade boiler, same fuel, and flue gas heat recovery</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812EFF">
            <w:pPr>
              <w:spacing w:before="0" w:after="0"/>
              <w:jc w:val="right"/>
              <w:rPr>
                <w:color w:val="000000"/>
                <w:sz w:val="22"/>
                <w:szCs w:val="22"/>
              </w:rPr>
            </w:pPr>
            <w:r>
              <w:rPr>
                <w:color w:val="000000"/>
                <w:sz w:val="22"/>
                <w:szCs w:val="22"/>
              </w:rPr>
              <w:t>11,493</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1.0</w:t>
            </w:r>
          </w:p>
        </w:tc>
      </w:tr>
      <w:tr w:rsidR="00D65354" w:rsidRPr="00EA455B" w:rsidTr="00A35AB9">
        <w:trPr>
          <w:trHeight w:val="296"/>
        </w:trPr>
        <w:tc>
          <w:tcPr>
            <w:tcW w:w="6225" w:type="dxa"/>
            <w:tcBorders>
              <w:top w:val="nil"/>
              <w:left w:val="nil"/>
              <w:bottom w:val="nil"/>
              <w:right w:val="nil"/>
            </w:tcBorders>
            <w:shd w:val="clear" w:color="auto" w:fill="auto"/>
            <w:noWrap/>
            <w:vAlign w:val="bottom"/>
          </w:tcPr>
          <w:p w:rsidR="00D65354" w:rsidRPr="00EA455B" w:rsidRDefault="00D65354" w:rsidP="00415EE4">
            <w:pPr>
              <w:spacing w:before="0" w:after="0" w:line="240" w:lineRule="auto"/>
              <w:rPr>
                <w:color w:val="000000"/>
                <w:sz w:val="22"/>
                <w:szCs w:val="22"/>
                <w:lang w:eastAsia="en-GB"/>
              </w:rPr>
            </w:pPr>
          </w:p>
        </w:tc>
        <w:tc>
          <w:tcPr>
            <w:tcW w:w="2446" w:type="dxa"/>
            <w:gridSpan w:val="3"/>
            <w:tcBorders>
              <w:top w:val="nil"/>
              <w:left w:val="nil"/>
              <w:bottom w:val="nil"/>
              <w:right w:val="nil"/>
            </w:tcBorders>
            <w:shd w:val="clear" w:color="auto" w:fill="auto"/>
            <w:noWrap/>
            <w:vAlign w:val="bottom"/>
          </w:tcPr>
          <w:p w:rsidR="00D65354" w:rsidRDefault="00D65354" w:rsidP="00812EFF">
            <w:pPr>
              <w:spacing w:before="0" w:after="0"/>
              <w:jc w:val="right"/>
              <w:rPr>
                <w:color w:val="000000"/>
                <w:sz w:val="22"/>
                <w:szCs w:val="22"/>
              </w:rPr>
            </w:pPr>
          </w:p>
        </w:tc>
        <w:tc>
          <w:tcPr>
            <w:tcW w:w="1656" w:type="dxa"/>
            <w:tcBorders>
              <w:top w:val="nil"/>
              <w:left w:val="nil"/>
              <w:bottom w:val="nil"/>
              <w:right w:val="nil"/>
            </w:tcBorders>
            <w:shd w:val="clear" w:color="auto" w:fill="auto"/>
            <w:noWrap/>
            <w:vAlign w:val="bottom"/>
          </w:tcPr>
          <w:p w:rsidR="00D65354" w:rsidRDefault="00D65354" w:rsidP="00134DD5">
            <w:pPr>
              <w:spacing w:before="0" w:after="0"/>
              <w:jc w:val="right"/>
              <w:rPr>
                <w:i/>
                <w:iCs/>
                <w:color w:val="000000"/>
                <w:sz w:val="22"/>
                <w:szCs w:val="22"/>
              </w:rPr>
            </w:pPr>
          </w:p>
        </w:tc>
      </w:tr>
      <w:tr w:rsidR="00134DD5" w:rsidRPr="00EA455B" w:rsidTr="00A35AB9">
        <w:trPr>
          <w:trHeight w:val="312"/>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lastRenderedPageBreak/>
              <w:t>Cavity wall insulation</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b/>
                <w:bCs/>
                <w:color w:val="000000"/>
                <w:sz w:val="22"/>
                <w:szCs w:val="22"/>
              </w:rPr>
            </w:pPr>
            <w:r>
              <w:rPr>
                <w:b/>
                <w:bCs/>
                <w:color w:val="000000"/>
                <w:sz w:val="22"/>
                <w:szCs w:val="22"/>
              </w:rPr>
              <w:t>119,362</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b/>
                <w:bCs/>
                <w:i/>
                <w:iCs/>
                <w:color w:val="000000"/>
                <w:sz w:val="22"/>
                <w:szCs w:val="22"/>
              </w:rPr>
            </w:pPr>
            <w:r>
              <w:rPr>
                <w:b/>
                <w:bCs/>
                <w:i/>
                <w:iCs/>
                <w:color w:val="000000"/>
                <w:sz w:val="22"/>
                <w:szCs w:val="22"/>
              </w:rPr>
              <w:t>10.8</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p>
        </w:tc>
        <w:tc>
          <w:tcPr>
            <w:tcW w:w="2446" w:type="dxa"/>
            <w:gridSpan w:val="3"/>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p>
        </w:tc>
      </w:tr>
      <w:tr w:rsidR="00134DD5" w:rsidRPr="00EA455B" w:rsidTr="00A35AB9">
        <w:trPr>
          <w:trHeight w:val="312"/>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t>Loft Insulation</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b/>
                <w:bCs/>
                <w:color w:val="000000"/>
                <w:sz w:val="22"/>
                <w:szCs w:val="22"/>
              </w:rPr>
            </w:pPr>
            <w:r>
              <w:rPr>
                <w:b/>
                <w:bCs/>
                <w:color w:val="000000"/>
                <w:sz w:val="22"/>
                <w:szCs w:val="22"/>
              </w:rPr>
              <w:t>168,447</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r w:rsidRPr="00134DD5">
              <w:rPr>
                <w:b/>
                <w:bCs/>
                <w:i/>
                <w:iCs/>
                <w:color w:val="000000"/>
                <w:sz w:val="22"/>
                <w:szCs w:val="22"/>
              </w:rPr>
              <w:t>15.2</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Loft Insulation</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160,195</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14.5</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Room-in-roof insulation</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8,252</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0.7</w:t>
            </w:r>
          </w:p>
        </w:tc>
      </w:tr>
      <w:tr w:rsidR="00134DD5" w:rsidRPr="00EA455B" w:rsidTr="00A35AB9">
        <w:trPr>
          <w:trHeight w:val="312"/>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p>
        </w:tc>
        <w:tc>
          <w:tcPr>
            <w:tcW w:w="2446" w:type="dxa"/>
            <w:gridSpan w:val="3"/>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p>
        </w:tc>
      </w:tr>
      <w:tr w:rsidR="00134DD5" w:rsidRPr="00EA455B" w:rsidTr="00A35AB9">
        <w:trPr>
          <w:trHeight w:val="312"/>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t>Micro-generation</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b/>
                <w:bCs/>
                <w:color w:val="000000"/>
                <w:sz w:val="22"/>
                <w:szCs w:val="22"/>
              </w:rPr>
            </w:pPr>
            <w:r>
              <w:rPr>
                <w:b/>
                <w:bCs/>
                <w:color w:val="000000"/>
                <w:sz w:val="22"/>
                <w:szCs w:val="22"/>
              </w:rPr>
              <w:t>248,272</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b/>
                <w:bCs/>
                <w:i/>
                <w:iCs/>
                <w:color w:val="000000"/>
                <w:sz w:val="22"/>
                <w:szCs w:val="22"/>
              </w:rPr>
            </w:pPr>
            <w:r>
              <w:rPr>
                <w:b/>
                <w:bCs/>
                <w:i/>
                <w:iCs/>
                <w:color w:val="000000"/>
                <w:sz w:val="22"/>
                <w:szCs w:val="22"/>
              </w:rPr>
              <w:t>22.4</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Air source heat pump with radiators</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2,666</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0.2</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 xml:space="preserve">Air source heat pump with </w:t>
            </w:r>
            <w:proofErr w:type="spellStart"/>
            <w:r w:rsidRPr="00EA455B">
              <w:rPr>
                <w:color w:val="000000"/>
                <w:sz w:val="22"/>
                <w:szCs w:val="22"/>
                <w:lang w:eastAsia="en-GB"/>
              </w:rPr>
              <w:t>underfloor</w:t>
            </w:r>
            <w:proofErr w:type="spellEnd"/>
            <w:r w:rsidRPr="00EA455B">
              <w:rPr>
                <w:color w:val="000000"/>
                <w:sz w:val="22"/>
                <w:szCs w:val="22"/>
                <w:lang w:eastAsia="en-GB"/>
              </w:rPr>
              <w:t xml:space="preserve"> heating</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23</w:t>
            </w:r>
            <w:r w:rsidR="00134DD5" w:rsidRPr="00134DD5">
              <w:rPr>
                <w:color w:val="000000"/>
                <w:sz w:val="22"/>
                <w:szCs w:val="22"/>
              </w:rPr>
              <w:t>2</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0.0</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Biomass wood logs boiler</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3,930</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0.4</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Biomass wood pellets room heater with boiler</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1,965</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0.2</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Ground source heat pump with radiators</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530</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0.0</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 xml:space="preserve">Ground source heat pump with </w:t>
            </w:r>
            <w:proofErr w:type="spellStart"/>
            <w:r w:rsidRPr="00EA455B">
              <w:rPr>
                <w:color w:val="000000"/>
                <w:sz w:val="22"/>
                <w:szCs w:val="22"/>
                <w:lang w:eastAsia="en-GB"/>
              </w:rPr>
              <w:t>underfloor</w:t>
            </w:r>
            <w:proofErr w:type="spellEnd"/>
            <w:r w:rsidRPr="00EA455B">
              <w:rPr>
                <w:color w:val="000000"/>
                <w:sz w:val="22"/>
                <w:szCs w:val="22"/>
                <w:lang w:eastAsia="en-GB"/>
              </w:rPr>
              <w:t xml:space="preserve"> heating</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134</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0.0</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Micro-CHP</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209</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0.0</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Photovoltaics</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129,501</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11.7</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Solar water heating</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96,672</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8.7</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Wind turbine (on mast)</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1,072</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0.1</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Wind turbine (roof mounted)</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11,361</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1.0</w:t>
            </w:r>
          </w:p>
        </w:tc>
      </w:tr>
      <w:tr w:rsidR="00134DD5" w:rsidRPr="00EA455B" w:rsidTr="00A35AB9">
        <w:trPr>
          <w:trHeight w:val="312"/>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p>
        </w:tc>
        <w:tc>
          <w:tcPr>
            <w:tcW w:w="2446" w:type="dxa"/>
            <w:gridSpan w:val="3"/>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p>
        </w:tc>
      </w:tr>
      <w:tr w:rsidR="00134DD5" w:rsidRPr="00EA455B" w:rsidTr="00A35AB9">
        <w:trPr>
          <w:trHeight w:val="312"/>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t>Other Heating</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b/>
                <w:bCs/>
                <w:color w:val="000000"/>
                <w:sz w:val="22"/>
                <w:szCs w:val="22"/>
              </w:rPr>
            </w:pPr>
            <w:r>
              <w:rPr>
                <w:b/>
                <w:bCs/>
                <w:color w:val="000000"/>
                <w:sz w:val="22"/>
                <w:szCs w:val="22"/>
              </w:rPr>
              <w:t>109,886</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b/>
                <w:bCs/>
                <w:i/>
                <w:iCs/>
                <w:color w:val="000000"/>
                <w:sz w:val="22"/>
                <w:szCs w:val="22"/>
              </w:rPr>
            </w:pPr>
            <w:r>
              <w:rPr>
                <w:b/>
                <w:bCs/>
                <w:i/>
                <w:iCs/>
                <w:color w:val="000000"/>
                <w:sz w:val="22"/>
                <w:szCs w:val="22"/>
              </w:rPr>
              <w:t>9.9</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Cylinder thermostat</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15,675</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1.4</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Heating controls for warm air system</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692</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0.1</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Heating controls for wet central heating system</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82,080</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7.4</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New or replacement storage heaters</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6,113</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0.6</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Replacement warm-air unit</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381</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0.0</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Waste water heat recovery</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4,945</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0.4</w:t>
            </w:r>
          </w:p>
        </w:tc>
      </w:tr>
      <w:tr w:rsidR="00134DD5" w:rsidRPr="00EA455B" w:rsidTr="00A35AB9">
        <w:trPr>
          <w:trHeight w:val="312"/>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p>
        </w:tc>
        <w:tc>
          <w:tcPr>
            <w:tcW w:w="2446" w:type="dxa"/>
            <w:gridSpan w:val="3"/>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p>
        </w:tc>
      </w:tr>
      <w:tr w:rsidR="00134DD5" w:rsidRPr="00EA455B" w:rsidTr="00A35AB9">
        <w:trPr>
          <w:trHeight w:val="312"/>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t>Other Insulation</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b/>
                <w:bCs/>
                <w:color w:val="000000"/>
                <w:sz w:val="22"/>
                <w:szCs w:val="22"/>
              </w:rPr>
            </w:pPr>
            <w:r>
              <w:rPr>
                <w:b/>
                <w:bCs/>
                <w:color w:val="000000"/>
                <w:sz w:val="22"/>
                <w:szCs w:val="22"/>
              </w:rPr>
              <w:t>221,854</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b/>
                <w:bCs/>
                <w:i/>
                <w:iCs/>
                <w:color w:val="000000"/>
                <w:sz w:val="22"/>
                <w:szCs w:val="22"/>
              </w:rPr>
            </w:pPr>
            <w:r>
              <w:rPr>
                <w:b/>
                <w:bCs/>
                <w:i/>
                <w:iCs/>
                <w:color w:val="000000"/>
                <w:sz w:val="22"/>
                <w:szCs w:val="22"/>
              </w:rPr>
              <w:t>20.0</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proofErr w:type="spellStart"/>
            <w:r w:rsidRPr="00EA455B">
              <w:rPr>
                <w:color w:val="000000"/>
                <w:sz w:val="22"/>
                <w:szCs w:val="22"/>
                <w:lang w:eastAsia="en-GB"/>
              </w:rPr>
              <w:t>Draughtproofing</w:t>
            </w:r>
            <w:proofErr w:type="spellEnd"/>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31,119</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2.8</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Flat roof insulation</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7,058</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0.6</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Floor insulation</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129,463</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11.7</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Hot water cylinder insulation</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28,121</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2.5</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Insulated doors</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26,093</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2.4</w:t>
            </w:r>
          </w:p>
        </w:tc>
      </w:tr>
      <w:tr w:rsidR="00134DD5" w:rsidRPr="00EA455B" w:rsidTr="00A35AB9">
        <w:trPr>
          <w:trHeight w:val="312"/>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p>
        </w:tc>
        <w:tc>
          <w:tcPr>
            <w:tcW w:w="2446" w:type="dxa"/>
            <w:gridSpan w:val="3"/>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p>
        </w:tc>
      </w:tr>
      <w:tr w:rsidR="00134DD5" w:rsidRPr="00EA455B" w:rsidTr="00A35AB9">
        <w:trPr>
          <w:trHeight w:val="312"/>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t>Solid Wall Insulation</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b/>
                <w:bCs/>
                <w:color w:val="000000"/>
                <w:sz w:val="22"/>
                <w:szCs w:val="22"/>
              </w:rPr>
            </w:pPr>
            <w:r>
              <w:rPr>
                <w:b/>
                <w:bCs/>
                <w:color w:val="000000"/>
                <w:sz w:val="22"/>
                <w:szCs w:val="22"/>
              </w:rPr>
              <w:t>97,698</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b/>
                <w:bCs/>
                <w:i/>
                <w:iCs/>
                <w:color w:val="000000"/>
                <w:sz w:val="22"/>
                <w:szCs w:val="22"/>
              </w:rPr>
            </w:pPr>
            <w:r>
              <w:rPr>
                <w:b/>
                <w:bCs/>
                <w:i/>
                <w:iCs/>
                <w:color w:val="000000"/>
                <w:sz w:val="22"/>
                <w:szCs w:val="22"/>
              </w:rPr>
              <w:t>8.8</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External insulation with cavity wall insulation</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4,383</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0.4</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CF3099">
            <w:pPr>
              <w:spacing w:before="0" w:after="0" w:line="240" w:lineRule="auto"/>
              <w:rPr>
                <w:color w:val="000000"/>
                <w:sz w:val="22"/>
                <w:szCs w:val="22"/>
                <w:lang w:eastAsia="en-GB"/>
              </w:rPr>
            </w:pPr>
            <w:r w:rsidRPr="00EA455B">
              <w:rPr>
                <w:color w:val="000000"/>
                <w:sz w:val="22"/>
                <w:szCs w:val="22"/>
                <w:lang w:eastAsia="en-GB"/>
              </w:rPr>
              <w:t>Solid wall insulation (pre 1967 E&amp;W, pre 1965 Scotland)</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56,204</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5.1</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Solid wall insulation (from 1967 E&amp;W, from 1965 Scotland)</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37,111</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3.4</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p>
        </w:tc>
        <w:tc>
          <w:tcPr>
            <w:tcW w:w="2446" w:type="dxa"/>
            <w:gridSpan w:val="3"/>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p>
        </w:tc>
      </w:tr>
      <w:tr w:rsidR="00134DD5" w:rsidRPr="00EA455B" w:rsidTr="00A35AB9">
        <w:trPr>
          <w:trHeight w:val="312"/>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t>Window Glazing</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b/>
                <w:bCs/>
                <w:color w:val="000000"/>
                <w:sz w:val="22"/>
                <w:szCs w:val="22"/>
              </w:rPr>
            </w:pPr>
            <w:r>
              <w:rPr>
                <w:b/>
                <w:bCs/>
                <w:color w:val="000000"/>
                <w:sz w:val="22"/>
                <w:szCs w:val="22"/>
              </w:rPr>
              <w:t>22,699</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b/>
                <w:bCs/>
                <w:i/>
                <w:iCs/>
                <w:color w:val="000000"/>
                <w:sz w:val="22"/>
                <w:szCs w:val="22"/>
              </w:rPr>
            </w:pPr>
            <w:r>
              <w:rPr>
                <w:b/>
                <w:bCs/>
                <w:i/>
                <w:iCs/>
                <w:color w:val="000000"/>
                <w:sz w:val="22"/>
                <w:szCs w:val="22"/>
              </w:rPr>
              <w:t>2.0</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Double glazing</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20,812</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1.9</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Secondary glazing</w:t>
            </w:r>
          </w:p>
        </w:tc>
        <w:tc>
          <w:tcPr>
            <w:tcW w:w="2446" w:type="dxa"/>
            <w:gridSpan w:val="3"/>
            <w:tcBorders>
              <w:top w:val="nil"/>
              <w:left w:val="nil"/>
              <w:bottom w:val="nil"/>
              <w:right w:val="nil"/>
            </w:tcBorders>
            <w:shd w:val="clear" w:color="auto" w:fill="auto"/>
            <w:noWrap/>
            <w:vAlign w:val="bottom"/>
            <w:hideMark/>
          </w:tcPr>
          <w:p w:rsidR="00134DD5" w:rsidRPr="00134DD5" w:rsidRDefault="00134DD5" w:rsidP="00340197">
            <w:pPr>
              <w:spacing w:before="0" w:after="0"/>
              <w:jc w:val="right"/>
              <w:rPr>
                <w:color w:val="000000"/>
                <w:sz w:val="22"/>
                <w:szCs w:val="22"/>
              </w:rPr>
            </w:pPr>
            <w:r w:rsidRPr="00134DD5">
              <w:rPr>
                <w:color w:val="000000"/>
                <w:sz w:val="22"/>
                <w:szCs w:val="22"/>
              </w:rPr>
              <w:t>1,</w:t>
            </w:r>
            <w:r w:rsidR="00340197">
              <w:rPr>
                <w:color w:val="000000"/>
                <w:sz w:val="22"/>
                <w:szCs w:val="22"/>
              </w:rPr>
              <w:t>378</w:t>
            </w: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0.1</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Triple glazing</w:t>
            </w:r>
          </w:p>
        </w:tc>
        <w:tc>
          <w:tcPr>
            <w:tcW w:w="2446" w:type="dxa"/>
            <w:gridSpan w:val="3"/>
            <w:tcBorders>
              <w:top w:val="nil"/>
              <w:left w:val="nil"/>
              <w:bottom w:val="nil"/>
              <w:right w:val="nil"/>
            </w:tcBorders>
            <w:shd w:val="clear" w:color="auto" w:fill="auto"/>
            <w:noWrap/>
            <w:vAlign w:val="bottom"/>
            <w:hideMark/>
          </w:tcPr>
          <w:p w:rsidR="00134DD5" w:rsidRPr="00134DD5" w:rsidRDefault="00340197" w:rsidP="00134DD5">
            <w:pPr>
              <w:spacing w:before="0" w:after="0"/>
              <w:jc w:val="right"/>
              <w:rPr>
                <w:color w:val="000000"/>
                <w:sz w:val="22"/>
                <w:szCs w:val="22"/>
              </w:rPr>
            </w:pPr>
            <w:r>
              <w:rPr>
                <w:color w:val="000000"/>
                <w:sz w:val="22"/>
                <w:szCs w:val="22"/>
              </w:rPr>
              <w:t>509</w:t>
            </w:r>
          </w:p>
        </w:tc>
        <w:tc>
          <w:tcPr>
            <w:tcW w:w="1656" w:type="dxa"/>
            <w:tcBorders>
              <w:top w:val="nil"/>
              <w:left w:val="nil"/>
              <w:bottom w:val="nil"/>
              <w:right w:val="nil"/>
            </w:tcBorders>
            <w:shd w:val="clear" w:color="auto" w:fill="auto"/>
            <w:noWrap/>
            <w:vAlign w:val="bottom"/>
            <w:hideMark/>
          </w:tcPr>
          <w:p w:rsidR="00134DD5" w:rsidRPr="00134DD5" w:rsidRDefault="006E041B" w:rsidP="00134DD5">
            <w:pPr>
              <w:spacing w:before="0" w:after="0"/>
              <w:jc w:val="right"/>
              <w:rPr>
                <w:i/>
                <w:iCs/>
                <w:color w:val="000000"/>
                <w:sz w:val="22"/>
                <w:szCs w:val="22"/>
              </w:rPr>
            </w:pPr>
            <w:r>
              <w:rPr>
                <w:i/>
                <w:iCs/>
                <w:color w:val="000000"/>
                <w:sz w:val="22"/>
                <w:szCs w:val="22"/>
              </w:rPr>
              <w:t>0.0</w:t>
            </w:r>
          </w:p>
        </w:tc>
      </w:tr>
      <w:tr w:rsidR="00134DD5" w:rsidRPr="00EA455B" w:rsidTr="00A35AB9">
        <w:trPr>
          <w:trHeight w:val="296"/>
        </w:trPr>
        <w:tc>
          <w:tcPr>
            <w:tcW w:w="6225"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p>
        </w:tc>
        <w:tc>
          <w:tcPr>
            <w:tcW w:w="2446" w:type="dxa"/>
            <w:gridSpan w:val="3"/>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p>
        </w:tc>
        <w:tc>
          <w:tcPr>
            <w:tcW w:w="1656" w:type="dxa"/>
            <w:tcBorders>
              <w:top w:val="nil"/>
              <w:left w:val="nil"/>
              <w:bottom w:val="nil"/>
              <w:right w:val="nil"/>
            </w:tcBorders>
            <w:shd w:val="clear" w:color="auto" w:fill="auto"/>
            <w:noWrap/>
            <w:vAlign w:val="bottom"/>
            <w:hideMark/>
          </w:tcPr>
          <w:p w:rsidR="00134DD5" w:rsidRPr="00134DD5" w:rsidRDefault="00134DD5" w:rsidP="00134DD5">
            <w:pPr>
              <w:spacing w:before="0" w:after="0"/>
              <w:rPr>
                <w:i/>
                <w:iCs/>
                <w:color w:val="000000"/>
                <w:sz w:val="22"/>
                <w:szCs w:val="22"/>
              </w:rPr>
            </w:pPr>
          </w:p>
        </w:tc>
      </w:tr>
      <w:tr w:rsidR="00134DD5" w:rsidRPr="00EA455B" w:rsidTr="00A35AB9">
        <w:trPr>
          <w:trHeight w:val="312"/>
        </w:trPr>
        <w:tc>
          <w:tcPr>
            <w:tcW w:w="6225" w:type="dxa"/>
            <w:tcBorders>
              <w:top w:val="nil"/>
              <w:left w:val="nil"/>
              <w:bottom w:val="single" w:sz="4" w:space="0" w:color="auto"/>
              <w:right w:val="nil"/>
            </w:tcBorders>
            <w:shd w:val="clear" w:color="000000" w:fill="FFFFFF"/>
            <w:noWrap/>
            <w:vAlign w:val="bottom"/>
            <w:hideMark/>
          </w:tcPr>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t>Total</w:t>
            </w:r>
          </w:p>
        </w:tc>
        <w:tc>
          <w:tcPr>
            <w:tcW w:w="2446" w:type="dxa"/>
            <w:gridSpan w:val="3"/>
            <w:tcBorders>
              <w:top w:val="nil"/>
              <w:left w:val="nil"/>
              <w:bottom w:val="single" w:sz="4" w:space="0" w:color="auto"/>
              <w:right w:val="nil"/>
            </w:tcBorders>
            <w:shd w:val="clear" w:color="auto" w:fill="auto"/>
            <w:noWrap/>
            <w:vAlign w:val="bottom"/>
            <w:hideMark/>
          </w:tcPr>
          <w:p w:rsidR="00134DD5" w:rsidRPr="00134DD5" w:rsidRDefault="006E041B" w:rsidP="00134DD5">
            <w:pPr>
              <w:spacing w:before="0" w:after="0"/>
              <w:jc w:val="right"/>
              <w:rPr>
                <w:b/>
                <w:bCs/>
                <w:color w:val="000000"/>
                <w:sz w:val="22"/>
                <w:szCs w:val="22"/>
              </w:rPr>
            </w:pPr>
            <w:r>
              <w:rPr>
                <w:b/>
                <w:bCs/>
                <w:color w:val="000000"/>
                <w:sz w:val="22"/>
                <w:szCs w:val="22"/>
              </w:rPr>
              <w:t>1,107,559</w:t>
            </w:r>
          </w:p>
        </w:tc>
        <w:tc>
          <w:tcPr>
            <w:tcW w:w="1656" w:type="dxa"/>
            <w:tcBorders>
              <w:top w:val="nil"/>
              <w:left w:val="nil"/>
              <w:bottom w:val="single" w:sz="4" w:space="0" w:color="auto"/>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r w:rsidRPr="00134DD5">
              <w:rPr>
                <w:b/>
                <w:bCs/>
                <w:i/>
                <w:iCs/>
                <w:color w:val="000000"/>
                <w:sz w:val="22"/>
                <w:szCs w:val="22"/>
              </w:rPr>
              <w:t>100</w:t>
            </w:r>
          </w:p>
        </w:tc>
      </w:tr>
    </w:tbl>
    <w:p w:rsidR="00ED2911" w:rsidRDefault="00ED2911" w:rsidP="00ED2911">
      <w:pPr>
        <w:spacing w:after="0" w:line="270" w:lineRule="atLeast"/>
        <w:jc w:val="both"/>
        <w:rPr>
          <w:bCs/>
          <w:sz w:val="21"/>
          <w:szCs w:val="21"/>
        </w:rPr>
      </w:pPr>
      <w:r w:rsidRPr="003D6AAC">
        <w:rPr>
          <w:bCs/>
          <w:sz w:val="21"/>
          <w:szCs w:val="21"/>
          <w:vertAlign w:val="superscript"/>
        </w:rPr>
        <w:t>1</w:t>
      </w:r>
      <w:r w:rsidRPr="003D6AAC">
        <w:rPr>
          <w:bCs/>
          <w:sz w:val="21"/>
          <w:szCs w:val="21"/>
        </w:rPr>
        <w:t xml:space="preserve"> </w:t>
      </w:r>
      <w:r w:rsidRPr="00D92110">
        <w:rPr>
          <w:bCs/>
          <w:sz w:val="21"/>
          <w:szCs w:val="21"/>
        </w:rPr>
        <w:t>Does not include recommended improvements from the Green Deal Improvement Package tool.</w:t>
      </w:r>
    </w:p>
    <w:p w:rsidR="003D3CD9" w:rsidRDefault="00ED2911" w:rsidP="00A3327B">
      <w:pPr>
        <w:spacing w:after="0" w:line="270" w:lineRule="atLeast"/>
        <w:jc w:val="both"/>
        <w:rPr>
          <w:bCs/>
          <w:sz w:val="21"/>
          <w:szCs w:val="21"/>
        </w:rPr>
      </w:pPr>
      <w:r w:rsidRPr="00D92110">
        <w:rPr>
          <w:bCs/>
          <w:sz w:val="21"/>
          <w:szCs w:val="21"/>
          <w:vertAlign w:val="superscript"/>
        </w:rPr>
        <w:t>2</w:t>
      </w:r>
      <w:r>
        <w:rPr>
          <w:bCs/>
          <w:sz w:val="21"/>
          <w:szCs w:val="21"/>
        </w:rPr>
        <w:t xml:space="preserve"> </w:t>
      </w:r>
      <w:r w:rsidRPr="003D6AAC">
        <w:rPr>
          <w:bCs/>
          <w:sz w:val="21"/>
          <w:szCs w:val="21"/>
        </w:rPr>
        <w:t xml:space="preserve">More than one improvement can be recommended per Assessment. On average, there are </w:t>
      </w:r>
      <w:r w:rsidR="00331FD0">
        <w:rPr>
          <w:bCs/>
          <w:sz w:val="21"/>
          <w:szCs w:val="21"/>
        </w:rPr>
        <w:t xml:space="preserve">around </w:t>
      </w:r>
      <w:r w:rsidRPr="003D6AAC">
        <w:rPr>
          <w:bCs/>
          <w:sz w:val="21"/>
          <w:szCs w:val="21"/>
        </w:rPr>
        <w:t>three improvements recommended per Assessment.</w:t>
      </w:r>
    </w:p>
    <w:p w:rsidR="00415EE4" w:rsidRDefault="00C351B2" w:rsidP="00415EE4">
      <w:pPr>
        <w:spacing w:before="0" w:after="0" w:line="270" w:lineRule="atLeast"/>
        <w:jc w:val="both"/>
        <w:rPr>
          <w:b/>
          <w:bCs/>
        </w:rPr>
      </w:pPr>
      <w:r w:rsidRPr="00781E03">
        <w:rPr>
          <w:b/>
          <w:bCs/>
        </w:rPr>
        <w:lastRenderedPageBreak/>
        <w:t>Table 1.5</w:t>
      </w:r>
      <w:r w:rsidR="00556BEC" w:rsidRPr="00781E03">
        <w:rPr>
          <w:b/>
          <w:bCs/>
        </w:rPr>
        <w:t>b</w:t>
      </w:r>
      <w:r w:rsidR="00415EE4" w:rsidRPr="00781E03">
        <w:rPr>
          <w:b/>
          <w:bCs/>
        </w:rPr>
        <w:t xml:space="preserve">: Number of improvements recommended per Green Deal Assessment, up to </w:t>
      </w:r>
      <w:r w:rsidR="007E138E" w:rsidRPr="00781E03">
        <w:rPr>
          <w:b/>
          <w:bCs/>
        </w:rPr>
        <w:t xml:space="preserve">30th </w:t>
      </w:r>
      <w:r w:rsidR="00665048" w:rsidRPr="00781E03">
        <w:rPr>
          <w:b/>
          <w:bCs/>
        </w:rPr>
        <w:t>September</w:t>
      </w:r>
      <w:r w:rsidR="002F723B" w:rsidRPr="00781E03">
        <w:rPr>
          <w:b/>
          <w:bCs/>
        </w:rPr>
        <w:t xml:space="preserve"> 2014</w:t>
      </w:r>
      <w:r w:rsidR="00415EE4" w:rsidRPr="00781E03">
        <w:rPr>
          <w:b/>
          <w:bCs/>
        </w:rPr>
        <w:t xml:space="preserve">, </w:t>
      </w:r>
      <w:r w:rsidR="00346104" w:rsidRPr="00781E03">
        <w:rPr>
          <w:b/>
          <w:bCs/>
        </w:rPr>
        <w:t>Great Britain</w:t>
      </w:r>
    </w:p>
    <w:p w:rsidR="00415EE4" w:rsidRPr="00C72A20" w:rsidRDefault="00415EE4" w:rsidP="00415EE4">
      <w:pPr>
        <w:spacing w:before="0" w:after="0" w:line="270" w:lineRule="atLeast"/>
        <w:rPr>
          <w:b/>
          <w:bCs/>
        </w:rPr>
      </w:pPr>
    </w:p>
    <w:tbl>
      <w:tblPr>
        <w:tblW w:w="9371" w:type="dxa"/>
        <w:tblInd w:w="93" w:type="dxa"/>
        <w:tblLook w:val="04A0" w:firstRow="1" w:lastRow="0" w:firstColumn="1" w:lastColumn="0" w:noHBand="0" w:noVBand="1"/>
      </w:tblPr>
      <w:tblGrid>
        <w:gridCol w:w="3782"/>
        <w:gridCol w:w="358"/>
        <w:gridCol w:w="2540"/>
        <w:gridCol w:w="2691"/>
      </w:tblGrid>
      <w:tr w:rsidR="00415EE4" w:rsidRPr="00E35530" w:rsidTr="004955B3">
        <w:trPr>
          <w:trHeight w:val="555"/>
        </w:trPr>
        <w:tc>
          <w:tcPr>
            <w:tcW w:w="4140" w:type="dxa"/>
            <w:gridSpan w:val="2"/>
            <w:tcBorders>
              <w:top w:val="single" w:sz="4" w:space="0" w:color="auto"/>
              <w:left w:val="nil"/>
              <w:bottom w:val="single" w:sz="4" w:space="0" w:color="auto"/>
              <w:right w:val="nil"/>
            </w:tcBorders>
            <w:shd w:val="clear" w:color="auto" w:fill="auto"/>
            <w:noWrap/>
            <w:vAlign w:val="center"/>
            <w:hideMark/>
          </w:tcPr>
          <w:p w:rsidR="00415EE4" w:rsidRPr="00E35530" w:rsidRDefault="00415EE4" w:rsidP="00415EE4">
            <w:pPr>
              <w:spacing w:before="0" w:after="0" w:line="240" w:lineRule="auto"/>
              <w:rPr>
                <w:color w:val="000000"/>
                <w:lang w:eastAsia="en-GB"/>
              </w:rPr>
            </w:pPr>
            <w:r w:rsidRPr="00E35530">
              <w:rPr>
                <w:color w:val="000000"/>
                <w:lang w:eastAsia="en-GB"/>
              </w:rPr>
              <w:t>Number of improvements recommended</w:t>
            </w:r>
          </w:p>
        </w:tc>
        <w:tc>
          <w:tcPr>
            <w:tcW w:w="2540" w:type="dxa"/>
            <w:tcBorders>
              <w:top w:val="single" w:sz="4" w:space="0" w:color="auto"/>
              <w:left w:val="nil"/>
              <w:bottom w:val="single" w:sz="4" w:space="0" w:color="auto"/>
              <w:right w:val="nil"/>
            </w:tcBorders>
            <w:shd w:val="clear" w:color="auto" w:fill="auto"/>
            <w:vAlign w:val="center"/>
            <w:hideMark/>
          </w:tcPr>
          <w:p w:rsidR="00415EE4" w:rsidRPr="00E35530" w:rsidRDefault="00415EE4" w:rsidP="00415EE4">
            <w:pPr>
              <w:spacing w:before="0" w:after="0" w:line="240" w:lineRule="auto"/>
              <w:jc w:val="right"/>
              <w:rPr>
                <w:color w:val="000000"/>
                <w:lang w:eastAsia="en-GB"/>
              </w:rPr>
            </w:pPr>
            <w:r w:rsidRPr="00E35530">
              <w:rPr>
                <w:color w:val="000000"/>
                <w:lang w:eastAsia="en-GB"/>
              </w:rPr>
              <w:t>Number of Green Deal Assessments</w:t>
            </w:r>
          </w:p>
        </w:tc>
        <w:tc>
          <w:tcPr>
            <w:tcW w:w="2691" w:type="dxa"/>
            <w:tcBorders>
              <w:top w:val="single" w:sz="4" w:space="0" w:color="auto"/>
              <w:left w:val="nil"/>
              <w:bottom w:val="single" w:sz="4" w:space="0" w:color="auto"/>
              <w:right w:val="nil"/>
            </w:tcBorders>
            <w:shd w:val="clear" w:color="auto" w:fill="auto"/>
            <w:vAlign w:val="center"/>
            <w:hideMark/>
          </w:tcPr>
          <w:p w:rsidR="00415EE4" w:rsidRPr="00E35530" w:rsidRDefault="00415EE4" w:rsidP="00415EE4">
            <w:pPr>
              <w:spacing w:before="0" w:after="0" w:line="240" w:lineRule="auto"/>
              <w:jc w:val="right"/>
              <w:rPr>
                <w:color w:val="000000"/>
                <w:lang w:eastAsia="en-GB"/>
              </w:rPr>
            </w:pPr>
            <w:r w:rsidRPr="00E35530">
              <w:rPr>
                <w:color w:val="000000"/>
                <w:lang w:eastAsia="en-GB"/>
              </w:rPr>
              <w:t>Percentage of Green Deal Assessments</w:t>
            </w:r>
          </w:p>
        </w:tc>
      </w:tr>
      <w:tr w:rsidR="003612DE" w:rsidRPr="00E35530" w:rsidTr="004955B3">
        <w:trPr>
          <w:trHeight w:val="285"/>
        </w:trPr>
        <w:tc>
          <w:tcPr>
            <w:tcW w:w="3782"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r w:rsidRPr="00E35530">
              <w:rPr>
                <w:color w:val="000000"/>
                <w:lang w:eastAsia="en-GB"/>
              </w:rPr>
              <w:t>1</w:t>
            </w:r>
          </w:p>
        </w:tc>
        <w:tc>
          <w:tcPr>
            <w:tcW w:w="358"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3612DE" w:rsidRPr="003612DE" w:rsidRDefault="00781E03" w:rsidP="003612DE">
            <w:pPr>
              <w:spacing w:before="0" w:after="0"/>
              <w:jc w:val="right"/>
              <w:rPr>
                <w:color w:val="000000"/>
                <w:szCs w:val="24"/>
              </w:rPr>
            </w:pPr>
            <w:r>
              <w:rPr>
                <w:color w:val="000000"/>
                <w:szCs w:val="24"/>
              </w:rPr>
              <w:t>127,414</w:t>
            </w:r>
          </w:p>
        </w:tc>
        <w:tc>
          <w:tcPr>
            <w:tcW w:w="2691" w:type="dxa"/>
            <w:tcBorders>
              <w:top w:val="nil"/>
              <w:left w:val="nil"/>
              <w:bottom w:val="nil"/>
              <w:right w:val="nil"/>
            </w:tcBorders>
            <w:shd w:val="clear" w:color="auto" w:fill="auto"/>
            <w:noWrap/>
            <w:vAlign w:val="bottom"/>
            <w:hideMark/>
          </w:tcPr>
          <w:p w:rsidR="003612DE" w:rsidRPr="003612DE" w:rsidRDefault="00781E03" w:rsidP="003612DE">
            <w:pPr>
              <w:spacing w:before="0" w:after="0"/>
              <w:jc w:val="right"/>
              <w:rPr>
                <w:i/>
                <w:iCs/>
                <w:color w:val="000000"/>
                <w:szCs w:val="24"/>
              </w:rPr>
            </w:pPr>
            <w:r>
              <w:rPr>
                <w:i/>
                <w:iCs/>
                <w:color w:val="000000"/>
                <w:szCs w:val="24"/>
              </w:rPr>
              <w:t>36</w:t>
            </w:r>
          </w:p>
        </w:tc>
      </w:tr>
      <w:tr w:rsidR="003612DE" w:rsidRPr="00E35530" w:rsidTr="004955B3">
        <w:trPr>
          <w:trHeight w:val="285"/>
        </w:trPr>
        <w:tc>
          <w:tcPr>
            <w:tcW w:w="3782"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r w:rsidRPr="00E35530">
              <w:rPr>
                <w:color w:val="000000"/>
                <w:lang w:eastAsia="en-GB"/>
              </w:rPr>
              <w:t>2</w:t>
            </w:r>
          </w:p>
        </w:tc>
        <w:tc>
          <w:tcPr>
            <w:tcW w:w="358"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3612DE" w:rsidRPr="003612DE" w:rsidRDefault="00781E03" w:rsidP="003612DE">
            <w:pPr>
              <w:spacing w:before="0" w:after="0"/>
              <w:jc w:val="right"/>
              <w:rPr>
                <w:color w:val="000000"/>
                <w:szCs w:val="24"/>
              </w:rPr>
            </w:pPr>
            <w:r>
              <w:rPr>
                <w:color w:val="000000"/>
                <w:szCs w:val="24"/>
              </w:rPr>
              <w:t>63,518</w:t>
            </w:r>
          </w:p>
        </w:tc>
        <w:tc>
          <w:tcPr>
            <w:tcW w:w="2691" w:type="dxa"/>
            <w:tcBorders>
              <w:top w:val="nil"/>
              <w:left w:val="nil"/>
              <w:bottom w:val="nil"/>
              <w:right w:val="nil"/>
            </w:tcBorders>
            <w:shd w:val="clear" w:color="auto" w:fill="auto"/>
            <w:noWrap/>
            <w:vAlign w:val="bottom"/>
            <w:hideMark/>
          </w:tcPr>
          <w:p w:rsidR="003612DE" w:rsidRPr="003612DE" w:rsidRDefault="00781E03" w:rsidP="003612DE">
            <w:pPr>
              <w:spacing w:before="0" w:after="0"/>
              <w:jc w:val="right"/>
              <w:rPr>
                <w:i/>
                <w:iCs/>
                <w:color w:val="000000"/>
                <w:szCs w:val="24"/>
              </w:rPr>
            </w:pPr>
            <w:r>
              <w:rPr>
                <w:i/>
                <w:iCs/>
                <w:color w:val="000000"/>
                <w:szCs w:val="24"/>
              </w:rPr>
              <w:t>18</w:t>
            </w:r>
          </w:p>
        </w:tc>
      </w:tr>
      <w:tr w:rsidR="003612DE" w:rsidRPr="00E35530" w:rsidTr="004955B3">
        <w:trPr>
          <w:trHeight w:val="285"/>
        </w:trPr>
        <w:tc>
          <w:tcPr>
            <w:tcW w:w="3782"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r w:rsidRPr="00E35530">
              <w:rPr>
                <w:color w:val="000000"/>
                <w:lang w:eastAsia="en-GB"/>
              </w:rPr>
              <w:t>3</w:t>
            </w:r>
          </w:p>
        </w:tc>
        <w:tc>
          <w:tcPr>
            <w:tcW w:w="358"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3612DE" w:rsidRPr="003612DE" w:rsidRDefault="00781E03" w:rsidP="003612DE">
            <w:pPr>
              <w:spacing w:before="0" w:after="0"/>
              <w:jc w:val="right"/>
              <w:rPr>
                <w:color w:val="000000"/>
                <w:szCs w:val="24"/>
              </w:rPr>
            </w:pPr>
            <w:r>
              <w:rPr>
                <w:color w:val="000000"/>
                <w:szCs w:val="24"/>
              </w:rPr>
              <w:t>34,602</w:t>
            </w:r>
          </w:p>
        </w:tc>
        <w:tc>
          <w:tcPr>
            <w:tcW w:w="2691" w:type="dxa"/>
            <w:tcBorders>
              <w:top w:val="nil"/>
              <w:left w:val="nil"/>
              <w:bottom w:val="nil"/>
              <w:right w:val="nil"/>
            </w:tcBorders>
            <w:shd w:val="clear" w:color="auto" w:fill="auto"/>
            <w:noWrap/>
            <w:vAlign w:val="bottom"/>
            <w:hideMark/>
          </w:tcPr>
          <w:p w:rsidR="003612DE" w:rsidRPr="003612DE" w:rsidRDefault="003612DE" w:rsidP="003612DE">
            <w:pPr>
              <w:spacing w:before="0" w:after="0"/>
              <w:jc w:val="right"/>
              <w:rPr>
                <w:i/>
                <w:iCs/>
                <w:color w:val="000000"/>
                <w:szCs w:val="24"/>
              </w:rPr>
            </w:pPr>
            <w:r w:rsidRPr="003612DE">
              <w:rPr>
                <w:i/>
                <w:iCs/>
                <w:color w:val="000000"/>
                <w:szCs w:val="24"/>
              </w:rPr>
              <w:t>10</w:t>
            </w:r>
          </w:p>
        </w:tc>
      </w:tr>
      <w:tr w:rsidR="003612DE" w:rsidRPr="00E35530" w:rsidTr="004955B3">
        <w:trPr>
          <w:trHeight w:val="285"/>
        </w:trPr>
        <w:tc>
          <w:tcPr>
            <w:tcW w:w="3782"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r>
              <w:rPr>
                <w:color w:val="000000"/>
                <w:lang w:eastAsia="en-GB"/>
              </w:rPr>
              <w:t>4</w:t>
            </w:r>
          </w:p>
        </w:tc>
        <w:tc>
          <w:tcPr>
            <w:tcW w:w="358"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3612DE" w:rsidRPr="003612DE" w:rsidRDefault="00781E03" w:rsidP="003612DE">
            <w:pPr>
              <w:spacing w:before="0" w:after="0"/>
              <w:jc w:val="right"/>
              <w:rPr>
                <w:color w:val="000000"/>
                <w:szCs w:val="24"/>
              </w:rPr>
            </w:pPr>
            <w:r>
              <w:rPr>
                <w:color w:val="000000"/>
                <w:szCs w:val="24"/>
              </w:rPr>
              <w:t>36,622</w:t>
            </w:r>
          </w:p>
        </w:tc>
        <w:tc>
          <w:tcPr>
            <w:tcW w:w="2691" w:type="dxa"/>
            <w:tcBorders>
              <w:top w:val="nil"/>
              <w:left w:val="nil"/>
              <w:bottom w:val="nil"/>
              <w:right w:val="nil"/>
            </w:tcBorders>
            <w:shd w:val="clear" w:color="auto" w:fill="auto"/>
            <w:noWrap/>
            <w:vAlign w:val="bottom"/>
            <w:hideMark/>
          </w:tcPr>
          <w:p w:rsidR="003612DE" w:rsidRPr="003612DE" w:rsidRDefault="003612DE" w:rsidP="003612DE">
            <w:pPr>
              <w:spacing w:before="0" w:after="0"/>
              <w:jc w:val="right"/>
              <w:rPr>
                <w:i/>
                <w:iCs/>
                <w:color w:val="000000"/>
                <w:szCs w:val="24"/>
              </w:rPr>
            </w:pPr>
            <w:r w:rsidRPr="003612DE">
              <w:rPr>
                <w:i/>
                <w:iCs/>
                <w:color w:val="000000"/>
                <w:szCs w:val="24"/>
              </w:rPr>
              <w:t>10</w:t>
            </w:r>
          </w:p>
        </w:tc>
      </w:tr>
      <w:tr w:rsidR="00781E03" w:rsidRPr="00E35530" w:rsidTr="004955B3">
        <w:trPr>
          <w:trHeight w:val="285"/>
        </w:trPr>
        <w:tc>
          <w:tcPr>
            <w:tcW w:w="3782" w:type="dxa"/>
            <w:tcBorders>
              <w:top w:val="nil"/>
              <w:left w:val="nil"/>
              <w:bottom w:val="nil"/>
              <w:right w:val="nil"/>
            </w:tcBorders>
            <w:shd w:val="clear" w:color="auto" w:fill="auto"/>
            <w:noWrap/>
            <w:vAlign w:val="bottom"/>
          </w:tcPr>
          <w:p w:rsidR="00781E03" w:rsidRDefault="00781E03" w:rsidP="00415EE4">
            <w:pPr>
              <w:spacing w:before="0" w:after="0" w:line="240" w:lineRule="auto"/>
              <w:rPr>
                <w:color w:val="000000"/>
                <w:lang w:eastAsia="en-GB"/>
              </w:rPr>
            </w:pPr>
            <w:r>
              <w:rPr>
                <w:color w:val="000000"/>
                <w:lang w:eastAsia="en-GB"/>
              </w:rPr>
              <w:t>5</w:t>
            </w:r>
          </w:p>
        </w:tc>
        <w:tc>
          <w:tcPr>
            <w:tcW w:w="358" w:type="dxa"/>
            <w:tcBorders>
              <w:top w:val="nil"/>
              <w:left w:val="nil"/>
              <w:bottom w:val="nil"/>
              <w:right w:val="nil"/>
            </w:tcBorders>
            <w:shd w:val="clear" w:color="auto" w:fill="auto"/>
            <w:noWrap/>
            <w:vAlign w:val="bottom"/>
          </w:tcPr>
          <w:p w:rsidR="00781E03" w:rsidRPr="00E35530" w:rsidRDefault="00781E03"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tcPr>
          <w:p w:rsidR="00781E03" w:rsidRDefault="00781E03" w:rsidP="003612DE">
            <w:pPr>
              <w:spacing w:before="0" w:after="0"/>
              <w:jc w:val="right"/>
              <w:rPr>
                <w:color w:val="000000"/>
                <w:szCs w:val="24"/>
              </w:rPr>
            </w:pPr>
            <w:r>
              <w:rPr>
                <w:color w:val="000000"/>
                <w:szCs w:val="24"/>
              </w:rPr>
              <w:t>33,432</w:t>
            </w:r>
          </w:p>
        </w:tc>
        <w:tc>
          <w:tcPr>
            <w:tcW w:w="2691" w:type="dxa"/>
            <w:tcBorders>
              <w:top w:val="nil"/>
              <w:left w:val="nil"/>
              <w:bottom w:val="nil"/>
              <w:right w:val="nil"/>
            </w:tcBorders>
            <w:shd w:val="clear" w:color="auto" w:fill="auto"/>
            <w:noWrap/>
            <w:vAlign w:val="bottom"/>
          </w:tcPr>
          <w:p w:rsidR="00781E03" w:rsidRPr="003612DE" w:rsidRDefault="00781E03" w:rsidP="003612DE">
            <w:pPr>
              <w:spacing w:before="0" w:after="0"/>
              <w:jc w:val="right"/>
              <w:rPr>
                <w:i/>
                <w:iCs/>
                <w:color w:val="000000"/>
                <w:szCs w:val="24"/>
              </w:rPr>
            </w:pPr>
            <w:r>
              <w:rPr>
                <w:i/>
                <w:iCs/>
                <w:color w:val="000000"/>
                <w:szCs w:val="24"/>
              </w:rPr>
              <w:t>9</w:t>
            </w:r>
          </w:p>
        </w:tc>
      </w:tr>
      <w:tr w:rsidR="003612DE" w:rsidRPr="00E35530" w:rsidTr="004955B3">
        <w:trPr>
          <w:trHeight w:val="285"/>
        </w:trPr>
        <w:tc>
          <w:tcPr>
            <w:tcW w:w="3782" w:type="dxa"/>
            <w:tcBorders>
              <w:top w:val="nil"/>
              <w:left w:val="nil"/>
              <w:bottom w:val="nil"/>
              <w:right w:val="nil"/>
            </w:tcBorders>
            <w:shd w:val="clear" w:color="auto" w:fill="auto"/>
            <w:noWrap/>
            <w:vAlign w:val="bottom"/>
          </w:tcPr>
          <w:p w:rsidR="003612DE" w:rsidRPr="00E35530" w:rsidRDefault="00781E03" w:rsidP="00781E03">
            <w:pPr>
              <w:spacing w:before="0" w:after="0" w:line="240" w:lineRule="auto"/>
              <w:rPr>
                <w:color w:val="000000"/>
                <w:lang w:eastAsia="en-GB"/>
              </w:rPr>
            </w:pPr>
            <w:r>
              <w:rPr>
                <w:color w:val="000000"/>
                <w:lang w:eastAsia="en-GB"/>
              </w:rPr>
              <w:t>6 or more</w:t>
            </w:r>
          </w:p>
        </w:tc>
        <w:tc>
          <w:tcPr>
            <w:tcW w:w="358" w:type="dxa"/>
            <w:tcBorders>
              <w:top w:val="nil"/>
              <w:left w:val="nil"/>
              <w:bottom w:val="nil"/>
              <w:right w:val="nil"/>
            </w:tcBorders>
            <w:shd w:val="clear" w:color="auto" w:fill="auto"/>
            <w:noWrap/>
            <w:vAlign w:val="bottom"/>
          </w:tcPr>
          <w:p w:rsidR="003612DE" w:rsidRPr="00E35530" w:rsidRDefault="003612DE"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tcPr>
          <w:p w:rsidR="003612DE" w:rsidRPr="003612DE" w:rsidRDefault="00781E03" w:rsidP="003612DE">
            <w:pPr>
              <w:spacing w:before="0" w:after="0"/>
              <w:jc w:val="right"/>
              <w:rPr>
                <w:color w:val="000000"/>
                <w:szCs w:val="24"/>
              </w:rPr>
            </w:pPr>
            <w:r>
              <w:rPr>
                <w:color w:val="000000"/>
                <w:szCs w:val="24"/>
              </w:rPr>
              <w:t>60,926</w:t>
            </w:r>
          </w:p>
        </w:tc>
        <w:tc>
          <w:tcPr>
            <w:tcW w:w="2691" w:type="dxa"/>
            <w:tcBorders>
              <w:top w:val="nil"/>
              <w:left w:val="nil"/>
              <w:bottom w:val="nil"/>
              <w:right w:val="nil"/>
            </w:tcBorders>
            <w:shd w:val="clear" w:color="auto" w:fill="auto"/>
            <w:noWrap/>
            <w:vAlign w:val="bottom"/>
          </w:tcPr>
          <w:p w:rsidR="003612DE" w:rsidRPr="003612DE" w:rsidRDefault="00781E03" w:rsidP="003612DE">
            <w:pPr>
              <w:spacing w:before="0" w:after="0"/>
              <w:jc w:val="right"/>
              <w:rPr>
                <w:i/>
                <w:iCs/>
                <w:color w:val="000000"/>
                <w:szCs w:val="24"/>
              </w:rPr>
            </w:pPr>
            <w:r>
              <w:rPr>
                <w:i/>
                <w:iCs/>
                <w:color w:val="000000"/>
                <w:szCs w:val="24"/>
              </w:rPr>
              <w:t>17</w:t>
            </w:r>
          </w:p>
        </w:tc>
      </w:tr>
      <w:tr w:rsidR="003612DE" w:rsidRPr="00E35530" w:rsidTr="004955B3">
        <w:trPr>
          <w:trHeight w:val="285"/>
        </w:trPr>
        <w:tc>
          <w:tcPr>
            <w:tcW w:w="3782"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p>
        </w:tc>
        <w:tc>
          <w:tcPr>
            <w:tcW w:w="358"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3612DE" w:rsidRPr="003612DE" w:rsidRDefault="003612DE" w:rsidP="003612DE">
            <w:pPr>
              <w:spacing w:before="0" w:after="0"/>
              <w:rPr>
                <w:color w:val="000000"/>
                <w:szCs w:val="24"/>
              </w:rPr>
            </w:pPr>
          </w:p>
        </w:tc>
        <w:tc>
          <w:tcPr>
            <w:tcW w:w="2691" w:type="dxa"/>
            <w:tcBorders>
              <w:top w:val="nil"/>
              <w:left w:val="nil"/>
              <w:bottom w:val="nil"/>
              <w:right w:val="nil"/>
            </w:tcBorders>
            <w:shd w:val="clear" w:color="auto" w:fill="auto"/>
            <w:noWrap/>
            <w:vAlign w:val="bottom"/>
            <w:hideMark/>
          </w:tcPr>
          <w:p w:rsidR="003612DE" w:rsidRPr="003612DE" w:rsidRDefault="003612DE" w:rsidP="003612DE">
            <w:pPr>
              <w:spacing w:before="0" w:after="0"/>
              <w:rPr>
                <w:i/>
                <w:iCs/>
                <w:color w:val="000000"/>
                <w:szCs w:val="24"/>
              </w:rPr>
            </w:pPr>
          </w:p>
        </w:tc>
      </w:tr>
      <w:tr w:rsidR="003612DE" w:rsidRPr="00E35530" w:rsidTr="004955B3">
        <w:trPr>
          <w:trHeight w:val="300"/>
        </w:trPr>
        <w:tc>
          <w:tcPr>
            <w:tcW w:w="3782" w:type="dxa"/>
            <w:tcBorders>
              <w:top w:val="nil"/>
              <w:left w:val="nil"/>
              <w:bottom w:val="single" w:sz="4" w:space="0" w:color="auto"/>
              <w:right w:val="nil"/>
            </w:tcBorders>
            <w:shd w:val="clear" w:color="000000" w:fill="FFFFFF"/>
            <w:noWrap/>
            <w:vAlign w:val="bottom"/>
            <w:hideMark/>
          </w:tcPr>
          <w:p w:rsidR="003612DE" w:rsidRPr="00E35530" w:rsidRDefault="003612DE" w:rsidP="00415EE4">
            <w:pPr>
              <w:spacing w:before="0" w:after="0" w:line="240" w:lineRule="auto"/>
              <w:rPr>
                <w:b/>
                <w:bCs/>
                <w:color w:val="000000"/>
                <w:lang w:eastAsia="en-GB"/>
              </w:rPr>
            </w:pPr>
            <w:r w:rsidRPr="00E35530">
              <w:rPr>
                <w:b/>
                <w:bCs/>
                <w:color w:val="000000"/>
                <w:lang w:eastAsia="en-GB"/>
              </w:rPr>
              <w:t>Total</w:t>
            </w:r>
          </w:p>
        </w:tc>
        <w:tc>
          <w:tcPr>
            <w:tcW w:w="358" w:type="dxa"/>
            <w:tcBorders>
              <w:top w:val="nil"/>
              <w:left w:val="nil"/>
              <w:bottom w:val="single" w:sz="4" w:space="0" w:color="auto"/>
              <w:right w:val="nil"/>
            </w:tcBorders>
            <w:shd w:val="clear" w:color="auto" w:fill="auto"/>
            <w:noWrap/>
            <w:vAlign w:val="bottom"/>
            <w:hideMark/>
          </w:tcPr>
          <w:p w:rsidR="003612DE" w:rsidRPr="00E35530" w:rsidRDefault="003612DE" w:rsidP="00415EE4">
            <w:pPr>
              <w:spacing w:before="0" w:after="0" w:line="240" w:lineRule="auto"/>
              <w:rPr>
                <w:b/>
                <w:bCs/>
                <w:color w:val="000000"/>
                <w:lang w:eastAsia="en-GB"/>
              </w:rPr>
            </w:pPr>
            <w:r w:rsidRPr="00E35530">
              <w:rPr>
                <w:b/>
                <w:bCs/>
                <w:color w:val="000000"/>
                <w:lang w:eastAsia="en-GB"/>
              </w:rPr>
              <w:t> </w:t>
            </w:r>
          </w:p>
        </w:tc>
        <w:tc>
          <w:tcPr>
            <w:tcW w:w="2540" w:type="dxa"/>
            <w:tcBorders>
              <w:top w:val="nil"/>
              <w:left w:val="nil"/>
              <w:bottom w:val="single" w:sz="4" w:space="0" w:color="auto"/>
              <w:right w:val="nil"/>
            </w:tcBorders>
            <w:shd w:val="clear" w:color="auto" w:fill="auto"/>
            <w:noWrap/>
            <w:vAlign w:val="bottom"/>
            <w:hideMark/>
          </w:tcPr>
          <w:p w:rsidR="003612DE" w:rsidRPr="003612DE" w:rsidRDefault="00781E03" w:rsidP="003612DE">
            <w:pPr>
              <w:spacing w:before="0" w:after="0"/>
              <w:jc w:val="right"/>
              <w:rPr>
                <w:b/>
                <w:bCs/>
                <w:color w:val="000000"/>
                <w:szCs w:val="24"/>
              </w:rPr>
            </w:pPr>
            <w:r>
              <w:rPr>
                <w:b/>
                <w:bCs/>
                <w:color w:val="000000"/>
                <w:szCs w:val="24"/>
              </w:rPr>
              <w:t>356,514</w:t>
            </w:r>
          </w:p>
        </w:tc>
        <w:tc>
          <w:tcPr>
            <w:tcW w:w="2691" w:type="dxa"/>
            <w:tcBorders>
              <w:top w:val="nil"/>
              <w:left w:val="nil"/>
              <w:bottom w:val="single" w:sz="4" w:space="0" w:color="auto"/>
              <w:right w:val="nil"/>
            </w:tcBorders>
            <w:shd w:val="clear" w:color="auto" w:fill="auto"/>
            <w:noWrap/>
            <w:vAlign w:val="bottom"/>
            <w:hideMark/>
          </w:tcPr>
          <w:p w:rsidR="003612DE" w:rsidRPr="003612DE" w:rsidRDefault="003612DE" w:rsidP="003612DE">
            <w:pPr>
              <w:spacing w:before="0" w:after="0"/>
              <w:jc w:val="right"/>
              <w:rPr>
                <w:b/>
                <w:bCs/>
                <w:i/>
                <w:iCs/>
                <w:color w:val="000000"/>
                <w:szCs w:val="24"/>
              </w:rPr>
            </w:pPr>
            <w:r w:rsidRPr="003612DE">
              <w:rPr>
                <w:b/>
                <w:bCs/>
                <w:i/>
                <w:iCs/>
                <w:color w:val="000000"/>
                <w:szCs w:val="24"/>
              </w:rPr>
              <w:t>100</w:t>
            </w:r>
          </w:p>
        </w:tc>
      </w:tr>
    </w:tbl>
    <w:p w:rsidR="003D3CD9" w:rsidRDefault="003D3CD9" w:rsidP="00415EE4">
      <w:pPr>
        <w:spacing w:after="0" w:line="270" w:lineRule="atLeast"/>
        <w:jc w:val="both"/>
        <w:rPr>
          <w:b/>
          <w:bCs/>
        </w:rPr>
      </w:pPr>
    </w:p>
    <w:p w:rsidR="00A35AB9" w:rsidRDefault="00A35AB9" w:rsidP="00415EE4">
      <w:pPr>
        <w:spacing w:after="0" w:line="270" w:lineRule="atLeast"/>
        <w:jc w:val="both"/>
        <w:rPr>
          <w:b/>
          <w:bCs/>
        </w:rPr>
      </w:pPr>
    </w:p>
    <w:tbl>
      <w:tblPr>
        <w:tblW w:w="12079" w:type="dxa"/>
        <w:tblLayout w:type="fixed"/>
        <w:tblLook w:val="04A0" w:firstRow="1" w:lastRow="0" w:firstColumn="1" w:lastColumn="0" w:noHBand="0" w:noVBand="1"/>
      </w:tblPr>
      <w:tblGrid>
        <w:gridCol w:w="1759"/>
        <w:gridCol w:w="858"/>
        <w:gridCol w:w="843"/>
        <w:gridCol w:w="877"/>
        <w:gridCol w:w="306"/>
        <w:gridCol w:w="1799"/>
        <w:gridCol w:w="1796"/>
        <w:gridCol w:w="1758"/>
        <w:gridCol w:w="2083"/>
      </w:tblGrid>
      <w:tr w:rsidR="006530A9" w:rsidRPr="006530A9" w:rsidTr="00076B6A">
        <w:trPr>
          <w:trHeight w:val="255"/>
        </w:trPr>
        <w:tc>
          <w:tcPr>
            <w:tcW w:w="12079" w:type="dxa"/>
            <w:gridSpan w:val="9"/>
            <w:tcBorders>
              <w:top w:val="nil"/>
              <w:left w:val="nil"/>
              <w:bottom w:val="nil"/>
              <w:right w:val="nil"/>
            </w:tcBorders>
            <w:shd w:val="clear" w:color="000000" w:fill="FFFFFF"/>
            <w:noWrap/>
            <w:vAlign w:val="bottom"/>
            <w:hideMark/>
          </w:tcPr>
          <w:p w:rsidR="006530A9" w:rsidRPr="006530A9" w:rsidRDefault="006530A9" w:rsidP="00665048">
            <w:pPr>
              <w:spacing w:before="0" w:after="0" w:line="240" w:lineRule="auto"/>
              <w:rPr>
                <w:b/>
                <w:bCs/>
                <w:szCs w:val="24"/>
                <w:lang w:eastAsia="en-GB"/>
              </w:rPr>
            </w:pPr>
            <w:bookmarkStart w:id="55" w:name="RANGE!A1:I23"/>
            <w:bookmarkStart w:id="56" w:name="RANGE!A1"/>
            <w:bookmarkEnd w:id="55"/>
            <w:r w:rsidRPr="00EE5CD3">
              <w:rPr>
                <w:b/>
                <w:bCs/>
                <w:szCs w:val="24"/>
                <w:lang w:eastAsia="en-GB"/>
              </w:rPr>
              <w:t xml:space="preserve">Table 1.6: Number of Green Deal Assessments lodged by region, up to </w:t>
            </w:r>
            <w:r w:rsidR="007E138E" w:rsidRPr="00EE5CD3">
              <w:rPr>
                <w:b/>
                <w:bCs/>
                <w:szCs w:val="24"/>
                <w:lang w:eastAsia="en-GB"/>
              </w:rPr>
              <w:t xml:space="preserve">30th </w:t>
            </w:r>
            <w:r w:rsidR="00665048" w:rsidRPr="00EE5CD3">
              <w:rPr>
                <w:b/>
                <w:bCs/>
                <w:szCs w:val="24"/>
                <w:lang w:eastAsia="en-GB"/>
              </w:rPr>
              <w:t>September</w:t>
            </w:r>
            <w:r w:rsidRPr="00EE5CD3">
              <w:rPr>
                <w:b/>
                <w:bCs/>
                <w:szCs w:val="24"/>
                <w:lang w:eastAsia="en-GB"/>
              </w:rPr>
              <w:t xml:space="preserve"> 2014</w:t>
            </w:r>
            <w:bookmarkEnd w:id="56"/>
          </w:p>
        </w:tc>
      </w:tr>
      <w:tr w:rsidR="006530A9" w:rsidRPr="006530A9" w:rsidTr="00076B6A">
        <w:trPr>
          <w:trHeight w:val="240"/>
        </w:trPr>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8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84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877"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306"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79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796"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20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r>
      <w:tr w:rsidR="000B6EFA" w:rsidRPr="006530A9" w:rsidTr="00076B6A">
        <w:trPr>
          <w:gridAfter w:val="1"/>
          <w:wAfter w:w="2083" w:type="dxa"/>
          <w:trHeight w:val="255"/>
        </w:trPr>
        <w:tc>
          <w:tcPr>
            <w:tcW w:w="9996" w:type="dxa"/>
            <w:gridSpan w:val="8"/>
            <w:tcBorders>
              <w:top w:val="nil"/>
              <w:left w:val="nil"/>
              <w:bottom w:val="nil"/>
              <w:right w:val="nil"/>
            </w:tcBorders>
            <w:shd w:val="clear" w:color="000000" w:fill="FFFFFF"/>
            <w:noWrap/>
            <w:vAlign w:val="bottom"/>
            <w:hideMark/>
          </w:tcPr>
          <w:tbl>
            <w:tblPr>
              <w:tblW w:w="9923" w:type="dxa"/>
              <w:tblLayout w:type="fixed"/>
              <w:tblLook w:val="04A0" w:firstRow="1" w:lastRow="0" w:firstColumn="1" w:lastColumn="0" w:noHBand="0" w:noVBand="1"/>
            </w:tblPr>
            <w:tblGrid>
              <w:gridCol w:w="812"/>
              <w:gridCol w:w="810"/>
              <w:gridCol w:w="1072"/>
              <w:gridCol w:w="283"/>
              <w:gridCol w:w="142"/>
              <w:gridCol w:w="283"/>
              <w:gridCol w:w="1418"/>
              <w:gridCol w:w="1843"/>
              <w:gridCol w:w="1701"/>
              <w:gridCol w:w="1559"/>
            </w:tblGrid>
            <w:tr w:rsidR="00076B6A" w:rsidRPr="00076B6A" w:rsidTr="00F9429E">
              <w:trPr>
                <w:trHeight w:val="1050"/>
              </w:trPr>
              <w:tc>
                <w:tcPr>
                  <w:tcW w:w="2694" w:type="dxa"/>
                  <w:gridSpan w:val="3"/>
                  <w:tcBorders>
                    <w:top w:val="single" w:sz="4" w:space="0" w:color="auto"/>
                    <w:left w:val="nil"/>
                    <w:bottom w:val="single" w:sz="4" w:space="0" w:color="auto"/>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Area names</w:t>
                  </w:r>
                </w:p>
              </w:tc>
              <w:tc>
                <w:tcPr>
                  <w:tcW w:w="283" w:type="dxa"/>
                  <w:tcBorders>
                    <w:top w:val="single" w:sz="4" w:space="0" w:color="auto"/>
                    <w:left w:val="nil"/>
                    <w:bottom w:val="single" w:sz="4" w:space="0" w:color="auto"/>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843" w:type="dxa"/>
                  <w:gridSpan w:val="3"/>
                  <w:tcBorders>
                    <w:top w:val="single" w:sz="4" w:space="0" w:color="auto"/>
                    <w:left w:val="nil"/>
                    <w:bottom w:val="single" w:sz="4" w:space="0" w:color="auto"/>
                    <w:right w:val="nil"/>
                  </w:tcBorders>
                  <w:shd w:val="clear" w:color="000000" w:fill="FFFFFF"/>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Green Deal Assessments</w:t>
                  </w:r>
                </w:p>
              </w:tc>
              <w:tc>
                <w:tcPr>
                  <w:tcW w:w="1843" w:type="dxa"/>
                  <w:tcBorders>
                    <w:top w:val="single" w:sz="4" w:space="0" w:color="auto"/>
                    <w:left w:val="nil"/>
                    <w:bottom w:val="single" w:sz="4" w:space="0" w:color="auto"/>
                    <w:right w:val="nil"/>
                  </w:tcBorders>
                  <w:shd w:val="clear" w:color="auto" w:fill="auto"/>
                  <w:vAlign w:val="bottom"/>
                  <w:hideMark/>
                </w:tcPr>
                <w:p w:rsidR="00076B6A" w:rsidRPr="00076B6A" w:rsidRDefault="00076B6A" w:rsidP="00076B6A">
                  <w:pPr>
                    <w:spacing w:before="0" w:after="0" w:line="240" w:lineRule="auto"/>
                    <w:jc w:val="right"/>
                    <w:rPr>
                      <w:color w:val="000000"/>
                      <w:sz w:val="22"/>
                      <w:szCs w:val="22"/>
                      <w:lang w:eastAsia="en-GB"/>
                    </w:rPr>
                  </w:pPr>
                  <w:r w:rsidRPr="00076B6A">
                    <w:rPr>
                      <w:color w:val="000000"/>
                      <w:sz w:val="22"/>
                      <w:szCs w:val="22"/>
                      <w:lang w:eastAsia="en-GB"/>
                    </w:rPr>
                    <w:t>Percentage of Assessments</w:t>
                  </w:r>
                </w:p>
              </w:tc>
              <w:tc>
                <w:tcPr>
                  <w:tcW w:w="1701" w:type="dxa"/>
                  <w:tcBorders>
                    <w:top w:val="single" w:sz="4" w:space="0" w:color="auto"/>
                    <w:left w:val="nil"/>
                    <w:bottom w:val="single" w:sz="4" w:space="0" w:color="auto"/>
                    <w:right w:val="nil"/>
                  </w:tcBorders>
                  <w:shd w:val="clear" w:color="000000" w:fill="FFFFFF"/>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Households with at least one usual resident</w:t>
                  </w:r>
                  <w:r w:rsidRPr="00076B6A">
                    <w:rPr>
                      <w:sz w:val="22"/>
                      <w:szCs w:val="22"/>
                      <w:vertAlign w:val="superscript"/>
                      <w:lang w:eastAsia="en-GB"/>
                    </w:rPr>
                    <w:t>1</w:t>
                  </w:r>
                </w:p>
              </w:tc>
              <w:tc>
                <w:tcPr>
                  <w:tcW w:w="1559" w:type="dxa"/>
                  <w:tcBorders>
                    <w:top w:val="single" w:sz="4" w:space="0" w:color="auto"/>
                    <w:left w:val="nil"/>
                    <w:bottom w:val="single" w:sz="4" w:space="0" w:color="auto"/>
                    <w:right w:val="nil"/>
                  </w:tcBorders>
                  <w:shd w:val="clear" w:color="000000" w:fill="FFFFFF"/>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Green Deal Assessments per 1,000 households</w:t>
                  </w:r>
                </w:p>
              </w:tc>
            </w:tr>
            <w:tr w:rsidR="00076B6A" w:rsidRPr="00076B6A" w:rsidTr="00F9429E">
              <w:trPr>
                <w:trHeight w:val="255"/>
              </w:trPr>
              <w:tc>
                <w:tcPr>
                  <w:tcW w:w="812"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810"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97" w:type="dxa"/>
                  <w:gridSpan w:val="3"/>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b/>
                      <w:bCs/>
                      <w:color w:val="000000"/>
                      <w:sz w:val="22"/>
                      <w:szCs w:val="22"/>
                      <w:lang w:eastAsia="en-GB"/>
                    </w:rPr>
                  </w:pPr>
                  <w:r w:rsidRPr="00076B6A">
                    <w:rPr>
                      <w:b/>
                      <w:bCs/>
                      <w:color w:val="000000"/>
                      <w:sz w:val="22"/>
                      <w:szCs w:val="22"/>
                      <w:lang w:eastAsia="en-GB"/>
                    </w:rPr>
                    <w:t>Great Britain</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Default="00137130" w:rsidP="00076B6A">
                  <w:pPr>
                    <w:spacing w:before="0" w:after="0" w:line="240" w:lineRule="auto"/>
                    <w:jc w:val="right"/>
                    <w:rPr>
                      <w:b/>
                      <w:bCs/>
                      <w:sz w:val="22"/>
                      <w:szCs w:val="22"/>
                      <w:lang w:eastAsia="en-GB"/>
                    </w:rPr>
                  </w:pPr>
                  <w:r>
                    <w:rPr>
                      <w:b/>
                      <w:bCs/>
                      <w:sz w:val="22"/>
                      <w:szCs w:val="22"/>
                      <w:lang w:eastAsia="en-GB"/>
                    </w:rPr>
                    <w:t>356,514</w:t>
                  </w:r>
                </w:p>
                <w:p w:rsidR="00EE5CD3" w:rsidRPr="00076B6A" w:rsidRDefault="00EE5CD3" w:rsidP="00076B6A">
                  <w:pPr>
                    <w:spacing w:before="0" w:after="0" w:line="240" w:lineRule="auto"/>
                    <w:jc w:val="right"/>
                    <w:rPr>
                      <w:b/>
                      <w:bCs/>
                      <w:sz w:val="22"/>
                      <w:szCs w:val="22"/>
                      <w:lang w:eastAsia="en-GB"/>
                    </w:rPr>
                  </w:pP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b/>
                      <w:bCs/>
                      <w:i/>
                      <w:iCs/>
                      <w:sz w:val="22"/>
                      <w:szCs w:val="22"/>
                      <w:lang w:eastAsia="en-GB"/>
                    </w:rPr>
                  </w:pPr>
                  <w:r w:rsidRPr="00076B6A">
                    <w:rPr>
                      <w:b/>
                      <w:bCs/>
                      <w:i/>
                      <w:iCs/>
                      <w:sz w:val="22"/>
                      <w:szCs w:val="22"/>
                      <w:lang w:eastAsia="en-GB"/>
                    </w:rPr>
                    <w:t>100</w:t>
                  </w:r>
                </w:p>
              </w:tc>
              <w:tc>
                <w:tcPr>
                  <w:tcW w:w="1701"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b/>
                      <w:bCs/>
                      <w:sz w:val="22"/>
                      <w:szCs w:val="22"/>
                      <w:lang w:eastAsia="en-GB"/>
                    </w:rPr>
                  </w:pPr>
                  <w:r w:rsidRPr="00137130">
                    <w:rPr>
                      <w:b/>
                      <w:bCs/>
                      <w:sz w:val="22"/>
                      <w:szCs w:val="22"/>
                      <w:lang w:eastAsia="en-GB"/>
                    </w:rPr>
                    <w:t>26</w:t>
                  </w:r>
                  <w:r>
                    <w:rPr>
                      <w:b/>
                      <w:bCs/>
                      <w:sz w:val="22"/>
                      <w:szCs w:val="22"/>
                      <w:lang w:eastAsia="en-GB"/>
                    </w:rPr>
                    <w:t>,</w:t>
                  </w:r>
                  <w:r w:rsidRPr="00137130">
                    <w:rPr>
                      <w:b/>
                      <w:bCs/>
                      <w:sz w:val="22"/>
                      <w:szCs w:val="22"/>
                      <w:lang w:eastAsia="en-GB"/>
                    </w:rPr>
                    <w:t>263</w:t>
                  </w:r>
                  <w:r>
                    <w:rPr>
                      <w:b/>
                      <w:bCs/>
                      <w:sz w:val="22"/>
                      <w:szCs w:val="22"/>
                      <w:lang w:eastAsia="en-GB"/>
                    </w:rPr>
                    <w:t>,</w:t>
                  </w:r>
                  <w:r w:rsidRPr="00137130">
                    <w:rPr>
                      <w:b/>
                      <w:bCs/>
                      <w:sz w:val="22"/>
                      <w:szCs w:val="22"/>
                      <w:lang w:eastAsia="en-GB"/>
                    </w:rPr>
                    <w:t>269</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b/>
                      <w:bCs/>
                      <w:sz w:val="22"/>
                      <w:szCs w:val="22"/>
                      <w:lang w:eastAsia="en-GB"/>
                    </w:rPr>
                  </w:pPr>
                  <w:r w:rsidRPr="00076B6A">
                    <w:rPr>
                      <w:b/>
                      <w:bCs/>
                      <w:sz w:val="22"/>
                      <w:szCs w:val="22"/>
                      <w:lang w:eastAsia="en-GB"/>
                    </w:rPr>
                    <w:t>1</w:t>
                  </w:r>
                  <w:r w:rsidR="00137130">
                    <w:rPr>
                      <w:b/>
                      <w:bCs/>
                      <w:sz w:val="22"/>
                      <w:szCs w:val="22"/>
                      <w:lang w:eastAsia="en-GB"/>
                    </w:rPr>
                    <w:t>3.6</w:t>
                  </w:r>
                </w:p>
              </w:tc>
            </w:tr>
            <w:tr w:rsidR="00076B6A" w:rsidRPr="00076B6A" w:rsidTr="00F9429E">
              <w:trPr>
                <w:trHeight w:val="255"/>
              </w:trPr>
              <w:tc>
                <w:tcPr>
                  <w:tcW w:w="812" w:type="dxa"/>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810" w:type="dxa"/>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1497" w:type="dxa"/>
                  <w:gridSpan w:val="3"/>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i/>
                      <w:iCs/>
                      <w:sz w:val="22"/>
                      <w:szCs w:val="22"/>
                      <w:lang w:eastAsia="en-GB"/>
                    </w:rPr>
                  </w:pPr>
                  <w:r w:rsidRPr="00076B6A">
                    <w:rPr>
                      <w:b/>
                      <w:bCs/>
                      <w:i/>
                      <w:iCs/>
                      <w:sz w:val="22"/>
                      <w:szCs w:val="22"/>
                      <w:lang w:eastAsia="en-GB"/>
                    </w:rPr>
                    <w:t> </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b/>
                      <w:bCs/>
                      <w:color w:val="000000"/>
                      <w:sz w:val="22"/>
                      <w:szCs w:val="22"/>
                      <w:lang w:eastAsia="en-GB"/>
                    </w:rPr>
                  </w:pPr>
                  <w:r w:rsidRPr="00076B6A">
                    <w:rPr>
                      <w:b/>
                      <w:bCs/>
                      <w:color w:val="000000"/>
                      <w:sz w:val="22"/>
                      <w:szCs w:val="22"/>
                      <w:lang w:eastAsia="en-GB"/>
                    </w:rPr>
                    <w:t>England</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b/>
                      <w:bCs/>
                      <w:sz w:val="22"/>
                      <w:szCs w:val="22"/>
                      <w:lang w:eastAsia="en-GB"/>
                    </w:rPr>
                  </w:pPr>
                  <w:r>
                    <w:rPr>
                      <w:b/>
                      <w:bCs/>
                      <w:sz w:val="22"/>
                      <w:szCs w:val="22"/>
                      <w:lang w:eastAsia="en-GB"/>
                    </w:rPr>
                    <w:t>288,999</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b/>
                      <w:bCs/>
                      <w:i/>
                      <w:iCs/>
                      <w:sz w:val="22"/>
                      <w:szCs w:val="22"/>
                      <w:lang w:eastAsia="en-GB"/>
                    </w:rPr>
                  </w:pPr>
                  <w:r w:rsidRPr="00076B6A">
                    <w:rPr>
                      <w:b/>
                      <w:bCs/>
                      <w:i/>
                      <w:iCs/>
                      <w:sz w:val="22"/>
                      <w:szCs w:val="22"/>
                      <w:lang w:eastAsia="en-GB"/>
                    </w:rPr>
                    <w:t>8</w:t>
                  </w:r>
                  <w:r w:rsidR="00137130">
                    <w:rPr>
                      <w:b/>
                      <w:bCs/>
                      <w:i/>
                      <w:iCs/>
                      <w:sz w:val="22"/>
                      <w:szCs w:val="22"/>
                      <w:lang w:eastAsia="en-GB"/>
                    </w:rPr>
                    <w:t>1</w:t>
                  </w:r>
                </w:p>
              </w:tc>
              <w:tc>
                <w:tcPr>
                  <w:tcW w:w="1701" w:type="dxa"/>
                  <w:tcBorders>
                    <w:top w:val="nil"/>
                    <w:left w:val="nil"/>
                    <w:bottom w:val="nil"/>
                    <w:right w:val="nil"/>
                  </w:tcBorders>
                  <w:shd w:val="clear" w:color="000000" w:fill="FFFFFF"/>
                  <w:noWrap/>
                  <w:vAlign w:val="bottom"/>
                  <w:hideMark/>
                </w:tcPr>
                <w:p w:rsidR="00076B6A" w:rsidRPr="00076B6A" w:rsidRDefault="00076B6A" w:rsidP="00137130">
                  <w:pPr>
                    <w:spacing w:before="0" w:after="0" w:line="240" w:lineRule="auto"/>
                    <w:jc w:val="right"/>
                    <w:rPr>
                      <w:b/>
                      <w:bCs/>
                      <w:sz w:val="22"/>
                      <w:szCs w:val="22"/>
                      <w:lang w:eastAsia="en-GB"/>
                    </w:rPr>
                  </w:pPr>
                  <w:r w:rsidRPr="00076B6A">
                    <w:rPr>
                      <w:b/>
                      <w:bCs/>
                      <w:sz w:val="22"/>
                      <w:szCs w:val="22"/>
                      <w:lang w:eastAsia="en-GB"/>
                    </w:rPr>
                    <w:t>22,</w:t>
                  </w:r>
                  <w:r w:rsidR="00137130">
                    <w:rPr>
                      <w:b/>
                      <w:bCs/>
                      <w:sz w:val="22"/>
                      <w:szCs w:val="22"/>
                      <w:lang w:eastAsia="en-GB"/>
                    </w:rPr>
                    <w:t>542,903</w:t>
                  </w:r>
                </w:p>
              </w:tc>
              <w:tc>
                <w:tcPr>
                  <w:tcW w:w="1559"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b/>
                      <w:bCs/>
                      <w:sz w:val="22"/>
                      <w:szCs w:val="22"/>
                      <w:lang w:eastAsia="en-GB"/>
                    </w:rPr>
                  </w:pPr>
                  <w:r>
                    <w:rPr>
                      <w:b/>
                      <w:bCs/>
                      <w:sz w:val="22"/>
                      <w:szCs w:val="22"/>
                      <w:lang w:eastAsia="en-GB"/>
                    </w:rPr>
                    <w:t>12.8</w:t>
                  </w:r>
                </w:p>
              </w:tc>
            </w:tr>
            <w:tr w:rsidR="00076B6A" w:rsidRPr="00076B6A" w:rsidTr="00F9429E">
              <w:trPr>
                <w:trHeight w:val="255"/>
              </w:trPr>
              <w:tc>
                <w:tcPr>
                  <w:tcW w:w="812" w:type="dxa"/>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810" w:type="dxa"/>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1497" w:type="dxa"/>
                  <w:gridSpan w:val="3"/>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i/>
                      <w:iCs/>
                      <w:sz w:val="22"/>
                      <w:szCs w:val="22"/>
                      <w:lang w:eastAsia="en-GB"/>
                    </w:rPr>
                  </w:pPr>
                  <w:r w:rsidRPr="00076B6A">
                    <w:rPr>
                      <w:b/>
                      <w:bCs/>
                      <w:i/>
                      <w:iCs/>
                      <w:sz w:val="22"/>
                      <w:szCs w:val="22"/>
                      <w:lang w:eastAsia="en-GB"/>
                    </w:rPr>
                    <w:t> </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North East</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sz w:val="22"/>
                      <w:szCs w:val="22"/>
                      <w:lang w:eastAsia="en-GB"/>
                    </w:rPr>
                  </w:pPr>
                  <w:r>
                    <w:rPr>
                      <w:sz w:val="22"/>
                      <w:szCs w:val="22"/>
                      <w:lang w:eastAsia="en-GB"/>
                    </w:rPr>
                    <w:t>16,177</w:t>
                  </w:r>
                </w:p>
              </w:tc>
              <w:tc>
                <w:tcPr>
                  <w:tcW w:w="1843"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i/>
                      <w:iCs/>
                      <w:sz w:val="22"/>
                      <w:szCs w:val="22"/>
                      <w:lang w:eastAsia="en-GB"/>
                    </w:rPr>
                  </w:pPr>
                  <w:r>
                    <w:rPr>
                      <w:i/>
                      <w:iCs/>
                      <w:sz w:val="22"/>
                      <w:szCs w:val="22"/>
                      <w:lang w:eastAsia="en-GB"/>
                    </w:rPr>
                    <w:t>5</w:t>
                  </w:r>
                </w:p>
              </w:tc>
              <w:tc>
                <w:tcPr>
                  <w:tcW w:w="1701" w:type="dxa"/>
                  <w:tcBorders>
                    <w:top w:val="nil"/>
                    <w:left w:val="nil"/>
                    <w:bottom w:val="nil"/>
                    <w:right w:val="nil"/>
                  </w:tcBorders>
                  <w:shd w:val="clear" w:color="000000" w:fill="FFFFFF"/>
                  <w:noWrap/>
                  <w:vAlign w:val="bottom"/>
                  <w:hideMark/>
                </w:tcPr>
                <w:p w:rsidR="00076B6A" w:rsidRPr="00076B6A" w:rsidRDefault="00076B6A" w:rsidP="00137130">
                  <w:pPr>
                    <w:spacing w:before="0" w:after="0" w:line="240" w:lineRule="auto"/>
                    <w:jc w:val="right"/>
                    <w:rPr>
                      <w:sz w:val="22"/>
                      <w:szCs w:val="22"/>
                      <w:lang w:eastAsia="en-GB"/>
                    </w:rPr>
                  </w:pPr>
                  <w:r w:rsidRPr="00076B6A">
                    <w:rPr>
                      <w:sz w:val="22"/>
                      <w:szCs w:val="22"/>
                      <w:lang w:eastAsia="en-GB"/>
                    </w:rPr>
                    <w:t>1,</w:t>
                  </w:r>
                  <w:r w:rsidR="00137130">
                    <w:rPr>
                      <w:sz w:val="22"/>
                      <w:szCs w:val="22"/>
                      <w:lang w:eastAsia="en-GB"/>
                    </w:rPr>
                    <w:t>145,559</w:t>
                  </w:r>
                </w:p>
              </w:tc>
              <w:tc>
                <w:tcPr>
                  <w:tcW w:w="1559"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sz w:val="22"/>
                      <w:szCs w:val="22"/>
                      <w:lang w:eastAsia="en-GB"/>
                    </w:rPr>
                  </w:pPr>
                  <w:r>
                    <w:rPr>
                      <w:sz w:val="22"/>
                      <w:szCs w:val="22"/>
                      <w:lang w:eastAsia="en-GB"/>
                    </w:rPr>
                    <w:t>14.1</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xml:space="preserve">North West </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sz w:val="22"/>
                      <w:szCs w:val="22"/>
                      <w:lang w:eastAsia="en-GB"/>
                    </w:rPr>
                  </w:pPr>
                  <w:r>
                    <w:rPr>
                      <w:sz w:val="22"/>
                      <w:szCs w:val="22"/>
                      <w:lang w:eastAsia="en-GB"/>
                    </w:rPr>
                    <w:t>51,658</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i/>
                      <w:iCs/>
                      <w:sz w:val="22"/>
                      <w:szCs w:val="22"/>
                      <w:lang w:eastAsia="en-GB"/>
                    </w:rPr>
                  </w:pPr>
                  <w:r w:rsidRPr="00076B6A">
                    <w:rPr>
                      <w:i/>
                      <w:iCs/>
                      <w:sz w:val="22"/>
                      <w:szCs w:val="22"/>
                      <w:lang w:eastAsia="en-GB"/>
                    </w:rPr>
                    <w:t>14</w:t>
                  </w:r>
                </w:p>
              </w:tc>
              <w:tc>
                <w:tcPr>
                  <w:tcW w:w="1701" w:type="dxa"/>
                  <w:tcBorders>
                    <w:top w:val="nil"/>
                    <w:left w:val="nil"/>
                    <w:bottom w:val="nil"/>
                    <w:right w:val="nil"/>
                  </w:tcBorders>
                  <w:shd w:val="clear" w:color="000000" w:fill="FFFFFF"/>
                  <w:noWrap/>
                  <w:vAlign w:val="bottom"/>
                  <w:hideMark/>
                </w:tcPr>
                <w:p w:rsidR="00076B6A" w:rsidRPr="00076B6A" w:rsidRDefault="00076B6A" w:rsidP="00137130">
                  <w:pPr>
                    <w:spacing w:before="0" w:after="0" w:line="240" w:lineRule="auto"/>
                    <w:jc w:val="right"/>
                    <w:rPr>
                      <w:sz w:val="22"/>
                      <w:szCs w:val="22"/>
                      <w:lang w:eastAsia="en-GB"/>
                    </w:rPr>
                  </w:pPr>
                  <w:r w:rsidRPr="00076B6A">
                    <w:rPr>
                      <w:sz w:val="22"/>
                      <w:szCs w:val="22"/>
                      <w:lang w:eastAsia="en-GB"/>
                    </w:rPr>
                    <w:t>3,</w:t>
                  </w:r>
                  <w:r w:rsidR="00137130">
                    <w:rPr>
                      <w:sz w:val="22"/>
                      <w:szCs w:val="22"/>
                      <w:lang w:eastAsia="en-GB"/>
                    </w:rPr>
                    <w:t>046,753</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1</w:t>
                  </w:r>
                  <w:r w:rsidR="00137130">
                    <w:rPr>
                      <w:sz w:val="22"/>
                      <w:szCs w:val="22"/>
                      <w:lang w:eastAsia="en-GB"/>
                    </w:rPr>
                    <w:t>7.0</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Yorkshire and The Humber</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sz w:val="22"/>
                      <w:szCs w:val="22"/>
                      <w:lang w:eastAsia="en-GB"/>
                    </w:rPr>
                  </w:pPr>
                  <w:r>
                    <w:rPr>
                      <w:sz w:val="22"/>
                      <w:szCs w:val="22"/>
                      <w:lang w:eastAsia="en-GB"/>
                    </w:rPr>
                    <w:t>38,004</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i/>
                      <w:iCs/>
                      <w:sz w:val="22"/>
                      <w:szCs w:val="22"/>
                      <w:lang w:eastAsia="en-GB"/>
                    </w:rPr>
                  </w:pPr>
                  <w:r w:rsidRPr="00076B6A">
                    <w:rPr>
                      <w:i/>
                      <w:iCs/>
                      <w:sz w:val="22"/>
                      <w:szCs w:val="22"/>
                      <w:lang w:eastAsia="en-GB"/>
                    </w:rPr>
                    <w:t>1</w:t>
                  </w:r>
                  <w:r w:rsidR="00137130">
                    <w:rPr>
                      <w:i/>
                      <w:iCs/>
                      <w:sz w:val="22"/>
                      <w:szCs w:val="22"/>
                      <w:lang w:eastAsia="en-GB"/>
                    </w:rPr>
                    <w:t>1</w:t>
                  </w:r>
                </w:p>
              </w:tc>
              <w:tc>
                <w:tcPr>
                  <w:tcW w:w="1701" w:type="dxa"/>
                  <w:tcBorders>
                    <w:top w:val="nil"/>
                    <w:left w:val="nil"/>
                    <w:bottom w:val="nil"/>
                    <w:right w:val="nil"/>
                  </w:tcBorders>
                  <w:shd w:val="clear" w:color="000000" w:fill="FFFFFF"/>
                  <w:noWrap/>
                  <w:vAlign w:val="bottom"/>
                  <w:hideMark/>
                </w:tcPr>
                <w:p w:rsidR="00076B6A" w:rsidRPr="00076B6A" w:rsidRDefault="00076B6A" w:rsidP="00EE5CD3">
                  <w:pPr>
                    <w:spacing w:before="0" w:after="0" w:line="240" w:lineRule="auto"/>
                    <w:jc w:val="right"/>
                    <w:rPr>
                      <w:sz w:val="22"/>
                      <w:szCs w:val="22"/>
                      <w:lang w:eastAsia="en-GB"/>
                    </w:rPr>
                  </w:pPr>
                  <w:r w:rsidRPr="00076B6A">
                    <w:rPr>
                      <w:sz w:val="22"/>
                      <w:szCs w:val="22"/>
                      <w:lang w:eastAsia="en-GB"/>
                    </w:rPr>
                    <w:t>2,</w:t>
                  </w:r>
                  <w:r w:rsidR="00EE5CD3">
                    <w:rPr>
                      <w:sz w:val="22"/>
                      <w:szCs w:val="22"/>
                      <w:lang w:eastAsia="en-GB"/>
                    </w:rPr>
                    <w:t>262,423</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1</w:t>
                  </w:r>
                  <w:r w:rsidR="00137130">
                    <w:rPr>
                      <w:sz w:val="22"/>
                      <w:szCs w:val="22"/>
                      <w:lang w:eastAsia="en-GB"/>
                    </w:rPr>
                    <w:t>6.8</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East Midlands</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sz w:val="22"/>
                      <w:szCs w:val="22"/>
                      <w:lang w:eastAsia="en-GB"/>
                    </w:rPr>
                  </w:pPr>
                  <w:r>
                    <w:rPr>
                      <w:sz w:val="22"/>
                      <w:szCs w:val="22"/>
                      <w:lang w:eastAsia="en-GB"/>
                    </w:rPr>
                    <w:t>30,067</w:t>
                  </w:r>
                </w:p>
              </w:tc>
              <w:tc>
                <w:tcPr>
                  <w:tcW w:w="1843"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i/>
                      <w:iCs/>
                      <w:sz w:val="22"/>
                      <w:szCs w:val="22"/>
                      <w:lang w:eastAsia="en-GB"/>
                    </w:rPr>
                  </w:pPr>
                  <w:r>
                    <w:rPr>
                      <w:i/>
                      <w:iCs/>
                      <w:sz w:val="22"/>
                      <w:szCs w:val="22"/>
                      <w:lang w:eastAsia="en-GB"/>
                    </w:rPr>
                    <w:t>8</w:t>
                  </w:r>
                </w:p>
              </w:tc>
              <w:tc>
                <w:tcPr>
                  <w:tcW w:w="1701" w:type="dxa"/>
                  <w:tcBorders>
                    <w:top w:val="nil"/>
                    <w:left w:val="nil"/>
                    <w:bottom w:val="nil"/>
                    <w:right w:val="nil"/>
                  </w:tcBorders>
                  <w:shd w:val="clear" w:color="000000" w:fill="FFFFFF"/>
                  <w:noWrap/>
                  <w:vAlign w:val="bottom"/>
                  <w:hideMark/>
                </w:tcPr>
                <w:p w:rsidR="00076B6A" w:rsidRPr="00076B6A" w:rsidRDefault="00076B6A" w:rsidP="00EE5CD3">
                  <w:pPr>
                    <w:spacing w:before="0" w:after="0" w:line="240" w:lineRule="auto"/>
                    <w:jc w:val="right"/>
                    <w:rPr>
                      <w:sz w:val="22"/>
                      <w:szCs w:val="22"/>
                      <w:lang w:eastAsia="en-GB"/>
                    </w:rPr>
                  </w:pPr>
                  <w:r w:rsidRPr="00076B6A">
                    <w:rPr>
                      <w:sz w:val="22"/>
                      <w:szCs w:val="22"/>
                      <w:lang w:eastAsia="en-GB"/>
                    </w:rPr>
                    <w:t>1,</w:t>
                  </w:r>
                  <w:r w:rsidR="00EE5CD3">
                    <w:rPr>
                      <w:sz w:val="22"/>
                      <w:szCs w:val="22"/>
                      <w:lang w:eastAsia="en-GB"/>
                    </w:rPr>
                    <w:t>935,710</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1</w:t>
                  </w:r>
                  <w:r w:rsidR="00137130">
                    <w:rPr>
                      <w:sz w:val="22"/>
                      <w:szCs w:val="22"/>
                      <w:lang w:eastAsia="en-GB"/>
                    </w:rPr>
                    <w:t>5.5</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West Midlands</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sz w:val="22"/>
                      <w:szCs w:val="22"/>
                      <w:lang w:eastAsia="en-GB"/>
                    </w:rPr>
                  </w:pPr>
                  <w:r>
                    <w:rPr>
                      <w:sz w:val="22"/>
                      <w:szCs w:val="22"/>
                      <w:lang w:eastAsia="en-GB"/>
                    </w:rPr>
                    <w:t>44,047</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i/>
                      <w:iCs/>
                      <w:sz w:val="22"/>
                      <w:szCs w:val="22"/>
                      <w:lang w:eastAsia="en-GB"/>
                    </w:rPr>
                  </w:pPr>
                  <w:r w:rsidRPr="00076B6A">
                    <w:rPr>
                      <w:i/>
                      <w:iCs/>
                      <w:sz w:val="22"/>
                      <w:szCs w:val="22"/>
                      <w:lang w:eastAsia="en-GB"/>
                    </w:rPr>
                    <w:t>1</w:t>
                  </w:r>
                  <w:r w:rsidR="00137130">
                    <w:rPr>
                      <w:i/>
                      <w:iCs/>
                      <w:sz w:val="22"/>
                      <w:szCs w:val="22"/>
                      <w:lang w:eastAsia="en-GB"/>
                    </w:rPr>
                    <w:t>2</w:t>
                  </w:r>
                </w:p>
              </w:tc>
              <w:tc>
                <w:tcPr>
                  <w:tcW w:w="1701" w:type="dxa"/>
                  <w:tcBorders>
                    <w:top w:val="nil"/>
                    <w:left w:val="nil"/>
                    <w:bottom w:val="nil"/>
                    <w:right w:val="nil"/>
                  </w:tcBorders>
                  <w:shd w:val="clear" w:color="000000" w:fill="FFFFFF"/>
                  <w:noWrap/>
                  <w:vAlign w:val="bottom"/>
                  <w:hideMark/>
                </w:tcPr>
                <w:p w:rsidR="00076B6A" w:rsidRPr="00076B6A" w:rsidRDefault="00076B6A" w:rsidP="00EE5CD3">
                  <w:pPr>
                    <w:spacing w:before="0" w:after="0" w:line="240" w:lineRule="auto"/>
                    <w:jc w:val="right"/>
                    <w:rPr>
                      <w:sz w:val="22"/>
                      <w:szCs w:val="22"/>
                      <w:lang w:eastAsia="en-GB"/>
                    </w:rPr>
                  </w:pPr>
                  <w:r w:rsidRPr="00076B6A">
                    <w:rPr>
                      <w:sz w:val="22"/>
                      <w:szCs w:val="22"/>
                      <w:lang w:eastAsia="en-GB"/>
                    </w:rPr>
                    <w:t>2,</w:t>
                  </w:r>
                  <w:r w:rsidR="00EE5CD3">
                    <w:rPr>
                      <w:sz w:val="22"/>
                      <w:szCs w:val="22"/>
                      <w:lang w:eastAsia="en-GB"/>
                    </w:rPr>
                    <w:t>332,802</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1</w:t>
                  </w:r>
                  <w:r w:rsidR="00137130">
                    <w:rPr>
                      <w:sz w:val="22"/>
                      <w:szCs w:val="22"/>
                      <w:lang w:eastAsia="en-GB"/>
                    </w:rPr>
                    <w:t>8.9</w:t>
                  </w:r>
                </w:p>
              </w:tc>
            </w:tr>
            <w:tr w:rsidR="00076B6A" w:rsidRPr="00076B6A" w:rsidTr="00F9429E">
              <w:trPr>
                <w:trHeight w:val="255"/>
              </w:trPr>
              <w:tc>
                <w:tcPr>
                  <w:tcW w:w="1622" w:type="dxa"/>
                  <w:gridSpan w:val="2"/>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East</w:t>
                  </w:r>
                </w:p>
              </w:tc>
              <w:tc>
                <w:tcPr>
                  <w:tcW w:w="1497" w:type="dxa"/>
                  <w:gridSpan w:val="3"/>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sz w:val="22"/>
                      <w:szCs w:val="22"/>
                      <w:lang w:eastAsia="en-GB"/>
                    </w:rPr>
                  </w:pPr>
                  <w:r>
                    <w:rPr>
                      <w:sz w:val="22"/>
                      <w:szCs w:val="22"/>
                      <w:lang w:eastAsia="en-GB"/>
                    </w:rPr>
                    <w:t>24,657</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i/>
                      <w:iCs/>
                      <w:sz w:val="22"/>
                      <w:szCs w:val="22"/>
                      <w:lang w:eastAsia="en-GB"/>
                    </w:rPr>
                  </w:pPr>
                  <w:r w:rsidRPr="00076B6A">
                    <w:rPr>
                      <w:i/>
                      <w:iCs/>
                      <w:sz w:val="22"/>
                      <w:szCs w:val="22"/>
                      <w:lang w:eastAsia="en-GB"/>
                    </w:rPr>
                    <w:t>7</w:t>
                  </w:r>
                </w:p>
              </w:tc>
              <w:tc>
                <w:tcPr>
                  <w:tcW w:w="1701" w:type="dxa"/>
                  <w:tcBorders>
                    <w:top w:val="nil"/>
                    <w:left w:val="nil"/>
                    <w:bottom w:val="nil"/>
                    <w:right w:val="nil"/>
                  </w:tcBorders>
                  <w:shd w:val="clear" w:color="000000" w:fill="FFFFFF"/>
                  <w:noWrap/>
                  <w:vAlign w:val="bottom"/>
                  <w:hideMark/>
                </w:tcPr>
                <w:p w:rsidR="00076B6A" w:rsidRPr="00076B6A" w:rsidRDefault="00076B6A" w:rsidP="00EE5CD3">
                  <w:pPr>
                    <w:spacing w:before="0" w:after="0" w:line="240" w:lineRule="auto"/>
                    <w:jc w:val="right"/>
                    <w:rPr>
                      <w:sz w:val="22"/>
                      <w:szCs w:val="22"/>
                      <w:lang w:eastAsia="en-GB"/>
                    </w:rPr>
                  </w:pPr>
                  <w:r w:rsidRPr="00076B6A">
                    <w:rPr>
                      <w:sz w:val="22"/>
                      <w:szCs w:val="22"/>
                      <w:lang w:eastAsia="en-GB"/>
                    </w:rPr>
                    <w:t>2,</w:t>
                  </w:r>
                  <w:r w:rsidR="00EE5CD3">
                    <w:rPr>
                      <w:sz w:val="22"/>
                      <w:szCs w:val="22"/>
                      <w:lang w:eastAsia="en-GB"/>
                    </w:rPr>
                    <w:t>484,620</w:t>
                  </w:r>
                </w:p>
              </w:tc>
              <w:tc>
                <w:tcPr>
                  <w:tcW w:w="1559"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sz w:val="22"/>
                      <w:szCs w:val="22"/>
                      <w:lang w:eastAsia="en-GB"/>
                    </w:rPr>
                  </w:pPr>
                  <w:r>
                    <w:rPr>
                      <w:sz w:val="22"/>
                      <w:szCs w:val="22"/>
                      <w:lang w:eastAsia="en-GB"/>
                    </w:rPr>
                    <w:t>9.9</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London</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sz w:val="22"/>
                      <w:szCs w:val="22"/>
                      <w:lang w:eastAsia="en-GB"/>
                    </w:rPr>
                  </w:pPr>
                  <w:r>
                    <w:rPr>
                      <w:sz w:val="22"/>
                      <w:szCs w:val="22"/>
                      <w:lang w:eastAsia="en-GB"/>
                    </w:rPr>
                    <w:t>22,857</w:t>
                  </w:r>
                </w:p>
              </w:tc>
              <w:tc>
                <w:tcPr>
                  <w:tcW w:w="1843"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i/>
                      <w:iCs/>
                      <w:sz w:val="22"/>
                      <w:szCs w:val="22"/>
                      <w:lang w:eastAsia="en-GB"/>
                    </w:rPr>
                  </w:pPr>
                  <w:r>
                    <w:rPr>
                      <w:i/>
                      <w:iCs/>
                      <w:sz w:val="22"/>
                      <w:szCs w:val="22"/>
                      <w:lang w:eastAsia="en-GB"/>
                    </w:rPr>
                    <w:t>6</w:t>
                  </w:r>
                </w:p>
              </w:tc>
              <w:tc>
                <w:tcPr>
                  <w:tcW w:w="1701" w:type="dxa"/>
                  <w:tcBorders>
                    <w:top w:val="nil"/>
                    <w:left w:val="nil"/>
                    <w:bottom w:val="nil"/>
                    <w:right w:val="nil"/>
                  </w:tcBorders>
                  <w:shd w:val="clear" w:color="000000" w:fill="FFFFFF"/>
                  <w:noWrap/>
                  <w:vAlign w:val="bottom"/>
                  <w:hideMark/>
                </w:tcPr>
                <w:p w:rsidR="00076B6A" w:rsidRPr="00076B6A" w:rsidRDefault="00076B6A" w:rsidP="00EE5CD3">
                  <w:pPr>
                    <w:spacing w:before="0" w:after="0" w:line="240" w:lineRule="auto"/>
                    <w:jc w:val="right"/>
                    <w:rPr>
                      <w:sz w:val="22"/>
                      <w:szCs w:val="22"/>
                      <w:lang w:eastAsia="en-GB"/>
                    </w:rPr>
                  </w:pPr>
                  <w:r w:rsidRPr="00076B6A">
                    <w:rPr>
                      <w:sz w:val="22"/>
                      <w:szCs w:val="22"/>
                      <w:lang w:eastAsia="en-GB"/>
                    </w:rPr>
                    <w:t>3,</w:t>
                  </w:r>
                  <w:r w:rsidR="00EE5CD3">
                    <w:rPr>
                      <w:sz w:val="22"/>
                      <w:szCs w:val="22"/>
                      <w:lang w:eastAsia="en-GB"/>
                    </w:rPr>
                    <w:t>383,918</w:t>
                  </w:r>
                </w:p>
              </w:tc>
              <w:tc>
                <w:tcPr>
                  <w:tcW w:w="1559"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sz w:val="22"/>
                      <w:szCs w:val="22"/>
                      <w:lang w:eastAsia="en-GB"/>
                    </w:rPr>
                  </w:pPr>
                  <w:r>
                    <w:rPr>
                      <w:sz w:val="22"/>
                      <w:szCs w:val="22"/>
                      <w:lang w:eastAsia="en-GB"/>
                    </w:rPr>
                    <w:t>6.8</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South East</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sz w:val="22"/>
                      <w:szCs w:val="22"/>
                      <w:lang w:eastAsia="en-GB"/>
                    </w:rPr>
                  </w:pPr>
                  <w:r>
                    <w:rPr>
                      <w:sz w:val="22"/>
                      <w:szCs w:val="22"/>
                      <w:lang w:eastAsia="en-GB"/>
                    </w:rPr>
                    <w:t>37,077</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i/>
                      <w:iCs/>
                      <w:sz w:val="22"/>
                      <w:szCs w:val="22"/>
                      <w:lang w:eastAsia="en-GB"/>
                    </w:rPr>
                  </w:pPr>
                  <w:r w:rsidRPr="00076B6A">
                    <w:rPr>
                      <w:i/>
                      <w:iCs/>
                      <w:sz w:val="22"/>
                      <w:szCs w:val="22"/>
                      <w:lang w:eastAsia="en-GB"/>
                    </w:rPr>
                    <w:t>1</w:t>
                  </w:r>
                  <w:r w:rsidR="00137130">
                    <w:rPr>
                      <w:i/>
                      <w:iCs/>
                      <w:sz w:val="22"/>
                      <w:szCs w:val="22"/>
                      <w:lang w:eastAsia="en-GB"/>
                    </w:rPr>
                    <w:t>0</w:t>
                  </w:r>
                </w:p>
              </w:tc>
              <w:tc>
                <w:tcPr>
                  <w:tcW w:w="1701" w:type="dxa"/>
                  <w:tcBorders>
                    <w:top w:val="nil"/>
                    <w:left w:val="nil"/>
                    <w:bottom w:val="nil"/>
                    <w:right w:val="nil"/>
                  </w:tcBorders>
                  <w:shd w:val="clear" w:color="000000" w:fill="FFFFFF"/>
                  <w:noWrap/>
                  <w:vAlign w:val="bottom"/>
                  <w:hideMark/>
                </w:tcPr>
                <w:p w:rsidR="00076B6A" w:rsidRPr="00076B6A" w:rsidRDefault="00076B6A" w:rsidP="00EE5CD3">
                  <w:pPr>
                    <w:spacing w:before="0" w:after="0" w:line="240" w:lineRule="auto"/>
                    <w:jc w:val="right"/>
                    <w:rPr>
                      <w:sz w:val="22"/>
                      <w:szCs w:val="22"/>
                      <w:lang w:eastAsia="en-GB"/>
                    </w:rPr>
                  </w:pPr>
                  <w:r w:rsidRPr="00076B6A">
                    <w:rPr>
                      <w:sz w:val="22"/>
                      <w:szCs w:val="22"/>
                      <w:lang w:eastAsia="en-GB"/>
                    </w:rPr>
                    <w:t>3,</w:t>
                  </w:r>
                  <w:r w:rsidR="00EE5CD3">
                    <w:rPr>
                      <w:sz w:val="22"/>
                      <w:szCs w:val="22"/>
                      <w:lang w:eastAsia="en-GB"/>
                    </w:rPr>
                    <w:t>638,436</w:t>
                  </w:r>
                </w:p>
              </w:tc>
              <w:tc>
                <w:tcPr>
                  <w:tcW w:w="1559"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sz w:val="22"/>
                      <w:szCs w:val="22"/>
                      <w:lang w:eastAsia="en-GB"/>
                    </w:rPr>
                  </w:pPr>
                  <w:r>
                    <w:rPr>
                      <w:sz w:val="22"/>
                      <w:szCs w:val="22"/>
                      <w:lang w:eastAsia="en-GB"/>
                    </w:rPr>
                    <w:t>10.2</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South West</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sz w:val="22"/>
                      <w:szCs w:val="22"/>
                      <w:lang w:eastAsia="en-GB"/>
                    </w:rPr>
                  </w:pPr>
                  <w:r>
                    <w:rPr>
                      <w:sz w:val="22"/>
                      <w:szCs w:val="22"/>
                      <w:lang w:eastAsia="en-GB"/>
                    </w:rPr>
                    <w:t>24,455</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i/>
                      <w:iCs/>
                      <w:sz w:val="22"/>
                      <w:szCs w:val="22"/>
                      <w:lang w:eastAsia="en-GB"/>
                    </w:rPr>
                  </w:pPr>
                  <w:r w:rsidRPr="00076B6A">
                    <w:rPr>
                      <w:i/>
                      <w:iCs/>
                      <w:sz w:val="22"/>
                      <w:szCs w:val="22"/>
                      <w:lang w:eastAsia="en-GB"/>
                    </w:rPr>
                    <w:t>7</w:t>
                  </w:r>
                </w:p>
              </w:tc>
              <w:tc>
                <w:tcPr>
                  <w:tcW w:w="1701" w:type="dxa"/>
                  <w:tcBorders>
                    <w:top w:val="nil"/>
                    <w:left w:val="nil"/>
                    <w:bottom w:val="nil"/>
                    <w:right w:val="nil"/>
                  </w:tcBorders>
                  <w:shd w:val="clear" w:color="000000" w:fill="FFFFFF"/>
                  <w:noWrap/>
                  <w:vAlign w:val="bottom"/>
                  <w:hideMark/>
                </w:tcPr>
                <w:p w:rsidR="00076B6A" w:rsidRPr="00076B6A" w:rsidRDefault="00076B6A" w:rsidP="00EE5CD3">
                  <w:pPr>
                    <w:spacing w:before="0" w:after="0" w:line="240" w:lineRule="auto"/>
                    <w:jc w:val="right"/>
                    <w:rPr>
                      <w:sz w:val="22"/>
                      <w:szCs w:val="22"/>
                      <w:lang w:eastAsia="en-GB"/>
                    </w:rPr>
                  </w:pPr>
                  <w:r w:rsidRPr="00076B6A">
                    <w:rPr>
                      <w:sz w:val="22"/>
                      <w:szCs w:val="22"/>
                      <w:lang w:eastAsia="en-GB"/>
                    </w:rPr>
                    <w:t>2,</w:t>
                  </w:r>
                  <w:r w:rsidR="00EE5CD3">
                    <w:rPr>
                      <w:sz w:val="22"/>
                      <w:szCs w:val="22"/>
                      <w:lang w:eastAsia="en-GB"/>
                    </w:rPr>
                    <w:t>312,682</w:t>
                  </w:r>
                </w:p>
              </w:tc>
              <w:tc>
                <w:tcPr>
                  <w:tcW w:w="1559"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sz w:val="22"/>
                      <w:szCs w:val="22"/>
                      <w:lang w:eastAsia="en-GB"/>
                    </w:rPr>
                  </w:pPr>
                  <w:r>
                    <w:rPr>
                      <w:sz w:val="22"/>
                      <w:szCs w:val="22"/>
                      <w:lang w:eastAsia="en-GB"/>
                    </w:rPr>
                    <w:t>10.6</w:t>
                  </w:r>
                </w:p>
              </w:tc>
            </w:tr>
            <w:tr w:rsidR="00076B6A" w:rsidRPr="00076B6A" w:rsidTr="00F9429E">
              <w:trPr>
                <w:trHeight w:val="255"/>
              </w:trPr>
              <w:tc>
                <w:tcPr>
                  <w:tcW w:w="812" w:type="dxa"/>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810" w:type="dxa"/>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1497" w:type="dxa"/>
                  <w:gridSpan w:val="3"/>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i/>
                      <w:iCs/>
                      <w:sz w:val="22"/>
                      <w:szCs w:val="22"/>
                      <w:lang w:eastAsia="en-GB"/>
                    </w:rPr>
                  </w:pPr>
                  <w:r w:rsidRPr="00076B6A">
                    <w:rPr>
                      <w:b/>
                      <w:bCs/>
                      <w:i/>
                      <w:iCs/>
                      <w:sz w:val="22"/>
                      <w:szCs w:val="22"/>
                      <w:lang w:eastAsia="en-GB"/>
                    </w:rPr>
                    <w:t> </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r>
            <w:tr w:rsidR="00076B6A" w:rsidRPr="00076B6A" w:rsidTr="00F9429E">
              <w:trPr>
                <w:trHeight w:val="255"/>
              </w:trPr>
              <w:tc>
                <w:tcPr>
                  <w:tcW w:w="1622" w:type="dxa"/>
                  <w:gridSpan w:val="2"/>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b/>
                      <w:bCs/>
                      <w:color w:val="000000"/>
                      <w:sz w:val="22"/>
                      <w:szCs w:val="22"/>
                      <w:lang w:eastAsia="en-GB"/>
                    </w:rPr>
                  </w:pPr>
                  <w:r w:rsidRPr="00076B6A">
                    <w:rPr>
                      <w:b/>
                      <w:bCs/>
                      <w:color w:val="000000"/>
                      <w:sz w:val="22"/>
                      <w:szCs w:val="22"/>
                      <w:lang w:eastAsia="en-GB"/>
                    </w:rPr>
                    <w:t>Wales</w:t>
                  </w:r>
                </w:p>
              </w:tc>
              <w:tc>
                <w:tcPr>
                  <w:tcW w:w="1497" w:type="dxa"/>
                  <w:gridSpan w:val="3"/>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b/>
                      <w:bCs/>
                      <w:color w:val="000000"/>
                      <w:sz w:val="22"/>
                      <w:szCs w:val="22"/>
                      <w:lang w:eastAsia="en-GB"/>
                    </w:rPr>
                  </w:pPr>
                  <w:r w:rsidRPr="00076B6A">
                    <w:rPr>
                      <w:b/>
                      <w:bCs/>
                      <w:color w:val="000000"/>
                      <w:sz w:val="22"/>
                      <w:szCs w:val="22"/>
                      <w:lang w:eastAsia="en-GB"/>
                    </w:rPr>
                    <w:t> </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b/>
                      <w:bCs/>
                      <w:sz w:val="22"/>
                      <w:szCs w:val="22"/>
                      <w:lang w:eastAsia="en-GB"/>
                    </w:rPr>
                  </w:pPr>
                  <w:r>
                    <w:rPr>
                      <w:b/>
                      <w:bCs/>
                      <w:sz w:val="22"/>
                      <w:szCs w:val="22"/>
                      <w:lang w:eastAsia="en-GB"/>
                    </w:rPr>
                    <w:t>15,697</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b/>
                      <w:bCs/>
                      <w:i/>
                      <w:iCs/>
                      <w:sz w:val="22"/>
                      <w:szCs w:val="22"/>
                      <w:lang w:eastAsia="en-GB"/>
                    </w:rPr>
                  </w:pPr>
                  <w:r w:rsidRPr="00076B6A">
                    <w:rPr>
                      <w:b/>
                      <w:bCs/>
                      <w:i/>
                      <w:iCs/>
                      <w:sz w:val="22"/>
                      <w:szCs w:val="22"/>
                      <w:lang w:eastAsia="en-GB"/>
                    </w:rPr>
                    <w:t>4</w:t>
                  </w:r>
                </w:p>
              </w:tc>
              <w:tc>
                <w:tcPr>
                  <w:tcW w:w="1701" w:type="dxa"/>
                  <w:tcBorders>
                    <w:top w:val="nil"/>
                    <w:left w:val="nil"/>
                    <w:bottom w:val="nil"/>
                    <w:right w:val="nil"/>
                  </w:tcBorders>
                  <w:shd w:val="clear" w:color="000000" w:fill="FFFFFF"/>
                  <w:noWrap/>
                  <w:vAlign w:val="bottom"/>
                  <w:hideMark/>
                </w:tcPr>
                <w:p w:rsidR="00076B6A" w:rsidRPr="00076B6A" w:rsidRDefault="00076B6A" w:rsidP="00EE5CD3">
                  <w:pPr>
                    <w:spacing w:before="0" w:after="0" w:line="240" w:lineRule="auto"/>
                    <w:jc w:val="right"/>
                    <w:rPr>
                      <w:b/>
                      <w:bCs/>
                      <w:sz w:val="22"/>
                      <w:szCs w:val="22"/>
                      <w:lang w:eastAsia="en-GB"/>
                    </w:rPr>
                  </w:pPr>
                  <w:r w:rsidRPr="00076B6A">
                    <w:rPr>
                      <w:b/>
                      <w:bCs/>
                      <w:sz w:val="22"/>
                      <w:szCs w:val="22"/>
                      <w:lang w:eastAsia="en-GB"/>
                    </w:rPr>
                    <w:t>1,</w:t>
                  </w:r>
                  <w:r w:rsidR="00EE5CD3">
                    <w:rPr>
                      <w:b/>
                      <w:bCs/>
                      <w:sz w:val="22"/>
                      <w:szCs w:val="22"/>
                      <w:lang w:eastAsia="en-GB"/>
                    </w:rPr>
                    <w:t>318,569</w:t>
                  </w:r>
                </w:p>
              </w:tc>
              <w:tc>
                <w:tcPr>
                  <w:tcW w:w="1559" w:type="dxa"/>
                  <w:tcBorders>
                    <w:top w:val="nil"/>
                    <w:left w:val="nil"/>
                    <w:bottom w:val="nil"/>
                    <w:right w:val="nil"/>
                  </w:tcBorders>
                  <w:shd w:val="clear" w:color="000000" w:fill="FFFFFF"/>
                  <w:noWrap/>
                  <w:vAlign w:val="bottom"/>
                  <w:hideMark/>
                </w:tcPr>
                <w:p w:rsidR="00076B6A" w:rsidRPr="00076B6A" w:rsidRDefault="00137130" w:rsidP="00076B6A">
                  <w:pPr>
                    <w:spacing w:before="0" w:after="0" w:line="240" w:lineRule="auto"/>
                    <w:jc w:val="right"/>
                    <w:rPr>
                      <w:b/>
                      <w:bCs/>
                      <w:sz w:val="22"/>
                      <w:szCs w:val="22"/>
                      <w:lang w:eastAsia="en-GB"/>
                    </w:rPr>
                  </w:pPr>
                  <w:r>
                    <w:rPr>
                      <w:b/>
                      <w:bCs/>
                      <w:sz w:val="22"/>
                      <w:szCs w:val="22"/>
                      <w:lang w:eastAsia="en-GB"/>
                    </w:rPr>
                    <w:t>11.9</w:t>
                  </w:r>
                </w:p>
              </w:tc>
            </w:tr>
            <w:tr w:rsidR="00076B6A" w:rsidRPr="00076B6A" w:rsidTr="00F9429E">
              <w:trPr>
                <w:trHeight w:val="255"/>
              </w:trPr>
              <w:tc>
                <w:tcPr>
                  <w:tcW w:w="812" w:type="dxa"/>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810" w:type="dxa"/>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1497" w:type="dxa"/>
                  <w:gridSpan w:val="3"/>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i/>
                      <w:iCs/>
                      <w:sz w:val="22"/>
                      <w:szCs w:val="22"/>
                      <w:lang w:eastAsia="en-GB"/>
                    </w:rPr>
                  </w:pPr>
                  <w:r w:rsidRPr="00076B6A">
                    <w:rPr>
                      <w:b/>
                      <w:bCs/>
                      <w:i/>
                      <w:iCs/>
                      <w:sz w:val="22"/>
                      <w:szCs w:val="22"/>
                      <w:lang w:eastAsia="en-GB"/>
                    </w:rPr>
                    <w:t> </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r>
            <w:tr w:rsidR="00076B6A" w:rsidRPr="00076B6A" w:rsidTr="00F9429E">
              <w:trPr>
                <w:trHeight w:val="255"/>
              </w:trPr>
              <w:tc>
                <w:tcPr>
                  <w:tcW w:w="3119" w:type="dxa"/>
                  <w:gridSpan w:val="5"/>
                  <w:tcBorders>
                    <w:top w:val="nil"/>
                    <w:left w:val="nil"/>
                    <w:bottom w:val="single" w:sz="4" w:space="0" w:color="auto"/>
                    <w:right w:val="nil"/>
                  </w:tcBorders>
                  <w:shd w:val="clear" w:color="000000" w:fill="FFFFFF"/>
                  <w:noWrap/>
                  <w:vAlign w:val="center"/>
                  <w:hideMark/>
                </w:tcPr>
                <w:p w:rsidR="00076B6A" w:rsidRPr="00076B6A" w:rsidRDefault="00076B6A" w:rsidP="00076B6A">
                  <w:pPr>
                    <w:spacing w:before="0" w:after="0" w:line="240" w:lineRule="auto"/>
                    <w:rPr>
                      <w:b/>
                      <w:bCs/>
                      <w:color w:val="000000"/>
                      <w:sz w:val="22"/>
                      <w:szCs w:val="22"/>
                      <w:lang w:eastAsia="en-GB"/>
                    </w:rPr>
                  </w:pPr>
                  <w:r w:rsidRPr="00076B6A">
                    <w:rPr>
                      <w:b/>
                      <w:bCs/>
                      <w:color w:val="000000"/>
                      <w:sz w:val="22"/>
                      <w:szCs w:val="22"/>
                      <w:lang w:eastAsia="en-GB"/>
                    </w:rPr>
                    <w:t>Scotland</w:t>
                  </w:r>
                </w:p>
              </w:tc>
              <w:tc>
                <w:tcPr>
                  <w:tcW w:w="283" w:type="dxa"/>
                  <w:tcBorders>
                    <w:top w:val="nil"/>
                    <w:left w:val="nil"/>
                    <w:bottom w:val="single" w:sz="4" w:space="0" w:color="auto"/>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single" w:sz="4" w:space="0" w:color="auto"/>
                    <w:right w:val="nil"/>
                  </w:tcBorders>
                  <w:shd w:val="clear" w:color="000000" w:fill="FFFFFF"/>
                  <w:noWrap/>
                  <w:vAlign w:val="bottom"/>
                  <w:hideMark/>
                </w:tcPr>
                <w:p w:rsidR="00076B6A" w:rsidRPr="00076B6A" w:rsidRDefault="00137130" w:rsidP="00076B6A">
                  <w:pPr>
                    <w:spacing w:before="0" w:after="0" w:line="240" w:lineRule="auto"/>
                    <w:jc w:val="right"/>
                    <w:rPr>
                      <w:b/>
                      <w:bCs/>
                      <w:sz w:val="22"/>
                      <w:szCs w:val="22"/>
                      <w:lang w:eastAsia="en-GB"/>
                    </w:rPr>
                  </w:pPr>
                  <w:r>
                    <w:rPr>
                      <w:b/>
                      <w:bCs/>
                      <w:sz w:val="22"/>
                      <w:szCs w:val="22"/>
                      <w:lang w:eastAsia="en-GB"/>
                    </w:rPr>
                    <w:t>51,818</w:t>
                  </w:r>
                </w:p>
              </w:tc>
              <w:tc>
                <w:tcPr>
                  <w:tcW w:w="1843" w:type="dxa"/>
                  <w:tcBorders>
                    <w:top w:val="nil"/>
                    <w:left w:val="nil"/>
                    <w:bottom w:val="single" w:sz="4" w:space="0" w:color="auto"/>
                    <w:right w:val="nil"/>
                  </w:tcBorders>
                  <w:shd w:val="clear" w:color="000000" w:fill="FFFFFF"/>
                  <w:noWrap/>
                  <w:vAlign w:val="bottom"/>
                  <w:hideMark/>
                </w:tcPr>
                <w:p w:rsidR="00076B6A" w:rsidRPr="00076B6A" w:rsidRDefault="00076B6A" w:rsidP="00076B6A">
                  <w:pPr>
                    <w:spacing w:before="0" w:after="0" w:line="240" w:lineRule="auto"/>
                    <w:jc w:val="right"/>
                    <w:rPr>
                      <w:b/>
                      <w:bCs/>
                      <w:i/>
                      <w:iCs/>
                      <w:sz w:val="22"/>
                      <w:szCs w:val="22"/>
                      <w:lang w:eastAsia="en-GB"/>
                    </w:rPr>
                  </w:pPr>
                  <w:r w:rsidRPr="00076B6A">
                    <w:rPr>
                      <w:b/>
                      <w:bCs/>
                      <w:i/>
                      <w:iCs/>
                      <w:sz w:val="22"/>
                      <w:szCs w:val="22"/>
                      <w:lang w:eastAsia="en-GB"/>
                    </w:rPr>
                    <w:t>15</w:t>
                  </w:r>
                </w:p>
              </w:tc>
              <w:tc>
                <w:tcPr>
                  <w:tcW w:w="1701" w:type="dxa"/>
                  <w:tcBorders>
                    <w:top w:val="nil"/>
                    <w:left w:val="nil"/>
                    <w:bottom w:val="single" w:sz="4" w:space="0" w:color="auto"/>
                    <w:right w:val="nil"/>
                  </w:tcBorders>
                  <w:shd w:val="clear" w:color="000000" w:fill="FFFFFF"/>
                  <w:noWrap/>
                  <w:vAlign w:val="bottom"/>
                  <w:hideMark/>
                </w:tcPr>
                <w:p w:rsidR="00076B6A" w:rsidRPr="00076B6A" w:rsidRDefault="00076B6A" w:rsidP="00EE5CD3">
                  <w:pPr>
                    <w:spacing w:before="0" w:after="0" w:line="240" w:lineRule="auto"/>
                    <w:jc w:val="right"/>
                    <w:rPr>
                      <w:b/>
                      <w:bCs/>
                      <w:sz w:val="22"/>
                      <w:szCs w:val="22"/>
                      <w:lang w:eastAsia="en-GB"/>
                    </w:rPr>
                  </w:pPr>
                  <w:r w:rsidRPr="00076B6A">
                    <w:rPr>
                      <w:b/>
                      <w:bCs/>
                      <w:sz w:val="22"/>
                      <w:szCs w:val="22"/>
                      <w:lang w:eastAsia="en-GB"/>
                    </w:rPr>
                    <w:t>2,</w:t>
                  </w:r>
                  <w:r w:rsidR="00EE5CD3">
                    <w:rPr>
                      <w:b/>
                      <w:bCs/>
                      <w:sz w:val="22"/>
                      <w:szCs w:val="22"/>
                      <w:lang w:eastAsia="en-GB"/>
                    </w:rPr>
                    <w:t>401,797</w:t>
                  </w:r>
                </w:p>
              </w:tc>
              <w:tc>
                <w:tcPr>
                  <w:tcW w:w="1559" w:type="dxa"/>
                  <w:tcBorders>
                    <w:top w:val="nil"/>
                    <w:left w:val="nil"/>
                    <w:bottom w:val="single" w:sz="4" w:space="0" w:color="auto"/>
                    <w:right w:val="nil"/>
                  </w:tcBorders>
                  <w:shd w:val="clear" w:color="000000" w:fill="FFFFFF"/>
                  <w:noWrap/>
                  <w:vAlign w:val="bottom"/>
                  <w:hideMark/>
                </w:tcPr>
                <w:p w:rsidR="00076B6A" w:rsidRPr="00076B6A" w:rsidRDefault="00EE5CD3" w:rsidP="00076B6A">
                  <w:pPr>
                    <w:spacing w:before="0" w:after="0" w:line="240" w:lineRule="auto"/>
                    <w:jc w:val="right"/>
                    <w:rPr>
                      <w:b/>
                      <w:bCs/>
                      <w:sz w:val="22"/>
                      <w:szCs w:val="22"/>
                      <w:lang w:eastAsia="en-GB"/>
                    </w:rPr>
                  </w:pPr>
                  <w:r>
                    <w:rPr>
                      <w:b/>
                      <w:bCs/>
                      <w:sz w:val="22"/>
                      <w:szCs w:val="22"/>
                      <w:lang w:eastAsia="en-GB"/>
                    </w:rPr>
                    <w:t>21.6</w:t>
                  </w:r>
                </w:p>
              </w:tc>
            </w:tr>
          </w:tbl>
          <w:p w:rsidR="000B6EFA" w:rsidRPr="000B6EFA" w:rsidRDefault="000B6EFA" w:rsidP="00D65354">
            <w:pPr>
              <w:spacing w:after="0" w:line="240" w:lineRule="auto"/>
              <w:rPr>
                <w:sz w:val="21"/>
                <w:szCs w:val="21"/>
                <w:lang w:eastAsia="en-GB"/>
              </w:rPr>
            </w:pPr>
            <w:r w:rsidRPr="000B6EFA">
              <w:rPr>
                <w:sz w:val="21"/>
                <w:szCs w:val="21"/>
                <w:lang w:eastAsia="en-GB"/>
              </w:rPr>
              <w:t> </w:t>
            </w:r>
            <w:r w:rsidRPr="000B6EFA">
              <w:rPr>
                <w:sz w:val="21"/>
                <w:szCs w:val="21"/>
                <w:vertAlign w:val="superscript"/>
                <w:lang w:eastAsia="en-GB"/>
              </w:rPr>
              <w:t xml:space="preserve">1 </w:t>
            </w:r>
            <w:r w:rsidR="00ED2911">
              <w:rPr>
                <w:sz w:val="21"/>
                <w:szCs w:val="21"/>
                <w:lang w:eastAsia="en-GB"/>
              </w:rPr>
              <w:t xml:space="preserve">Source: </w:t>
            </w:r>
            <w:r w:rsidR="00ED2911" w:rsidRPr="00ED2911">
              <w:rPr>
                <w:sz w:val="21"/>
                <w:szCs w:val="21"/>
                <w:lang w:eastAsia="en-GB"/>
              </w:rPr>
              <w:t>England: Department for Communities and Local Government, Household Projections.</w:t>
            </w:r>
            <w:r w:rsidR="00D65354">
              <w:rPr>
                <w:sz w:val="21"/>
                <w:szCs w:val="21"/>
                <w:lang w:eastAsia="en-GB"/>
              </w:rPr>
              <w:br/>
            </w:r>
            <w:r w:rsidR="00ED2911" w:rsidRPr="00ED2911">
              <w:rPr>
                <w:sz w:val="21"/>
                <w:szCs w:val="21"/>
                <w:lang w:eastAsia="en-GB"/>
              </w:rPr>
              <w:t xml:space="preserve">Wales: Welsh Government, Household estimates. </w:t>
            </w:r>
            <w:r w:rsidR="00D65354">
              <w:rPr>
                <w:sz w:val="21"/>
                <w:szCs w:val="21"/>
                <w:lang w:eastAsia="en-GB"/>
              </w:rPr>
              <w:br/>
            </w:r>
            <w:r w:rsidR="00ED2911" w:rsidRPr="00ED2911">
              <w:rPr>
                <w:sz w:val="21"/>
                <w:szCs w:val="21"/>
                <w:lang w:eastAsia="en-GB"/>
              </w:rPr>
              <w:t xml:space="preserve">Scotland: General Register Office for </w:t>
            </w:r>
            <w:proofErr w:type="gramStart"/>
            <w:r w:rsidR="00ED2911" w:rsidRPr="00ED2911">
              <w:rPr>
                <w:sz w:val="21"/>
                <w:szCs w:val="21"/>
                <w:lang w:eastAsia="en-GB"/>
              </w:rPr>
              <w:t>Scotland,</w:t>
            </w:r>
            <w:proofErr w:type="gramEnd"/>
            <w:r w:rsidR="00ED2911" w:rsidRPr="00ED2911">
              <w:rPr>
                <w:sz w:val="21"/>
                <w:szCs w:val="21"/>
                <w:lang w:eastAsia="en-GB"/>
              </w:rPr>
              <w:t xml:space="preserve"> Estimates of Households in Scotland.</w:t>
            </w:r>
          </w:p>
        </w:tc>
      </w:tr>
    </w:tbl>
    <w:p w:rsidR="00F9429E" w:rsidRDefault="00F9429E" w:rsidP="00C50FC5">
      <w:pPr>
        <w:spacing w:line="270" w:lineRule="atLeast"/>
        <w:jc w:val="both"/>
        <w:rPr>
          <w:b/>
          <w:bCs/>
        </w:rPr>
      </w:pPr>
    </w:p>
    <w:p w:rsidR="00D65354" w:rsidRDefault="00D65354" w:rsidP="00C50FC5">
      <w:pPr>
        <w:spacing w:line="270" w:lineRule="atLeast"/>
        <w:jc w:val="both"/>
        <w:rPr>
          <w:b/>
          <w:bCs/>
        </w:rPr>
      </w:pPr>
    </w:p>
    <w:p w:rsidR="00F9429E" w:rsidRPr="00A35AB9" w:rsidRDefault="00C50FC5" w:rsidP="00C50FC5">
      <w:pPr>
        <w:spacing w:line="270" w:lineRule="atLeast"/>
        <w:jc w:val="both"/>
        <w:rPr>
          <w:bCs/>
        </w:rPr>
      </w:pPr>
      <w:proofErr w:type="gramStart"/>
      <w:r w:rsidRPr="003D3CD9">
        <w:rPr>
          <w:b/>
          <w:bCs/>
        </w:rPr>
        <w:t>Table 1</w:t>
      </w:r>
      <w:r w:rsidR="00C351B2" w:rsidRPr="003D3CD9">
        <w:rPr>
          <w:b/>
          <w:bCs/>
        </w:rPr>
        <w:t>.6</w:t>
      </w:r>
      <w:r w:rsidRPr="003D3CD9">
        <w:rPr>
          <w:b/>
          <w:bCs/>
        </w:rPr>
        <w:t xml:space="preserve">a: Number of Green Deal Assessments lodged by administrative area, up to </w:t>
      </w:r>
      <w:r w:rsidR="007E138E" w:rsidRPr="003D3CD9">
        <w:rPr>
          <w:b/>
          <w:bCs/>
        </w:rPr>
        <w:t xml:space="preserve">30th </w:t>
      </w:r>
      <w:r w:rsidR="00665048" w:rsidRPr="003D3CD9">
        <w:rPr>
          <w:b/>
          <w:bCs/>
        </w:rPr>
        <w:t>September</w:t>
      </w:r>
      <w:r w:rsidR="002F723B" w:rsidRPr="003D3CD9">
        <w:rPr>
          <w:b/>
          <w:bCs/>
        </w:rPr>
        <w:t xml:space="preserve"> 2014</w:t>
      </w:r>
      <w:r w:rsidRPr="003D3CD9">
        <w:rPr>
          <w:b/>
          <w:bCs/>
        </w:rPr>
        <w:t xml:space="preserve"> </w:t>
      </w:r>
      <w:r w:rsidRPr="003D3CD9">
        <w:rPr>
          <w:bCs/>
        </w:rPr>
        <w:t xml:space="preserve">(Table available </w:t>
      </w:r>
      <w:r w:rsidRPr="003D3CD9">
        <w:t xml:space="preserve">in Excel </w:t>
      </w:r>
      <w:hyperlink r:id="rId50" w:history="1">
        <w:r w:rsidR="001D54FE" w:rsidRPr="001D54FE">
          <w:rPr>
            <w:rStyle w:val="Hyperlink"/>
            <w:rFonts w:ascii="Arial" w:hAnsi="Arial"/>
            <w:sz w:val="23"/>
            <w:szCs w:val="23"/>
          </w:rPr>
          <w:t>here</w:t>
        </w:r>
      </w:hyperlink>
      <w:r w:rsidRPr="001D54FE">
        <w:rPr>
          <w:bCs/>
        </w:rPr>
        <w:t>).</w:t>
      </w:r>
      <w:proofErr w:type="gramEnd"/>
    </w:p>
    <w:p w:rsidR="00A35AB9" w:rsidRDefault="00A35AB9" w:rsidP="00C50FC5">
      <w:pPr>
        <w:spacing w:line="270" w:lineRule="atLeast"/>
        <w:jc w:val="both"/>
        <w:rPr>
          <w:b/>
          <w:bCs/>
        </w:rPr>
      </w:pPr>
    </w:p>
    <w:p w:rsidR="00596CB9" w:rsidRPr="003D3CD9" w:rsidRDefault="00C50FC5" w:rsidP="00C50FC5">
      <w:pPr>
        <w:spacing w:line="270" w:lineRule="atLeast"/>
        <w:jc w:val="both"/>
        <w:rPr>
          <w:bCs/>
        </w:rPr>
      </w:pPr>
      <w:proofErr w:type="gramStart"/>
      <w:r w:rsidRPr="003D3CD9">
        <w:rPr>
          <w:b/>
          <w:bCs/>
        </w:rPr>
        <w:t>Table 1</w:t>
      </w:r>
      <w:r w:rsidR="00C351B2" w:rsidRPr="003D3CD9">
        <w:rPr>
          <w:b/>
          <w:bCs/>
        </w:rPr>
        <w:t>.6</w:t>
      </w:r>
      <w:r w:rsidRPr="003D3CD9">
        <w:rPr>
          <w:b/>
          <w:bCs/>
        </w:rPr>
        <w:t xml:space="preserve">b: Number of Green Deal Assessments lodged by Parliamentary Constituency, up to </w:t>
      </w:r>
      <w:r w:rsidR="007E138E" w:rsidRPr="003D3CD9">
        <w:rPr>
          <w:b/>
          <w:bCs/>
        </w:rPr>
        <w:t xml:space="preserve">30th </w:t>
      </w:r>
      <w:r w:rsidR="00665048" w:rsidRPr="003D3CD9">
        <w:rPr>
          <w:b/>
          <w:bCs/>
        </w:rPr>
        <w:t>September</w:t>
      </w:r>
      <w:r w:rsidR="002F723B" w:rsidRPr="003D3CD9">
        <w:rPr>
          <w:b/>
          <w:bCs/>
        </w:rPr>
        <w:t xml:space="preserve"> 2014</w:t>
      </w:r>
      <w:r w:rsidRPr="003D3CD9">
        <w:rPr>
          <w:b/>
          <w:bCs/>
        </w:rPr>
        <w:t xml:space="preserve"> </w:t>
      </w:r>
      <w:r w:rsidRPr="003D3CD9">
        <w:rPr>
          <w:bCs/>
        </w:rPr>
        <w:t xml:space="preserve">(Table available </w:t>
      </w:r>
      <w:r w:rsidRPr="003D3CD9">
        <w:t xml:space="preserve">in Excel </w:t>
      </w:r>
      <w:hyperlink r:id="rId51" w:history="1">
        <w:r w:rsidR="001D54FE" w:rsidRPr="001D54FE">
          <w:rPr>
            <w:rStyle w:val="Hyperlink"/>
            <w:rFonts w:ascii="Arial" w:hAnsi="Arial"/>
            <w:sz w:val="23"/>
            <w:szCs w:val="23"/>
          </w:rPr>
          <w:t>here</w:t>
        </w:r>
      </w:hyperlink>
      <w:r w:rsidRPr="003D3CD9">
        <w:rPr>
          <w:bCs/>
        </w:rPr>
        <w:t>).</w:t>
      </w:r>
      <w:proofErr w:type="gramEnd"/>
    </w:p>
    <w:tbl>
      <w:tblPr>
        <w:tblW w:w="10221" w:type="dxa"/>
        <w:tblInd w:w="93" w:type="dxa"/>
        <w:tblLayout w:type="fixed"/>
        <w:tblLook w:val="04A0" w:firstRow="1" w:lastRow="0" w:firstColumn="1" w:lastColumn="0" w:noHBand="0" w:noVBand="1"/>
      </w:tblPr>
      <w:tblGrid>
        <w:gridCol w:w="1511"/>
        <w:gridCol w:w="1529"/>
        <w:gridCol w:w="1370"/>
        <w:gridCol w:w="141"/>
        <w:gridCol w:w="1134"/>
        <w:gridCol w:w="142"/>
        <w:gridCol w:w="1276"/>
        <w:gridCol w:w="709"/>
        <w:gridCol w:w="850"/>
        <w:gridCol w:w="1276"/>
        <w:gridCol w:w="283"/>
      </w:tblGrid>
      <w:tr w:rsidR="009F2B59" w:rsidRPr="003D3CD9" w:rsidTr="00B669A5">
        <w:trPr>
          <w:trHeight w:val="255"/>
        </w:trPr>
        <w:tc>
          <w:tcPr>
            <w:tcW w:w="10221" w:type="dxa"/>
            <w:gridSpan w:val="11"/>
            <w:tcBorders>
              <w:top w:val="nil"/>
              <w:left w:val="nil"/>
              <w:bottom w:val="nil"/>
              <w:right w:val="nil"/>
            </w:tcBorders>
            <w:shd w:val="clear" w:color="000000" w:fill="FFFFFF"/>
            <w:noWrap/>
            <w:vAlign w:val="bottom"/>
            <w:hideMark/>
          </w:tcPr>
          <w:p w:rsidR="009F2B59" w:rsidRPr="003D3CD9" w:rsidRDefault="00C351B2" w:rsidP="00665048">
            <w:pPr>
              <w:spacing w:before="0" w:after="0" w:line="240" w:lineRule="auto"/>
              <w:rPr>
                <w:b/>
                <w:bCs/>
                <w:szCs w:val="24"/>
                <w:lang w:eastAsia="en-GB"/>
              </w:rPr>
            </w:pPr>
            <w:r w:rsidRPr="003D3CD9">
              <w:rPr>
                <w:b/>
                <w:bCs/>
                <w:szCs w:val="24"/>
                <w:lang w:eastAsia="en-GB"/>
              </w:rPr>
              <w:lastRenderedPageBreak/>
              <w:t>Table 1.7</w:t>
            </w:r>
            <w:r w:rsidR="009F2B59" w:rsidRPr="003D3CD9">
              <w:rPr>
                <w:b/>
                <w:bCs/>
                <w:szCs w:val="24"/>
                <w:lang w:eastAsia="en-GB"/>
              </w:rPr>
              <w:t xml:space="preserve">: Number of 'live' Green Deal Plans by Region, up to </w:t>
            </w:r>
            <w:r w:rsidR="007E138E" w:rsidRPr="003D3CD9">
              <w:rPr>
                <w:b/>
                <w:bCs/>
                <w:szCs w:val="24"/>
                <w:lang w:eastAsia="en-GB"/>
              </w:rPr>
              <w:t xml:space="preserve">30th </w:t>
            </w:r>
            <w:r w:rsidR="00665048" w:rsidRPr="003D3CD9">
              <w:rPr>
                <w:b/>
                <w:bCs/>
                <w:szCs w:val="24"/>
                <w:lang w:eastAsia="en-GB"/>
              </w:rPr>
              <w:t>September</w:t>
            </w:r>
            <w:r w:rsidR="002F723B" w:rsidRPr="003D3CD9">
              <w:rPr>
                <w:b/>
                <w:bCs/>
                <w:szCs w:val="24"/>
                <w:lang w:eastAsia="en-GB"/>
              </w:rPr>
              <w:t xml:space="preserve"> 2014</w:t>
            </w:r>
          </w:p>
        </w:tc>
      </w:tr>
      <w:tr w:rsidR="009F2B59" w:rsidRPr="003D3CD9" w:rsidTr="00B669A5">
        <w:trPr>
          <w:trHeight w:val="240"/>
        </w:trPr>
        <w:tc>
          <w:tcPr>
            <w:tcW w:w="1511" w:type="dxa"/>
            <w:tcBorders>
              <w:top w:val="nil"/>
              <w:left w:val="nil"/>
              <w:bottom w:val="nil"/>
              <w:right w:val="nil"/>
            </w:tcBorders>
            <w:shd w:val="clear" w:color="000000" w:fill="FFFFFF"/>
            <w:noWrap/>
            <w:vAlign w:val="bottom"/>
            <w:hideMark/>
          </w:tcPr>
          <w:p w:rsidR="009F2B59" w:rsidRPr="003D3CD9" w:rsidRDefault="009F2B59" w:rsidP="009F2B59">
            <w:pPr>
              <w:spacing w:before="0" w:after="0" w:line="240" w:lineRule="auto"/>
              <w:rPr>
                <w:sz w:val="23"/>
                <w:szCs w:val="23"/>
                <w:lang w:eastAsia="en-GB"/>
              </w:rPr>
            </w:pPr>
            <w:r w:rsidRPr="003D3CD9">
              <w:rPr>
                <w:sz w:val="23"/>
                <w:szCs w:val="23"/>
                <w:lang w:eastAsia="en-GB"/>
              </w:rPr>
              <w:t> </w:t>
            </w:r>
          </w:p>
        </w:tc>
        <w:tc>
          <w:tcPr>
            <w:tcW w:w="3040" w:type="dxa"/>
            <w:gridSpan w:val="3"/>
            <w:tcBorders>
              <w:top w:val="nil"/>
              <w:left w:val="nil"/>
              <w:bottom w:val="nil"/>
              <w:right w:val="nil"/>
            </w:tcBorders>
            <w:shd w:val="clear" w:color="000000" w:fill="FFFFFF"/>
            <w:noWrap/>
            <w:vAlign w:val="bottom"/>
            <w:hideMark/>
          </w:tcPr>
          <w:p w:rsidR="009F2B59" w:rsidRPr="003D3CD9" w:rsidRDefault="009F2B59" w:rsidP="009F2B59">
            <w:pPr>
              <w:spacing w:before="0" w:after="0" w:line="240" w:lineRule="auto"/>
              <w:rPr>
                <w:sz w:val="23"/>
                <w:szCs w:val="23"/>
                <w:lang w:eastAsia="en-GB"/>
              </w:rPr>
            </w:pPr>
            <w:r w:rsidRPr="003D3CD9">
              <w:rPr>
                <w:sz w:val="23"/>
                <w:szCs w:val="23"/>
                <w:lang w:eastAsia="en-GB"/>
              </w:rPr>
              <w:t> </w:t>
            </w:r>
          </w:p>
        </w:tc>
        <w:tc>
          <w:tcPr>
            <w:tcW w:w="1134" w:type="dxa"/>
            <w:tcBorders>
              <w:top w:val="nil"/>
              <w:left w:val="nil"/>
              <w:bottom w:val="nil"/>
              <w:right w:val="nil"/>
            </w:tcBorders>
            <w:shd w:val="clear" w:color="000000" w:fill="FFFFFF"/>
            <w:noWrap/>
            <w:vAlign w:val="bottom"/>
            <w:hideMark/>
          </w:tcPr>
          <w:p w:rsidR="009F2B59" w:rsidRPr="003D3CD9" w:rsidRDefault="009F2B59" w:rsidP="009F2B59">
            <w:pPr>
              <w:spacing w:before="0" w:after="0" w:line="240" w:lineRule="auto"/>
              <w:rPr>
                <w:sz w:val="23"/>
                <w:szCs w:val="23"/>
                <w:lang w:eastAsia="en-GB"/>
              </w:rPr>
            </w:pPr>
            <w:r w:rsidRPr="003D3CD9">
              <w:rPr>
                <w:sz w:val="23"/>
                <w:szCs w:val="23"/>
                <w:lang w:eastAsia="en-GB"/>
              </w:rPr>
              <w:t> </w:t>
            </w:r>
          </w:p>
        </w:tc>
        <w:tc>
          <w:tcPr>
            <w:tcW w:w="1418" w:type="dxa"/>
            <w:gridSpan w:val="2"/>
            <w:tcBorders>
              <w:top w:val="nil"/>
              <w:left w:val="nil"/>
              <w:bottom w:val="nil"/>
              <w:right w:val="nil"/>
            </w:tcBorders>
            <w:shd w:val="clear" w:color="000000" w:fill="FFFFFF"/>
            <w:noWrap/>
            <w:vAlign w:val="bottom"/>
            <w:hideMark/>
          </w:tcPr>
          <w:p w:rsidR="009F2B59" w:rsidRPr="003D3CD9" w:rsidRDefault="009F2B59" w:rsidP="009F2B59">
            <w:pPr>
              <w:spacing w:before="0" w:after="0" w:line="240" w:lineRule="auto"/>
              <w:rPr>
                <w:sz w:val="23"/>
                <w:szCs w:val="23"/>
                <w:lang w:eastAsia="en-GB"/>
              </w:rPr>
            </w:pPr>
            <w:r w:rsidRPr="003D3CD9">
              <w:rPr>
                <w:sz w:val="23"/>
                <w:szCs w:val="23"/>
                <w:lang w:eastAsia="en-GB"/>
              </w:rPr>
              <w:t> </w:t>
            </w:r>
          </w:p>
        </w:tc>
        <w:tc>
          <w:tcPr>
            <w:tcW w:w="1559" w:type="dxa"/>
            <w:gridSpan w:val="2"/>
            <w:tcBorders>
              <w:top w:val="nil"/>
              <w:left w:val="nil"/>
              <w:bottom w:val="nil"/>
              <w:right w:val="nil"/>
            </w:tcBorders>
            <w:shd w:val="clear" w:color="000000" w:fill="FFFFFF"/>
            <w:noWrap/>
            <w:vAlign w:val="bottom"/>
            <w:hideMark/>
          </w:tcPr>
          <w:p w:rsidR="009F2B59" w:rsidRPr="003D3CD9" w:rsidRDefault="009F2B59" w:rsidP="009F2B59">
            <w:pPr>
              <w:spacing w:before="0" w:after="0" w:line="240" w:lineRule="auto"/>
              <w:rPr>
                <w:sz w:val="23"/>
                <w:szCs w:val="23"/>
                <w:lang w:eastAsia="en-GB"/>
              </w:rPr>
            </w:pPr>
            <w:r w:rsidRPr="003D3CD9">
              <w:rPr>
                <w:sz w:val="23"/>
                <w:szCs w:val="23"/>
                <w:lang w:eastAsia="en-GB"/>
              </w:rPr>
              <w:t> </w:t>
            </w:r>
          </w:p>
        </w:tc>
        <w:tc>
          <w:tcPr>
            <w:tcW w:w="1559" w:type="dxa"/>
            <w:gridSpan w:val="2"/>
            <w:tcBorders>
              <w:top w:val="nil"/>
              <w:left w:val="nil"/>
              <w:bottom w:val="nil"/>
              <w:right w:val="nil"/>
            </w:tcBorders>
            <w:shd w:val="clear" w:color="000000" w:fill="FFFFFF"/>
            <w:noWrap/>
            <w:vAlign w:val="bottom"/>
            <w:hideMark/>
          </w:tcPr>
          <w:p w:rsidR="009F2B59" w:rsidRPr="003D3CD9" w:rsidRDefault="009F2B59" w:rsidP="009F2B59">
            <w:pPr>
              <w:spacing w:before="0" w:after="0" w:line="240" w:lineRule="auto"/>
              <w:rPr>
                <w:sz w:val="23"/>
                <w:szCs w:val="23"/>
                <w:lang w:eastAsia="en-GB"/>
              </w:rPr>
            </w:pPr>
            <w:r w:rsidRPr="003D3CD9">
              <w:rPr>
                <w:sz w:val="23"/>
                <w:szCs w:val="23"/>
                <w:lang w:eastAsia="en-GB"/>
              </w:rPr>
              <w:t> </w:t>
            </w:r>
          </w:p>
        </w:tc>
      </w:tr>
      <w:tr w:rsidR="00703C47" w:rsidRPr="003D3CD9" w:rsidTr="007B6F33">
        <w:trPr>
          <w:gridAfter w:val="1"/>
          <w:wAfter w:w="283" w:type="dxa"/>
          <w:trHeight w:val="861"/>
        </w:trPr>
        <w:tc>
          <w:tcPr>
            <w:tcW w:w="3040" w:type="dxa"/>
            <w:gridSpan w:val="2"/>
            <w:tcBorders>
              <w:top w:val="single" w:sz="4" w:space="0" w:color="auto"/>
              <w:left w:val="nil"/>
              <w:bottom w:val="single" w:sz="4" w:space="0" w:color="auto"/>
              <w:right w:val="nil"/>
            </w:tcBorders>
            <w:shd w:val="clear" w:color="000000" w:fill="FFFFFF"/>
            <w:noWrap/>
            <w:vAlign w:val="bottom"/>
            <w:hideMark/>
          </w:tcPr>
          <w:p w:rsidR="00703C47" w:rsidRPr="003D3CD9" w:rsidRDefault="00703C47" w:rsidP="009F2B59">
            <w:pPr>
              <w:spacing w:before="0" w:after="0" w:line="240" w:lineRule="auto"/>
              <w:rPr>
                <w:sz w:val="23"/>
                <w:szCs w:val="23"/>
                <w:lang w:eastAsia="en-GB"/>
              </w:rPr>
            </w:pPr>
            <w:r w:rsidRPr="003D3CD9">
              <w:rPr>
                <w:sz w:val="23"/>
                <w:szCs w:val="23"/>
                <w:lang w:eastAsia="en-GB"/>
              </w:rPr>
              <w:t>Area names</w:t>
            </w:r>
          </w:p>
        </w:tc>
        <w:tc>
          <w:tcPr>
            <w:tcW w:w="1370" w:type="dxa"/>
            <w:tcBorders>
              <w:top w:val="single" w:sz="4" w:space="0" w:color="auto"/>
              <w:left w:val="nil"/>
              <w:bottom w:val="single" w:sz="4" w:space="0" w:color="auto"/>
              <w:right w:val="nil"/>
            </w:tcBorders>
            <w:shd w:val="clear" w:color="000000" w:fill="FFFFFF"/>
            <w:vAlign w:val="bottom"/>
            <w:hideMark/>
          </w:tcPr>
          <w:p w:rsidR="00703C47" w:rsidRPr="003D3CD9" w:rsidRDefault="00703C47" w:rsidP="009F2B59">
            <w:pPr>
              <w:spacing w:before="0" w:after="0" w:line="240" w:lineRule="auto"/>
              <w:jc w:val="right"/>
              <w:rPr>
                <w:sz w:val="23"/>
                <w:szCs w:val="23"/>
                <w:lang w:eastAsia="en-GB"/>
              </w:rPr>
            </w:pPr>
            <w:r w:rsidRPr="003D3CD9">
              <w:rPr>
                <w:sz w:val="23"/>
                <w:szCs w:val="23"/>
                <w:lang w:eastAsia="en-GB"/>
              </w:rPr>
              <w:t>'Live' Green Deal Plans</w:t>
            </w:r>
          </w:p>
        </w:tc>
        <w:tc>
          <w:tcPr>
            <w:tcW w:w="1417" w:type="dxa"/>
            <w:gridSpan w:val="3"/>
            <w:tcBorders>
              <w:top w:val="single" w:sz="4" w:space="0" w:color="auto"/>
              <w:left w:val="nil"/>
              <w:bottom w:val="single" w:sz="4" w:space="0" w:color="auto"/>
              <w:right w:val="nil"/>
            </w:tcBorders>
            <w:shd w:val="clear" w:color="auto" w:fill="auto"/>
            <w:vAlign w:val="bottom"/>
            <w:hideMark/>
          </w:tcPr>
          <w:p w:rsidR="00703C47" w:rsidRPr="003D3CD9" w:rsidRDefault="00703C47" w:rsidP="009F2B59">
            <w:pPr>
              <w:spacing w:before="0" w:after="0" w:line="240" w:lineRule="auto"/>
              <w:jc w:val="right"/>
              <w:rPr>
                <w:color w:val="000000"/>
                <w:sz w:val="23"/>
                <w:szCs w:val="23"/>
                <w:lang w:eastAsia="en-GB"/>
              </w:rPr>
            </w:pPr>
            <w:r w:rsidRPr="003D3CD9">
              <w:rPr>
                <w:color w:val="000000"/>
                <w:sz w:val="23"/>
                <w:szCs w:val="23"/>
                <w:lang w:eastAsia="en-GB"/>
              </w:rPr>
              <w:t>Percentage of Plans</w:t>
            </w:r>
          </w:p>
        </w:tc>
        <w:tc>
          <w:tcPr>
            <w:tcW w:w="1985" w:type="dxa"/>
            <w:gridSpan w:val="2"/>
            <w:tcBorders>
              <w:top w:val="single" w:sz="4" w:space="0" w:color="auto"/>
              <w:left w:val="nil"/>
              <w:bottom w:val="single" w:sz="4" w:space="0" w:color="auto"/>
              <w:right w:val="nil"/>
            </w:tcBorders>
            <w:shd w:val="clear" w:color="000000" w:fill="FFFFFF"/>
            <w:vAlign w:val="bottom"/>
            <w:hideMark/>
          </w:tcPr>
          <w:p w:rsidR="00703C47" w:rsidRPr="003D3CD9" w:rsidRDefault="00703C47" w:rsidP="009F2B59">
            <w:pPr>
              <w:spacing w:before="0" w:after="0" w:line="240" w:lineRule="auto"/>
              <w:jc w:val="right"/>
              <w:rPr>
                <w:sz w:val="23"/>
                <w:szCs w:val="23"/>
                <w:lang w:eastAsia="en-GB"/>
              </w:rPr>
            </w:pPr>
            <w:r w:rsidRPr="003D3CD9">
              <w:rPr>
                <w:sz w:val="23"/>
                <w:szCs w:val="23"/>
                <w:lang w:eastAsia="en-GB"/>
              </w:rPr>
              <w:t>Households with at least one usual resident</w:t>
            </w:r>
            <w:r w:rsidRPr="003D3CD9">
              <w:rPr>
                <w:sz w:val="23"/>
                <w:szCs w:val="23"/>
                <w:vertAlign w:val="superscript"/>
                <w:lang w:eastAsia="en-GB"/>
              </w:rPr>
              <w:t>1</w:t>
            </w:r>
          </w:p>
        </w:tc>
        <w:tc>
          <w:tcPr>
            <w:tcW w:w="2126" w:type="dxa"/>
            <w:gridSpan w:val="2"/>
            <w:tcBorders>
              <w:top w:val="single" w:sz="4" w:space="0" w:color="auto"/>
              <w:left w:val="nil"/>
              <w:bottom w:val="single" w:sz="4" w:space="0" w:color="auto"/>
              <w:right w:val="nil"/>
            </w:tcBorders>
            <w:shd w:val="clear" w:color="000000" w:fill="FFFFFF"/>
            <w:vAlign w:val="bottom"/>
            <w:hideMark/>
          </w:tcPr>
          <w:p w:rsidR="00703C47" w:rsidRPr="003D3CD9" w:rsidRDefault="00703C47" w:rsidP="009F2B59">
            <w:pPr>
              <w:spacing w:before="0" w:after="0" w:line="240" w:lineRule="auto"/>
              <w:jc w:val="right"/>
              <w:rPr>
                <w:sz w:val="23"/>
                <w:szCs w:val="23"/>
                <w:lang w:eastAsia="en-GB"/>
              </w:rPr>
            </w:pPr>
            <w:r w:rsidRPr="003D3CD9">
              <w:rPr>
                <w:sz w:val="23"/>
                <w:szCs w:val="23"/>
                <w:lang w:eastAsia="en-GB"/>
              </w:rPr>
              <w:t>Green Deal Plans per 1,000,000 households</w:t>
            </w:r>
          </w:p>
        </w:tc>
      </w:tr>
      <w:tr w:rsidR="00703C47" w:rsidRPr="003D3CD9" w:rsidTr="007B6F33">
        <w:trPr>
          <w:gridAfter w:val="1"/>
          <w:wAfter w:w="283" w:type="dxa"/>
          <w:trHeight w:val="255"/>
        </w:trPr>
        <w:tc>
          <w:tcPr>
            <w:tcW w:w="3040" w:type="dxa"/>
            <w:gridSpan w:val="2"/>
            <w:tcBorders>
              <w:top w:val="nil"/>
              <w:left w:val="nil"/>
              <w:bottom w:val="nil"/>
              <w:right w:val="nil"/>
            </w:tcBorders>
            <w:shd w:val="clear" w:color="000000" w:fill="FFFFFF"/>
            <w:noWrap/>
            <w:vAlign w:val="bottom"/>
            <w:hideMark/>
          </w:tcPr>
          <w:p w:rsidR="00703C47" w:rsidRPr="003D3CD9" w:rsidRDefault="00703C47" w:rsidP="009F2B59">
            <w:pPr>
              <w:spacing w:before="0" w:after="0" w:line="240" w:lineRule="auto"/>
              <w:rPr>
                <w:b/>
                <w:bCs/>
                <w:sz w:val="23"/>
                <w:szCs w:val="23"/>
                <w:lang w:eastAsia="en-GB"/>
              </w:rPr>
            </w:pPr>
            <w:r w:rsidRPr="003D3CD9">
              <w:rPr>
                <w:b/>
                <w:bCs/>
                <w:sz w:val="23"/>
                <w:szCs w:val="23"/>
                <w:lang w:eastAsia="en-GB"/>
              </w:rPr>
              <w:t> </w:t>
            </w:r>
          </w:p>
        </w:tc>
        <w:tc>
          <w:tcPr>
            <w:tcW w:w="1370" w:type="dxa"/>
            <w:tcBorders>
              <w:top w:val="nil"/>
              <w:left w:val="nil"/>
              <w:bottom w:val="nil"/>
              <w:right w:val="nil"/>
            </w:tcBorders>
            <w:shd w:val="clear" w:color="000000" w:fill="FFFFFF"/>
            <w:noWrap/>
            <w:vAlign w:val="bottom"/>
            <w:hideMark/>
          </w:tcPr>
          <w:p w:rsidR="00703C47" w:rsidRPr="003D3CD9" w:rsidRDefault="00703C47" w:rsidP="009F2B59">
            <w:pPr>
              <w:spacing w:before="0" w:after="0" w:line="240" w:lineRule="auto"/>
              <w:rPr>
                <w:sz w:val="23"/>
                <w:szCs w:val="23"/>
                <w:lang w:eastAsia="en-GB"/>
              </w:rPr>
            </w:pPr>
            <w:r w:rsidRPr="003D3CD9">
              <w:rPr>
                <w:sz w:val="23"/>
                <w:szCs w:val="23"/>
                <w:lang w:eastAsia="en-GB"/>
              </w:rPr>
              <w:t> </w:t>
            </w:r>
          </w:p>
        </w:tc>
        <w:tc>
          <w:tcPr>
            <w:tcW w:w="1417" w:type="dxa"/>
            <w:gridSpan w:val="3"/>
            <w:tcBorders>
              <w:top w:val="nil"/>
              <w:left w:val="nil"/>
              <w:bottom w:val="nil"/>
              <w:right w:val="nil"/>
            </w:tcBorders>
            <w:shd w:val="clear" w:color="000000" w:fill="FFFFFF"/>
            <w:noWrap/>
            <w:vAlign w:val="bottom"/>
            <w:hideMark/>
          </w:tcPr>
          <w:p w:rsidR="00703C47" w:rsidRPr="003D3CD9" w:rsidRDefault="00703C47" w:rsidP="009F2B59">
            <w:pPr>
              <w:spacing w:before="0" w:after="0" w:line="240" w:lineRule="auto"/>
              <w:rPr>
                <w:sz w:val="23"/>
                <w:szCs w:val="23"/>
                <w:lang w:eastAsia="en-GB"/>
              </w:rPr>
            </w:pPr>
            <w:r w:rsidRPr="003D3CD9">
              <w:rPr>
                <w:sz w:val="23"/>
                <w:szCs w:val="23"/>
                <w:lang w:eastAsia="en-GB"/>
              </w:rPr>
              <w:t> </w:t>
            </w:r>
          </w:p>
        </w:tc>
        <w:tc>
          <w:tcPr>
            <w:tcW w:w="1985" w:type="dxa"/>
            <w:gridSpan w:val="2"/>
            <w:tcBorders>
              <w:top w:val="nil"/>
              <w:left w:val="nil"/>
              <w:bottom w:val="nil"/>
              <w:right w:val="nil"/>
            </w:tcBorders>
            <w:shd w:val="clear" w:color="000000" w:fill="FFFFFF"/>
            <w:noWrap/>
            <w:vAlign w:val="bottom"/>
            <w:hideMark/>
          </w:tcPr>
          <w:p w:rsidR="00703C47" w:rsidRPr="003D3CD9" w:rsidRDefault="00703C47" w:rsidP="009F2B59">
            <w:pPr>
              <w:spacing w:before="0" w:after="0" w:line="240" w:lineRule="auto"/>
              <w:rPr>
                <w:sz w:val="23"/>
                <w:szCs w:val="23"/>
                <w:lang w:eastAsia="en-GB"/>
              </w:rPr>
            </w:pPr>
            <w:r w:rsidRPr="003D3CD9">
              <w:rPr>
                <w:sz w:val="23"/>
                <w:szCs w:val="23"/>
                <w:lang w:eastAsia="en-GB"/>
              </w:rPr>
              <w:t> </w:t>
            </w:r>
          </w:p>
        </w:tc>
        <w:tc>
          <w:tcPr>
            <w:tcW w:w="2126" w:type="dxa"/>
            <w:gridSpan w:val="2"/>
            <w:tcBorders>
              <w:top w:val="nil"/>
              <w:left w:val="nil"/>
              <w:bottom w:val="nil"/>
              <w:right w:val="nil"/>
            </w:tcBorders>
            <w:shd w:val="clear" w:color="000000" w:fill="FFFFFF"/>
            <w:noWrap/>
            <w:vAlign w:val="bottom"/>
            <w:hideMark/>
          </w:tcPr>
          <w:p w:rsidR="00703C47" w:rsidRPr="003D3CD9" w:rsidRDefault="00703C47" w:rsidP="009F2B59">
            <w:pPr>
              <w:spacing w:before="0" w:after="0" w:line="240" w:lineRule="auto"/>
              <w:rPr>
                <w:sz w:val="23"/>
                <w:szCs w:val="23"/>
                <w:lang w:eastAsia="en-GB"/>
              </w:rPr>
            </w:pPr>
            <w:r w:rsidRPr="003D3CD9">
              <w:rPr>
                <w:sz w:val="23"/>
                <w:szCs w:val="23"/>
                <w:lang w:eastAsia="en-GB"/>
              </w:rPr>
              <w:t> </w:t>
            </w:r>
          </w:p>
        </w:tc>
      </w:tr>
      <w:tr w:rsidR="00A237F5" w:rsidRPr="003D3CD9" w:rsidTr="00A237F5">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237F5" w:rsidRPr="003D3CD9" w:rsidRDefault="00A237F5" w:rsidP="009F2B59">
            <w:pPr>
              <w:spacing w:before="0" w:after="0" w:line="240" w:lineRule="auto"/>
              <w:rPr>
                <w:b/>
                <w:bCs/>
                <w:color w:val="000000"/>
                <w:sz w:val="23"/>
                <w:szCs w:val="23"/>
                <w:lang w:eastAsia="en-GB"/>
              </w:rPr>
            </w:pPr>
            <w:r w:rsidRPr="003D3CD9">
              <w:rPr>
                <w:b/>
                <w:bCs/>
                <w:color w:val="000000"/>
                <w:sz w:val="23"/>
                <w:szCs w:val="23"/>
                <w:lang w:eastAsia="en-GB"/>
              </w:rPr>
              <w:t>Great Britain</w:t>
            </w:r>
          </w:p>
        </w:tc>
        <w:tc>
          <w:tcPr>
            <w:tcW w:w="1370" w:type="dxa"/>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b/>
                <w:bCs/>
                <w:sz w:val="22"/>
                <w:szCs w:val="22"/>
              </w:rPr>
            </w:pPr>
            <w:r w:rsidRPr="003D3CD9">
              <w:rPr>
                <w:b/>
                <w:bCs/>
                <w:sz w:val="22"/>
                <w:szCs w:val="22"/>
              </w:rPr>
              <w:t>2,581</w:t>
            </w:r>
          </w:p>
        </w:tc>
        <w:tc>
          <w:tcPr>
            <w:tcW w:w="1417" w:type="dxa"/>
            <w:gridSpan w:val="3"/>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b/>
                <w:bCs/>
                <w:i/>
                <w:iCs/>
                <w:sz w:val="22"/>
                <w:szCs w:val="22"/>
              </w:rPr>
            </w:pPr>
            <w:r w:rsidRPr="003D3CD9">
              <w:rPr>
                <w:b/>
                <w:bCs/>
                <w:i/>
                <w:iCs/>
                <w:sz w:val="22"/>
                <w:szCs w:val="22"/>
              </w:rPr>
              <w:t>100</w:t>
            </w:r>
          </w:p>
        </w:tc>
        <w:tc>
          <w:tcPr>
            <w:tcW w:w="1985" w:type="dxa"/>
            <w:gridSpan w:val="2"/>
            <w:tcBorders>
              <w:top w:val="nil"/>
              <w:left w:val="nil"/>
              <w:bottom w:val="nil"/>
              <w:right w:val="nil"/>
            </w:tcBorders>
            <w:shd w:val="clear" w:color="000000" w:fill="FFFFFF"/>
            <w:noWrap/>
            <w:vAlign w:val="bottom"/>
          </w:tcPr>
          <w:p w:rsidR="00A237F5" w:rsidRPr="003D3CD9" w:rsidRDefault="00A237F5" w:rsidP="00ED695D">
            <w:pPr>
              <w:spacing w:before="0" w:after="0" w:line="240" w:lineRule="auto"/>
              <w:jc w:val="right"/>
              <w:rPr>
                <w:b/>
                <w:bCs/>
                <w:sz w:val="22"/>
                <w:szCs w:val="22"/>
                <w:lang w:eastAsia="en-GB"/>
              </w:rPr>
            </w:pPr>
            <w:r w:rsidRPr="003D3CD9">
              <w:rPr>
                <w:b/>
                <w:bCs/>
                <w:sz w:val="22"/>
                <w:szCs w:val="22"/>
                <w:lang w:eastAsia="en-GB"/>
              </w:rPr>
              <w:t>26,263,269</w:t>
            </w:r>
          </w:p>
        </w:tc>
        <w:tc>
          <w:tcPr>
            <w:tcW w:w="2126" w:type="dxa"/>
            <w:gridSpan w:val="2"/>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b/>
                <w:bCs/>
                <w:sz w:val="22"/>
                <w:szCs w:val="22"/>
              </w:rPr>
            </w:pPr>
            <w:r w:rsidRPr="003D3CD9">
              <w:rPr>
                <w:b/>
                <w:bCs/>
                <w:sz w:val="22"/>
                <w:szCs w:val="22"/>
              </w:rPr>
              <w:t>98.3</w:t>
            </w:r>
          </w:p>
        </w:tc>
      </w:tr>
      <w:tr w:rsidR="00A237F5" w:rsidRPr="003D3CD9" w:rsidTr="00A237F5">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237F5" w:rsidRPr="003D3CD9" w:rsidRDefault="00A237F5" w:rsidP="009F2B59">
            <w:pPr>
              <w:spacing w:before="0" w:after="0" w:line="240" w:lineRule="auto"/>
              <w:rPr>
                <w:color w:val="000000"/>
                <w:sz w:val="23"/>
                <w:szCs w:val="23"/>
                <w:lang w:eastAsia="en-GB"/>
              </w:rPr>
            </w:pPr>
            <w:r w:rsidRPr="003D3CD9">
              <w:rPr>
                <w:color w:val="000000"/>
                <w:sz w:val="23"/>
                <w:szCs w:val="23"/>
                <w:lang w:eastAsia="en-GB"/>
              </w:rPr>
              <w:t> </w:t>
            </w:r>
          </w:p>
        </w:tc>
        <w:tc>
          <w:tcPr>
            <w:tcW w:w="1370" w:type="dxa"/>
            <w:tcBorders>
              <w:top w:val="nil"/>
              <w:left w:val="nil"/>
              <w:bottom w:val="nil"/>
              <w:right w:val="nil"/>
            </w:tcBorders>
            <w:shd w:val="clear" w:color="000000" w:fill="FFFFFF"/>
            <w:noWrap/>
            <w:vAlign w:val="bottom"/>
            <w:hideMark/>
          </w:tcPr>
          <w:p w:rsidR="00A237F5" w:rsidRPr="003D3CD9" w:rsidRDefault="00A237F5" w:rsidP="00D2797A">
            <w:pPr>
              <w:spacing w:before="0" w:after="0"/>
              <w:rPr>
                <w:b/>
                <w:bCs/>
                <w:sz w:val="22"/>
                <w:szCs w:val="22"/>
              </w:rPr>
            </w:pPr>
            <w:r w:rsidRPr="003D3CD9">
              <w:rPr>
                <w:b/>
                <w:bCs/>
                <w:sz w:val="22"/>
                <w:szCs w:val="22"/>
              </w:rPr>
              <w:t> </w:t>
            </w:r>
          </w:p>
        </w:tc>
        <w:tc>
          <w:tcPr>
            <w:tcW w:w="1417" w:type="dxa"/>
            <w:gridSpan w:val="3"/>
            <w:tcBorders>
              <w:top w:val="nil"/>
              <w:left w:val="nil"/>
              <w:bottom w:val="nil"/>
              <w:right w:val="nil"/>
            </w:tcBorders>
            <w:shd w:val="clear" w:color="000000" w:fill="FFFFFF"/>
            <w:noWrap/>
            <w:vAlign w:val="bottom"/>
            <w:hideMark/>
          </w:tcPr>
          <w:p w:rsidR="00A237F5" w:rsidRPr="003D3CD9" w:rsidRDefault="00A237F5" w:rsidP="00D2797A">
            <w:pPr>
              <w:spacing w:before="0" w:after="0"/>
              <w:rPr>
                <w:b/>
                <w:bCs/>
                <w:i/>
                <w:iCs/>
                <w:sz w:val="22"/>
                <w:szCs w:val="22"/>
              </w:rPr>
            </w:pPr>
            <w:r w:rsidRPr="003D3CD9">
              <w:rPr>
                <w:b/>
                <w:bCs/>
                <w:i/>
                <w:iCs/>
                <w:sz w:val="22"/>
                <w:szCs w:val="22"/>
              </w:rPr>
              <w:t> </w:t>
            </w:r>
          </w:p>
        </w:tc>
        <w:tc>
          <w:tcPr>
            <w:tcW w:w="1985" w:type="dxa"/>
            <w:gridSpan w:val="2"/>
            <w:tcBorders>
              <w:top w:val="nil"/>
              <w:left w:val="nil"/>
              <w:bottom w:val="nil"/>
              <w:right w:val="nil"/>
            </w:tcBorders>
            <w:shd w:val="clear" w:color="000000" w:fill="FFFFFF"/>
            <w:noWrap/>
            <w:vAlign w:val="bottom"/>
          </w:tcPr>
          <w:p w:rsidR="00A237F5" w:rsidRPr="003D3CD9" w:rsidRDefault="00A237F5" w:rsidP="00ED695D">
            <w:pPr>
              <w:spacing w:before="0" w:after="0" w:line="240" w:lineRule="auto"/>
              <w:rPr>
                <w:sz w:val="22"/>
                <w:szCs w:val="22"/>
                <w:lang w:eastAsia="en-GB"/>
              </w:rPr>
            </w:pPr>
            <w:r w:rsidRPr="003D3CD9">
              <w:rPr>
                <w:sz w:val="22"/>
                <w:szCs w:val="22"/>
                <w:lang w:eastAsia="en-GB"/>
              </w:rPr>
              <w:t> </w:t>
            </w:r>
          </w:p>
        </w:tc>
        <w:tc>
          <w:tcPr>
            <w:tcW w:w="2126" w:type="dxa"/>
            <w:gridSpan w:val="2"/>
            <w:tcBorders>
              <w:top w:val="nil"/>
              <w:left w:val="nil"/>
              <w:bottom w:val="nil"/>
              <w:right w:val="nil"/>
            </w:tcBorders>
            <w:shd w:val="clear" w:color="000000" w:fill="FFFFFF"/>
            <w:noWrap/>
            <w:vAlign w:val="bottom"/>
            <w:hideMark/>
          </w:tcPr>
          <w:p w:rsidR="00A237F5" w:rsidRPr="003D3CD9" w:rsidRDefault="00A237F5" w:rsidP="00D2797A">
            <w:pPr>
              <w:spacing w:before="0" w:after="0"/>
              <w:rPr>
                <w:sz w:val="22"/>
                <w:szCs w:val="22"/>
              </w:rPr>
            </w:pPr>
            <w:r w:rsidRPr="003D3CD9">
              <w:rPr>
                <w:sz w:val="22"/>
                <w:szCs w:val="22"/>
              </w:rPr>
              <w:t> </w:t>
            </w:r>
          </w:p>
        </w:tc>
      </w:tr>
      <w:tr w:rsidR="00A237F5" w:rsidRPr="003D3CD9" w:rsidTr="00A237F5">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237F5" w:rsidRPr="003D3CD9" w:rsidRDefault="00A237F5" w:rsidP="009F2B59">
            <w:pPr>
              <w:spacing w:before="0" w:after="0" w:line="240" w:lineRule="auto"/>
              <w:rPr>
                <w:b/>
                <w:bCs/>
                <w:color w:val="000000"/>
                <w:sz w:val="23"/>
                <w:szCs w:val="23"/>
                <w:lang w:eastAsia="en-GB"/>
              </w:rPr>
            </w:pPr>
            <w:r w:rsidRPr="003D3CD9">
              <w:rPr>
                <w:b/>
                <w:bCs/>
                <w:color w:val="000000"/>
                <w:sz w:val="23"/>
                <w:szCs w:val="23"/>
                <w:lang w:eastAsia="en-GB"/>
              </w:rPr>
              <w:t>England</w:t>
            </w:r>
          </w:p>
        </w:tc>
        <w:tc>
          <w:tcPr>
            <w:tcW w:w="1370" w:type="dxa"/>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b/>
                <w:bCs/>
                <w:sz w:val="22"/>
                <w:szCs w:val="22"/>
              </w:rPr>
            </w:pPr>
            <w:r w:rsidRPr="003D3CD9">
              <w:rPr>
                <w:b/>
                <w:bCs/>
                <w:sz w:val="22"/>
                <w:szCs w:val="22"/>
              </w:rPr>
              <w:t>818</w:t>
            </w:r>
          </w:p>
        </w:tc>
        <w:tc>
          <w:tcPr>
            <w:tcW w:w="1417" w:type="dxa"/>
            <w:gridSpan w:val="3"/>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b/>
                <w:bCs/>
                <w:i/>
                <w:iCs/>
                <w:sz w:val="22"/>
                <w:szCs w:val="22"/>
              </w:rPr>
            </w:pPr>
            <w:r w:rsidRPr="003D3CD9">
              <w:rPr>
                <w:b/>
                <w:bCs/>
                <w:i/>
                <w:iCs/>
                <w:sz w:val="22"/>
                <w:szCs w:val="22"/>
              </w:rPr>
              <w:t>32</w:t>
            </w:r>
          </w:p>
        </w:tc>
        <w:tc>
          <w:tcPr>
            <w:tcW w:w="1985" w:type="dxa"/>
            <w:gridSpan w:val="2"/>
            <w:tcBorders>
              <w:top w:val="nil"/>
              <w:left w:val="nil"/>
              <w:bottom w:val="nil"/>
              <w:right w:val="nil"/>
            </w:tcBorders>
            <w:shd w:val="clear" w:color="000000" w:fill="FFFFFF"/>
            <w:noWrap/>
            <w:vAlign w:val="bottom"/>
          </w:tcPr>
          <w:p w:rsidR="00A237F5" w:rsidRPr="003D3CD9" w:rsidRDefault="00A237F5" w:rsidP="00ED695D">
            <w:pPr>
              <w:spacing w:before="0" w:after="0" w:line="240" w:lineRule="auto"/>
              <w:jc w:val="right"/>
              <w:rPr>
                <w:b/>
                <w:bCs/>
                <w:sz w:val="22"/>
                <w:szCs w:val="22"/>
                <w:lang w:eastAsia="en-GB"/>
              </w:rPr>
            </w:pPr>
            <w:r w:rsidRPr="003D3CD9">
              <w:rPr>
                <w:b/>
                <w:bCs/>
                <w:sz w:val="22"/>
                <w:szCs w:val="22"/>
                <w:lang w:eastAsia="en-GB"/>
              </w:rPr>
              <w:t>22,542,903</w:t>
            </w:r>
          </w:p>
        </w:tc>
        <w:tc>
          <w:tcPr>
            <w:tcW w:w="2126" w:type="dxa"/>
            <w:gridSpan w:val="2"/>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b/>
                <w:bCs/>
                <w:sz w:val="22"/>
                <w:szCs w:val="22"/>
              </w:rPr>
            </w:pPr>
            <w:r w:rsidRPr="003D3CD9">
              <w:rPr>
                <w:b/>
                <w:bCs/>
                <w:sz w:val="22"/>
                <w:szCs w:val="22"/>
              </w:rPr>
              <w:t>36.3</w:t>
            </w:r>
          </w:p>
        </w:tc>
      </w:tr>
      <w:tr w:rsidR="00A237F5" w:rsidRPr="003D3CD9" w:rsidTr="00A237F5">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237F5" w:rsidRPr="003D3CD9" w:rsidRDefault="00A237F5" w:rsidP="009F2B59">
            <w:pPr>
              <w:spacing w:before="0" w:after="0" w:line="240" w:lineRule="auto"/>
              <w:rPr>
                <w:color w:val="000000"/>
                <w:sz w:val="23"/>
                <w:szCs w:val="23"/>
                <w:lang w:eastAsia="en-GB"/>
              </w:rPr>
            </w:pPr>
            <w:r w:rsidRPr="003D3CD9">
              <w:rPr>
                <w:color w:val="000000"/>
                <w:sz w:val="23"/>
                <w:szCs w:val="23"/>
                <w:lang w:eastAsia="en-GB"/>
              </w:rPr>
              <w:t> </w:t>
            </w:r>
          </w:p>
        </w:tc>
        <w:tc>
          <w:tcPr>
            <w:tcW w:w="1370" w:type="dxa"/>
            <w:tcBorders>
              <w:top w:val="nil"/>
              <w:left w:val="nil"/>
              <w:bottom w:val="nil"/>
              <w:right w:val="nil"/>
            </w:tcBorders>
            <w:shd w:val="clear" w:color="000000" w:fill="FFFFFF"/>
            <w:noWrap/>
            <w:vAlign w:val="bottom"/>
            <w:hideMark/>
          </w:tcPr>
          <w:p w:rsidR="00A237F5" w:rsidRPr="003D3CD9" w:rsidRDefault="00A237F5" w:rsidP="00D2797A">
            <w:pPr>
              <w:spacing w:before="0" w:after="0"/>
              <w:rPr>
                <w:b/>
                <w:bCs/>
                <w:sz w:val="22"/>
                <w:szCs w:val="22"/>
              </w:rPr>
            </w:pPr>
            <w:r w:rsidRPr="003D3CD9">
              <w:rPr>
                <w:b/>
                <w:bCs/>
                <w:sz w:val="22"/>
                <w:szCs w:val="22"/>
              </w:rPr>
              <w:t> </w:t>
            </w:r>
          </w:p>
        </w:tc>
        <w:tc>
          <w:tcPr>
            <w:tcW w:w="1417" w:type="dxa"/>
            <w:gridSpan w:val="3"/>
            <w:tcBorders>
              <w:top w:val="nil"/>
              <w:left w:val="nil"/>
              <w:bottom w:val="nil"/>
              <w:right w:val="nil"/>
            </w:tcBorders>
            <w:shd w:val="clear" w:color="000000" w:fill="FFFFFF"/>
            <w:noWrap/>
            <w:vAlign w:val="bottom"/>
            <w:hideMark/>
          </w:tcPr>
          <w:p w:rsidR="00A237F5" w:rsidRPr="003D3CD9" w:rsidRDefault="00A237F5" w:rsidP="00D2797A">
            <w:pPr>
              <w:spacing w:before="0" w:after="0"/>
              <w:rPr>
                <w:b/>
                <w:bCs/>
                <w:i/>
                <w:iCs/>
                <w:sz w:val="22"/>
                <w:szCs w:val="22"/>
              </w:rPr>
            </w:pPr>
            <w:r w:rsidRPr="003D3CD9">
              <w:rPr>
                <w:b/>
                <w:bCs/>
                <w:i/>
                <w:iCs/>
                <w:sz w:val="22"/>
                <w:szCs w:val="22"/>
              </w:rPr>
              <w:t> </w:t>
            </w:r>
          </w:p>
        </w:tc>
        <w:tc>
          <w:tcPr>
            <w:tcW w:w="1985" w:type="dxa"/>
            <w:gridSpan w:val="2"/>
            <w:tcBorders>
              <w:top w:val="nil"/>
              <w:left w:val="nil"/>
              <w:bottom w:val="nil"/>
              <w:right w:val="nil"/>
            </w:tcBorders>
            <w:shd w:val="clear" w:color="000000" w:fill="FFFFFF"/>
            <w:noWrap/>
            <w:vAlign w:val="bottom"/>
          </w:tcPr>
          <w:p w:rsidR="00A237F5" w:rsidRPr="003D3CD9" w:rsidRDefault="00A237F5" w:rsidP="00ED695D">
            <w:pPr>
              <w:spacing w:before="0" w:after="0" w:line="240" w:lineRule="auto"/>
              <w:rPr>
                <w:sz w:val="22"/>
                <w:szCs w:val="22"/>
                <w:lang w:eastAsia="en-GB"/>
              </w:rPr>
            </w:pPr>
            <w:r w:rsidRPr="003D3CD9">
              <w:rPr>
                <w:sz w:val="22"/>
                <w:szCs w:val="22"/>
                <w:lang w:eastAsia="en-GB"/>
              </w:rPr>
              <w:t> </w:t>
            </w:r>
          </w:p>
        </w:tc>
        <w:tc>
          <w:tcPr>
            <w:tcW w:w="2126" w:type="dxa"/>
            <w:gridSpan w:val="2"/>
            <w:tcBorders>
              <w:top w:val="nil"/>
              <w:left w:val="nil"/>
              <w:bottom w:val="nil"/>
              <w:right w:val="nil"/>
            </w:tcBorders>
            <w:shd w:val="clear" w:color="000000" w:fill="FFFFFF"/>
            <w:noWrap/>
            <w:vAlign w:val="bottom"/>
            <w:hideMark/>
          </w:tcPr>
          <w:p w:rsidR="00A237F5" w:rsidRPr="003D3CD9" w:rsidRDefault="00A237F5" w:rsidP="00D2797A">
            <w:pPr>
              <w:spacing w:before="0" w:after="0"/>
              <w:rPr>
                <w:sz w:val="22"/>
                <w:szCs w:val="22"/>
              </w:rPr>
            </w:pPr>
            <w:r w:rsidRPr="003D3CD9">
              <w:rPr>
                <w:sz w:val="22"/>
                <w:szCs w:val="22"/>
              </w:rPr>
              <w:t> </w:t>
            </w:r>
          </w:p>
        </w:tc>
      </w:tr>
      <w:tr w:rsidR="00A237F5" w:rsidRPr="003D3CD9" w:rsidTr="00A237F5">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237F5" w:rsidRPr="003D3CD9" w:rsidRDefault="00A237F5" w:rsidP="009F2B59">
            <w:pPr>
              <w:spacing w:before="0" w:after="0" w:line="240" w:lineRule="auto"/>
              <w:rPr>
                <w:color w:val="000000"/>
                <w:sz w:val="23"/>
                <w:szCs w:val="23"/>
                <w:lang w:eastAsia="en-GB"/>
              </w:rPr>
            </w:pPr>
            <w:r w:rsidRPr="003D3CD9">
              <w:rPr>
                <w:color w:val="000000"/>
                <w:sz w:val="23"/>
                <w:szCs w:val="23"/>
                <w:lang w:eastAsia="en-GB"/>
              </w:rPr>
              <w:t>North East</w:t>
            </w:r>
          </w:p>
        </w:tc>
        <w:tc>
          <w:tcPr>
            <w:tcW w:w="1370" w:type="dxa"/>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140</w:t>
            </w:r>
          </w:p>
        </w:tc>
        <w:tc>
          <w:tcPr>
            <w:tcW w:w="1417" w:type="dxa"/>
            <w:gridSpan w:val="3"/>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i/>
                <w:iCs/>
                <w:sz w:val="22"/>
                <w:szCs w:val="22"/>
              </w:rPr>
            </w:pPr>
            <w:r w:rsidRPr="003D3CD9">
              <w:rPr>
                <w:i/>
                <w:iCs/>
                <w:sz w:val="22"/>
                <w:szCs w:val="22"/>
              </w:rPr>
              <w:t>5</w:t>
            </w:r>
          </w:p>
        </w:tc>
        <w:tc>
          <w:tcPr>
            <w:tcW w:w="1985" w:type="dxa"/>
            <w:gridSpan w:val="2"/>
            <w:tcBorders>
              <w:top w:val="nil"/>
              <w:left w:val="nil"/>
              <w:bottom w:val="nil"/>
              <w:right w:val="nil"/>
            </w:tcBorders>
            <w:shd w:val="clear" w:color="000000" w:fill="FFFFFF"/>
            <w:noWrap/>
            <w:vAlign w:val="bottom"/>
          </w:tcPr>
          <w:p w:rsidR="00A237F5" w:rsidRPr="003D3CD9" w:rsidRDefault="00A237F5" w:rsidP="00ED695D">
            <w:pPr>
              <w:spacing w:before="0" w:after="0" w:line="240" w:lineRule="auto"/>
              <w:jc w:val="right"/>
              <w:rPr>
                <w:sz w:val="22"/>
                <w:szCs w:val="22"/>
                <w:lang w:eastAsia="en-GB"/>
              </w:rPr>
            </w:pPr>
            <w:r w:rsidRPr="003D3CD9">
              <w:rPr>
                <w:sz w:val="22"/>
                <w:szCs w:val="22"/>
                <w:lang w:eastAsia="en-GB"/>
              </w:rPr>
              <w:t>1,145,559</w:t>
            </w:r>
          </w:p>
        </w:tc>
        <w:tc>
          <w:tcPr>
            <w:tcW w:w="2126" w:type="dxa"/>
            <w:gridSpan w:val="2"/>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122.2</w:t>
            </w:r>
          </w:p>
        </w:tc>
      </w:tr>
      <w:tr w:rsidR="00A237F5" w:rsidRPr="003D3CD9" w:rsidTr="00A237F5">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237F5" w:rsidRPr="003D3CD9" w:rsidRDefault="00A237F5" w:rsidP="009F2B59">
            <w:pPr>
              <w:spacing w:before="0" w:after="0" w:line="240" w:lineRule="auto"/>
              <w:rPr>
                <w:color w:val="000000"/>
                <w:sz w:val="23"/>
                <w:szCs w:val="23"/>
                <w:lang w:eastAsia="en-GB"/>
              </w:rPr>
            </w:pPr>
            <w:r w:rsidRPr="003D3CD9">
              <w:rPr>
                <w:color w:val="000000"/>
                <w:sz w:val="23"/>
                <w:szCs w:val="23"/>
                <w:lang w:eastAsia="en-GB"/>
              </w:rPr>
              <w:t xml:space="preserve">North West </w:t>
            </w:r>
          </w:p>
        </w:tc>
        <w:tc>
          <w:tcPr>
            <w:tcW w:w="1370" w:type="dxa"/>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81</w:t>
            </w:r>
          </w:p>
        </w:tc>
        <w:tc>
          <w:tcPr>
            <w:tcW w:w="1417" w:type="dxa"/>
            <w:gridSpan w:val="3"/>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i/>
                <w:iCs/>
                <w:sz w:val="22"/>
                <w:szCs w:val="22"/>
              </w:rPr>
            </w:pPr>
            <w:r w:rsidRPr="003D3CD9">
              <w:rPr>
                <w:i/>
                <w:iCs/>
                <w:sz w:val="22"/>
                <w:szCs w:val="22"/>
              </w:rPr>
              <w:t>3</w:t>
            </w:r>
          </w:p>
        </w:tc>
        <w:tc>
          <w:tcPr>
            <w:tcW w:w="1985" w:type="dxa"/>
            <w:gridSpan w:val="2"/>
            <w:tcBorders>
              <w:top w:val="nil"/>
              <w:left w:val="nil"/>
              <w:bottom w:val="nil"/>
              <w:right w:val="nil"/>
            </w:tcBorders>
            <w:shd w:val="clear" w:color="000000" w:fill="FFFFFF"/>
            <w:noWrap/>
            <w:vAlign w:val="bottom"/>
          </w:tcPr>
          <w:p w:rsidR="00A237F5" w:rsidRPr="003D3CD9" w:rsidRDefault="00A237F5" w:rsidP="00ED695D">
            <w:pPr>
              <w:spacing w:before="0" w:after="0" w:line="240" w:lineRule="auto"/>
              <w:jc w:val="right"/>
              <w:rPr>
                <w:sz w:val="22"/>
                <w:szCs w:val="22"/>
                <w:lang w:eastAsia="en-GB"/>
              </w:rPr>
            </w:pPr>
            <w:r w:rsidRPr="003D3CD9">
              <w:rPr>
                <w:sz w:val="22"/>
                <w:szCs w:val="22"/>
                <w:lang w:eastAsia="en-GB"/>
              </w:rPr>
              <w:t>3,046,753</w:t>
            </w:r>
          </w:p>
        </w:tc>
        <w:tc>
          <w:tcPr>
            <w:tcW w:w="2126" w:type="dxa"/>
            <w:gridSpan w:val="2"/>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26.6</w:t>
            </w:r>
          </w:p>
        </w:tc>
      </w:tr>
      <w:tr w:rsidR="00A237F5" w:rsidRPr="003D3CD9" w:rsidTr="00A237F5">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237F5" w:rsidRPr="003D3CD9" w:rsidRDefault="00A237F5" w:rsidP="009F2B59">
            <w:pPr>
              <w:spacing w:before="0" w:after="0" w:line="240" w:lineRule="auto"/>
              <w:rPr>
                <w:color w:val="000000"/>
                <w:sz w:val="23"/>
                <w:szCs w:val="23"/>
                <w:lang w:eastAsia="en-GB"/>
              </w:rPr>
            </w:pPr>
            <w:r w:rsidRPr="003D3CD9">
              <w:rPr>
                <w:color w:val="000000"/>
                <w:sz w:val="23"/>
                <w:szCs w:val="23"/>
                <w:lang w:eastAsia="en-GB"/>
              </w:rPr>
              <w:t>Yorkshire and The Humber</w:t>
            </w:r>
          </w:p>
        </w:tc>
        <w:tc>
          <w:tcPr>
            <w:tcW w:w="1370" w:type="dxa"/>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144</w:t>
            </w:r>
          </w:p>
        </w:tc>
        <w:tc>
          <w:tcPr>
            <w:tcW w:w="1417" w:type="dxa"/>
            <w:gridSpan w:val="3"/>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i/>
                <w:iCs/>
                <w:sz w:val="22"/>
                <w:szCs w:val="22"/>
              </w:rPr>
            </w:pPr>
            <w:r w:rsidRPr="003D3CD9">
              <w:rPr>
                <w:i/>
                <w:iCs/>
                <w:sz w:val="22"/>
                <w:szCs w:val="22"/>
              </w:rPr>
              <w:t>6</w:t>
            </w:r>
          </w:p>
        </w:tc>
        <w:tc>
          <w:tcPr>
            <w:tcW w:w="1985" w:type="dxa"/>
            <w:gridSpan w:val="2"/>
            <w:tcBorders>
              <w:top w:val="nil"/>
              <w:left w:val="nil"/>
              <w:bottom w:val="nil"/>
              <w:right w:val="nil"/>
            </w:tcBorders>
            <w:shd w:val="clear" w:color="000000" w:fill="FFFFFF"/>
            <w:noWrap/>
            <w:vAlign w:val="bottom"/>
          </w:tcPr>
          <w:p w:rsidR="00A237F5" w:rsidRPr="003D3CD9" w:rsidRDefault="00A237F5" w:rsidP="00ED695D">
            <w:pPr>
              <w:spacing w:before="0" w:after="0" w:line="240" w:lineRule="auto"/>
              <w:jc w:val="right"/>
              <w:rPr>
                <w:sz w:val="22"/>
                <w:szCs w:val="22"/>
                <w:lang w:eastAsia="en-GB"/>
              </w:rPr>
            </w:pPr>
            <w:r w:rsidRPr="003D3CD9">
              <w:rPr>
                <w:sz w:val="22"/>
                <w:szCs w:val="22"/>
                <w:lang w:eastAsia="en-GB"/>
              </w:rPr>
              <w:t>2,262,423</w:t>
            </w:r>
          </w:p>
        </w:tc>
        <w:tc>
          <w:tcPr>
            <w:tcW w:w="2126" w:type="dxa"/>
            <w:gridSpan w:val="2"/>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63.6</w:t>
            </w:r>
          </w:p>
        </w:tc>
      </w:tr>
      <w:tr w:rsidR="00A237F5" w:rsidRPr="003D3CD9" w:rsidTr="00A237F5">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237F5" w:rsidRPr="003D3CD9" w:rsidRDefault="00A237F5" w:rsidP="009F2B59">
            <w:pPr>
              <w:spacing w:before="0" w:after="0" w:line="240" w:lineRule="auto"/>
              <w:rPr>
                <w:color w:val="000000"/>
                <w:sz w:val="23"/>
                <w:szCs w:val="23"/>
                <w:lang w:eastAsia="en-GB"/>
              </w:rPr>
            </w:pPr>
            <w:r w:rsidRPr="003D3CD9">
              <w:rPr>
                <w:color w:val="000000"/>
                <w:sz w:val="23"/>
                <w:szCs w:val="23"/>
                <w:lang w:eastAsia="en-GB"/>
              </w:rPr>
              <w:t>East Midlands</w:t>
            </w:r>
          </w:p>
        </w:tc>
        <w:tc>
          <w:tcPr>
            <w:tcW w:w="1370" w:type="dxa"/>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98</w:t>
            </w:r>
          </w:p>
        </w:tc>
        <w:tc>
          <w:tcPr>
            <w:tcW w:w="1417" w:type="dxa"/>
            <w:gridSpan w:val="3"/>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i/>
                <w:iCs/>
                <w:sz w:val="22"/>
                <w:szCs w:val="22"/>
              </w:rPr>
            </w:pPr>
            <w:r w:rsidRPr="003D3CD9">
              <w:rPr>
                <w:i/>
                <w:iCs/>
                <w:sz w:val="22"/>
                <w:szCs w:val="22"/>
              </w:rPr>
              <w:t>4</w:t>
            </w:r>
          </w:p>
        </w:tc>
        <w:tc>
          <w:tcPr>
            <w:tcW w:w="1985" w:type="dxa"/>
            <w:gridSpan w:val="2"/>
            <w:tcBorders>
              <w:top w:val="nil"/>
              <w:left w:val="nil"/>
              <w:bottom w:val="nil"/>
              <w:right w:val="nil"/>
            </w:tcBorders>
            <w:shd w:val="clear" w:color="000000" w:fill="FFFFFF"/>
            <w:noWrap/>
            <w:vAlign w:val="bottom"/>
          </w:tcPr>
          <w:p w:rsidR="00A237F5" w:rsidRPr="003D3CD9" w:rsidRDefault="00A237F5" w:rsidP="00ED695D">
            <w:pPr>
              <w:spacing w:before="0" w:after="0" w:line="240" w:lineRule="auto"/>
              <w:jc w:val="right"/>
              <w:rPr>
                <w:sz w:val="22"/>
                <w:szCs w:val="22"/>
                <w:lang w:eastAsia="en-GB"/>
              </w:rPr>
            </w:pPr>
            <w:r w:rsidRPr="003D3CD9">
              <w:rPr>
                <w:sz w:val="22"/>
                <w:szCs w:val="22"/>
                <w:lang w:eastAsia="en-GB"/>
              </w:rPr>
              <w:t>1,935,710</w:t>
            </w:r>
          </w:p>
        </w:tc>
        <w:tc>
          <w:tcPr>
            <w:tcW w:w="2126" w:type="dxa"/>
            <w:gridSpan w:val="2"/>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50.6</w:t>
            </w:r>
          </w:p>
        </w:tc>
      </w:tr>
      <w:tr w:rsidR="00A237F5" w:rsidRPr="003D3CD9" w:rsidTr="00A237F5">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237F5" w:rsidRPr="003D3CD9" w:rsidRDefault="00A237F5" w:rsidP="009F2B59">
            <w:pPr>
              <w:spacing w:before="0" w:after="0" w:line="240" w:lineRule="auto"/>
              <w:rPr>
                <w:color w:val="000000"/>
                <w:sz w:val="23"/>
                <w:szCs w:val="23"/>
                <w:lang w:eastAsia="en-GB"/>
              </w:rPr>
            </w:pPr>
            <w:r w:rsidRPr="003D3CD9">
              <w:rPr>
                <w:color w:val="000000"/>
                <w:sz w:val="23"/>
                <w:szCs w:val="23"/>
                <w:lang w:eastAsia="en-GB"/>
              </w:rPr>
              <w:t>West Midlands</w:t>
            </w:r>
          </w:p>
        </w:tc>
        <w:tc>
          <w:tcPr>
            <w:tcW w:w="1370" w:type="dxa"/>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56</w:t>
            </w:r>
          </w:p>
        </w:tc>
        <w:tc>
          <w:tcPr>
            <w:tcW w:w="1417" w:type="dxa"/>
            <w:gridSpan w:val="3"/>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i/>
                <w:iCs/>
                <w:sz w:val="22"/>
                <w:szCs w:val="22"/>
              </w:rPr>
            </w:pPr>
            <w:r w:rsidRPr="003D3CD9">
              <w:rPr>
                <w:i/>
                <w:iCs/>
                <w:sz w:val="22"/>
                <w:szCs w:val="22"/>
              </w:rPr>
              <w:t>2</w:t>
            </w:r>
          </w:p>
        </w:tc>
        <w:tc>
          <w:tcPr>
            <w:tcW w:w="1985" w:type="dxa"/>
            <w:gridSpan w:val="2"/>
            <w:tcBorders>
              <w:top w:val="nil"/>
              <w:left w:val="nil"/>
              <w:bottom w:val="nil"/>
              <w:right w:val="nil"/>
            </w:tcBorders>
            <w:shd w:val="clear" w:color="000000" w:fill="FFFFFF"/>
            <w:noWrap/>
            <w:vAlign w:val="bottom"/>
          </w:tcPr>
          <w:p w:rsidR="00A237F5" w:rsidRPr="003D3CD9" w:rsidRDefault="00A237F5" w:rsidP="00ED695D">
            <w:pPr>
              <w:spacing w:before="0" w:after="0" w:line="240" w:lineRule="auto"/>
              <w:jc w:val="right"/>
              <w:rPr>
                <w:sz w:val="22"/>
                <w:szCs w:val="22"/>
                <w:lang w:eastAsia="en-GB"/>
              </w:rPr>
            </w:pPr>
            <w:r w:rsidRPr="003D3CD9">
              <w:rPr>
                <w:sz w:val="22"/>
                <w:szCs w:val="22"/>
                <w:lang w:eastAsia="en-GB"/>
              </w:rPr>
              <w:t>2,332,802</w:t>
            </w:r>
          </w:p>
        </w:tc>
        <w:tc>
          <w:tcPr>
            <w:tcW w:w="2126" w:type="dxa"/>
            <w:gridSpan w:val="2"/>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24.0</w:t>
            </w:r>
          </w:p>
        </w:tc>
      </w:tr>
      <w:tr w:rsidR="00A237F5" w:rsidRPr="003D3CD9" w:rsidTr="00A237F5">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237F5" w:rsidRPr="003D3CD9" w:rsidRDefault="00A237F5" w:rsidP="009F2B59">
            <w:pPr>
              <w:spacing w:before="0" w:after="0" w:line="240" w:lineRule="auto"/>
              <w:rPr>
                <w:color w:val="000000"/>
                <w:sz w:val="23"/>
                <w:szCs w:val="23"/>
                <w:lang w:eastAsia="en-GB"/>
              </w:rPr>
            </w:pPr>
            <w:r w:rsidRPr="003D3CD9">
              <w:rPr>
                <w:color w:val="000000"/>
                <w:sz w:val="23"/>
                <w:szCs w:val="23"/>
                <w:lang w:eastAsia="en-GB"/>
              </w:rPr>
              <w:t>East</w:t>
            </w:r>
          </w:p>
        </w:tc>
        <w:tc>
          <w:tcPr>
            <w:tcW w:w="1370" w:type="dxa"/>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27</w:t>
            </w:r>
          </w:p>
        </w:tc>
        <w:tc>
          <w:tcPr>
            <w:tcW w:w="1417" w:type="dxa"/>
            <w:gridSpan w:val="3"/>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i/>
                <w:iCs/>
                <w:sz w:val="22"/>
                <w:szCs w:val="22"/>
              </w:rPr>
            </w:pPr>
            <w:r w:rsidRPr="003D3CD9">
              <w:rPr>
                <w:i/>
                <w:iCs/>
                <w:sz w:val="22"/>
                <w:szCs w:val="22"/>
              </w:rPr>
              <w:t>1</w:t>
            </w:r>
          </w:p>
        </w:tc>
        <w:tc>
          <w:tcPr>
            <w:tcW w:w="1985" w:type="dxa"/>
            <w:gridSpan w:val="2"/>
            <w:tcBorders>
              <w:top w:val="nil"/>
              <w:left w:val="nil"/>
              <w:bottom w:val="nil"/>
              <w:right w:val="nil"/>
            </w:tcBorders>
            <w:shd w:val="clear" w:color="000000" w:fill="FFFFFF"/>
            <w:noWrap/>
            <w:vAlign w:val="bottom"/>
          </w:tcPr>
          <w:p w:rsidR="00A237F5" w:rsidRPr="003D3CD9" w:rsidRDefault="00A237F5" w:rsidP="00ED695D">
            <w:pPr>
              <w:spacing w:before="0" w:after="0" w:line="240" w:lineRule="auto"/>
              <w:jc w:val="right"/>
              <w:rPr>
                <w:sz w:val="22"/>
                <w:szCs w:val="22"/>
                <w:lang w:eastAsia="en-GB"/>
              </w:rPr>
            </w:pPr>
            <w:r w:rsidRPr="003D3CD9">
              <w:rPr>
                <w:sz w:val="22"/>
                <w:szCs w:val="22"/>
                <w:lang w:eastAsia="en-GB"/>
              </w:rPr>
              <w:t>2,484,620</w:t>
            </w:r>
          </w:p>
        </w:tc>
        <w:tc>
          <w:tcPr>
            <w:tcW w:w="2126" w:type="dxa"/>
            <w:gridSpan w:val="2"/>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10.9</w:t>
            </w:r>
          </w:p>
        </w:tc>
      </w:tr>
      <w:tr w:rsidR="00A237F5" w:rsidRPr="003D3CD9" w:rsidTr="00A237F5">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237F5" w:rsidRPr="003D3CD9" w:rsidRDefault="00A237F5" w:rsidP="009F2B59">
            <w:pPr>
              <w:spacing w:before="0" w:after="0" w:line="240" w:lineRule="auto"/>
              <w:rPr>
                <w:color w:val="000000"/>
                <w:sz w:val="23"/>
                <w:szCs w:val="23"/>
                <w:lang w:eastAsia="en-GB"/>
              </w:rPr>
            </w:pPr>
            <w:r w:rsidRPr="003D3CD9">
              <w:rPr>
                <w:color w:val="000000"/>
                <w:sz w:val="23"/>
                <w:szCs w:val="23"/>
                <w:lang w:eastAsia="en-GB"/>
              </w:rPr>
              <w:t>London</w:t>
            </w:r>
          </w:p>
        </w:tc>
        <w:tc>
          <w:tcPr>
            <w:tcW w:w="1370" w:type="dxa"/>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42</w:t>
            </w:r>
          </w:p>
        </w:tc>
        <w:tc>
          <w:tcPr>
            <w:tcW w:w="1417" w:type="dxa"/>
            <w:gridSpan w:val="3"/>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i/>
                <w:iCs/>
                <w:sz w:val="22"/>
                <w:szCs w:val="22"/>
              </w:rPr>
            </w:pPr>
            <w:r w:rsidRPr="003D3CD9">
              <w:rPr>
                <w:i/>
                <w:iCs/>
                <w:sz w:val="22"/>
                <w:szCs w:val="22"/>
              </w:rPr>
              <w:t>2</w:t>
            </w:r>
          </w:p>
        </w:tc>
        <w:tc>
          <w:tcPr>
            <w:tcW w:w="1985" w:type="dxa"/>
            <w:gridSpan w:val="2"/>
            <w:tcBorders>
              <w:top w:val="nil"/>
              <w:left w:val="nil"/>
              <w:bottom w:val="nil"/>
              <w:right w:val="nil"/>
            </w:tcBorders>
            <w:shd w:val="clear" w:color="000000" w:fill="FFFFFF"/>
            <w:noWrap/>
            <w:vAlign w:val="bottom"/>
          </w:tcPr>
          <w:p w:rsidR="00A237F5" w:rsidRPr="003D3CD9" w:rsidRDefault="00A237F5" w:rsidP="00ED695D">
            <w:pPr>
              <w:spacing w:before="0" w:after="0" w:line="240" w:lineRule="auto"/>
              <w:jc w:val="right"/>
              <w:rPr>
                <w:sz w:val="22"/>
                <w:szCs w:val="22"/>
                <w:lang w:eastAsia="en-GB"/>
              </w:rPr>
            </w:pPr>
            <w:r w:rsidRPr="003D3CD9">
              <w:rPr>
                <w:sz w:val="22"/>
                <w:szCs w:val="22"/>
                <w:lang w:eastAsia="en-GB"/>
              </w:rPr>
              <w:t>3,383,918</w:t>
            </w:r>
          </w:p>
        </w:tc>
        <w:tc>
          <w:tcPr>
            <w:tcW w:w="2126" w:type="dxa"/>
            <w:gridSpan w:val="2"/>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12.4</w:t>
            </w:r>
          </w:p>
        </w:tc>
      </w:tr>
      <w:tr w:rsidR="00A237F5" w:rsidRPr="003D3CD9" w:rsidTr="00A237F5">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237F5" w:rsidRPr="003D3CD9" w:rsidRDefault="00A237F5" w:rsidP="009F2B59">
            <w:pPr>
              <w:spacing w:before="0" w:after="0" w:line="240" w:lineRule="auto"/>
              <w:rPr>
                <w:color w:val="000000"/>
                <w:sz w:val="23"/>
                <w:szCs w:val="23"/>
                <w:lang w:eastAsia="en-GB"/>
              </w:rPr>
            </w:pPr>
            <w:r w:rsidRPr="003D3CD9">
              <w:rPr>
                <w:color w:val="000000"/>
                <w:sz w:val="23"/>
                <w:szCs w:val="23"/>
                <w:lang w:eastAsia="en-GB"/>
              </w:rPr>
              <w:t>South East</w:t>
            </w:r>
          </w:p>
        </w:tc>
        <w:tc>
          <w:tcPr>
            <w:tcW w:w="1370" w:type="dxa"/>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83</w:t>
            </w:r>
          </w:p>
        </w:tc>
        <w:tc>
          <w:tcPr>
            <w:tcW w:w="1417" w:type="dxa"/>
            <w:gridSpan w:val="3"/>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i/>
                <w:iCs/>
                <w:sz w:val="22"/>
                <w:szCs w:val="22"/>
              </w:rPr>
            </w:pPr>
            <w:r w:rsidRPr="003D3CD9">
              <w:rPr>
                <w:i/>
                <w:iCs/>
                <w:sz w:val="22"/>
                <w:szCs w:val="22"/>
              </w:rPr>
              <w:t>3</w:t>
            </w:r>
          </w:p>
        </w:tc>
        <w:tc>
          <w:tcPr>
            <w:tcW w:w="1985" w:type="dxa"/>
            <w:gridSpan w:val="2"/>
            <w:tcBorders>
              <w:top w:val="nil"/>
              <w:left w:val="nil"/>
              <w:bottom w:val="nil"/>
              <w:right w:val="nil"/>
            </w:tcBorders>
            <w:shd w:val="clear" w:color="000000" w:fill="FFFFFF"/>
            <w:noWrap/>
            <w:vAlign w:val="bottom"/>
          </w:tcPr>
          <w:p w:rsidR="00A237F5" w:rsidRPr="003D3CD9" w:rsidRDefault="00A237F5" w:rsidP="00ED695D">
            <w:pPr>
              <w:spacing w:before="0" w:after="0" w:line="240" w:lineRule="auto"/>
              <w:jc w:val="right"/>
              <w:rPr>
                <w:sz w:val="22"/>
                <w:szCs w:val="22"/>
                <w:lang w:eastAsia="en-GB"/>
              </w:rPr>
            </w:pPr>
            <w:r w:rsidRPr="003D3CD9">
              <w:rPr>
                <w:sz w:val="22"/>
                <w:szCs w:val="22"/>
                <w:lang w:eastAsia="en-GB"/>
              </w:rPr>
              <w:t>3,638,436</w:t>
            </w:r>
          </w:p>
        </w:tc>
        <w:tc>
          <w:tcPr>
            <w:tcW w:w="2126" w:type="dxa"/>
            <w:gridSpan w:val="2"/>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22.8</w:t>
            </w:r>
          </w:p>
        </w:tc>
      </w:tr>
      <w:tr w:rsidR="00A237F5" w:rsidRPr="003D3CD9" w:rsidTr="00A237F5">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237F5" w:rsidRPr="003D3CD9" w:rsidRDefault="00A237F5" w:rsidP="009F2B59">
            <w:pPr>
              <w:spacing w:before="0" w:after="0" w:line="240" w:lineRule="auto"/>
              <w:rPr>
                <w:color w:val="000000"/>
                <w:sz w:val="23"/>
                <w:szCs w:val="23"/>
                <w:lang w:eastAsia="en-GB"/>
              </w:rPr>
            </w:pPr>
            <w:r w:rsidRPr="003D3CD9">
              <w:rPr>
                <w:color w:val="000000"/>
                <w:sz w:val="23"/>
                <w:szCs w:val="23"/>
                <w:lang w:eastAsia="en-GB"/>
              </w:rPr>
              <w:t>South West</w:t>
            </w:r>
          </w:p>
        </w:tc>
        <w:tc>
          <w:tcPr>
            <w:tcW w:w="1370" w:type="dxa"/>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147</w:t>
            </w:r>
          </w:p>
        </w:tc>
        <w:tc>
          <w:tcPr>
            <w:tcW w:w="1417" w:type="dxa"/>
            <w:gridSpan w:val="3"/>
            <w:tcBorders>
              <w:top w:val="nil"/>
              <w:left w:val="nil"/>
              <w:bottom w:val="nil"/>
              <w:right w:val="nil"/>
            </w:tcBorders>
            <w:shd w:val="clear" w:color="000000" w:fill="FFFFFF"/>
            <w:noWrap/>
            <w:vAlign w:val="bottom"/>
            <w:hideMark/>
          </w:tcPr>
          <w:p w:rsidR="00A237F5" w:rsidRPr="003D3CD9" w:rsidRDefault="00A3359E" w:rsidP="00D2797A">
            <w:pPr>
              <w:spacing w:before="0" w:after="0"/>
              <w:jc w:val="right"/>
              <w:rPr>
                <w:i/>
                <w:iCs/>
                <w:sz w:val="22"/>
                <w:szCs w:val="22"/>
              </w:rPr>
            </w:pPr>
            <w:r w:rsidRPr="003D3CD9">
              <w:rPr>
                <w:i/>
                <w:iCs/>
                <w:sz w:val="22"/>
                <w:szCs w:val="22"/>
              </w:rPr>
              <w:t>6</w:t>
            </w:r>
          </w:p>
        </w:tc>
        <w:tc>
          <w:tcPr>
            <w:tcW w:w="1985" w:type="dxa"/>
            <w:gridSpan w:val="2"/>
            <w:tcBorders>
              <w:top w:val="nil"/>
              <w:left w:val="nil"/>
              <w:bottom w:val="nil"/>
              <w:right w:val="nil"/>
            </w:tcBorders>
            <w:shd w:val="clear" w:color="000000" w:fill="FFFFFF"/>
            <w:noWrap/>
            <w:vAlign w:val="bottom"/>
          </w:tcPr>
          <w:p w:rsidR="00A237F5" w:rsidRPr="003D3CD9" w:rsidRDefault="00A237F5" w:rsidP="00ED695D">
            <w:pPr>
              <w:spacing w:before="0" w:after="0" w:line="240" w:lineRule="auto"/>
              <w:jc w:val="right"/>
              <w:rPr>
                <w:sz w:val="22"/>
                <w:szCs w:val="22"/>
                <w:lang w:eastAsia="en-GB"/>
              </w:rPr>
            </w:pPr>
            <w:r w:rsidRPr="003D3CD9">
              <w:rPr>
                <w:sz w:val="22"/>
                <w:szCs w:val="22"/>
                <w:lang w:eastAsia="en-GB"/>
              </w:rPr>
              <w:t>2,312,682</w:t>
            </w:r>
          </w:p>
        </w:tc>
        <w:tc>
          <w:tcPr>
            <w:tcW w:w="2126" w:type="dxa"/>
            <w:gridSpan w:val="2"/>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sz w:val="22"/>
                <w:szCs w:val="22"/>
              </w:rPr>
            </w:pPr>
            <w:r w:rsidRPr="003D3CD9">
              <w:rPr>
                <w:sz w:val="22"/>
                <w:szCs w:val="22"/>
              </w:rPr>
              <w:t>63.6</w:t>
            </w:r>
          </w:p>
        </w:tc>
      </w:tr>
      <w:tr w:rsidR="00A237F5" w:rsidRPr="003D3CD9" w:rsidTr="00A237F5">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237F5" w:rsidRPr="003D3CD9" w:rsidRDefault="00A237F5" w:rsidP="009F2B59">
            <w:pPr>
              <w:spacing w:before="0" w:after="0" w:line="240" w:lineRule="auto"/>
              <w:rPr>
                <w:color w:val="000000"/>
                <w:sz w:val="23"/>
                <w:szCs w:val="23"/>
                <w:lang w:eastAsia="en-GB"/>
              </w:rPr>
            </w:pPr>
            <w:r w:rsidRPr="003D3CD9">
              <w:rPr>
                <w:color w:val="000000"/>
                <w:sz w:val="23"/>
                <w:szCs w:val="23"/>
                <w:lang w:eastAsia="en-GB"/>
              </w:rPr>
              <w:t> </w:t>
            </w:r>
          </w:p>
        </w:tc>
        <w:tc>
          <w:tcPr>
            <w:tcW w:w="1370" w:type="dxa"/>
            <w:tcBorders>
              <w:top w:val="nil"/>
              <w:left w:val="nil"/>
              <w:bottom w:val="nil"/>
              <w:right w:val="nil"/>
            </w:tcBorders>
            <w:shd w:val="clear" w:color="000000" w:fill="FFFFFF"/>
            <w:noWrap/>
            <w:vAlign w:val="bottom"/>
            <w:hideMark/>
          </w:tcPr>
          <w:p w:rsidR="00A237F5" w:rsidRPr="003D3CD9" w:rsidRDefault="00A237F5" w:rsidP="00D2797A">
            <w:pPr>
              <w:spacing w:before="0" w:after="0"/>
              <w:rPr>
                <w:b/>
                <w:bCs/>
                <w:sz w:val="22"/>
                <w:szCs w:val="22"/>
              </w:rPr>
            </w:pPr>
            <w:r w:rsidRPr="003D3CD9">
              <w:rPr>
                <w:b/>
                <w:bCs/>
                <w:sz w:val="22"/>
                <w:szCs w:val="22"/>
              </w:rPr>
              <w:t> </w:t>
            </w:r>
          </w:p>
        </w:tc>
        <w:tc>
          <w:tcPr>
            <w:tcW w:w="1417" w:type="dxa"/>
            <w:gridSpan w:val="3"/>
            <w:tcBorders>
              <w:top w:val="nil"/>
              <w:left w:val="nil"/>
              <w:bottom w:val="nil"/>
              <w:right w:val="nil"/>
            </w:tcBorders>
            <w:shd w:val="clear" w:color="000000" w:fill="FFFFFF"/>
            <w:noWrap/>
            <w:vAlign w:val="bottom"/>
            <w:hideMark/>
          </w:tcPr>
          <w:p w:rsidR="00A237F5" w:rsidRPr="003D3CD9" w:rsidRDefault="00A237F5" w:rsidP="00D2797A">
            <w:pPr>
              <w:spacing w:before="0" w:after="0"/>
              <w:rPr>
                <w:b/>
                <w:bCs/>
                <w:i/>
                <w:iCs/>
                <w:sz w:val="22"/>
                <w:szCs w:val="22"/>
              </w:rPr>
            </w:pPr>
            <w:r w:rsidRPr="003D3CD9">
              <w:rPr>
                <w:b/>
                <w:bCs/>
                <w:i/>
                <w:iCs/>
                <w:sz w:val="22"/>
                <w:szCs w:val="22"/>
              </w:rPr>
              <w:t> </w:t>
            </w:r>
          </w:p>
        </w:tc>
        <w:tc>
          <w:tcPr>
            <w:tcW w:w="1985" w:type="dxa"/>
            <w:gridSpan w:val="2"/>
            <w:tcBorders>
              <w:top w:val="nil"/>
              <w:left w:val="nil"/>
              <w:bottom w:val="nil"/>
              <w:right w:val="nil"/>
            </w:tcBorders>
            <w:shd w:val="clear" w:color="000000" w:fill="FFFFFF"/>
            <w:noWrap/>
            <w:vAlign w:val="bottom"/>
          </w:tcPr>
          <w:p w:rsidR="00A237F5" w:rsidRPr="003D3CD9" w:rsidRDefault="00A237F5" w:rsidP="00ED695D">
            <w:pPr>
              <w:spacing w:before="0" w:after="0" w:line="240" w:lineRule="auto"/>
              <w:rPr>
                <w:sz w:val="22"/>
                <w:szCs w:val="22"/>
                <w:lang w:eastAsia="en-GB"/>
              </w:rPr>
            </w:pPr>
            <w:r w:rsidRPr="003D3CD9">
              <w:rPr>
                <w:sz w:val="22"/>
                <w:szCs w:val="22"/>
                <w:lang w:eastAsia="en-GB"/>
              </w:rPr>
              <w:t> </w:t>
            </w:r>
          </w:p>
        </w:tc>
        <w:tc>
          <w:tcPr>
            <w:tcW w:w="2126" w:type="dxa"/>
            <w:gridSpan w:val="2"/>
            <w:tcBorders>
              <w:top w:val="nil"/>
              <w:left w:val="nil"/>
              <w:bottom w:val="nil"/>
              <w:right w:val="nil"/>
            </w:tcBorders>
            <w:shd w:val="clear" w:color="000000" w:fill="FFFFFF"/>
            <w:noWrap/>
            <w:vAlign w:val="bottom"/>
            <w:hideMark/>
          </w:tcPr>
          <w:p w:rsidR="00A237F5" w:rsidRPr="003D3CD9" w:rsidRDefault="00A237F5" w:rsidP="00D2797A">
            <w:pPr>
              <w:spacing w:before="0" w:after="0"/>
              <w:rPr>
                <w:sz w:val="22"/>
                <w:szCs w:val="22"/>
              </w:rPr>
            </w:pPr>
            <w:r w:rsidRPr="003D3CD9">
              <w:rPr>
                <w:sz w:val="22"/>
                <w:szCs w:val="22"/>
              </w:rPr>
              <w:t> </w:t>
            </w:r>
          </w:p>
        </w:tc>
      </w:tr>
      <w:tr w:rsidR="00A237F5" w:rsidRPr="003D3CD9" w:rsidTr="00A237F5">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237F5" w:rsidRPr="003D3CD9" w:rsidRDefault="00A237F5" w:rsidP="009F2B59">
            <w:pPr>
              <w:spacing w:before="0" w:after="0" w:line="240" w:lineRule="auto"/>
              <w:rPr>
                <w:b/>
                <w:bCs/>
                <w:color w:val="000000"/>
                <w:sz w:val="23"/>
                <w:szCs w:val="23"/>
                <w:lang w:eastAsia="en-GB"/>
              </w:rPr>
            </w:pPr>
            <w:r w:rsidRPr="003D3CD9">
              <w:rPr>
                <w:b/>
                <w:bCs/>
                <w:color w:val="000000"/>
                <w:sz w:val="23"/>
                <w:szCs w:val="23"/>
                <w:lang w:eastAsia="en-GB"/>
              </w:rPr>
              <w:t>Wales</w:t>
            </w:r>
          </w:p>
        </w:tc>
        <w:tc>
          <w:tcPr>
            <w:tcW w:w="1370" w:type="dxa"/>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b/>
                <w:bCs/>
                <w:sz w:val="22"/>
                <w:szCs w:val="22"/>
              </w:rPr>
            </w:pPr>
            <w:r w:rsidRPr="003D3CD9">
              <w:rPr>
                <w:b/>
                <w:bCs/>
                <w:sz w:val="22"/>
                <w:szCs w:val="22"/>
              </w:rPr>
              <w:t>83</w:t>
            </w:r>
          </w:p>
        </w:tc>
        <w:tc>
          <w:tcPr>
            <w:tcW w:w="1417" w:type="dxa"/>
            <w:gridSpan w:val="3"/>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b/>
                <w:bCs/>
                <w:i/>
                <w:iCs/>
                <w:sz w:val="22"/>
                <w:szCs w:val="22"/>
              </w:rPr>
            </w:pPr>
            <w:r w:rsidRPr="003D3CD9">
              <w:rPr>
                <w:b/>
                <w:bCs/>
                <w:i/>
                <w:iCs/>
                <w:sz w:val="22"/>
                <w:szCs w:val="22"/>
              </w:rPr>
              <w:t>3</w:t>
            </w:r>
          </w:p>
        </w:tc>
        <w:tc>
          <w:tcPr>
            <w:tcW w:w="1985" w:type="dxa"/>
            <w:gridSpan w:val="2"/>
            <w:tcBorders>
              <w:top w:val="nil"/>
              <w:left w:val="nil"/>
              <w:bottom w:val="nil"/>
              <w:right w:val="nil"/>
            </w:tcBorders>
            <w:shd w:val="clear" w:color="000000" w:fill="FFFFFF"/>
            <w:noWrap/>
            <w:vAlign w:val="bottom"/>
          </w:tcPr>
          <w:p w:rsidR="00A237F5" w:rsidRPr="003D3CD9" w:rsidRDefault="00A237F5" w:rsidP="00ED695D">
            <w:pPr>
              <w:spacing w:before="0" w:after="0" w:line="240" w:lineRule="auto"/>
              <w:jc w:val="right"/>
              <w:rPr>
                <w:b/>
                <w:bCs/>
                <w:sz w:val="22"/>
                <w:szCs w:val="22"/>
                <w:lang w:eastAsia="en-GB"/>
              </w:rPr>
            </w:pPr>
            <w:r w:rsidRPr="003D3CD9">
              <w:rPr>
                <w:b/>
                <w:bCs/>
                <w:sz w:val="22"/>
                <w:szCs w:val="22"/>
                <w:lang w:eastAsia="en-GB"/>
              </w:rPr>
              <w:t>1,318,569</w:t>
            </w:r>
          </w:p>
        </w:tc>
        <w:tc>
          <w:tcPr>
            <w:tcW w:w="2126" w:type="dxa"/>
            <w:gridSpan w:val="2"/>
            <w:tcBorders>
              <w:top w:val="nil"/>
              <w:left w:val="nil"/>
              <w:bottom w:val="nil"/>
              <w:right w:val="nil"/>
            </w:tcBorders>
            <w:shd w:val="clear" w:color="000000" w:fill="FFFFFF"/>
            <w:noWrap/>
            <w:vAlign w:val="bottom"/>
            <w:hideMark/>
          </w:tcPr>
          <w:p w:rsidR="00A237F5" w:rsidRPr="003D3CD9" w:rsidRDefault="00A237F5" w:rsidP="00D2797A">
            <w:pPr>
              <w:spacing w:before="0" w:after="0"/>
              <w:jc w:val="right"/>
              <w:rPr>
                <w:b/>
                <w:bCs/>
                <w:sz w:val="22"/>
                <w:szCs w:val="22"/>
              </w:rPr>
            </w:pPr>
            <w:r w:rsidRPr="003D3CD9">
              <w:rPr>
                <w:b/>
                <w:bCs/>
                <w:sz w:val="22"/>
                <w:szCs w:val="22"/>
              </w:rPr>
              <w:t>62.9</w:t>
            </w:r>
          </w:p>
        </w:tc>
      </w:tr>
      <w:tr w:rsidR="00A237F5" w:rsidRPr="003D3CD9" w:rsidTr="00A237F5">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237F5" w:rsidRPr="003D3CD9" w:rsidRDefault="00A237F5" w:rsidP="009F2B59">
            <w:pPr>
              <w:spacing w:before="0" w:after="0" w:line="240" w:lineRule="auto"/>
              <w:rPr>
                <w:color w:val="000000"/>
                <w:sz w:val="23"/>
                <w:szCs w:val="23"/>
                <w:lang w:eastAsia="en-GB"/>
              </w:rPr>
            </w:pPr>
            <w:r w:rsidRPr="003D3CD9">
              <w:rPr>
                <w:color w:val="000000"/>
                <w:sz w:val="23"/>
                <w:szCs w:val="23"/>
                <w:lang w:eastAsia="en-GB"/>
              </w:rPr>
              <w:t> </w:t>
            </w:r>
          </w:p>
        </w:tc>
        <w:tc>
          <w:tcPr>
            <w:tcW w:w="1370" w:type="dxa"/>
            <w:tcBorders>
              <w:top w:val="nil"/>
              <w:left w:val="nil"/>
              <w:bottom w:val="nil"/>
              <w:right w:val="nil"/>
            </w:tcBorders>
            <w:shd w:val="clear" w:color="000000" w:fill="FFFFFF"/>
            <w:noWrap/>
            <w:vAlign w:val="bottom"/>
            <w:hideMark/>
          </w:tcPr>
          <w:p w:rsidR="00A237F5" w:rsidRPr="003D3CD9" w:rsidRDefault="00A237F5" w:rsidP="00D2797A">
            <w:pPr>
              <w:spacing w:before="0" w:after="0"/>
              <w:rPr>
                <w:b/>
                <w:bCs/>
                <w:sz w:val="22"/>
                <w:szCs w:val="22"/>
              </w:rPr>
            </w:pPr>
            <w:r w:rsidRPr="003D3CD9">
              <w:rPr>
                <w:b/>
                <w:bCs/>
                <w:sz w:val="22"/>
                <w:szCs w:val="22"/>
              </w:rPr>
              <w:t> </w:t>
            </w:r>
          </w:p>
        </w:tc>
        <w:tc>
          <w:tcPr>
            <w:tcW w:w="1417" w:type="dxa"/>
            <w:gridSpan w:val="3"/>
            <w:tcBorders>
              <w:top w:val="nil"/>
              <w:left w:val="nil"/>
              <w:bottom w:val="nil"/>
              <w:right w:val="nil"/>
            </w:tcBorders>
            <w:shd w:val="clear" w:color="000000" w:fill="FFFFFF"/>
            <w:noWrap/>
            <w:vAlign w:val="bottom"/>
            <w:hideMark/>
          </w:tcPr>
          <w:p w:rsidR="00A237F5" w:rsidRPr="003D3CD9" w:rsidRDefault="00A237F5" w:rsidP="00D2797A">
            <w:pPr>
              <w:spacing w:before="0" w:after="0"/>
              <w:rPr>
                <w:b/>
                <w:bCs/>
                <w:i/>
                <w:iCs/>
                <w:sz w:val="22"/>
                <w:szCs w:val="22"/>
              </w:rPr>
            </w:pPr>
            <w:r w:rsidRPr="003D3CD9">
              <w:rPr>
                <w:b/>
                <w:bCs/>
                <w:i/>
                <w:iCs/>
                <w:sz w:val="22"/>
                <w:szCs w:val="22"/>
              </w:rPr>
              <w:t> </w:t>
            </w:r>
          </w:p>
        </w:tc>
        <w:tc>
          <w:tcPr>
            <w:tcW w:w="1985" w:type="dxa"/>
            <w:gridSpan w:val="2"/>
            <w:tcBorders>
              <w:top w:val="nil"/>
              <w:left w:val="nil"/>
              <w:bottom w:val="nil"/>
              <w:right w:val="nil"/>
            </w:tcBorders>
            <w:shd w:val="clear" w:color="000000" w:fill="FFFFFF"/>
            <w:noWrap/>
            <w:vAlign w:val="bottom"/>
          </w:tcPr>
          <w:p w:rsidR="00A237F5" w:rsidRPr="003D3CD9" w:rsidRDefault="00A237F5" w:rsidP="00ED695D">
            <w:pPr>
              <w:spacing w:before="0" w:after="0" w:line="240" w:lineRule="auto"/>
              <w:rPr>
                <w:b/>
                <w:bCs/>
                <w:sz w:val="22"/>
                <w:szCs w:val="22"/>
                <w:lang w:eastAsia="en-GB"/>
              </w:rPr>
            </w:pPr>
            <w:r w:rsidRPr="003D3CD9">
              <w:rPr>
                <w:b/>
                <w:bCs/>
                <w:sz w:val="22"/>
                <w:szCs w:val="22"/>
                <w:lang w:eastAsia="en-GB"/>
              </w:rPr>
              <w:t> </w:t>
            </w:r>
          </w:p>
        </w:tc>
        <w:tc>
          <w:tcPr>
            <w:tcW w:w="2126" w:type="dxa"/>
            <w:gridSpan w:val="2"/>
            <w:tcBorders>
              <w:top w:val="nil"/>
              <w:left w:val="nil"/>
              <w:bottom w:val="nil"/>
              <w:right w:val="nil"/>
            </w:tcBorders>
            <w:shd w:val="clear" w:color="000000" w:fill="FFFFFF"/>
            <w:noWrap/>
            <w:vAlign w:val="bottom"/>
            <w:hideMark/>
          </w:tcPr>
          <w:p w:rsidR="00A237F5" w:rsidRPr="003D3CD9" w:rsidRDefault="00A237F5" w:rsidP="00D2797A">
            <w:pPr>
              <w:spacing w:before="0" w:after="0"/>
              <w:rPr>
                <w:b/>
                <w:bCs/>
                <w:sz w:val="22"/>
                <w:szCs w:val="22"/>
              </w:rPr>
            </w:pPr>
            <w:r w:rsidRPr="003D3CD9">
              <w:rPr>
                <w:b/>
                <w:bCs/>
                <w:sz w:val="22"/>
                <w:szCs w:val="22"/>
              </w:rPr>
              <w:t> </w:t>
            </w:r>
          </w:p>
        </w:tc>
      </w:tr>
      <w:tr w:rsidR="00A237F5" w:rsidRPr="00B669A5" w:rsidTr="00A237F5">
        <w:trPr>
          <w:gridAfter w:val="1"/>
          <w:wAfter w:w="283" w:type="dxa"/>
          <w:trHeight w:val="255"/>
        </w:trPr>
        <w:tc>
          <w:tcPr>
            <w:tcW w:w="3040" w:type="dxa"/>
            <w:gridSpan w:val="2"/>
            <w:tcBorders>
              <w:top w:val="nil"/>
              <w:left w:val="nil"/>
              <w:bottom w:val="single" w:sz="4" w:space="0" w:color="auto"/>
              <w:right w:val="nil"/>
            </w:tcBorders>
            <w:shd w:val="clear" w:color="000000" w:fill="FFFFFF"/>
            <w:noWrap/>
            <w:vAlign w:val="center"/>
            <w:hideMark/>
          </w:tcPr>
          <w:p w:rsidR="00A237F5" w:rsidRPr="003D3CD9" w:rsidRDefault="00A237F5" w:rsidP="009F2B59">
            <w:pPr>
              <w:spacing w:before="0" w:after="0" w:line="240" w:lineRule="auto"/>
              <w:rPr>
                <w:b/>
                <w:bCs/>
                <w:color w:val="000000"/>
                <w:sz w:val="23"/>
                <w:szCs w:val="23"/>
                <w:lang w:eastAsia="en-GB"/>
              </w:rPr>
            </w:pPr>
            <w:r w:rsidRPr="003D3CD9">
              <w:rPr>
                <w:b/>
                <w:bCs/>
                <w:color w:val="000000"/>
                <w:sz w:val="23"/>
                <w:szCs w:val="23"/>
                <w:lang w:eastAsia="en-GB"/>
              </w:rPr>
              <w:t>Scotland</w:t>
            </w:r>
          </w:p>
        </w:tc>
        <w:tc>
          <w:tcPr>
            <w:tcW w:w="1370" w:type="dxa"/>
            <w:tcBorders>
              <w:top w:val="nil"/>
              <w:left w:val="nil"/>
              <w:bottom w:val="single" w:sz="4" w:space="0" w:color="auto"/>
              <w:right w:val="nil"/>
            </w:tcBorders>
            <w:shd w:val="clear" w:color="000000" w:fill="FFFFFF"/>
            <w:noWrap/>
            <w:vAlign w:val="bottom"/>
            <w:hideMark/>
          </w:tcPr>
          <w:p w:rsidR="00A237F5" w:rsidRPr="003D3CD9" w:rsidRDefault="00A237F5" w:rsidP="00D2797A">
            <w:pPr>
              <w:spacing w:before="0" w:after="0"/>
              <w:jc w:val="right"/>
              <w:rPr>
                <w:b/>
                <w:bCs/>
                <w:sz w:val="22"/>
                <w:szCs w:val="22"/>
              </w:rPr>
            </w:pPr>
            <w:r w:rsidRPr="003D3CD9">
              <w:rPr>
                <w:b/>
                <w:bCs/>
                <w:sz w:val="22"/>
                <w:szCs w:val="22"/>
              </w:rPr>
              <w:t>1,680</w:t>
            </w:r>
          </w:p>
        </w:tc>
        <w:tc>
          <w:tcPr>
            <w:tcW w:w="1417" w:type="dxa"/>
            <w:gridSpan w:val="3"/>
            <w:tcBorders>
              <w:top w:val="nil"/>
              <w:left w:val="nil"/>
              <w:bottom w:val="single" w:sz="4" w:space="0" w:color="auto"/>
              <w:right w:val="nil"/>
            </w:tcBorders>
            <w:shd w:val="clear" w:color="000000" w:fill="FFFFFF"/>
            <w:noWrap/>
            <w:vAlign w:val="bottom"/>
            <w:hideMark/>
          </w:tcPr>
          <w:p w:rsidR="00A237F5" w:rsidRPr="003D3CD9" w:rsidRDefault="00A237F5" w:rsidP="00D2797A">
            <w:pPr>
              <w:spacing w:before="0" w:after="0"/>
              <w:jc w:val="right"/>
              <w:rPr>
                <w:b/>
                <w:bCs/>
                <w:i/>
                <w:iCs/>
                <w:sz w:val="22"/>
                <w:szCs w:val="22"/>
              </w:rPr>
            </w:pPr>
            <w:r w:rsidRPr="003D3CD9">
              <w:rPr>
                <w:b/>
                <w:bCs/>
                <w:i/>
                <w:iCs/>
                <w:sz w:val="22"/>
                <w:szCs w:val="22"/>
              </w:rPr>
              <w:t>65</w:t>
            </w:r>
          </w:p>
        </w:tc>
        <w:tc>
          <w:tcPr>
            <w:tcW w:w="1985" w:type="dxa"/>
            <w:gridSpan w:val="2"/>
            <w:tcBorders>
              <w:top w:val="nil"/>
              <w:left w:val="nil"/>
              <w:bottom w:val="single" w:sz="4" w:space="0" w:color="auto"/>
              <w:right w:val="nil"/>
            </w:tcBorders>
            <w:shd w:val="clear" w:color="000000" w:fill="FFFFFF"/>
            <w:noWrap/>
            <w:vAlign w:val="bottom"/>
          </w:tcPr>
          <w:p w:rsidR="00A237F5" w:rsidRPr="003D3CD9" w:rsidRDefault="00A237F5" w:rsidP="00ED695D">
            <w:pPr>
              <w:spacing w:before="0" w:after="0" w:line="240" w:lineRule="auto"/>
              <w:jc w:val="right"/>
              <w:rPr>
                <w:b/>
                <w:bCs/>
                <w:sz w:val="22"/>
                <w:szCs w:val="22"/>
                <w:lang w:eastAsia="en-GB"/>
              </w:rPr>
            </w:pPr>
            <w:r w:rsidRPr="003D3CD9">
              <w:rPr>
                <w:b/>
                <w:bCs/>
                <w:sz w:val="22"/>
                <w:szCs w:val="22"/>
                <w:lang w:eastAsia="en-GB"/>
              </w:rPr>
              <w:t>2,401,797</w:t>
            </w:r>
          </w:p>
        </w:tc>
        <w:tc>
          <w:tcPr>
            <w:tcW w:w="2126" w:type="dxa"/>
            <w:gridSpan w:val="2"/>
            <w:tcBorders>
              <w:top w:val="nil"/>
              <w:left w:val="nil"/>
              <w:bottom w:val="single" w:sz="4" w:space="0" w:color="auto"/>
              <w:right w:val="nil"/>
            </w:tcBorders>
            <w:shd w:val="clear" w:color="000000" w:fill="FFFFFF"/>
            <w:noWrap/>
            <w:vAlign w:val="bottom"/>
            <w:hideMark/>
          </w:tcPr>
          <w:p w:rsidR="00A237F5" w:rsidRPr="00D2797A" w:rsidRDefault="00A237F5" w:rsidP="00D2797A">
            <w:pPr>
              <w:spacing w:before="0" w:after="0"/>
              <w:jc w:val="right"/>
              <w:rPr>
                <w:b/>
                <w:bCs/>
                <w:sz w:val="22"/>
                <w:szCs w:val="22"/>
              </w:rPr>
            </w:pPr>
            <w:r w:rsidRPr="003D3CD9">
              <w:rPr>
                <w:b/>
                <w:bCs/>
                <w:sz w:val="22"/>
                <w:szCs w:val="22"/>
              </w:rPr>
              <w:t>699.5</w:t>
            </w:r>
          </w:p>
        </w:tc>
      </w:tr>
    </w:tbl>
    <w:p w:rsidR="00703394" w:rsidRPr="00D65354" w:rsidRDefault="00A55DC1" w:rsidP="00703394">
      <w:pPr>
        <w:spacing w:after="0" w:line="270" w:lineRule="atLeast"/>
        <w:rPr>
          <w:sz w:val="21"/>
          <w:szCs w:val="21"/>
          <w:lang w:eastAsia="en-GB"/>
        </w:rPr>
      </w:pPr>
      <w:r w:rsidRPr="000B6EFA">
        <w:rPr>
          <w:sz w:val="21"/>
          <w:szCs w:val="21"/>
          <w:vertAlign w:val="superscript"/>
          <w:lang w:eastAsia="en-GB"/>
        </w:rPr>
        <w:t xml:space="preserve">1 </w:t>
      </w:r>
      <w:r w:rsidRPr="000B6EFA">
        <w:rPr>
          <w:sz w:val="21"/>
          <w:szCs w:val="21"/>
          <w:lang w:eastAsia="en-GB"/>
        </w:rPr>
        <w:t>Source</w:t>
      </w:r>
      <w:r w:rsidR="00F476E8" w:rsidRPr="00F476E8">
        <w:rPr>
          <w:sz w:val="21"/>
          <w:szCs w:val="21"/>
          <w:lang w:eastAsia="en-GB"/>
        </w:rPr>
        <w:t xml:space="preserve">: England: Department for Communities and Local Government, Household Projections. </w:t>
      </w:r>
      <w:r w:rsidR="00D65354">
        <w:rPr>
          <w:sz w:val="21"/>
          <w:szCs w:val="21"/>
          <w:lang w:eastAsia="en-GB"/>
        </w:rPr>
        <w:br/>
      </w:r>
      <w:r w:rsidR="00F476E8" w:rsidRPr="00F476E8">
        <w:rPr>
          <w:sz w:val="21"/>
          <w:szCs w:val="21"/>
          <w:lang w:eastAsia="en-GB"/>
        </w:rPr>
        <w:t xml:space="preserve">Wales: Welsh Government, Household estimates. </w:t>
      </w:r>
      <w:r w:rsidR="00D65354">
        <w:rPr>
          <w:sz w:val="21"/>
          <w:szCs w:val="21"/>
          <w:lang w:eastAsia="en-GB"/>
        </w:rPr>
        <w:br/>
      </w:r>
      <w:r w:rsidR="00F476E8" w:rsidRPr="00F476E8">
        <w:rPr>
          <w:sz w:val="21"/>
          <w:szCs w:val="21"/>
          <w:lang w:eastAsia="en-GB"/>
        </w:rPr>
        <w:t xml:space="preserve">Scotland: General Register Office for </w:t>
      </w:r>
      <w:proofErr w:type="gramStart"/>
      <w:r w:rsidR="00F476E8" w:rsidRPr="00F476E8">
        <w:rPr>
          <w:sz w:val="21"/>
          <w:szCs w:val="21"/>
          <w:lang w:eastAsia="en-GB"/>
        </w:rPr>
        <w:t>Scotland,</w:t>
      </w:r>
      <w:proofErr w:type="gramEnd"/>
      <w:r w:rsidR="00F476E8" w:rsidRPr="00F476E8">
        <w:rPr>
          <w:sz w:val="21"/>
          <w:szCs w:val="21"/>
          <w:lang w:eastAsia="en-GB"/>
        </w:rPr>
        <w:t xml:space="preserve"> Estimates of Households in Scotland.</w:t>
      </w:r>
      <w:r w:rsidR="00703394">
        <w:rPr>
          <w:sz w:val="21"/>
          <w:szCs w:val="21"/>
          <w:lang w:eastAsia="en-GB"/>
        </w:rPr>
        <w:br/>
      </w:r>
    </w:p>
    <w:p w:rsidR="00935046" w:rsidRDefault="00C351B2" w:rsidP="003D3CD9">
      <w:pPr>
        <w:pStyle w:val="Paragraphtext"/>
        <w:spacing w:after="0"/>
        <w:ind w:left="142" w:right="284"/>
        <w:jc w:val="both"/>
        <w:rPr>
          <w:bCs/>
        </w:rPr>
      </w:pPr>
      <w:r w:rsidRPr="003D3CD9">
        <w:rPr>
          <w:b/>
        </w:rPr>
        <w:t>Table 1.8</w:t>
      </w:r>
      <w:r w:rsidR="00556BEC" w:rsidRPr="003D3CD9">
        <w:rPr>
          <w:b/>
        </w:rPr>
        <w:t>: Number of Green Deal Assessments delivered under the Pioneer Places Project, by Pioneer Place Area</w:t>
      </w:r>
      <w:r w:rsidR="00556BEC" w:rsidRPr="003D3CD9">
        <w:t xml:space="preserve"> </w:t>
      </w:r>
      <w:r w:rsidR="00556BEC" w:rsidRPr="003D3CD9">
        <w:rPr>
          <w:bCs/>
        </w:rPr>
        <w:t xml:space="preserve">(Table available </w:t>
      </w:r>
      <w:r w:rsidR="00556BEC" w:rsidRPr="003D3CD9">
        <w:t xml:space="preserve">in Excel </w:t>
      </w:r>
      <w:hyperlink r:id="rId52" w:history="1">
        <w:r w:rsidR="001D54FE" w:rsidRPr="001D54FE">
          <w:rPr>
            <w:rStyle w:val="Hyperlink"/>
            <w:rFonts w:ascii="Arial" w:hAnsi="Arial"/>
            <w:sz w:val="23"/>
            <w:szCs w:val="23"/>
          </w:rPr>
          <w:t>here</w:t>
        </w:r>
      </w:hyperlink>
      <w:r w:rsidR="00556BEC" w:rsidRPr="003D3CD9">
        <w:rPr>
          <w:bCs/>
        </w:rPr>
        <w:t>).</w:t>
      </w:r>
    </w:p>
    <w:p w:rsidR="009F2B59" w:rsidRPr="00BF6EAA" w:rsidRDefault="009F2B59" w:rsidP="00556BEC">
      <w:pPr>
        <w:pStyle w:val="Paragraphtext"/>
        <w:rPr>
          <w:bCs/>
        </w:rPr>
      </w:pPr>
    </w:p>
    <w:tbl>
      <w:tblPr>
        <w:tblW w:w="9938" w:type="dxa"/>
        <w:tblInd w:w="93" w:type="dxa"/>
        <w:tblLook w:val="04A0" w:firstRow="1" w:lastRow="0" w:firstColumn="1" w:lastColumn="0" w:noHBand="0" w:noVBand="1"/>
      </w:tblPr>
      <w:tblGrid>
        <w:gridCol w:w="2878"/>
        <w:gridCol w:w="284"/>
        <w:gridCol w:w="284"/>
        <w:gridCol w:w="1262"/>
        <w:gridCol w:w="4663"/>
        <w:gridCol w:w="296"/>
        <w:gridCol w:w="271"/>
      </w:tblGrid>
      <w:tr w:rsidR="00556BEC" w:rsidRPr="00575ED4" w:rsidTr="00D65354">
        <w:trPr>
          <w:trHeight w:val="285"/>
        </w:trPr>
        <w:tc>
          <w:tcPr>
            <w:tcW w:w="9938" w:type="dxa"/>
            <w:gridSpan w:val="7"/>
            <w:tcBorders>
              <w:top w:val="nil"/>
              <w:left w:val="nil"/>
              <w:bottom w:val="nil"/>
              <w:right w:val="nil"/>
            </w:tcBorders>
            <w:shd w:val="clear" w:color="000000" w:fill="FFFFFF"/>
            <w:noWrap/>
            <w:vAlign w:val="bottom"/>
            <w:hideMark/>
          </w:tcPr>
          <w:p w:rsidR="007F0E5B" w:rsidRDefault="00556BEC" w:rsidP="007F0E5B">
            <w:pPr>
              <w:pStyle w:val="Paragraphtext"/>
              <w:spacing w:after="0"/>
              <w:ind w:right="284"/>
              <w:jc w:val="both"/>
              <w:rPr>
                <w:bCs/>
              </w:rPr>
            </w:pPr>
            <w:bookmarkStart w:id="57" w:name="RANGE!A1:F4"/>
            <w:r w:rsidRPr="00AF5779">
              <w:rPr>
                <w:b/>
                <w:bCs/>
                <w:szCs w:val="24"/>
                <w:lang w:eastAsia="en-GB"/>
              </w:rPr>
              <w:t>Table 1.</w:t>
            </w:r>
            <w:r w:rsidR="00C351B2" w:rsidRPr="00AF5779">
              <w:rPr>
                <w:b/>
                <w:bCs/>
                <w:szCs w:val="24"/>
                <w:lang w:eastAsia="en-GB"/>
              </w:rPr>
              <w:t>9</w:t>
            </w:r>
            <w:r w:rsidRPr="00AF5779">
              <w:rPr>
                <w:b/>
                <w:bCs/>
                <w:szCs w:val="24"/>
                <w:lang w:eastAsia="en-GB"/>
              </w:rPr>
              <w:t>: Provisional number of properties with energy efficiency work delivered under Core Cities Project, by Core City Area</w:t>
            </w:r>
            <w:bookmarkEnd w:id="57"/>
            <w:r w:rsidR="007F0E5B">
              <w:rPr>
                <w:b/>
                <w:bCs/>
                <w:szCs w:val="24"/>
                <w:lang w:eastAsia="en-GB"/>
              </w:rPr>
              <w:t xml:space="preserve"> </w:t>
            </w:r>
            <w:r w:rsidR="007F0E5B" w:rsidRPr="003D3CD9">
              <w:rPr>
                <w:bCs/>
              </w:rPr>
              <w:t xml:space="preserve">(Table available </w:t>
            </w:r>
            <w:r w:rsidR="007F0E5B" w:rsidRPr="003D3CD9">
              <w:t xml:space="preserve">in Excel </w:t>
            </w:r>
            <w:hyperlink r:id="rId53" w:history="1">
              <w:r w:rsidR="001D54FE" w:rsidRPr="001D54FE">
                <w:rPr>
                  <w:rStyle w:val="Hyperlink"/>
                  <w:rFonts w:ascii="Arial" w:hAnsi="Arial"/>
                  <w:sz w:val="23"/>
                  <w:szCs w:val="23"/>
                </w:rPr>
                <w:t>here</w:t>
              </w:r>
            </w:hyperlink>
            <w:r w:rsidR="007F0E5B" w:rsidRPr="003D3CD9">
              <w:rPr>
                <w:bCs/>
              </w:rPr>
              <w:t>).</w:t>
            </w:r>
          </w:p>
          <w:p w:rsidR="00556BEC" w:rsidRPr="00575ED4" w:rsidRDefault="00556BEC" w:rsidP="004F2454">
            <w:pPr>
              <w:spacing w:before="0" w:after="0" w:line="240" w:lineRule="auto"/>
              <w:jc w:val="both"/>
              <w:rPr>
                <w:b/>
                <w:bCs/>
                <w:szCs w:val="24"/>
                <w:lang w:eastAsia="en-GB"/>
              </w:rPr>
            </w:pPr>
          </w:p>
        </w:tc>
      </w:tr>
      <w:tr w:rsidR="00556BEC" w:rsidRPr="00575ED4" w:rsidTr="007B6F33">
        <w:trPr>
          <w:trHeight w:val="285"/>
        </w:trPr>
        <w:tc>
          <w:tcPr>
            <w:tcW w:w="9938" w:type="dxa"/>
            <w:gridSpan w:val="7"/>
            <w:tcBorders>
              <w:top w:val="nil"/>
              <w:left w:val="nil"/>
              <w:bottom w:val="nil"/>
              <w:right w:val="nil"/>
            </w:tcBorders>
            <w:shd w:val="clear" w:color="000000" w:fill="FFFFFF"/>
            <w:noWrap/>
            <w:vAlign w:val="bottom"/>
            <w:hideMark/>
          </w:tcPr>
          <w:p w:rsidR="003D3CD9" w:rsidRPr="003D3CD9" w:rsidRDefault="003D3CD9" w:rsidP="007F0E5B">
            <w:pPr>
              <w:spacing w:before="0" w:after="0" w:line="240" w:lineRule="auto"/>
              <w:jc w:val="both"/>
              <w:rPr>
                <w:sz w:val="20"/>
                <w:lang w:eastAsia="en-GB"/>
              </w:rPr>
            </w:pPr>
          </w:p>
        </w:tc>
      </w:tr>
      <w:tr w:rsidR="00556BEC" w:rsidRPr="00575ED4" w:rsidTr="007B6F33">
        <w:trPr>
          <w:gridAfter w:val="1"/>
          <w:wAfter w:w="271" w:type="dxa"/>
          <w:trHeight w:val="285"/>
        </w:trPr>
        <w:tc>
          <w:tcPr>
            <w:tcW w:w="9667" w:type="dxa"/>
            <w:gridSpan w:val="6"/>
            <w:tcBorders>
              <w:top w:val="nil"/>
              <w:left w:val="nil"/>
              <w:bottom w:val="nil"/>
              <w:right w:val="nil"/>
            </w:tcBorders>
            <w:shd w:val="clear" w:color="000000" w:fill="FFFFFF"/>
            <w:noWrap/>
            <w:vAlign w:val="bottom"/>
            <w:hideMark/>
          </w:tcPr>
          <w:p w:rsidR="00D65354" w:rsidRDefault="00D65354" w:rsidP="00291E07">
            <w:pPr>
              <w:spacing w:before="0" w:after="0" w:line="240" w:lineRule="auto"/>
              <w:rPr>
                <w:b/>
                <w:bCs/>
                <w:szCs w:val="24"/>
                <w:lang w:eastAsia="en-GB"/>
              </w:rPr>
            </w:pPr>
            <w:bookmarkStart w:id="58" w:name="RANGE!A1:E4"/>
          </w:p>
          <w:p w:rsidR="00812968" w:rsidRDefault="00556BEC" w:rsidP="00291E07">
            <w:pPr>
              <w:spacing w:before="0" w:after="0" w:line="240" w:lineRule="auto"/>
              <w:rPr>
                <w:b/>
                <w:bCs/>
                <w:szCs w:val="24"/>
                <w:lang w:eastAsia="en-GB"/>
              </w:rPr>
            </w:pPr>
            <w:r w:rsidRPr="00AF5779">
              <w:rPr>
                <w:b/>
                <w:bCs/>
                <w:szCs w:val="24"/>
                <w:lang w:eastAsia="en-GB"/>
              </w:rPr>
              <w:t>Table 1.</w:t>
            </w:r>
            <w:r w:rsidR="00C351B2" w:rsidRPr="00AF5779">
              <w:rPr>
                <w:b/>
                <w:bCs/>
                <w:szCs w:val="24"/>
                <w:lang w:eastAsia="en-GB"/>
              </w:rPr>
              <w:t>9</w:t>
            </w:r>
            <w:r w:rsidRPr="00AF5779">
              <w:rPr>
                <w:b/>
                <w:bCs/>
                <w:szCs w:val="24"/>
                <w:lang w:eastAsia="en-GB"/>
              </w:rPr>
              <w:t>a: Provisional number of energy efficiency measures installed under Core Cities Project, by measure type</w:t>
            </w:r>
            <w:bookmarkEnd w:id="58"/>
            <w:r w:rsidR="007F0E5B">
              <w:rPr>
                <w:b/>
                <w:bCs/>
                <w:szCs w:val="24"/>
                <w:lang w:eastAsia="en-GB"/>
              </w:rPr>
              <w:t xml:space="preserve"> </w:t>
            </w:r>
            <w:r w:rsidR="007F0E5B" w:rsidRPr="003D3CD9">
              <w:rPr>
                <w:bCs/>
              </w:rPr>
              <w:t xml:space="preserve">(Table available </w:t>
            </w:r>
            <w:r w:rsidR="007F0E5B" w:rsidRPr="003D3CD9">
              <w:t xml:space="preserve">in Excel </w:t>
            </w:r>
            <w:hyperlink r:id="rId54" w:history="1">
              <w:r w:rsidR="001D54FE" w:rsidRPr="001D54FE">
                <w:rPr>
                  <w:rStyle w:val="Hyperlink"/>
                  <w:rFonts w:ascii="Arial" w:hAnsi="Arial"/>
                  <w:sz w:val="23"/>
                  <w:szCs w:val="23"/>
                </w:rPr>
                <w:t>here</w:t>
              </w:r>
            </w:hyperlink>
            <w:r w:rsidR="007F0E5B" w:rsidRPr="003D3CD9">
              <w:rPr>
                <w:bCs/>
              </w:rPr>
              <w:t>).</w:t>
            </w:r>
          </w:p>
          <w:p w:rsidR="00812968" w:rsidRPr="00575ED4" w:rsidRDefault="00812968" w:rsidP="00291E07">
            <w:pPr>
              <w:spacing w:before="0" w:after="0" w:line="240" w:lineRule="auto"/>
              <w:rPr>
                <w:b/>
                <w:bCs/>
                <w:szCs w:val="24"/>
                <w:lang w:eastAsia="en-GB"/>
              </w:rPr>
            </w:pPr>
          </w:p>
        </w:tc>
      </w:tr>
      <w:tr w:rsidR="00556BEC" w:rsidRPr="00AC5646" w:rsidTr="007B6F33">
        <w:trPr>
          <w:gridAfter w:val="1"/>
          <w:wAfter w:w="271" w:type="dxa"/>
          <w:trHeight w:val="123"/>
        </w:trPr>
        <w:tc>
          <w:tcPr>
            <w:tcW w:w="2878"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84"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84"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1262"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4663"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96"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r>
      <w:tr w:rsidR="007F0E5B" w:rsidRPr="00575ED4" w:rsidTr="00812EFF">
        <w:trPr>
          <w:gridAfter w:val="1"/>
          <w:wAfter w:w="271" w:type="dxa"/>
          <w:trHeight w:val="255"/>
        </w:trPr>
        <w:tc>
          <w:tcPr>
            <w:tcW w:w="9371" w:type="dxa"/>
            <w:gridSpan w:val="5"/>
            <w:tcBorders>
              <w:top w:val="nil"/>
              <w:left w:val="nil"/>
              <w:bottom w:val="nil"/>
              <w:right w:val="nil"/>
            </w:tcBorders>
            <w:shd w:val="clear" w:color="000000" w:fill="FFFFFF"/>
            <w:vAlign w:val="bottom"/>
          </w:tcPr>
          <w:p w:rsidR="007F0E5B" w:rsidRPr="003D6AAC" w:rsidRDefault="007F0E5B" w:rsidP="00291E07">
            <w:pPr>
              <w:spacing w:before="0" w:after="0" w:line="240" w:lineRule="auto"/>
              <w:jc w:val="both"/>
              <w:rPr>
                <w:sz w:val="21"/>
                <w:szCs w:val="21"/>
                <w:lang w:eastAsia="en-GB"/>
              </w:rPr>
            </w:pPr>
          </w:p>
        </w:tc>
        <w:tc>
          <w:tcPr>
            <w:tcW w:w="296" w:type="dxa"/>
            <w:tcBorders>
              <w:top w:val="nil"/>
              <w:left w:val="nil"/>
              <w:bottom w:val="nil"/>
              <w:right w:val="nil"/>
            </w:tcBorders>
            <w:shd w:val="clear" w:color="000000" w:fill="FFFFFF"/>
            <w:noWrap/>
            <w:vAlign w:val="bottom"/>
            <w:hideMark/>
          </w:tcPr>
          <w:p w:rsidR="007F0E5B" w:rsidRPr="00575ED4" w:rsidRDefault="007F0E5B" w:rsidP="00291E07">
            <w:pPr>
              <w:spacing w:before="0" w:after="0" w:line="240" w:lineRule="auto"/>
              <w:rPr>
                <w:szCs w:val="24"/>
                <w:lang w:eastAsia="en-GB"/>
              </w:rPr>
            </w:pPr>
            <w:r w:rsidRPr="00575ED4">
              <w:rPr>
                <w:szCs w:val="24"/>
                <w:lang w:eastAsia="en-GB"/>
              </w:rPr>
              <w:t> </w:t>
            </w:r>
          </w:p>
        </w:tc>
      </w:tr>
      <w:tr w:rsidR="007F0E5B" w:rsidRPr="00575ED4" w:rsidTr="007B6F33">
        <w:trPr>
          <w:gridAfter w:val="1"/>
          <w:wAfter w:w="271" w:type="dxa"/>
          <w:trHeight w:val="255"/>
        </w:trPr>
        <w:tc>
          <w:tcPr>
            <w:tcW w:w="9371" w:type="dxa"/>
            <w:gridSpan w:val="5"/>
            <w:tcBorders>
              <w:top w:val="nil"/>
              <w:left w:val="nil"/>
              <w:bottom w:val="nil"/>
              <w:right w:val="nil"/>
            </w:tcBorders>
            <w:shd w:val="clear" w:color="000000" w:fill="FFFFFF"/>
            <w:vAlign w:val="bottom"/>
          </w:tcPr>
          <w:p w:rsidR="007F0E5B" w:rsidRPr="003D6AAC" w:rsidRDefault="007F0E5B" w:rsidP="00291E07">
            <w:pPr>
              <w:spacing w:before="0" w:after="0" w:line="240" w:lineRule="auto"/>
              <w:jc w:val="both"/>
              <w:rPr>
                <w:sz w:val="21"/>
                <w:szCs w:val="21"/>
                <w:vertAlign w:val="superscript"/>
                <w:lang w:eastAsia="en-GB"/>
              </w:rPr>
            </w:pPr>
          </w:p>
        </w:tc>
        <w:tc>
          <w:tcPr>
            <w:tcW w:w="296" w:type="dxa"/>
            <w:tcBorders>
              <w:top w:val="nil"/>
              <w:left w:val="nil"/>
              <w:bottom w:val="nil"/>
              <w:right w:val="nil"/>
            </w:tcBorders>
            <w:shd w:val="clear" w:color="000000" w:fill="FFFFFF"/>
            <w:noWrap/>
            <w:vAlign w:val="bottom"/>
          </w:tcPr>
          <w:p w:rsidR="007F0E5B" w:rsidRPr="00575ED4" w:rsidRDefault="007F0E5B" w:rsidP="00291E07">
            <w:pPr>
              <w:spacing w:before="0" w:after="0" w:line="240" w:lineRule="auto"/>
              <w:rPr>
                <w:szCs w:val="24"/>
                <w:lang w:eastAsia="en-GB"/>
              </w:rPr>
            </w:pPr>
          </w:p>
        </w:tc>
      </w:tr>
      <w:tr w:rsidR="007F0E5B" w:rsidRPr="00575ED4" w:rsidTr="00812EFF">
        <w:trPr>
          <w:gridAfter w:val="1"/>
          <w:wAfter w:w="271" w:type="dxa"/>
          <w:trHeight w:val="285"/>
        </w:trPr>
        <w:tc>
          <w:tcPr>
            <w:tcW w:w="9667" w:type="dxa"/>
            <w:gridSpan w:val="6"/>
            <w:tcBorders>
              <w:top w:val="nil"/>
              <w:left w:val="nil"/>
              <w:bottom w:val="nil"/>
              <w:right w:val="nil"/>
            </w:tcBorders>
            <w:shd w:val="clear" w:color="000000" w:fill="FFFFFF"/>
            <w:noWrap/>
            <w:vAlign w:val="bottom"/>
          </w:tcPr>
          <w:p w:rsidR="007F0E5B" w:rsidRDefault="007F0E5B" w:rsidP="00291E07">
            <w:pPr>
              <w:spacing w:before="0" w:after="0" w:line="240" w:lineRule="auto"/>
              <w:jc w:val="both"/>
              <w:rPr>
                <w:sz w:val="21"/>
                <w:szCs w:val="21"/>
                <w:lang w:eastAsia="en-GB"/>
              </w:rPr>
            </w:pPr>
          </w:p>
          <w:p w:rsidR="007F0E5B" w:rsidRDefault="007F0E5B" w:rsidP="00291E07">
            <w:pPr>
              <w:spacing w:before="0" w:after="0" w:line="240" w:lineRule="auto"/>
              <w:jc w:val="both"/>
              <w:rPr>
                <w:sz w:val="21"/>
                <w:szCs w:val="21"/>
                <w:lang w:eastAsia="en-GB"/>
              </w:rPr>
            </w:pPr>
          </w:p>
          <w:p w:rsidR="007F0E5B" w:rsidRDefault="007F0E5B" w:rsidP="00291E07">
            <w:pPr>
              <w:spacing w:before="0" w:after="0" w:line="240" w:lineRule="auto"/>
              <w:jc w:val="both"/>
              <w:rPr>
                <w:sz w:val="21"/>
                <w:szCs w:val="21"/>
                <w:lang w:eastAsia="en-GB"/>
              </w:rPr>
            </w:pPr>
          </w:p>
          <w:p w:rsidR="007F0E5B" w:rsidRDefault="007F0E5B" w:rsidP="00291E07">
            <w:pPr>
              <w:spacing w:before="0" w:after="0" w:line="240" w:lineRule="auto"/>
              <w:jc w:val="both"/>
              <w:rPr>
                <w:sz w:val="21"/>
                <w:szCs w:val="21"/>
                <w:lang w:eastAsia="en-GB"/>
              </w:rPr>
            </w:pPr>
          </w:p>
          <w:p w:rsidR="007F0E5B" w:rsidRDefault="007F0E5B" w:rsidP="00291E07">
            <w:pPr>
              <w:spacing w:before="0" w:after="0" w:line="240" w:lineRule="auto"/>
              <w:jc w:val="both"/>
              <w:rPr>
                <w:sz w:val="21"/>
                <w:szCs w:val="21"/>
                <w:lang w:eastAsia="en-GB"/>
              </w:rPr>
            </w:pPr>
          </w:p>
          <w:p w:rsidR="007F0E5B" w:rsidRDefault="007F0E5B" w:rsidP="00291E07">
            <w:pPr>
              <w:spacing w:before="0" w:after="0" w:line="240" w:lineRule="auto"/>
              <w:jc w:val="both"/>
              <w:rPr>
                <w:sz w:val="21"/>
                <w:szCs w:val="21"/>
                <w:lang w:eastAsia="en-GB"/>
              </w:rPr>
            </w:pPr>
          </w:p>
          <w:p w:rsidR="007F0E5B" w:rsidRDefault="007F0E5B" w:rsidP="00291E07">
            <w:pPr>
              <w:spacing w:before="0" w:after="0" w:line="240" w:lineRule="auto"/>
              <w:jc w:val="both"/>
              <w:rPr>
                <w:sz w:val="21"/>
                <w:szCs w:val="21"/>
                <w:lang w:eastAsia="en-GB"/>
              </w:rPr>
            </w:pPr>
          </w:p>
          <w:p w:rsidR="007F0E5B" w:rsidRDefault="007F0E5B" w:rsidP="00291E07">
            <w:pPr>
              <w:spacing w:before="0" w:after="0" w:line="240" w:lineRule="auto"/>
              <w:jc w:val="both"/>
              <w:rPr>
                <w:sz w:val="21"/>
                <w:szCs w:val="21"/>
                <w:lang w:eastAsia="en-GB"/>
              </w:rPr>
            </w:pPr>
          </w:p>
          <w:p w:rsidR="007F0E5B" w:rsidRPr="003D6AAC" w:rsidRDefault="007F0E5B" w:rsidP="00291E07">
            <w:pPr>
              <w:spacing w:before="0" w:after="0" w:line="240" w:lineRule="auto"/>
              <w:jc w:val="both"/>
              <w:rPr>
                <w:sz w:val="21"/>
                <w:szCs w:val="21"/>
                <w:lang w:eastAsia="en-GB"/>
              </w:rPr>
            </w:pPr>
          </w:p>
        </w:tc>
      </w:tr>
    </w:tbl>
    <w:p w:rsidR="00415EE4" w:rsidRDefault="00C351B2" w:rsidP="00511A92">
      <w:pPr>
        <w:spacing w:before="0" w:after="0" w:line="270" w:lineRule="atLeast"/>
        <w:jc w:val="both"/>
        <w:rPr>
          <w:b/>
          <w:bCs/>
        </w:rPr>
      </w:pPr>
      <w:r w:rsidRPr="00FD4646">
        <w:rPr>
          <w:b/>
          <w:bCs/>
        </w:rPr>
        <w:lastRenderedPageBreak/>
        <w:t>Table 1.10</w:t>
      </w:r>
      <w:r w:rsidR="00415EE4" w:rsidRPr="00FD4646">
        <w:rPr>
          <w:b/>
          <w:bCs/>
        </w:rPr>
        <w:t xml:space="preserve">: Number of Cashback vouchers paid by region, up to </w:t>
      </w:r>
      <w:r w:rsidR="007E138E" w:rsidRPr="00FD4646">
        <w:rPr>
          <w:b/>
          <w:bCs/>
        </w:rPr>
        <w:t xml:space="preserve">30th </w:t>
      </w:r>
      <w:r w:rsidR="00665048" w:rsidRPr="00FD4646">
        <w:rPr>
          <w:b/>
          <w:bCs/>
        </w:rPr>
        <w:t>September</w:t>
      </w:r>
      <w:r w:rsidR="002F723B" w:rsidRPr="00FD4646">
        <w:rPr>
          <w:b/>
          <w:bCs/>
        </w:rPr>
        <w:t xml:space="preserve"> 2014</w:t>
      </w:r>
      <w:r w:rsidR="00415EE4" w:rsidRPr="00FD4646">
        <w:rPr>
          <w:b/>
          <w:bCs/>
        </w:rPr>
        <w:t>, England and Wales</w:t>
      </w:r>
    </w:p>
    <w:p w:rsidR="00D73B3D" w:rsidRPr="00A21277" w:rsidRDefault="00D73B3D" w:rsidP="00511A92">
      <w:pPr>
        <w:spacing w:before="0" w:after="0" w:line="270" w:lineRule="atLeast"/>
        <w:jc w:val="both"/>
        <w:rPr>
          <w:b/>
          <w:bCs/>
        </w:rPr>
      </w:pPr>
    </w:p>
    <w:tbl>
      <w:tblPr>
        <w:tblW w:w="10946" w:type="dxa"/>
        <w:tblInd w:w="93" w:type="dxa"/>
        <w:tblLook w:val="04A0" w:firstRow="1" w:lastRow="0" w:firstColumn="1" w:lastColumn="0" w:noHBand="0" w:noVBand="1"/>
      </w:tblPr>
      <w:tblGrid>
        <w:gridCol w:w="834"/>
        <w:gridCol w:w="833"/>
        <w:gridCol w:w="833"/>
        <w:gridCol w:w="278"/>
        <w:gridCol w:w="639"/>
        <w:gridCol w:w="284"/>
        <w:gridCol w:w="992"/>
        <w:gridCol w:w="2126"/>
        <w:gridCol w:w="1701"/>
        <w:gridCol w:w="1060"/>
        <w:gridCol w:w="275"/>
        <w:gridCol w:w="275"/>
        <w:gridCol w:w="97"/>
        <w:gridCol w:w="135"/>
        <w:gridCol w:w="40"/>
        <w:gridCol w:w="272"/>
        <w:gridCol w:w="272"/>
      </w:tblGrid>
      <w:tr w:rsidR="00C4252B" w:rsidRPr="00C4252B" w:rsidTr="00D73B3D">
        <w:trPr>
          <w:gridAfter w:val="3"/>
          <w:wAfter w:w="584" w:type="dxa"/>
          <w:trHeight w:val="1050"/>
        </w:trPr>
        <w:tc>
          <w:tcPr>
            <w:tcW w:w="2500" w:type="dxa"/>
            <w:gridSpan w:val="3"/>
            <w:tcBorders>
              <w:top w:val="single" w:sz="4" w:space="0" w:color="auto"/>
              <w:left w:val="nil"/>
              <w:bottom w:val="single" w:sz="4" w:space="0" w:color="auto"/>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Area names</w:t>
            </w:r>
          </w:p>
        </w:tc>
        <w:tc>
          <w:tcPr>
            <w:tcW w:w="278" w:type="dxa"/>
            <w:tcBorders>
              <w:top w:val="single" w:sz="4" w:space="0" w:color="auto"/>
              <w:left w:val="nil"/>
              <w:bottom w:val="single" w:sz="4" w:space="0" w:color="auto"/>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single" w:sz="4" w:space="0" w:color="auto"/>
              <w:left w:val="nil"/>
              <w:bottom w:val="single" w:sz="4" w:space="0" w:color="auto"/>
              <w:right w:val="nil"/>
            </w:tcBorders>
            <w:shd w:val="clear" w:color="000000" w:fill="FFFFFF"/>
            <w:vAlign w:val="bottom"/>
            <w:hideMark/>
          </w:tcPr>
          <w:p w:rsidR="00C4252B" w:rsidRPr="00C4252B" w:rsidRDefault="00C4252B" w:rsidP="00C4252B">
            <w:pPr>
              <w:spacing w:before="0" w:after="0" w:line="240" w:lineRule="auto"/>
              <w:jc w:val="right"/>
              <w:rPr>
                <w:color w:val="000000"/>
                <w:sz w:val="22"/>
                <w:szCs w:val="22"/>
                <w:lang w:eastAsia="en-GB"/>
              </w:rPr>
            </w:pPr>
            <w:r w:rsidRPr="00C4252B">
              <w:rPr>
                <w:color w:val="000000"/>
                <w:sz w:val="22"/>
                <w:szCs w:val="22"/>
                <w:lang w:eastAsia="en-GB"/>
              </w:rPr>
              <w:t>Total number of Cashback vouchers paid</w:t>
            </w:r>
          </w:p>
        </w:tc>
        <w:tc>
          <w:tcPr>
            <w:tcW w:w="2126" w:type="dxa"/>
            <w:tcBorders>
              <w:top w:val="single" w:sz="4" w:space="0" w:color="auto"/>
              <w:left w:val="nil"/>
              <w:bottom w:val="single" w:sz="4" w:space="0" w:color="auto"/>
              <w:right w:val="nil"/>
            </w:tcBorders>
            <w:shd w:val="clear" w:color="000000" w:fill="FFFFFF"/>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 xml:space="preserve"> Valid percentage of Cashback vouchers paid</w:t>
            </w:r>
            <w:r w:rsidRPr="00C4252B">
              <w:rPr>
                <w:sz w:val="22"/>
                <w:szCs w:val="22"/>
                <w:vertAlign w:val="superscript"/>
                <w:lang w:eastAsia="en-GB"/>
              </w:rPr>
              <w:t>1,2</w:t>
            </w:r>
          </w:p>
        </w:tc>
        <w:tc>
          <w:tcPr>
            <w:tcW w:w="1701" w:type="dxa"/>
            <w:tcBorders>
              <w:top w:val="single" w:sz="4" w:space="0" w:color="auto"/>
              <w:left w:val="nil"/>
              <w:bottom w:val="single" w:sz="4" w:space="0" w:color="auto"/>
              <w:right w:val="nil"/>
            </w:tcBorders>
            <w:shd w:val="clear" w:color="000000" w:fill="FFFFFF"/>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Households with at least one usual resident</w:t>
            </w:r>
            <w:r w:rsidRPr="00C4252B">
              <w:rPr>
                <w:sz w:val="22"/>
                <w:szCs w:val="22"/>
                <w:vertAlign w:val="superscript"/>
                <w:lang w:eastAsia="en-GB"/>
              </w:rPr>
              <w:t>3</w:t>
            </w:r>
          </w:p>
        </w:tc>
        <w:tc>
          <w:tcPr>
            <w:tcW w:w="1842" w:type="dxa"/>
            <w:gridSpan w:val="5"/>
            <w:tcBorders>
              <w:top w:val="single" w:sz="4" w:space="0" w:color="auto"/>
              <w:left w:val="nil"/>
              <w:bottom w:val="single" w:sz="4" w:space="0" w:color="auto"/>
              <w:right w:val="nil"/>
            </w:tcBorders>
            <w:shd w:val="clear" w:color="000000" w:fill="FFFFFF"/>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Cashback vouchers paid per 10,000 households</w:t>
            </w:r>
          </w:p>
        </w:tc>
      </w:tr>
      <w:tr w:rsidR="00C4252B" w:rsidRPr="00C4252B" w:rsidTr="00D73B3D">
        <w:trPr>
          <w:gridAfter w:val="3"/>
          <w:wAfter w:w="584" w:type="dxa"/>
          <w:trHeight w:val="255"/>
        </w:trPr>
        <w:tc>
          <w:tcPr>
            <w:tcW w:w="834"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b/>
                <w:bCs/>
                <w:sz w:val="22"/>
                <w:szCs w:val="22"/>
                <w:lang w:eastAsia="en-GB"/>
              </w:rPr>
            </w:pPr>
            <w:r w:rsidRPr="00C4252B">
              <w:rPr>
                <w:b/>
                <w:bCs/>
                <w:sz w:val="22"/>
                <w:szCs w:val="22"/>
                <w:lang w:eastAsia="en-GB"/>
              </w:rPr>
              <w:t> </w:t>
            </w:r>
          </w:p>
        </w:tc>
        <w:tc>
          <w:tcPr>
            <w:tcW w:w="833"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833"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r>
      <w:tr w:rsidR="00C4252B"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b/>
                <w:bCs/>
                <w:color w:val="000000"/>
                <w:sz w:val="22"/>
                <w:szCs w:val="22"/>
                <w:lang w:eastAsia="en-GB"/>
              </w:rPr>
            </w:pPr>
            <w:r w:rsidRPr="00C4252B">
              <w:rPr>
                <w:b/>
                <w:bCs/>
                <w:color w:val="000000"/>
                <w:sz w:val="22"/>
                <w:szCs w:val="22"/>
                <w:lang w:eastAsia="en-GB"/>
              </w:rPr>
              <w:t>England and Wales</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EF1C26" w:rsidP="00C4252B">
            <w:pPr>
              <w:spacing w:before="0" w:after="0" w:line="240" w:lineRule="auto"/>
              <w:jc w:val="right"/>
              <w:rPr>
                <w:b/>
                <w:bCs/>
                <w:sz w:val="22"/>
                <w:szCs w:val="22"/>
                <w:lang w:eastAsia="en-GB"/>
              </w:rPr>
            </w:pPr>
            <w:r>
              <w:rPr>
                <w:b/>
                <w:bCs/>
                <w:sz w:val="22"/>
                <w:szCs w:val="22"/>
                <w:lang w:eastAsia="en-GB"/>
              </w:rPr>
              <w:t>14,743</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b/>
                <w:bCs/>
                <w:i/>
                <w:iCs/>
                <w:sz w:val="22"/>
                <w:szCs w:val="22"/>
                <w:lang w:eastAsia="en-GB"/>
              </w:rPr>
            </w:pPr>
            <w:r w:rsidRPr="00C4252B">
              <w:rPr>
                <w:b/>
                <w:bCs/>
                <w:i/>
                <w:iCs/>
                <w:sz w:val="22"/>
                <w:szCs w:val="22"/>
                <w:lang w:eastAsia="en-GB"/>
              </w:rPr>
              <w:t>100</w:t>
            </w:r>
          </w:p>
        </w:tc>
        <w:tc>
          <w:tcPr>
            <w:tcW w:w="1701" w:type="dxa"/>
            <w:tcBorders>
              <w:top w:val="nil"/>
              <w:left w:val="nil"/>
              <w:bottom w:val="nil"/>
              <w:right w:val="nil"/>
            </w:tcBorders>
            <w:shd w:val="clear" w:color="000000" w:fill="FFFFFF"/>
            <w:noWrap/>
            <w:vAlign w:val="bottom"/>
            <w:hideMark/>
          </w:tcPr>
          <w:p w:rsidR="00C4252B" w:rsidRPr="00C4252B" w:rsidRDefault="00C4252B" w:rsidP="00FB488E">
            <w:pPr>
              <w:spacing w:before="0" w:after="0" w:line="240" w:lineRule="auto"/>
              <w:jc w:val="right"/>
              <w:rPr>
                <w:b/>
                <w:bCs/>
                <w:sz w:val="22"/>
                <w:szCs w:val="22"/>
                <w:lang w:eastAsia="en-GB"/>
              </w:rPr>
            </w:pPr>
            <w:r w:rsidRPr="00C4252B">
              <w:rPr>
                <w:b/>
                <w:bCs/>
                <w:sz w:val="22"/>
                <w:szCs w:val="22"/>
                <w:lang w:eastAsia="en-GB"/>
              </w:rPr>
              <w:t>23,</w:t>
            </w:r>
            <w:r w:rsidR="00FB488E">
              <w:rPr>
                <w:b/>
                <w:bCs/>
                <w:sz w:val="22"/>
                <w:szCs w:val="22"/>
                <w:lang w:eastAsia="en-GB"/>
              </w:rPr>
              <w:t>861,472</w:t>
            </w:r>
          </w:p>
        </w:tc>
        <w:tc>
          <w:tcPr>
            <w:tcW w:w="1842" w:type="dxa"/>
            <w:gridSpan w:val="5"/>
            <w:tcBorders>
              <w:top w:val="nil"/>
              <w:left w:val="nil"/>
              <w:bottom w:val="nil"/>
              <w:right w:val="nil"/>
            </w:tcBorders>
            <w:shd w:val="clear" w:color="000000" w:fill="FFFFFF"/>
            <w:noWrap/>
            <w:vAlign w:val="bottom"/>
            <w:hideMark/>
          </w:tcPr>
          <w:p w:rsidR="00C4252B" w:rsidRPr="00C4252B" w:rsidRDefault="00EF1C26" w:rsidP="00C4252B">
            <w:pPr>
              <w:spacing w:before="0" w:after="0" w:line="240" w:lineRule="auto"/>
              <w:jc w:val="right"/>
              <w:rPr>
                <w:b/>
                <w:bCs/>
                <w:sz w:val="22"/>
                <w:szCs w:val="22"/>
                <w:lang w:eastAsia="en-GB"/>
              </w:rPr>
            </w:pPr>
            <w:r>
              <w:rPr>
                <w:b/>
                <w:bCs/>
                <w:sz w:val="22"/>
                <w:szCs w:val="22"/>
                <w:lang w:eastAsia="en-GB"/>
              </w:rPr>
              <w:t>6.2</w:t>
            </w:r>
          </w:p>
        </w:tc>
      </w:tr>
      <w:tr w:rsidR="00C4252B" w:rsidRPr="00C4252B" w:rsidTr="00D73B3D">
        <w:trPr>
          <w:gridAfter w:val="3"/>
          <w:wAfter w:w="584" w:type="dxa"/>
          <w:trHeight w:val="255"/>
        </w:trPr>
        <w:tc>
          <w:tcPr>
            <w:tcW w:w="834"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b/>
                <w:bCs/>
                <w:color w:val="000000"/>
                <w:sz w:val="22"/>
                <w:szCs w:val="22"/>
                <w:lang w:eastAsia="en-GB"/>
              </w:rPr>
            </w:pPr>
            <w:r w:rsidRPr="00C4252B">
              <w:rPr>
                <w:b/>
                <w:bCs/>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b/>
                <w:bCs/>
                <w:color w:val="000000"/>
                <w:sz w:val="22"/>
                <w:szCs w:val="22"/>
                <w:lang w:eastAsia="en-GB"/>
              </w:rPr>
            </w:pPr>
            <w:r w:rsidRPr="00C4252B">
              <w:rPr>
                <w:b/>
                <w:bCs/>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b/>
                <w:bCs/>
                <w:color w:val="000000"/>
                <w:sz w:val="22"/>
                <w:szCs w:val="22"/>
                <w:lang w:eastAsia="en-GB"/>
              </w:rPr>
            </w:pPr>
            <w:r w:rsidRPr="00C4252B">
              <w:rPr>
                <w:b/>
                <w:bCs/>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b/>
                <w:bCs/>
                <w:sz w:val="22"/>
                <w:szCs w:val="22"/>
                <w:lang w:eastAsia="en-GB"/>
              </w:rPr>
            </w:pPr>
            <w:r w:rsidRPr="00C4252B">
              <w:rPr>
                <w:b/>
                <w:bCs/>
                <w:sz w:val="22"/>
                <w:szCs w:val="22"/>
                <w:lang w:eastAsia="en-GB"/>
              </w:rPr>
              <w:t> </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i/>
                <w:iCs/>
                <w:sz w:val="22"/>
                <w:szCs w:val="22"/>
                <w:lang w:eastAsia="en-GB"/>
              </w:rPr>
            </w:pPr>
            <w:r w:rsidRPr="00C4252B">
              <w:rPr>
                <w:i/>
                <w:iCs/>
                <w:sz w:val="22"/>
                <w:szCs w:val="22"/>
                <w:lang w:eastAsia="en-GB"/>
              </w:rPr>
              <w:t> </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r>
      <w:tr w:rsidR="00C4252B"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b/>
                <w:bCs/>
                <w:color w:val="000000"/>
                <w:sz w:val="22"/>
                <w:szCs w:val="22"/>
                <w:lang w:eastAsia="en-GB"/>
              </w:rPr>
            </w:pPr>
            <w:r w:rsidRPr="00C4252B">
              <w:rPr>
                <w:b/>
                <w:bCs/>
                <w:color w:val="000000"/>
                <w:sz w:val="22"/>
                <w:szCs w:val="22"/>
                <w:lang w:eastAsia="en-GB"/>
              </w:rPr>
              <w:t>England</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EF1C26" w:rsidP="00C4252B">
            <w:pPr>
              <w:spacing w:before="0" w:after="0" w:line="240" w:lineRule="auto"/>
              <w:jc w:val="right"/>
              <w:rPr>
                <w:b/>
                <w:bCs/>
                <w:sz w:val="22"/>
                <w:szCs w:val="22"/>
                <w:lang w:eastAsia="en-GB"/>
              </w:rPr>
            </w:pPr>
            <w:r>
              <w:rPr>
                <w:b/>
                <w:bCs/>
                <w:sz w:val="22"/>
                <w:szCs w:val="22"/>
                <w:lang w:eastAsia="en-GB"/>
              </w:rPr>
              <w:t>13,914</w:t>
            </w:r>
          </w:p>
        </w:tc>
        <w:tc>
          <w:tcPr>
            <w:tcW w:w="2126" w:type="dxa"/>
            <w:tcBorders>
              <w:top w:val="nil"/>
              <w:left w:val="nil"/>
              <w:bottom w:val="nil"/>
              <w:right w:val="nil"/>
            </w:tcBorders>
            <w:shd w:val="clear" w:color="000000" w:fill="FFFFFF"/>
            <w:noWrap/>
            <w:vAlign w:val="bottom"/>
            <w:hideMark/>
          </w:tcPr>
          <w:p w:rsidR="00C4252B" w:rsidRPr="00C4252B" w:rsidRDefault="00EF1C26" w:rsidP="00C4252B">
            <w:pPr>
              <w:spacing w:before="0" w:after="0" w:line="240" w:lineRule="auto"/>
              <w:jc w:val="right"/>
              <w:rPr>
                <w:b/>
                <w:bCs/>
                <w:i/>
                <w:iCs/>
                <w:sz w:val="22"/>
                <w:szCs w:val="22"/>
                <w:lang w:eastAsia="en-GB"/>
              </w:rPr>
            </w:pPr>
            <w:r>
              <w:rPr>
                <w:b/>
                <w:bCs/>
                <w:i/>
                <w:iCs/>
                <w:sz w:val="22"/>
                <w:szCs w:val="22"/>
                <w:lang w:eastAsia="en-GB"/>
              </w:rPr>
              <w:t>95.7</w:t>
            </w:r>
          </w:p>
        </w:tc>
        <w:tc>
          <w:tcPr>
            <w:tcW w:w="1701" w:type="dxa"/>
            <w:tcBorders>
              <w:top w:val="nil"/>
              <w:left w:val="nil"/>
              <w:bottom w:val="nil"/>
              <w:right w:val="nil"/>
            </w:tcBorders>
            <w:shd w:val="clear" w:color="000000" w:fill="FFFFFF"/>
            <w:noWrap/>
            <w:vAlign w:val="bottom"/>
            <w:hideMark/>
          </w:tcPr>
          <w:p w:rsidR="00C4252B" w:rsidRPr="00C4252B" w:rsidRDefault="00FB488E" w:rsidP="00C4252B">
            <w:pPr>
              <w:spacing w:before="0" w:after="0" w:line="240" w:lineRule="auto"/>
              <w:jc w:val="right"/>
              <w:rPr>
                <w:b/>
                <w:bCs/>
                <w:sz w:val="22"/>
                <w:szCs w:val="22"/>
                <w:lang w:eastAsia="en-GB"/>
              </w:rPr>
            </w:pPr>
            <w:r>
              <w:rPr>
                <w:b/>
                <w:bCs/>
                <w:sz w:val="22"/>
                <w:szCs w:val="22"/>
                <w:lang w:eastAsia="en-GB"/>
              </w:rPr>
              <w:t>22,542,903</w:t>
            </w:r>
          </w:p>
        </w:tc>
        <w:tc>
          <w:tcPr>
            <w:tcW w:w="1842" w:type="dxa"/>
            <w:gridSpan w:val="5"/>
            <w:tcBorders>
              <w:top w:val="nil"/>
              <w:left w:val="nil"/>
              <w:bottom w:val="nil"/>
              <w:right w:val="nil"/>
            </w:tcBorders>
            <w:shd w:val="clear" w:color="000000" w:fill="FFFFFF"/>
            <w:noWrap/>
            <w:vAlign w:val="bottom"/>
            <w:hideMark/>
          </w:tcPr>
          <w:p w:rsidR="00C4252B" w:rsidRPr="00C4252B" w:rsidRDefault="00EF1C26" w:rsidP="00C4252B">
            <w:pPr>
              <w:spacing w:before="0" w:after="0" w:line="240" w:lineRule="auto"/>
              <w:jc w:val="right"/>
              <w:rPr>
                <w:b/>
                <w:bCs/>
                <w:sz w:val="22"/>
                <w:szCs w:val="22"/>
                <w:lang w:eastAsia="en-GB"/>
              </w:rPr>
            </w:pPr>
            <w:r>
              <w:rPr>
                <w:b/>
                <w:bCs/>
                <w:sz w:val="22"/>
                <w:szCs w:val="22"/>
                <w:lang w:eastAsia="en-GB"/>
              </w:rPr>
              <w:t>6.2</w:t>
            </w:r>
          </w:p>
        </w:tc>
      </w:tr>
      <w:tr w:rsidR="00C4252B" w:rsidRPr="00C4252B" w:rsidTr="00D73B3D">
        <w:trPr>
          <w:gridAfter w:val="3"/>
          <w:wAfter w:w="584" w:type="dxa"/>
          <w:trHeight w:val="255"/>
        </w:trPr>
        <w:tc>
          <w:tcPr>
            <w:tcW w:w="834"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b/>
                <w:bCs/>
                <w:sz w:val="22"/>
                <w:szCs w:val="22"/>
                <w:lang w:eastAsia="en-GB"/>
              </w:rPr>
            </w:pPr>
            <w:r w:rsidRPr="00C4252B">
              <w:rPr>
                <w:b/>
                <w:bCs/>
                <w:sz w:val="22"/>
                <w:szCs w:val="22"/>
                <w:lang w:eastAsia="en-GB"/>
              </w:rPr>
              <w:t> </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i/>
                <w:iCs/>
                <w:sz w:val="22"/>
                <w:szCs w:val="22"/>
                <w:lang w:eastAsia="en-GB"/>
              </w:rPr>
            </w:pPr>
            <w:r w:rsidRPr="00C4252B">
              <w:rPr>
                <w:i/>
                <w:iCs/>
                <w:sz w:val="22"/>
                <w:szCs w:val="22"/>
                <w:lang w:eastAsia="en-GB"/>
              </w:rPr>
              <w:t> </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r>
      <w:tr w:rsidR="00FB488E"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FB488E" w:rsidRPr="00C4252B" w:rsidRDefault="00FB488E" w:rsidP="00C4252B">
            <w:pPr>
              <w:spacing w:before="0" w:after="0" w:line="240" w:lineRule="auto"/>
              <w:rPr>
                <w:color w:val="000000"/>
                <w:sz w:val="22"/>
                <w:szCs w:val="22"/>
                <w:lang w:eastAsia="en-GB"/>
              </w:rPr>
            </w:pPr>
            <w:r w:rsidRPr="00C4252B">
              <w:rPr>
                <w:color w:val="000000"/>
                <w:sz w:val="22"/>
                <w:szCs w:val="22"/>
                <w:lang w:eastAsia="en-GB"/>
              </w:rPr>
              <w:t>North East</w:t>
            </w:r>
          </w:p>
        </w:tc>
        <w:tc>
          <w:tcPr>
            <w:tcW w:w="278"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sz w:val="22"/>
                <w:szCs w:val="22"/>
                <w:lang w:eastAsia="en-GB"/>
              </w:rPr>
            </w:pPr>
            <w:r>
              <w:rPr>
                <w:sz w:val="22"/>
                <w:szCs w:val="22"/>
                <w:lang w:eastAsia="en-GB"/>
              </w:rPr>
              <w:t>45</w:t>
            </w:r>
            <w:r w:rsidRPr="00C4252B">
              <w:rPr>
                <w:sz w:val="22"/>
                <w:szCs w:val="22"/>
                <w:lang w:eastAsia="en-GB"/>
              </w:rPr>
              <w:t>0</w:t>
            </w:r>
          </w:p>
        </w:tc>
        <w:tc>
          <w:tcPr>
            <w:tcW w:w="2126"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i/>
                <w:iCs/>
                <w:sz w:val="22"/>
                <w:szCs w:val="22"/>
                <w:lang w:eastAsia="en-GB"/>
              </w:rPr>
            </w:pPr>
            <w:r w:rsidRPr="00C4252B">
              <w:rPr>
                <w:i/>
                <w:iCs/>
                <w:sz w:val="22"/>
                <w:szCs w:val="22"/>
                <w:lang w:eastAsia="en-GB"/>
              </w:rPr>
              <w:t>3.1</w:t>
            </w:r>
          </w:p>
        </w:tc>
        <w:tc>
          <w:tcPr>
            <w:tcW w:w="1701" w:type="dxa"/>
            <w:tcBorders>
              <w:top w:val="nil"/>
              <w:left w:val="nil"/>
              <w:bottom w:val="nil"/>
              <w:right w:val="nil"/>
            </w:tcBorders>
            <w:shd w:val="clear" w:color="000000" w:fill="FFFFFF"/>
            <w:noWrap/>
            <w:vAlign w:val="bottom"/>
            <w:hideMark/>
          </w:tcPr>
          <w:p w:rsidR="00FB488E" w:rsidRPr="00076B6A" w:rsidRDefault="00FB488E" w:rsidP="00ED695D">
            <w:pPr>
              <w:spacing w:before="0" w:after="0" w:line="240" w:lineRule="auto"/>
              <w:jc w:val="right"/>
              <w:rPr>
                <w:sz w:val="22"/>
                <w:szCs w:val="22"/>
                <w:lang w:eastAsia="en-GB"/>
              </w:rPr>
            </w:pPr>
            <w:r w:rsidRPr="00076B6A">
              <w:rPr>
                <w:sz w:val="22"/>
                <w:szCs w:val="22"/>
                <w:lang w:eastAsia="en-GB"/>
              </w:rPr>
              <w:t>1,</w:t>
            </w:r>
            <w:r>
              <w:rPr>
                <w:sz w:val="22"/>
                <w:szCs w:val="22"/>
                <w:lang w:eastAsia="en-GB"/>
              </w:rPr>
              <w:t>145,559</w:t>
            </w:r>
          </w:p>
        </w:tc>
        <w:tc>
          <w:tcPr>
            <w:tcW w:w="1842" w:type="dxa"/>
            <w:gridSpan w:val="5"/>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sz w:val="22"/>
                <w:szCs w:val="22"/>
                <w:lang w:eastAsia="en-GB"/>
              </w:rPr>
            </w:pPr>
            <w:r>
              <w:rPr>
                <w:sz w:val="22"/>
                <w:szCs w:val="22"/>
                <w:lang w:eastAsia="en-GB"/>
              </w:rPr>
              <w:t>3.9</w:t>
            </w:r>
          </w:p>
        </w:tc>
      </w:tr>
      <w:tr w:rsidR="00FB488E"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FB488E" w:rsidRPr="00C4252B" w:rsidRDefault="00FB488E" w:rsidP="00C4252B">
            <w:pPr>
              <w:spacing w:before="0" w:after="0" w:line="240" w:lineRule="auto"/>
              <w:rPr>
                <w:color w:val="000000"/>
                <w:sz w:val="22"/>
                <w:szCs w:val="22"/>
                <w:lang w:eastAsia="en-GB"/>
              </w:rPr>
            </w:pPr>
            <w:r w:rsidRPr="00C4252B">
              <w:rPr>
                <w:color w:val="000000"/>
                <w:sz w:val="22"/>
                <w:szCs w:val="22"/>
                <w:lang w:eastAsia="en-GB"/>
              </w:rPr>
              <w:t xml:space="preserve">North West </w:t>
            </w:r>
          </w:p>
        </w:tc>
        <w:tc>
          <w:tcPr>
            <w:tcW w:w="278"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rPr>
                <w:b/>
                <w:bCs/>
                <w:sz w:val="22"/>
                <w:szCs w:val="22"/>
                <w:lang w:eastAsia="en-GB"/>
              </w:rPr>
            </w:pPr>
            <w:r w:rsidRPr="00C4252B">
              <w:rPr>
                <w:b/>
                <w:bCs/>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sz w:val="22"/>
                <w:szCs w:val="22"/>
                <w:lang w:eastAsia="en-GB"/>
              </w:rPr>
            </w:pPr>
            <w:r>
              <w:rPr>
                <w:sz w:val="22"/>
                <w:szCs w:val="22"/>
                <w:lang w:eastAsia="en-GB"/>
              </w:rPr>
              <w:t>3,388</w:t>
            </w:r>
          </w:p>
        </w:tc>
        <w:tc>
          <w:tcPr>
            <w:tcW w:w="2126"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i/>
                <w:iCs/>
                <w:sz w:val="22"/>
                <w:szCs w:val="22"/>
                <w:lang w:eastAsia="en-GB"/>
              </w:rPr>
            </w:pPr>
            <w:r>
              <w:rPr>
                <w:i/>
                <w:iCs/>
                <w:sz w:val="22"/>
                <w:szCs w:val="22"/>
                <w:lang w:eastAsia="en-GB"/>
              </w:rPr>
              <w:t>23.3</w:t>
            </w:r>
          </w:p>
        </w:tc>
        <w:tc>
          <w:tcPr>
            <w:tcW w:w="1701" w:type="dxa"/>
            <w:tcBorders>
              <w:top w:val="nil"/>
              <w:left w:val="nil"/>
              <w:bottom w:val="nil"/>
              <w:right w:val="nil"/>
            </w:tcBorders>
            <w:shd w:val="clear" w:color="000000" w:fill="FFFFFF"/>
            <w:noWrap/>
            <w:vAlign w:val="bottom"/>
            <w:hideMark/>
          </w:tcPr>
          <w:p w:rsidR="00FB488E" w:rsidRPr="00076B6A" w:rsidRDefault="00FB488E" w:rsidP="00ED695D">
            <w:pPr>
              <w:spacing w:before="0" w:after="0" w:line="240" w:lineRule="auto"/>
              <w:jc w:val="right"/>
              <w:rPr>
                <w:sz w:val="22"/>
                <w:szCs w:val="22"/>
                <w:lang w:eastAsia="en-GB"/>
              </w:rPr>
            </w:pPr>
            <w:r w:rsidRPr="00076B6A">
              <w:rPr>
                <w:sz w:val="22"/>
                <w:szCs w:val="22"/>
                <w:lang w:eastAsia="en-GB"/>
              </w:rPr>
              <w:t>3,</w:t>
            </w:r>
            <w:r>
              <w:rPr>
                <w:sz w:val="22"/>
                <w:szCs w:val="22"/>
                <w:lang w:eastAsia="en-GB"/>
              </w:rPr>
              <w:t>046,753</w:t>
            </w:r>
          </w:p>
        </w:tc>
        <w:tc>
          <w:tcPr>
            <w:tcW w:w="1842" w:type="dxa"/>
            <w:gridSpan w:val="5"/>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sz w:val="22"/>
                <w:szCs w:val="22"/>
                <w:lang w:eastAsia="en-GB"/>
              </w:rPr>
            </w:pPr>
            <w:r>
              <w:rPr>
                <w:sz w:val="22"/>
                <w:szCs w:val="22"/>
                <w:lang w:eastAsia="en-GB"/>
              </w:rPr>
              <w:t>11.1</w:t>
            </w:r>
          </w:p>
        </w:tc>
      </w:tr>
      <w:tr w:rsidR="00FB488E" w:rsidRPr="00C4252B" w:rsidTr="00D73B3D">
        <w:trPr>
          <w:gridAfter w:val="3"/>
          <w:wAfter w:w="584" w:type="dxa"/>
          <w:trHeight w:val="255"/>
        </w:trPr>
        <w:tc>
          <w:tcPr>
            <w:tcW w:w="3417" w:type="dxa"/>
            <w:gridSpan w:val="5"/>
            <w:tcBorders>
              <w:top w:val="nil"/>
              <w:left w:val="nil"/>
              <w:bottom w:val="nil"/>
              <w:right w:val="nil"/>
            </w:tcBorders>
            <w:shd w:val="clear" w:color="000000" w:fill="FFFFFF"/>
            <w:noWrap/>
            <w:vAlign w:val="center"/>
            <w:hideMark/>
          </w:tcPr>
          <w:p w:rsidR="00FB488E" w:rsidRPr="00C4252B" w:rsidRDefault="00FB488E" w:rsidP="00C4252B">
            <w:pPr>
              <w:spacing w:before="0" w:after="0" w:line="240" w:lineRule="auto"/>
              <w:rPr>
                <w:color w:val="000000"/>
                <w:sz w:val="22"/>
                <w:szCs w:val="22"/>
                <w:lang w:eastAsia="en-GB"/>
              </w:rPr>
            </w:pPr>
            <w:r w:rsidRPr="00C4252B">
              <w:rPr>
                <w:color w:val="000000"/>
                <w:sz w:val="22"/>
                <w:szCs w:val="22"/>
                <w:lang w:eastAsia="en-GB"/>
              </w:rPr>
              <w:t>Yorkshire and The Humber</w:t>
            </w:r>
          </w:p>
        </w:tc>
        <w:tc>
          <w:tcPr>
            <w:tcW w:w="284"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rPr>
                <w:b/>
                <w:bCs/>
                <w:sz w:val="22"/>
                <w:szCs w:val="22"/>
                <w:lang w:eastAsia="en-GB"/>
              </w:rPr>
            </w:pPr>
            <w:r w:rsidRPr="00C4252B">
              <w:rPr>
                <w:b/>
                <w:bCs/>
                <w:sz w:val="22"/>
                <w:szCs w:val="22"/>
                <w:lang w:eastAsia="en-GB"/>
              </w:rPr>
              <w:t> </w:t>
            </w:r>
          </w:p>
        </w:tc>
        <w:tc>
          <w:tcPr>
            <w:tcW w:w="992" w:type="dxa"/>
            <w:tcBorders>
              <w:top w:val="nil"/>
              <w:left w:val="nil"/>
              <w:bottom w:val="nil"/>
              <w:right w:val="nil"/>
            </w:tcBorders>
            <w:shd w:val="clear" w:color="000000" w:fill="FFFFFF"/>
            <w:noWrap/>
            <w:vAlign w:val="bottom"/>
            <w:hideMark/>
          </w:tcPr>
          <w:p w:rsidR="00FB488E" w:rsidRPr="00C4252B" w:rsidRDefault="00FB488E" w:rsidP="00EF1C26">
            <w:pPr>
              <w:spacing w:before="0" w:after="0" w:line="240" w:lineRule="auto"/>
              <w:jc w:val="right"/>
              <w:rPr>
                <w:sz w:val="22"/>
                <w:szCs w:val="22"/>
                <w:lang w:eastAsia="en-GB"/>
              </w:rPr>
            </w:pPr>
            <w:r w:rsidRPr="00C4252B">
              <w:rPr>
                <w:sz w:val="22"/>
                <w:szCs w:val="22"/>
                <w:lang w:eastAsia="en-GB"/>
              </w:rPr>
              <w:t>1,</w:t>
            </w:r>
            <w:r>
              <w:rPr>
                <w:sz w:val="22"/>
                <w:szCs w:val="22"/>
                <w:lang w:eastAsia="en-GB"/>
              </w:rPr>
              <w:t>676</w:t>
            </w:r>
          </w:p>
        </w:tc>
        <w:tc>
          <w:tcPr>
            <w:tcW w:w="2126"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i/>
                <w:iCs/>
                <w:sz w:val="22"/>
                <w:szCs w:val="22"/>
                <w:lang w:eastAsia="en-GB"/>
              </w:rPr>
            </w:pPr>
            <w:r>
              <w:rPr>
                <w:i/>
                <w:iCs/>
                <w:sz w:val="22"/>
                <w:szCs w:val="22"/>
                <w:lang w:eastAsia="en-GB"/>
              </w:rPr>
              <w:t>11.5</w:t>
            </w:r>
          </w:p>
        </w:tc>
        <w:tc>
          <w:tcPr>
            <w:tcW w:w="1701" w:type="dxa"/>
            <w:tcBorders>
              <w:top w:val="nil"/>
              <w:left w:val="nil"/>
              <w:bottom w:val="nil"/>
              <w:right w:val="nil"/>
            </w:tcBorders>
            <w:shd w:val="clear" w:color="000000" w:fill="FFFFFF"/>
            <w:noWrap/>
            <w:vAlign w:val="bottom"/>
            <w:hideMark/>
          </w:tcPr>
          <w:p w:rsidR="00FB488E" w:rsidRPr="00076B6A" w:rsidRDefault="00FB488E" w:rsidP="00ED695D">
            <w:pPr>
              <w:spacing w:before="0" w:after="0" w:line="240" w:lineRule="auto"/>
              <w:jc w:val="right"/>
              <w:rPr>
                <w:sz w:val="22"/>
                <w:szCs w:val="22"/>
                <w:lang w:eastAsia="en-GB"/>
              </w:rPr>
            </w:pPr>
            <w:r w:rsidRPr="00076B6A">
              <w:rPr>
                <w:sz w:val="22"/>
                <w:szCs w:val="22"/>
                <w:lang w:eastAsia="en-GB"/>
              </w:rPr>
              <w:t>2,</w:t>
            </w:r>
            <w:r>
              <w:rPr>
                <w:sz w:val="22"/>
                <w:szCs w:val="22"/>
                <w:lang w:eastAsia="en-GB"/>
              </w:rPr>
              <w:t>262,423</w:t>
            </w:r>
          </w:p>
        </w:tc>
        <w:tc>
          <w:tcPr>
            <w:tcW w:w="1842" w:type="dxa"/>
            <w:gridSpan w:val="5"/>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sz w:val="22"/>
                <w:szCs w:val="22"/>
                <w:lang w:eastAsia="en-GB"/>
              </w:rPr>
            </w:pPr>
            <w:r>
              <w:rPr>
                <w:sz w:val="22"/>
                <w:szCs w:val="22"/>
                <w:lang w:eastAsia="en-GB"/>
              </w:rPr>
              <w:t>7.4</w:t>
            </w:r>
          </w:p>
        </w:tc>
      </w:tr>
      <w:tr w:rsidR="00FB488E"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FB488E" w:rsidRPr="00C4252B" w:rsidRDefault="00FB488E" w:rsidP="00C4252B">
            <w:pPr>
              <w:spacing w:before="0" w:after="0" w:line="240" w:lineRule="auto"/>
              <w:rPr>
                <w:color w:val="000000"/>
                <w:sz w:val="22"/>
                <w:szCs w:val="22"/>
                <w:lang w:eastAsia="en-GB"/>
              </w:rPr>
            </w:pPr>
            <w:r w:rsidRPr="00C4252B">
              <w:rPr>
                <w:color w:val="000000"/>
                <w:sz w:val="22"/>
                <w:szCs w:val="22"/>
                <w:lang w:eastAsia="en-GB"/>
              </w:rPr>
              <w:t>East Midlands</w:t>
            </w:r>
          </w:p>
        </w:tc>
        <w:tc>
          <w:tcPr>
            <w:tcW w:w="278"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FB488E" w:rsidRPr="00C4252B" w:rsidRDefault="00FB488E" w:rsidP="00EF1C26">
            <w:pPr>
              <w:spacing w:before="0" w:after="0" w:line="240" w:lineRule="auto"/>
              <w:jc w:val="right"/>
              <w:rPr>
                <w:sz w:val="22"/>
                <w:szCs w:val="22"/>
                <w:lang w:eastAsia="en-GB"/>
              </w:rPr>
            </w:pPr>
            <w:r w:rsidRPr="00C4252B">
              <w:rPr>
                <w:sz w:val="22"/>
                <w:szCs w:val="22"/>
                <w:lang w:eastAsia="en-GB"/>
              </w:rPr>
              <w:t>1,</w:t>
            </w:r>
            <w:r>
              <w:rPr>
                <w:sz w:val="22"/>
                <w:szCs w:val="22"/>
                <w:lang w:eastAsia="en-GB"/>
              </w:rPr>
              <w:t>892</w:t>
            </w:r>
          </w:p>
        </w:tc>
        <w:tc>
          <w:tcPr>
            <w:tcW w:w="2126"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i/>
                <w:iCs/>
                <w:sz w:val="22"/>
                <w:szCs w:val="22"/>
                <w:lang w:eastAsia="en-GB"/>
              </w:rPr>
            </w:pPr>
            <w:r>
              <w:rPr>
                <w:i/>
                <w:iCs/>
                <w:sz w:val="22"/>
                <w:szCs w:val="22"/>
                <w:lang w:eastAsia="en-GB"/>
              </w:rPr>
              <w:t>13.0</w:t>
            </w:r>
          </w:p>
        </w:tc>
        <w:tc>
          <w:tcPr>
            <w:tcW w:w="1701" w:type="dxa"/>
            <w:tcBorders>
              <w:top w:val="nil"/>
              <w:left w:val="nil"/>
              <w:bottom w:val="nil"/>
              <w:right w:val="nil"/>
            </w:tcBorders>
            <w:shd w:val="clear" w:color="000000" w:fill="FFFFFF"/>
            <w:noWrap/>
            <w:vAlign w:val="bottom"/>
            <w:hideMark/>
          </w:tcPr>
          <w:p w:rsidR="00FB488E" w:rsidRPr="00076B6A" w:rsidRDefault="00FB488E" w:rsidP="00ED695D">
            <w:pPr>
              <w:spacing w:before="0" w:after="0" w:line="240" w:lineRule="auto"/>
              <w:jc w:val="right"/>
              <w:rPr>
                <w:sz w:val="22"/>
                <w:szCs w:val="22"/>
                <w:lang w:eastAsia="en-GB"/>
              </w:rPr>
            </w:pPr>
            <w:r w:rsidRPr="00076B6A">
              <w:rPr>
                <w:sz w:val="22"/>
                <w:szCs w:val="22"/>
                <w:lang w:eastAsia="en-GB"/>
              </w:rPr>
              <w:t>1,</w:t>
            </w:r>
            <w:r>
              <w:rPr>
                <w:sz w:val="22"/>
                <w:szCs w:val="22"/>
                <w:lang w:eastAsia="en-GB"/>
              </w:rPr>
              <w:t>935,710</w:t>
            </w:r>
          </w:p>
        </w:tc>
        <w:tc>
          <w:tcPr>
            <w:tcW w:w="1842" w:type="dxa"/>
            <w:gridSpan w:val="5"/>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sz w:val="22"/>
                <w:szCs w:val="22"/>
                <w:lang w:eastAsia="en-GB"/>
              </w:rPr>
            </w:pPr>
            <w:r>
              <w:rPr>
                <w:sz w:val="22"/>
                <w:szCs w:val="22"/>
                <w:lang w:eastAsia="en-GB"/>
              </w:rPr>
              <w:t>9.8</w:t>
            </w:r>
          </w:p>
        </w:tc>
      </w:tr>
      <w:tr w:rsidR="00FB488E"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FB488E" w:rsidRPr="00C4252B" w:rsidRDefault="00FB488E" w:rsidP="00C4252B">
            <w:pPr>
              <w:spacing w:before="0" w:after="0" w:line="240" w:lineRule="auto"/>
              <w:rPr>
                <w:color w:val="000000"/>
                <w:sz w:val="22"/>
                <w:szCs w:val="22"/>
                <w:lang w:eastAsia="en-GB"/>
              </w:rPr>
            </w:pPr>
            <w:r w:rsidRPr="00C4252B">
              <w:rPr>
                <w:color w:val="000000"/>
                <w:sz w:val="22"/>
                <w:szCs w:val="22"/>
                <w:lang w:eastAsia="en-GB"/>
              </w:rPr>
              <w:t>West Midlands</w:t>
            </w:r>
          </w:p>
        </w:tc>
        <w:tc>
          <w:tcPr>
            <w:tcW w:w="278"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rPr>
                <w:b/>
                <w:bCs/>
                <w:sz w:val="22"/>
                <w:szCs w:val="22"/>
                <w:lang w:eastAsia="en-GB"/>
              </w:rPr>
            </w:pPr>
            <w:r w:rsidRPr="00C4252B">
              <w:rPr>
                <w:b/>
                <w:bCs/>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sz w:val="22"/>
                <w:szCs w:val="22"/>
                <w:lang w:eastAsia="en-GB"/>
              </w:rPr>
            </w:pPr>
            <w:r>
              <w:rPr>
                <w:sz w:val="22"/>
                <w:szCs w:val="22"/>
                <w:lang w:eastAsia="en-GB"/>
              </w:rPr>
              <w:t>1,291</w:t>
            </w:r>
          </w:p>
        </w:tc>
        <w:tc>
          <w:tcPr>
            <w:tcW w:w="2126"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i/>
                <w:iCs/>
                <w:sz w:val="22"/>
                <w:szCs w:val="22"/>
                <w:lang w:eastAsia="en-GB"/>
              </w:rPr>
            </w:pPr>
            <w:r>
              <w:rPr>
                <w:i/>
                <w:iCs/>
                <w:sz w:val="22"/>
                <w:szCs w:val="22"/>
                <w:lang w:eastAsia="en-GB"/>
              </w:rPr>
              <w:t>8.9</w:t>
            </w:r>
          </w:p>
        </w:tc>
        <w:tc>
          <w:tcPr>
            <w:tcW w:w="1701" w:type="dxa"/>
            <w:tcBorders>
              <w:top w:val="nil"/>
              <w:left w:val="nil"/>
              <w:bottom w:val="nil"/>
              <w:right w:val="nil"/>
            </w:tcBorders>
            <w:shd w:val="clear" w:color="000000" w:fill="FFFFFF"/>
            <w:noWrap/>
            <w:vAlign w:val="bottom"/>
            <w:hideMark/>
          </w:tcPr>
          <w:p w:rsidR="00FB488E" w:rsidRPr="00076B6A" w:rsidRDefault="00FB488E" w:rsidP="00ED695D">
            <w:pPr>
              <w:spacing w:before="0" w:after="0" w:line="240" w:lineRule="auto"/>
              <w:jc w:val="right"/>
              <w:rPr>
                <w:sz w:val="22"/>
                <w:szCs w:val="22"/>
                <w:lang w:eastAsia="en-GB"/>
              </w:rPr>
            </w:pPr>
            <w:r w:rsidRPr="00076B6A">
              <w:rPr>
                <w:sz w:val="22"/>
                <w:szCs w:val="22"/>
                <w:lang w:eastAsia="en-GB"/>
              </w:rPr>
              <w:t>2,</w:t>
            </w:r>
            <w:r>
              <w:rPr>
                <w:sz w:val="22"/>
                <w:szCs w:val="22"/>
                <w:lang w:eastAsia="en-GB"/>
              </w:rPr>
              <w:t>332,802</w:t>
            </w:r>
          </w:p>
        </w:tc>
        <w:tc>
          <w:tcPr>
            <w:tcW w:w="1842" w:type="dxa"/>
            <w:gridSpan w:val="5"/>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sz w:val="22"/>
                <w:szCs w:val="22"/>
                <w:lang w:eastAsia="en-GB"/>
              </w:rPr>
            </w:pPr>
            <w:r>
              <w:rPr>
                <w:sz w:val="22"/>
                <w:szCs w:val="22"/>
                <w:lang w:eastAsia="en-GB"/>
              </w:rPr>
              <w:t>5.5</w:t>
            </w:r>
          </w:p>
        </w:tc>
      </w:tr>
      <w:tr w:rsidR="00FB488E" w:rsidRPr="00C4252B" w:rsidTr="00D73B3D">
        <w:trPr>
          <w:gridAfter w:val="3"/>
          <w:wAfter w:w="584" w:type="dxa"/>
          <w:trHeight w:val="255"/>
        </w:trPr>
        <w:tc>
          <w:tcPr>
            <w:tcW w:w="1667" w:type="dxa"/>
            <w:gridSpan w:val="2"/>
            <w:tcBorders>
              <w:top w:val="nil"/>
              <w:left w:val="nil"/>
              <w:bottom w:val="nil"/>
              <w:right w:val="nil"/>
            </w:tcBorders>
            <w:shd w:val="clear" w:color="000000" w:fill="FFFFFF"/>
            <w:noWrap/>
            <w:vAlign w:val="center"/>
            <w:hideMark/>
          </w:tcPr>
          <w:p w:rsidR="00FB488E" w:rsidRPr="00C4252B" w:rsidRDefault="00FB488E" w:rsidP="00C4252B">
            <w:pPr>
              <w:spacing w:before="0" w:after="0" w:line="240" w:lineRule="auto"/>
              <w:rPr>
                <w:color w:val="000000"/>
                <w:sz w:val="22"/>
                <w:szCs w:val="22"/>
                <w:lang w:eastAsia="en-GB"/>
              </w:rPr>
            </w:pPr>
            <w:r w:rsidRPr="00C4252B">
              <w:rPr>
                <w:color w:val="000000"/>
                <w:sz w:val="22"/>
                <w:szCs w:val="22"/>
                <w:lang w:eastAsia="en-GB"/>
              </w:rPr>
              <w:t>East</w:t>
            </w:r>
          </w:p>
        </w:tc>
        <w:tc>
          <w:tcPr>
            <w:tcW w:w="833" w:type="dxa"/>
            <w:tcBorders>
              <w:top w:val="nil"/>
              <w:left w:val="nil"/>
              <w:bottom w:val="nil"/>
              <w:right w:val="nil"/>
            </w:tcBorders>
            <w:shd w:val="clear" w:color="000000" w:fill="FFFFFF"/>
            <w:noWrap/>
            <w:vAlign w:val="center"/>
            <w:hideMark/>
          </w:tcPr>
          <w:p w:rsidR="00FB488E" w:rsidRPr="00C4252B" w:rsidRDefault="00FB488E" w:rsidP="00C4252B">
            <w:pPr>
              <w:spacing w:before="0" w:after="0" w:line="240" w:lineRule="auto"/>
              <w:rPr>
                <w:color w:val="000000"/>
                <w:sz w:val="22"/>
                <w:szCs w:val="22"/>
                <w:lang w:eastAsia="en-GB"/>
              </w:rPr>
            </w:pPr>
            <w:r w:rsidRPr="00C4252B">
              <w:rPr>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rPr>
                <w:b/>
                <w:bCs/>
                <w:sz w:val="22"/>
                <w:szCs w:val="22"/>
                <w:lang w:eastAsia="en-GB"/>
              </w:rPr>
            </w:pPr>
            <w:r w:rsidRPr="00C4252B">
              <w:rPr>
                <w:b/>
                <w:bCs/>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sz w:val="22"/>
                <w:szCs w:val="22"/>
                <w:lang w:eastAsia="en-GB"/>
              </w:rPr>
            </w:pPr>
            <w:r>
              <w:rPr>
                <w:sz w:val="22"/>
                <w:szCs w:val="22"/>
                <w:lang w:eastAsia="en-GB"/>
              </w:rPr>
              <w:t>939</w:t>
            </w:r>
          </w:p>
        </w:tc>
        <w:tc>
          <w:tcPr>
            <w:tcW w:w="2126" w:type="dxa"/>
            <w:tcBorders>
              <w:top w:val="nil"/>
              <w:left w:val="nil"/>
              <w:bottom w:val="nil"/>
              <w:right w:val="nil"/>
            </w:tcBorders>
            <w:shd w:val="clear" w:color="000000" w:fill="FFFFFF"/>
            <w:noWrap/>
            <w:vAlign w:val="bottom"/>
            <w:hideMark/>
          </w:tcPr>
          <w:p w:rsidR="00FB488E" w:rsidRPr="00076B6A" w:rsidRDefault="00FB488E" w:rsidP="00ED695D">
            <w:pPr>
              <w:spacing w:before="0" w:after="0" w:line="240" w:lineRule="auto"/>
              <w:jc w:val="right"/>
              <w:rPr>
                <w:sz w:val="22"/>
                <w:szCs w:val="22"/>
                <w:lang w:eastAsia="en-GB"/>
              </w:rPr>
            </w:pPr>
            <w:r>
              <w:rPr>
                <w:sz w:val="22"/>
                <w:szCs w:val="22"/>
                <w:lang w:eastAsia="en-GB"/>
              </w:rPr>
              <w:t>6.5</w:t>
            </w:r>
          </w:p>
        </w:tc>
        <w:tc>
          <w:tcPr>
            <w:tcW w:w="1701" w:type="dxa"/>
            <w:tcBorders>
              <w:top w:val="nil"/>
              <w:left w:val="nil"/>
              <w:bottom w:val="nil"/>
              <w:right w:val="nil"/>
            </w:tcBorders>
            <w:shd w:val="clear" w:color="000000" w:fill="FFFFFF"/>
            <w:noWrap/>
            <w:vAlign w:val="bottom"/>
            <w:hideMark/>
          </w:tcPr>
          <w:p w:rsidR="00FB488E" w:rsidRPr="00C4252B" w:rsidRDefault="00FB488E" w:rsidP="00FB488E">
            <w:pPr>
              <w:spacing w:before="0" w:after="0" w:line="240" w:lineRule="auto"/>
              <w:jc w:val="right"/>
              <w:rPr>
                <w:sz w:val="22"/>
                <w:szCs w:val="22"/>
                <w:lang w:eastAsia="en-GB"/>
              </w:rPr>
            </w:pPr>
            <w:r w:rsidRPr="00C4252B">
              <w:rPr>
                <w:sz w:val="22"/>
                <w:szCs w:val="22"/>
                <w:lang w:eastAsia="en-GB"/>
              </w:rPr>
              <w:t>2,</w:t>
            </w:r>
            <w:r>
              <w:rPr>
                <w:sz w:val="22"/>
                <w:szCs w:val="22"/>
                <w:lang w:eastAsia="en-GB"/>
              </w:rPr>
              <w:t>484,620</w:t>
            </w:r>
          </w:p>
        </w:tc>
        <w:tc>
          <w:tcPr>
            <w:tcW w:w="1842" w:type="dxa"/>
            <w:gridSpan w:val="5"/>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sz w:val="22"/>
                <w:szCs w:val="22"/>
                <w:lang w:eastAsia="en-GB"/>
              </w:rPr>
            </w:pPr>
            <w:r>
              <w:rPr>
                <w:sz w:val="22"/>
                <w:szCs w:val="22"/>
                <w:lang w:eastAsia="en-GB"/>
              </w:rPr>
              <w:t>3.8</w:t>
            </w:r>
          </w:p>
        </w:tc>
      </w:tr>
      <w:tr w:rsidR="00FB488E"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FB488E" w:rsidRPr="00C4252B" w:rsidRDefault="00FB488E" w:rsidP="00C4252B">
            <w:pPr>
              <w:spacing w:before="0" w:after="0" w:line="240" w:lineRule="auto"/>
              <w:rPr>
                <w:color w:val="000000"/>
                <w:sz w:val="22"/>
                <w:szCs w:val="22"/>
                <w:lang w:eastAsia="en-GB"/>
              </w:rPr>
            </w:pPr>
            <w:r w:rsidRPr="00C4252B">
              <w:rPr>
                <w:color w:val="000000"/>
                <w:sz w:val="22"/>
                <w:szCs w:val="22"/>
                <w:lang w:eastAsia="en-GB"/>
              </w:rPr>
              <w:t>London</w:t>
            </w:r>
          </w:p>
        </w:tc>
        <w:tc>
          <w:tcPr>
            <w:tcW w:w="278"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sz w:val="22"/>
                <w:szCs w:val="22"/>
                <w:lang w:eastAsia="en-GB"/>
              </w:rPr>
            </w:pPr>
            <w:r>
              <w:rPr>
                <w:sz w:val="22"/>
                <w:szCs w:val="22"/>
                <w:lang w:eastAsia="en-GB"/>
              </w:rPr>
              <w:t>999</w:t>
            </w:r>
          </w:p>
        </w:tc>
        <w:tc>
          <w:tcPr>
            <w:tcW w:w="2126"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i/>
                <w:iCs/>
                <w:sz w:val="22"/>
                <w:szCs w:val="22"/>
                <w:lang w:eastAsia="en-GB"/>
              </w:rPr>
            </w:pPr>
            <w:r>
              <w:rPr>
                <w:i/>
                <w:iCs/>
                <w:sz w:val="22"/>
                <w:szCs w:val="22"/>
                <w:lang w:eastAsia="en-GB"/>
              </w:rPr>
              <w:t>6.9</w:t>
            </w:r>
          </w:p>
        </w:tc>
        <w:tc>
          <w:tcPr>
            <w:tcW w:w="1701" w:type="dxa"/>
            <w:tcBorders>
              <w:top w:val="nil"/>
              <w:left w:val="nil"/>
              <w:bottom w:val="nil"/>
              <w:right w:val="nil"/>
            </w:tcBorders>
            <w:shd w:val="clear" w:color="000000" w:fill="FFFFFF"/>
            <w:noWrap/>
            <w:vAlign w:val="bottom"/>
            <w:hideMark/>
          </w:tcPr>
          <w:p w:rsidR="00FB488E" w:rsidRPr="00076B6A" w:rsidRDefault="00FB488E" w:rsidP="00ED695D">
            <w:pPr>
              <w:spacing w:before="0" w:after="0" w:line="240" w:lineRule="auto"/>
              <w:jc w:val="right"/>
              <w:rPr>
                <w:sz w:val="22"/>
                <w:szCs w:val="22"/>
                <w:lang w:eastAsia="en-GB"/>
              </w:rPr>
            </w:pPr>
            <w:r w:rsidRPr="00076B6A">
              <w:rPr>
                <w:sz w:val="22"/>
                <w:szCs w:val="22"/>
                <w:lang w:eastAsia="en-GB"/>
              </w:rPr>
              <w:t>3,</w:t>
            </w:r>
            <w:r>
              <w:rPr>
                <w:sz w:val="22"/>
                <w:szCs w:val="22"/>
                <w:lang w:eastAsia="en-GB"/>
              </w:rPr>
              <w:t>383,918</w:t>
            </w:r>
          </w:p>
        </w:tc>
        <w:tc>
          <w:tcPr>
            <w:tcW w:w="1842" w:type="dxa"/>
            <w:gridSpan w:val="5"/>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sz w:val="22"/>
                <w:szCs w:val="22"/>
                <w:lang w:eastAsia="en-GB"/>
              </w:rPr>
            </w:pPr>
            <w:r>
              <w:rPr>
                <w:sz w:val="22"/>
                <w:szCs w:val="22"/>
                <w:lang w:eastAsia="en-GB"/>
              </w:rPr>
              <w:t>3.0</w:t>
            </w:r>
          </w:p>
        </w:tc>
      </w:tr>
      <w:tr w:rsidR="00FB488E"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FB488E" w:rsidRPr="00C4252B" w:rsidRDefault="00FB488E" w:rsidP="00C4252B">
            <w:pPr>
              <w:spacing w:before="0" w:after="0" w:line="240" w:lineRule="auto"/>
              <w:rPr>
                <w:color w:val="000000"/>
                <w:sz w:val="22"/>
                <w:szCs w:val="22"/>
                <w:lang w:eastAsia="en-GB"/>
              </w:rPr>
            </w:pPr>
            <w:r w:rsidRPr="00C4252B">
              <w:rPr>
                <w:color w:val="000000"/>
                <w:sz w:val="22"/>
                <w:szCs w:val="22"/>
                <w:lang w:eastAsia="en-GB"/>
              </w:rPr>
              <w:t>South East</w:t>
            </w:r>
          </w:p>
        </w:tc>
        <w:tc>
          <w:tcPr>
            <w:tcW w:w="278"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rPr>
                <w:b/>
                <w:bCs/>
                <w:sz w:val="22"/>
                <w:szCs w:val="22"/>
                <w:lang w:eastAsia="en-GB"/>
              </w:rPr>
            </w:pPr>
            <w:r w:rsidRPr="00C4252B">
              <w:rPr>
                <w:b/>
                <w:bCs/>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sz w:val="22"/>
                <w:szCs w:val="22"/>
                <w:lang w:eastAsia="en-GB"/>
              </w:rPr>
            </w:pPr>
            <w:r>
              <w:rPr>
                <w:sz w:val="22"/>
                <w:szCs w:val="22"/>
                <w:lang w:eastAsia="en-GB"/>
              </w:rPr>
              <w:t>1,884</w:t>
            </w:r>
          </w:p>
        </w:tc>
        <w:tc>
          <w:tcPr>
            <w:tcW w:w="2126"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i/>
                <w:iCs/>
                <w:sz w:val="22"/>
                <w:szCs w:val="22"/>
                <w:lang w:eastAsia="en-GB"/>
              </w:rPr>
            </w:pPr>
            <w:r>
              <w:rPr>
                <w:i/>
                <w:iCs/>
                <w:sz w:val="22"/>
                <w:szCs w:val="22"/>
                <w:lang w:eastAsia="en-GB"/>
              </w:rPr>
              <w:t>13.0</w:t>
            </w:r>
          </w:p>
        </w:tc>
        <w:tc>
          <w:tcPr>
            <w:tcW w:w="1701" w:type="dxa"/>
            <w:tcBorders>
              <w:top w:val="nil"/>
              <w:left w:val="nil"/>
              <w:bottom w:val="nil"/>
              <w:right w:val="nil"/>
            </w:tcBorders>
            <w:shd w:val="clear" w:color="000000" w:fill="FFFFFF"/>
            <w:noWrap/>
            <w:vAlign w:val="bottom"/>
            <w:hideMark/>
          </w:tcPr>
          <w:p w:rsidR="00FB488E" w:rsidRPr="00076B6A" w:rsidRDefault="00FB488E" w:rsidP="00ED695D">
            <w:pPr>
              <w:spacing w:before="0" w:after="0" w:line="240" w:lineRule="auto"/>
              <w:jc w:val="right"/>
              <w:rPr>
                <w:sz w:val="22"/>
                <w:szCs w:val="22"/>
                <w:lang w:eastAsia="en-GB"/>
              </w:rPr>
            </w:pPr>
            <w:r w:rsidRPr="00076B6A">
              <w:rPr>
                <w:sz w:val="22"/>
                <w:szCs w:val="22"/>
                <w:lang w:eastAsia="en-GB"/>
              </w:rPr>
              <w:t>3,</w:t>
            </w:r>
            <w:r>
              <w:rPr>
                <w:sz w:val="22"/>
                <w:szCs w:val="22"/>
                <w:lang w:eastAsia="en-GB"/>
              </w:rPr>
              <w:t>638,436</w:t>
            </w:r>
          </w:p>
        </w:tc>
        <w:tc>
          <w:tcPr>
            <w:tcW w:w="1842" w:type="dxa"/>
            <w:gridSpan w:val="5"/>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sz w:val="22"/>
                <w:szCs w:val="22"/>
                <w:lang w:eastAsia="en-GB"/>
              </w:rPr>
            </w:pPr>
            <w:r>
              <w:rPr>
                <w:sz w:val="22"/>
                <w:szCs w:val="22"/>
                <w:lang w:eastAsia="en-GB"/>
              </w:rPr>
              <w:t>5.2</w:t>
            </w:r>
          </w:p>
        </w:tc>
      </w:tr>
      <w:tr w:rsidR="00FB488E"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FB488E" w:rsidRPr="00C4252B" w:rsidRDefault="00FB488E" w:rsidP="00C4252B">
            <w:pPr>
              <w:spacing w:before="0" w:after="0" w:line="240" w:lineRule="auto"/>
              <w:rPr>
                <w:color w:val="000000"/>
                <w:sz w:val="22"/>
                <w:szCs w:val="22"/>
                <w:lang w:eastAsia="en-GB"/>
              </w:rPr>
            </w:pPr>
            <w:r w:rsidRPr="00C4252B">
              <w:rPr>
                <w:color w:val="000000"/>
                <w:sz w:val="22"/>
                <w:szCs w:val="22"/>
                <w:lang w:eastAsia="en-GB"/>
              </w:rPr>
              <w:t>South West</w:t>
            </w:r>
          </w:p>
        </w:tc>
        <w:tc>
          <w:tcPr>
            <w:tcW w:w="278"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rPr>
                <w:b/>
                <w:bCs/>
                <w:sz w:val="22"/>
                <w:szCs w:val="22"/>
                <w:lang w:eastAsia="en-GB"/>
              </w:rPr>
            </w:pPr>
            <w:r w:rsidRPr="00C4252B">
              <w:rPr>
                <w:b/>
                <w:bCs/>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sz w:val="22"/>
                <w:szCs w:val="22"/>
                <w:lang w:eastAsia="en-GB"/>
              </w:rPr>
            </w:pPr>
            <w:r>
              <w:rPr>
                <w:sz w:val="22"/>
                <w:szCs w:val="22"/>
                <w:lang w:eastAsia="en-GB"/>
              </w:rPr>
              <w:t>1,395</w:t>
            </w:r>
          </w:p>
        </w:tc>
        <w:tc>
          <w:tcPr>
            <w:tcW w:w="2126" w:type="dxa"/>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i/>
                <w:iCs/>
                <w:sz w:val="22"/>
                <w:szCs w:val="22"/>
                <w:lang w:eastAsia="en-GB"/>
              </w:rPr>
            </w:pPr>
            <w:r>
              <w:rPr>
                <w:i/>
                <w:iCs/>
                <w:sz w:val="22"/>
                <w:szCs w:val="22"/>
                <w:lang w:eastAsia="en-GB"/>
              </w:rPr>
              <w:t>9.6</w:t>
            </w:r>
          </w:p>
        </w:tc>
        <w:tc>
          <w:tcPr>
            <w:tcW w:w="1701" w:type="dxa"/>
            <w:tcBorders>
              <w:top w:val="nil"/>
              <w:left w:val="nil"/>
              <w:bottom w:val="nil"/>
              <w:right w:val="nil"/>
            </w:tcBorders>
            <w:shd w:val="clear" w:color="000000" w:fill="FFFFFF"/>
            <w:noWrap/>
            <w:vAlign w:val="bottom"/>
            <w:hideMark/>
          </w:tcPr>
          <w:p w:rsidR="00FB488E" w:rsidRPr="00076B6A" w:rsidRDefault="00FB488E" w:rsidP="00ED695D">
            <w:pPr>
              <w:spacing w:before="0" w:after="0" w:line="240" w:lineRule="auto"/>
              <w:jc w:val="right"/>
              <w:rPr>
                <w:sz w:val="22"/>
                <w:szCs w:val="22"/>
                <w:lang w:eastAsia="en-GB"/>
              </w:rPr>
            </w:pPr>
            <w:r w:rsidRPr="00076B6A">
              <w:rPr>
                <w:sz w:val="22"/>
                <w:szCs w:val="22"/>
                <w:lang w:eastAsia="en-GB"/>
              </w:rPr>
              <w:t>2,</w:t>
            </w:r>
            <w:r>
              <w:rPr>
                <w:sz w:val="22"/>
                <w:szCs w:val="22"/>
                <w:lang w:eastAsia="en-GB"/>
              </w:rPr>
              <w:t>312,682</w:t>
            </w:r>
          </w:p>
        </w:tc>
        <w:tc>
          <w:tcPr>
            <w:tcW w:w="1842" w:type="dxa"/>
            <w:gridSpan w:val="5"/>
            <w:tcBorders>
              <w:top w:val="nil"/>
              <w:left w:val="nil"/>
              <w:bottom w:val="nil"/>
              <w:right w:val="nil"/>
            </w:tcBorders>
            <w:shd w:val="clear" w:color="000000" w:fill="FFFFFF"/>
            <w:noWrap/>
            <w:vAlign w:val="bottom"/>
            <w:hideMark/>
          </w:tcPr>
          <w:p w:rsidR="00FB488E" w:rsidRPr="00C4252B" w:rsidRDefault="00FB488E" w:rsidP="00C4252B">
            <w:pPr>
              <w:spacing w:before="0" w:after="0" w:line="240" w:lineRule="auto"/>
              <w:jc w:val="right"/>
              <w:rPr>
                <w:sz w:val="22"/>
                <w:szCs w:val="22"/>
                <w:lang w:eastAsia="en-GB"/>
              </w:rPr>
            </w:pPr>
            <w:r>
              <w:rPr>
                <w:sz w:val="22"/>
                <w:szCs w:val="22"/>
                <w:lang w:eastAsia="en-GB"/>
              </w:rPr>
              <w:t>6.0</w:t>
            </w:r>
          </w:p>
        </w:tc>
      </w:tr>
      <w:tr w:rsidR="00C4252B" w:rsidRPr="00C4252B" w:rsidTr="00D73B3D">
        <w:trPr>
          <w:gridAfter w:val="3"/>
          <w:wAfter w:w="584" w:type="dxa"/>
          <w:trHeight w:val="255"/>
        </w:trPr>
        <w:tc>
          <w:tcPr>
            <w:tcW w:w="834"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b/>
                <w:bCs/>
                <w:sz w:val="22"/>
                <w:szCs w:val="22"/>
                <w:lang w:eastAsia="en-GB"/>
              </w:rPr>
            </w:pPr>
            <w:r w:rsidRPr="00C4252B">
              <w:rPr>
                <w:b/>
                <w:bCs/>
                <w:sz w:val="22"/>
                <w:szCs w:val="22"/>
                <w:lang w:eastAsia="en-GB"/>
              </w:rPr>
              <w:t> </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i/>
                <w:iCs/>
                <w:sz w:val="22"/>
                <w:szCs w:val="22"/>
                <w:lang w:eastAsia="en-GB"/>
              </w:rPr>
            </w:pPr>
            <w:r w:rsidRPr="00C4252B">
              <w:rPr>
                <w:i/>
                <w:iCs/>
                <w:sz w:val="22"/>
                <w:szCs w:val="22"/>
                <w:lang w:eastAsia="en-GB"/>
              </w:rPr>
              <w:t> </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r>
      <w:tr w:rsidR="00C4252B" w:rsidRPr="00C4252B" w:rsidTr="00D73B3D">
        <w:trPr>
          <w:gridAfter w:val="3"/>
          <w:wAfter w:w="584" w:type="dxa"/>
          <w:trHeight w:val="255"/>
        </w:trPr>
        <w:tc>
          <w:tcPr>
            <w:tcW w:w="1667" w:type="dxa"/>
            <w:gridSpan w:val="2"/>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b/>
                <w:bCs/>
                <w:color w:val="000000"/>
                <w:sz w:val="22"/>
                <w:szCs w:val="22"/>
                <w:lang w:eastAsia="en-GB"/>
              </w:rPr>
            </w:pPr>
            <w:r w:rsidRPr="00C4252B">
              <w:rPr>
                <w:b/>
                <w:bCs/>
                <w:color w:val="000000"/>
                <w:sz w:val="22"/>
                <w:szCs w:val="22"/>
                <w:lang w:eastAsia="en-GB"/>
              </w:rPr>
              <w:t>Wales</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b/>
                <w:bCs/>
                <w:color w:val="000000"/>
                <w:sz w:val="22"/>
                <w:szCs w:val="22"/>
                <w:lang w:eastAsia="en-GB"/>
              </w:rPr>
            </w:pPr>
            <w:r w:rsidRPr="00C4252B">
              <w:rPr>
                <w:b/>
                <w:bCs/>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EF1C26" w:rsidP="00C4252B">
            <w:pPr>
              <w:spacing w:before="0" w:after="0" w:line="240" w:lineRule="auto"/>
              <w:jc w:val="right"/>
              <w:rPr>
                <w:b/>
                <w:bCs/>
                <w:sz w:val="22"/>
                <w:szCs w:val="22"/>
                <w:lang w:eastAsia="en-GB"/>
              </w:rPr>
            </w:pPr>
            <w:r>
              <w:rPr>
                <w:b/>
                <w:bCs/>
                <w:sz w:val="22"/>
                <w:szCs w:val="22"/>
                <w:lang w:eastAsia="en-GB"/>
              </w:rPr>
              <w:t>626</w:t>
            </w:r>
          </w:p>
        </w:tc>
        <w:tc>
          <w:tcPr>
            <w:tcW w:w="2126" w:type="dxa"/>
            <w:tcBorders>
              <w:top w:val="nil"/>
              <w:left w:val="nil"/>
              <w:bottom w:val="nil"/>
              <w:right w:val="nil"/>
            </w:tcBorders>
            <w:shd w:val="clear" w:color="000000" w:fill="FFFFFF"/>
            <w:noWrap/>
            <w:vAlign w:val="bottom"/>
            <w:hideMark/>
          </w:tcPr>
          <w:p w:rsidR="00C4252B" w:rsidRPr="00C4252B" w:rsidRDefault="00EF1C26" w:rsidP="00C4252B">
            <w:pPr>
              <w:spacing w:before="0" w:after="0" w:line="240" w:lineRule="auto"/>
              <w:jc w:val="right"/>
              <w:rPr>
                <w:b/>
                <w:bCs/>
                <w:i/>
                <w:iCs/>
                <w:sz w:val="22"/>
                <w:szCs w:val="22"/>
                <w:lang w:eastAsia="en-GB"/>
              </w:rPr>
            </w:pPr>
            <w:r>
              <w:rPr>
                <w:b/>
                <w:bCs/>
                <w:i/>
                <w:iCs/>
                <w:sz w:val="22"/>
                <w:szCs w:val="22"/>
                <w:lang w:eastAsia="en-GB"/>
              </w:rPr>
              <w:t>4.3</w:t>
            </w:r>
          </w:p>
        </w:tc>
        <w:tc>
          <w:tcPr>
            <w:tcW w:w="1701" w:type="dxa"/>
            <w:tcBorders>
              <w:top w:val="nil"/>
              <w:left w:val="nil"/>
              <w:bottom w:val="nil"/>
              <w:right w:val="nil"/>
            </w:tcBorders>
            <w:shd w:val="clear" w:color="000000" w:fill="FFFFFF"/>
            <w:noWrap/>
            <w:vAlign w:val="bottom"/>
            <w:hideMark/>
          </w:tcPr>
          <w:p w:rsidR="00C4252B" w:rsidRPr="00C4252B" w:rsidRDefault="00C4252B" w:rsidP="00FB488E">
            <w:pPr>
              <w:spacing w:before="0" w:after="0" w:line="240" w:lineRule="auto"/>
              <w:jc w:val="right"/>
              <w:rPr>
                <w:b/>
                <w:bCs/>
                <w:sz w:val="22"/>
                <w:szCs w:val="22"/>
                <w:lang w:eastAsia="en-GB"/>
              </w:rPr>
            </w:pPr>
            <w:r w:rsidRPr="00C4252B">
              <w:rPr>
                <w:b/>
                <w:bCs/>
                <w:sz w:val="22"/>
                <w:szCs w:val="22"/>
                <w:lang w:eastAsia="en-GB"/>
              </w:rPr>
              <w:t>1,</w:t>
            </w:r>
            <w:r w:rsidR="00FB488E">
              <w:rPr>
                <w:b/>
                <w:bCs/>
                <w:sz w:val="22"/>
                <w:szCs w:val="22"/>
                <w:lang w:eastAsia="en-GB"/>
              </w:rPr>
              <w:t>318,569</w:t>
            </w:r>
          </w:p>
        </w:tc>
        <w:tc>
          <w:tcPr>
            <w:tcW w:w="1842" w:type="dxa"/>
            <w:gridSpan w:val="5"/>
            <w:tcBorders>
              <w:top w:val="nil"/>
              <w:left w:val="nil"/>
              <w:bottom w:val="nil"/>
              <w:right w:val="nil"/>
            </w:tcBorders>
            <w:shd w:val="clear" w:color="000000" w:fill="FFFFFF"/>
            <w:noWrap/>
            <w:vAlign w:val="bottom"/>
            <w:hideMark/>
          </w:tcPr>
          <w:p w:rsidR="00C4252B" w:rsidRPr="00C4252B" w:rsidRDefault="00EF1C26" w:rsidP="00C4252B">
            <w:pPr>
              <w:spacing w:before="0" w:after="0" w:line="240" w:lineRule="auto"/>
              <w:jc w:val="right"/>
              <w:rPr>
                <w:b/>
                <w:bCs/>
                <w:sz w:val="22"/>
                <w:szCs w:val="22"/>
                <w:lang w:eastAsia="en-GB"/>
              </w:rPr>
            </w:pPr>
            <w:r>
              <w:rPr>
                <w:b/>
                <w:bCs/>
                <w:sz w:val="22"/>
                <w:szCs w:val="22"/>
                <w:lang w:eastAsia="en-GB"/>
              </w:rPr>
              <w:t>4.7</w:t>
            </w:r>
          </w:p>
        </w:tc>
      </w:tr>
      <w:tr w:rsidR="00C4252B" w:rsidRPr="00C4252B" w:rsidTr="00D73B3D">
        <w:trPr>
          <w:gridAfter w:val="3"/>
          <w:wAfter w:w="584" w:type="dxa"/>
          <w:trHeight w:val="255"/>
        </w:trPr>
        <w:tc>
          <w:tcPr>
            <w:tcW w:w="834"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i/>
                <w:iCs/>
                <w:sz w:val="22"/>
                <w:szCs w:val="22"/>
                <w:lang w:eastAsia="en-GB"/>
              </w:rPr>
            </w:pPr>
            <w:r w:rsidRPr="00C4252B">
              <w:rPr>
                <w:i/>
                <w:iCs/>
                <w:sz w:val="22"/>
                <w:szCs w:val="22"/>
                <w:lang w:eastAsia="en-GB"/>
              </w:rPr>
              <w:t> </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r>
      <w:tr w:rsidR="00C4252B" w:rsidRPr="00C4252B" w:rsidTr="00D73B3D">
        <w:trPr>
          <w:gridAfter w:val="3"/>
          <w:wAfter w:w="584" w:type="dxa"/>
          <w:trHeight w:val="255"/>
        </w:trPr>
        <w:tc>
          <w:tcPr>
            <w:tcW w:w="2500" w:type="dxa"/>
            <w:gridSpan w:val="3"/>
            <w:tcBorders>
              <w:top w:val="nil"/>
              <w:left w:val="nil"/>
              <w:bottom w:val="single" w:sz="4" w:space="0" w:color="auto"/>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Unknown</w:t>
            </w:r>
          </w:p>
        </w:tc>
        <w:tc>
          <w:tcPr>
            <w:tcW w:w="278" w:type="dxa"/>
            <w:tcBorders>
              <w:top w:val="nil"/>
              <w:left w:val="nil"/>
              <w:bottom w:val="single" w:sz="4" w:space="0" w:color="auto"/>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single" w:sz="4" w:space="0" w:color="auto"/>
              <w:right w:val="nil"/>
            </w:tcBorders>
            <w:shd w:val="clear" w:color="000000" w:fill="FFFFFF"/>
            <w:noWrap/>
            <w:vAlign w:val="bottom"/>
            <w:hideMark/>
          </w:tcPr>
          <w:p w:rsidR="00C4252B" w:rsidRPr="00C4252B" w:rsidRDefault="00EF1C26" w:rsidP="00C4252B">
            <w:pPr>
              <w:spacing w:before="0" w:after="0" w:line="240" w:lineRule="auto"/>
              <w:jc w:val="right"/>
              <w:rPr>
                <w:sz w:val="22"/>
                <w:szCs w:val="22"/>
                <w:lang w:eastAsia="en-GB"/>
              </w:rPr>
            </w:pPr>
            <w:r>
              <w:rPr>
                <w:sz w:val="22"/>
                <w:szCs w:val="22"/>
                <w:lang w:eastAsia="en-GB"/>
              </w:rPr>
              <w:t>203</w:t>
            </w:r>
          </w:p>
        </w:tc>
        <w:tc>
          <w:tcPr>
            <w:tcW w:w="2126" w:type="dxa"/>
            <w:tcBorders>
              <w:top w:val="nil"/>
              <w:left w:val="nil"/>
              <w:bottom w:val="single" w:sz="4" w:space="0" w:color="auto"/>
              <w:right w:val="nil"/>
            </w:tcBorders>
            <w:shd w:val="clear" w:color="000000" w:fill="FFFFFF"/>
            <w:noWrap/>
            <w:vAlign w:val="bottom"/>
            <w:hideMark/>
          </w:tcPr>
          <w:p w:rsidR="00C4252B" w:rsidRPr="00C4252B" w:rsidRDefault="00C4252B" w:rsidP="00C4252B">
            <w:pPr>
              <w:spacing w:before="0" w:after="0" w:line="240" w:lineRule="auto"/>
              <w:jc w:val="right"/>
              <w:rPr>
                <w:i/>
                <w:iCs/>
                <w:sz w:val="22"/>
                <w:szCs w:val="22"/>
                <w:lang w:eastAsia="en-GB"/>
              </w:rPr>
            </w:pPr>
            <w:r w:rsidRPr="00C4252B">
              <w:rPr>
                <w:i/>
                <w:iCs/>
                <w:sz w:val="22"/>
                <w:szCs w:val="22"/>
                <w:lang w:eastAsia="en-GB"/>
              </w:rPr>
              <w:t>-</w:t>
            </w:r>
          </w:p>
        </w:tc>
        <w:tc>
          <w:tcPr>
            <w:tcW w:w="1701" w:type="dxa"/>
            <w:tcBorders>
              <w:top w:val="nil"/>
              <w:left w:val="nil"/>
              <w:bottom w:val="single" w:sz="4" w:space="0" w:color="auto"/>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842" w:type="dxa"/>
            <w:gridSpan w:val="5"/>
            <w:tcBorders>
              <w:top w:val="nil"/>
              <w:left w:val="nil"/>
              <w:bottom w:val="single" w:sz="4" w:space="0" w:color="auto"/>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r>
      <w:tr w:rsidR="00D73B3D" w:rsidRPr="00D73B3D" w:rsidTr="00D73B3D">
        <w:trPr>
          <w:gridAfter w:val="4"/>
          <w:wAfter w:w="719" w:type="dxa"/>
          <w:trHeight w:val="285"/>
        </w:trPr>
        <w:tc>
          <w:tcPr>
            <w:tcW w:w="10227" w:type="dxa"/>
            <w:gridSpan w:val="13"/>
            <w:tcBorders>
              <w:top w:val="single" w:sz="4" w:space="0" w:color="auto"/>
              <w:left w:val="nil"/>
              <w:bottom w:val="nil"/>
              <w:right w:val="nil"/>
            </w:tcBorders>
            <w:shd w:val="clear" w:color="000000" w:fill="FFFFFF"/>
            <w:noWrap/>
            <w:vAlign w:val="bottom"/>
            <w:hideMark/>
          </w:tcPr>
          <w:p w:rsidR="00D73B3D" w:rsidRPr="00FD4646" w:rsidRDefault="00D73B3D" w:rsidP="00D73B3D">
            <w:pPr>
              <w:spacing w:after="0" w:line="240" w:lineRule="auto"/>
              <w:jc w:val="both"/>
              <w:rPr>
                <w:sz w:val="21"/>
                <w:szCs w:val="21"/>
                <w:lang w:eastAsia="en-GB"/>
              </w:rPr>
            </w:pPr>
            <w:r w:rsidRPr="00FD4646">
              <w:rPr>
                <w:sz w:val="21"/>
                <w:szCs w:val="21"/>
                <w:vertAlign w:val="superscript"/>
                <w:lang w:eastAsia="en-GB"/>
              </w:rPr>
              <w:t>1</w:t>
            </w:r>
            <w:r w:rsidRPr="00FD4646">
              <w:rPr>
                <w:sz w:val="21"/>
                <w:szCs w:val="21"/>
                <w:lang w:eastAsia="en-GB"/>
              </w:rPr>
              <w:t xml:space="preserve"> Percentage of Cashback vouchers paid is calculated only for those vouchers where the location is known.</w:t>
            </w:r>
          </w:p>
        </w:tc>
      </w:tr>
      <w:tr w:rsidR="00D73B3D" w:rsidRPr="00D73B3D" w:rsidTr="00D73B3D">
        <w:trPr>
          <w:gridAfter w:val="4"/>
          <w:wAfter w:w="719" w:type="dxa"/>
          <w:trHeight w:val="285"/>
        </w:trPr>
        <w:tc>
          <w:tcPr>
            <w:tcW w:w="10227" w:type="dxa"/>
            <w:gridSpan w:val="13"/>
            <w:tcBorders>
              <w:top w:val="nil"/>
              <w:left w:val="nil"/>
              <w:bottom w:val="nil"/>
              <w:right w:val="nil"/>
            </w:tcBorders>
            <w:shd w:val="clear" w:color="000000" w:fill="FFFFFF"/>
            <w:noWrap/>
            <w:vAlign w:val="bottom"/>
            <w:hideMark/>
          </w:tcPr>
          <w:p w:rsidR="00D73B3D" w:rsidRPr="00FD4646" w:rsidRDefault="00D73B3D" w:rsidP="00FD4646">
            <w:pPr>
              <w:spacing w:before="0" w:after="0" w:line="240" w:lineRule="auto"/>
              <w:jc w:val="both"/>
              <w:rPr>
                <w:sz w:val="21"/>
                <w:szCs w:val="21"/>
                <w:lang w:eastAsia="en-GB"/>
              </w:rPr>
            </w:pPr>
            <w:r w:rsidRPr="00FD4646">
              <w:rPr>
                <w:sz w:val="21"/>
                <w:szCs w:val="21"/>
                <w:vertAlign w:val="superscript"/>
                <w:lang w:eastAsia="en-GB"/>
              </w:rPr>
              <w:t>2</w:t>
            </w:r>
            <w:r w:rsidRPr="00FD4646">
              <w:rPr>
                <w:sz w:val="21"/>
                <w:szCs w:val="21"/>
                <w:lang w:eastAsia="en-GB"/>
              </w:rPr>
              <w:t xml:space="preserve"> Includes any Cashback vouchers paid to date, where the installation month of the measures Cashback is being claimed on was no later than end of </w:t>
            </w:r>
            <w:r w:rsidR="00FD4646" w:rsidRPr="00FD4646">
              <w:rPr>
                <w:sz w:val="21"/>
                <w:szCs w:val="21"/>
                <w:lang w:eastAsia="en-GB"/>
              </w:rPr>
              <w:t>September</w:t>
            </w:r>
            <w:r w:rsidRPr="00FD4646">
              <w:rPr>
                <w:sz w:val="21"/>
                <w:szCs w:val="21"/>
                <w:lang w:eastAsia="en-GB"/>
              </w:rPr>
              <w:t xml:space="preserve"> 2014.</w:t>
            </w:r>
          </w:p>
        </w:tc>
      </w:tr>
      <w:tr w:rsidR="00D73B3D" w:rsidRPr="00D73B3D" w:rsidTr="00D73B3D">
        <w:trPr>
          <w:trHeight w:val="255"/>
        </w:trPr>
        <w:tc>
          <w:tcPr>
            <w:tcW w:w="9580" w:type="dxa"/>
            <w:gridSpan w:val="10"/>
            <w:tcBorders>
              <w:top w:val="nil"/>
              <w:left w:val="nil"/>
              <w:bottom w:val="nil"/>
              <w:right w:val="nil"/>
            </w:tcBorders>
            <w:shd w:val="clear" w:color="000000" w:fill="FFFFFF"/>
            <w:noWrap/>
            <w:vAlign w:val="bottom"/>
            <w:hideMark/>
          </w:tcPr>
          <w:p w:rsidR="00D73B3D" w:rsidRPr="00D73B3D" w:rsidRDefault="00D73B3D" w:rsidP="00D73B3D">
            <w:pPr>
              <w:spacing w:before="0" w:after="0" w:line="240" w:lineRule="auto"/>
              <w:jc w:val="both"/>
              <w:rPr>
                <w:sz w:val="21"/>
                <w:szCs w:val="21"/>
                <w:lang w:eastAsia="en-GB"/>
              </w:rPr>
            </w:pPr>
            <w:r w:rsidRPr="00D73B3D">
              <w:rPr>
                <w:sz w:val="21"/>
                <w:szCs w:val="21"/>
                <w:vertAlign w:val="superscript"/>
                <w:lang w:eastAsia="en-GB"/>
              </w:rPr>
              <w:t>3</w:t>
            </w:r>
            <w:r w:rsidR="00DE3DCC">
              <w:rPr>
                <w:sz w:val="21"/>
                <w:szCs w:val="21"/>
                <w:lang w:eastAsia="en-GB"/>
              </w:rPr>
              <w:t xml:space="preserve"> </w:t>
            </w:r>
            <w:proofErr w:type="gramStart"/>
            <w:r w:rsidR="00DE3DCC">
              <w:rPr>
                <w:sz w:val="21"/>
                <w:szCs w:val="21"/>
                <w:lang w:eastAsia="en-GB"/>
              </w:rPr>
              <w:t>Source</w:t>
            </w:r>
            <w:proofErr w:type="gramEnd"/>
            <w:r w:rsidR="00DE3DCC">
              <w:rPr>
                <w:sz w:val="21"/>
                <w:szCs w:val="21"/>
                <w:lang w:eastAsia="en-GB"/>
              </w:rPr>
              <w:t xml:space="preserve">: </w:t>
            </w:r>
            <w:r w:rsidR="00FD4646" w:rsidRPr="00FD4646">
              <w:rPr>
                <w:sz w:val="21"/>
                <w:szCs w:val="21"/>
                <w:lang w:eastAsia="en-GB"/>
              </w:rPr>
              <w:t>England: Department for Communities and Local Government, Household Projections. Wales: Welsh Government, Household estimates.</w:t>
            </w:r>
          </w:p>
        </w:tc>
        <w:tc>
          <w:tcPr>
            <w:tcW w:w="275" w:type="dxa"/>
            <w:tcBorders>
              <w:top w:val="nil"/>
              <w:left w:val="nil"/>
              <w:bottom w:val="nil"/>
              <w:right w:val="nil"/>
            </w:tcBorders>
            <w:shd w:val="clear" w:color="000000" w:fill="FFFFFF"/>
            <w:noWrap/>
            <w:vAlign w:val="bottom"/>
            <w:hideMark/>
          </w:tcPr>
          <w:p w:rsidR="00D73B3D" w:rsidRPr="00D73B3D" w:rsidRDefault="00D73B3D" w:rsidP="00D73B3D">
            <w:pPr>
              <w:spacing w:before="0" w:after="0" w:line="240" w:lineRule="auto"/>
              <w:jc w:val="both"/>
              <w:rPr>
                <w:sz w:val="21"/>
                <w:szCs w:val="21"/>
                <w:lang w:eastAsia="en-GB"/>
              </w:rPr>
            </w:pPr>
            <w:r w:rsidRPr="00D73B3D">
              <w:rPr>
                <w:sz w:val="21"/>
                <w:szCs w:val="21"/>
                <w:lang w:eastAsia="en-GB"/>
              </w:rPr>
              <w:t> </w:t>
            </w:r>
          </w:p>
        </w:tc>
        <w:tc>
          <w:tcPr>
            <w:tcW w:w="275" w:type="dxa"/>
            <w:tcBorders>
              <w:top w:val="nil"/>
              <w:left w:val="nil"/>
              <w:bottom w:val="nil"/>
              <w:right w:val="nil"/>
            </w:tcBorders>
            <w:shd w:val="clear" w:color="000000" w:fill="FFFFFF"/>
            <w:noWrap/>
            <w:vAlign w:val="bottom"/>
            <w:hideMark/>
          </w:tcPr>
          <w:p w:rsidR="00D73B3D" w:rsidRPr="00D73B3D" w:rsidRDefault="00D73B3D" w:rsidP="00D73B3D">
            <w:pPr>
              <w:spacing w:before="0" w:after="0" w:line="240" w:lineRule="auto"/>
              <w:jc w:val="both"/>
              <w:rPr>
                <w:sz w:val="21"/>
                <w:szCs w:val="21"/>
                <w:lang w:eastAsia="en-GB"/>
              </w:rPr>
            </w:pPr>
            <w:r w:rsidRPr="00D73B3D">
              <w:rPr>
                <w:sz w:val="21"/>
                <w:szCs w:val="21"/>
                <w:lang w:eastAsia="en-GB"/>
              </w:rPr>
              <w:t> </w:t>
            </w:r>
          </w:p>
        </w:tc>
        <w:tc>
          <w:tcPr>
            <w:tcW w:w="272" w:type="dxa"/>
            <w:gridSpan w:val="3"/>
            <w:tcBorders>
              <w:top w:val="nil"/>
              <w:left w:val="nil"/>
              <w:bottom w:val="nil"/>
              <w:right w:val="nil"/>
            </w:tcBorders>
            <w:shd w:val="clear" w:color="000000" w:fill="FFFFFF"/>
            <w:noWrap/>
            <w:vAlign w:val="bottom"/>
            <w:hideMark/>
          </w:tcPr>
          <w:p w:rsidR="00D73B3D" w:rsidRPr="00D73B3D" w:rsidRDefault="00D73B3D" w:rsidP="00D73B3D">
            <w:pPr>
              <w:spacing w:before="0" w:after="0" w:line="240" w:lineRule="auto"/>
              <w:jc w:val="both"/>
              <w:rPr>
                <w:sz w:val="21"/>
                <w:szCs w:val="21"/>
                <w:lang w:eastAsia="en-GB"/>
              </w:rPr>
            </w:pPr>
            <w:r w:rsidRPr="00D73B3D">
              <w:rPr>
                <w:sz w:val="21"/>
                <w:szCs w:val="21"/>
                <w:lang w:eastAsia="en-GB"/>
              </w:rPr>
              <w:t> </w:t>
            </w:r>
          </w:p>
        </w:tc>
        <w:tc>
          <w:tcPr>
            <w:tcW w:w="272" w:type="dxa"/>
            <w:tcBorders>
              <w:top w:val="nil"/>
              <w:left w:val="nil"/>
              <w:bottom w:val="nil"/>
              <w:right w:val="nil"/>
            </w:tcBorders>
            <w:shd w:val="clear" w:color="000000" w:fill="FFFFFF"/>
            <w:noWrap/>
            <w:vAlign w:val="bottom"/>
            <w:hideMark/>
          </w:tcPr>
          <w:p w:rsidR="00D73B3D" w:rsidRPr="00D73B3D" w:rsidRDefault="00D73B3D" w:rsidP="00D73B3D">
            <w:pPr>
              <w:spacing w:before="0" w:after="0" w:line="240" w:lineRule="auto"/>
              <w:jc w:val="both"/>
              <w:rPr>
                <w:sz w:val="20"/>
                <w:lang w:eastAsia="en-GB"/>
              </w:rPr>
            </w:pPr>
            <w:r w:rsidRPr="00D73B3D">
              <w:rPr>
                <w:sz w:val="20"/>
                <w:lang w:eastAsia="en-GB"/>
              </w:rPr>
              <w:t> </w:t>
            </w:r>
          </w:p>
        </w:tc>
        <w:tc>
          <w:tcPr>
            <w:tcW w:w="272" w:type="dxa"/>
            <w:tcBorders>
              <w:top w:val="nil"/>
              <w:left w:val="nil"/>
              <w:bottom w:val="nil"/>
              <w:right w:val="nil"/>
            </w:tcBorders>
            <w:shd w:val="clear" w:color="000000" w:fill="FFFFFF"/>
            <w:noWrap/>
            <w:vAlign w:val="bottom"/>
            <w:hideMark/>
          </w:tcPr>
          <w:p w:rsidR="00D73B3D" w:rsidRPr="00D73B3D" w:rsidRDefault="00D73B3D" w:rsidP="00D73B3D">
            <w:pPr>
              <w:spacing w:before="0" w:after="0" w:line="240" w:lineRule="auto"/>
              <w:jc w:val="both"/>
              <w:rPr>
                <w:sz w:val="20"/>
                <w:lang w:eastAsia="en-GB"/>
              </w:rPr>
            </w:pPr>
            <w:r w:rsidRPr="00D73B3D">
              <w:rPr>
                <w:sz w:val="20"/>
                <w:lang w:eastAsia="en-GB"/>
              </w:rPr>
              <w:t> </w:t>
            </w:r>
          </w:p>
        </w:tc>
      </w:tr>
      <w:tr w:rsidR="00D73B3D" w:rsidRPr="00D73B3D" w:rsidTr="00D73B3D">
        <w:trPr>
          <w:gridAfter w:val="4"/>
          <w:wAfter w:w="719" w:type="dxa"/>
          <w:trHeight w:val="285"/>
        </w:trPr>
        <w:tc>
          <w:tcPr>
            <w:tcW w:w="10227" w:type="dxa"/>
            <w:gridSpan w:val="13"/>
            <w:tcBorders>
              <w:top w:val="nil"/>
              <w:left w:val="nil"/>
              <w:bottom w:val="nil"/>
              <w:right w:val="nil"/>
            </w:tcBorders>
            <w:shd w:val="clear" w:color="000000" w:fill="FFFFFF"/>
            <w:noWrap/>
            <w:vAlign w:val="bottom"/>
            <w:hideMark/>
          </w:tcPr>
          <w:p w:rsidR="00D73B3D" w:rsidRPr="00D73B3D" w:rsidRDefault="00D73B3D" w:rsidP="00D73B3D">
            <w:pPr>
              <w:spacing w:before="0" w:after="0" w:line="240" w:lineRule="auto"/>
              <w:jc w:val="both"/>
              <w:rPr>
                <w:sz w:val="21"/>
                <w:szCs w:val="21"/>
                <w:lang w:eastAsia="en-GB"/>
              </w:rPr>
            </w:pPr>
          </w:p>
        </w:tc>
      </w:tr>
    </w:tbl>
    <w:p w:rsidR="007B6F33" w:rsidRDefault="007B6F33" w:rsidP="00415EE4">
      <w:pPr>
        <w:spacing w:before="0" w:after="0" w:line="270" w:lineRule="atLeast"/>
        <w:rPr>
          <w:b/>
          <w:bCs/>
        </w:rPr>
      </w:pPr>
    </w:p>
    <w:p w:rsidR="00415EE4" w:rsidRPr="00ED1F55" w:rsidRDefault="00C351B2" w:rsidP="00415EE4">
      <w:pPr>
        <w:spacing w:before="0" w:after="0" w:line="270" w:lineRule="atLeast"/>
        <w:jc w:val="both"/>
        <w:rPr>
          <w:bCs/>
          <w:sz w:val="22"/>
          <w:szCs w:val="22"/>
        </w:rPr>
      </w:pPr>
      <w:proofErr w:type="gramStart"/>
      <w:r w:rsidRPr="00ED1F55">
        <w:rPr>
          <w:b/>
          <w:bCs/>
          <w:sz w:val="22"/>
          <w:szCs w:val="22"/>
        </w:rPr>
        <w:t>Table 1.10</w:t>
      </w:r>
      <w:r w:rsidR="00415EE4" w:rsidRPr="00ED1F55">
        <w:rPr>
          <w:b/>
          <w:bCs/>
          <w:sz w:val="22"/>
          <w:szCs w:val="22"/>
        </w:rPr>
        <w:t xml:space="preserve">a: Number of Cashback vouchers paid by administrative area, up to </w:t>
      </w:r>
      <w:r w:rsidR="007E138E" w:rsidRPr="00ED1F55">
        <w:rPr>
          <w:b/>
          <w:bCs/>
          <w:sz w:val="22"/>
          <w:szCs w:val="22"/>
        </w:rPr>
        <w:t xml:space="preserve">30th </w:t>
      </w:r>
      <w:r w:rsidR="00665048" w:rsidRPr="00ED1F55">
        <w:rPr>
          <w:b/>
          <w:bCs/>
          <w:sz w:val="22"/>
          <w:szCs w:val="22"/>
        </w:rPr>
        <w:t>Sept</w:t>
      </w:r>
      <w:r w:rsidR="007E138E" w:rsidRPr="00ED1F55">
        <w:rPr>
          <w:b/>
          <w:bCs/>
          <w:sz w:val="22"/>
          <w:szCs w:val="22"/>
        </w:rPr>
        <w:t>e</w:t>
      </w:r>
      <w:r w:rsidR="00665048" w:rsidRPr="00ED1F55">
        <w:rPr>
          <w:b/>
          <w:bCs/>
          <w:sz w:val="22"/>
          <w:szCs w:val="22"/>
        </w:rPr>
        <w:t>mber</w:t>
      </w:r>
      <w:r w:rsidR="002F723B" w:rsidRPr="00ED1F55">
        <w:rPr>
          <w:b/>
          <w:bCs/>
          <w:sz w:val="22"/>
          <w:szCs w:val="22"/>
        </w:rPr>
        <w:t xml:space="preserve"> 2014</w:t>
      </w:r>
      <w:r w:rsidR="00415EE4" w:rsidRPr="00ED1F55">
        <w:rPr>
          <w:b/>
          <w:bCs/>
          <w:sz w:val="22"/>
          <w:szCs w:val="22"/>
        </w:rPr>
        <w:t xml:space="preserve">, England and Wales </w:t>
      </w:r>
      <w:r w:rsidR="00415EE4" w:rsidRPr="00ED1F55">
        <w:rPr>
          <w:bCs/>
          <w:sz w:val="22"/>
          <w:szCs w:val="22"/>
        </w:rPr>
        <w:t xml:space="preserve">(Table available </w:t>
      </w:r>
      <w:r w:rsidR="00415EE4" w:rsidRPr="00ED1F55">
        <w:rPr>
          <w:sz w:val="22"/>
          <w:szCs w:val="22"/>
        </w:rPr>
        <w:t xml:space="preserve">in Excel </w:t>
      </w:r>
      <w:hyperlink r:id="rId55" w:history="1">
        <w:r w:rsidR="001D54FE" w:rsidRPr="00ED1F55">
          <w:rPr>
            <w:rStyle w:val="Hyperlink"/>
            <w:rFonts w:ascii="Arial" w:hAnsi="Arial"/>
            <w:sz w:val="22"/>
            <w:szCs w:val="22"/>
          </w:rPr>
          <w:t>here</w:t>
        </w:r>
      </w:hyperlink>
      <w:r w:rsidR="00415EE4" w:rsidRPr="00ED1F55">
        <w:rPr>
          <w:bCs/>
          <w:sz w:val="22"/>
          <w:szCs w:val="22"/>
        </w:rPr>
        <w:t>).</w:t>
      </w:r>
      <w:proofErr w:type="gramEnd"/>
    </w:p>
    <w:p w:rsidR="006E664B" w:rsidRPr="00ED1F55" w:rsidRDefault="006E664B" w:rsidP="00415EE4">
      <w:pPr>
        <w:spacing w:before="0" w:after="0" w:line="270" w:lineRule="atLeast"/>
        <w:jc w:val="both"/>
        <w:rPr>
          <w:b/>
          <w:bCs/>
          <w:sz w:val="22"/>
          <w:szCs w:val="22"/>
        </w:rPr>
      </w:pPr>
    </w:p>
    <w:p w:rsidR="00415EE4" w:rsidRPr="00ED1F55" w:rsidRDefault="00415EE4" w:rsidP="00415EE4">
      <w:pPr>
        <w:spacing w:before="0" w:after="0" w:line="270" w:lineRule="atLeast"/>
        <w:jc w:val="both"/>
        <w:rPr>
          <w:b/>
          <w:bCs/>
          <w:sz w:val="22"/>
          <w:szCs w:val="22"/>
        </w:rPr>
      </w:pPr>
    </w:p>
    <w:p w:rsidR="00415EE4" w:rsidRPr="00ED1F55" w:rsidRDefault="00C351B2" w:rsidP="00415EE4">
      <w:pPr>
        <w:spacing w:before="0" w:after="0" w:line="270" w:lineRule="atLeast"/>
        <w:jc w:val="both"/>
        <w:rPr>
          <w:bCs/>
          <w:sz w:val="22"/>
          <w:szCs w:val="22"/>
        </w:rPr>
      </w:pPr>
      <w:r w:rsidRPr="00ED1F55">
        <w:rPr>
          <w:b/>
          <w:bCs/>
          <w:sz w:val="22"/>
          <w:szCs w:val="22"/>
        </w:rPr>
        <w:t>Table 1.10</w:t>
      </w:r>
      <w:r w:rsidR="00415EE4" w:rsidRPr="00ED1F55">
        <w:rPr>
          <w:b/>
          <w:bCs/>
          <w:sz w:val="22"/>
          <w:szCs w:val="22"/>
        </w:rPr>
        <w:t xml:space="preserve">b: Number of Cashback vouchers paid by Parliamentary Constituency, up to </w:t>
      </w:r>
      <w:r w:rsidR="007E138E" w:rsidRPr="00ED1F55">
        <w:rPr>
          <w:b/>
          <w:bCs/>
          <w:sz w:val="22"/>
          <w:szCs w:val="22"/>
        </w:rPr>
        <w:t xml:space="preserve">30th </w:t>
      </w:r>
      <w:r w:rsidR="00665048" w:rsidRPr="00ED1F55">
        <w:rPr>
          <w:b/>
          <w:bCs/>
          <w:sz w:val="22"/>
          <w:szCs w:val="22"/>
        </w:rPr>
        <w:t>September</w:t>
      </w:r>
      <w:r w:rsidR="002F723B" w:rsidRPr="00ED1F55">
        <w:rPr>
          <w:b/>
          <w:bCs/>
          <w:sz w:val="22"/>
          <w:szCs w:val="22"/>
        </w:rPr>
        <w:t xml:space="preserve"> 2014</w:t>
      </w:r>
      <w:r w:rsidR="00415EE4" w:rsidRPr="00ED1F55">
        <w:rPr>
          <w:b/>
          <w:bCs/>
          <w:sz w:val="22"/>
          <w:szCs w:val="22"/>
        </w:rPr>
        <w:t xml:space="preserve">, England and Wales </w:t>
      </w:r>
      <w:r w:rsidR="00415EE4" w:rsidRPr="00ED1F55">
        <w:rPr>
          <w:bCs/>
          <w:sz w:val="22"/>
          <w:szCs w:val="22"/>
        </w:rPr>
        <w:t xml:space="preserve">(Table available </w:t>
      </w:r>
      <w:r w:rsidR="00415EE4" w:rsidRPr="00ED1F55">
        <w:rPr>
          <w:sz w:val="22"/>
          <w:szCs w:val="22"/>
        </w:rPr>
        <w:t xml:space="preserve">in Excel </w:t>
      </w:r>
      <w:hyperlink r:id="rId56" w:history="1">
        <w:r w:rsidR="001D54FE" w:rsidRPr="00ED1F55">
          <w:rPr>
            <w:rStyle w:val="Hyperlink"/>
            <w:rFonts w:ascii="Arial" w:hAnsi="Arial"/>
            <w:sz w:val="22"/>
            <w:szCs w:val="22"/>
          </w:rPr>
          <w:t>here</w:t>
        </w:r>
      </w:hyperlink>
      <w:r w:rsidR="00415EE4" w:rsidRPr="00ED1F55">
        <w:rPr>
          <w:bCs/>
          <w:sz w:val="22"/>
          <w:szCs w:val="22"/>
        </w:rPr>
        <w:t>).</w:t>
      </w:r>
    </w:p>
    <w:p w:rsidR="00FD4646" w:rsidRPr="00ED1F55" w:rsidRDefault="00FD4646" w:rsidP="00415EE4">
      <w:pPr>
        <w:spacing w:before="0" w:after="0" w:line="270" w:lineRule="atLeast"/>
        <w:jc w:val="both"/>
        <w:rPr>
          <w:bCs/>
          <w:sz w:val="22"/>
          <w:szCs w:val="22"/>
        </w:rPr>
      </w:pPr>
    </w:p>
    <w:p w:rsidR="00FD4646" w:rsidRPr="00ED1F55" w:rsidRDefault="00FD4646" w:rsidP="00FD4646">
      <w:pPr>
        <w:spacing w:before="0" w:after="0" w:line="270" w:lineRule="atLeast"/>
        <w:jc w:val="both"/>
        <w:rPr>
          <w:b/>
          <w:bCs/>
          <w:sz w:val="22"/>
          <w:szCs w:val="22"/>
        </w:rPr>
      </w:pPr>
    </w:p>
    <w:p w:rsidR="00FD4646" w:rsidRPr="00ED1F55" w:rsidRDefault="00D32D75" w:rsidP="00FD4646">
      <w:pPr>
        <w:spacing w:before="0" w:after="0" w:line="270" w:lineRule="atLeast"/>
        <w:jc w:val="both"/>
        <w:rPr>
          <w:b/>
          <w:bCs/>
          <w:sz w:val="22"/>
          <w:szCs w:val="22"/>
        </w:rPr>
      </w:pPr>
      <w:r w:rsidRPr="00ED1F55">
        <w:rPr>
          <w:b/>
          <w:bCs/>
          <w:sz w:val="22"/>
          <w:szCs w:val="22"/>
        </w:rPr>
        <w:t>Table 10c</w:t>
      </w:r>
      <w:r w:rsidR="00FD4646" w:rsidRPr="00ED1F55">
        <w:rPr>
          <w:b/>
          <w:bCs/>
          <w:sz w:val="22"/>
          <w:szCs w:val="22"/>
        </w:rPr>
        <w:t>: Number of Cashback vouchers paid by tenure, up to 30th September 2014, England and Wales</w:t>
      </w:r>
    </w:p>
    <w:p w:rsidR="00FD4646" w:rsidRPr="00ED1F55" w:rsidRDefault="00FD4646" w:rsidP="00FD4646">
      <w:pPr>
        <w:spacing w:before="0" w:after="0" w:line="270" w:lineRule="atLeast"/>
        <w:rPr>
          <w:b/>
          <w:bCs/>
          <w:sz w:val="22"/>
          <w:szCs w:val="22"/>
        </w:rPr>
      </w:pPr>
    </w:p>
    <w:tbl>
      <w:tblPr>
        <w:tblW w:w="9095" w:type="dxa"/>
        <w:tblInd w:w="93" w:type="dxa"/>
        <w:tblLook w:val="04A0" w:firstRow="1" w:lastRow="0" w:firstColumn="1" w:lastColumn="0" w:noHBand="0" w:noVBand="1"/>
      </w:tblPr>
      <w:tblGrid>
        <w:gridCol w:w="3701"/>
        <w:gridCol w:w="1278"/>
        <w:gridCol w:w="2042"/>
        <w:gridCol w:w="2074"/>
      </w:tblGrid>
      <w:tr w:rsidR="00FD4646" w:rsidRPr="00ED1F55" w:rsidTr="00ED695D">
        <w:trPr>
          <w:trHeight w:val="549"/>
        </w:trPr>
        <w:tc>
          <w:tcPr>
            <w:tcW w:w="3701" w:type="dxa"/>
            <w:tcBorders>
              <w:top w:val="single" w:sz="4" w:space="0" w:color="auto"/>
              <w:left w:val="nil"/>
              <w:bottom w:val="single" w:sz="4" w:space="0" w:color="auto"/>
              <w:right w:val="nil"/>
            </w:tcBorders>
            <w:shd w:val="clear" w:color="auto" w:fill="auto"/>
            <w:noWrap/>
            <w:vAlign w:val="center"/>
            <w:hideMark/>
          </w:tcPr>
          <w:p w:rsidR="00FD4646" w:rsidRPr="00ED1F55" w:rsidRDefault="00FD4646" w:rsidP="00ED695D">
            <w:pPr>
              <w:spacing w:before="0" w:after="0" w:line="240" w:lineRule="auto"/>
              <w:rPr>
                <w:color w:val="000000"/>
                <w:sz w:val="22"/>
                <w:szCs w:val="22"/>
                <w:lang w:eastAsia="en-GB"/>
              </w:rPr>
            </w:pPr>
            <w:r w:rsidRPr="00ED1F55">
              <w:rPr>
                <w:color w:val="000000"/>
                <w:sz w:val="22"/>
                <w:szCs w:val="22"/>
                <w:lang w:eastAsia="en-GB"/>
              </w:rPr>
              <w:t>Tenure</w:t>
            </w:r>
          </w:p>
        </w:tc>
        <w:tc>
          <w:tcPr>
            <w:tcW w:w="1278" w:type="dxa"/>
            <w:tcBorders>
              <w:top w:val="single" w:sz="4" w:space="0" w:color="auto"/>
              <w:left w:val="nil"/>
              <w:bottom w:val="single" w:sz="4" w:space="0" w:color="auto"/>
              <w:right w:val="nil"/>
            </w:tcBorders>
            <w:shd w:val="clear" w:color="auto" w:fill="auto"/>
            <w:noWrap/>
            <w:vAlign w:val="bottom"/>
            <w:hideMark/>
          </w:tcPr>
          <w:p w:rsidR="00FD4646" w:rsidRPr="00ED1F55" w:rsidRDefault="00FD4646" w:rsidP="00ED695D">
            <w:pPr>
              <w:spacing w:before="0" w:after="0" w:line="240" w:lineRule="auto"/>
              <w:rPr>
                <w:color w:val="000000"/>
                <w:sz w:val="22"/>
                <w:szCs w:val="22"/>
                <w:lang w:eastAsia="en-GB"/>
              </w:rPr>
            </w:pPr>
            <w:r w:rsidRPr="00ED1F55">
              <w:rPr>
                <w:color w:val="000000"/>
                <w:sz w:val="22"/>
                <w:szCs w:val="22"/>
                <w:lang w:eastAsia="en-GB"/>
              </w:rPr>
              <w:t> </w:t>
            </w:r>
          </w:p>
        </w:tc>
        <w:tc>
          <w:tcPr>
            <w:tcW w:w="2042" w:type="dxa"/>
            <w:tcBorders>
              <w:top w:val="single" w:sz="4" w:space="0" w:color="auto"/>
              <w:left w:val="nil"/>
              <w:bottom w:val="single" w:sz="4" w:space="0" w:color="auto"/>
              <w:right w:val="nil"/>
            </w:tcBorders>
            <w:shd w:val="clear" w:color="auto" w:fill="auto"/>
            <w:vAlign w:val="bottom"/>
            <w:hideMark/>
          </w:tcPr>
          <w:p w:rsidR="00FD4646" w:rsidRPr="00ED1F55" w:rsidRDefault="00FD4646" w:rsidP="00ED695D">
            <w:pPr>
              <w:spacing w:before="0" w:after="0" w:line="240" w:lineRule="auto"/>
              <w:jc w:val="right"/>
              <w:rPr>
                <w:color w:val="000000"/>
                <w:sz w:val="22"/>
                <w:szCs w:val="22"/>
                <w:lang w:eastAsia="en-GB"/>
              </w:rPr>
            </w:pPr>
            <w:r w:rsidRPr="00ED1F55">
              <w:rPr>
                <w:color w:val="000000"/>
                <w:sz w:val="22"/>
                <w:szCs w:val="22"/>
                <w:lang w:eastAsia="en-GB"/>
              </w:rPr>
              <w:t>Green Deal Assessments</w:t>
            </w:r>
          </w:p>
        </w:tc>
        <w:tc>
          <w:tcPr>
            <w:tcW w:w="2074" w:type="dxa"/>
            <w:tcBorders>
              <w:top w:val="single" w:sz="4" w:space="0" w:color="auto"/>
              <w:left w:val="nil"/>
              <w:bottom w:val="single" w:sz="4" w:space="0" w:color="auto"/>
              <w:right w:val="nil"/>
            </w:tcBorders>
            <w:shd w:val="clear" w:color="auto" w:fill="auto"/>
            <w:vAlign w:val="bottom"/>
            <w:hideMark/>
          </w:tcPr>
          <w:p w:rsidR="00FD4646" w:rsidRPr="00ED1F55" w:rsidRDefault="00FD4646" w:rsidP="00ED695D">
            <w:pPr>
              <w:spacing w:before="0" w:after="0" w:line="240" w:lineRule="auto"/>
              <w:jc w:val="right"/>
              <w:rPr>
                <w:color w:val="000000"/>
                <w:sz w:val="22"/>
                <w:szCs w:val="22"/>
                <w:lang w:eastAsia="en-GB"/>
              </w:rPr>
            </w:pPr>
            <w:r w:rsidRPr="00ED1F55">
              <w:rPr>
                <w:color w:val="000000"/>
                <w:sz w:val="22"/>
                <w:szCs w:val="22"/>
                <w:lang w:eastAsia="en-GB"/>
              </w:rPr>
              <w:t>Valid Percentage of Assessments</w:t>
            </w:r>
            <w:r w:rsidRPr="00ED1F55">
              <w:rPr>
                <w:color w:val="000000"/>
                <w:sz w:val="22"/>
                <w:szCs w:val="22"/>
                <w:vertAlign w:val="superscript"/>
                <w:lang w:eastAsia="en-GB"/>
              </w:rPr>
              <w:t>1</w:t>
            </w:r>
          </w:p>
        </w:tc>
      </w:tr>
      <w:tr w:rsidR="00FD4646" w:rsidRPr="00ED1F55" w:rsidTr="00ED695D">
        <w:trPr>
          <w:trHeight w:val="281"/>
        </w:trPr>
        <w:tc>
          <w:tcPr>
            <w:tcW w:w="3701" w:type="dxa"/>
            <w:tcBorders>
              <w:top w:val="nil"/>
              <w:left w:val="nil"/>
              <w:bottom w:val="nil"/>
              <w:right w:val="nil"/>
            </w:tcBorders>
            <w:shd w:val="clear" w:color="000000" w:fill="FFFFFF"/>
            <w:noWrap/>
            <w:vAlign w:val="bottom"/>
            <w:hideMark/>
          </w:tcPr>
          <w:p w:rsidR="00FD4646" w:rsidRPr="00ED1F55" w:rsidRDefault="00FD4646" w:rsidP="00ED695D">
            <w:pPr>
              <w:spacing w:before="0" w:after="0" w:line="240" w:lineRule="auto"/>
              <w:rPr>
                <w:color w:val="000000"/>
                <w:sz w:val="22"/>
                <w:szCs w:val="22"/>
                <w:lang w:eastAsia="en-GB"/>
              </w:rPr>
            </w:pPr>
            <w:r w:rsidRPr="00ED1F55">
              <w:rPr>
                <w:color w:val="000000"/>
                <w:sz w:val="22"/>
                <w:szCs w:val="22"/>
                <w:lang w:eastAsia="en-GB"/>
              </w:rPr>
              <w:t>Owner-occupied</w:t>
            </w:r>
          </w:p>
        </w:tc>
        <w:tc>
          <w:tcPr>
            <w:tcW w:w="1278" w:type="dxa"/>
            <w:tcBorders>
              <w:top w:val="nil"/>
              <w:left w:val="nil"/>
              <w:bottom w:val="nil"/>
              <w:right w:val="nil"/>
            </w:tcBorders>
            <w:shd w:val="clear" w:color="auto" w:fill="auto"/>
            <w:noWrap/>
            <w:vAlign w:val="bottom"/>
            <w:hideMark/>
          </w:tcPr>
          <w:p w:rsidR="00FD4646" w:rsidRPr="00ED1F55" w:rsidRDefault="00FD4646" w:rsidP="00ED695D">
            <w:pPr>
              <w:spacing w:before="0" w:after="0" w:line="240" w:lineRule="auto"/>
              <w:rPr>
                <w:color w:val="000000"/>
                <w:sz w:val="22"/>
                <w:szCs w:val="22"/>
                <w:lang w:eastAsia="en-GB"/>
              </w:rPr>
            </w:pPr>
          </w:p>
        </w:tc>
        <w:tc>
          <w:tcPr>
            <w:tcW w:w="2042" w:type="dxa"/>
            <w:tcBorders>
              <w:top w:val="nil"/>
              <w:left w:val="nil"/>
              <w:bottom w:val="nil"/>
              <w:right w:val="nil"/>
            </w:tcBorders>
            <w:shd w:val="clear" w:color="auto" w:fill="auto"/>
            <w:noWrap/>
            <w:vAlign w:val="bottom"/>
            <w:hideMark/>
          </w:tcPr>
          <w:p w:rsidR="00FD4646" w:rsidRPr="00ED1F55" w:rsidRDefault="00FD4646" w:rsidP="00ED695D">
            <w:pPr>
              <w:spacing w:before="0" w:after="0"/>
              <w:jc w:val="right"/>
              <w:rPr>
                <w:color w:val="000000"/>
                <w:sz w:val="22"/>
                <w:szCs w:val="22"/>
              </w:rPr>
            </w:pPr>
            <w:r w:rsidRPr="00ED1F55">
              <w:rPr>
                <w:color w:val="000000"/>
                <w:sz w:val="22"/>
                <w:szCs w:val="22"/>
              </w:rPr>
              <w:t>13,192</w:t>
            </w:r>
          </w:p>
        </w:tc>
        <w:tc>
          <w:tcPr>
            <w:tcW w:w="2074" w:type="dxa"/>
            <w:tcBorders>
              <w:top w:val="nil"/>
              <w:left w:val="nil"/>
              <w:bottom w:val="nil"/>
              <w:right w:val="nil"/>
            </w:tcBorders>
            <w:shd w:val="clear" w:color="auto" w:fill="auto"/>
            <w:noWrap/>
            <w:vAlign w:val="bottom"/>
            <w:hideMark/>
          </w:tcPr>
          <w:p w:rsidR="00FD4646" w:rsidRPr="00ED1F55" w:rsidRDefault="00FD4646" w:rsidP="00ED695D">
            <w:pPr>
              <w:spacing w:before="0" w:after="0"/>
              <w:jc w:val="right"/>
              <w:rPr>
                <w:i/>
                <w:iCs/>
                <w:color w:val="000000"/>
                <w:sz w:val="22"/>
                <w:szCs w:val="22"/>
              </w:rPr>
            </w:pPr>
            <w:r w:rsidRPr="00ED1F55">
              <w:rPr>
                <w:i/>
                <w:iCs/>
                <w:color w:val="000000"/>
                <w:sz w:val="22"/>
                <w:szCs w:val="22"/>
              </w:rPr>
              <w:t>91</w:t>
            </w:r>
          </w:p>
        </w:tc>
      </w:tr>
      <w:tr w:rsidR="00FD4646" w:rsidRPr="00ED1F55" w:rsidTr="00ED695D">
        <w:trPr>
          <w:trHeight w:val="281"/>
        </w:trPr>
        <w:tc>
          <w:tcPr>
            <w:tcW w:w="3701" w:type="dxa"/>
            <w:tcBorders>
              <w:top w:val="nil"/>
              <w:left w:val="nil"/>
              <w:bottom w:val="nil"/>
              <w:right w:val="nil"/>
            </w:tcBorders>
            <w:shd w:val="clear" w:color="000000" w:fill="FFFFFF"/>
            <w:noWrap/>
            <w:vAlign w:val="bottom"/>
            <w:hideMark/>
          </w:tcPr>
          <w:p w:rsidR="00FD4646" w:rsidRPr="00ED1F55" w:rsidRDefault="00FD4646" w:rsidP="00ED695D">
            <w:pPr>
              <w:spacing w:before="0" w:after="0" w:line="240" w:lineRule="auto"/>
              <w:rPr>
                <w:color w:val="000000"/>
                <w:sz w:val="22"/>
                <w:szCs w:val="22"/>
                <w:lang w:eastAsia="en-GB"/>
              </w:rPr>
            </w:pPr>
            <w:r w:rsidRPr="00ED1F55">
              <w:rPr>
                <w:color w:val="000000"/>
                <w:sz w:val="22"/>
                <w:szCs w:val="22"/>
                <w:lang w:eastAsia="en-GB"/>
              </w:rPr>
              <w:t>Rented (private)</w:t>
            </w:r>
          </w:p>
        </w:tc>
        <w:tc>
          <w:tcPr>
            <w:tcW w:w="1278" w:type="dxa"/>
            <w:tcBorders>
              <w:top w:val="nil"/>
              <w:left w:val="nil"/>
              <w:bottom w:val="nil"/>
              <w:right w:val="nil"/>
            </w:tcBorders>
            <w:shd w:val="clear" w:color="auto" w:fill="auto"/>
            <w:noWrap/>
            <w:vAlign w:val="bottom"/>
            <w:hideMark/>
          </w:tcPr>
          <w:p w:rsidR="00FD4646" w:rsidRPr="00ED1F55" w:rsidRDefault="00FD4646" w:rsidP="00ED695D">
            <w:pPr>
              <w:spacing w:before="0" w:after="0" w:line="240" w:lineRule="auto"/>
              <w:rPr>
                <w:color w:val="000000"/>
                <w:sz w:val="22"/>
                <w:szCs w:val="22"/>
                <w:lang w:eastAsia="en-GB"/>
              </w:rPr>
            </w:pPr>
          </w:p>
        </w:tc>
        <w:tc>
          <w:tcPr>
            <w:tcW w:w="2042" w:type="dxa"/>
            <w:tcBorders>
              <w:top w:val="nil"/>
              <w:left w:val="nil"/>
              <w:bottom w:val="nil"/>
              <w:right w:val="nil"/>
            </w:tcBorders>
            <w:shd w:val="clear" w:color="auto" w:fill="auto"/>
            <w:noWrap/>
            <w:vAlign w:val="bottom"/>
            <w:hideMark/>
          </w:tcPr>
          <w:p w:rsidR="00FD4646" w:rsidRPr="00ED1F55" w:rsidRDefault="00FD4646" w:rsidP="00ED695D">
            <w:pPr>
              <w:spacing w:before="0" w:after="0"/>
              <w:jc w:val="right"/>
              <w:rPr>
                <w:color w:val="000000"/>
                <w:sz w:val="22"/>
                <w:szCs w:val="22"/>
              </w:rPr>
            </w:pPr>
            <w:r w:rsidRPr="00ED1F55">
              <w:rPr>
                <w:color w:val="000000"/>
                <w:sz w:val="22"/>
                <w:szCs w:val="22"/>
              </w:rPr>
              <w:t>242</w:t>
            </w:r>
          </w:p>
        </w:tc>
        <w:tc>
          <w:tcPr>
            <w:tcW w:w="2074" w:type="dxa"/>
            <w:tcBorders>
              <w:top w:val="nil"/>
              <w:left w:val="nil"/>
              <w:bottom w:val="nil"/>
              <w:right w:val="nil"/>
            </w:tcBorders>
            <w:shd w:val="clear" w:color="auto" w:fill="auto"/>
            <w:noWrap/>
            <w:vAlign w:val="bottom"/>
            <w:hideMark/>
          </w:tcPr>
          <w:p w:rsidR="00FD4646" w:rsidRPr="00ED1F55" w:rsidRDefault="00FD4646" w:rsidP="00ED695D">
            <w:pPr>
              <w:spacing w:before="0" w:after="0"/>
              <w:jc w:val="right"/>
              <w:rPr>
                <w:i/>
                <w:iCs/>
                <w:color w:val="000000"/>
                <w:sz w:val="22"/>
                <w:szCs w:val="22"/>
              </w:rPr>
            </w:pPr>
            <w:r w:rsidRPr="00ED1F55">
              <w:rPr>
                <w:i/>
                <w:iCs/>
                <w:color w:val="000000"/>
                <w:sz w:val="22"/>
                <w:szCs w:val="22"/>
              </w:rPr>
              <w:t>2</w:t>
            </w:r>
          </w:p>
        </w:tc>
      </w:tr>
      <w:tr w:rsidR="00FD4646" w:rsidRPr="00ED1F55" w:rsidTr="00ED695D">
        <w:trPr>
          <w:trHeight w:val="281"/>
        </w:trPr>
        <w:tc>
          <w:tcPr>
            <w:tcW w:w="3701" w:type="dxa"/>
            <w:tcBorders>
              <w:top w:val="nil"/>
              <w:left w:val="nil"/>
              <w:bottom w:val="nil"/>
              <w:right w:val="nil"/>
            </w:tcBorders>
            <w:shd w:val="clear" w:color="000000" w:fill="FFFFFF"/>
            <w:noWrap/>
            <w:vAlign w:val="bottom"/>
            <w:hideMark/>
          </w:tcPr>
          <w:p w:rsidR="00FD4646" w:rsidRPr="00ED1F55" w:rsidRDefault="00FD4646" w:rsidP="00ED695D">
            <w:pPr>
              <w:spacing w:before="0" w:after="0" w:line="240" w:lineRule="auto"/>
              <w:rPr>
                <w:color w:val="000000"/>
                <w:sz w:val="22"/>
                <w:szCs w:val="22"/>
                <w:lang w:eastAsia="en-GB"/>
              </w:rPr>
            </w:pPr>
            <w:r w:rsidRPr="00ED1F55">
              <w:rPr>
                <w:color w:val="000000"/>
                <w:sz w:val="22"/>
                <w:szCs w:val="22"/>
                <w:lang w:eastAsia="en-GB"/>
              </w:rPr>
              <w:t>Rented (social)</w:t>
            </w:r>
          </w:p>
        </w:tc>
        <w:tc>
          <w:tcPr>
            <w:tcW w:w="1278" w:type="dxa"/>
            <w:tcBorders>
              <w:top w:val="nil"/>
              <w:left w:val="nil"/>
              <w:bottom w:val="nil"/>
              <w:right w:val="nil"/>
            </w:tcBorders>
            <w:shd w:val="clear" w:color="auto" w:fill="auto"/>
            <w:noWrap/>
            <w:vAlign w:val="bottom"/>
            <w:hideMark/>
          </w:tcPr>
          <w:p w:rsidR="00FD4646" w:rsidRPr="00ED1F55" w:rsidRDefault="00FD4646" w:rsidP="00ED695D">
            <w:pPr>
              <w:spacing w:before="0" w:after="0" w:line="240" w:lineRule="auto"/>
              <w:rPr>
                <w:color w:val="000000"/>
                <w:sz w:val="22"/>
                <w:szCs w:val="22"/>
                <w:lang w:eastAsia="en-GB"/>
              </w:rPr>
            </w:pPr>
          </w:p>
        </w:tc>
        <w:tc>
          <w:tcPr>
            <w:tcW w:w="2042" w:type="dxa"/>
            <w:tcBorders>
              <w:top w:val="nil"/>
              <w:left w:val="nil"/>
              <w:bottom w:val="nil"/>
              <w:right w:val="nil"/>
            </w:tcBorders>
            <w:shd w:val="clear" w:color="auto" w:fill="auto"/>
            <w:noWrap/>
            <w:vAlign w:val="bottom"/>
            <w:hideMark/>
          </w:tcPr>
          <w:p w:rsidR="00FD4646" w:rsidRPr="00ED1F55" w:rsidRDefault="00FD4646" w:rsidP="00ED695D">
            <w:pPr>
              <w:spacing w:before="0" w:after="0"/>
              <w:jc w:val="right"/>
              <w:rPr>
                <w:color w:val="000000"/>
                <w:sz w:val="22"/>
                <w:szCs w:val="22"/>
              </w:rPr>
            </w:pPr>
            <w:r w:rsidRPr="00ED1F55">
              <w:rPr>
                <w:color w:val="000000"/>
                <w:sz w:val="22"/>
                <w:szCs w:val="22"/>
              </w:rPr>
              <w:t>1,103</w:t>
            </w:r>
          </w:p>
        </w:tc>
        <w:tc>
          <w:tcPr>
            <w:tcW w:w="2074" w:type="dxa"/>
            <w:tcBorders>
              <w:top w:val="nil"/>
              <w:left w:val="nil"/>
              <w:bottom w:val="nil"/>
              <w:right w:val="nil"/>
            </w:tcBorders>
            <w:shd w:val="clear" w:color="auto" w:fill="auto"/>
            <w:noWrap/>
            <w:vAlign w:val="bottom"/>
            <w:hideMark/>
          </w:tcPr>
          <w:p w:rsidR="00FD4646" w:rsidRPr="00ED1F55" w:rsidRDefault="00FD4646" w:rsidP="00ED695D">
            <w:pPr>
              <w:spacing w:before="0" w:after="0"/>
              <w:jc w:val="right"/>
              <w:rPr>
                <w:i/>
                <w:iCs/>
                <w:color w:val="000000"/>
                <w:sz w:val="22"/>
                <w:szCs w:val="22"/>
              </w:rPr>
            </w:pPr>
            <w:r w:rsidRPr="00ED1F55">
              <w:rPr>
                <w:i/>
                <w:iCs/>
                <w:color w:val="000000"/>
                <w:sz w:val="22"/>
                <w:szCs w:val="22"/>
              </w:rPr>
              <w:t>8</w:t>
            </w:r>
          </w:p>
        </w:tc>
      </w:tr>
      <w:tr w:rsidR="00FD4646" w:rsidRPr="00ED1F55" w:rsidTr="00ED695D">
        <w:trPr>
          <w:trHeight w:val="281"/>
        </w:trPr>
        <w:tc>
          <w:tcPr>
            <w:tcW w:w="3701" w:type="dxa"/>
            <w:tcBorders>
              <w:top w:val="nil"/>
              <w:left w:val="nil"/>
              <w:bottom w:val="nil"/>
              <w:right w:val="nil"/>
            </w:tcBorders>
            <w:shd w:val="clear" w:color="000000" w:fill="FFFFFF"/>
            <w:noWrap/>
            <w:vAlign w:val="bottom"/>
            <w:hideMark/>
          </w:tcPr>
          <w:p w:rsidR="00FD4646" w:rsidRPr="00ED1F55" w:rsidRDefault="00FD4646" w:rsidP="00ED695D">
            <w:pPr>
              <w:spacing w:before="0" w:after="0" w:line="240" w:lineRule="auto"/>
              <w:rPr>
                <w:color w:val="000000"/>
                <w:sz w:val="22"/>
                <w:szCs w:val="22"/>
                <w:lang w:eastAsia="en-GB"/>
              </w:rPr>
            </w:pPr>
            <w:r w:rsidRPr="00ED1F55">
              <w:rPr>
                <w:color w:val="000000"/>
                <w:sz w:val="22"/>
                <w:szCs w:val="22"/>
                <w:lang w:eastAsia="en-GB"/>
              </w:rPr>
              <w:t> </w:t>
            </w:r>
          </w:p>
        </w:tc>
        <w:tc>
          <w:tcPr>
            <w:tcW w:w="1278" w:type="dxa"/>
            <w:tcBorders>
              <w:top w:val="nil"/>
              <w:left w:val="nil"/>
              <w:bottom w:val="nil"/>
              <w:right w:val="nil"/>
            </w:tcBorders>
            <w:shd w:val="clear" w:color="auto" w:fill="auto"/>
            <w:noWrap/>
            <w:vAlign w:val="bottom"/>
            <w:hideMark/>
          </w:tcPr>
          <w:p w:rsidR="00FD4646" w:rsidRPr="00ED1F55" w:rsidRDefault="00FD4646" w:rsidP="00ED695D">
            <w:pPr>
              <w:spacing w:before="0" w:after="0" w:line="240" w:lineRule="auto"/>
              <w:rPr>
                <w:color w:val="000000"/>
                <w:sz w:val="22"/>
                <w:szCs w:val="22"/>
                <w:lang w:eastAsia="en-GB"/>
              </w:rPr>
            </w:pPr>
          </w:p>
        </w:tc>
        <w:tc>
          <w:tcPr>
            <w:tcW w:w="2042" w:type="dxa"/>
            <w:tcBorders>
              <w:top w:val="nil"/>
              <w:left w:val="nil"/>
              <w:bottom w:val="nil"/>
              <w:right w:val="nil"/>
            </w:tcBorders>
            <w:shd w:val="clear" w:color="auto" w:fill="auto"/>
            <w:noWrap/>
            <w:vAlign w:val="bottom"/>
            <w:hideMark/>
          </w:tcPr>
          <w:p w:rsidR="00FD4646" w:rsidRPr="00ED1F55" w:rsidRDefault="00FD4646" w:rsidP="00ED695D">
            <w:pPr>
              <w:spacing w:before="0" w:after="0"/>
              <w:rPr>
                <w:color w:val="000000"/>
                <w:sz w:val="22"/>
                <w:szCs w:val="22"/>
              </w:rPr>
            </w:pPr>
          </w:p>
        </w:tc>
        <w:tc>
          <w:tcPr>
            <w:tcW w:w="2074" w:type="dxa"/>
            <w:tcBorders>
              <w:top w:val="nil"/>
              <w:left w:val="nil"/>
              <w:bottom w:val="nil"/>
              <w:right w:val="nil"/>
            </w:tcBorders>
            <w:shd w:val="clear" w:color="auto" w:fill="auto"/>
            <w:noWrap/>
            <w:vAlign w:val="bottom"/>
            <w:hideMark/>
          </w:tcPr>
          <w:p w:rsidR="00FD4646" w:rsidRPr="00ED1F55" w:rsidRDefault="00FD4646" w:rsidP="00ED695D">
            <w:pPr>
              <w:spacing w:before="0" w:after="0"/>
              <w:rPr>
                <w:i/>
                <w:iCs/>
                <w:color w:val="000000"/>
                <w:sz w:val="22"/>
                <w:szCs w:val="22"/>
              </w:rPr>
            </w:pPr>
          </w:p>
        </w:tc>
      </w:tr>
      <w:tr w:rsidR="00FD4646" w:rsidRPr="00ED1F55" w:rsidTr="00ED695D">
        <w:trPr>
          <w:trHeight w:val="281"/>
        </w:trPr>
        <w:tc>
          <w:tcPr>
            <w:tcW w:w="3701" w:type="dxa"/>
            <w:tcBorders>
              <w:top w:val="nil"/>
              <w:left w:val="nil"/>
              <w:bottom w:val="nil"/>
              <w:right w:val="nil"/>
            </w:tcBorders>
            <w:shd w:val="clear" w:color="000000" w:fill="FFFFFF"/>
            <w:noWrap/>
            <w:vAlign w:val="bottom"/>
            <w:hideMark/>
          </w:tcPr>
          <w:p w:rsidR="00FD4646" w:rsidRPr="00ED1F55" w:rsidRDefault="00FD4646" w:rsidP="00ED695D">
            <w:pPr>
              <w:spacing w:before="0" w:after="0" w:line="240" w:lineRule="auto"/>
              <w:rPr>
                <w:color w:val="000000"/>
                <w:sz w:val="22"/>
                <w:szCs w:val="22"/>
                <w:lang w:eastAsia="en-GB"/>
              </w:rPr>
            </w:pPr>
            <w:r w:rsidRPr="00ED1F55">
              <w:rPr>
                <w:color w:val="000000"/>
                <w:sz w:val="22"/>
                <w:szCs w:val="22"/>
                <w:lang w:eastAsia="en-GB"/>
              </w:rPr>
              <w:t>Unknown</w:t>
            </w:r>
          </w:p>
        </w:tc>
        <w:tc>
          <w:tcPr>
            <w:tcW w:w="1278" w:type="dxa"/>
            <w:tcBorders>
              <w:top w:val="nil"/>
              <w:left w:val="nil"/>
              <w:bottom w:val="nil"/>
              <w:right w:val="nil"/>
            </w:tcBorders>
            <w:shd w:val="clear" w:color="auto" w:fill="auto"/>
            <w:noWrap/>
            <w:vAlign w:val="bottom"/>
            <w:hideMark/>
          </w:tcPr>
          <w:p w:rsidR="00FD4646" w:rsidRPr="00ED1F55" w:rsidRDefault="00FD4646" w:rsidP="00ED695D">
            <w:pPr>
              <w:spacing w:before="0" w:after="0" w:line="240" w:lineRule="auto"/>
              <w:rPr>
                <w:color w:val="000000"/>
                <w:sz w:val="22"/>
                <w:szCs w:val="22"/>
                <w:lang w:eastAsia="en-GB"/>
              </w:rPr>
            </w:pPr>
          </w:p>
        </w:tc>
        <w:tc>
          <w:tcPr>
            <w:tcW w:w="2042" w:type="dxa"/>
            <w:tcBorders>
              <w:top w:val="nil"/>
              <w:left w:val="nil"/>
              <w:bottom w:val="nil"/>
              <w:right w:val="nil"/>
            </w:tcBorders>
            <w:shd w:val="clear" w:color="auto" w:fill="auto"/>
            <w:noWrap/>
            <w:vAlign w:val="bottom"/>
            <w:hideMark/>
          </w:tcPr>
          <w:p w:rsidR="00FD4646" w:rsidRPr="00ED1F55" w:rsidRDefault="00FD4646" w:rsidP="00ED695D">
            <w:pPr>
              <w:spacing w:before="0" w:after="0"/>
              <w:jc w:val="right"/>
              <w:rPr>
                <w:color w:val="000000"/>
                <w:sz w:val="22"/>
                <w:szCs w:val="22"/>
              </w:rPr>
            </w:pPr>
            <w:r w:rsidRPr="00ED1F55">
              <w:rPr>
                <w:color w:val="000000"/>
                <w:sz w:val="22"/>
                <w:szCs w:val="22"/>
              </w:rPr>
              <w:t>206</w:t>
            </w:r>
          </w:p>
        </w:tc>
        <w:tc>
          <w:tcPr>
            <w:tcW w:w="2074" w:type="dxa"/>
            <w:tcBorders>
              <w:top w:val="nil"/>
              <w:left w:val="nil"/>
              <w:bottom w:val="nil"/>
              <w:right w:val="nil"/>
            </w:tcBorders>
            <w:shd w:val="clear" w:color="auto" w:fill="auto"/>
            <w:noWrap/>
            <w:vAlign w:val="bottom"/>
            <w:hideMark/>
          </w:tcPr>
          <w:p w:rsidR="00FD4646" w:rsidRPr="00ED1F55" w:rsidRDefault="00FD4646" w:rsidP="00ED695D">
            <w:pPr>
              <w:spacing w:before="0" w:after="0"/>
              <w:jc w:val="right"/>
              <w:rPr>
                <w:i/>
                <w:iCs/>
                <w:color w:val="000000"/>
                <w:sz w:val="22"/>
                <w:szCs w:val="22"/>
              </w:rPr>
            </w:pPr>
            <w:r w:rsidRPr="00ED1F55">
              <w:rPr>
                <w:i/>
                <w:iCs/>
                <w:color w:val="000000"/>
                <w:sz w:val="22"/>
                <w:szCs w:val="22"/>
              </w:rPr>
              <w:t>-</w:t>
            </w:r>
          </w:p>
        </w:tc>
      </w:tr>
      <w:tr w:rsidR="00FD4646" w:rsidRPr="00ED1F55" w:rsidTr="00ED695D">
        <w:trPr>
          <w:trHeight w:val="281"/>
        </w:trPr>
        <w:tc>
          <w:tcPr>
            <w:tcW w:w="3701" w:type="dxa"/>
            <w:tcBorders>
              <w:top w:val="nil"/>
              <w:left w:val="nil"/>
              <w:bottom w:val="nil"/>
              <w:right w:val="nil"/>
            </w:tcBorders>
            <w:shd w:val="clear" w:color="auto" w:fill="auto"/>
            <w:noWrap/>
            <w:vAlign w:val="bottom"/>
            <w:hideMark/>
          </w:tcPr>
          <w:p w:rsidR="00FD4646" w:rsidRPr="00ED1F55" w:rsidRDefault="00FD4646" w:rsidP="00ED695D">
            <w:pPr>
              <w:spacing w:before="0" w:after="0" w:line="240" w:lineRule="auto"/>
              <w:rPr>
                <w:color w:val="000000"/>
                <w:sz w:val="22"/>
                <w:szCs w:val="22"/>
                <w:lang w:eastAsia="en-GB"/>
              </w:rPr>
            </w:pPr>
          </w:p>
        </w:tc>
        <w:tc>
          <w:tcPr>
            <w:tcW w:w="1278" w:type="dxa"/>
            <w:tcBorders>
              <w:top w:val="nil"/>
              <w:left w:val="nil"/>
              <w:bottom w:val="nil"/>
              <w:right w:val="nil"/>
            </w:tcBorders>
            <w:shd w:val="clear" w:color="auto" w:fill="auto"/>
            <w:noWrap/>
            <w:vAlign w:val="bottom"/>
            <w:hideMark/>
          </w:tcPr>
          <w:p w:rsidR="00FD4646" w:rsidRPr="00ED1F55" w:rsidRDefault="00FD4646" w:rsidP="00ED695D">
            <w:pPr>
              <w:spacing w:before="0" w:after="0" w:line="240" w:lineRule="auto"/>
              <w:rPr>
                <w:color w:val="000000"/>
                <w:sz w:val="22"/>
                <w:szCs w:val="22"/>
                <w:lang w:eastAsia="en-GB"/>
              </w:rPr>
            </w:pPr>
          </w:p>
        </w:tc>
        <w:tc>
          <w:tcPr>
            <w:tcW w:w="2042" w:type="dxa"/>
            <w:tcBorders>
              <w:top w:val="nil"/>
              <w:left w:val="nil"/>
              <w:bottom w:val="nil"/>
              <w:right w:val="nil"/>
            </w:tcBorders>
            <w:shd w:val="clear" w:color="auto" w:fill="auto"/>
            <w:noWrap/>
            <w:vAlign w:val="bottom"/>
            <w:hideMark/>
          </w:tcPr>
          <w:p w:rsidR="00FD4646" w:rsidRPr="00ED1F55" w:rsidRDefault="00FD4646" w:rsidP="00ED695D">
            <w:pPr>
              <w:spacing w:before="0" w:after="0"/>
              <w:rPr>
                <w:color w:val="000000"/>
                <w:sz w:val="22"/>
                <w:szCs w:val="22"/>
              </w:rPr>
            </w:pPr>
          </w:p>
        </w:tc>
        <w:tc>
          <w:tcPr>
            <w:tcW w:w="2074" w:type="dxa"/>
            <w:tcBorders>
              <w:top w:val="nil"/>
              <w:left w:val="nil"/>
              <w:bottom w:val="nil"/>
              <w:right w:val="nil"/>
            </w:tcBorders>
            <w:shd w:val="clear" w:color="auto" w:fill="auto"/>
            <w:noWrap/>
            <w:vAlign w:val="bottom"/>
            <w:hideMark/>
          </w:tcPr>
          <w:p w:rsidR="00FD4646" w:rsidRPr="00ED1F55" w:rsidRDefault="00FD4646" w:rsidP="00ED695D">
            <w:pPr>
              <w:spacing w:before="0" w:after="0"/>
              <w:rPr>
                <w:color w:val="000000"/>
                <w:sz w:val="22"/>
                <w:szCs w:val="22"/>
              </w:rPr>
            </w:pPr>
          </w:p>
        </w:tc>
      </w:tr>
      <w:tr w:rsidR="00FD4646" w:rsidRPr="00ED1F55" w:rsidTr="00ED695D">
        <w:trPr>
          <w:trHeight w:val="296"/>
        </w:trPr>
        <w:tc>
          <w:tcPr>
            <w:tcW w:w="3701" w:type="dxa"/>
            <w:tcBorders>
              <w:top w:val="nil"/>
              <w:left w:val="nil"/>
              <w:bottom w:val="single" w:sz="4" w:space="0" w:color="auto"/>
              <w:right w:val="nil"/>
            </w:tcBorders>
            <w:shd w:val="clear" w:color="000000" w:fill="FFFFFF"/>
            <w:noWrap/>
            <w:vAlign w:val="bottom"/>
            <w:hideMark/>
          </w:tcPr>
          <w:p w:rsidR="00FD4646" w:rsidRPr="00ED1F55" w:rsidRDefault="00FD4646" w:rsidP="00ED695D">
            <w:pPr>
              <w:spacing w:before="0" w:after="0" w:line="240" w:lineRule="auto"/>
              <w:rPr>
                <w:b/>
                <w:bCs/>
                <w:color w:val="000000"/>
                <w:sz w:val="22"/>
                <w:szCs w:val="22"/>
                <w:lang w:eastAsia="en-GB"/>
              </w:rPr>
            </w:pPr>
            <w:r w:rsidRPr="00ED1F55">
              <w:rPr>
                <w:b/>
                <w:bCs/>
                <w:color w:val="000000"/>
                <w:sz w:val="22"/>
                <w:szCs w:val="22"/>
                <w:lang w:eastAsia="en-GB"/>
              </w:rPr>
              <w:t>Total</w:t>
            </w:r>
          </w:p>
        </w:tc>
        <w:tc>
          <w:tcPr>
            <w:tcW w:w="1278" w:type="dxa"/>
            <w:tcBorders>
              <w:top w:val="nil"/>
              <w:left w:val="nil"/>
              <w:bottom w:val="single" w:sz="4" w:space="0" w:color="auto"/>
              <w:right w:val="nil"/>
            </w:tcBorders>
            <w:shd w:val="clear" w:color="auto" w:fill="auto"/>
            <w:noWrap/>
            <w:vAlign w:val="bottom"/>
            <w:hideMark/>
          </w:tcPr>
          <w:p w:rsidR="00FD4646" w:rsidRPr="00ED1F55" w:rsidRDefault="00FD4646" w:rsidP="00ED695D">
            <w:pPr>
              <w:spacing w:before="0" w:after="0" w:line="240" w:lineRule="auto"/>
              <w:rPr>
                <w:b/>
                <w:bCs/>
                <w:color w:val="000000"/>
                <w:sz w:val="22"/>
                <w:szCs w:val="22"/>
                <w:lang w:eastAsia="en-GB"/>
              </w:rPr>
            </w:pPr>
            <w:r w:rsidRPr="00ED1F55">
              <w:rPr>
                <w:b/>
                <w:bCs/>
                <w:color w:val="000000"/>
                <w:sz w:val="22"/>
                <w:szCs w:val="22"/>
                <w:lang w:eastAsia="en-GB"/>
              </w:rPr>
              <w:t> </w:t>
            </w:r>
          </w:p>
        </w:tc>
        <w:tc>
          <w:tcPr>
            <w:tcW w:w="2042" w:type="dxa"/>
            <w:tcBorders>
              <w:top w:val="nil"/>
              <w:left w:val="nil"/>
              <w:bottom w:val="single" w:sz="4" w:space="0" w:color="auto"/>
              <w:right w:val="nil"/>
            </w:tcBorders>
            <w:shd w:val="clear" w:color="auto" w:fill="auto"/>
            <w:noWrap/>
            <w:vAlign w:val="bottom"/>
            <w:hideMark/>
          </w:tcPr>
          <w:p w:rsidR="00FD4646" w:rsidRPr="00ED1F55" w:rsidRDefault="00FD4646" w:rsidP="00ED695D">
            <w:pPr>
              <w:spacing w:before="0" w:after="0"/>
              <w:jc w:val="right"/>
              <w:rPr>
                <w:b/>
                <w:bCs/>
                <w:color w:val="000000"/>
                <w:sz w:val="22"/>
                <w:szCs w:val="22"/>
              </w:rPr>
            </w:pPr>
            <w:r w:rsidRPr="00ED1F55">
              <w:rPr>
                <w:b/>
                <w:bCs/>
                <w:color w:val="000000"/>
                <w:sz w:val="22"/>
                <w:szCs w:val="22"/>
              </w:rPr>
              <w:t>14,743</w:t>
            </w:r>
          </w:p>
        </w:tc>
        <w:tc>
          <w:tcPr>
            <w:tcW w:w="2074" w:type="dxa"/>
            <w:tcBorders>
              <w:top w:val="nil"/>
              <w:left w:val="nil"/>
              <w:bottom w:val="single" w:sz="4" w:space="0" w:color="auto"/>
              <w:right w:val="nil"/>
            </w:tcBorders>
            <w:shd w:val="clear" w:color="auto" w:fill="auto"/>
            <w:noWrap/>
            <w:vAlign w:val="bottom"/>
            <w:hideMark/>
          </w:tcPr>
          <w:p w:rsidR="00FD4646" w:rsidRPr="00ED1F55" w:rsidRDefault="00FD4646" w:rsidP="00ED695D">
            <w:pPr>
              <w:spacing w:before="0" w:after="0"/>
              <w:jc w:val="right"/>
              <w:rPr>
                <w:b/>
                <w:bCs/>
                <w:i/>
                <w:iCs/>
                <w:color w:val="000000"/>
                <w:sz w:val="22"/>
                <w:szCs w:val="22"/>
              </w:rPr>
            </w:pPr>
            <w:r w:rsidRPr="00ED1F55">
              <w:rPr>
                <w:b/>
                <w:bCs/>
                <w:i/>
                <w:iCs/>
                <w:color w:val="000000"/>
                <w:sz w:val="22"/>
                <w:szCs w:val="22"/>
              </w:rPr>
              <w:t>100</w:t>
            </w:r>
          </w:p>
        </w:tc>
      </w:tr>
    </w:tbl>
    <w:p w:rsidR="00FD4646" w:rsidRPr="0077452A" w:rsidRDefault="00FD4646" w:rsidP="00ED1F55">
      <w:pPr>
        <w:spacing w:after="0" w:line="270" w:lineRule="atLeast"/>
        <w:jc w:val="both"/>
        <w:rPr>
          <w:bCs/>
        </w:rPr>
      </w:pPr>
      <w:r w:rsidRPr="003D6AAC">
        <w:rPr>
          <w:bCs/>
          <w:sz w:val="21"/>
          <w:szCs w:val="21"/>
          <w:vertAlign w:val="superscript"/>
        </w:rPr>
        <w:t>1</w:t>
      </w:r>
      <w:r w:rsidRPr="003D6AAC">
        <w:rPr>
          <w:bCs/>
          <w:sz w:val="21"/>
          <w:szCs w:val="21"/>
        </w:rPr>
        <w:t xml:space="preserve"> Percentage of </w:t>
      </w:r>
      <w:r>
        <w:rPr>
          <w:bCs/>
          <w:sz w:val="21"/>
          <w:szCs w:val="21"/>
        </w:rPr>
        <w:t>Cashback vouchers paid</w:t>
      </w:r>
      <w:r w:rsidRPr="003D6AAC">
        <w:rPr>
          <w:bCs/>
          <w:sz w:val="21"/>
          <w:szCs w:val="21"/>
        </w:rPr>
        <w:t xml:space="preserve"> is calculated only for those where tenure is known.</w:t>
      </w:r>
    </w:p>
    <w:p w:rsidR="00ED1F55" w:rsidRDefault="00ED1F55" w:rsidP="00D32D75">
      <w:pPr>
        <w:spacing w:before="0" w:after="0" w:line="270" w:lineRule="atLeast"/>
        <w:jc w:val="both"/>
        <w:rPr>
          <w:b/>
          <w:bCs/>
          <w:sz w:val="22"/>
          <w:szCs w:val="22"/>
        </w:rPr>
      </w:pPr>
    </w:p>
    <w:p w:rsidR="00D32D75" w:rsidRPr="00ED1F55" w:rsidRDefault="00D32D75" w:rsidP="00D32D75">
      <w:pPr>
        <w:spacing w:before="0" w:after="0" w:line="270" w:lineRule="atLeast"/>
        <w:jc w:val="both"/>
        <w:rPr>
          <w:b/>
          <w:bCs/>
          <w:sz w:val="22"/>
          <w:szCs w:val="22"/>
        </w:rPr>
      </w:pPr>
      <w:r w:rsidRPr="00ED1F55">
        <w:rPr>
          <w:b/>
          <w:bCs/>
          <w:sz w:val="22"/>
          <w:szCs w:val="22"/>
        </w:rPr>
        <w:lastRenderedPageBreak/>
        <w:t>Table 1.10d: Number of Green Deal Home Improvement Fund vouchers paid by region, up to 30th September 2014, England and Wales</w:t>
      </w:r>
    </w:p>
    <w:p w:rsidR="00D32D75" w:rsidRPr="00ED1F55" w:rsidRDefault="00D32D75" w:rsidP="00D32D75">
      <w:pPr>
        <w:spacing w:before="0" w:after="0" w:line="270" w:lineRule="atLeast"/>
        <w:jc w:val="both"/>
        <w:rPr>
          <w:b/>
          <w:bCs/>
          <w:sz w:val="22"/>
          <w:szCs w:val="22"/>
        </w:rPr>
      </w:pPr>
    </w:p>
    <w:tbl>
      <w:tblPr>
        <w:tblW w:w="11004" w:type="dxa"/>
        <w:tblInd w:w="93" w:type="dxa"/>
        <w:tblLook w:val="04A0" w:firstRow="1" w:lastRow="0" w:firstColumn="1" w:lastColumn="0" w:noHBand="0" w:noVBand="1"/>
      </w:tblPr>
      <w:tblGrid>
        <w:gridCol w:w="834"/>
        <w:gridCol w:w="833"/>
        <w:gridCol w:w="191"/>
        <w:gridCol w:w="425"/>
        <w:gridCol w:w="217"/>
        <w:gridCol w:w="278"/>
        <w:gridCol w:w="639"/>
        <w:gridCol w:w="284"/>
        <w:gridCol w:w="767"/>
        <w:gridCol w:w="1984"/>
        <w:gridCol w:w="142"/>
        <w:gridCol w:w="142"/>
        <w:gridCol w:w="1701"/>
        <w:gridCol w:w="141"/>
        <w:gridCol w:w="1060"/>
        <w:gridCol w:w="275"/>
        <w:gridCol w:w="275"/>
        <w:gridCol w:w="97"/>
        <w:gridCol w:w="135"/>
        <w:gridCol w:w="40"/>
        <w:gridCol w:w="272"/>
        <w:gridCol w:w="272"/>
      </w:tblGrid>
      <w:tr w:rsidR="00D32D75" w:rsidRPr="00ED1F55" w:rsidTr="001448FE">
        <w:trPr>
          <w:gridAfter w:val="3"/>
          <w:wAfter w:w="584" w:type="dxa"/>
          <w:trHeight w:val="866"/>
        </w:trPr>
        <w:tc>
          <w:tcPr>
            <w:tcW w:w="1858" w:type="dxa"/>
            <w:gridSpan w:val="3"/>
            <w:tcBorders>
              <w:top w:val="single" w:sz="4" w:space="0" w:color="auto"/>
              <w:left w:val="nil"/>
              <w:bottom w:val="single" w:sz="4" w:space="0" w:color="auto"/>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Area names</w:t>
            </w:r>
          </w:p>
        </w:tc>
        <w:tc>
          <w:tcPr>
            <w:tcW w:w="425" w:type="dxa"/>
            <w:tcBorders>
              <w:top w:val="single" w:sz="4" w:space="0" w:color="auto"/>
              <w:left w:val="nil"/>
              <w:bottom w:val="single" w:sz="4" w:space="0" w:color="auto"/>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2185" w:type="dxa"/>
            <w:gridSpan w:val="5"/>
            <w:tcBorders>
              <w:top w:val="single" w:sz="4" w:space="0" w:color="auto"/>
              <w:left w:val="nil"/>
              <w:bottom w:val="single" w:sz="4" w:space="0" w:color="auto"/>
              <w:right w:val="nil"/>
            </w:tcBorders>
            <w:shd w:val="clear" w:color="000000" w:fill="FFFFFF"/>
            <w:vAlign w:val="bottom"/>
            <w:hideMark/>
          </w:tcPr>
          <w:p w:rsidR="00D32D75" w:rsidRPr="00ED1F55" w:rsidRDefault="00D32D75" w:rsidP="008F136B">
            <w:pPr>
              <w:spacing w:before="0" w:after="0" w:line="240" w:lineRule="auto"/>
              <w:jc w:val="right"/>
              <w:rPr>
                <w:color w:val="000000"/>
                <w:sz w:val="22"/>
                <w:szCs w:val="22"/>
                <w:lang w:eastAsia="en-GB"/>
              </w:rPr>
            </w:pPr>
            <w:r w:rsidRPr="00ED1F55">
              <w:rPr>
                <w:color w:val="000000"/>
                <w:sz w:val="22"/>
                <w:szCs w:val="22"/>
                <w:lang w:eastAsia="en-GB"/>
              </w:rPr>
              <w:t xml:space="preserve">Total number of </w:t>
            </w:r>
            <w:r w:rsidR="00BD5945" w:rsidRPr="00ED1F55">
              <w:rPr>
                <w:color w:val="000000"/>
                <w:sz w:val="22"/>
                <w:szCs w:val="22"/>
                <w:lang w:eastAsia="en-GB"/>
              </w:rPr>
              <w:t>GDHIF</w:t>
            </w:r>
            <w:r w:rsidRPr="00ED1F55">
              <w:rPr>
                <w:color w:val="000000"/>
                <w:sz w:val="22"/>
                <w:szCs w:val="22"/>
                <w:lang w:eastAsia="en-GB"/>
              </w:rPr>
              <w:t xml:space="preserve"> vouchers paid</w:t>
            </w:r>
            <w:r w:rsidR="008F136B" w:rsidRPr="00ED1F55">
              <w:rPr>
                <w:sz w:val="22"/>
                <w:szCs w:val="22"/>
                <w:vertAlign w:val="superscript"/>
                <w:lang w:eastAsia="en-GB"/>
              </w:rPr>
              <w:t>1</w:t>
            </w:r>
          </w:p>
        </w:tc>
        <w:tc>
          <w:tcPr>
            <w:tcW w:w="2126" w:type="dxa"/>
            <w:gridSpan w:val="2"/>
            <w:tcBorders>
              <w:top w:val="single" w:sz="4" w:space="0" w:color="auto"/>
              <w:left w:val="nil"/>
              <w:bottom w:val="single" w:sz="4" w:space="0" w:color="auto"/>
              <w:right w:val="nil"/>
            </w:tcBorders>
            <w:shd w:val="clear" w:color="000000" w:fill="FFFFFF"/>
            <w:vAlign w:val="bottom"/>
            <w:hideMark/>
          </w:tcPr>
          <w:p w:rsidR="00D32D75" w:rsidRPr="00ED1F55" w:rsidRDefault="00D32D75" w:rsidP="00331FD0">
            <w:pPr>
              <w:spacing w:before="0" w:after="0" w:line="240" w:lineRule="auto"/>
              <w:jc w:val="right"/>
              <w:rPr>
                <w:sz w:val="22"/>
                <w:szCs w:val="22"/>
                <w:lang w:eastAsia="en-GB"/>
              </w:rPr>
            </w:pPr>
            <w:r w:rsidRPr="00ED1F55">
              <w:rPr>
                <w:sz w:val="22"/>
                <w:szCs w:val="22"/>
                <w:lang w:eastAsia="en-GB"/>
              </w:rPr>
              <w:t xml:space="preserve"> Valid percentage of </w:t>
            </w:r>
            <w:r w:rsidR="00BD5945" w:rsidRPr="00ED1F55">
              <w:rPr>
                <w:sz w:val="22"/>
                <w:szCs w:val="22"/>
                <w:lang w:eastAsia="en-GB"/>
              </w:rPr>
              <w:t>GDHIF</w:t>
            </w:r>
            <w:r w:rsidRPr="00ED1F55">
              <w:rPr>
                <w:sz w:val="22"/>
                <w:szCs w:val="22"/>
                <w:lang w:eastAsia="en-GB"/>
              </w:rPr>
              <w:t xml:space="preserve"> vouchers paid</w:t>
            </w:r>
            <w:r w:rsidR="00331FD0">
              <w:rPr>
                <w:sz w:val="22"/>
                <w:szCs w:val="22"/>
                <w:vertAlign w:val="superscript"/>
                <w:lang w:eastAsia="en-GB"/>
              </w:rPr>
              <w:t>2</w:t>
            </w:r>
            <w:r w:rsidRPr="00ED1F55">
              <w:rPr>
                <w:sz w:val="22"/>
                <w:szCs w:val="22"/>
                <w:vertAlign w:val="superscript"/>
                <w:lang w:eastAsia="en-GB"/>
              </w:rPr>
              <w:t>,</w:t>
            </w:r>
            <w:r w:rsidR="00331FD0">
              <w:rPr>
                <w:sz w:val="22"/>
                <w:szCs w:val="22"/>
                <w:vertAlign w:val="superscript"/>
                <w:lang w:eastAsia="en-GB"/>
              </w:rPr>
              <w:t>3</w:t>
            </w:r>
          </w:p>
        </w:tc>
        <w:tc>
          <w:tcPr>
            <w:tcW w:w="1843" w:type="dxa"/>
            <w:gridSpan w:val="2"/>
            <w:tcBorders>
              <w:top w:val="single" w:sz="4" w:space="0" w:color="auto"/>
              <w:left w:val="nil"/>
              <w:bottom w:val="single" w:sz="4" w:space="0" w:color="auto"/>
              <w:right w:val="nil"/>
            </w:tcBorders>
            <w:shd w:val="clear" w:color="000000" w:fill="FFFFFF"/>
            <w:vAlign w:val="bottom"/>
            <w:hideMark/>
          </w:tcPr>
          <w:p w:rsidR="00D32D75" w:rsidRPr="00ED1F55" w:rsidRDefault="00D32D75" w:rsidP="00ED695D">
            <w:pPr>
              <w:spacing w:before="0" w:after="0" w:line="240" w:lineRule="auto"/>
              <w:jc w:val="right"/>
              <w:rPr>
                <w:sz w:val="22"/>
                <w:szCs w:val="22"/>
                <w:lang w:eastAsia="en-GB"/>
              </w:rPr>
            </w:pPr>
            <w:r w:rsidRPr="00ED1F55">
              <w:rPr>
                <w:sz w:val="22"/>
                <w:szCs w:val="22"/>
                <w:lang w:eastAsia="en-GB"/>
              </w:rPr>
              <w:t>Households with at least one usual resident</w:t>
            </w:r>
            <w:r w:rsidR="00331FD0">
              <w:rPr>
                <w:sz w:val="22"/>
                <w:szCs w:val="22"/>
                <w:vertAlign w:val="superscript"/>
                <w:lang w:eastAsia="en-GB"/>
              </w:rPr>
              <w:t>4</w:t>
            </w:r>
          </w:p>
        </w:tc>
        <w:tc>
          <w:tcPr>
            <w:tcW w:w="1983" w:type="dxa"/>
            <w:gridSpan w:val="6"/>
            <w:tcBorders>
              <w:top w:val="single" w:sz="4" w:space="0" w:color="auto"/>
              <w:left w:val="nil"/>
              <w:bottom w:val="single" w:sz="4" w:space="0" w:color="auto"/>
              <w:right w:val="nil"/>
            </w:tcBorders>
            <w:shd w:val="clear" w:color="000000" w:fill="FFFFFF"/>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GDHIF</w:t>
            </w:r>
            <w:r w:rsidR="00D32D75" w:rsidRPr="00ED1F55">
              <w:rPr>
                <w:sz w:val="22"/>
                <w:szCs w:val="22"/>
                <w:lang w:eastAsia="en-GB"/>
              </w:rPr>
              <w:t xml:space="preserve"> vouchers paid per 10,000 households</w:t>
            </w:r>
          </w:p>
        </w:tc>
      </w:tr>
      <w:tr w:rsidR="00D32D75" w:rsidRPr="00ED1F55" w:rsidTr="001448FE">
        <w:trPr>
          <w:gridAfter w:val="3"/>
          <w:wAfter w:w="584" w:type="dxa"/>
          <w:trHeight w:val="255"/>
        </w:trPr>
        <w:tc>
          <w:tcPr>
            <w:tcW w:w="834"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b/>
                <w:bCs/>
                <w:sz w:val="22"/>
                <w:szCs w:val="22"/>
                <w:lang w:eastAsia="en-GB"/>
              </w:rPr>
            </w:pPr>
            <w:r w:rsidRPr="00ED1F55">
              <w:rPr>
                <w:b/>
                <w:bCs/>
                <w:sz w:val="22"/>
                <w:szCs w:val="22"/>
                <w:lang w:eastAsia="en-GB"/>
              </w:rPr>
              <w:t> </w:t>
            </w:r>
          </w:p>
        </w:tc>
        <w:tc>
          <w:tcPr>
            <w:tcW w:w="833"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833" w:type="dxa"/>
            <w:gridSpan w:val="3"/>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278"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1690" w:type="dxa"/>
            <w:gridSpan w:val="3"/>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2268" w:type="dxa"/>
            <w:gridSpan w:val="3"/>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1842" w:type="dxa"/>
            <w:gridSpan w:val="2"/>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1842" w:type="dxa"/>
            <w:gridSpan w:val="5"/>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r>
      <w:tr w:rsidR="00D32D75" w:rsidRPr="00ED1F55" w:rsidTr="001448FE">
        <w:trPr>
          <w:gridAfter w:val="3"/>
          <w:wAfter w:w="584" w:type="dxa"/>
          <w:trHeight w:val="255"/>
        </w:trPr>
        <w:tc>
          <w:tcPr>
            <w:tcW w:w="2500" w:type="dxa"/>
            <w:gridSpan w:val="5"/>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b/>
                <w:bCs/>
                <w:color w:val="000000"/>
                <w:sz w:val="22"/>
                <w:szCs w:val="22"/>
                <w:lang w:eastAsia="en-GB"/>
              </w:rPr>
            </w:pPr>
            <w:r w:rsidRPr="00ED1F55">
              <w:rPr>
                <w:b/>
                <w:bCs/>
                <w:color w:val="000000"/>
                <w:sz w:val="22"/>
                <w:szCs w:val="22"/>
                <w:lang w:eastAsia="en-GB"/>
              </w:rPr>
              <w:t>England and Wales</w:t>
            </w:r>
          </w:p>
        </w:tc>
        <w:tc>
          <w:tcPr>
            <w:tcW w:w="278"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1690" w:type="dxa"/>
            <w:gridSpan w:val="3"/>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b/>
                <w:bCs/>
                <w:sz w:val="22"/>
                <w:szCs w:val="22"/>
                <w:lang w:eastAsia="en-GB"/>
              </w:rPr>
            </w:pPr>
            <w:r w:rsidRPr="00ED1F55">
              <w:rPr>
                <w:b/>
                <w:bCs/>
                <w:sz w:val="22"/>
                <w:szCs w:val="22"/>
                <w:lang w:eastAsia="en-GB"/>
              </w:rPr>
              <w:t>6,611</w:t>
            </w:r>
          </w:p>
        </w:tc>
        <w:tc>
          <w:tcPr>
            <w:tcW w:w="1984"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b/>
                <w:bCs/>
                <w:i/>
                <w:iCs/>
                <w:sz w:val="22"/>
                <w:szCs w:val="22"/>
                <w:lang w:eastAsia="en-GB"/>
              </w:rPr>
            </w:pPr>
            <w:r w:rsidRPr="00ED1F55">
              <w:rPr>
                <w:b/>
                <w:bCs/>
                <w:i/>
                <w:iCs/>
                <w:sz w:val="22"/>
                <w:szCs w:val="22"/>
                <w:lang w:eastAsia="en-GB"/>
              </w:rPr>
              <w:t>100</w:t>
            </w:r>
          </w:p>
        </w:tc>
        <w:tc>
          <w:tcPr>
            <w:tcW w:w="2126" w:type="dxa"/>
            <w:gridSpan w:val="4"/>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b/>
                <w:bCs/>
                <w:sz w:val="22"/>
                <w:szCs w:val="22"/>
                <w:lang w:eastAsia="en-GB"/>
              </w:rPr>
            </w:pPr>
            <w:r w:rsidRPr="00ED1F55">
              <w:rPr>
                <w:b/>
                <w:bCs/>
                <w:sz w:val="22"/>
                <w:szCs w:val="22"/>
                <w:lang w:eastAsia="en-GB"/>
              </w:rPr>
              <w:t>23,861,472</w:t>
            </w:r>
          </w:p>
        </w:tc>
        <w:tc>
          <w:tcPr>
            <w:tcW w:w="1842" w:type="dxa"/>
            <w:gridSpan w:val="5"/>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b/>
                <w:bCs/>
                <w:sz w:val="22"/>
                <w:szCs w:val="22"/>
                <w:lang w:eastAsia="en-GB"/>
              </w:rPr>
            </w:pPr>
            <w:r w:rsidRPr="00ED1F55">
              <w:rPr>
                <w:b/>
                <w:bCs/>
                <w:sz w:val="22"/>
                <w:szCs w:val="22"/>
                <w:lang w:eastAsia="en-GB"/>
              </w:rPr>
              <w:t>2.8</w:t>
            </w:r>
          </w:p>
        </w:tc>
      </w:tr>
      <w:tr w:rsidR="00D32D75" w:rsidRPr="00ED1F55" w:rsidTr="001448FE">
        <w:trPr>
          <w:gridAfter w:val="3"/>
          <w:wAfter w:w="584" w:type="dxa"/>
          <w:trHeight w:val="255"/>
        </w:trPr>
        <w:tc>
          <w:tcPr>
            <w:tcW w:w="834" w:type="dxa"/>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b/>
                <w:bCs/>
                <w:color w:val="000000"/>
                <w:sz w:val="22"/>
                <w:szCs w:val="22"/>
                <w:lang w:eastAsia="en-GB"/>
              </w:rPr>
            </w:pPr>
            <w:r w:rsidRPr="00ED1F55">
              <w:rPr>
                <w:b/>
                <w:bCs/>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b/>
                <w:bCs/>
                <w:color w:val="000000"/>
                <w:sz w:val="22"/>
                <w:szCs w:val="22"/>
                <w:lang w:eastAsia="en-GB"/>
              </w:rPr>
            </w:pPr>
            <w:r w:rsidRPr="00ED1F55">
              <w:rPr>
                <w:b/>
                <w:bCs/>
                <w:color w:val="000000"/>
                <w:sz w:val="22"/>
                <w:szCs w:val="22"/>
                <w:lang w:eastAsia="en-GB"/>
              </w:rPr>
              <w:t> </w:t>
            </w:r>
          </w:p>
        </w:tc>
        <w:tc>
          <w:tcPr>
            <w:tcW w:w="833" w:type="dxa"/>
            <w:gridSpan w:val="3"/>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b/>
                <w:bCs/>
                <w:color w:val="000000"/>
                <w:sz w:val="22"/>
                <w:szCs w:val="22"/>
                <w:lang w:eastAsia="en-GB"/>
              </w:rPr>
            </w:pPr>
            <w:r w:rsidRPr="00ED1F55">
              <w:rPr>
                <w:b/>
                <w:bCs/>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1690" w:type="dxa"/>
            <w:gridSpan w:val="3"/>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b/>
                <w:bCs/>
                <w:sz w:val="22"/>
                <w:szCs w:val="22"/>
                <w:lang w:eastAsia="en-GB"/>
              </w:rPr>
            </w:pPr>
            <w:r w:rsidRPr="00ED1F55">
              <w:rPr>
                <w:b/>
                <w:bCs/>
                <w:sz w:val="22"/>
                <w:szCs w:val="22"/>
                <w:lang w:eastAsia="en-GB"/>
              </w:rPr>
              <w:t> </w:t>
            </w:r>
          </w:p>
        </w:tc>
        <w:tc>
          <w:tcPr>
            <w:tcW w:w="1984"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i/>
                <w:iCs/>
                <w:sz w:val="22"/>
                <w:szCs w:val="22"/>
                <w:lang w:eastAsia="en-GB"/>
              </w:rPr>
            </w:pPr>
            <w:r w:rsidRPr="00ED1F55">
              <w:rPr>
                <w:i/>
                <w:iCs/>
                <w:sz w:val="22"/>
                <w:szCs w:val="22"/>
                <w:lang w:eastAsia="en-GB"/>
              </w:rPr>
              <w:t> </w:t>
            </w:r>
          </w:p>
        </w:tc>
        <w:tc>
          <w:tcPr>
            <w:tcW w:w="2126" w:type="dxa"/>
            <w:gridSpan w:val="4"/>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1842" w:type="dxa"/>
            <w:gridSpan w:val="5"/>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r>
      <w:tr w:rsidR="00D32D75" w:rsidRPr="00ED1F55" w:rsidTr="001448FE">
        <w:trPr>
          <w:gridAfter w:val="3"/>
          <w:wAfter w:w="584" w:type="dxa"/>
          <w:trHeight w:val="255"/>
        </w:trPr>
        <w:tc>
          <w:tcPr>
            <w:tcW w:w="2500" w:type="dxa"/>
            <w:gridSpan w:val="5"/>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b/>
                <w:bCs/>
                <w:color w:val="000000"/>
                <w:sz w:val="22"/>
                <w:szCs w:val="22"/>
                <w:lang w:eastAsia="en-GB"/>
              </w:rPr>
            </w:pPr>
            <w:r w:rsidRPr="00ED1F55">
              <w:rPr>
                <w:b/>
                <w:bCs/>
                <w:color w:val="000000"/>
                <w:sz w:val="22"/>
                <w:szCs w:val="22"/>
                <w:lang w:eastAsia="en-GB"/>
              </w:rPr>
              <w:t>England</w:t>
            </w:r>
          </w:p>
        </w:tc>
        <w:tc>
          <w:tcPr>
            <w:tcW w:w="278"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1690" w:type="dxa"/>
            <w:gridSpan w:val="3"/>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b/>
                <w:bCs/>
                <w:sz w:val="22"/>
                <w:szCs w:val="22"/>
                <w:lang w:eastAsia="en-GB"/>
              </w:rPr>
            </w:pPr>
            <w:r w:rsidRPr="00ED1F55">
              <w:rPr>
                <w:b/>
                <w:bCs/>
                <w:sz w:val="22"/>
                <w:szCs w:val="22"/>
                <w:lang w:eastAsia="en-GB"/>
              </w:rPr>
              <w:t>5,593</w:t>
            </w:r>
          </w:p>
        </w:tc>
        <w:tc>
          <w:tcPr>
            <w:tcW w:w="1984" w:type="dxa"/>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b/>
                <w:bCs/>
                <w:i/>
                <w:iCs/>
                <w:sz w:val="22"/>
                <w:szCs w:val="22"/>
                <w:lang w:eastAsia="en-GB"/>
              </w:rPr>
            </w:pPr>
            <w:r w:rsidRPr="00ED1F55">
              <w:rPr>
                <w:b/>
                <w:bCs/>
                <w:i/>
                <w:iCs/>
                <w:sz w:val="22"/>
                <w:szCs w:val="22"/>
                <w:lang w:eastAsia="en-GB"/>
              </w:rPr>
              <w:t>85.1</w:t>
            </w:r>
          </w:p>
        </w:tc>
        <w:tc>
          <w:tcPr>
            <w:tcW w:w="2126" w:type="dxa"/>
            <w:gridSpan w:val="4"/>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b/>
                <w:bCs/>
                <w:sz w:val="22"/>
                <w:szCs w:val="22"/>
                <w:lang w:eastAsia="en-GB"/>
              </w:rPr>
            </w:pPr>
            <w:r w:rsidRPr="00ED1F55">
              <w:rPr>
                <w:b/>
                <w:bCs/>
                <w:sz w:val="22"/>
                <w:szCs w:val="22"/>
                <w:lang w:eastAsia="en-GB"/>
              </w:rPr>
              <w:t>22,542,903</w:t>
            </w:r>
          </w:p>
        </w:tc>
        <w:tc>
          <w:tcPr>
            <w:tcW w:w="1842" w:type="dxa"/>
            <w:gridSpan w:val="5"/>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b/>
                <w:bCs/>
                <w:sz w:val="22"/>
                <w:szCs w:val="22"/>
                <w:lang w:eastAsia="en-GB"/>
              </w:rPr>
            </w:pPr>
            <w:r w:rsidRPr="00ED1F55">
              <w:rPr>
                <w:b/>
                <w:bCs/>
                <w:sz w:val="22"/>
                <w:szCs w:val="22"/>
                <w:lang w:eastAsia="en-GB"/>
              </w:rPr>
              <w:t>2.5</w:t>
            </w:r>
          </w:p>
        </w:tc>
      </w:tr>
      <w:tr w:rsidR="00D32D75" w:rsidRPr="00ED1F55" w:rsidTr="001448FE">
        <w:trPr>
          <w:gridAfter w:val="3"/>
          <w:wAfter w:w="584" w:type="dxa"/>
          <w:trHeight w:val="255"/>
        </w:trPr>
        <w:tc>
          <w:tcPr>
            <w:tcW w:w="834" w:type="dxa"/>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color w:val="000000"/>
                <w:sz w:val="22"/>
                <w:szCs w:val="22"/>
                <w:lang w:eastAsia="en-GB"/>
              </w:rPr>
            </w:pPr>
            <w:r w:rsidRPr="00ED1F55">
              <w:rPr>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color w:val="000000"/>
                <w:sz w:val="22"/>
                <w:szCs w:val="22"/>
                <w:lang w:eastAsia="en-GB"/>
              </w:rPr>
            </w:pPr>
            <w:r w:rsidRPr="00ED1F55">
              <w:rPr>
                <w:color w:val="000000"/>
                <w:sz w:val="22"/>
                <w:szCs w:val="22"/>
                <w:lang w:eastAsia="en-GB"/>
              </w:rPr>
              <w:t> </w:t>
            </w:r>
          </w:p>
        </w:tc>
        <w:tc>
          <w:tcPr>
            <w:tcW w:w="833" w:type="dxa"/>
            <w:gridSpan w:val="3"/>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color w:val="000000"/>
                <w:sz w:val="22"/>
                <w:szCs w:val="22"/>
                <w:lang w:eastAsia="en-GB"/>
              </w:rPr>
            </w:pPr>
            <w:r w:rsidRPr="00ED1F55">
              <w:rPr>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1690" w:type="dxa"/>
            <w:gridSpan w:val="3"/>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b/>
                <w:bCs/>
                <w:sz w:val="22"/>
                <w:szCs w:val="22"/>
                <w:lang w:eastAsia="en-GB"/>
              </w:rPr>
            </w:pPr>
            <w:r w:rsidRPr="00ED1F55">
              <w:rPr>
                <w:b/>
                <w:bCs/>
                <w:sz w:val="22"/>
                <w:szCs w:val="22"/>
                <w:lang w:eastAsia="en-GB"/>
              </w:rPr>
              <w:t> </w:t>
            </w:r>
          </w:p>
        </w:tc>
        <w:tc>
          <w:tcPr>
            <w:tcW w:w="1984"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i/>
                <w:iCs/>
                <w:sz w:val="22"/>
                <w:szCs w:val="22"/>
                <w:lang w:eastAsia="en-GB"/>
              </w:rPr>
            </w:pPr>
            <w:r w:rsidRPr="00ED1F55">
              <w:rPr>
                <w:i/>
                <w:iCs/>
                <w:sz w:val="22"/>
                <w:szCs w:val="22"/>
                <w:lang w:eastAsia="en-GB"/>
              </w:rPr>
              <w:t> </w:t>
            </w:r>
          </w:p>
        </w:tc>
        <w:tc>
          <w:tcPr>
            <w:tcW w:w="2126" w:type="dxa"/>
            <w:gridSpan w:val="4"/>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1842" w:type="dxa"/>
            <w:gridSpan w:val="5"/>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r>
      <w:tr w:rsidR="00D32D75" w:rsidRPr="00ED1F55" w:rsidTr="001448FE">
        <w:trPr>
          <w:gridAfter w:val="3"/>
          <w:wAfter w:w="584" w:type="dxa"/>
          <w:trHeight w:val="255"/>
        </w:trPr>
        <w:tc>
          <w:tcPr>
            <w:tcW w:w="2500" w:type="dxa"/>
            <w:gridSpan w:val="5"/>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color w:val="000000"/>
                <w:sz w:val="22"/>
                <w:szCs w:val="22"/>
                <w:lang w:eastAsia="en-GB"/>
              </w:rPr>
            </w:pPr>
            <w:r w:rsidRPr="00ED1F55">
              <w:rPr>
                <w:color w:val="000000"/>
                <w:sz w:val="22"/>
                <w:szCs w:val="22"/>
                <w:lang w:eastAsia="en-GB"/>
              </w:rPr>
              <w:t>North East</w:t>
            </w:r>
          </w:p>
        </w:tc>
        <w:tc>
          <w:tcPr>
            <w:tcW w:w="278"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1690" w:type="dxa"/>
            <w:gridSpan w:val="3"/>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sz w:val="22"/>
                <w:szCs w:val="22"/>
                <w:lang w:eastAsia="en-GB"/>
              </w:rPr>
            </w:pPr>
            <w:r w:rsidRPr="00ED1F55">
              <w:rPr>
                <w:sz w:val="22"/>
                <w:szCs w:val="22"/>
                <w:lang w:eastAsia="en-GB"/>
              </w:rPr>
              <w:t>4</w:t>
            </w:r>
            <w:r w:rsidR="00BD5945" w:rsidRPr="00ED1F55">
              <w:rPr>
                <w:sz w:val="22"/>
                <w:szCs w:val="22"/>
                <w:lang w:eastAsia="en-GB"/>
              </w:rPr>
              <w:t>32</w:t>
            </w:r>
          </w:p>
        </w:tc>
        <w:tc>
          <w:tcPr>
            <w:tcW w:w="1984" w:type="dxa"/>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i/>
                <w:iCs/>
                <w:sz w:val="22"/>
                <w:szCs w:val="22"/>
                <w:lang w:eastAsia="en-GB"/>
              </w:rPr>
            </w:pPr>
            <w:r w:rsidRPr="00ED1F55">
              <w:rPr>
                <w:i/>
                <w:iCs/>
                <w:sz w:val="22"/>
                <w:szCs w:val="22"/>
                <w:lang w:eastAsia="en-GB"/>
              </w:rPr>
              <w:t>6.6</w:t>
            </w:r>
          </w:p>
        </w:tc>
        <w:tc>
          <w:tcPr>
            <w:tcW w:w="2126" w:type="dxa"/>
            <w:gridSpan w:val="4"/>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sz w:val="22"/>
                <w:szCs w:val="22"/>
                <w:lang w:eastAsia="en-GB"/>
              </w:rPr>
            </w:pPr>
            <w:r w:rsidRPr="00ED1F55">
              <w:rPr>
                <w:sz w:val="22"/>
                <w:szCs w:val="22"/>
                <w:lang w:eastAsia="en-GB"/>
              </w:rPr>
              <w:t>1,145,559</w:t>
            </w:r>
          </w:p>
        </w:tc>
        <w:tc>
          <w:tcPr>
            <w:tcW w:w="1842" w:type="dxa"/>
            <w:gridSpan w:val="5"/>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sz w:val="22"/>
                <w:szCs w:val="22"/>
                <w:lang w:eastAsia="en-GB"/>
              </w:rPr>
            </w:pPr>
            <w:r w:rsidRPr="00ED1F55">
              <w:rPr>
                <w:sz w:val="22"/>
                <w:szCs w:val="22"/>
                <w:lang w:eastAsia="en-GB"/>
              </w:rPr>
              <w:t>3.</w:t>
            </w:r>
            <w:r w:rsidR="00BD5945" w:rsidRPr="00ED1F55">
              <w:rPr>
                <w:sz w:val="22"/>
                <w:szCs w:val="22"/>
                <w:lang w:eastAsia="en-GB"/>
              </w:rPr>
              <w:t>8</w:t>
            </w:r>
          </w:p>
        </w:tc>
      </w:tr>
      <w:tr w:rsidR="00D32D75" w:rsidRPr="00ED1F55" w:rsidTr="001448FE">
        <w:trPr>
          <w:gridAfter w:val="3"/>
          <w:wAfter w:w="584" w:type="dxa"/>
          <w:trHeight w:val="255"/>
        </w:trPr>
        <w:tc>
          <w:tcPr>
            <w:tcW w:w="2500" w:type="dxa"/>
            <w:gridSpan w:val="5"/>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color w:val="000000"/>
                <w:sz w:val="22"/>
                <w:szCs w:val="22"/>
                <w:lang w:eastAsia="en-GB"/>
              </w:rPr>
            </w:pPr>
            <w:r w:rsidRPr="00ED1F55">
              <w:rPr>
                <w:color w:val="000000"/>
                <w:sz w:val="22"/>
                <w:szCs w:val="22"/>
                <w:lang w:eastAsia="en-GB"/>
              </w:rPr>
              <w:t xml:space="preserve">North West </w:t>
            </w:r>
          </w:p>
        </w:tc>
        <w:tc>
          <w:tcPr>
            <w:tcW w:w="278"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b/>
                <w:bCs/>
                <w:sz w:val="22"/>
                <w:szCs w:val="22"/>
                <w:lang w:eastAsia="en-GB"/>
              </w:rPr>
            </w:pPr>
            <w:r w:rsidRPr="00ED1F55">
              <w:rPr>
                <w:b/>
                <w:bCs/>
                <w:sz w:val="22"/>
                <w:szCs w:val="22"/>
                <w:lang w:eastAsia="en-GB"/>
              </w:rPr>
              <w:t> </w:t>
            </w:r>
          </w:p>
        </w:tc>
        <w:tc>
          <w:tcPr>
            <w:tcW w:w="1690" w:type="dxa"/>
            <w:gridSpan w:val="3"/>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1,317</w:t>
            </w:r>
          </w:p>
        </w:tc>
        <w:tc>
          <w:tcPr>
            <w:tcW w:w="1984"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i/>
                <w:iCs/>
                <w:sz w:val="22"/>
                <w:szCs w:val="22"/>
                <w:lang w:eastAsia="en-GB"/>
              </w:rPr>
            </w:pPr>
            <w:r w:rsidRPr="00ED1F55">
              <w:rPr>
                <w:i/>
                <w:iCs/>
                <w:sz w:val="22"/>
                <w:szCs w:val="22"/>
                <w:lang w:eastAsia="en-GB"/>
              </w:rPr>
              <w:t>2</w:t>
            </w:r>
            <w:r w:rsidR="00BD5945" w:rsidRPr="00ED1F55">
              <w:rPr>
                <w:i/>
                <w:iCs/>
                <w:sz w:val="22"/>
                <w:szCs w:val="22"/>
                <w:lang w:eastAsia="en-GB"/>
              </w:rPr>
              <w:t>0.0</w:t>
            </w:r>
          </w:p>
        </w:tc>
        <w:tc>
          <w:tcPr>
            <w:tcW w:w="2126" w:type="dxa"/>
            <w:gridSpan w:val="4"/>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sz w:val="22"/>
                <w:szCs w:val="22"/>
                <w:lang w:eastAsia="en-GB"/>
              </w:rPr>
            </w:pPr>
            <w:r w:rsidRPr="00ED1F55">
              <w:rPr>
                <w:sz w:val="22"/>
                <w:szCs w:val="22"/>
                <w:lang w:eastAsia="en-GB"/>
              </w:rPr>
              <w:t>3,046,753</w:t>
            </w:r>
          </w:p>
        </w:tc>
        <w:tc>
          <w:tcPr>
            <w:tcW w:w="1842" w:type="dxa"/>
            <w:gridSpan w:val="5"/>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4.3</w:t>
            </w:r>
          </w:p>
        </w:tc>
      </w:tr>
      <w:tr w:rsidR="00D32D75" w:rsidRPr="00ED1F55" w:rsidTr="001448FE">
        <w:trPr>
          <w:gridAfter w:val="3"/>
          <w:wAfter w:w="584" w:type="dxa"/>
          <w:trHeight w:val="255"/>
        </w:trPr>
        <w:tc>
          <w:tcPr>
            <w:tcW w:w="3417" w:type="dxa"/>
            <w:gridSpan w:val="7"/>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color w:val="000000"/>
                <w:sz w:val="22"/>
                <w:szCs w:val="22"/>
                <w:lang w:eastAsia="en-GB"/>
              </w:rPr>
            </w:pPr>
            <w:r w:rsidRPr="00ED1F55">
              <w:rPr>
                <w:color w:val="000000"/>
                <w:sz w:val="22"/>
                <w:szCs w:val="22"/>
                <w:lang w:eastAsia="en-GB"/>
              </w:rPr>
              <w:t>Yorkshire and The Humber</w:t>
            </w:r>
          </w:p>
        </w:tc>
        <w:tc>
          <w:tcPr>
            <w:tcW w:w="284"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b/>
                <w:bCs/>
                <w:sz w:val="22"/>
                <w:szCs w:val="22"/>
                <w:lang w:eastAsia="en-GB"/>
              </w:rPr>
            </w:pPr>
            <w:r w:rsidRPr="00ED1F55">
              <w:rPr>
                <w:b/>
                <w:bCs/>
                <w:sz w:val="22"/>
                <w:szCs w:val="22"/>
                <w:lang w:eastAsia="en-GB"/>
              </w:rPr>
              <w:t> </w:t>
            </w:r>
          </w:p>
        </w:tc>
        <w:tc>
          <w:tcPr>
            <w:tcW w:w="767" w:type="dxa"/>
            <w:tcBorders>
              <w:top w:val="nil"/>
              <w:left w:val="nil"/>
              <w:bottom w:val="nil"/>
              <w:right w:val="nil"/>
            </w:tcBorders>
            <w:shd w:val="clear" w:color="000000" w:fill="FFFFFF"/>
            <w:noWrap/>
            <w:vAlign w:val="bottom"/>
            <w:hideMark/>
          </w:tcPr>
          <w:p w:rsidR="00D32D75" w:rsidRPr="00ED1F55" w:rsidRDefault="00D32D75" w:rsidP="00BD5945">
            <w:pPr>
              <w:spacing w:before="0" w:after="0" w:line="240" w:lineRule="auto"/>
              <w:jc w:val="right"/>
              <w:rPr>
                <w:sz w:val="22"/>
                <w:szCs w:val="22"/>
                <w:lang w:eastAsia="en-GB"/>
              </w:rPr>
            </w:pPr>
            <w:r w:rsidRPr="00ED1F55">
              <w:rPr>
                <w:sz w:val="22"/>
                <w:szCs w:val="22"/>
                <w:lang w:eastAsia="en-GB"/>
              </w:rPr>
              <w:t>1,</w:t>
            </w:r>
            <w:r w:rsidR="00BD5945" w:rsidRPr="00ED1F55">
              <w:rPr>
                <w:sz w:val="22"/>
                <w:szCs w:val="22"/>
                <w:lang w:eastAsia="en-GB"/>
              </w:rPr>
              <w:t>091</w:t>
            </w:r>
          </w:p>
        </w:tc>
        <w:tc>
          <w:tcPr>
            <w:tcW w:w="1984"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i/>
                <w:iCs/>
                <w:sz w:val="22"/>
                <w:szCs w:val="22"/>
                <w:lang w:eastAsia="en-GB"/>
              </w:rPr>
            </w:pPr>
            <w:r w:rsidRPr="00ED1F55">
              <w:rPr>
                <w:i/>
                <w:iCs/>
                <w:sz w:val="22"/>
                <w:szCs w:val="22"/>
                <w:lang w:eastAsia="en-GB"/>
              </w:rPr>
              <w:t>1</w:t>
            </w:r>
            <w:r w:rsidR="00BD5945" w:rsidRPr="00ED1F55">
              <w:rPr>
                <w:i/>
                <w:iCs/>
                <w:sz w:val="22"/>
                <w:szCs w:val="22"/>
                <w:lang w:eastAsia="en-GB"/>
              </w:rPr>
              <w:t>6.6</w:t>
            </w:r>
          </w:p>
        </w:tc>
        <w:tc>
          <w:tcPr>
            <w:tcW w:w="2126" w:type="dxa"/>
            <w:gridSpan w:val="4"/>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sz w:val="22"/>
                <w:szCs w:val="22"/>
                <w:lang w:eastAsia="en-GB"/>
              </w:rPr>
            </w:pPr>
            <w:r w:rsidRPr="00ED1F55">
              <w:rPr>
                <w:sz w:val="22"/>
                <w:szCs w:val="22"/>
                <w:lang w:eastAsia="en-GB"/>
              </w:rPr>
              <w:t>2,262,423</w:t>
            </w:r>
          </w:p>
        </w:tc>
        <w:tc>
          <w:tcPr>
            <w:tcW w:w="1842" w:type="dxa"/>
            <w:gridSpan w:val="5"/>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4.8</w:t>
            </w:r>
          </w:p>
        </w:tc>
      </w:tr>
      <w:tr w:rsidR="00D32D75" w:rsidRPr="00ED1F55" w:rsidTr="001448FE">
        <w:trPr>
          <w:gridAfter w:val="3"/>
          <w:wAfter w:w="584" w:type="dxa"/>
          <w:trHeight w:val="255"/>
        </w:trPr>
        <w:tc>
          <w:tcPr>
            <w:tcW w:w="2500" w:type="dxa"/>
            <w:gridSpan w:val="5"/>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color w:val="000000"/>
                <w:sz w:val="22"/>
                <w:szCs w:val="22"/>
                <w:lang w:eastAsia="en-GB"/>
              </w:rPr>
            </w:pPr>
            <w:r w:rsidRPr="00ED1F55">
              <w:rPr>
                <w:color w:val="000000"/>
                <w:sz w:val="22"/>
                <w:szCs w:val="22"/>
                <w:lang w:eastAsia="en-GB"/>
              </w:rPr>
              <w:t>East Midlands</w:t>
            </w:r>
          </w:p>
        </w:tc>
        <w:tc>
          <w:tcPr>
            <w:tcW w:w="278"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1690" w:type="dxa"/>
            <w:gridSpan w:val="3"/>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738</w:t>
            </w:r>
          </w:p>
        </w:tc>
        <w:tc>
          <w:tcPr>
            <w:tcW w:w="1984"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i/>
                <w:iCs/>
                <w:sz w:val="22"/>
                <w:szCs w:val="22"/>
                <w:lang w:eastAsia="en-GB"/>
              </w:rPr>
            </w:pPr>
            <w:r w:rsidRPr="00ED1F55">
              <w:rPr>
                <w:i/>
                <w:iCs/>
                <w:sz w:val="22"/>
                <w:szCs w:val="22"/>
                <w:lang w:eastAsia="en-GB"/>
              </w:rPr>
              <w:t>1</w:t>
            </w:r>
            <w:r w:rsidR="00BD5945" w:rsidRPr="00ED1F55">
              <w:rPr>
                <w:i/>
                <w:iCs/>
                <w:sz w:val="22"/>
                <w:szCs w:val="22"/>
                <w:lang w:eastAsia="en-GB"/>
              </w:rPr>
              <w:t>1.2</w:t>
            </w:r>
          </w:p>
        </w:tc>
        <w:tc>
          <w:tcPr>
            <w:tcW w:w="2126" w:type="dxa"/>
            <w:gridSpan w:val="4"/>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sz w:val="22"/>
                <w:szCs w:val="22"/>
                <w:lang w:eastAsia="en-GB"/>
              </w:rPr>
            </w:pPr>
            <w:r w:rsidRPr="00ED1F55">
              <w:rPr>
                <w:sz w:val="22"/>
                <w:szCs w:val="22"/>
                <w:lang w:eastAsia="en-GB"/>
              </w:rPr>
              <w:t>1,935,710</w:t>
            </w:r>
          </w:p>
        </w:tc>
        <w:tc>
          <w:tcPr>
            <w:tcW w:w="1842" w:type="dxa"/>
            <w:gridSpan w:val="5"/>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3.8</w:t>
            </w:r>
          </w:p>
        </w:tc>
      </w:tr>
      <w:tr w:rsidR="00D32D75" w:rsidRPr="00ED1F55" w:rsidTr="001448FE">
        <w:trPr>
          <w:gridAfter w:val="3"/>
          <w:wAfter w:w="584" w:type="dxa"/>
          <w:trHeight w:val="255"/>
        </w:trPr>
        <w:tc>
          <w:tcPr>
            <w:tcW w:w="2500" w:type="dxa"/>
            <w:gridSpan w:val="5"/>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color w:val="000000"/>
                <w:sz w:val="22"/>
                <w:szCs w:val="22"/>
                <w:lang w:eastAsia="en-GB"/>
              </w:rPr>
            </w:pPr>
            <w:r w:rsidRPr="00ED1F55">
              <w:rPr>
                <w:color w:val="000000"/>
                <w:sz w:val="22"/>
                <w:szCs w:val="22"/>
                <w:lang w:eastAsia="en-GB"/>
              </w:rPr>
              <w:t>West Midlands</w:t>
            </w:r>
          </w:p>
        </w:tc>
        <w:tc>
          <w:tcPr>
            <w:tcW w:w="278"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b/>
                <w:bCs/>
                <w:sz w:val="22"/>
                <w:szCs w:val="22"/>
                <w:lang w:eastAsia="en-GB"/>
              </w:rPr>
            </w:pPr>
            <w:r w:rsidRPr="00ED1F55">
              <w:rPr>
                <w:b/>
                <w:bCs/>
                <w:sz w:val="22"/>
                <w:szCs w:val="22"/>
                <w:lang w:eastAsia="en-GB"/>
              </w:rPr>
              <w:t> </w:t>
            </w:r>
          </w:p>
        </w:tc>
        <w:tc>
          <w:tcPr>
            <w:tcW w:w="1690" w:type="dxa"/>
            <w:gridSpan w:val="3"/>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901</w:t>
            </w:r>
          </w:p>
        </w:tc>
        <w:tc>
          <w:tcPr>
            <w:tcW w:w="1984" w:type="dxa"/>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i/>
                <w:iCs/>
                <w:sz w:val="22"/>
                <w:szCs w:val="22"/>
                <w:lang w:eastAsia="en-GB"/>
              </w:rPr>
            </w:pPr>
            <w:r w:rsidRPr="00ED1F55">
              <w:rPr>
                <w:i/>
                <w:iCs/>
                <w:sz w:val="22"/>
                <w:szCs w:val="22"/>
                <w:lang w:eastAsia="en-GB"/>
              </w:rPr>
              <w:t>13.7</w:t>
            </w:r>
          </w:p>
        </w:tc>
        <w:tc>
          <w:tcPr>
            <w:tcW w:w="2126" w:type="dxa"/>
            <w:gridSpan w:val="4"/>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sz w:val="22"/>
                <w:szCs w:val="22"/>
                <w:lang w:eastAsia="en-GB"/>
              </w:rPr>
            </w:pPr>
            <w:r w:rsidRPr="00ED1F55">
              <w:rPr>
                <w:sz w:val="22"/>
                <w:szCs w:val="22"/>
                <w:lang w:eastAsia="en-GB"/>
              </w:rPr>
              <w:t>2,332,802</w:t>
            </w:r>
          </w:p>
        </w:tc>
        <w:tc>
          <w:tcPr>
            <w:tcW w:w="1842" w:type="dxa"/>
            <w:gridSpan w:val="5"/>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3.9</w:t>
            </w:r>
          </w:p>
        </w:tc>
      </w:tr>
      <w:tr w:rsidR="00D32D75" w:rsidRPr="00ED1F55" w:rsidTr="001448FE">
        <w:trPr>
          <w:gridAfter w:val="3"/>
          <w:wAfter w:w="584" w:type="dxa"/>
          <w:trHeight w:val="255"/>
        </w:trPr>
        <w:tc>
          <w:tcPr>
            <w:tcW w:w="1667" w:type="dxa"/>
            <w:gridSpan w:val="2"/>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color w:val="000000"/>
                <w:sz w:val="22"/>
                <w:szCs w:val="22"/>
                <w:lang w:eastAsia="en-GB"/>
              </w:rPr>
            </w:pPr>
            <w:r w:rsidRPr="00ED1F55">
              <w:rPr>
                <w:color w:val="000000"/>
                <w:sz w:val="22"/>
                <w:szCs w:val="22"/>
                <w:lang w:eastAsia="en-GB"/>
              </w:rPr>
              <w:t>East</w:t>
            </w:r>
          </w:p>
        </w:tc>
        <w:tc>
          <w:tcPr>
            <w:tcW w:w="833" w:type="dxa"/>
            <w:gridSpan w:val="3"/>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color w:val="000000"/>
                <w:sz w:val="22"/>
                <w:szCs w:val="22"/>
                <w:lang w:eastAsia="en-GB"/>
              </w:rPr>
            </w:pPr>
            <w:r w:rsidRPr="00ED1F55">
              <w:rPr>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b/>
                <w:bCs/>
                <w:sz w:val="22"/>
                <w:szCs w:val="22"/>
                <w:lang w:eastAsia="en-GB"/>
              </w:rPr>
            </w:pPr>
            <w:r w:rsidRPr="00ED1F55">
              <w:rPr>
                <w:b/>
                <w:bCs/>
                <w:sz w:val="22"/>
                <w:szCs w:val="22"/>
                <w:lang w:eastAsia="en-GB"/>
              </w:rPr>
              <w:t> </w:t>
            </w:r>
          </w:p>
        </w:tc>
        <w:tc>
          <w:tcPr>
            <w:tcW w:w="1690" w:type="dxa"/>
            <w:gridSpan w:val="3"/>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266</w:t>
            </w:r>
          </w:p>
        </w:tc>
        <w:tc>
          <w:tcPr>
            <w:tcW w:w="1984" w:type="dxa"/>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4.0</w:t>
            </w:r>
          </w:p>
        </w:tc>
        <w:tc>
          <w:tcPr>
            <w:tcW w:w="2126" w:type="dxa"/>
            <w:gridSpan w:val="4"/>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sz w:val="22"/>
                <w:szCs w:val="22"/>
                <w:lang w:eastAsia="en-GB"/>
              </w:rPr>
            </w:pPr>
            <w:r w:rsidRPr="00ED1F55">
              <w:rPr>
                <w:sz w:val="22"/>
                <w:szCs w:val="22"/>
                <w:lang w:eastAsia="en-GB"/>
              </w:rPr>
              <w:t>2,484,620</w:t>
            </w:r>
          </w:p>
        </w:tc>
        <w:tc>
          <w:tcPr>
            <w:tcW w:w="1842" w:type="dxa"/>
            <w:gridSpan w:val="5"/>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1.1</w:t>
            </w:r>
          </w:p>
        </w:tc>
      </w:tr>
      <w:tr w:rsidR="00D32D75" w:rsidRPr="00ED1F55" w:rsidTr="001448FE">
        <w:trPr>
          <w:gridAfter w:val="3"/>
          <w:wAfter w:w="584" w:type="dxa"/>
          <w:trHeight w:val="255"/>
        </w:trPr>
        <w:tc>
          <w:tcPr>
            <w:tcW w:w="2500" w:type="dxa"/>
            <w:gridSpan w:val="5"/>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color w:val="000000"/>
                <w:sz w:val="22"/>
                <w:szCs w:val="22"/>
                <w:lang w:eastAsia="en-GB"/>
              </w:rPr>
            </w:pPr>
            <w:r w:rsidRPr="00ED1F55">
              <w:rPr>
                <w:color w:val="000000"/>
                <w:sz w:val="22"/>
                <w:szCs w:val="22"/>
                <w:lang w:eastAsia="en-GB"/>
              </w:rPr>
              <w:t>London</w:t>
            </w:r>
          </w:p>
        </w:tc>
        <w:tc>
          <w:tcPr>
            <w:tcW w:w="278"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1690" w:type="dxa"/>
            <w:gridSpan w:val="3"/>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208</w:t>
            </w:r>
          </w:p>
        </w:tc>
        <w:tc>
          <w:tcPr>
            <w:tcW w:w="1984" w:type="dxa"/>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i/>
                <w:iCs/>
                <w:sz w:val="22"/>
                <w:szCs w:val="22"/>
                <w:lang w:eastAsia="en-GB"/>
              </w:rPr>
            </w:pPr>
            <w:r w:rsidRPr="00ED1F55">
              <w:rPr>
                <w:i/>
                <w:iCs/>
                <w:sz w:val="22"/>
                <w:szCs w:val="22"/>
                <w:lang w:eastAsia="en-GB"/>
              </w:rPr>
              <w:t>3.2</w:t>
            </w:r>
          </w:p>
        </w:tc>
        <w:tc>
          <w:tcPr>
            <w:tcW w:w="2126" w:type="dxa"/>
            <w:gridSpan w:val="4"/>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sz w:val="22"/>
                <w:szCs w:val="22"/>
                <w:lang w:eastAsia="en-GB"/>
              </w:rPr>
            </w:pPr>
            <w:r w:rsidRPr="00ED1F55">
              <w:rPr>
                <w:sz w:val="22"/>
                <w:szCs w:val="22"/>
                <w:lang w:eastAsia="en-GB"/>
              </w:rPr>
              <w:t>3,383,918</w:t>
            </w:r>
          </w:p>
        </w:tc>
        <w:tc>
          <w:tcPr>
            <w:tcW w:w="1842" w:type="dxa"/>
            <w:gridSpan w:val="5"/>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0.6</w:t>
            </w:r>
          </w:p>
        </w:tc>
      </w:tr>
      <w:tr w:rsidR="00D32D75" w:rsidRPr="00ED1F55" w:rsidTr="001448FE">
        <w:trPr>
          <w:gridAfter w:val="3"/>
          <w:wAfter w:w="584" w:type="dxa"/>
          <w:trHeight w:val="255"/>
        </w:trPr>
        <w:tc>
          <w:tcPr>
            <w:tcW w:w="2500" w:type="dxa"/>
            <w:gridSpan w:val="5"/>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color w:val="000000"/>
                <w:sz w:val="22"/>
                <w:szCs w:val="22"/>
                <w:lang w:eastAsia="en-GB"/>
              </w:rPr>
            </w:pPr>
            <w:r w:rsidRPr="00ED1F55">
              <w:rPr>
                <w:color w:val="000000"/>
                <w:sz w:val="22"/>
                <w:szCs w:val="22"/>
                <w:lang w:eastAsia="en-GB"/>
              </w:rPr>
              <w:t>South East</w:t>
            </w:r>
          </w:p>
        </w:tc>
        <w:tc>
          <w:tcPr>
            <w:tcW w:w="278"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b/>
                <w:bCs/>
                <w:sz w:val="22"/>
                <w:szCs w:val="22"/>
                <w:lang w:eastAsia="en-GB"/>
              </w:rPr>
            </w:pPr>
            <w:r w:rsidRPr="00ED1F55">
              <w:rPr>
                <w:b/>
                <w:bCs/>
                <w:sz w:val="22"/>
                <w:szCs w:val="22"/>
                <w:lang w:eastAsia="en-GB"/>
              </w:rPr>
              <w:t> </w:t>
            </w:r>
          </w:p>
        </w:tc>
        <w:tc>
          <w:tcPr>
            <w:tcW w:w="1690" w:type="dxa"/>
            <w:gridSpan w:val="3"/>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254</w:t>
            </w:r>
          </w:p>
        </w:tc>
        <w:tc>
          <w:tcPr>
            <w:tcW w:w="1984" w:type="dxa"/>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i/>
                <w:iCs/>
                <w:sz w:val="22"/>
                <w:szCs w:val="22"/>
                <w:lang w:eastAsia="en-GB"/>
              </w:rPr>
            </w:pPr>
            <w:r w:rsidRPr="00ED1F55">
              <w:rPr>
                <w:i/>
                <w:iCs/>
                <w:sz w:val="22"/>
                <w:szCs w:val="22"/>
                <w:lang w:eastAsia="en-GB"/>
              </w:rPr>
              <w:t>3.9</w:t>
            </w:r>
          </w:p>
        </w:tc>
        <w:tc>
          <w:tcPr>
            <w:tcW w:w="2126" w:type="dxa"/>
            <w:gridSpan w:val="4"/>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sz w:val="22"/>
                <w:szCs w:val="22"/>
                <w:lang w:eastAsia="en-GB"/>
              </w:rPr>
            </w:pPr>
            <w:r w:rsidRPr="00ED1F55">
              <w:rPr>
                <w:sz w:val="22"/>
                <w:szCs w:val="22"/>
                <w:lang w:eastAsia="en-GB"/>
              </w:rPr>
              <w:t>3,638,436</w:t>
            </w:r>
          </w:p>
        </w:tc>
        <w:tc>
          <w:tcPr>
            <w:tcW w:w="1842" w:type="dxa"/>
            <w:gridSpan w:val="5"/>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0.7</w:t>
            </w:r>
          </w:p>
        </w:tc>
      </w:tr>
      <w:tr w:rsidR="00D32D75" w:rsidRPr="00ED1F55" w:rsidTr="001448FE">
        <w:trPr>
          <w:gridAfter w:val="3"/>
          <w:wAfter w:w="584" w:type="dxa"/>
          <w:trHeight w:val="255"/>
        </w:trPr>
        <w:tc>
          <w:tcPr>
            <w:tcW w:w="2500" w:type="dxa"/>
            <w:gridSpan w:val="5"/>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color w:val="000000"/>
                <w:sz w:val="22"/>
                <w:szCs w:val="22"/>
                <w:lang w:eastAsia="en-GB"/>
              </w:rPr>
            </w:pPr>
            <w:r w:rsidRPr="00ED1F55">
              <w:rPr>
                <w:color w:val="000000"/>
                <w:sz w:val="22"/>
                <w:szCs w:val="22"/>
                <w:lang w:eastAsia="en-GB"/>
              </w:rPr>
              <w:t>South West</w:t>
            </w:r>
          </w:p>
        </w:tc>
        <w:tc>
          <w:tcPr>
            <w:tcW w:w="278"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b/>
                <w:bCs/>
                <w:sz w:val="22"/>
                <w:szCs w:val="22"/>
                <w:lang w:eastAsia="en-GB"/>
              </w:rPr>
            </w:pPr>
            <w:r w:rsidRPr="00ED1F55">
              <w:rPr>
                <w:b/>
                <w:bCs/>
                <w:sz w:val="22"/>
                <w:szCs w:val="22"/>
                <w:lang w:eastAsia="en-GB"/>
              </w:rPr>
              <w:t> </w:t>
            </w:r>
          </w:p>
        </w:tc>
        <w:tc>
          <w:tcPr>
            <w:tcW w:w="1690" w:type="dxa"/>
            <w:gridSpan w:val="3"/>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386</w:t>
            </w:r>
          </w:p>
        </w:tc>
        <w:tc>
          <w:tcPr>
            <w:tcW w:w="1984" w:type="dxa"/>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i/>
                <w:iCs/>
                <w:sz w:val="22"/>
                <w:szCs w:val="22"/>
                <w:lang w:eastAsia="en-GB"/>
              </w:rPr>
            </w:pPr>
            <w:r w:rsidRPr="00ED1F55">
              <w:rPr>
                <w:i/>
                <w:iCs/>
                <w:sz w:val="22"/>
                <w:szCs w:val="22"/>
                <w:lang w:eastAsia="en-GB"/>
              </w:rPr>
              <w:t>5.9</w:t>
            </w:r>
          </w:p>
        </w:tc>
        <w:tc>
          <w:tcPr>
            <w:tcW w:w="2126" w:type="dxa"/>
            <w:gridSpan w:val="4"/>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sz w:val="22"/>
                <w:szCs w:val="22"/>
                <w:lang w:eastAsia="en-GB"/>
              </w:rPr>
            </w:pPr>
            <w:r w:rsidRPr="00ED1F55">
              <w:rPr>
                <w:sz w:val="22"/>
                <w:szCs w:val="22"/>
                <w:lang w:eastAsia="en-GB"/>
              </w:rPr>
              <w:t>2,312,682</w:t>
            </w:r>
          </w:p>
        </w:tc>
        <w:tc>
          <w:tcPr>
            <w:tcW w:w="1842" w:type="dxa"/>
            <w:gridSpan w:val="5"/>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sz w:val="22"/>
                <w:szCs w:val="22"/>
                <w:lang w:eastAsia="en-GB"/>
              </w:rPr>
            </w:pPr>
            <w:r w:rsidRPr="00ED1F55">
              <w:rPr>
                <w:sz w:val="22"/>
                <w:szCs w:val="22"/>
                <w:lang w:eastAsia="en-GB"/>
              </w:rPr>
              <w:t>1.7</w:t>
            </w:r>
          </w:p>
        </w:tc>
      </w:tr>
      <w:tr w:rsidR="00D32D75" w:rsidRPr="00ED1F55" w:rsidTr="001448FE">
        <w:trPr>
          <w:gridAfter w:val="3"/>
          <w:wAfter w:w="584" w:type="dxa"/>
          <w:trHeight w:val="255"/>
        </w:trPr>
        <w:tc>
          <w:tcPr>
            <w:tcW w:w="834" w:type="dxa"/>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color w:val="000000"/>
                <w:sz w:val="22"/>
                <w:szCs w:val="22"/>
                <w:lang w:eastAsia="en-GB"/>
              </w:rPr>
            </w:pPr>
            <w:r w:rsidRPr="00ED1F55">
              <w:rPr>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color w:val="000000"/>
                <w:sz w:val="22"/>
                <w:szCs w:val="22"/>
                <w:lang w:eastAsia="en-GB"/>
              </w:rPr>
            </w:pPr>
            <w:r w:rsidRPr="00ED1F55">
              <w:rPr>
                <w:color w:val="000000"/>
                <w:sz w:val="22"/>
                <w:szCs w:val="22"/>
                <w:lang w:eastAsia="en-GB"/>
              </w:rPr>
              <w:t> </w:t>
            </w:r>
          </w:p>
        </w:tc>
        <w:tc>
          <w:tcPr>
            <w:tcW w:w="833" w:type="dxa"/>
            <w:gridSpan w:val="3"/>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color w:val="000000"/>
                <w:sz w:val="22"/>
                <w:szCs w:val="22"/>
                <w:lang w:eastAsia="en-GB"/>
              </w:rPr>
            </w:pPr>
            <w:r w:rsidRPr="00ED1F55">
              <w:rPr>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1690" w:type="dxa"/>
            <w:gridSpan w:val="3"/>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b/>
                <w:bCs/>
                <w:sz w:val="22"/>
                <w:szCs w:val="22"/>
                <w:lang w:eastAsia="en-GB"/>
              </w:rPr>
            </w:pPr>
            <w:r w:rsidRPr="00ED1F55">
              <w:rPr>
                <w:b/>
                <w:bCs/>
                <w:sz w:val="22"/>
                <w:szCs w:val="22"/>
                <w:lang w:eastAsia="en-GB"/>
              </w:rPr>
              <w:t> </w:t>
            </w:r>
          </w:p>
        </w:tc>
        <w:tc>
          <w:tcPr>
            <w:tcW w:w="1984"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i/>
                <w:iCs/>
                <w:sz w:val="22"/>
                <w:szCs w:val="22"/>
                <w:lang w:eastAsia="en-GB"/>
              </w:rPr>
            </w:pPr>
            <w:r w:rsidRPr="00ED1F55">
              <w:rPr>
                <w:i/>
                <w:iCs/>
                <w:sz w:val="22"/>
                <w:szCs w:val="22"/>
                <w:lang w:eastAsia="en-GB"/>
              </w:rPr>
              <w:t> </w:t>
            </w:r>
          </w:p>
        </w:tc>
        <w:tc>
          <w:tcPr>
            <w:tcW w:w="2126" w:type="dxa"/>
            <w:gridSpan w:val="4"/>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1842" w:type="dxa"/>
            <w:gridSpan w:val="5"/>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r>
      <w:tr w:rsidR="00D32D75" w:rsidRPr="00ED1F55" w:rsidTr="001448FE">
        <w:trPr>
          <w:gridAfter w:val="3"/>
          <w:wAfter w:w="584" w:type="dxa"/>
          <w:trHeight w:val="255"/>
        </w:trPr>
        <w:tc>
          <w:tcPr>
            <w:tcW w:w="1667" w:type="dxa"/>
            <w:gridSpan w:val="2"/>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b/>
                <w:bCs/>
                <w:color w:val="000000"/>
                <w:sz w:val="22"/>
                <w:szCs w:val="22"/>
                <w:lang w:eastAsia="en-GB"/>
              </w:rPr>
            </w:pPr>
            <w:r w:rsidRPr="00ED1F55">
              <w:rPr>
                <w:b/>
                <w:bCs/>
                <w:color w:val="000000"/>
                <w:sz w:val="22"/>
                <w:szCs w:val="22"/>
                <w:lang w:eastAsia="en-GB"/>
              </w:rPr>
              <w:t>Wales</w:t>
            </w:r>
          </w:p>
        </w:tc>
        <w:tc>
          <w:tcPr>
            <w:tcW w:w="833" w:type="dxa"/>
            <w:gridSpan w:val="3"/>
            <w:tcBorders>
              <w:top w:val="nil"/>
              <w:left w:val="nil"/>
              <w:bottom w:val="nil"/>
              <w:right w:val="nil"/>
            </w:tcBorders>
            <w:shd w:val="clear" w:color="000000" w:fill="FFFFFF"/>
            <w:noWrap/>
            <w:vAlign w:val="center"/>
            <w:hideMark/>
          </w:tcPr>
          <w:p w:rsidR="00D32D75" w:rsidRPr="00ED1F55" w:rsidRDefault="00D32D75" w:rsidP="00ED695D">
            <w:pPr>
              <w:spacing w:before="0" w:after="0" w:line="240" w:lineRule="auto"/>
              <w:rPr>
                <w:b/>
                <w:bCs/>
                <w:color w:val="000000"/>
                <w:sz w:val="22"/>
                <w:szCs w:val="22"/>
                <w:lang w:eastAsia="en-GB"/>
              </w:rPr>
            </w:pPr>
            <w:r w:rsidRPr="00ED1F55">
              <w:rPr>
                <w:b/>
                <w:bCs/>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rPr>
                <w:sz w:val="22"/>
                <w:szCs w:val="22"/>
                <w:lang w:eastAsia="en-GB"/>
              </w:rPr>
            </w:pPr>
            <w:r w:rsidRPr="00ED1F55">
              <w:rPr>
                <w:sz w:val="22"/>
                <w:szCs w:val="22"/>
                <w:lang w:eastAsia="en-GB"/>
              </w:rPr>
              <w:t> </w:t>
            </w:r>
          </w:p>
        </w:tc>
        <w:tc>
          <w:tcPr>
            <w:tcW w:w="1690" w:type="dxa"/>
            <w:gridSpan w:val="3"/>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b/>
                <w:bCs/>
                <w:sz w:val="22"/>
                <w:szCs w:val="22"/>
                <w:lang w:eastAsia="en-GB"/>
              </w:rPr>
            </w:pPr>
            <w:r w:rsidRPr="00ED1F55">
              <w:rPr>
                <w:b/>
                <w:bCs/>
                <w:sz w:val="22"/>
                <w:szCs w:val="22"/>
                <w:lang w:eastAsia="en-GB"/>
              </w:rPr>
              <w:t>983</w:t>
            </w:r>
          </w:p>
        </w:tc>
        <w:tc>
          <w:tcPr>
            <w:tcW w:w="1984" w:type="dxa"/>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b/>
                <w:bCs/>
                <w:i/>
                <w:iCs/>
                <w:sz w:val="22"/>
                <w:szCs w:val="22"/>
                <w:lang w:eastAsia="en-GB"/>
              </w:rPr>
            </w:pPr>
            <w:r w:rsidRPr="00ED1F55">
              <w:rPr>
                <w:b/>
                <w:bCs/>
                <w:i/>
                <w:iCs/>
                <w:sz w:val="22"/>
                <w:szCs w:val="22"/>
                <w:lang w:eastAsia="en-GB"/>
              </w:rPr>
              <w:t>14.9</w:t>
            </w:r>
          </w:p>
        </w:tc>
        <w:tc>
          <w:tcPr>
            <w:tcW w:w="2126" w:type="dxa"/>
            <w:gridSpan w:val="4"/>
            <w:tcBorders>
              <w:top w:val="nil"/>
              <w:left w:val="nil"/>
              <w:bottom w:val="nil"/>
              <w:right w:val="nil"/>
            </w:tcBorders>
            <w:shd w:val="clear" w:color="000000" w:fill="FFFFFF"/>
            <w:noWrap/>
            <w:vAlign w:val="bottom"/>
            <w:hideMark/>
          </w:tcPr>
          <w:p w:rsidR="00D32D75" w:rsidRPr="00ED1F55" w:rsidRDefault="00D32D75" w:rsidP="00ED695D">
            <w:pPr>
              <w:spacing w:before="0" w:after="0" w:line="240" w:lineRule="auto"/>
              <w:jc w:val="right"/>
              <w:rPr>
                <w:b/>
                <w:bCs/>
                <w:sz w:val="22"/>
                <w:szCs w:val="22"/>
                <w:lang w:eastAsia="en-GB"/>
              </w:rPr>
            </w:pPr>
            <w:r w:rsidRPr="00ED1F55">
              <w:rPr>
                <w:b/>
                <w:bCs/>
                <w:sz w:val="22"/>
                <w:szCs w:val="22"/>
                <w:lang w:eastAsia="en-GB"/>
              </w:rPr>
              <w:t>1,318,569</w:t>
            </w:r>
          </w:p>
        </w:tc>
        <w:tc>
          <w:tcPr>
            <w:tcW w:w="1842" w:type="dxa"/>
            <w:gridSpan w:val="5"/>
            <w:tcBorders>
              <w:top w:val="nil"/>
              <w:left w:val="nil"/>
              <w:bottom w:val="nil"/>
              <w:right w:val="nil"/>
            </w:tcBorders>
            <w:shd w:val="clear" w:color="000000" w:fill="FFFFFF"/>
            <w:noWrap/>
            <w:vAlign w:val="bottom"/>
            <w:hideMark/>
          </w:tcPr>
          <w:p w:rsidR="00D32D75" w:rsidRPr="00ED1F55" w:rsidRDefault="00BD5945" w:rsidP="00ED695D">
            <w:pPr>
              <w:spacing w:before="0" w:after="0" w:line="240" w:lineRule="auto"/>
              <w:jc w:val="right"/>
              <w:rPr>
                <w:b/>
                <w:bCs/>
                <w:sz w:val="22"/>
                <w:szCs w:val="22"/>
                <w:lang w:eastAsia="en-GB"/>
              </w:rPr>
            </w:pPr>
            <w:r w:rsidRPr="00ED1F55">
              <w:rPr>
                <w:b/>
                <w:bCs/>
                <w:sz w:val="22"/>
                <w:szCs w:val="22"/>
                <w:lang w:eastAsia="en-GB"/>
              </w:rPr>
              <w:t>7.5</w:t>
            </w:r>
          </w:p>
        </w:tc>
      </w:tr>
      <w:tr w:rsidR="00D32D75" w:rsidRPr="00C4252B" w:rsidTr="001448FE">
        <w:trPr>
          <w:gridAfter w:val="3"/>
          <w:wAfter w:w="584" w:type="dxa"/>
          <w:trHeight w:val="255"/>
        </w:trPr>
        <w:tc>
          <w:tcPr>
            <w:tcW w:w="834" w:type="dxa"/>
            <w:tcBorders>
              <w:top w:val="nil"/>
              <w:left w:val="nil"/>
              <w:bottom w:val="nil"/>
              <w:right w:val="nil"/>
            </w:tcBorders>
            <w:shd w:val="clear" w:color="000000" w:fill="FFFFFF"/>
            <w:noWrap/>
            <w:vAlign w:val="center"/>
            <w:hideMark/>
          </w:tcPr>
          <w:p w:rsidR="00D32D75" w:rsidRPr="00C4252B" w:rsidRDefault="00D32D75" w:rsidP="00ED695D">
            <w:pPr>
              <w:spacing w:before="0" w:after="0" w:line="240" w:lineRule="auto"/>
              <w:rPr>
                <w:color w:val="000000"/>
                <w:sz w:val="22"/>
                <w:szCs w:val="22"/>
                <w:lang w:eastAsia="en-GB"/>
              </w:rPr>
            </w:pPr>
            <w:r w:rsidRPr="00C4252B">
              <w:rPr>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D32D75" w:rsidRPr="00C4252B" w:rsidRDefault="00D32D75" w:rsidP="00ED695D">
            <w:pPr>
              <w:spacing w:before="0" w:after="0" w:line="240" w:lineRule="auto"/>
              <w:rPr>
                <w:color w:val="000000"/>
                <w:sz w:val="22"/>
                <w:szCs w:val="22"/>
                <w:lang w:eastAsia="en-GB"/>
              </w:rPr>
            </w:pPr>
            <w:r w:rsidRPr="00C4252B">
              <w:rPr>
                <w:color w:val="000000"/>
                <w:sz w:val="22"/>
                <w:szCs w:val="22"/>
                <w:lang w:eastAsia="en-GB"/>
              </w:rPr>
              <w:t> </w:t>
            </w:r>
          </w:p>
        </w:tc>
        <w:tc>
          <w:tcPr>
            <w:tcW w:w="833" w:type="dxa"/>
            <w:gridSpan w:val="3"/>
            <w:tcBorders>
              <w:top w:val="nil"/>
              <w:left w:val="nil"/>
              <w:bottom w:val="nil"/>
              <w:right w:val="nil"/>
            </w:tcBorders>
            <w:shd w:val="clear" w:color="000000" w:fill="FFFFFF"/>
            <w:noWrap/>
            <w:vAlign w:val="center"/>
            <w:hideMark/>
          </w:tcPr>
          <w:p w:rsidR="00D32D75" w:rsidRPr="00C4252B" w:rsidRDefault="00D32D75" w:rsidP="00ED695D">
            <w:pPr>
              <w:spacing w:before="0" w:after="0" w:line="240" w:lineRule="auto"/>
              <w:rPr>
                <w:color w:val="000000"/>
                <w:sz w:val="22"/>
                <w:szCs w:val="22"/>
                <w:lang w:eastAsia="en-GB"/>
              </w:rPr>
            </w:pPr>
            <w:r w:rsidRPr="00C4252B">
              <w:rPr>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D32D75" w:rsidRPr="00C4252B" w:rsidRDefault="00D32D75" w:rsidP="00ED695D">
            <w:pPr>
              <w:spacing w:before="0" w:after="0" w:line="240" w:lineRule="auto"/>
              <w:rPr>
                <w:sz w:val="22"/>
                <w:szCs w:val="22"/>
                <w:lang w:eastAsia="en-GB"/>
              </w:rPr>
            </w:pPr>
            <w:r w:rsidRPr="00C4252B">
              <w:rPr>
                <w:sz w:val="22"/>
                <w:szCs w:val="22"/>
                <w:lang w:eastAsia="en-GB"/>
              </w:rPr>
              <w:t> </w:t>
            </w:r>
          </w:p>
        </w:tc>
        <w:tc>
          <w:tcPr>
            <w:tcW w:w="1690" w:type="dxa"/>
            <w:gridSpan w:val="3"/>
            <w:tcBorders>
              <w:top w:val="nil"/>
              <w:left w:val="nil"/>
              <w:bottom w:val="nil"/>
              <w:right w:val="nil"/>
            </w:tcBorders>
            <w:shd w:val="clear" w:color="000000" w:fill="FFFFFF"/>
            <w:noWrap/>
            <w:vAlign w:val="bottom"/>
            <w:hideMark/>
          </w:tcPr>
          <w:p w:rsidR="00D32D75" w:rsidRPr="00C4252B" w:rsidRDefault="00D32D75" w:rsidP="00ED695D">
            <w:pPr>
              <w:spacing w:before="0" w:after="0" w:line="240" w:lineRule="auto"/>
              <w:rPr>
                <w:sz w:val="22"/>
                <w:szCs w:val="22"/>
                <w:lang w:eastAsia="en-GB"/>
              </w:rPr>
            </w:pPr>
            <w:r w:rsidRPr="00C4252B">
              <w:rPr>
                <w:sz w:val="22"/>
                <w:szCs w:val="22"/>
                <w:lang w:eastAsia="en-GB"/>
              </w:rPr>
              <w:t> </w:t>
            </w:r>
          </w:p>
        </w:tc>
        <w:tc>
          <w:tcPr>
            <w:tcW w:w="1984" w:type="dxa"/>
            <w:tcBorders>
              <w:top w:val="nil"/>
              <w:left w:val="nil"/>
              <w:bottom w:val="nil"/>
              <w:right w:val="nil"/>
            </w:tcBorders>
            <w:shd w:val="clear" w:color="000000" w:fill="FFFFFF"/>
            <w:noWrap/>
            <w:vAlign w:val="bottom"/>
            <w:hideMark/>
          </w:tcPr>
          <w:p w:rsidR="00D32D75" w:rsidRPr="00C4252B" w:rsidRDefault="00D32D75" w:rsidP="00ED695D">
            <w:pPr>
              <w:spacing w:before="0" w:after="0" w:line="240" w:lineRule="auto"/>
              <w:rPr>
                <w:i/>
                <w:iCs/>
                <w:sz w:val="22"/>
                <w:szCs w:val="22"/>
                <w:lang w:eastAsia="en-GB"/>
              </w:rPr>
            </w:pPr>
            <w:r w:rsidRPr="00C4252B">
              <w:rPr>
                <w:i/>
                <w:iCs/>
                <w:sz w:val="22"/>
                <w:szCs w:val="22"/>
                <w:lang w:eastAsia="en-GB"/>
              </w:rPr>
              <w:t> </w:t>
            </w:r>
          </w:p>
        </w:tc>
        <w:tc>
          <w:tcPr>
            <w:tcW w:w="2126" w:type="dxa"/>
            <w:gridSpan w:val="4"/>
            <w:tcBorders>
              <w:top w:val="nil"/>
              <w:left w:val="nil"/>
              <w:bottom w:val="nil"/>
              <w:right w:val="nil"/>
            </w:tcBorders>
            <w:shd w:val="clear" w:color="000000" w:fill="FFFFFF"/>
            <w:noWrap/>
            <w:vAlign w:val="bottom"/>
            <w:hideMark/>
          </w:tcPr>
          <w:p w:rsidR="00D32D75" w:rsidRPr="00C4252B" w:rsidRDefault="00D32D75" w:rsidP="00ED695D">
            <w:pPr>
              <w:spacing w:before="0" w:after="0" w:line="240" w:lineRule="auto"/>
              <w:rPr>
                <w:sz w:val="22"/>
                <w:szCs w:val="22"/>
                <w:lang w:eastAsia="en-GB"/>
              </w:rPr>
            </w:pPr>
            <w:r w:rsidRPr="00C4252B">
              <w:rPr>
                <w:sz w:val="22"/>
                <w:szCs w:val="22"/>
                <w:lang w:eastAsia="en-GB"/>
              </w:rPr>
              <w:t> </w:t>
            </w:r>
          </w:p>
        </w:tc>
        <w:tc>
          <w:tcPr>
            <w:tcW w:w="1842" w:type="dxa"/>
            <w:gridSpan w:val="5"/>
            <w:tcBorders>
              <w:top w:val="nil"/>
              <w:left w:val="nil"/>
              <w:bottom w:val="nil"/>
              <w:right w:val="nil"/>
            </w:tcBorders>
            <w:shd w:val="clear" w:color="000000" w:fill="FFFFFF"/>
            <w:noWrap/>
            <w:vAlign w:val="bottom"/>
            <w:hideMark/>
          </w:tcPr>
          <w:p w:rsidR="00D32D75" w:rsidRPr="00C4252B" w:rsidRDefault="00D32D75" w:rsidP="00ED695D">
            <w:pPr>
              <w:spacing w:before="0" w:after="0" w:line="240" w:lineRule="auto"/>
              <w:rPr>
                <w:sz w:val="22"/>
                <w:szCs w:val="22"/>
                <w:lang w:eastAsia="en-GB"/>
              </w:rPr>
            </w:pPr>
            <w:r w:rsidRPr="00C4252B">
              <w:rPr>
                <w:sz w:val="22"/>
                <w:szCs w:val="22"/>
                <w:lang w:eastAsia="en-GB"/>
              </w:rPr>
              <w:t> </w:t>
            </w:r>
          </w:p>
        </w:tc>
      </w:tr>
      <w:tr w:rsidR="00D32D75" w:rsidRPr="00C4252B" w:rsidTr="001448FE">
        <w:trPr>
          <w:gridAfter w:val="3"/>
          <w:wAfter w:w="584" w:type="dxa"/>
          <w:trHeight w:val="255"/>
        </w:trPr>
        <w:tc>
          <w:tcPr>
            <w:tcW w:w="2500" w:type="dxa"/>
            <w:gridSpan w:val="5"/>
            <w:tcBorders>
              <w:top w:val="nil"/>
              <w:left w:val="nil"/>
              <w:bottom w:val="single" w:sz="4" w:space="0" w:color="auto"/>
              <w:right w:val="nil"/>
            </w:tcBorders>
            <w:shd w:val="clear" w:color="000000" w:fill="FFFFFF"/>
            <w:noWrap/>
            <w:vAlign w:val="center"/>
            <w:hideMark/>
          </w:tcPr>
          <w:p w:rsidR="00D32D75" w:rsidRPr="00C4252B" w:rsidRDefault="00D32D75" w:rsidP="00ED695D">
            <w:pPr>
              <w:spacing w:before="0" w:after="0" w:line="240" w:lineRule="auto"/>
              <w:rPr>
                <w:color w:val="000000"/>
                <w:sz w:val="22"/>
                <w:szCs w:val="22"/>
                <w:lang w:eastAsia="en-GB"/>
              </w:rPr>
            </w:pPr>
            <w:r w:rsidRPr="00C4252B">
              <w:rPr>
                <w:color w:val="000000"/>
                <w:sz w:val="22"/>
                <w:szCs w:val="22"/>
                <w:lang w:eastAsia="en-GB"/>
              </w:rPr>
              <w:t>Unknown</w:t>
            </w:r>
          </w:p>
        </w:tc>
        <w:tc>
          <w:tcPr>
            <w:tcW w:w="278" w:type="dxa"/>
            <w:tcBorders>
              <w:top w:val="nil"/>
              <w:left w:val="nil"/>
              <w:bottom w:val="single" w:sz="4" w:space="0" w:color="auto"/>
              <w:right w:val="nil"/>
            </w:tcBorders>
            <w:shd w:val="clear" w:color="000000" w:fill="FFFFFF"/>
            <w:noWrap/>
            <w:vAlign w:val="bottom"/>
            <w:hideMark/>
          </w:tcPr>
          <w:p w:rsidR="00D32D75" w:rsidRPr="00C4252B" w:rsidRDefault="00D32D75" w:rsidP="00ED695D">
            <w:pPr>
              <w:spacing w:before="0" w:after="0" w:line="240" w:lineRule="auto"/>
              <w:rPr>
                <w:sz w:val="22"/>
                <w:szCs w:val="22"/>
                <w:lang w:eastAsia="en-GB"/>
              </w:rPr>
            </w:pPr>
            <w:r w:rsidRPr="00C4252B">
              <w:rPr>
                <w:sz w:val="22"/>
                <w:szCs w:val="22"/>
                <w:lang w:eastAsia="en-GB"/>
              </w:rPr>
              <w:t> </w:t>
            </w:r>
          </w:p>
        </w:tc>
        <w:tc>
          <w:tcPr>
            <w:tcW w:w="1690" w:type="dxa"/>
            <w:gridSpan w:val="3"/>
            <w:tcBorders>
              <w:top w:val="nil"/>
              <w:left w:val="nil"/>
              <w:bottom w:val="single" w:sz="4" w:space="0" w:color="auto"/>
              <w:right w:val="nil"/>
            </w:tcBorders>
            <w:shd w:val="clear" w:color="000000" w:fill="FFFFFF"/>
            <w:noWrap/>
            <w:vAlign w:val="bottom"/>
            <w:hideMark/>
          </w:tcPr>
          <w:p w:rsidR="00D32D75" w:rsidRPr="00C4252B" w:rsidRDefault="00BD5945" w:rsidP="00ED695D">
            <w:pPr>
              <w:spacing w:before="0" w:after="0" w:line="240" w:lineRule="auto"/>
              <w:jc w:val="right"/>
              <w:rPr>
                <w:sz w:val="22"/>
                <w:szCs w:val="22"/>
                <w:lang w:eastAsia="en-GB"/>
              </w:rPr>
            </w:pPr>
            <w:r>
              <w:rPr>
                <w:sz w:val="22"/>
                <w:szCs w:val="22"/>
                <w:lang w:eastAsia="en-GB"/>
              </w:rPr>
              <w:t>35</w:t>
            </w:r>
          </w:p>
        </w:tc>
        <w:tc>
          <w:tcPr>
            <w:tcW w:w="1984" w:type="dxa"/>
            <w:tcBorders>
              <w:top w:val="nil"/>
              <w:left w:val="nil"/>
              <w:bottom w:val="single" w:sz="4" w:space="0" w:color="auto"/>
              <w:right w:val="nil"/>
            </w:tcBorders>
            <w:shd w:val="clear" w:color="000000" w:fill="FFFFFF"/>
            <w:noWrap/>
            <w:vAlign w:val="bottom"/>
            <w:hideMark/>
          </w:tcPr>
          <w:p w:rsidR="00D32D75" w:rsidRPr="00C4252B" w:rsidRDefault="00D32D75" w:rsidP="00ED695D">
            <w:pPr>
              <w:spacing w:before="0" w:after="0" w:line="240" w:lineRule="auto"/>
              <w:jc w:val="right"/>
              <w:rPr>
                <w:i/>
                <w:iCs/>
                <w:sz w:val="22"/>
                <w:szCs w:val="22"/>
                <w:lang w:eastAsia="en-GB"/>
              </w:rPr>
            </w:pPr>
            <w:r w:rsidRPr="00C4252B">
              <w:rPr>
                <w:i/>
                <w:iCs/>
                <w:sz w:val="22"/>
                <w:szCs w:val="22"/>
                <w:lang w:eastAsia="en-GB"/>
              </w:rPr>
              <w:t>-</w:t>
            </w:r>
          </w:p>
        </w:tc>
        <w:tc>
          <w:tcPr>
            <w:tcW w:w="2126" w:type="dxa"/>
            <w:gridSpan w:val="4"/>
            <w:tcBorders>
              <w:top w:val="nil"/>
              <w:left w:val="nil"/>
              <w:bottom w:val="single" w:sz="4" w:space="0" w:color="auto"/>
              <w:right w:val="nil"/>
            </w:tcBorders>
            <w:shd w:val="clear" w:color="000000" w:fill="FFFFFF"/>
            <w:noWrap/>
            <w:vAlign w:val="bottom"/>
            <w:hideMark/>
          </w:tcPr>
          <w:p w:rsidR="00D32D75" w:rsidRPr="00C4252B" w:rsidRDefault="00D32D75" w:rsidP="00ED695D">
            <w:pPr>
              <w:spacing w:before="0" w:after="0" w:line="240" w:lineRule="auto"/>
              <w:rPr>
                <w:sz w:val="22"/>
                <w:szCs w:val="22"/>
                <w:lang w:eastAsia="en-GB"/>
              </w:rPr>
            </w:pPr>
            <w:r w:rsidRPr="00C4252B">
              <w:rPr>
                <w:sz w:val="22"/>
                <w:szCs w:val="22"/>
                <w:lang w:eastAsia="en-GB"/>
              </w:rPr>
              <w:t> </w:t>
            </w:r>
          </w:p>
        </w:tc>
        <w:tc>
          <w:tcPr>
            <w:tcW w:w="1842" w:type="dxa"/>
            <w:gridSpan w:val="5"/>
            <w:tcBorders>
              <w:top w:val="nil"/>
              <w:left w:val="nil"/>
              <w:bottom w:val="single" w:sz="4" w:space="0" w:color="auto"/>
              <w:right w:val="nil"/>
            </w:tcBorders>
            <w:shd w:val="clear" w:color="000000" w:fill="FFFFFF"/>
            <w:noWrap/>
            <w:vAlign w:val="bottom"/>
            <w:hideMark/>
          </w:tcPr>
          <w:p w:rsidR="00D32D75" w:rsidRPr="00C4252B" w:rsidRDefault="00D32D75" w:rsidP="00ED695D">
            <w:pPr>
              <w:spacing w:before="0" w:after="0" w:line="240" w:lineRule="auto"/>
              <w:rPr>
                <w:sz w:val="22"/>
                <w:szCs w:val="22"/>
                <w:lang w:eastAsia="en-GB"/>
              </w:rPr>
            </w:pPr>
            <w:r w:rsidRPr="00C4252B">
              <w:rPr>
                <w:sz w:val="22"/>
                <w:szCs w:val="22"/>
                <w:lang w:eastAsia="en-GB"/>
              </w:rPr>
              <w:t> </w:t>
            </w:r>
          </w:p>
        </w:tc>
      </w:tr>
      <w:tr w:rsidR="00D32D75" w:rsidRPr="00D73B3D" w:rsidTr="001448FE">
        <w:trPr>
          <w:gridAfter w:val="4"/>
          <w:wAfter w:w="719" w:type="dxa"/>
          <w:trHeight w:val="285"/>
        </w:trPr>
        <w:tc>
          <w:tcPr>
            <w:tcW w:w="10285" w:type="dxa"/>
            <w:gridSpan w:val="18"/>
            <w:tcBorders>
              <w:top w:val="single" w:sz="4" w:space="0" w:color="auto"/>
              <w:left w:val="nil"/>
              <w:bottom w:val="nil"/>
              <w:right w:val="nil"/>
            </w:tcBorders>
            <w:shd w:val="clear" w:color="000000" w:fill="FFFFFF"/>
            <w:noWrap/>
            <w:vAlign w:val="bottom"/>
            <w:hideMark/>
          </w:tcPr>
          <w:p w:rsidR="00D32D75" w:rsidRPr="00D65354" w:rsidRDefault="00D32D75" w:rsidP="001448FE">
            <w:pPr>
              <w:spacing w:after="0" w:line="240" w:lineRule="auto"/>
              <w:jc w:val="both"/>
              <w:rPr>
                <w:sz w:val="21"/>
                <w:szCs w:val="21"/>
                <w:lang w:eastAsia="en-GB"/>
              </w:rPr>
            </w:pPr>
            <w:r w:rsidRPr="00D65354">
              <w:rPr>
                <w:sz w:val="21"/>
                <w:szCs w:val="21"/>
                <w:vertAlign w:val="superscript"/>
                <w:lang w:eastAsia="en-GB"/>
              </w:rPr>
              <w:t>1</w:t>
            </w:r>
            <w:r w:rsidRPr="00D65354">
              <w:rPr>
                <w:sz w:val="21"/>
                <w:szCs w:val="21"/>
                <w:lang w:eastAsia="en-GB"/>
              </w:rPr>
              <w:t xml:space="preserve"> </w:t>
            </w:r>
            <w:r w:rsidR="008F136B" w:rsidRPr="00D65354">
              <w:rPr>
                <w:sz w:val="21"/>
                <w:szCs w:val="21"/>
                <w:lang w:eastAsia="en-GB"/>
              </w:rPr>
              <w:t>In a small number of cases more than one voucher was paid per household.</w:t>
            </w:r>
          </w:p>
        </w:tc>
      </w:tr>
      <w:tr w:rsidR="00D32D75" w:rsidRPr="00D73B3D" w:rsidTr="001448FE">
        <w:trPr>
          <w:gridAfter w:val="4"/>
          <w:wAfter w:w="719" w:type="dxa"/>
          <w:trHeight w:val="285"/>
        </w:trPr>
        <w:tc>
          <w:tcPr>
            <w:tcW w:w="10285" w:type="dxa"/>
            <w:gridSpan w:val="18"/>
            <w:tcBorders>
              <w:top w:val="nil"/>
              <w:left w:val="nil"/>
              <w:bottom w:val="nil"/>
              <w:right w:val="nil"/>
            </w:tcBorders>
            <w:shd w:val="clear" w:color="000000" w:fill="FFFFFF"/>
            <w:noWrap/>
            <w:vAlign w:val="bottom"/>
            <w:hideMark/>
          </w:tcPr>
          <w:p w:rsidR="00D32D75" w:rsidRPr="00D65354" w:rsidRDefault="00D32D75" w:rsidP="001448FE">
            <w:pPr>
              <w:spacing w:before="0" w:after="0" w:line="240" w:lineRule="auto"/>
              <w:jc w:val="both"/>
              <w:rPr>
                <w:sz w:val="21"/>
                <w:szCs w:val="21"/>
                <w:lang w:eastAsia="en-GB"/>
              </w:rPr>
            </w:pPr>
            <w:r w:rsidRPr="00D65354">
              <w:rPr>
                <w:sz w:val="21"/>
                <w:szCs w:val="21"/>
                <w:vertAlign w:val="superscript"/>
                <w:lang w:eastAsia="en-GB"/>
              </w:rPr>
              <w:t>2</w:t>
            </w:r>
            <w:r w:rsidRPr="00D65354">
              <w:rPr>
                <w:sz w:val="21"/>
                <w:szCs w:val="21"/>
                <w:lang w:eastAsia="en-GB"/>
              </w:rPr>
              <w:t xml:space="preserve"> </w:t>
            </w:r>
            <w:r w:rsidR="008F136B" w:rsidRPr="00D65354">
              <w:rPr>
                <w:sz w:val="21"/>
                <w:szCs w:val="21"/>
                <w:lang w:eastAsia="en-GB"/>
              </w:rPr>
              <w:t xml:space="preserve">Percentage of GDHIF vouchers paid </w:t>
            </w:r>
            <w:proofErr w:type="gramStart"/>
            <w:r w:rsidR="008F136B" w:rsidRPr="00D65354">
              <w:rPr>
                <w:sz w:val="21"/>
                <w:szCs w:val="21"/>
                <w:lang w:eastAsia="en-GB"/>
              </w:rPr>
              <w:t>is</w:t>
            </w:r>
            <w:proofErr w:type="gramEnd"/>
            <w:r w:rsidR="008F136B" w:rsidRPr="00D65354">
              <w:rPr>
                <w:sz w:val="21"/>
                <w:szCs w:val="21"/>
                <w:lang w:eastAsia="en-GB"/>
              </w:rPr>
              <w:t xml:space="preserve"> calculated only for those vouchers where the location is known.</w:t>
            </w:r>
          </w:p>
          <w:p w:rsidR="008F136B" w:rsidRPr="00D65354" w:rsidRDefault="008F136B" w:rsidP="001448FE">
            <w:pPr>
              <w:spacing w:before="0" w:after="0" w:line="240" w:lineRule="auto"/>
              <w:jc w:val="both"/>
              <w:rPr>
                <w:sz w:val="21"/>
                <w:szCs w:val="21"/>
                <w:lang w:eastAsia="en-GB"/>
              </w:rPr>
            </w:pPr>
            <w:r w:rsidRPr="00D65354">
              <w:rPr>
                <w:sz w:val="21"/>
                <w:szCs w:val="21"/>
                <w:vertAlign w:val="superscript"/>
                <w:lang w:eastAsia="en-GB"/>
              </w:rPr>
              <w:t>3</w:t>
            </w:r>
            <w:r w:rsidRPr="00D65354">
              <w:rPr>
                <w:sz w:val="21"/>
                <w:szCs w:val="21"/>
                <w:lang w:eastAsia="en-GB"/>
              </w:rPr>
              <w:t xml:space="preserve"> Includes any GDHIF vouchers paid to date, where the installation month of the measures GDHIF is being claimed on was no later than end of September 2014.</w:t>
            </w:r>
          </w:p>
        </w:tc>
      </w:tr>
      <w:tr w:rsidR="00D32D75" w:rsidRPr="00D73B3D" w:rsidTr="00B13311">
        <w:trPr>
          <w:trHeight w:val="255"/>
        </w:trPr>
        <w:tc>
          <w:tcPr>
            <w:tcW w:w="9638" w:type="dxa"/>
            <w:gridSpan w:val="15"/>
            <w:tcBorders>
              <w:top w:val="nil"/>
              <w:left w:val="nil"/>
              <w:bottom w:val="nil"/>
              <w:right w:val="nil"/>
            </w:tcBorders>
            <w:shd w:val="clear" w:color="000000" w:fill="FFFFFF"/>
            <w:noWrap/>
            <w:vAlign w:val="bottom"/>
            <w:hideMark/>
          </w:tcPr>
          <w:p w:rsidR="00520AF2" w:rsidRPr="00D65354" w:rsidRDefault="008F136B" w:rsidP="001448FE">
            <w:pPr>
              <w:spacing w:before="0" w:after="0" w:line="240" w:lineRule="auto"/>
              <w:jc w:val="both"/>
              <w:rPr>
                <w:sz w:val="21"/>
                <w:szCs w:val="21"/>
                <w:lang w:eastAsia="en-GB"/>
              </w:rPr>
            </w:pPr>
            <w:r w:rsidRPr="00D65354">
              <w:rPr>
                <w:sz w:val="21"/>
                <w:szCs w:val="21"/>
                <w:vertAlign w:val="superscript"/>
                <w:lang w:eastAsia="en-GB"/>
              </w:rPr>
              <w:t>4</w:t>
            </w:r>
            <w:r w:rsidR="00D32D75" w:rsidRPr="00D65354">
              <w:rPr>
                <w:sz w:val="21"/>
                <w:szCs w:val="21"/>
                <w:lang w:eastAsia="en-GB"/>
              </w:rPr>
              <w:t xml:space="preserve"> </w:t>
            </w:r>
            <w:proofErr w:type="gramStart"/>
            <w:r w:rsidR="00D32D75" w:rsidRPr="00D65354">
              <w:rPr>
                <w:sz w:val="21"/>
                <w:szCs w:val="21"/>
                <w:lang w:eastAsia="en-GB"/>
              </w:rPr>
              <w:t>Source</w:t>
            </w:r>
            <w:proofErr w:type="gramEnd"/>
            <w:r w:rsidR="00D32D75" w:rsidRPr="00D65354">
              <w:rPr>
                <w:sz w:val="21"/>
                <w:szCs w:val="21"/>
                <w:lang w:eastAsia="en-GB"/>
              </w:rPr>
              <w:t xml:space="preserve">: England: Department for Communities and Local Government, Household Projections. </w:t>
            </w:r>
          </w:p>
          <w:p w:rsidR="00D32D75" w:rsidRPr="00D65354" w:rsidRDefault="00520AF2" w:rsidP="001448FE">
            <w:pPr>
              <w:spacing w:before="0" w:after="0" w:line="240" w:lineRule="auto"/>
              <w:jc w:val="both"/>
              <w:rPr>
                <w:sz w:val="21"/>
                <w:szCs w:val="21"/>
                <w:lang w:eastAsia="en-GB"/>
              </w:rPr>
            </w:pPr>
            <w:r w:rsidRPr="00D65354">
              <w:rPr>
                <w:sz w:val="21"/>
                <w:szCs w:val="21"/>
                <w:lang w:eastAsia="en-GB"/>
              </w:rPr>
              <w:t xml:space="preserve"> </w:t>
            </w:r>
            <w:r w:rsidR="00D32D75" w:rsidRPr="00D65354">
              <w:rPr>
                <w:sz w:val="21"/>
                <w:szCs w:val="21"/>
                <w:lang w:eastAsia="en-GB"/>
              </w:rPr>
              <w:t>Wales: Welsh Government, Household estimates.</w:t>
            </w:r>
          </w:p>
        </w:tc>
        <w:tc>
          <w:tcPr>
            <w:tcW w:w="275" w:type="dxa"/>
            <w:tcBorders>
              <w:top w:val="nil"/>
              <w:left w:val="nil"/>
              <w:bottom w:val="nil"/>
              <w:right w:val="nil"/>
            </w:tcBorders>
            <w:shd w:val="clear" w:color="000000" w:fill="FFFFFF"/>
            <w:noWrap/>
            <w:vAlign w:val="bottom"/>
            <w:hideMark/>
          </w:tcPr>
          <w:p w:rsidR="00D32D75" w:rsidRPr="00D65354" w:rsidRDefault="00D32D75" w:rsidP="001448FE">
            <w:pPr>
              <w:spacing w:before="0" w:after="0" w:line="240" w:lineRule="auto"/>
              <w:jc w:val="both"/>
              <w:rPr>
                <w:sz w:val="21"/>
                <w:szCs w:val="21"/>
                <w:lang w:eastAsia="en-GB"/>
              </w:rPr>
            </w:pPr>
            <w:r w:rsidRPr="00D65354">
              <w:rPr>
                <w:sz w:val="21"/>
                <w:szCs w:val="21"/>
                <w:lang w:eastAsia="en-GB"/>
              </w:rPr>
              <w:t> </w:t>
            </w:r>
          </w:p>
        </w:tc>
        <w:tc>
          <w:tcPr>
            <w:tcW w:w="275" w:type="dxa"/>
            <w:tcBorders>
              <w:top w:val="nil"/>
              <w:left w:val="nil"/>
              <w:bottom w:val="nil"/>
              <w:right w:val="nil"/>
            </w:tcBorders>
            <w:shd w:val="clear" w:color="000000" w:fill="FFFFFF"/>
            <w:noWrap/>
            <w:vAlign w:val="bottom"/>
            <w:hideMark/>
          </w:tcPr>
          <w:p w:rsidR="00D32D75" w:rsidRPr="00D65354" w:rsidRDefault="00D32D75" w:rsidP="001448FE">
            <w:pPr>
              <w:spacing w:before="0" w:after="0" w:line="240" w:lineRule="auto"/>
              <w:jc w:val="both"/>
              <w:rPr>
                <w:sz w:val="21"/>
                <w:szCs w:val="21"/>
                <w:lang w:eastAsia="en-GB"/>
              </w:rPr>
            </w:pPr>
            <w:r w:rsidRPr="00D65354">
              <w:rPr>
                <w:sz w:val="21"/>
                <w:szCs w:val="21"/>
                <w:lang w:eastAsia="en-GB"/>
              </w:rPr>
              <w:t> </w:t>
            </w:r>
          </w:p>
        </w:tc>
        <w:tc>
          <w:tcPr>
            <w:tcW w:w="272" w:type="dxa"/>
            <w:gridSpan w:val="3"/>
            <w:tcBorders>
              <w:top w:val="nil"/>
              <w:left w:val="nil"/>
              <w:bottom w:val="nil"/>
              <w:right w:val="nil"/>
            </w:tcBorders>
            <w:shd w:val="clear" w:color="000000" w:fill="FFFFFF"/>
            <w:noWrap/>
            <w:vAlign w:val="bottom"/>
            <w:hideMark/>
          </w:tcPr>
          <w:p w:rsidR="00D32D75" w:rsidRPr="00D65354" w:rsidRDefault="00D32D75" w:rsidP="001448FE">
            <w:pPr>
              <w:spacing w:before="0" w:after="0" w:line="240" w:lineRule="auto"/>
              <w:jc w:val="both"/>
              <w:rPr>
                <w:sz w:val="21"/>
                <w:szCs w:val="21"/>
                <w:lang w:eastAsia="en-GB"/>
              </w:rPr>
            </w:pPr>
            <w:r w:rsidRPr="00D65354">
              <w:rPr>
                <w:sz w:val="21"/>
                <w:szCs w:val="21"/>
                <w:lang w:eastAsia="en-GB"/>
              </w:rPr>
              <w:t> </w:t>
            </w:r>
          </w:p>
        </w:tc>
        <w:tc>
          <w:tcPr>
            <w:tcW w:w="272" w:type="dxa"/>
            <w:tcBorders>
              <w:top w:val="nil"/>
              <w:left w:val="nil"/>
              <w:bottom w:val="nil"/>
              <w:right w:val="nil"/>
            </w:tcBorders>
            <w:shd w:val="clear" w:color="000000" w:fill="FFFFFF"/>
            <w:noWrap/>
            <w:vAlign w:val="bottom"/>
            <w:hideMark/>
          </w:tcPr>
          <w:p w:rsidR="00D32D75" w:rsidRPr="00D73B3D" w:rsidRDefault="00D32D75" w:rsidP="00ED695D">
            <w:pPr>
              <w:spacing w:before="0" w:after="0" w:line="240" w:lineRule="auto"/>
              <w:jc w:val="both"/>
              <w:rPr>
                <w:sz w:val="20"/>
                <w:lang w:eastAsia="en-GB"/>
              </w:rPr>
            </w:pPr>
            <w:r w:rsidRPr="00D73B3D">
              <w:rPr>
                <w:sz w:val="20"/>
                <w:lang w:eastAsia="en-GB"/>
              </w:rPr>
              <w:t> </w:t>
            </w:r>
          </w:p>
        </w:tc>
        <w:tc>
          <w:tcPr>
            <w:tcW w:w="272" w:type="dxa"/>
            <w:tcBorders>
              <w:top w:val="nil"/>
              <w:left w:val="nil"/>
              <w:bottom w:val="nil"/>
              <w:right w:val="nil"/>
            </w:tcBorders>
            <w:shd w:val="clear" w:color="000000" w:fill="FFFFFF"/>
            <w:noWrap/>
            <w:vAlign w:val="bottom"/>
            <w:hideMark/>
          </w:tcPr>
          <w:p w:rsidR="00D32D75" w:rsidRPr="00D73B3D" w:rsidRDefault="00D32D75" w:rsidP="00ED695D">
            <w:pPr>
              <w:spacing w:before="0" w:after="0" w:line="240" w:lineRule="auto"/>
              <w:jc w:val="both"/>
              <w:rPr>
                <w:sz w:val="20"/>
                <w:lang w:eastAsia="en-GB"/>
              </w:rPr>
            </w:pPr>
            <w:r w:rsidRPr="00D73B3D">
              <w:rPr>
                <w:sz w:val="20"/>
                <w:lang w:eastAsia="en-GB"/>
              </w:rPr>
              <w:t> </w:t>
            </w:r>
          </w:p>
        </w:tc>
      </w:tr>
    </w:tbl>
    <w:p w:rsidR="00D32D75" w:rsidRPr="001D54FE" w:rsidRDefault="00D32D75" w:rsidP="00415EE4">
      <w:pPr>
        <w:spacing w:before="0" w:after="0" w:line="270" w:lineRule="atLeast"/>
        <w:jc w:val="both"/>
        <w:rPr>
          <w:b/>
          <w:bCs/>
        </w:rPr>
      </w:pPr>
    </w:p>
    <w:p w:rsidR="00312A69" w:rsidRPr="001D54FE" w:rsidRDefault="00312A69" w:rsidP="00312A69">
      <w:pPr>
        <w:spacing w:before="0" w:after="0" w:line="270" w:lineRule="atLeast"/>
        <w:jc w:val="both"/>
        <w:rPr>
          <w:bCs/>
          <w:sz w:val="23"/>
          <w:szCs w:val="23"/>
        </w:rPr>
      </w:pPr>
      <w:r w:rsidRPr="001D54FE">
        <w:rPr>
          <w:b/>
          <w:bCs/>
          <w:sz w:val="23"/>
          <w:szCs w:val="23"/>
        </w:rPr>
        <w:t xml:space="preserve">Table 1.10e: Green Deal Home Improvement Fund vouchers paid by administrative area, up to 30th September 2014, England and Wales </w:t>
      </w:r>
      <w:r w:rsidRPr="001D54FE">
        <w:rPr>
          <w:bCs/>
          <w:sz w:val="23"/>
          <w:szCs w:val="23"/>
        </w:rPr>
        <w:t xml:space="preserve">(Table available </w:t>
      </w:r>
      <w:r w:rsidRPr="001D54FE">
        <w:rPr>
          <w:sz w:val="23"/>
          <w:szCs w:val="23"/>
        </w:rPr>
        <w:t xml:space="preserve">in Excel </w:t>
      </w:r>
      <w:hyperlink r:id="rId57" w:history="1">
        <w:r w:rsidR="001D54FE" w:rsidRPr="001D54FE">
          <w:rPr>
            <w:rStyle w:val="Hyperlink"/>
            <w:rFonts w:ascii="Arial" w:hAnsi="Arial"/>
            <w:sz w:val="23"/>
            <w:szCs w:val="23"/>
          </w:rPr>
          <w:t>here</w:t>
        </w:r>
      </w:hyperlink>
      <w:r w:rsidRPr="001D54FE">
        <w:rPr>
          <w:bCs/>
          <w:sz w:val="23"/>
          <w:szCs w:val="23"/>
        </w:rPr>
        <w:t>).</w:t>
      </w:r>
    </w:p>
    <w:p w:rsidR="00312A69" w:rsidRPr="001D54FE" w:rsidRDefault="00312A69" w:rsidP="00312A69">
      <w:pPr>
        <w:spacing w:before="0" w:after="0" w:line="270" w:lineRule="atLeast"/>
        <w:jc w:val="both"/>
        <w:rPr>
          <w:b/>
          <w:bCs/>
          <w:sz w:val="23"/>
          <w:szCs w:val="23"/>
        </w:rPr>
      </w:pPr>
    </w:p>
    <w:p w:rsidR="00312A69" w:rsidRPr="001448FE" w:rsidRDefault="00312A69" w:rsidP="00312A69">
      <w:pPr>
        <w:spacing w:before="0" w:after="0" w:line="270" w:lineRule="atLeast"/>
        <w:jc w:val="both"/>
        <w:rPr>
          <w:bCs/>
          <w:sz w:val="23"/>
          <w:szCs w:val="23"/>
        </w:rPr>
      </w:pPr>
      <w:r w:rsidRPr="001D54FE">
        <w:rPr>
          <w:b/>
          <w:bCs/>
          <w:sz w:val="23"/>
          <w:szCs w:val="23"/>
        </w:rPr>
        <w:t>Table 1.10</w:t>
      </w:r>
      <w:r w:rsidR="005A25BC" w:rsidRPr="001D54FE">
        <w:rPr>
          <w:b/>
          <w:bCs/>
          <w:sz w:val="23"/>
          <w:szCs w:val="23"/>
        </w:rPr>
        <w:t>f</w:t>
      </w:r>
      <w:r w:rsidRPr="001D54FE">
        <w:rPr>
          <w:b/>
          <w:bCs/>
          <w:sz w:val="23"/>
          <w:szCs w:val="23"/>
        </w:rPr>
        <w:t xml:space="preserve">: </w:t>
      </w:r>
      <w:r w:rsidR="005A25BC" w:rsidRPr="001D54FE">
        <w:rPr>
          <w:b/>
          <w:bCs/>
          <w:sz w:val="23"/>
          <w:szCs w:val="23"/>
        </w:rPr>
        <w:t xml:space="preserve">Green Deal Home Improvement Fund vouchers </w:t>
      </w:r>
      <w:r w:rsidRPr="001D54FE">
        <w:rPr>
          <w:b/>
          <w:bCs/>
          <w:sz w:val="23"/>
          <w:szCs w:val="23"/>
        </w:rPr>
        <w:t xml:space="preserve">paid by Parliamentary Constituency, up to 30th September 2014, England and Wales </w:t>
      </w:r>
      <w:r w:rsidRPr="001D54FE">
        <w:rPr>
          <w:bCs/>
          <w:sz w:val="23"/>
          <w:szCs w:val="23"/>
        </w:rPr>
        <w:t xml:space="preserve">(Table available </w:t>
      </w:r>
      <w:r w:rsidRPr="001D54FE">
        <w:rPr>
          <w:sz w:val="23"/>
          <w:szCs w:val="23"/>
        </w:rPr>
        <w:t xml:space="preserve">in Excel </w:t>
      </w:r>
      <w:hyperlink r:id="rId58" w:history="1">
        <w:r w:rsidR="001D54FE" w:rsidRPr="001D54FE">
          <w:rPr>
            <w:rStyle w:val="Hyperlink"/>
            <w:rFonts w:ascii="Arial" w:hAnsi="Arial"/>
            <w:sz w:val="23"/>
            <w:szCs w:val="23"/>
          </w:rPr>
          <w:t>here</w:t>
        </w:r>
      </w:hyperlink>
      <w:r w:rsidRPr="001D54FE">
        <w:rPr>
          <w:bCs/>
          <w:sz w:val="23"/>
          <w:szCs w:val="23"/>
        </w:rPr>
        <w:t>).</w:t>
      </w:r>
    </w:p>
    <w:p w:rsidR="001448FE" w:rsidRDefault="001448FE" w:rsidP="00415EE4">
      <w:pPr>
        <w:spacing w:before="0" w:after="0" w:line="270" w:lineRule="atLeast"/>
        <w:jc w:val="both"/>
        <w:rPr>
          <w:b/>
          <w:bCs/>
          <w:highlight w:val="yellow"/>
        </w:rPr>
      </w:pPr>
    </w:p>
    <w:p w:rsidR="00AA2599" w:rsidRDefault="00AA2599" w:rsidP="00415EE4">
      <w:pPr>
        <w:spacing w:before="0" w:after="0" w:line="270" w:lineRule="atLeast"/>
        <w:jc w:val="both"/>
        <w:rPr>
          <w:b/>
          <w:bCs/>
          <w:highlight w:val="yellow"/>
        </w:rPr>
      </w:pPr>
    </w:p>
    <w:p w:rsidR="005A25BC" w:rsidRPr="00ED1F55" w:rsidRDefault="005A25BC" w:rsidP="005A25BC">
      <w:pPr>
        <w:spacing w:before="0" w:after="0" w:line="270" w:lineRule="atLeast"/>
        <w:jc w:val="both"/>
        <w:rPr>
          <w:b/>
          <w:bCs/>
          <w:sz w:val="22"/>
          <w:szCs w:val="22"/>
        </w:rPr>
      </w:pPr>
      <w:r w:rsidRPr="00ED1F55">
        <w:rPr>
          <w:b/>
          <w:bCs/>
          <w:sz w:val="22"/>
          <w:szCs w:val="22"/>
        </w:rPr>
        <w:t xml:space="preserve">Table </w:t>
      </w:r>
      <w:r w:rsidR="00107353">
        <w:rPr>
          <w:b/>
          <w:bCs/>
          <w:sz w:val="22"/>
          <w:szCs w:val="22"/>
        </w:rPr>
        <w:t>1.</w:t>
      </w:r>
      <w:r w:rsidRPr="00ED1F55">
        <w:rPr>
          <w:b/>
          <w:bCs/>
          <w:sz w:val="22"/>
          <w:szCs w:val="22"/>
        </w:rPr>
        <w:t>10g: Number of Green Deal Home Improvement Fund vouchers paid by tenure, up to 30th September 2014, England and Wales</w:t>
      </w:r>
    </w:p>
    <w:p w:rsidR="005A25BC" w:rsidRPr="00ED1F55" w:rsidRDefault="005A25BC" w:rsidP="005A25BC">
      <w:pPr>
        <w:spacing w:before="0" w:after="0" w:line="270" w:lineRule="atLeast"/>
        <w:rPr>
          <w:b/>
          <w:bCs/>
          <w:sz w:val="22"/>
          <w:szCs w:val="22"/>
        </w:rPr>
      </w:pPr>
    </w:p>
    <w:tbl>
      <w:tblPr>
        <w:tblW w:w="9095" w:type="dxa"/>
        <w:tblInd w:w="93" w:type="dxa"/>
        <w:tblLook w:val="04A0" w:firstRow="1" w:lastRow="0" w:firstColumn="1" w:lastColumn="0" w:noHBand="0" w:noVBand="1"/>
      </w:tblPr>
      <w:tblGrid>
        <w:gridCol w:w="3701"/>
        <w:gridCol w:w="1278"/>
        <w:gridCol w:w="2042"/>
        <w:gridCol w:w="2074"/>
      </w:tblGrid>
      <w:tr w:rsidR="005A25BC" w:rsidRPr="00ED1F55" w:rsidTr="00ED695D">
        <w:trPr>
          <w:trHeight w:val="549"/>
        </w:trPr>
        <w:tc>
          <w:tcPr>
            <w:tcW w:w="3701" w:type="dxa"/>
            <w:tcBorders>
              <w:top w:val="single" w:sz="4" w:space="0" w:color="auto"/>
              <w:left w:val="nil"/>
              <w:bottom w:val="single" w:sz="4" w:space="0" w:color="auto"/>
              <w:right w:val="nil"/>
            </w:tcBorders>
            <w:shd w:val="clear" w:color="auto" w:fill="auto"/>
            <w:noWrap/>
            <w:vAlign w:val="center"/>
            <w:hideMark/>
          </w:tcPr>
          <w:p w:rsidR="005A25BC" w:rsidRPr="00ED1F55" w:rsidRDefault="005A25BC" w:rsidP="00ED695D">
            <w:pPr>
              <w:spacing w:before="0" w:after="0" w:line="240" w:lineRule="auto"/>
              <w:rPr>
                <w:color w:val="000000"/>
                <w:sz w:val="22"/>
                <w:szCs w:val="22"/>
                <w:lang w:eastAsia="en-GB"/>
              </w:rPr>
            </w:pPr>
            <w:r w:rsidRPr="00ED1F55">
              <w:rPr>
                <w:color w:val="000000"/>
                <w:sz w:val="22"/>
                <w:szCs w:val="22"/>
                <w:lang w:eastAsia="en-GB"/>
              </w:rPr>
              <w:t>Tenure</w:t>
            </w:r>
          </w:p>
        </w:tc>
        <w:tc>
          <w:tcPr>
            <w:tcW w:w="1278" w:type="dxa"/>
            <w:tcBorders>
              <w:top w:val="single" w:sz="4" w:space="0" w:color="auto"/>
              <w:left w:val="nil"/>
              <w:bottom w:val="single" w:sz="4" w:space="0" w:color="auto"/>
              <w:right w:val="nil"/>
            </w:tcBorders>
            <w:shd w:val="clear" w:color="auto" w:fill="auto"/>
            <w:noWrap/>
            <w:vAlign w:val="bottom"/>
            <w:hideMark/>
          </w:tcPr>
          <w:p w:rsidR="005A25BC" w:rsidRPr="00ED1F55" w:rsidRDefault="005A25BC" w:rsidP="00ED695D">
            <w:pPr>
              <w:spacing w:before="0" w:after="0" w:line="240" w:lineRule="auto"/>
              <w:rPr>
                <w:color w:val="000000"/>
                <w:sz w:val="22"/>
                <w:szCs w:val="22"/>
                <w:lang w:eastAsia="en-GB"/>
              </w:rPr>
            </w:pPr>
            <w:r w:rsidRPr="00ED1F55">
              <w:rPr>
                <w:color w:val="000000"/>
                <w:sz w:val="22"/>
                <w:szCs w:val="22"/>
                <w:lang w:eastAsia="en-GB"/>
              </w:rPr>
              <w:t> </w:t>
            </w:r>
          </w:p>
        </w:tc>
        <w:tc>
          <w:tcPr>
            <w:tcW w:w="2042" w:type="dxa"/>
            <w:tcBorders>
              <w:top w:val="single" w:sz="4" w:space="0" w:color="auto"/>
              <w:left w:val="nil"/>
              <w:bottom w:val="single" w:sz="4" w:space="0" w:color="auto"/>
              <w:right w:val="nil"/>
            </w:tcBorders>
            <w:shd w:val="clear" w:color="auto" w:fill="auto"/>
            <w:vAlign w:val="bottom"/>
            <w:hideMark/>
          </w:tcPr>
          <w:p w:rsidR="005A25BC" w:rsidRPr="00ED1F55" w:rsidRDefault="005A25BC" w:rsidP="00ED695D">
            <w:pPr>
              <w:spacing w:before="0" w:after="0" w:line="240" w:lineRule="auto"/>
              <w:jc w:val="right"/>
              <w:rPr>
                <w:color w:val="000000"/>
                <w:sz w:val="22"/>
                <w:szCs w:val="22"/>
                <w:lang w:eastAsia="en-GB"/>
              </w:rPr>
            </w:pPr>
            <w:r w:rsidRPr="00ED1F55">
              <w:rPr>
                <w:color w:val="000000"/>
                <w:sz w:val="22"/>
                <w:szCs w:val="22"/>
                <w:lang w:eastAsia="en-GB"/>
              </w:rPr>
              <w:t>Green Deal Assessments</w:t>
            </w:r>
          </w:p>
        </w:tc>
        <w:tc>
          <w:tcPr>
            <w:tcW w:w="2074" w:type="dxa"/>
            <w:tcBorders>
              <w:top w:val="single" w:sz="4" w:space="0" w:color="auto"/>
              <w:left w:val="nil"/>
              <w:bottom w:val="single" w:sz="4" w:space="0" w:color="auto"/>
              <w:right w:val="nil"/>
            </w:tcBorders>
            <w:shd w:val="clear" w:color="auto" w:fill="auto"/>
            <w:vAlign w:val="bottom"/>
            <w:hideMark/>
          </w:tcPr>
          <w:p w:rsidR="005A25BC" w:rsidRPr="00ED1F55" w:rsidRDefault="005A25BC" w:rsidP="00ED695D">
            <w:pPr>
              <w:spacing w:before="0" w:after="0" w:line="240" w:lineRule="auto"/>
              <w:jc w:val="right"/>
              <w:rPr>
                <w:color w:val="000000"/>
                <w:sz w:val="22"/>
                <w:szCs w:val="22"/>
                <w:lang w:eastAsia="en-GB"/>
              </w:rPr>
            </w:pPr>
            <w:r w:rsidRPr="00ED1F55">
              <w:rPr>
                <w:color w:val="000000"/>
                <w:sz w:val="22"/>
                <w:szCs w:val="22"/>
                <w:lang w:eastAsia="en-GB"/>
              </w:rPr>
              <w:t>Valid Percentage of Assessments</w:t>
            </w:r>
            <w:r w:rsidRPr="00ED1F55">
              <w:rPr>
                <w:color w:val="000000"/>
                <w:sz w:val="22"/>
                <w:szCs w:val="22"/>
                <w:vertAlign w:val="superscript"/>
                <w:lang w:eastAsia="en-GB"/>
              </w:rPr>
              <w:t>1</w:t>
            </w:r>
          </w:p>
        </w:tc>
      </w:tr>
      <w:tr w:rsidR="005A25BC" w:rsidRPr="00ED1F55" w:rsidTr="00ED695D">
        <w:trPr>
          <w:trHeight w:val="281"/>
        </w:trPr>
        <w:tc>
          <w:tcPr>
            <w:tcW w:w="3701" w:type="dxa"/>
            <w:tcBorders>
              <w:top w:val="nil"/>
              <w:left w:val="nil"/>
              <w:bottom w:val="nil"/>
              <w:right w:val="nil"/>
            </w:tcBorders>
            <w:shd w:val="clear" w:color="000000" w:fill="FFFFFF"/>
            <w:noWrap/>
            <w:vAlign w:val="bottom"/>
            <w:hideMark/>
          </w:tcPr>
          <w:p w:rsidR="005A25BC" w:rsidRPr="00ED1F55" w:rsidRDefault="005A25BC" w:rsidP="00ED695D">
            <w:pPr>
              <w:spacing w:before="0" w:after="0" w:line="240" w:lineRule="auto"/>
              <w:rPr>
                <w:color w:val="000000"/>
                <w:sz w:val="22"/>
                <w:szCs w:val="22"/>
                <w:lang w:eastAsia="en-GB"/>
              </w:rPr>
            </w:pPr>
            <w:r w:rsidRPr="00ED1F55">
              <w:rPr>
                <w:color w:val="000000"/>
                <w:sz w:val="22"/>
                <w:szCs w:val="22"/>
                <w:lang w:eastAsia="en-GB"/>
              </w:rPr>
              <w:t>Owner-occupied</w:t>
            </w:r>
          </w:p>
        </w:tc>
        <w:tc>
          <w:tcPr>
            <w:tcW w:w="1278" w:type="dxa"/>
            <w:tcBorders>
              <w:top w:val="nil"/>
              <w:left w:val="nil"/>
              <w:bottom w:val="nil"/>
              <w:right w:val="nil"/>
            </w:tcBorders>
            <w:shd w:val="clear" w:color="auto" w:fill="auto"/>
            <w:noWrap/>
            <w:vAlign w:val="bottom"/>
            <w:hideMark/>
          </w:tcPr>
          <w:p w:rsidR="005A25BC" w:rsidRPr="00ED1F55" w:rsidRDefault="005A25BC" w:rsidP="00ED695D">
            <w:pPr>
              <w:spacing w:before="0" w:after="0" w:line="240" w:lineRule="auto"/>
              <w:rPr>
                <w:color w:val="000000"/>
                <w:sz w:val="22"/>
                <w:szCs w:val="22"/>
                <w:lang w:eastAsia="en-GB"/>
              </w:rPr>
            </w:pPr>
          </w:p>
        </w:tc>
        <w:tc>
          <w:tcPr>
            <w:tcW w:w="2042" w:type="dxa"/>
            <w:tcBorders>
              <w:top w:val="nil"/>
              <w:left w:val="nil"/>
              <w:bottom w:val="nil"/>
              <w:right w:val="nil"/>
            </w:tcBorders>
            <w:shd w:val="clear" w:color="auto" w:fill="auto"/>
            <w:noWrap/>
            <w:vAlign w:val="bottom"/>
            <w:hideMark/>
          </w:tcPr>
          <w:p w:rsidR="005A25BC" w:rsidRPr="00ED1F55" w:rsidRDefault="005A25BC" w:rsidP="00ED695D">
            <w:pPr>
              <w:spacing w:before="0" w:after="0"/>
              <w:jc w:val="right"/>
              <w:rPr>
                <w:color w:val="000000"/>
                <w:sz w:val="22"/>
                <w:szCs w:val="22"/>
              </w:rPr>
            </w:pPr>
            <w:r w:rsidRPr="00ED1F55">
              <w:rPr>
                <w:color w:val="000000"/>
                <w:sz w:val="22"/>
                <w:szCs w:val="22"/>
              </w:rPr>
              <w:t>4,321</w:t>
            </w:r>
          </w:p>
        </w:tc>
        <w:tc>
          <w:tcPr>
            <w:tcW w:w="2074" w:type="dxa"/>
            <w:tcBorders>
              <w:top w:val="nil"/>
              <w:left w:val="nil"/>
              <w:bottom w:val="nil"/>
              <w:right w:val="nil"/>
            </w:tcBorders>
            <w:shd w:val="clear" w:color="auto" w:fill="auto"/>
            <w:noWrap/>
            <w:vAlign w:val="bottom"/>
            <w:hideMark/>
          </w:tcPr>
          <w:p w:rsidR="005A25BC" w:rsidRPr="00ED1F55" w:rsidRDefault="005A25BC" w:rsidP="00ED695D">
            <w:pPr>
              <w:spacing w:before="0" w:after="0"/>
              <w:jc w:val="right"/>
              <w:rPr>
                <w:i/>
                <w:iCs/>
                <w:color w:val="000000"/>
                <w:sz w:val="22"/>
                <w:szCs w:val="22"/>
              </w:rPr>
            </w:pPr>
            <w:r w:rsidRPr="00ED1F55">
              <w:rPr>
                <w:i/>
                <w:iCs/>
                <w:color w:val="000000"/>
                <w:sz w:val="22"/>
                <w:szCs w:val="22"/>
              </w:rPr>
              <w:t>87</w:t>
            </w:r>
          </w:p>
        </w:tc>
      </w:tr>
      <w:tr w:rsidR="005A25BC" w:rsidRPr="00ED1F55" w:rsidTr="00ED695D">
        <w:trPr>
          <w:trHeight w:val="281"/>
        </w:trPr>
        <w:tc>
          <w:tcPr>
            <w:tcW w:w="3701" w:type="dxa"/>
            <w:tcBorders>
              <w:top w:val="nil"/>
              <w:left w:val="nil"/>
              <w:bottom w:val="nil"/>
              <w:right w:val="nil"/>
            </w:tcBorders>
            <w:shd w:val="clear" w:color="000000" w:fill="FFFFFF"/>
            <w:noWrap/>
            <w:vAlign w:val="bottom"/>
            <w:hideMark/>
          </w:tcPr>
          <w:p w:rsidR="005A25BC" w:rsidRPr="00ED1F55" w:rsidRDefault="005A25BC" w:rsidP="00ED695D">
            <w:pPr>
              <w:spacing w:before="0" w:after="0" w:line="240" w:lineRule="auto"/>
              <w:rPr>
                <w:color w:val="000000"/>
                <w:sz w:val="22"/>
                <w:szCs w:val="22"/>
                <w:lang w:eastAsia="en-GB"/>
              </w:rPr>
            </w:pPr>
            <w:r w:rsidRPr="00ED1F55">
              <w:rPr>
                <w:color w:val="000000"/>
                <w:sz w:val="22"/>
                <w:szCs w:val="22"/>
                <w:lang w:eastAsia="en-GB"/>
              </w:rPr>
              <w:t>Rented (private)</w:t>
            </w:r>
          </w:p>
        </w:tc>
        <w:tc>
          <w:tcPr>
            <w:tcW w:w="1278" w:type="dxa"/>
            <w:tcBorders>
              <w:top w:val="nil"/>
              <w:left w:val="nil"/>
              <w:bottom w:val="nil"/>
              <w:right w:val="nil"/>
            </w:tcBorders>
            <w:shd w:val="clear" w:color="auto" w:fill="auto"/>
            <w:noWrap/>
            <w:vAlign w:val="bottom"/>
            <w:hideMark/>
          </w:tcPr>
          <w:p w:rsidR="005A25BC" w:rsidRPr="00ED1F55" w:rsidRDefault="005A25BC" w:rsidP="00ED695D">
            <w:pPr>
              <w:spacing w:before="0" w:after="0" w:line="240" w:lineRule="auto"/>
              <w:rPr>
                <w:color w:val="000000"/>
                <w:sz w:val="22"/>
                <w:szCs w:val="22"/>
                <w:lang w:eastAsia="en-GB"/>
              </w:rPr>
            </w:pPr>
          </w:p>
        </w:tc>
        <w:tc>
          <w:tcPr>
            <w:tcW w:w="2042" w:type="dxa"/>
            <w:tcBorders>
              <w:top w:val="nil"/>
              <w:left w:val="nil"/>
              <w:bottom w:val="nil"/>
              <w:right w:val="nil"/>
            </w:tcBorders>
            <w:shd w:val="clear" w:color="auto" w:fill="auto"/>
            <w:noWrap/>
            <w:vAlign w:val="bottom"/>
            <w:hideMark/>
          </w:tcPr>
          <w:p w:rsidR="005A25BC" w:rsidRPr="00ED1F55" w:rsidRDefault="005A25BC" w:rsidP="00ED695D">
            <w:pPr>
              <w:spacing w:before="0" w:after="0"/>
              <w:jc w:val="right"/>
              <w:rPr>
                <w:color w:val="000000"/>
                <w:sz w:val="22"/>
                <w:szCs w:val="22"/>
              </w:rPr>
            </w:pPr>
            <w:r w:rsidRPr="00ED1F55">
              <w:rPr>
                <w:color w:val="000000"/>
                <w:sz w:val="22"/>
                <w:szCs w:val="22"/>
              </w:rPr>
              <w:t>589</w:t>
            </w:r>
          </w:p>
        </w:tc>
        <w:tc>
          <w:tcPr>
            <w:tcW w:w="2074" w:type="dxa"/>
            <w:tcBorders>
              <w:top w:val="nil"/>
              <w:left w:val="nil"/>
              <w:bottom w:val="nil"/>
              <w:right w:val="nil"/>
            </w:tcBorders>
            <w:shd w:val="clear" w:color="auto" w:fill="auto"/>
            <w:noWrap/>
            <w:vAlign w:val="bottom"/>
            <w:hideMark/>
          </w:tcPr>
          <w:p w:rsidR="005A25BC" w:rsidRPr="00ED1F55" w:rsidRDefault="005A25BC" w:rsidP="00ED695D">
            <w:pPr>
              <w:spacing w:before="0" w:after="0"/>
              <w:jc w:val="right"/>
              <w:rPr>
                <w:i/>
                <w:iCs/>
                <w:color w:val="000000"/>
                <w:sz w:val="22"/>
                <w:szCs w:val="22"/>
              </w:rPr>
            </w:pPr>
            <w:r w:rsidRPr="00ED1F55">
              <w:rPr>
                <w:i/>
                <w:iCs/>
                <w:color w:val="000000"/>
                <w:sz w:val="22"/>
                <w:szCs w:val="22"/>
              </w:rPr>
              <w:t>12</w:t>
            </w:r>
          </w:p>
        </w:tc>
      </w:tr>
      <w:tr w:rsidR="005A25BC" w:rsidRPr="00ED1F55" w:rsidTr="00ED695D">
        <w:trPr>
          <w:trHeight w:val="281"/>
        </w:trPr>
        <w:tc>
          <w:tcPr>
            <w:tcW w:w="3701" w:type="dxa"/>
            <w:tcBorders>
              <w:top w:val="nil"/>
              <w:left w:val="nil"/>
              <w:bottom w:val="nil"/>
              <w:right w:val="nil"/>
            </w:tcBorders>
            <w:shd w:val="clear" w:color="000000" w:fill="FFFFFF"/>
            <w:noWrap/>
            <w:vAlign w:val="bottom"/>
            <w:hideMark/>
          </w:tcPr>
          <w:p w:rsidR="005A25BC" w:rsidRPr="00ED1F55" w:rsidRDefault="005A25BC" w:rsidP="00ED695D">
            <w:pPr>
              <w:spacing w:before="0" w:after="0" w:line="240" w:lineRule="auto"/>
              <w:rPr>
                <w:color w:val="000000"/>
                <w:sz w:val="22"/>
                <w:szCs w:val="22"/>
                <w:lang w:eastAsia="en-GB"/>
              </w:rPr>
            </w:pPr>
            <w:r w:rsidRPr="00ED1F55">
              <w:rPr>
                <w:color w:val="000000"/>
                <w:sz w:val="22"/>
                <w:szCs w:val="22"/>
                <w:lang w:eastAsia="en-GB"/>
              </w:rPr>
              <w:t>Rented (social)</w:t>
            </w:r>
          </w:p>
        </w:tc>
        <w:tc>
          <w:tcPr>
            <w:tcW w:w="1278" w:type="dxa"/>
            <w:tcBorders>
              <w:top w:val="nil"/>
              <w:left w:val="nil"/>
              <w:bottom w:val="nil"/>
              <w:right w:val="nil"/>
            </w:tcBorders>
            <w:shd w:val="clear" w:color="auto" w:fill="auto"/>
            <w:noWrap/>
            <w:vAlign w:val="bottom"/>
            <w:hideMark/>
          </w:tcPr>
          <w:p w:rsidR="005A25BC" w:rsidRPr="00ED1F55" w:rsidRDefault="005A25BC" w:rsidP="00ED695D">
            <w:pPr>
              <w:spacing w:before="0" w:after="0" w:line="240" w:lineRule="auto"/>
              <w:rPr>
                <w:color w:val="000000"/>
                <w:sz w:val="22"/>
                <w:szCs w:val="22"/>
                <w:lang w:eastAsia="en-GB"/>
              </w:rPr>
            </w:pPr>
          </w:p>
        </w:tc>
        <w:tc>
          <w:tcPr>
            <w:tcW w:w="2042" w:type="dxa"/>
            <w:tcBorders>
              <w:top w:val="nil"/>
              <w:left w:val="nil"/>
              <w:bottom w:val="nil"/>
              <w:right w:val="nil"/>
            </w:tcBorders>
            <w:shd w:val="clear" w:color="auto" w:fill="auto"/>
            <w:noWrap/>
            <w:vAlign w:val="bottom"/>
            <w:hideMark/>
          </w:tcPr>
          <w:p w:rsidR="005A25BC" w:rsidRPr="00ED1F55" w:rsidRDefault="005A25BC" w:rsidP="00ED695D">
            <w:pPr>
              <w:spacing w:before="0" w:after="0"/>
              <w:jc w:val="right"/>
              <w:rPr>
                <w:color w:val="000000"/>
                <w:sz w:val="22"/>
                <w:szCs w:val="22"/>
              </w:rPr>
            </w:pPr>
            <w:r w:rsidRPr="00ED1F55">
              <w:rPr>
                <w:color w:val="000000"/>
                <w:sz w:val="22"/>
                <w:szCs w:val="22"/>
              </w:rPr>
              <w:t>63</w:t>
            </w:r>
          </w:p>
        </w:tc>
        <w:tc>
          <w:tcPr>
            <w:tcW w:w="2074" w:type="dxa"/>
            <w:tcBorders>
              <w:top w:val="nil"/>
              <w:left w:val="nil"/>
              <w:bottom w:val="nil"/>
              <w:right w:val="nil"/>
            </w:tcBorders>
            <w:shd w:val="clear" w:color="auto" w:fill="auto"/>
            <w:noWrap/>
            <w:vAlign w:val="bottom"/>
            <w:hideMark/>
          </w:tcPr>
          <w:p w:rsidR="005A25BC" w:rsidRPr="00ED1F55" w:rsidRDefault="005A25BC" w:rsidP="00ED695D">
            <w:pPr>
              <w:spacing w:before="0" w:after="0"/>
              <w:jc w:val="right"/>
              <w:rPr>
                <w:i/>
                <w:iCs/>
                <w:color w:val="000000"/>
                <w:sz w:val="22"/>
                <w:szCs w:val="22"/>
              </w:rPr>
            </w:pPr>
            <w:r w:rsidRPr="00ED1F55">
              <w:rPr>
                <w:i/>
                <w:iCs/>
                <w:color w:val="000000"/>
                <w:sz w:val="22"/>
                <w:szCs w:val="22"/>
              </w:rPr>
              <w:t>1</w:t>
            </w:r>
          </w:p>
        </w:tc>
      </w:tr>
      <w:tr w:rsidR="005A25BC" w:rsidRPr="00ED1F55" w:rsidTr="00520AF2">
        <w:trPr>
          <w:trHeight w:val="130"/>
        </w:trPr>
        <w:tc>
          <w:tcPr>
            <w:tcW w:w="3701" w:type="dxa"/>
            <w:tcBorders>
              <w:top w:val="nil"/>
              <w:left w:val="nil"/>
              <w:bottom w:val="nil"/>
              <w:right w:val="nil"/>
            </w:tcBorders>
            <w:shd w:val="clear" w:color="000000" w:fill="FFFFFF"/>
            <w:noWrap/>
            <w:vAlign w:val="bottom"/>
            <w:hideMark/>
          </w:tcPr>
          <w:p w:rsidR="005A25BC" w:rsidRPr="00ED1F55" w:rsidRDefault="005A25BC" w:rsidP="00ED695D">
            <w:pPr>
              <w:spacing w:before="0" w:after="0" w:line="240" w:lineRule="auto"/>
              <w:rPr>
                <w:color w:val="000000"/>
                <w:sz w:val="22"/>
                <w:szCs w:val="22"/>
                <w:lang w:eastAsia="en-GB"/>
              </w:rPr>
            </w:pPr>
            <w:r w:rsidRPr="00ED1F55">
              <w:rPr>
                <w:color w:val="000000"/>
                <w:sz w:val="22"/>
                <w:szCs w:val="22"/>
                <w:lang w:eastAsia="en-GB"/>
              </w:rPr>
              <w:t> </w:t>
            </w:r>
          </w:p>
        </w:tc>
        <w:tc>
          <w:tcPr>
            <w:tcW w:w="1278" w:type="dxa"/>
            <w:tcBorders>
              <w:top w:val="nil"/>
              <w:left w:val="nil"/>
              <w:bottom w:val="nil"/>
              <w:right w:val="nil"/>
            </w:tcBorders>
            <w:shd w:val="clear" w:color="auto" w:fill="auto"/>
            <w:noWrap/>
            <w:vAlign w:val="bottom"/>
            <w:hideMark/>
          </w:tcPr>
          <w:p w:rsidR="005A25BC" w:rsidRPr="00ED1F55" w:rsidRDefault="005A25BC" w:rsidP="00ED695D">
            <w:pPr>
              <w:spacing w:before="0" w:after="0" w:line="240" w:lineRule="auto"/>
              <w:rPr>
                <w:color w:val="000000"/>
                <w:sz w:val="22"/>
                <w:szCs w:val="22"/>
                <w:lang w:eastAsia="en-GB"/>
              </w:rPr>
            </w:pPr>
          </w:p>
        </w:tc>
        <w:tc>
          <w:tcPr>
            <w:tcW w:w="2042" w:type="dxa"/>
            <w:tcBorders>
              <w:top w:val="nil"/>
              <w:left w:val="nil"/>
              <w:bottom w:val="nil"/>
              <w:right w:val="nil"/>
            </w:tcBorders>
            <w:shd w:val="clear" w:color="auto" w:fill="auto"/>
            <w:noWrap/>
            <w:vAlign w:val="bottom"/>
            <w:hideMark/>
          </w:tcPr>
          <w:p w:rsidR="005A25BC" w:rsidRPr="00ED1F55" w:rsidRDefault="005A25BC" w:rsidP="00ED695D">
            <w:pPr>
              <w:spacing w:before="0" w:after="0"/>
              <w:rPr>
                <w:color w:val="000000"/>
                <w:sz w:val="22"/>
                <w:szCs w:val="22"/>
              </w:rPr>
            </w:pPr>
          </w:p>
        </w:tc>
        <w:tc>
          <w:tcPr>
            <w:tcW w:w="2074" w:type="dxa"/>
            <w:tcBorders>
              <w:top w:val="nil"/>
              <w:left w:val="nil"/>
              <w:bottom w:val="nil"/>
              <w:right w:val="nil"/>
            </w:tcBorders>
            <w:shd w:val="clear" w:color="auto" w:fill="auto"/>
            <w:noWrap/>
            <w:vAlign w:val="bottom"/>
            <w:hideMark/>
          </w:tcPr>
          <w:p w:rsidR="005A25BC" w:rsidRPr="00ED1F55" w:rsidRDefault="005A25BC" w:rsidP="00ED695D">
            <w:pPr>
              <w:spacing w:before="0" w:after="0"/>
              <w:rPr>
                <w:i/>
                <w:iCs/>
                <w:color w:val="000000"/>
                <w:sz w:val="22"/>
                <w:szCs w:val="22"/>
              </w:rPr>
            </w:pPr>
          </w:p>
        </w:tc>
      </w:tr>
      <w:tr w:rsidR="005A25BC" w:rsidRPr="00ED1F55" w:rsidTr="00ED695D">
        <w:trPr>
          <w:trHeight w:val="281"/>
        </w:trPr>
        <w:tc>
          <w:tcPr>
            <w:tcW w:w="3701" w:type="dxa"/>
            <w:tcBorders>
              <w:top w:val="nil"/>
              <w:left w:val="nil"/>
              <w:bottom w:val="nil"/>
              <w:right w:val="nil"/>
            </w:tcBorders>
            <w:shd w:val="clear" w:color="000000" w:fill="FFFFFF"/>
            <w:noWrap/>
            <w:vAlign w:val="bottom"/>
            <w:hideMark/>
          </w:tcPr>
          <w:p w:rsidR="005A25BC" w:rsidRPr="00ED1F55" w:rsidRDefault="005A25BC" w:rsidP="00ED695D">
            <w:pPr>
              <w:spacing w:before="0" w:after="0" w:line="240" w:lineRule="auto"/>
              <w:rPr>
                <w:color w:val="000000"/>
                <w:sz w:val="22"/>
                <w:szCs w:val="22"/>
                <w:lang w:eastAsia="en-GB"/>
              </w:rPr>
            </w:pPr>
            <w:r w:rsidRPr="00ED1F55">
              <w:rPr>
                <w:color w:val="000000"/>
                <w:sz w:val="22"/>
                <w:szCs w:val="22"/>
                <w:lang w:eastAsia="en-GB"/>
              </w:rPr>
              <w:t>Unknown</w:t>
            </w:r>
            <w:r w:rsidRPr="00ED1F55">
              <w:rPr>
                <w:color w:val="000000"/>
                <w:sz w:val="22"/>
                <w:szCs w:val="22"/>
                <w:vertAlign w:val="superscript"/>
                <w:lang w:eastAsia="en-GB"/>
              </w:rPr>
              <w:t>2</w:t>
            </w:r>
          </w:p>
        </w:tc>
        <w:tc>
          <w:tcPr>
            <w:tcW w:w="1278" w:type="dxa"/>
            <w:tcBorders>
              <w:top w:val="nil"/>
              <w:left w:val="nil"/>
              <w:bottom w:val="nil"/>
              <w:right w:val="nil"/>
            </w:tcBorders>
            <w:shd w:val="clear" w:color="auto" w:fill="auto"/>
            <w:noWrap/>
            <w:vAlign w:val="bottom"/>
            <w:hideMark/>
          </w:tcPr>
          <w:p w:rsidR="005A25BC" w:rsidRPr="00ED1F55" w:rsidRDefault="005A25BC" w:rsidP="00ED695D">
            <w:pPr>
              <w:spacing w:before="0" w:after="0" w:line="240" w:lineRule="auto"/>
              <w:rPr>
                <w:color w:val="000000"/>
                <w:sz w:val="22"/>
                <w:szCs w:val="22"/>
                <w:lang w:eastAsia="en-GB"/>
              </w:rPr>
            </w:pPr>
          </w:p>
        </w:tc>
        <w:tc>
          <w:tcPr>
            <w:tcW w:w="2042" w:type="dxa"/>
            <w:tcBorders>
              <w:top w:val="nil"/>
              <w:left w:val="nil"/>
              <w:bottom w:val="nil"/>
              <w:right w:val="nil"/>
            </w:tcBorders>
            <w:shd w:val="clear" w:color="auto" w:fill="auto"/>
            <w:noWrap/>
            <w:vAlign w:val="bottom"/>
            <w:hideMark/>
          </w:tcPr>
          <w:p w:rsidR="005A25BC" w:rsidRPr="00ED1F55" w:rsidRDefault="005A25BC" w:rsidP="00ED695D">
            <w:pPr>
              <w:spacing w:before="0" w:after="0"/>
              <w:jc w:val="right"/>
              <w:rPr>
                <w:color w:val="000000"/>
                <w:sz w:val="22"/>
                <w:szCs w:val="22"/>
              </w:rPr>
            </w:pPr>
            <w:r w:rsidRPr="00ED1F55">
              <w:rPr>
                <w:color w:val="000000"/>
                <w:sz w:val="22"/>
                <w:szCs w:val="22"/>
              </w:rPr>
              <w:t>1,638</w:t>
            </w:r>
          </w:p>
        </w:tc>
        <w:tc>
          <w:tcPr>
            <w:tcW w:w="2074" w:type="dxa"/>
            <w:tcBorders>
              <w:top w:val="nil"/>
              <w:left w:val="nil"/>
              <w:bottom w:val="nil"/>
              <w:right w:val="nil"/>
            </w:tcBorders>
            <w:shd w:val="clear" w:color="auto" w:fill="auto"/>
            <w:noWrap/>
            <w:vAlign w:val="bottom"/>
            <w:hideMark/>
          </w:tcPr>
          <w:p w:rsidR="005A25BC" w:rsidRPr="00ED1F55" w:rsidRDefault="005A25BC" w:rsidP="00ED695D">
            <w:pPr>
              <w:spacing w:before="0" w:after="0"/>
              <w:jc w:val="right"/>
              <w:rPr>
                <w:i/>
                <w:iCs/>
                <w:color w:val="000000"/>
                <w:sz w:val="22"/>
                <w:szCs w:val="22"/>
              </w:rPr>
            </w:pPr>
            <w:r w:rsidRPr="00ED1F55">
              <w:rPr>
                <w:i/>
                <w:iCs/>
                <w:color w:val="000000"/>
                <w:sz w:val="22"/>
                <w:szCs w:val="22"/>
              </w:rPr>
              <w:t>-</w:t>
            </w:r>
          </w:p>
        </w:tc>
      </w:tr>
      <w:tr w:rsidR="005A25BC" w:rsidRPr="00ED1F55" w:rsidTr="00520AF2">
        <w:trPr>
          <w:trHeight w:val="138"/>
        </w:trPr>
        <w:tc>
          <w:tcPr>
            <w:tcW w:w="3701" w:type="dxa"/>
            <w:tcBorders>
              <w:top w:val="nil"/>
              <w:left w:val="nil"/>
              <w:bottom w:val="nil"/>
              <w:right w:val="nil"/>
            </w:tcBorders>
            <w:shd w:val="clear" w:color="auto" w:fill="auto"/>
            <w:noWrap/>
            <w:vAlign w:val="bottom"/>
            <w:hideMark/>
          </w:tcPr>
          <w:p w:rsidR="005A25BC" w:rsidRPr="00ED1F55" w:rsidRDefault="005A25BC" w:rsidP="00ED695D">
            <w:pPr>
              <w:spacing w:before="0" w:after="0" w:line="240" w:lineRule="auto"/>
              <w:rPr>
                <w:color w:val="000000"/>
                <w:sz w:val="22"/>
                <w:szCs w:val="22"/>
                <w:lang w:eastAsia="en-GB"/>
              </w:rPr>
            </w:pPr>
          </w:p>
        </w:tc>
        <w:tc>
          <w:tcPr>
            <w:tcW w:w="1278" w:type="dxa"/>
            <w:tcBorders>
              <w:top w:val="nil"/>
              <w:left w:val="nil"/>
              <w:bottom w:val="nil"/>
              <w:right w:val="nil"/>
            </w:tcBorders>
            <w:shd w:val="clear" w:color="auto" w:fill="auto"/>
            <w:noWrap/>
            <w:vAlign w:val="bottom"/>
            <w:hideMark/>
          </w:tcPr>
          <w:p w:rsidR="005A25BC" w:rsidRPr="00ED1F55" w:rsidRDefault="005A25BC" w:rsidP="00ED695D">
            <w:pPr>
              <w:spacing w:before="0" w:after="0" w:line="240" w:lineRule="auto"/>
              <w:rPr>
                <w:color w:val="000000"/>
                <w:sz w:val="22"/>
                <w:szCs w:val="22"/>
                <w:lang w:eastAsia="en-GB"/>
              </w:rPr>
            </w:pPr>
          </w:p>
        </w:tc>
        <w:tc>
          <w:tcPr>
            <w:tcW w:w="2042" w:type="dxa"/>
            <w:tcBorders>
              <w:top w:val="nil"/>
              <w:left w:val="nil"/>
              <w:bottom w:val="nil"/>
              <w:right w:val="nil"/>
            </w:tcBorders>
            <w:shd w:val="clear" w:color="auto" w:fill="auto"/>
            <w:noWrap/>
            <w:vAlign w:val="bottom"/>
            <w:hideMark/>
          </w:tcPr>
          <w:p w:rsidR="005A25BC" w:rsidRPr="00ED1F55" w:rsidRDefault="005A25BC" w:rsidP="00ED695D">
            <w:pPr>
              <w:spacing w:before="0" w:after="0"/>
              <w:rPr>
                <w:color w:val="000000"/>
                <w:sz w:val="22"/>
                <w:szCs w:val="22"/>
              </w:rPr>
            </w:pPr>
          </w:p>
        </w:tc>
        <w:tc>
          <w:tcPr>
            <w:tcW w:w="2074" w:type="dxa"/>
            <w:tcBorders>
              <w:top w:val="nil"/>
              <w:left w:val="nil"/>
              <w:bottom w:val="nil"/>
              <w:right w:val="nil"/>
            </w:tcBorders>
            <w:shd w:val="clear" w:color="auto" w:fill="auto"/>
            <w:noWrap/>
            <w:vAlign w:val="bottom"/>
            <w:hideMark/>
          </w:tcPr>
          <w:p w:rsidR="005A25BC" w:rsidRPr="00ED1F55" w:rsidRDefault="005A25BC" w:rsidP="00ED695D">
            <w:pPr>
              <w:spacing w:before="0" w:after="0"/>
              <w:rPr>
                <w:color w:val="000000"/>
                <w:sz w:val="22"/>
                <w:szCs w:val="22"/>
              </w:rPr>
            </w:pPr>
          </w:p>
        </w:tc>
      </w:tr>
      <w:tr w:rsidR="005A25BC" w:rsidRPr="00ED1F55" w:rsidTr="00ED695D">
        <w:trPr>
          <w:trHeight w:val="296"/>
        </w:trPr>
        <w:tc>
          <w:tcPr>
            <w:tcW w:w="3701" w:type="dxa"/>
            <w:tcBorders>
              <w:top w:val="nil"/>
              <w:left w:val="nil"/>
              <w:bottom w:val="single" w:sz="4" w:space="0" w:color="auto"/>
              <w:right w:val="nil"/>
            </w:tcBorders>
            <w:shd w:val="clear" w:color="000000" w:fill="FFFFFF"/>
            <w:noWrap/>
            <w:vAlign w:val="bottom"/>
            <w:hideMark/>
          </w:tcPr>
          <w:p w:rsidR="005A25BC" w:rsidRPr="00ED1F55" w:rsidRDefault="005A25BC" w:rsidP="00ED695D">
            <w:pPr>
              <w:spacing w:before="0" w:after="0" w:line="240" w:lineRule="auto"/>
              <w:rPr>
                <w:b/>
                <w:bCs/>
                <w:color w:val="000000"/>
                <w:sz w:val="22"/>
                <w:szCs w:val="22"/>
                <w:lang w:eastAsia="en-GB"/>
              </w:rPr>
            </w:pPr>
            <w:r w:rsidRPr="00ED1F55">
              <w:rPr>
                <w:b/>
                <w:bCs/>
                <w:color w:val="000000"/>
                <w:sz w:val="22"/>
                <w:szCs w:val="22"/>
                <w:lang w:eastAsia="en-GB"/>
              </w:rPr>
              <w:t>Total</w:t>
            </w:r>
          </w:p>
        </w:tc>
        <w:tc>
          <w:tcPr>
            <w:tcW w:w="1278" w:type="dxa"/>
            <w:tcBorders>
              <w:top w:val="nil"/>
              <w:left w:val="nil"/>
              <w:bottom w:val="single" w:sz="4" w:space="0" w:color="auto"/>
              <w:right w:val="nil"/>
            </w:tcBorders>
            <w:shd w:val="clear" w:color="auto" w:fill="auto"/>
            <w:noWrap/>
            <w:vAlign w:val="bottom"/>
            <w:hideMark/>
          </w:tcPr>
          <w:p w:rsidR="005A25BC" w:rsidRPr="00ED1F55" w:rsidRDefault="005A25BC" w:rsidP="00ED695D">
            <w:pPr>
              <w:spacing w:before="0" w:after="0" w:line="240" w:lineRule="auto"/>
              <w:rPr>
                <w:b/>
                <w:bCs/>
                <w:color w:val="000000"/>
                <w:sz w:val="22"/>
                <w:szCs w:val="22"/>
                <w:lang w:eastAsia="en-GB"/>
              </w:rPr>
            </w:pPr>
            <w:r w:rsidRPr="00ED1F55">
              <w:rPr>
                <w:b/>
                <w:bCs/>
                <w:color w:val="000000"/>
                <w:sz w:val="22"/>
                <w:szCs w:val="22"/>
                <w:lang w:eastAsia="en-GB"/>
              </w:rPr>
              <w:t> </w:t>
            </w:r>
          </w:p>
        </w:tc>
        <w:tc>
          <w:tcPr>
            <w:tcW w:w="2042" w:type="dxa"/>
            <w:tcBorders>
              <w:top w:val="nil"/>
              <w:left w:val="nil"/>
              <w:bottom w:val="single" w:sz="4" w:space="0" w:color="auto"/>
              <w:right w:val="nil"/>
            </w:tcBorders>
            <w:shd w:val="clear" w:color="auto" w:fill="auto"/>
            <w:noWrap/>
            <w:vAlign w:val="bottom"/>
            <w:hideMark/>
          </w:tcPr>
          <w:p w:rsidR="005A25BC" w:rsidRPr="00ED1F55" w:rsidRDefault="005A25BC" w:rsidP="00ED695D">
            <w:pPr>
              <w:spacing w:before="0" w:after="0"/>
              <w:jc w:val="right"/>
              <w:rPr>
                <w:b/>
                <w:bCs/>
                <w:color w:val="000000"/>
                <w:sz w:val="22"/>
                <w:szCs w:val="22"/>
              </w:rPr>
            </w:pPr>
            <w:r w:rsidRPr="00ED1F55">
              <w:rPr>
                <w:b/>
                <w:bCs/>
                <w:color w:val="000000"/>
                <w:sz w:val="22"/>
                <w:szCs w:val="22"/>
              </w:rPr>
              <w:t>6,611</w:t>
            </w:r>
          </w:p>
        </w:tc>
        <w:tc>
          <w:tcPr>
            <w:tcW w:w="2074" w:type="dxa"/>
            <w:tcBorders>
              <w:top w:val="nil"/>
              <w:left w:val="nil"/>
              <w:bottom w:val="single" w:sz="4" w:space="0" w:color="auto"/>
              <w:right w:val="nil"/>
            </w:tcBorders>
            <w:shd w:val="clear" w:color="auto" w:fill="auto"/>
            <w:noWrap/>
            <w:vAlign w:val="bottom"/>
            <w:hideMark/>
          </w:tcPr>
          <w:p w:rsidR="005A25BC" w:rsidRPr="00ED1F55" w:rsidRDefault="005A25BC" w:rsidP="00ED695D">
            <w:pPr>
              <w:spacing w:before="0" w:after="0"/>
              <w:jc w:val="right"/>
              <w:rPr>
                <w:b/>
                <w:bCs/>
                <w:i/>
                <w:iCs/>
                <w:color w:val="000000"/>
                <w:sz w:val="22"/>
                <w:szCs w:val="22"/>
              </w:rPr>
            </w:pPr>
            <w:r w:rsidRPr="00ED1F55">
              <w:rPr>
                <w:b/>
                <w:bCs/>
                <w:i/>
                <w:iCs/>
                <w:color w:val="000000"/>
                <w:sz w:val="22"/>
                <w:szCs w:val="22"/>
              </w:rPr>
              <w:t>100</w:t>
            </w:r>
          </w:p>
        </w:tc>
      </w:tr>
    </w:tbl>
    <w:p w:rsidR="005A25BC" w:rsidRPr="00D65354" w:rsidRDefault="005A25BC" w:rsidP="005A25BC">
      <w:pPr>
        <w:spacing w:before="0" w:after="0" w:line="270" w:lineRule="atLeast"/>
        <w:jc w:val="both"/>
        <w:rPr>
          <w:bCs/>
          <w:sz w:val="21"/>
          <w:szCs w:val="21"/>
        </w:rPr>
      </w:pPr>
      <w:r w:rsidRPr="00D65354">
        <w:rPr>
          <w:bCs/>
          <w:sz w:val="21"/>
          <w:szCs w:val="21"/>
          <w:vertAlign w:val="superscript"/>
        </w:rPr>
        <w:t>1</w:t>
      </w:r>
      <w:r w:rsidRPr="00D65354">
        <w:rPr>
          <w:bCs/>
          <w:sz w:val="21"/>
          <w:szCs w:val="21"/>
        </w:rPr>
        <w:t xml:space="preserve"> Percentage of G</w:t>
      </w:r>
      <w:r w:rsidR="00ED695D" w:rsidRPr="00D65354">
        <w:rPr>
          <w:bCs/>
          <w:sz w:val="21"/>
          <w:szCs w:val="21"/>
        </w:rPr>
        <w:t>D</w:t>
      </w:r>
      <w:r w:rsidRPr="00D65354">
        <w:rPr>
          <w:bCs/>
          <w:sz w:val="21"/>
          <w:szCs w:val="21"/>
        </w:rPr>
        <w:t xml:space="preserve">HIF vouchers paid is calculated only for those where tenure is known. </w:t>
      </w:r>
    </w:p>
    <w:p w:rsidR="005A25BC" w:rsidRPr="00D65354" w:rsidRDefault="005A25BC" w:rsidP="005A25BC">
      <w:pPr>
        <w:spacing w:before="0" w:after="0" w:line="270" w:lineRule="atLeast"/>
        <w:jc w:val="both"/>
        <w:rPr>
          <w:bCs/>
          <w:sz w:val="21"/>
          <w:szCs w:val="21"/>
        </w:rPr>
      </w:pPr>
      <w:r w:rsidRPr="00D65354">
        <w:rPr>
          <w:bCs/>
          <w:sz w:val="21"/>
          <w:szCs w:val="21"/>
          <w:vertAlign w:val="superscript"/>
        </w:rPr>
        <w:t>2</w:t>
      </w:r>
      <w:r w:rsidRPr="00D65354">
        <w:rPr>
          <w:bCs/>
          <w:sz w:val="21"/>
          <w:szCs w:val="21"/>
        </w:rPr>
        <w:t xml:space="preserve"> The large number of unknown values relate to GDHIF payments which on</w:t>
      </w:r>
      <w:r w:rsidR="008A71F1">
        <w:rPr>
          <w:bCs/>
          <w:sz w:val="21"/>
          <w:szCs w:val="21"/>
        </w:rPr>
        <w:t>ly had an EPC only application.</w:t>
      </w:r>
      <w:r w:rsidRPr="00D65354">
        <w:rPr>
          <w:bCs/>
          <w:sz w:val="21"/>
          <w:szCs w:val="21"/>
        </w:rPr>
        <w:t xml:space="preserve"> DECC are seeking agreement from DCLG to receive EPC data related to Green Deal Home Improvement Fund where a Green Deal Assessment was not carr</w:t>
      </w:r>
      <w:r w:rsidR="008A71F1">
        <w:rPr>
          <w:bCs/>
          <w:sz w:val="21"/>
          <w:szCs w:val="21"/>
        </w:rPr>
        <w:t>ied out.</w:t>
      </w:r>
      <w:r w:rsidRPr="00D65354">
        <w:rPr>
          <w:bCs/>
          <w:sz w:val="21"/>
          <w:szCs w:val="21"/>
        </w:rPr>
        <w:t xml:space="preserve"> These figures are therefore subject to revision.</w:t>
      </w:r>
    </w:p>
    <w:p w:rsidR="00415EE4" w:rsidRPr="0077452A" w:rsidRDefault="00C351B2" w:rsidP="00415EE4">
      <w:pPr>
        <w:spacing w:before="0" w:after="0" w:line="270" w:lineRule="atLeast"/>
        <w:jc w:val="both"/>
        <w:rPr>
          <w:bCs/>
        </w:rPr>
      </w:pPr>
      <w:r w:rsidRPr="001D54FE">
        <w:rPr>
          <w:b/>
          <w:bCs/>
        </w:rPr>
        <w:lastRenderedPageBreak/>
        <w:t>Table 1.11</w:t>
      </w:r>
      <w:r w:rsidR="00415EE4" w:rsidRPr="001D54FE">
        <w:rPr>
          <w:b/>
          <w:bCs/>
        </w:rPr>
        <w:t xml:space="preserve">: Provisional number of ECO measures by ECO obligation by region and total number of unique properties benefitting from ECO, up to </w:t>
      </w:r>
      <w:r w:rsidR="007E138E" w:rsidRPr="001D54FE">
        <w:rPr>
          <w:b/>
          <w:bCs/>
        </w:rPr>
        <w:t xml:space="preserve">30th </w:t>
      </w:r>
      <w:r w:rsidR="00665048" w:rsidRPr="001D54FE">
        <w:rPr>
          <w:b/>
          <w:bCs/>
        </w:rPr>
        <w:t>September</w:t>
      </w:r>
      <w:r w:rsidR="002F723B" w:rsidRPr="001D54FE">
        <w:rPr>
          <w:b/>
          <w:bCs/>
        </w:rPr>
        <w:t xml:space="preserve"> 2014</w:t>
      </w:r>
      <w:r w:rsidR="009F5CC2" w:rsidRPr="001D54FE">
        <w:rPr>
          <w:b/>
          <w:bCs/>
        </w:rPr>
        <w:t xml:space="preserve"> </w:t>
      </w:r>
      <w:r w:rsidR="009F5CC2" w:rsidRPr="001D54FE">
        <w:rPr>
          <w:bCs/>
        </w:rPr>
        <w:t xml:space="preserve">(Table available </w:t>
      </w:r>
      <w:r w:rsidR="009F5CC2" w:rsidRPr="001D54FE">
        <w:t xml:space="preserve">in Excel </w:t>
      </w:r>
      <w:hyperlink r:id="rId59" w:history="1">
        <w:r w:rsidR="001D54FE" w:rsidRPr="001D54FE">
          <w:rPr>
            <w:rStyle w:val="Hyperlink"/>
            <w:rFonts w:ascii="Arial" w:hAnsi="Arial"/>
            <w:sz w:val="23"/>
            <w:szCs w:val="23"/>
          </w:rPr>
          <w:t>here</w:t>
        </w:r>
      </w:hyperlink>
      <w:r w:rsidR="009F5CC2" w:rsidRPr="001D54FE">
        <w:rPr>
          <w:bCs/>
        </w:rPr>
        <w:t>).</w:t>
      </w:r>
    </w:p>
    <w:p w:rsidR="006E664B" w:rsidRPr="0077452A" w:rsidRDefault="006E664B" w:rsidP="00415EE4">
      <w:pPr>
        <w:spacing w:before="0" w:after="0" w:line="270" w:lineRule="atLeast"/>
        <w:jc w:val="both"/>
        <w:rPr>
          <w:b/>
          <w:bCs/>
        </w:rPr>
      </w:pPr>
    </w:p>
    <w:p w:rsidR="00415EE4" w:rsidRPr="0077452A" w:rsidRDefault="00415EE4" w:rsidP="00415EE4">
      <w:pPr>
        <w:spacing w:before="0" w:after="0" w:line="270" w:lineRule="atLeast"/>
        <w:rPr>
          <w:b/>
          <w:bCs/>
        </w:rPr>
      </w:pPr>
    </w:p>
    <w:p w:rsidR="00415EE4" w:rsidRPr="001D54FE" w:rsidRDefault="00415EE4" w:rsidP="00415EE4">
      <w:pPr>
        <w:spacing w:before="0" w:after="0" w:line="270" w:lineRule="atLeast"/>
        <w:rPr>
          <w:bCs/>
        </w:rPr>
      </w:pPr>
      <w:r w:rsidRPr="001D54FE">
        <w:rPr>
          <w:b/>
          <w:bCs/>
        </w:rPr>
        <w:t>Tabl</w:t>
      </w:r>
      <w:r w:rsidR="00C351B2" w:rsidRPr="001D54FE">
        <w:rPr>
          <w:b/>
          <w:bCs/>
        </w:rPr>
        <w:t>e 1.11</w:t>
      </w:r>
      <w:r w:rsidRPr="001D54FE">
        <w:rPr>
          <w:b/>
          <w:bCs/>
        </w:rPr>
        <w:t xml:space="preserve">a: Provisional number of ECO measures by ECO obligation by administrative area, up to </w:t>
      </w:r>
      <w:r w:rsidR="007E138E" w:rsidRPr="001D54FE">
        <w:rPr>
          <w:b/>
          <w:bCs/>
        </w:rPr>
        <w:t xml:space="preserve">30th </w:t>
      </w:r>
      <w:r w:rsidR="00665048" w:rsidRPr="001D54FE">
        <w:rPr>
          <w:b/>
          <w:bCs/>
        </w:rPr>
        <w:t>September</w:t>
      </w:r>
      <w:r w:rsidR="002F723B" w:rsidRPr="001D54FE">
        <w:rPr>
          <w:b/>
          <w:bCs/>
        </w:rPr>
        <w:t xml:space="preserve"> 2014</w:t>
      </w:r>
      <w:r w:rsidRPr="001D54FE">
        <w:rPr>
          <w:b/>
          <w:bCs/>
        </w:rPr>
        <w:t xml:space="preserve"> </w:t>
      </w:r>
      <w:r w:rsidRPr="001D54FE">
        <w:rPr>
          <w:bCs/>
        </w:rPr>
        <w:t xml:space="preserve">(Table available </w:t>
      </w:r>
      <w:r w:rsidRPr="001D54FE">
        <w:t xml:space="preserve">in Excel </w:t>
      </w:r>
      <w:hyperlink r:id="rId60" w:history="1">
        <w:r w:rsidR="001D54FE" w:rsidRPr="001D54FE">
          <w:rPr>
            <w:rStyle w:val="Hyperlink"/>
            <w:rFonts w:ascii="Arial" w:hAnsi="Arial"/>
            <w:sz w:val="23"/>
            <w:szCs w:val="23"/>
          </w:rPr>
          <w:t>here</w:t>
        </w:r>
      </w:hyperlink>
      <w:r w:rsidRPr="001D54FE">
        <w:rPr>
          <w:bCs/>
        </w:rPr>
        <w:t>).</w:t>
      </w:r>
    </w:p>
    <w:p w:rsidR="006E664B" w:rsidRPr="001D54FE" w:rsidRDefault="006E664B" w:rsidP="00415EE4">
      <w:pPr>
        <w:spacing w:before="0" w:after="0" w:line="270" w:lineRule="atLeast"/>
        <w:rPr>
          <w:b/>
          <w:bCs/>
        </w:rPr>
      </w:pPr>
    </w:p>
    <w:p w:rsidR="00415EE4" w:rsidRPr="001D54FE" w:rsidRDefault="00415EE4" w:rsidP="00415EE4">
      <w:pPr>
        <w:spacing w:before="0" w:after="0" w:line="270" w:lineRule="atLeast"/>
        <w:rPr>
          <w:b/>
          <w:bCs/>
        </w:rPr>
      </w:pPr>
    </w:p>
    <w:p w:rsidR="00415EE4" w:rsidRDefault="00C351B2" w:rsidP="00415EE4">
      <w:pPr>
        <w:spacing w:before="0" w:after="0" w:line="270" w:lineRule="atLeast"/>
        <w:rPr>
          <w:bCs/>
        </w:rPr>
      </w:pPr>
      <w:r w:rsidRPr="001D54FE">
        <w:rPr>
          <w:b/>
          <w:bCs/>
        </w:rPr>
        <w:t>Table 1.11</w:t>
      </w:r>
      <w:r w:rsidR="00415EE4" w:rsidRPr="001D54FE">
        <w:rPr>
          <w:b/>
          <w:bCs/>
        </w:rPr>
        <w:t xml:space="preserve">b: Provisional number of ECO measures by ECO obligation by Parliamentary Constituency, up to </w:t>
      </w:r>
      <w:r w:rsidR="007E138E" w:rsidRPr="001D54FE">
        <w:rPr>
          <w:b/>
          <w:bCs/>
        </w:rPr>
        <w:t xml:space="preserve">30th </w:t>
      </w:r>
      <w:r w:rsidR="00665048" w:rsidRPr="001D54FE">
        <w:rPr>
          <w:b/>
          <w:bCs/>
        </w:rPr>
        <w:t>Sept</w:t>
      </w:r>
      <w:r w:rsidR="007E138E" w:rsidRPr="001D54FE">
        <w:rPr>
          <w:b/>
          <w:bCs/>
        </w:rPr>
        <w:t>e</w:t>
      </w:r>
      <w:r w:rsidR="00665048" w:rsidRPr="001D54FE">
        <w:rPr>
          <w:b/>
          <w:bCs/>
        </w:rPr>
        <w:t>mber</w:t>
      </w:r>
      <w:r w:rsidR="002F723B" w:rsidRPr="001D54FE">
        <w:rPr>
          <w:b/>
          <w:bCs/>
        </w:rPr>
        <w:t xml:space="preserve"> 2014</w:t>
      </w:r>
      <w:r w:rsidR="00415EE4" w:rsidRPr="001D54FE">
        <w:rPr>
          <w:b/>
          <w:bCs/>
        </w:rPr>
        <w:t xml:space="preserve"> </w:t>
      </w:r>
      <w:r w:rsidR="00415EE4" w:rsidRPr="001D54FE">
        <w:rPr>
          <w:bCs/>
        </w:rPr>
        <w:t xml:space="preserve">(Table available </w:t>
      </w:r>
      <w:r w:rsidR="00415EE4" w:rsidRPr="001D54FE">
        <w:t xml:space="preserve">in Excel </w:t>
      </w:r>
      <w:hyperlink r:id="rId61" w:history="1">
        <w:r w:rsidR="001D54FE" w:rsidRPr="001D54FE">
          <w:rPr>
            <w:rStyle w:val="Hyperlink"/>
            <w:rFonts w:ascii="Arial" w:hAnsi="Arial"/>
            <w:sz w:val="23"/>
            <w:szCs w:val="23"/>
          </w:rPr>
          <w:t>here</w:t>
        </w:r>
      </w:hyperlink>
      <w:r w:rsidR="00415EE4" w:rsidRPr="001D54FE">
        <w:rPr>
          <w:bCs/>
        </w:rPr>
        <w:t>).</w:t>
      </w:r>
    </w:p>
    <w:p w:rsidR="002D15AF" w:rsidRDefault="002D15AF" w:rsidP="00415EE4">
      <w:pPr>
        <w:spacing w:before="0" w:after="0" w:line="270" w:lineRule="atLeast"/>
        <w:rPr>
          <w:b/>
          <w:bCs/>
        </w:rPr>
      </w:pPr>
    </w:p>
    <w:tbl>
      <w:tblPr>
        <w:tblW w:w="10221" w:type="dxa"/>
        <w:tblInd w:w="93" w:type="dxa"/>
        <w:tblLayout w:type="fixed"/>
        <w:tblLook w:val="04A0" w:firstRow="1" w:lastRow="0" w:firstColumn="1" w:lastColumn="0" w:noHBand="0" w:noVBand="1"/>
      </w:tblPr>
      <w:tblGrid>
        <w:gridCol w:w="1511"/>
        <w:gridCol w:w="1481"/>
        <w:gridCol w:w="1559"/>
        <w:gridCol w:w="1134"/>
        <w:gridCol w:w="709"/>
        <w:gridCol w:w="709"/>
        <w:gridCol w:w="850"/>
        <w:gridCol w:w="709"/>
        <w:gridCol w:w="1276"/>
        <w:gridCol w:w="283"/>
      </w:tblGrid>
      <w:tr w:rsidR="006C67BE" w:rsidRPr="009F2B59" w:rsidTr="00ED695D">
        <w:trPr>
          <w:trHeight w:val="255"/>
        </w:trPr>
        <w:tc>
          <w:tcPr>
            <w:tcW w:w="10221" w:type="dxa"/>
            <w:gridSpan w:val="10"/>
            <w:tcBorders>
              <w:top w:val="nil"/>
              <w:left w:val="nil"/>
              <w:bottom w:val="nil"/>
              <w:right w:val="nil"/>
            </w:tcBorders>
            <w:shd w:val="clear" w:color="000000" w:fill="FFFFFF"/>
            <w:noWrap/>
            <w:vAlign w:val="bottom"/>
            <w:hideMark/>
          </w:tcPr>
          <w:p w:rsidR="006C67BE" w:rsidRDefault="006C67BE" w:rsidP="00ED695D">
            <w:pPr>
              <w:spacing w:before="0" w:after="0" w:line="240" w:lineRule="auto"/>
              <w:rPr>
                <w:b/>
                <w:bCs/>
                <w:szCs w:val="24"/>
                <w:lang w:eastAsia="en-GB"/>
              </w:rPr>
            </w:pPr>
          </w:p>
          <w:p w:rsidR="006C67BE" w:rsidRPr="00076313" w:rsidRDefault="006C67BE" w:rsidP="006C67BE">
            <w:pPr>
              <w:spacing w:before="0" w:after="0" w:line="240" w:lineRule="auto"/>
              <w:rPr>
                <w:b/>
                <w:bCs/>
                <w:szCs w:val="24"/>
                <w:lang w:eastAsia="en-GB"/>
              </w:rPr>
            </w:pPr>
            <w:r>
              <w:rPr>
                <w:b/>
                <w:bCs/>
                <w:szCs w:val="24"/>
                <w:lang w:eastAsia="en-GB"/>
              </w:rPr>
              <w:t>Table 1.11c</w:t>
            </w:r>
            <w:r w:rsidRPr="00A3359E">
              <w:rPr>
                <w:b/>
                <w:bCs/>
                <w:szCs w:val="24"/>
                <w:lang w:eastAsia="en-GB"/>
              </w:rPr>
              <w:t xml:space="preserve">: </w:t>
            </w:r>
            <w:r>
              <w:rPr>
                <w:b/>
                <w:bCs/>
                <w:szCs w:val="24"/>
                <w:lang w:eastAsia="en-GB"/>
              </w:rPr>
              <w:t>Provisional number of households in receipt of ECO measures</w:t>
            </w:r>
            <w:r w:rsidR="004A3223">
              <w:rPr>
                <w:b/>
                <w:bCs/>
                <w:szCs w:val="24"/>
                <w:lang w:eastAsia="en-GB"/>
              </w:rPr>
              <w:t xml:space="preserve"> by region</w:t>
            </w:r>
            <w:r w:rsidRPr="00A3359E">
              <w:rPr>
                <w:b/>
                <w:bCs/>
                <w:szCs w:val="24"/>
                <w:lang w:eastAsia="en-GB"/>
              </w:rPr>
              <w:t>, up to 30th September 2014</w:t>
            </w:r>
          </w:p>
        </w:tc>
      </w:tr>
      <w:tr w:rsidR="006C67BE" w:rsidRPr="00B669A5" w:rsidTr="00ED695D">
        <w:trPr>
          <w:trHeight w:val="240"/>
        </w:trPr>
        <w:tc>
          <w:tcPr>
            <w:tcW w:w="1511" w:type="dxa"/>
            <w:tcBorders>
              <w:top w:val="nil"/>
              <w:left w:val="nil"/>
              <w:bottom w:val="nil"/>
              <w:right w:val="nil"/>
            </w:tcBorders>
            <w:shd w:val="clear" w:color="000000" w:fill="FFFFFF"/>
            <w:noWrap/>
            <w:vAlign w:val="bottom"/>
            <w:hideMark/>
          </w:tcPr>
          <w:p w:rsidR="006C67BE" w:rsidRPr="009F2B59" w:rsidRDefault="006C67BE" w:rsidP="00ED695D">
            <w:pPr>
              <w:spacing w:before="0" w:after="0" w:line="240" w:lineRule="auto"/>
              <w:rPr>
                <w:sz w:val="23"/>
                <w:szCs w:val="23"/>
                <w:lang w:eastAsia="en-GB"/>
              </w:rPr>
            </w:pPr>
            <w:r w:rsidRPr="009F2B59">
              <w:rPr>
                <w:sz w:val="23"/>
                <w:szCs w:val="23"/>
                <w:lang w:eastAsia="en-GB"/>
              </w:rPr>
              <w:t> </w:t>
            </w:r>
          </w:p>
        </w:tc>
        <w:tc>
          <w:tcPr>
            <w:tcW w:w="3040" w:type="dxa"/>
            <w:gridSpan w:val="2"/>
            <w:tcBorders>
              <w:top w:val="nil"/>
              <w:left w:val="nil"/>
              <w:bottom w:val="nil"/>
              <w:right w:val="nil"/>
            </w:tcBorders>
            <w:shd w:val="clear" w:color="000000" w:fill="FFFFFF"/>
            <w:noWrap/>
            <w:vAlign w:val="bottom"/>
            <w:hideMark/>
          </w:tcPr>
          <w:p w:rsidR="006C67BE" w:rsidRPr="009F2B59" w:rsidRDefault="006C67BE" w:rsidP="00ED695D">
            <w:pPr>
              <w:spacing w:before="0" w:after="0" w:line="240" w:lineRule="auto"/>
              <w:rPr>
                <w:sz w:val="23"/>
                <w:szCs w:val="23"/>
                <w:lang w:eastAsia="en-GB"/>
              </w:rPr>
            </w:pPr>
            <w:r w:rsidRPr="009F2B59">
              <w:rPr>
                <w:sz w:val="23"/>
                <w:szCs w:val="23"/>
                <w:lang w:eastAsia="en-GB"/>
              </w:rPr>
              <w:t> </w:t>
            </w:r>
          </w:p>
        </w:tc>
        <w:tc>
          <w:tcPr>
            <w:tcW w:w="1134" w:type="dxa"/>
            <w:tcBorders>
              <w:top w:val="nil"/>
              <w:left w:val="nil"/>
              <w:bottom w:val="nil"/>
              <w:right w:val="nil"/>
            </w:tcBorders>
            <w:shd w:val="clear" w:color="000000" w:fill="FFFFFF"/>
            <w:noWrap/>
            <w:vAlign w:val="bottom"/>
            <w:hideMark/>
          </w:tcPr>
          <w:p w:rsidR="006C67BE" w:rsidRPr="009F2B59" w:rsidRDefault="006C67BE" w:rsidP="00ED695D">
            <w:pPr>
              <w:spacing w:before="0" w:after="0" w:line="240" w:lineRule="auto"/>
              <w:rPr>
                <w:sz w:val="23"/>
                <w:szCs w:val="23"/>
                <w:lang w:eastAsia="en-GB"/>
              </w:rPr>
            </w:pPr>
            <w:r w:rsidRPr="009F2B59">
              <w:rPr>
                <w:sz w:val="23"/>
                <w:szCs w:val="23"/>
                <w:lang w:eastAsia="en-GB"/>
              </w:rPr>
              <w:t> </w:t>
            </w:r>
          </w:p>
        </w:tc>
        <w:tc>
          <w:tcPr>
            <w:tcW w:w="1418" w:type="dxa"/>
            <w:gridSpan w:val="2"/>
            <w:tcBorders>
              <w:top w:val="nil"/>
              <w:left w:val="nil"/>
              <w:bottom w:val="nil"/>
              <w:right w:val="nil"/>
            </w:tcBorders>
            <w:shd w:val="clear" w:color="000000" w:fill="FFFFFF"/>
            <w:noWrap/>
            <w:vAlign w:val="bottom"/>
            <w:hideMark/>
          </w:tcPr>
          <w:p w:rsidR="006C67BE" w:rsidRPr="009F2B59" w:rsidRDefault="006C67BE" w:rsidP="00ED695D">
            <w:pPr>
              <w:spacing w:before="0" w:after="0" w:line="240" w:lineRule="auto"/>
              <w:rPr>
                <w:sz w:val="23"/>
                <w:szCs w:val="23"/>
                <w:lang w:eastAsia="en-GB"/>
              </w:rPr>
            </w:pPr>
            <w:r w:rsidRPr="009F2B59">
              <w:rPr>
                <w:sz w:val="23"/>
                <w:szCs w:val="23"/>
                <w:lang w:eastAsia="en-GB"/>
              </w:rPr>
              <w:t> </w:t>
            </w:r>
          </w:p>
        </w:tc>
        <w:tc>
          <w:tcPr>
            <w:tcW w:w="1559" w:type="dxa"/>
            <w:gridSpan w:val="2"/>
            <w:tcBorders>
              <w:top w:val="nil"/>
              <w:left w:val="nil"/>
              <w:bottom w:val="nil"/>
              <w:right w:val="nil"/>
            </w:tcBorders>
            <w:shd w:val="clear" w:color="000000" w:fill="FFFFFF"/>
            <w:noWrap/>
            <w:vAlign w:val="bottom"/>
            <w:hideMark/>
          </w:tcPr>
          <w:p w:rsidR="006C67BE" w:rsidRPr="009F2B59" w:rsidRDefault="006C67BE" w:rsidP="00ED695D">
            <w:pPr>
              <w:spacing w:before="0" w:after="0" w:line="240" w:lineRule="auto"/>
              <w:rPr>
                <w:sz w:val="23"/>
                <w:szCs w:val="23"/>
                <w:lang w:eastAsia="en-GB"/>
              </w:rPr>
            </w:pPr>
            <w:r w:rsidRPr="009F2B59">
              <w:rPr>
                <w:sz w:val="23"/>
                <w:szCs w:val="23"/>
                <w:lang w:eastAsia="en-GB"/>
              </w:rPr>
              <w:t> </w:t>
            </w:r>
          </w:p>
        </w:tc>
        <w:tc>
          <w:tcPr>
            <w:tcW w:w="1559" w:type="dxa"/>
            <w:gridSpan w:val="2"/>
            <w:tcBorders>
              <w:top w:val="nil"/>
              <w:left w:val="nil"/>
              <w:bottom w:val="nil"/>
              <w:right w:val="nil"/>
            </w:tcBorders>
            <w:shd w:val="clear" w:color="000000" w:fill="FFFFFF"/>
            <w:noWrap/>
            <w:vAlign w:val="bottom"/>
            <w:hideMark/>
          </w:tcPr>
          <w:p w:rsidR="006C67BE" w:rsidRPr="009F2B59" w:rsidRDefault="006C67BE" w:rsidP="00ED695D">
            <w:pPr>
              <w:spacing w:before="0" w:after="0" w:line="240" w:lineRule="auto"/>
              <w:rPr>
                <w:sz w:val="23"/>
                <w:szCs w:val="23"/>
                <w:lang w:eastAsia="en-GB"/>
              </w:rPr>
            </w:pPr>
            <w:r w:rsidRPr="009F2B59">
              <w:rPr>
                <w:sz w:val="23"/>
                <w:szCs w:val="23"/>
                <w:lang w:eastAsia="en-GB"/>
              </w:rPr>
              <w:t> </w:t>
            </w:r>
          </w:p>
        </w:tc>
      </w:tr>
      <w:tr w:rsidR="006C67BE" w:rsidRPr="00B669A5" w:rsidTr="006C67BE">
        <w:trPr>
          <w:gridAfter w:val="1"/>
          <w:wAfter w:w="283" w:type="dxa"/>
          <w:trHeight w:val="861"/>
        </w:trPr>
        <w:tc>
          <w:tcPr>
            <w:tcW w:w="2992" w:type="dxa"/>
            <w:gridSpan w:val="2"/>
            <w:tcBorders>
              <w:top w:val="single" w:sz="4" w:space="0" w:color="auto"/>
              <w:left w:val="nil"/>
              <w:bottom w:val="single" w:sz="4" w:space="0" w:color="auto"/>
              <w:right w:val="nil"/>
            </w:tcBorders>
            <w:shd w:val="clear" w:color="000000" w:fill="FFFFFF"/>
            <w:noWrap/>
            <w:vAlign w:val="bottom"/>
            <w:hideMark/>
          </w:tcPr>
          <w:p w:rsidR="006C67BE" w:rsidRPr="009F2B59" w:rsidRDefault="006C67BE" w:rsidP="00ED695D">
            <w:pPr>
              <w:spacing w:before="0" w:after="0" w:line="240" w:lineRule="auto"/>
              <w:rPr>
                <w:sz w:val="23"/>
                <w:szCs w:val="23"/>
                <w:lang w:eastAsia="en-GB"/>
              </w:rPr>
            </w:pPr>
            <w:r w:rsidRPr="009F2B59">
              <w:rPr>
                <w:sz w:val="23"/>
                <w:szCs w:val="23"/>
                <w:lang w:eastAsia="en-GB"/>
              </w:rPr>
              <w:t>Area names</w:t>
            </w:r>
          </w:p>
        </w:tc>
        <w:tc>
          <w:tcPr>
            <w:tcW w:w="1559" w:type="dxa"/>
            <w:tcBorders>
              <w:top w:val="single" w:sz="4" w:space="0" w:color="auto"/>
              <w:left w:val="nil"/>
              <w:bottom w:val="single" w:sz="4" w:space="0" w:color="auto"/>
              <w:right w:val="nil"/>
            </w:tcBorders>
            <w:shd w:val="clear" w:color="000000" w:fill="FFFFFF"/>
            <w:vAlign w:val="bottom"/>
            <w:hideMark/>
          </w:tcPr>
          <w:p w:rsidR="006C67BE" w:rsidRPr="009F2B59" w:rsidRDefault="006C67BE" w:rsidP="00ED695D">
            <w:pPr>
              <w:spacing w:before="0" w:after="0" w:line="240" w:lineRule="auto"/>
              <w:jc w:val="right"/>
              <w:rPr>
                <w:sz w:val="23"/>
                <w:szCs w:val="23"/>
                <w:lang w:eastAsia="en-GB"/>
              </w:rPr>
            </w:pPr>
            <w:r>
              <w:rPr>
                <w:sz w:val="23"/>
                <w:szCs w:val="23"/>
                <w:lang w:eastAsia="en-GB"/>
              </w:rPr>
              <w:t>Total number of household in receipt of ECO measures</w:t>
            </w:r>
            <w:r w:rsidR="00ED695D" w:rsidRPr="000B6EFA">
              <w:rPr>
                <w:sz w:val="21"/>
                <w:szCs w:val="21"/>
                <w:vertAlign w:val="superscript"/>
                <w:lang w:eastAsia="en-GB"/>
              </w:rPr>
              <w:t>1</w:t>
            </w:r>
          </w:p>
        </w:tc>
        <w:tc>
          <w:tcPr>
            <w:tcW w:w="1843" w:type="dxa"/>
            <w:gridSpan w:val="2"/>
            <w:tcBorders>
              <w:top w:val="single" w:sz="4" w:space="0" w:color="auto"/>
              <w:left w:val="nil"/>
              <w:bottom w:val="single" w:sz="4" w:space="0" w:color="auto"/>
              <w:right w:val="nil"/>
            </w:tcBorders>
            <w:shd w:val="clear" w:color="auto" w:fill="auto"/>
            <w:vAlign w:val="bottom"/>
            <w:hideMark/>
          </w:tcPr>
          <w:p w:rsidR="006C67BE" w:rsidRPr="009F2B59" w:rsidRDefault="006C67BE" w:rsidP="00ED695D">
            <w:pPr>
              <w:spacing w:before="0" w:after="0" w:line="240" w:lineRule="auto"/>
              <w:jc w:val="right"/>
              <w:rPr>
                <w:color w:val="000000"/>
                <w:sz w:val="23"/>
                <w:szCs w:val="23"/>
                <w:lang w:eastAsia="en-GB"/>
              </w:rPr>
            </w:pPr>
            <w:r>
              <w:rPr>
                <w:color w:val="000000"/>
                <w:sz w:val="23"/>
                <w:szCs w:val="23"/>
                <w:lang w:eastAsia="en-GB"/>
              </w:rPr>
              <w:t>Valid percentage of households in receipt of ECO measures</w:t>
            </w:r>
            <w:r w:rsidR="00ED695D">
              <w:rPr>
                <w:sz w:val="21"/>
                <w:szCs w:val="21"/>
                <w:vertAlign w:val="superscript"/>
                <w:lang w:eastAsia="en-GB"/>
              </w:rPr>
              <w:t>2</w:t>
            </w:r>
          </w:p>
        </w:tc>
        <w:tc>
          <w:tcPr>
            <w:tcW w:w="1559" w:type="dxa"/>
            <w:gridSpan w:val="2"/>
            <w:tcBorders>
              <w:top w:val="single" w:sz="4" w:space="0" w:color="auto"/>
              <w:left w:val="nil"/>
              <w:bottom w:val="single" w:sz="4" w:space="0" w:color="auto"/>
              <w:right w:val="nil"/>
            </w:tcBorders>
            <w:shd w:val="clear" w:color="000000" w:fill="FFFFFF"/>
            <w:vAlign w:val="bottom"/>
            <w:hideMark/>
          </w:tcPr>
          <w:p w:rsidR="006C67BE" w:rsidRPr="009F2B59" w:rsidRDefault="006C67BE" w:rsidP="00ED695D">
            <w:pPr>
              <w:spacing w:before="0" w:after="0" w:line="240" w:lineRule="auto"/>
              <w:jc w:val="right"/>
              <w:rPr>
                <w:sz w:val="23"/>
                <w:szCs w:val="23"/>
                <w:lang w:eastAsia="en-GB"/>
              </w:rPr>
            </w:pPr>
            <w:r w:rsidRPr="009F2B59">
              <w:rPr>
                <w:sz w:val="23"/>
                <w:szCs w:val="23"/>
                <w:lang w:eastAsia="en-GB"/>
              </w:rPr>
              <w:t>Households with at least one usual resident</w:t>
            </w:r>
            <w:r>
              <w:rPr>
                <w:sz w:val="23"/>
                <w:szCs w:val="23"/>
                <w:vertAlign w:val="superscript"/>
                <w:lang w:eastAsia="en-GB"/>
              </w:rPr>
              <w:t>3</w:t>
            </w:r>
          </w:p>
        </w:tc>
        <w:tc>
          <w:tcPr>
            <w:tcW w:w="1985" w:type="dxa"/>
            <w:gridSpan w:val="2"/>
            <w:tcBorders>
              <w:top w:val="single" w:sz="4" w:space="0" w:color="auto"/>
              <w:left w:val="nil"/>
              <w:bottom w:val="single" w:sz="4" w:space="0" w:color="auto"/>
              <w:right w:val="nil"/>
            </w:tcBorders>
            <w:shd w:val="clear" w:color="000000" w:fill="FFFFFF"/>
            <w:vAlign w:val="bottom"/>
            <w:hideMark/>
          </w:tcPr>
          <w:p w:rsidR="006C67BE" w:rsidRPr="009F2B59" w:rsidRDefault="006C67BE" w:rsidP="00ED695D">
            <w:pPr>
              <w:spacing w:before="0" w:after="0" w:line="240" w:lineRule="auto"/>
              <w:jc w:val="right"/>
              <w:rPr>
                <w:sz w:val="23"/>
                <w:szCs w:val="23"/>
                <w:lang w:eastAsia="en-GB"/>
              </w:rPr>
            </w:pPr>
            <w:r>
              <w:rPr>
                <w:sz w:val="23"/>
                <w:szCs w:val="23"/>
                <w:lang w:eastAsia="en-GB"/>
              </w:rPr>
              <w:t>Households in receipt of ECO measures per 1,000 households</w:t>
            </w:r>
          </w:p>
        </w:tc>
      </w:tr>
      <w:tr w:rsidR="006C67BE" w:rsidRPr="00B669A5" w:rsidTr="006C67BE">
        <w:trPr>
          <w:gridAfter w:val="1"/>
          <w:wAfter w:w="283" w:type="dxa"/>
          <w:trHeight w:val="255"/>
        </w:trPr>
        <w:tc>
          <w:tcPr>
            <w:tcW w:w="2992" w:type="dxa"/>
            <w:gridSpan w:val="2"/>
            <w:tcBorders>
              <w:top w:val="nil"/>
              <w:left w:val="nil"/>
              <w:bottom w:val="nil"/>
              <w:right w:val="nil"/>
            </w:tcBorders>
            <w:shd w:val="clear" w:color="000000" w:fill="FFFFFF"/>
            <w:noWrap/>
            <w:vAlign w:val="bottom"/>
            <w:hideMark/>
          </w:tcPr>
          <w:p w:rsidR="006C67BE" w:rsidRPr="009F2B59" w:rsidRDefault="006C67BE" w:rsidP="00ED695D">
            <w:pPr>
              <w:spacing w:before="0" w:after="0" w:line="240" w:lineRule="auto"/>
              <w:rPr>
                <w:b/>
                <w:bCs/>
                <w:sz w:val="23"/>
                <w:szCs w:val="23"/>
                <w:lang w:eastAsia="en-GB"/>
              </w:rPr>
            </w:pPr>
            <w:r w:rsidRPr="009F2B59">
              <w:rPr>
                <w:b/>
                <w:bCs/>
                <w:sz w:val="23"/>
                <w:szCs w:val="23"/>
                <w:lang w:eastAsia="en-GB"/>
              </w:rPr>
              <w:t> </w:t>
            </w:r>
          </w:p>
        </w:tc>
        <w:tc>
          <w:tcPr>
            <w:tcW w:w="1559" w:type="dxa"/>
            <w:tcBorders>
              <w:top w:val="nil"/>
              <w:left w:val="nil"/>
              <w:bottom w:val="nil"/>
              <w:right w:val="nil"/>
            </w:tcBorders>
            <w:shd w:val="clear" w:color="000000" w:fill="FFFFFF"/>
            <w:noWrap/>
            <w:vAlign w:val="bottom"/>
            <w:hideMark/>
          </w:tcPr>
          <w:p w:rsidR="006C67BE" w:rsidRPr="009F2B59" w:rsidRDefault="006C67BE" w:rsidP="00ED695D">
            <w:pPr>
              <w:spacing w:before="0" w:after="0" w:line="240" w:lineRule="auto"/>
              <w:rPr>
                <w:sz w:val="23"/>
                <w:szCs w:val="23"/>
                <w:lang w:eastAsia="en-GB"/>
              </w:rPr>
            </w:pPr>
            <w:r w:rsidRPr="009F2B59">
              <w:rPr>
                <w:sz w:val="23"/>
                <w:szCs w:val="23"/>
                <w:lang w:eastAsia="en-GB"/>
              </w:rPr>
              <w:t> </w:t>
            </w:r>
          </w:p>
        </w:tc>
        <w:tc>
          <w:tcPr>
            <w:tcW w:w="1843" w:type="dxa"/>
            <w:gridSpan w:val="2"/>
            <w:tcBorders>
              <w:top w:val="nil"/>
              <w:left w:val="nil"/>
              <w:bottom w:val="nil"/>
              <w:right w:val="nil"/>
            </w:tcBorders>
            <w:shd w:val="clear" w:color="000000" w:fill="FFFFFF"/>
            <w:noWrap/>
            <w:vAlign w:val="bottom"/>
            <w:hideMark/>
          </w:tcPr>
          <w:p w:rsidR="006C67BE" w:rsidRPr="009F2B59" w:rsidRDefault="006C67BE" w:rsidP="00ED695D">
            <w:pPr>
              <w:spacing w:before="0" w:after="0" w:line="240" w:lineRule="auto"/>
              <w:rPr>
                <w:sz w:val="23"/>
                <w:szCs w:val="23"/>
                <w:lang w:eastAsia="en-GB"/>
              </w:rPr>
            </w:pPr>
            <w:r w:rsidRPr="009F2B59">
              <w:rPr>
                <w:sz w:val="23"/>
                <w:szCs w:val="23"/>
                <w:lang w:eastAsia="en-GB"/>
              </w:rPr>
              <w:t> </w:t>
            </w:r>
          </w:p>
        </w:tc>
        <w:tc>
          <w:tcPr>
            <w:tcW w:w="1559" w:type="dxa"/>
            <w:gridSpan w:val="2"/>
            <w:tcBorders>
              <w:top w:val="nil"/>
              <w:left w:val="nil"/>
              <w:bottom w:val="nil"/>
              <w:right w:val="nil"/>
            </w:tcBorders>
            <w:shd w:val="clear" w:color="000000" w:fill="FFFFFF"/>
            <w:noWrap/>
            <w:vAlign w:val="bottom"/>
            <w:hideMark/>
          </w:tcPr>
          <w:p w:rsidR="006C67BE" w:rsidRPr="009F2B59" w:rsidRDefault="006C67BE" w:rsidP="00ED695D">
            <w:pPr>
              <w:spacing w:before="0" w:after="0" w:line="240" w:lineRule="auto"/>
              <w:rPr>
                <w:sz w:val="23"/>
                <w:szCs w:val="23"/>
                <w:lang w:eastAsia="en-GB"/>
              </w:rPr>
            </w:pPr>
            <w:r w:rsidRPr="009F2B59">
              <w:rPr>
                <w:sz w:val="23"/>
                <w:szCs w:val="23"/>
                <w:lang w:eastAsia="en-GB"/>
              </w:rPr>
              <w:t> </w:t>
            </w:r>
          </w:p>
        </w:tc>
        <w:tc>
          <w:tcPr>
            <w:tcW w:w="1985" w:type="dxa"/>
            <w:gridSpan w:val="2"/>
            <w:tcBorders>
              <w:top w:val="nil"/>
              <w:left w:val="nil"/>
              <w:bottom w:val="nil"/>
              <w:right w:val="nil"/>
            </w:tcBorders>
            <w:shd w:val="clear" w:color="000000" w:fill="FFFFFF"/>
            <w:noWrap/>
            <w:vAlign w:val="bottom"/>
            <w:hideMark/>
          </w:tcPr>
          <w:p w:rsidR="006C67BE" w:rsidRPr="009F2B59" w:rsidRDefault="006C67BE" w:rsidP="00ED695D">
            <w:pPr>
              <w:spacing w:before="0" w:after="0" w:line="240" w:lineRule="auto"/>
              <w:rPr>
                <w:sz w:val="23"/>
                <w:szCs w:val="23"/>
                <w:lang w:eastAsia="en-GB"/>
              </w:rPr>
            </w:pPr>
            <w:r w:rsidRPr="009F2B59">
              <w:rPr>
                <w:sz w:val="23"/>
                <w:szCs w:val="23"/>
                <w:lang w:eastAsia="en-GB"/>
              </w:rPr>
              <w:t> </w:t>
            </w:r>
          </w:p>
        </w:tc>
      </w:tr>
      <w:tr w:rsidR="00ED1F55" w:rsidRPr="00B669A5" w:rsidTr="006C67BE">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b/>
                <w:bCs/>
                <w:color w:val="000000"/>
                <w:sz w:val="23"/>
                <w:szCs w:val="23"/>
                <w:lang w:eastAsia="en-GB"/>
              </w:rPr>
            </w:pPr>
            <w:r w:rsidRPr="009F2B59">
              <w:rPr>
                <w:b/>
                <w:bCs/>
                <w:color w:val="000000"/>
                <w:sz w:val="23"/>
                <w:szCs w:val="23"/>
                <w:lang w:eastAsia="en-GB"/>
              </w:rPr>
              <w:t>Great Britain</w:t>
            </w:r>
          </w:p>
        </w:tc>
        <w:tc>
          <w:tcPr>
            <w:tcW w:w="1559" w:type="dxa"/>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b/>
                <w:bCs/>
                <w:sz w:val="22"/>
                <w:szCs w:val="22"/>
              </w:rPr>
            </w:pPr>
            <w:r w:rsidRPr="00ED1F55">
              <w:rPr>
                <w:b/>
                <w:bCs/>
                <w:sz w:val="22"/>
                <w:szCs w:val="22"/>
              </w:rPr>
              <w:t>785,394</w:t>
            </w:r>
          </w:p>
        </w:tc>
        <w:tc>
          <w:tcPr>
            <w:tcW w:w="1843"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b/>
                <w:bCs/>
                <w:i/>
                <w:iCs/>
                <w:sz w:val="22"/>
                <w:szCs w:val="22"/>
              </w:rPr>
            </w:pPr>
            <w:r w:rsidRPr="00ED1F55">
              <w:rPr>
                <w:b/>
                <w:bCs/>
                <w:i/>
                <w:iCs/>
                <w:sz w:val="22"/>
                <w:szCs w:val="22"/>
              </w:rPr>
              <w:t>100</w:t>
            </w:r>
          </w:p>
        </w:tc>
        <w:tc>
          <w:tcPr>
            <w:tcW w:w="1559" w:type="dxa"/>
            <w:gridSpan w:val="2"/>
            <w:tcBorders>
              <w:top w:val="nil"/>
              <w:left w:val="nil"/>
              <w:bottom w:val="nil"/>
              <w:right w:val="nil"/>
            </w:tcBorders>
            <w:shd w:val="clear" w:color="000000" w:fill="FFFFFF"/>
            <w:noWrap/>
            <w:vAlign w:val="bottom"/>
          </w:tcPr>
          <w:p w:rsidR="00ED1F55" w:rsidRPr="00ED1F55" w:rsidRDefault="00ED1F55" w:rsidP="00ED1F55">
            <w:pPr>
              <w:spacing w:before="0" w:after="0"/>
              <w:jc w:val="right"/>
              <w:rPr>
                <w:b/>
                <w:bCs/>
                <w:sz w:val="22"/>
                <w:szCs w:val="22"/>
              </w:rPr>
            </w:pPr>
            <w:r w:rsidRPr="00ED1F55">
              <w:rPr>
                <w:b/>
                <w:bCs/>
                <w:sz w:val="22"/>
                <w:szCs w:val="22"/>
              </w:rPr>
              <w:t>26,263,269</w:t>
            </w:r>
          </w:p>
        </w:tc>
        <w:tc>
          <w:tcPr>
            <w:tcW w:w="1985"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b/>
                <w:bCs/>
                <w:sz w:val="22"/>
                <w:szCs w:val="22"/>
              </w:rPr>
            </w:pPr>
            <w:r w:rsidRPr="00ED1F55">
              <w:rPr>
                <w:b/>
                <w:bCs/>
                <w:sz w:val="22"/>
                <w:szCs w:val="22"/>
              </w:rPr>
              <w:t>29.9</w:t>
            </w:r>
          </w:p>
        </w:tc>
      </w:tr>
      <w:tr w:rsidR="00ED1F55" w:rsidRPr="00B669A5" w:rsidTr="006C67BE">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color w:val="000000"/>
                <w:sz w:val="23"/>
                <w:szCs w:val="23"/>
                <w:lang w:eastAsia="en-GB"/>
              </w:rPr>
            </w:pPr>
            <w:r w:rsidRPr="009F2B59">
              <w:rPr>
                <w:color w:val="000000"/>
                <w:sz w:val="23"/>
                <w:szCs w:val="23"/>
                <w:lang w:eastAsia="en-GB"/>
              </w:rPr>
              <w:t> </w:t>
            </w:r>
          </w:p>
        </w:tc>
        <w:tc>
          <w:tcPr>
            <w:tcW w:w="1559" w:type="dxa"/>
            <w:tcBorders>
              <w:top w:val="nil"/>
              <w:left w:val="nil"/>
              <w:bottom w:val="nil"/>
              <w:right w:val="nil"/>
            </w:tcBorders>
            <w:shd w:val="clear" w:color="000000" w:fill="FFFFFF"/>
            <w:noWrap/>
            <w:vAlign w:val="bottom"/>
            <w:hideMark/>
          </w:tcPr>
          <w:p w:rsidR="00ED1F55" w:rsidRPr="00ED1F55" w:rsidRDefault="00ED1F55" w:rsidP="00ED1F55">
            <w:pPr>
              <w:spacing w:before="0" w:after="0"/>
              <w:rPr>
                <w:b/>
                <w:bCs/>
                <w:sz w:val="22"/>
                <w:szCs w:val="22"/>
              </w:rPr>
            </w:pPr>
            <w:r w:rsidRPr="00ED1F55">
              <w:rPr>
                <w:b/>
                <w:bCs/>
                <w:sz w:val="22"/>
                <w:szCs w:val="22"/>
              </w:rPr>
              <w:t> </w:t>
            </w:r>
          </w:p>
        </w:tc>
        <w:tc>
          <w:tcPr>
            <w:tcW w:w="1843"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rPr>
                <w:b/>
                <w:bCs/>
                <w:i/>
                <w:iCs/>
                <w:sz w:val="22"/>
                <w:szCs w:val="22"/>
              </w:rPr>
            </w:pPr>
            <w:r w:rsidRPr="00ED1F55">
              <w:rPr>
                <w:b/>
                <w:bCs/>
                <w:i/>
                <w:iCs/>
                <w:sz w:val="22"/>
                <w:szCs w:val="22"/>
              </w:rPr>
              <w:t> </w:t>
            </w:r>
          </w:p>
        </w:tc>
        <w:tc>
          <w:tcPr>
            <w:tcW w:w="1559" w:type="dxa"/>
            <w:gridSpan w:val="2"/>
            <w:tcBorders>
              <w:top w:val="nil"/>
              <w:left w:val="nil"/>
              <w:bottom w:val="nil"/>
              <w:right w:val="nil"/>
            </w:tcBorders>
            <w:shd w:val="clear" w:color="000000" w:fill="FFFFFF"/>
            <w:noWrap/>
            <w:vAlign w:val="bottom"/>
          </w:tcPr>
          <w:p w:rsidR="00ED1F55" w:rsidRPr="00ED1F55" w:rsidRDefault="00ED1F55" w:rsidP="00ED1F55">
            <w:pPr>
              <w:spacing w:before="0" w:after="0"/>
              <w:rPr>
                <w:b/>
                <w:bCs/>
                <w:sz w:val="22"/>
                <w:szCs w:val="22"/>
              </w:rPr>
            </w:pPr>
            <w:r w:rsidRPr="00ED1F55">
              <w:rPr>
                <w:b/>
                <w:bCs/>
                <w:sz w:val="22"/>
                <w:szCs w:val="22"/>
              </w:rPr>
              <w:t> </w:t>
            </w:r>
          </w:p>
        </w:tc>
        <w:tc>
          <w:tcPr>
            <w:tcW w:w="1985"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rPr>
                <w:b/>
                <w:bCs/>
                <w:sz w:val="22"/>
                <w:szCs w:val="22"/>
              </w:rPr>
            </w:pPr>
            <w:r w:rsidRPr="00ED1F55">
              <w:rPr>
                <w:b/>
                <w:bCs/>
                <w:sz w:val="22"/>
                <w:szCs w:val="22"/>
              </w:rPr>
              <w:t> </w:t>
            </w:r>
          </w:p>
        </w:tc>
      </w:tr>
      <w:tr w:rsidR="00ED1F55" w:rsidRPr="00B669A5" w:rsidTr="006C67BE">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b/>
                <w:bCs/>
                <w:color w:val="000000"/>
                <w:sz w:val="23"/>
                <w:szCs w:val="23"/>
                <w:lang w:eastAsia="en-GB"/>
              </w:rPr>
            </w:pPr>
            <w:r w:rsidRPr="009F2B59">
              <w:rPr>
                <w:b/>
                <w:bCs/>
                <w:color w:val="000000"/>
                <w:sz w:val="23"/>
                <w:szCs w:val="23"/>
                <w:lang w:eastAsia="en-GB"/>
              </w:rPr>
              <w:t>England</w:t>
            </w:r>
          </w:p>
        </w:tc>
        <w:tc>
          <w:tcPr>
            <w:tcW w:w="1559" w:type="dxa"/>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b/>
                <w:bCs/>
                <w:sz w:val="22"/>
                <w:szCs w:val="22"/>
              </w:rPr>
            </w:pPr>
            <w:r w:rsidRPr="00ED1F55">
              <w:rPr>
                <w:b/>
                <w:bCs/>
                <w:sz w:val="22"/>
                <w:szCs w:val="22"/>
              </w:rPr>
              <w:t>646,150</w:t>
            </w:r>
          </w:p>
        </w:tc>
        <w:tc>
          <w:tcPr>
            <w:tcW w:w="1843"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b/>
                <w:bCs/>
                <w:i/>
                <w:iCs/>
                <w:sz w:val="22"/>
                <w:szCs w:val="22"/>
              </w:rPr>
            </w:pPr>
            <w:r w:rsidRPr="00ED1F55">
              <w:rPr>
                <w:b/>
                <w:bCs/>
                <w:i/>
                <w:iCs/>
                <w:sz w:val="22"/>
                <w:szCs w:val="22"/>
              </w:rPr>
              <w:t>82.3</w:t>
            </w:r>
          </w:p>
        </w:tc>
        <w:tc>
          <w:tcPr>
            <w:tcW w:w="1559" w:type="dxa"/>
            <w:gridSpan w:val="2"/>
            <w:tcBorders>
              <w:top w:val="nil"/>
              <w:left w:val="nil"/>
              <w:bottom w:val="nil"/>
              <w:right w:val="nil"/>
            </w:tcBorders>
            <w:shd w:val="clear" w:color="000000" w:fill="FFFFFF"/>
            <w:noWrap/>
            <w:vAlign w:val="bottom"/>
          </w:tcPr>
          <w:p w:rsidR="00ED1F55" w:rsidRPr="00ED1F55" w:rsidRDefault="00ED1F55" w:rsidP="00ED1F55">
            <w:pPr>
              <w:spacing w:before="0" w:after="0"/>
              <w:jc w:val="right"/>
              <w:rPr>
                <w:b/>
                <w:bCs/>
                <w:sz w:val="22"/>
                <w:szCs w:val="22"/>
              </w:rPr>
            </w:pPr>
            <w:r w:rsidRPr="00ED1F55">
              <w:rPr>
                <w:b/>
                <w:bCs/>
                <w:sz w:val="22"/>
                <w:szCs w:val="22"/>
              </w:rPr>
              <w:t>22,542,903</w:t>
            </w:r>
          </w:p>
        </w:tc>
        <w:tc>
          <w:tcPr>
            <w:tcW w:w="1985"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b/>
                <w:bCs/>
                <w:color w:val="000000"/>
                <w:sz w:val="22"/>
                <w:szCs w:val="22"/>
              </w:rPr>
            </w:pPr>
            <w:r w:rsidRPr="00ED1F55">
              <w:rPr>
                <w:b/>
                <w:bCs/>
                <w:color w:val="000000"/>
                <w:sz w:val="22"/>
                <w:szCs w:val="22"/>
              </w:rPr>
              <w:t>28.7</w:t>
            </w:r>
          </w:p>
        </w:tc>
      </w:tr>
      <w:tr w:rsidR="00ED1F55" w:rsidRPr="00B669A5" w:rsidTr="006C67BE">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color w:val="000000"/>
                <w:sz w:val="23"/>
                <w:szCs w:val="23"/>
                <w:lang w:eastAsia="en-GB"/>
              </w:rPr>
            </w:pPr>
            <w:r w:rsidRPr="009F2B59">
              <w:rPr>
                <w:color w:val="000000"/>
                <w:sz w:val="23"/>
                <w:szCs w:val="23"/>
                <w:lang w:eastAsia="en-GB"/>
              </w:rPr>
              <w:t> </w:t>
            </w:r>
          </w:p>
        </w:tc>
        <w:tc>
          <w:tcPr>
            <w:tcW w:w="1559" w:type="dxa"/>
            <w:tcBorders>
              <w:top w:val="nil"/>
              <w:left w:val="nil"/>
              <w:bottom w:val="nil"/>
              <w:right w:val="nil"/>
            </w:tcBorders>
            <w:shd w:val="clear" w:color="000000" w:fill="FFFFFF"/>
            <w:noWrap/>
            <w:vAlign w:val="bottom"/>
            <w:hideMark/>
          </w:tcPr>
          <w:p w:rsidR="00ED1F55" w:rsidRPr="00ED1F55" w:rsidRDefault="00ED1F55" w:rsidP="00ED1F55">
            <w:pPr>
              <w:spacing w:before="0" w:after="0"/>
              <w:rPr>
                <w:b/>
                <w:bCs/>
                <w:sz w:val="22"/>
                <w:szCs w:val="22"/>
              </w:rPr>
            </w:pPr>
            <w:r w:rsidRPr="00ED1F55">
              <w:rPr>
                <w:b/>
                <w:bCs/>
                <w:sz w:val="22"/>
                <w:szCs w:val="22"/>
              </w:rPr>
              <w:t> </w:t>
            </w:r>
          </w:p>
        </w:tc>
        <w:tc>
          <w:tcPr>
            <w:tcW w:w="1843"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rPr>
                <w:b/>
                <w:bCs/>
                <w:i/>
                <w:iCs/>
                <w:sz w:val="22"/>
                <w:szCs w:val="22"/>
              </w:rPr>
            </w:pPr>
            <w:r w:rsidRPr="00ED1F55">
              <w:rPr>
                <w:b/>
                <w:bCs/>
                <w:i/>
                <w:iCs/>
                <w:sz w:val="22"/>
                <w:szCs w:val="22"/>
              </w:rPr>
              <w:t> </w:t>
            </w:r>
          </w:p>
        </w:tc>
        <w:tc>
          <w:tcPr>
            <w:tcW w:w="1559" w:type="dxa"/>
            <w:gridSpan w:val="2"/>
            <w:tcBorders>
              <w:top w:val="nil"/>
              <w:left w:val="nil"/>
              <w:bottom w:val="nil"/>
              <w:right w:val="nil"/>
            </w:tcBorders>
            <w:shd w:val="clear" w:color="000000" w:fill="FFFFFF"/>
            <w:noWrap/>
            <w:vAlign w:val="bottom"/>
          </w:tcPr>
          <w:p w:rsidR="00ED1F55" w:rsidRPr="00ED1F55" w:rsidRDefault="00ED1F55" w:rsidP="00ED1F55">
            <w:pPr>
              <w:spacing w:before="0" w:after="0"/>
              <w:rPr>
                <w:b/>
                <w:bCs/>
                <w:sz w:val="22"/>
                <w:szCs w:val="22"/>
              </w:rPr>
            </w:pPr>
            <w:r w:rsidRPr="00ED1F55">
              <w:rPr>
                <w:b/>
                <w:bCs/>
                <w:sz w:val="22"/>
                <w:szCs w:val="22"/>
              </w:rPr>
              <w:t> </w:t>
            </w:r>
          </w:p>
        </w:tc>
        <w:tc>
          <w:tcPr>
            <w:tcW w:w="1985"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rPr>
                <w:b/>
                <w:bCs/>
                <w:sz w:val="22"/>
                <w:szCs w:val="22"/>
              </w:rPr>
            </w:pPr>
            <w:r w:rsidRPr="00ED1F55">
              <w:rPr>
                <w:b/>
                <w:bCs/>
                <w:sz w:val="22"/>
                <w:szCs w:val="22"/>
              </w:rPr>
              <w:t> </w:t>
            </w:r>
          </w:p>
        </w:tc>
      </w:tr>
      <w:tr w:rsidR="00ED1F55" w:rsidRPr="00B669A5" w:rsidTr="006C67BE">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color w:val="000000"/>
                <w:sz w:val="23"/>
                <w:szCs w:val="23"/>
                <w:lang w:eastAsia="en-GB"/>
              </w:rPr>
            </w:pPr>
            <w:r w:rsidRPr="009F2B59">
              <w:rPr>
                <w:color w:val="000000"/>
                <w:sz w:val="23"/>
                <w:szCs w:val="23"/>
                <w:lang w:eastAsia="en-GB"/>
              </w:rPr>
              <w:t>North East</w:t>
            </w:r>
          </w:p>
        </w:tc>
        <w:tc>
          <w:tcPr>
            <w:tcW w:w="1559" w:type="dxa"/>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55,132</w:t>
            </w:r>
          </w:p>
        </w:tc>
        <w:tc>
          <w:tcPr>
            <w:tcW w:w="1843"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i/>
                <w:iCs/>
                <w:sz w:val="22"/>
                <w:szCs w:val="22"/>
              </w:rPr>
            </w:pPr>
            <w:r w:rsidRPr="00ED1F55">
              <w:rPr>
                <w:i/>
                <w:iCs/>
                <w:sz w:val="22"/>
                <w:szCs w:val="22"/>
              </w:rPr>
              <w:t>7.0</w:t>
            </w:r>
          </w:p>
        </w:tc>
        <w:tc>
          <w:tcPr>
            <w:tcW w:w="1559" w:type="dxa"/>
            <w:gridSpan w:val="2"/>
            <w:tcBorders>
              <w:top w:val="nil"/>
              <w:left w:val="nil"/>
              <w:bottom w:val="nil"/>
              <w:right w:val="nil"/>
            </w:tcBorders>
            <w:shd w:val="clear" w:color="000000" w:fill="FFFFFF"/>
            <w:noWrap/>
            <w:vAlign w:val="bottom"/>
          </w:tcPr>
          <w:p w:rsidR="00ED1F55" w:rsidRPr="00ED1F55" w:rsidRDefault="00ED1F55" w:rsidP="00ED1F55">
            <w:pPr>
              <w:spacing w:before="0" w:after="0"/>
              <w:jc w:val="right"/>
              <w:rPr>
                <w:sz w:val="22"/>
                <w:szCs w:val="22"/>
              </w:rPr>
            </w:pPr>
            <w:r w:rsidRPr="00ED1F55">
              <w:rPr>
                <w:sz w:val="22"/>
                <w:szCs w:val="22"/>
              </w:rPr>
              <w:t>1,145,559</w:t>
            </w:r>
          </w:p>
        </w:tc>
        <w:tc>
          <w:tcPr>
            <w:tcW w:w="1985"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48.1</w:t>
            </w:r>
          </w:p>
        </w:tc>
      </w:tr>
      <w:tr w:rsidR="00ED1F55" w:rsidRPr="00B669A5" w:rsidTr="006C67BE">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color w:val="000000"/>
                <w:sz w:val="23"/>
                <w:szCs w:val="23"/>
                <w:lang w:eastAsia="en-GB"/>
              </w:rPr>
            </w:pPr>
            <w:r w:rsidRPr="009F2B59">
              <w:rPr>
                <w:color w:val="000000"/>
                <w:sz w:val="23"/>
                <w:szCs w:val="23"/>
                <w:lang w:eastAsia="en-GB"/>
              </w:rPr>
              <w:t xml:space="preserve">North West </w:t>
            </w:r>
          </w:p>
        </w:tc>
        <w:tc>
          <w:tcPr>
            <w:tcW w:w="1559" w:type="dxa"/>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154,399</w:t>
            </w:r>
          </w:p>
        </w:tc>
        <w:tc>
          <w:tcPr>
            <w:tcW w:w="1843"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i/>
                <w:iCs/>
                <w:sz w:val="22"/>
                <w:szCs w:val="22"/>
              </w:rPr>
            </w:pPr>
            <w:r w:rsidRPr="00ED1F55">
              <w:rPr>
                <w:i/>
                <w:iCs/>
                <w:sz w:val="22"/>
                <w:szCs w:val="22"/>
              </w:rPr>
              <w:t>19.7</w:t>
            </w:r>
          </w:p>
        </w:tc>
        <w:tc>
          <w:tcPr>
            <w:tcW w:w="1559" w:type="dxa"/>
            <w:gridSpan w:val="2"/>
            <w:tcBorders>
              <w:top w:val="nil"/>
              <w:left w:val="nil"/>
              <w:bottom w:val="nil"/>
              <w:right w:val="nil"/>
            </w:tcBorders>
            <w:shd w:val="clear" w:color="000000" w:fill="FFFFFF"/>
            <w:noWrap/>
            <w:vAlign w:val="bottom"/>
          </w:tcPr>
          <w:p w:rsidR="00ED1F55" w:rsidRPr="00ED1F55" w:rsidRDefault="00ED1F55" w:rsidP="00ED1F55">
            <w:pPr>
              <w:spacing w:before="0" w:after="0"/>
              <w:jc w:val="right"/>
              <w:rPr>
                <w:sz w:val="22"/>
                <w:szCs w:val="22"/>
              </w:rPr>
            </w:pPr>
            <w:r w:rsidRPr="00ED1F55">
              <w:rPr>
                <w:sz w:val="22"/>
                <w:szCs w:val="22"/>
              </w:rPr>
              <w:t>3,046,753</w:t>
            </w:r>
          </w:p>
        </w:tc>
        <w:tc>
          <w:tcPr>
            <w:tcW w:w="1985"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50.7</w:t>
            </w:r>
          </w:p>
        </w:tc>
      </w:tr>
      <w:tr w:rsidR="00ED1F55" w:rsidRPr="00B669A5" w:rsidTr="006C67BE">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color w:val="000000"/>
                <w:sz w:val="23"/>
                <w:szCs w:val="23"/>
                <w:lang w:eastAsia="en-GB"/>
              </w:rPr>
            </w:pPr>
            <w:r w:rsidRPr="009F2B59">
              <w:rPr>
                <w:color w:val="000000"/>
                <w:sz w:val="23"/>
                <w:szCs w:val="23"/>
                <w:lang w:eastAsia="en-GB"/>
              </w:rPr>
              <w:t>Yorkshire and The Humber</w:t>
            </w:r>
          </w:p>
        </w:tc>
        <w:tc>
          <w:tcPr>
            <w:tcW w:w="1559" w:type="dxa"/>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82,639</w:t>
            </w:r>
          </w:p>
        </w:tc>
        <w:tc>
          <w:tcPr>
            <w:tcW w:w="1843"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i/>
                <w:iCs/>
                <w:sz w:val="22"/>
                <w:szCs w:val="22"/>
              </w:rPr>
            </w:pPr>
            <w:r w:rsidRPr="00ED1F55">
              <w:rPr>
                <w:i/>
                <w:iCs/>
                <w:sz w:val="22"/>
                <w:szCs w:val="22"/>
              </w:rPr>
              <w:t>10.5</w:t>
            </w:r>
          </w:p>
        </w:tc>
        <w:tc>
          <w:tcPr>
            <w:tcW w:w="1559" w:type="dxa"/>
            <w:gridSpan w:val="2"/>
            <w:tcBorders>
              <w:top w:val="nil"/>
              <w:left w:val="nil"/>
              <w:bottom w:val="nil"/>
              <w:right w:val="nil"/>
            </w:tcBorders>
            <w:shd w:val="clear" w:color="000000" w:fill="FFFFFF"/>
            <w:noWrap/>
            <w:vAlign w:val="bottom"/>
          </w:tcPr>
          <w:p w:rsidR="00ED1F55" w:rsidRPr="00ED1F55" w:rsidRDefault="00ED1F55" w:rsidP="00ED1F55">
            <w:pPr>
              <w:spacing w:before="0" w:after="0"/>
              <w:jc w:val="right"/>
              <w:rPr>
                <w:sz w:val="22"/>
                <w:szCs w:val="22"/>
              </w:rPr>
            </w:pPr>
            <w:r w:rsidRPr="00ED1F55">
              <w:rPr>
                <w:sz w:val="22"/>
                <w:szCs w:val="22"/>
              </w:rPr>
              <w:t>2,262,423</w:t>
            </w:r>
          </w:p>
        </w:tc>
        <w:tc>
          <w:tcPr>
            <w:tcW w:w="1985"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36.5</w:t>
            </w:r>
          </w:p>
        </w:tc>
      </w:tr>
      <w:tr w:rsidR="00ED1F55" w:rsidRPr="00B669A5" w:rsidTr="006C67BE">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color w:val="000000"/>
                <w:sz w:val="23"/>
                <w:szCs w:val="23"/>
                <w:lang w:eastAsia="en-GB"/>
              </w:rPr>
            </w:pPr>
            <w:r w:rsidRPr="009F2B59">
              <w:rPr>
                <w:color w:val="000000"/>
                <w:sz w:val="23"/>
                <w:szCs w:val="23"/>
                <w:lang w:eastAsia="en-GB"/>
              </w:rPr>
              <w:t>East Midlands</w:t>
            </w:r>
          </w:p>
        </w:tc>
        <w:tc>
          <w:tcPr>
            <w:tcW w:w="1559" w:type="dxa"/>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48,594</w:t>
            </w:r>
          </w:p>
        </w:tc>
        <w:tc>
          <w:tcPr>
            <w:tcW w:w="1843"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i/>
                <w:iCs/>
                <w:sz w:val="22"/>
                <w:szCs w:val="22"/>
              </w:rPr>
            </w:pPr>
            <w:r w:rsidRPr="00ED1F55">
              <w:rPr>
                <w:i/>
                <w:iCs/>
                <w:sz w:val="22"/>
                <w:szCs w:val="22"/>
              </w:rPr>
              <w:t>6.2</w:t>
            </w:r>
          </w:p>
        </w:tc>
        <w:tc>
          <w:tcPr>
            <w:tcW w:w="1559" w:type="dxa"/>
            <w:gridSpan w:val="2"/>
            <w:tcBorders>
              <w:top w:val="nil"/>
              <w:left w:val="nil"/>
              <w:bottom w:val="nil"/>
              <w:right w:val="nil"/>
            </w:tcBorders>
            <w:shd w:val="clear" w:color="000000" w:fill="FFFFFF"/>
            <w:noWrap/>
            <w:vAlign w:val="bottom"/>
          </w:tcPr>
          <w:p w:rsidR="00ED1F55" w:rsidRPr="00ED1F55" w:rsidRDefault="00ED1F55" w:rsidP="00ED1F55">
            <w:pPr>
              <w:spacing w:before="0" w:after="0"/>
              <w:jc w:val="right"/>
              <w:rPr>
                <w:sz w:val="22"/>
                <w:szCs w:val="22"/>
              </w:rPr>
            </w:pPr>
            <w:r w:rsidRPr="00ED1F55">
              <w:rPr>
                <w:sz w:val="22"/>
                <w:szCs w:val="22"/>
              </w:rPr>
              <w:t>1,935,710</w:t>
            </w:r>
          </w:p>
        </w:tc>
        <w:tc>
          <w:tcPr>
            <w:tcW w:w="1985"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25.1</w:t>
            </w:r>
          </w:p>
        </w:tc>
      </w:tr>
      <w:tr w:rsidR="00ED1F55" w:rsidRPr="00B669A5" w:rsidTr="006C67BE">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color w:val="000000"/>
                <w:sz w:val="23"/>
                <w:szCs w:val="23"/>
                <w:lang w:eastAsia="en-GB"/>
              </w:rPr>
            </w:pPr>
            <w:r w:rsidRPr="009F2B59">
              <w:rPr>
                <w:color w:val="000000"/>
                <w:sz w:val="23"/>
                <w:szCs w:val="23"/>
                <w:lang w:eastAsia="en-GB"/>
              </w:rPr>
              <w:t>West Midlands</w:t>
            </w:r>
          </w:p>
        </w:tc>
        <w:tc>
          <w:tcPr>
            <w:tcW w:w="1559" w:type="dxa"/>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96,887</w:t>
            </w:r>
          </w:p>
        </w:tc>
        <w:tc>
          <w:tcPr>
            <w:tcW w:w="1843"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i/>
                <w:iCs/>
                <w:sz w:val="22"/>
                <w:szCs w:val="22"/>
              </w:rPr>
            </w:pPr>
            <w:r w:rsidRPr="00ED1F55">
              <w:rPr>
                <w:i/>
                <w:iCs/>
                <w:sz w:val="22"/>
                <w:szCs w:val="22"/>
              </w:rPr>
              <w:t>12.3</w:t>
            </w:r>
          </w:p>
        </w:tc>
        <w:tc>
          <w:tcPr>
            <w:tcW w:w="1559" w:type="dxa"/>
            <w:gridSpan w:val="2"/>
            <w:tcBorders>
              <w:top w:val="nil"/>
              <w:left w:val="nil"/>
              <w:bottom w:val="nil"/>
              <w:right w:val="nil"/>
            </w:tcBorders>
            <w:shd w:val="clear" w:color="000000" w:fill="FFFFFF"/>
            <w:noWrap/>
            <w:vAlign w:val="bottom"/>
          </w:tcPr>
          <w:p w:rsidR="00ED1F55" w:rsidRPr="00ED1F55" w:rsidRDefault="00ED1F55" w:rsidP="00ED1F55">
            <w:pPr>
              <w:spacing w:before="0" w:after="0"/>
              <w:jc w:val="right"/>
              <w:rPr>
                <w:sz w:val="22"/>
                <w:szCs w:val="22"/>
              </w:rPr>
            </w:pPr>
            <w:r w:rsidRPr="00ED1F55">
              <w:rPr>
                <w:sz w:val="22"/>
                <w:szCs w:val="22"/>
              </w:rPr>
              <w:t>2,332,802</w:t>
            </w:r>
          </w:p>
        </w:tc>
        <w:tc>
          <w:tcPr>
            <w:tcW w:w="1985"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41.5</w:t>
            </w:r>
          </w:p>
        </w:tc>
      </w:tr>
      <w:tr w:rsidR="00ED1F55" w:rsidRPr="00B669A5" w:rsidTr="006C67BE">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color w:val="000000"/>
                <w:sz w:val="23"/>
                <w:szCs w:val="23"/>
                <w:lang w:eastAsia="en-GB"/>
              </w:rPr>
            </w:pPr>
            <w:r w:rsidRPr="009F2B59">
              <w:rPr>
                <w:color w:val="000000"/>
                <w:sz w:val="23"/>
                <w:szCs w:val="23"/>
                <w:lang w:eastAsia="en-GB"/>
              </w:rPr>
              <w:t>East</w:t>
            </w:r>
          </w:p>
        </w:tc>
        <w:tc>
          <w:tcPr>
            <w:tcW w:w="1559" w:type="dxa"/>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37,992</w:t>
            </w:r>
          </w:p>
        </w:tc>
        <w:tc>
          <w:tcPr>
            <w:tcW w:w="1843"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i/>
                <w:iCs/>
                <w:sz w:val="22"/>
                <w:szCs w:val="22"/>
              </w:rPr>
            </w:pPr>
            <w:r w:rsidRPr="00ED1F55">
              <w:rPr>
                <w:i/>
                <w:iCs/>
                <w:sz w:val="22"/>
                <w:szCs w:val="22"/>
              </w:rPr>
              <w:t>4.8</w:t>
            </w:r>
          </w:p>
        </w:tc>
        <w:tc>
          <w:tcPr>
            <w:tcW w:w="1559" w:type="dxa"/>
            <w:gridSpan w:val="2"/>
            <w:tcBorders>
              <w:top w:val="nil"/>
              <w:left w:val="nil"/>
              <w:bottom w:val="nil"/>
              <w:right w:val="nil"/>
            </w:tcBorders>
            <w:shd w:val="clear" w:color="000000" w:fill="FFFFFF"/>
            <w:noWrap/>
            <w:vAlign w:val="bottom"/>
          </w:tcPr>
          <w:p w:rsidR="00ED1F55" w:rsidRPr="00ED1F55" w:rsidRDefault="00ED1F55" w:rsidP="00ED1F55">
            <w:pPr>
              <w:spacing w:before="0" w:after="0"/>
              <w:jc w:val="right"/>
              <w:rPr>
                <w:sz w:val="22"/>
                <w:szCs w:val="22"/>
              </w:rPr>
            </w:pPr>
            <w:r w:rsidRPr="00ED1F55">
              <w:rPr>
                <w:sz w:val="22"/>
                <w:szCs w:val="22"/>
              </w:rPr>
              <w:t>2,484,620</w:t>
            </w:r>
          </w:p>
        </w:tc>
        <w:tc>
          <w:tcPr>
            <w:tcW w:w="1985"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15.3</w:t>
            </w:r>
          </w:p>
        </w:tc>
      </w:tr>
      <w:tr w:rsidR="00ED1F55" w:rsidRPr="00B669A5" w:rsidTr="006C67BE">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color w:val="000000"/>
                <w:sz w:val="23"/>
                <w:szCs w:val="23"/>
                <w:lang w:eastAsia="en-GB"/>
              </w:rPr>
            </w:pPr>
            <w:r w:rsidRPr="009F2B59">
              <w:rPr>
                <w:color w:val="000000"/>
                <w:sz w:val="23"/>
                <w:szCs w:val="23"/>
                <w:lang w:eastAsia="en-GB"/>
              </w:rPr>
              <w:t>London</w:t>
            </w:r>
          </w:p>
        </w:tc>
        <w:tc>
          <w:tcPr>
            <w:tcW w:w="1559" w:type="dxa"/>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64,085</w:t>
            </w:r>
          </w:p>
        </w:tc>
        <w:tc>
          <w:tcPr>
            <w:tcW w:w="1843"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i/>
                <w:iCs/>
                <w:sz w:val="22"/>
                <w:szCs w:val="22"/>
              </w:rPr>
            </w:pPr>
            <w:r w:rsidRPr="00ED1F55">
              <w:rPr>
                <w:i/>
                <w:iCs/>
                <w:sz w:val="22"/>
                <w:szCs w:val="22"/>
              </w:rPr>
              <w:t>8.2</w:t>
            </w:r>
          </w:p>
        </w:tc>
        <w:tc>
          <w:tcPr>
            <w:tcW w:w="1559" w:type="dxa"/>
            <w:gridSpan w:val="2"/>
            <w:tcBorders>
              <w:top w:val="nil"/>
              <w:left w:val="nil"/>
              <w:bottom w:val="nil"/>
              <w:right w:val="nil"/>
            </w:tcBorders>
            <w:shd w:val="clear" w:color="000000" w:fill="FFFFFF"/>
            <w:noWrap/>
            <w:vAlign w:val="bottom"/>
          </w:tcPr>
          <w:p w:rsidR="00ED1F55" w:rsidRPr="00ED1F55" w:rsidRDefault="00ED1F55" w:rsidP="00ED1F55">
            <w:pPr>
              <w:spacing w:before="0" w:after="0"/>
              <w:jc w:val="right"/>
              <w:rPr>
                <w:sz w:val="22"/>
                <w:szCs w:val="22"/>
              </w:rPr>
            </w:pPr>
            <w:r w:rsidRPr="00ED1F55">
              <w:rPr>
                <w:sz w:val="22"/>
                <w:szCs w:val="22"/>
              </w:rPr>
              <w:t>3,383,918</w:t>
            </w:r>
          </w:p>
        </w:tc>
        <w:tc>
          <w:tcPr>
            <w:tcW w:w="1985"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18.9</w:t>
            </w:r>
          </w:p>
        </w:tc>
      </w:tr>
      <w:tr w:rsidR="00ED1F55" w:rsidRPr="00B669A5" w:rsidTr="006C67BE">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color w:val="000000"/>
                <w:sz w:val="23"/>
                <w:szCs w:val="23"/>
                <w:lang w:eastAsia="en-GB"/>
              </w:rPr>
            </w:pPr>
            <w:r w:rsidRPr="009F2B59">
              <w:rPr>
                <w:color w:val="000000"/>
                <w:sz w:val="23"/>
                <w:szCs w:val="23"/>
                <w:lang w:eastAsia="en-GB"/>
              </w:rPr>
              <w:t>South East</w:t>
            </w:r>
          </w:p>
        </w:tc>
        <w:tc>
          <w:tcPr>
            <w:tcW w:w="1559" w:type="dxa"/>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62,671</w:t>
            </w:r>
          </w:p>
        </w:tc>
        <w:tc>
          <w:tcPr>
            <w:tcW w:w="1843"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i/>
                <w:iCs/>
                <w:sz w:val="22"/>
                <w:szCs w:val="22"/>
              </w:rPr>
            </w:pPr>
            <w:r w:rsidRPr="00ED1F55">
              <w:rPr>
                <w:i/>
                <w:iCs/>
                <w:sz w:val="22"/>
                <w:szCs w:val="22"/>
              </w:rPr>
              <w:t>8.0</w:t>
            </w:r>
          </w:p>
        </w:tc>
        <w:tc>
          <w:tcPr>
            <w:tcW w:w="1559" w:type="dxa"/>
            <w:gridSpan w:val="2"/>
            <w:tcBorders>
              <w:top w:val="nil"/>
              <w:left w:val="nil"/>
              <w:bottom w:val="nil"/>
              <w:right w:val="nil"/>
            </w:tcBorders>
            <w:shd w:val="clear" w:color="000000" w:fill="FFFFFF"/>
            <w:noWrap/>
            <w:vAlign w:val="bottom"/>
          </w:tcPr>
          <w:p w:rsidR="00ED1F55" w:rsidRPr="00ED1F55" w:rsidRDefault="00ED1F55" w:rsidP="00ED1F55">
            <w:pPr>
              <w:spacing w:before="0" w:after="0"/>
              <w:jc w:val="right"/>
              <w:rPr>
                <w:sz w:val="22"/>
                <w:szCs w:val="22"/>
              </w:rPr>
            </w:pPr>
            <w:r w:rsidRPr="00ED1F55">
              <w:rPr>
                <w:sz w:val="22"/>
                <w:szCs w:val="22"/>
              </w:rPr>
              <w:t>3,638,436</w:t>
            </w:r>
          </w:p>
        </w:tc>
        <w:tc>
          <w:tcPr>
            <w:tcW w:w="1985"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17.2</w:t>
            </w:r>
          </w:p>
        </w:tc>
      </w:tr>
      <w:tr w:rsidR="00ED1F55" w:rsidRPr="00B669A5" w:rsidTr="006C67BE">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color w:val="000000"/>
                <w:sz w:val="23"/>
                <w:szCs w:val="23"/>
                <w:lang w:eastAsia="en-GB"/>
              </w:rPr>
            </w:pPr>
            <w:r w:rsidRPr="009F2B59">
              <w:rPr>
                <w:color w:val="000000"/>
                <w:sz w:val="23"/>
                <w:szCs w:val="23"/>
                <w:lang w:eastAsia="en-GB"/>
              </w:rPr>
              <w:t>South West</w:t>
            </w:r>
          </w:p>
        </w:tc>
        <w:tc>
          <w:tcPr>
            <w:tcW w:w="1559" w:type="dxa"/>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43,751</w:t>
            </w:r>
          </w:p>
        </w:tc>
        <w:tc>
          <w:tcPr>
            <w:tcW w:w="1843"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i/>
                <w:iCs/>
                <w:sz w:val="22"/>
                <w:szCs w:val="22"/>
              </w:rPr>
            </w:pPr>
            <w:r w:rsidRPr="00ED1F55">
              <w:rPr>
                <w:i/>
                <w:iCs/>
                <w:sz w:val="22"/>
                <w:szCs w:val="22"/>
              </w:rPr>
              <w:t>5.6</w:t>
            </w:r>
          </w:p>
        </w:tc>
        <w:tc>
          <w:tcPr>
            <w:tcW w:w="1559" w:type="dxa"/>
            <w:gridSpan w:val="2"/>
            <w:tcBorders>
              <w:top w:val="nil"/>
              <w:left w:val="nil"/>
              <w:bottom w:val="nil"/>
              <w:right w:val="nil"/>
            </w:tcBorders>
            <w:shd w:val="clear" w:color="000000" w:fill="FFFFFF"/>
            <w:noWrap/>
            <w:vAlign w:val="bottom"/>
          </w:tcPr>
          <w:p w:rsidR="00ED1F55" w:rsidRPr="00ED1F55" w:rsidRDefault="00ED1F55" w:rsidP="00ED1F55">
            <w:pPr>
              <w:spacing w:before="0" w:after="0"/>
              <w:jc w:val="right"/>
              <w:rPr>
                <w:sz w:val="22"/>
                <w:szCs w:val="22"/>
              </w:rPr>
            </w:pPr>
            <w:r w:rsidRPr="00ED1F55">
              <w:rPr>
                <w:sz w:val="22"/>
                <w:szCs w:val="22"/>
              </w:rPr>
              <w:t>2,312,682</w:t>
            </w:r>
          </w:p>
        </w:tc>
        <w:tc>
          <w:tcPr>
            <w:tcW w:w="1985"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sz w:val="22"/>
                <w:szCs w:val="22"/>
              </w:rPr>
            </w:pPr>
            <w:r w:rsidRPr="00ED1F55">
              <w:rPr>
                <w:sz w:val="22"/>
                <w:szCs w:val="22"/>
              </w:rPr>
              <w:t>18.9</w:t>
            </w:r>
          </w:p>
        </w:tc>
      </w:tr>
      <w:tr w:rsidR="00ED1F55" w:rsidRPr="00B669A5" w:rsidTr="008A6D7F">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color w:val="000000"/>
                <w:sz w:val="23"/>
                <w:szCs w:val="23"/>
                <w:lang w:eastAsia="en-GB"/>
              </w:rPr>
            </w:pPr>
            <w:r w:rsidRPr="009F2B59">
              <w:rPr>
                <w:color w:val="000000"/>
                <w:sz w:val="23"/>
                <w:szCs w:val="23"/>
                <w:lang w:eastAsia="en-GB"/>
              </w:rPr>
              <w:t> </w:t>
            </w:r>
          </w:p>
        </w:tc>
        <w:tc>
          <w:tcPr>
            <w:tcW w:w="1559" w:type="dxa"/>
            <w:tcBorders>
              <w:top w:val="nil"/>
              <w:left w:val="nil"/>
              <w:bottom w:val="nil"/>
              <w:right w:val="nil"/>
            </w:tcBorders>
            <w:shd w:val="clear" w:color="000000" w:fill="FFFFFF"/>
            <w:noWrap/>
            <w:vAlign w:val="center"/>
            <w:hideMark/>
          </w:tcPr>
          <w:p w:rsidR="00ED1F55" w:rsidRPr="00ED1F55" w:rsidRDefault="00ED1F55" w:rsidP="00ED1F55">
            <w:pPr>
              <w:spacing w:before="0" w:after="0"/>
              <w:rPr>
                <w:color w:val="000000"/>
                <w:sz w:val="22"/>
                <w:szCs w:val="22"/>
              </w:rPr>
            </w:pPr>
            <w:r w:rsidRPr="00ED1F55">
              <w:rPr>
                <w:color w:val="000000"/>
                <w:sz w:val="22"/>
                <w:szCs w:val="22"/>
              </w:rPr>
              <w:t> </w:t>
            </w:r>
          </w:p>
        </w:tc>
        <w:tc>
          <w:tcPr>
            <w:tcW w:w="1843" w:type="dxa"/>
            <w:gridSpan w:val="2"/>
            <w:tcBorders>
              <w:top w:val="nil"/>
              <w:left w:val="nil"/>
              <w:bottom w:val="nil"/>
              <w:right w:val="nil"/>
            </w:tcBorders>
            <w:shd w:val="clear" w:color="000000" w:fill="FFFFFF"/>
            <w:noWrap/>
            <w:vAlign w:val="center"/>
            <w:hideMark/>
          </w:tcPr>
          <w:p w:rsidR="00ED1F55" w:rsidRPr="00ED1F55" w:rsidRDefault="00ED1F55" w:rsidP="00ED1F55">
            <w:pPr>
              <w:spacing w:before="0" w:after="0"/>
              <w:rPr>
                <w:i/>
                <w:iCs/>
                <w:color w:val="000000"/>
                <w:sz w:val="22"/>
                <w:szCs w:val="22"/>
              </w:rPr>
            </w:pPr>
            <w:r w:rsidRPr="00ED1F55">
              <w:rPr>
                <w:i/>
                <w:iCs/>
                <w:color w:val="000000"/>
                <w:sz w:val="22"/>
                <w:szCs w:val="22"/>
              </w:rPr>
              <w:t> </w:t>
            </w:r>
          </w:p>
        </w:tc>
        <w:tc>
          <w:tcPr>
            <w:tcW w:w="1559" w:type="dxa"/>
            <w:gridSpan w:val="2"/>
            <w:tcBorders>
              <w:top w:val="nil"/>
              <w:left w:val="nil"/>
              <w:bottom w:val="nil"/>
              <w:right w:val="nil"/>
            </w:tcBorders>
            <w:shd w:val="clear" w:color="000000" w:fill="FFFFFF"/>
            <w:noWrap/>
            <w:vAlign w:val="center"/>
          </w:tcPr>
          <w:p w:rsidR="00ED1F55" w:rsidRPr="00ED1F55" w:rsidRDefault="00ED1F55" w:rsidP="00ED1F55">
            <w:pPr>
              <w:spacing w:before="0" w:after="0"/>
              <w:rPr>
                <w:color w:val="000000"/>
                <w:sz w:val="22"/>
                <w:szCs w:val="22"/>
              </w:rPr>
            </w:pPr>
            <w:r w:rsidRPr="00ED1F55">
              <w:rPr>
                <w:color w:val="000000"/>
                <w:sz w:val="22"/>
                <w:szCs w:val="22"/>
              </w:rPr>
              <w:t> </w:t>
            </w:r>
          </w:p>
        </w:tc>
        <w:tc>
          <w:tcPr>
            <w:tcW w:w="1985" w:type="dxa"/>
            <w:gridSpan w:val="2"/>
            <w:tcBorders>
              <w:top w:val="nil"/>
              <w:left w:val="nil"/>
              <w:bottom w:val="nil"/>
              <w:right w:val="nil"/>
            </w:tcBorders>
            <w:shd w:val="clear" w:color="000000" w:fill="FFFFFF"/>
            <w:noWrap/>
            <w:vAlign w:val="center"/>
            <w:hideMark/>
          </w:tcPr>
          <w:p w:rsidR="00ED1F55" w:rsidRPr="00ED1F55" w:rsidRDefault="00ED1F55" w:rsidP="00ED1F55">
            <w:pPr>
              <w:spacing w:before="0" w:after="0"/>
              <w:rPr>
                <w:color w:val="000000"/>
                <w:sz w:val="22"/>
                <w:szCs w:val="22"/>
              </w:rPr>
            </w:pPr>
            <w:r w:rsidRPr="00ED1F55">
              <w:rPr>
                <w:color w:val="000000"/>
                <w:sz w:val="22"/>
                <w:szCs w:val="22"/>
              </w:rPr>
              <w:t> </w:t>
            </w:r>
          </w:p>
        </w:tc>
      </w:tr>
      <w:tr w:rsidR="00ED1F55" w:rsidRPr="00B669A5" w:rsidTr="008A6D7F">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b/>
                <w:bCs/>
                <w:color w:val="000000"/>
                <w:sz w:val="23"/>
                <w:szCs w:val="23"/>
                <w:lang w:eastAsia="en-GB"/>
              </w:rPr>
            </w:pPr>
            <w:r w:rsidRPr="009F2B59">
              <w:rPr>
                <w:b/>
                <w:bCs/>
                <w:color w:val="000000"/>
                <w:sz w:val="23"/>
                <w:szCs w:val="23"/>
                <w:lang w:eastAsia="en-GB"/>
              </w:rPr>
              <w:t>Wales</w:t>
            </w:r>
          </w:p>
        </w:tc>
        <w:tc>
          <w:tcPr>
            <w:tcW w:w="1559" w:type="dxa"/>
            <w:tcBorders>
              <w:top w:val="nil"/>
              <w:left w:val="nil"/>
              <w:bottom w:val="nil"/>
              <w:right w:val="nil"/>
            </w:tcBorders>
            <w:shd w:val="clear" w:color="000000" w:fill="FFFFFF"/>
            <w:noWrap/>
            <w:vAlign w:val="center"/>
            <w:hideMark/>
          </w:tcPr>
          <w:p w:rsidR="00ED1F55" w:rsidRPr="00ED1F55" w:rsidRDefault="00ED1F55" w:rsidP="00ED1F55">
            <w:pPr>
              <w:spacing w:before="0" w:after="0"/>
              <w:jc w:val="right"/>
              <w:rPr>
                <w:b/>
                <w:bCs/>
                <w:color w:val="000000"/>
                <w:sz w:val="22"/>
                <w:szCs w:val="22"/>
              </w:rPr>
            </w:pPr>
            <w:r w:rsidRPr="00ED1F55">
              <w:rPr>
                <w:b/>
                <w:bCs/>
                <w:color w:val="000000"/>
                <w:sz w:val="22"/>
                <w:szCs w:val="22"/>
              </w:rPr>
              <w:t>42,827</w:t>
            </w:r>
          </w:p>
        </w:tc>
        <w:tc>
          <w:tcPr>
            <w:tcW w:w="1843" w:type="dxa"/>
            <w:gridSpan w:val="2"/>
            <w:tcBorders>
              <w:top w:val="nil"/>
              <w:left w:val="nil"/>
              <w:bottom w:val="nil"/>
              <w:right w:val="nil"/>
            </w:tcBorders>
            <w:shd w:val="clear" w:color="000000" w:fill="FFFFFF"/>
            <w:noWrap/>
            <w:vAlign w:val="center"/>
            <w:hideMark/>
          </w:tcPr>
          <w:p w:rsidR="00ED1F55" w:rsidRPr="00ED1F55" w:rsidRDefault="00ED1F55" w:rsidP="00ED1F55">
            <w:pPr>
              <w:spacing w:before="0" w:after="0"/>
              <w:jc w:val="right"/>
              <w:rPr>
                <w:b/>
                <w:bCs/>
                <w:i/>
                <w:iCs/>
                <w:color w:val="000000"/>
                <w:sz w:val="22"/>
                <w:szCs w:val="22"/>
              </w:rPr>
            </w:pPr>
            <w:r w:rsidRPr="00ED1F55">
              <w:rPr>
                <w:b/>
                <w:bCs/>
                <w:i/>
                <w:iCs/>
                <w:color w:val="000000"/>
                <w:sz w:val="22"/>
                <w:szCs w:val="22"/>
              </w:rPr>
              <w:t>5.5</w:t>
            </w:r>
          </w:p>
        </w:tc>
        <w:tc>
          <w:tcPr>
            <w:tcW w:w="1559" w:type="dxa"/>
            <w:gridSpan w:val="2"/>
            <w:tcBorders>
              <w:top w:val="nil"/>
              <w:left w:val="nil"/>
              <w:bottom w:val="nil"/>
              <w:right w:val="nil"/>
            </w:tcBorders>
            <w:shd w:val="clear" w:color="000000" w:fill="FFFFFF"/>
            <w:noWrap/>
            <w:vAlign w:val="center"/>
          </w:tcPr>
          <w:p w:rsidR="00ED1F55" w:rsidRPr="00ED1F55" w:rsidRDefault="00ED1F55" w:rsidP="00ED1F55">
            <w:pPr>
              <w:spacing w:before="0" w:after="0"/>
              <w:jc w:val="right"/>
              <w:rPr>
                <w:b/>
                <w:bCs/>
                <w:color w:val="000000"/>
                <w:sz w:val="22"/>
                <w:szCs w:val="22"/>
              </w:rPr>
            </w:pPr>
            <w:r w:rsidRPr="00ED1F55">
              <w:rPr>
                <w:b/>
                <w:bCs/>
                <w:color w:val="000000"/>
                <w:sz w:val="22"/>
                <w:szCs w:val="22"/>
              </w:rPr>
              <w:t>1,318,569</w:t>
            </w:r>
          </w:p>
        </w:tc>
        <w:tc>
          <w:tcPr>
            <w:tcW w:w="1985" w:type="dxa"/>
            <w:gridSpan w:val="2"/>
            <w:tcBorders>
              <w:top w:val="nil"/>
              <w:left w:val="nil"/>
              <w:bottom w:val="nil"/>
              <w:right w:val="nil"/>
            </w:tcBorders>
            <w:shd w:val="clear" w:color="000000" w:fill="FFFFFF"/>
            <w:noWrap/>
            <w:vAlign w:val="center"/>
            <w:hideMark/>
          </w:tcPr>
          <w:p w:rsidR="00ED1F55" w:rsidRPr="00ED1F55" w:rsidRDefault="00ED1F55" w:rsidP="00ED1F55">
            <w:pPr>
              <w:spacing w:before="0" w:after="0"/>
              <w:jc w:val="right"/>
              <w:rPr>
                <w:b/>
                <w:bCs/>
                <w:color w:val="000000"/>
                <w:sz w:val="22"/>
                <w:szCs w:val="22"/>
              </w:rPr>
            </w:pPr>
            <w:r w:rsidRPr="00ED1F55">
              <w:rPr>
                <w:b/>
                <w:bCs/>
                <w:color w:val="000000"/>
                <w:sz w:val="22"/>
                <w:szCs w:val="22"/>
              </w:rPr>
              <w:t>32.5</w:t>
            </w:r>
          </w:p>
        </w:tc>
      </w:tr>
      <w:tr w:rsidR="00ED1F55" w:rsidRPr="00B669A5" w:rsidTr="006C67BE">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color w:val="000000"/>
                <w:sz w:val="23"/>
                <w:szCs w:val="23"/>
                <w:lang w:eastAsia="en-GB"/>
              </w:rPr>
            </w:pPr>
            <w:r w:rsidRPr="009F2B59">
              <w:rPr>
                <w:color w:val="000000"/>
                <w:sz w:val="23"/>
                <w:szCs w:val="23"/>
                <w:lang w:eastAsia="en-GB"/>
              </w:rPr>
              <w:t> </w:t>
            </w:r>
          </w:p>
        </w:tc>
        <w:tc>
          <w:tcPr>
            <w:tcW w:w="1559" w:type="dxa"/>
            <w:tcBorders>
              <w:top w:val="nil"/>
              <w:left w:val="nil"/>
              <w:bottom w:val="nil"/>
              <w:right w:val="nil"/>
            </w:tcBorders>
            <w:shd w:val="clear" w:color="000000" w:fill="FFFFFF"/>
            <w:noWrap/>
            <w:vAlign w:val="bottom"/>
            <w:hideMark/>
          </w:tcPr>
          <w:p w:rsidR="00ED1F55" w:rsidRPr="00ED1F55" w:rsidRDefault="00ED1F55" w:rsidP="00ED1F55">
            <w:pPr>
              <w:spacing w:before="0" w:after="0"/>
              <w:rPr>
                <w:sz w:val="22"/>
                <w:szCs w:val="22"/>
              </w:rPr>
            </w:pPr>
            <w:r w:rsidRPr="00ED1F55">
              <w:rPr>
                <w:sz w:val="22"/>
                <w:szCs w:val="22"/>
              </w:rPr>
              <w:t> </w:t>
            </w:r>
          </w:p>
        </w:tc>
        <w:tc>
          <w:tcPr>
            <w:tcW w:w="1843"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rPr>
                <w:i/>
                <w:iCs/>
                <w:sz w:val="22"/>
                <w:szCs w:val="22"/>
              </w:rPr>
            </w:pPr>
            <w:r w:rsidRPr="00ED1F55">
              <w:rPr>
                <w:i/>
                <w:iCs/>
                <w:sz w:val="22"/>
                <w:szCs w:val="22"/>
              </w:rPr>
              <w:t> </w:t>
            </w:r>
          </w:p>
        </w:tc>
        <w:tc>
          <w:tcPr>
            <w:tcW w:w="1559" w:type="dxa"/>
            <w:gridSpan w:val="2"/>
            <w:tcBorders>
              <w:top w:val="nil"/>
              <w:left w:val="nil"/>
              <w:bottom w:val="nil"/>
              <w:right w:val="nil"/>
            </w:tcBorders>
            <w:shd w:val="clear" w:color="000000" w:fill="FFFFFF"/>
            <w:noWrap/>
            <w:vAlign w:val="bottom"/>
          </w:tcPr>
          <w:p w:rsidR="00ED1F55" w:rsidRPr="00ED1F55" w:rsidRDefault="00ED1F55" w:rsidP="00ED1F55">
            <w:pPr>
              <w:spacing w:before="0" w:after="0"/>
              <w:rPr>
                <w:sz w:val="22"/>
                <w:szCs w:val="22"/>
              </w:rPr>
            </w:pPr>
            <w:r w:rsidRPr="00ED1F55">
              <w:rPr>
                <w:sz w:val="22"/>
                <w:szCs w:val="22"/>
              </w:rPr>
              <w:t> </w:t>
            </w:r>
          </w:p>
        </w:tc>
        <w:tc>
          <w:tcPr>
            <w:tcW w:w="1985"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rPr>
                <w:sz w:val="22"/>
                <w:szCs w:val="22"/>
              </w:rPr>
            </w:pPr>
            <w:r w:rsidRPr="00ED1F55">
              <w:rPr>
                <w:sz w:val="22"/>
                <w:szCs w:val="22"/>
              </w:rPr>
              <w:t> </w:t>
            </w:r>
          </w:p>
        </w:tc>
      </w:tr>
      <w:tr w:rsidR="00ED1F55" w:rsidRPr="00B669A5" w:rsidTr="004A3223">
        <w:trPr>
          <w:gridAfter w:val="1"/>
          <w:wAfter w:w="283" w:type="dxa"/>
          <w:trHeight w:val="255"/>
        </w:trPr>
        <w:tc>
          <w:tcPr>
            <w:tcW w:w="2992" w:type="dxa"/>
            <w:gridSpan w:val="2"/>
            <w:tcBorders>
              <w:top w:val="nil"/>
              <w:left w:val="nil"/>
              <w:bottom w:val="nil"/>
              <w:right w:val="nil"/>
            </w:tcBorders>
            <w:shd w:val="clear" w:color="000000" w:fill="FFFFFF"/>
            <w:noWrap/>
            <w:vAlign w:val="center"/>
            <w:hideMark/>
          </w:tcPr>
          <w:p w:rsidR="00ED1F55" w:rsidRPr="009F2B59" w:rsidRDefault="00ED1F55" w:rsidP="00ED695D">
            <w:pPr>
              <w:spacing w:before="0" w:after="0" w:line="240" w:lineRule="auto"/>
              <w:rPr>
                <w:b/>
                <w:bCs/>
                <w:color w:val="000000"/>
                <w:sz w:val="23"/>
                <w:szCs w:val="23"/>
                <w:lang w:eastAsia="en-GB"/>
              </w:rPr>
            </w:pPr>
            <w:r w:rsidRPr="009F2B59">
              <w:rPr>
                <w:b/>
                <w:bCs/>
                <w:color w:val="000000"/>
                <w:sz w:val="23"/>
                <w:szCs w:val="23"/>
                <w:lang w:eastAsia="en-GB"/>
              </w:rPr>
              <w:t>Scotland</w:t>
            </w:r>
          </w:p>
        </w:tc>
        <w:tc>
          <w:tcPr>
            <w:tcW w:w="1559" w:type="dxa"/>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b/>
                <w:bCs/>
                <w:sz w:val="22"/>
                <w:szCs w:val="22"/>
              </w:rPr>
            </w:pPr>
            <w:r w:rsidRPr="00ED1F55">
              <w:rPr>
                <w:b/>
                <w:bCs/>
                <w:sz w:val="22"/>
                <w:szCs w:val="22"/>
              </w:rPr>
              <w:t>96,270</w:t>
            </w:r>
          </w:p>
        </w:tc>
        <w:tc>
          <w:tcPr>
            <w:tcW w:w="1843"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b/>
                <w:bCs/>
                <w:i/>
                <w:iCs/>
                <w:sz w:val="22"/>
                <w:szCs w:val="22"/>
              </w:rPr>
            </w:pPr>
            <w:r w:rsidRPr="00ED1F55">
              <w:rPr>
                <w:b/>
                <w:bCs/>
                <w:i/>
                <w:iCs/>
                <w:sz w:val="22"/>
                <w:szCs w:val="22"/>
              </w:rPr>
              <w:t>12.3</w:t>
            </w:r>
          </w:p>
        </w:tc>
        <w:tc>
          <w:tcPr>
            <w:tcW w:w="1559" w:type="dxa"/>
            <w:gridSpan w:val="2"/>
            <w:tcBorders>
              <w:top w:val="nil"/>
              <w:left w:val="nil"/>
              <w:bottom w:val="nil"/>
              <w:right w:val="nil"/>
            </w:tcBorders>
            <w:shd w:val="clear" w:color="000000" w:fill="FFFFFF"/>
            <w:noWrap/>
            <w:vAlign w:val="bottom"/>
          </w:tcPr>
          <w:p w:rsidR="00ED1F55" w:rsidRPr="00ED1F55" w:rsidRDefault="00ED1F55" w:rsidP="00ED1F55">
            <w:pPr>
              <w:spacing w:before="0" w:after="0"/>
              <w:jc w:val="right"/>
              <w:rPr>
                <w:b/>
                <w:bCs/>
                <w:sz w:val="22"/>
                <w:szCs w:val="22"/>
              </w:rPr>
            </w:pPr>
            <w:r w:rsidRPr="00ED1F55">
              <w:rPr>
                <w:b/>
                <w:bCs/>
                <w:sz w:val="22"/>
                <w:szCs w:val="22"/>
              </w:rPr>
              <w:t>2,401,797</w:t>
            </w:r>
          </w:p>
        </w:tc>
        <w:tc>
          <w:tcPr>
            <w:tcW w:w="1985" w:type="dxa"/>
            <w:gridSpan w:val="2"/>
            <w:tcBorders>
              <w:top w:val="nil"/>
              <w:left w:val="nil"/>
              <w:bottom w:val="nil"/>
              <w:right w:val="nil"/>
            </w:tcBorders>
            <w:shd w:val="clear" w:color="000000" w:fill="FFFFFF"/>
            <w:noWrap/>
            <w:vAlign w:val="bottom"/>
            <w:hideMark/>
          </w:tcPr>
          <w:p w:rsidR="00ED1F55" w:rsidRPr="00ED1F55" w:rsidRDefault="00ED1F55" w:rsidP="00ED1F55">
            <w:pPr>
              <w:spacing w:before="0" w:after="0"/>
              <w:jc w:val="right"/>
              <w:rPr>
                <w:b/>
                <w:bCs/>
                <w:sz w:val="22"/>
                <w:szCs w:val="22"/>
              </w:rPr>
            </w:pPr>
            <w:r w:rsidRPr="00ED1F55">
              <w:rPr>
                <w:b/>
                <w:bCs/>
                <w:sz w:val="22"/>
                <w:szCs w:val="22"/>
              </w:rPr>
              <w:t>40.1</w:t>
            </w:r>
          </w:p>
        </w:tc>
      </w:tr>
      <w:tr w:rsidR="004A3223" w:rsidRPr="00B669A5" w:rsidTr="00D17D65">
        <w:trPr>
          <w:gridAfter w:val="1"/>
          <w:wAfter w:w="283" w:type="dxa"/>
          <w:trHeight w:val="255"/>
        </w:trPr>
        <w:tc>
          <w:tcPr>
            <w:tcW w:w="2992" w:type="dxa"/>
            <w:gridSpan w:val="2"/>
            <w:tcBorders>
              <w:top w:val="nil"/>
              <w:left w:val="nil"/>
              <w:bottom w:val="nil"/>
              <w:right w:val="nil"/>
            </w:tcBorders>
            <w:shd w:val="clear" w:color="000000" w:fill="FFFFFF"/>
            <w:noWrap/>
            <w:vAlign w:val="center"/>
          </w:tcPr>
          <w:p w:rsidR="004A3223" w:rsidRPr="009F2B59" w:rsidRDefault="004A3223" w:rsidP="00ED695D">
            <w:pPr>
              <w:spacing w:before="0" w:after="0" w:line="240" w:lineRule="auto"/>
              <w:rPr>
                <w:b/>
                <w:bCs/>
                <w:color w:val="000000"/>
                <w:sz w:val="23"/>
                <w:szCs w:val="23"/>
                <w:lang w:eastAsia="en-GB"/>
              </w:rPr>
            </w:pPr>
          </w:p>
        </w:tc>
        <w:tc>
          <w:tcPr>
            <w:tcW w:w="1559" w:type="dxa"/>
            <w:tcBorders>
              <w:top w:val="nil"/>
              <w:left w:val="nil"/>
              <w:bottom w:val="nil"/>
              <w:right w:val="nil"/>
            </w:tcBorders>
            <w:shd w:val="clear" w:color="000000" w:fill="FFFFFF"/>
            <w:noWrap/>
            <w:vAlign w:val="bottom"/>
          </w:tcPr>
          <w:p w:rsidR="004A3223" w:rsidRDefault="004A3223" w:rsidP="00ED695D">
            <w:pPr>
              <w:spacing w:before="0" w:after="0"/>
              <w:jc w:val="right"/>
              <w:rPr>
                <w:b/>
                <w:bCs/>
                <w:sz w:val="22"/>
                <w:szCs w:val="22"/>
              </w:rPr>
            </w:pPr>
          </w:p>
        </w:tc>
        <w:tc>
          <w:tcPr>
            <w:tcW w:w="1843" w:type="dxa"/>
            <w:gridSpan w:val="2"/>
            <w:tcBorders>
              <w:top w:val="nil"/>
              <w:left w:val="nil"/>
              <w:bottom w:val="nil"/>
              <w:right w:val="nil"/>
            </w:tcBorders>
            <w:shd w:val="clear" w:color="000000" w:fill="FFFFFF"/>
            <w:noWrap/>
            <w:vAlign w:val="bottom"/>
          </w:tcPr>
          <w:p w:rsidR="004A3223" w:rsidRDefault="004A3223" w:rsidP="00ED695D">
            <w:pPr>
              <w:spacing w:before="0" w:after="0"/>
              <w:jc w:val="right"/>
              <w:rPr>
                <w:b/>
                <w:bCs/>
                <w:i/>
                <w:iCs/>
                <w:sz w:val="22"/>
                <w:szCs w:val="22"/>
              </w:rPr>
            </w:pPr>
          </w:p>
        </w:tc>
        <w:tc>
          <w:tcPr>
            <w:tcW w:w="1559" w:type="dxa"/>
            <w:gridSpan w:val="2"/>
            <w:tcBorders>
              <w:top w:val="nil"/>
              <w:left w:val="nil"/>
              <w:bottom w:val="nil"/>
              <w:right w:val="nil"/>
            </w:tcBorders>
            <w:shd w:val="clear" w:color="000000" w:fill="FFFFFF"/>
            <w:noWrap/>
            <w:vAlign w:val="bottom"/>
          </w:tcPr>
          <w:p w:rsidR="004A3223" w:rsidRPr="00076B6A" w:rsidRDefault="004A3223" w:rsidP="00ED695D">
            <w:pPr>
              <w:spacing w:before="0" w:after="0" w:line="240" w:lineRule="auto"/>
              <w:jc w:val="right"/>
              <w:rPr>
                <w:b/>
                <w:bCs/>
                <w:sz w:val="22"/>
                <w:szCs w:val="22"/>
                <w:lang w:eastAsia="en-GB"/>
              </w:rPr>
            </w:pPr>
          </w:p>
        </w:tc>
        <w:tc>
          <w:tcPr>
            <w:tcW w:w="1985" w:type="dxa"/>
            <w:gridSpan w:val="2"/>
            <w:tcBorders>
              <w:top w:val="nil"/>
              <w:left w:val="nil"/>
              <w:bottom w:val="nil"/>
              <w:right w:val="nil"/>
            </w:tcBorders>
            <w:shd w:val="clear" w:color="000000" w:fill="FFFFFF"/>
            <w:noWrap/>
            <w:vAlign w:val="bottom"/>
          </w:tcPr>
          <w:p w:rsidR="004A3223" w:rsidRDefault="004A3223" w:rsidP="00ED695D">
            <w:pPr>
              <w:spacing w:before="0" w:after="0"/>
              <w:jc w:val="right"/>
              <w:rPr>
                <w:b/>
                <w:bCs/>
                <w:sz w:val="22"/>
                <w:szCs w:val="22"/>
              </w:rPr>
            </w:pPr>
          </w:p>
        </w:tc>
      </w:tr>
      <w:tr w:rsidR="00D17D65" w:rsidRPr="00B669A5" w:rsidTr="006C67BE">
        <w:trPr>
          <w:gridAfter w:val="1"/>
          <w:wAfter w:w="283" w:type="dxa"/>
          <w:trHeight w:val="255"/>
        </w:trPr>
        <w:tc>
          <w:tcPr>
            <w:tcW w:w="2992" w:type="dxa"/>
            <w:gridSpan w:val="2"/>
            <w:tcBorders>
              <w:top w:val="nil"/>
              <w:left w:val="nil"/>
              <w:bottom w:val="single" w:sz="4" w:space="0" w:color="auto"/>
              <w:right w:val="nil"/>
            </w:tcBorders>
            <w:shd w:val="clear" w:color="000000" w:fill="FFFFFF"/>
            <w:noWrap/>
            <w:vAlign w:val="center"/>
          </w:tcPr>
          <w:p w:rsidR="00D17D65" w:rsidRPr="00D17D65" w:rsidRDefault="00D17D65" w:rsidP="00ED695D">
            <w:pPr>
              <w:spacing w:before="0" w:after="0" w:line="240" w:lineRule="auto"/>
              <w:rPr>
                <w:bCs/>
                <w:color w:val="000000"/>
                <w:sz w:val="23"/>
                <w:szCs w:val="23"/>
                <w:lang w:eastAsia="en-GB"/>
              </w:rPr>
            </w:pPr>
            <w:r>
              <w:rPr>
                <w:bCs/>
                <w:color w:val="000000"/>
                <w:sz w:val="23"/>
                <w:szCs w:val="23"/>
                <w:lang w:eastAsia="en-GB"/>
              </w:rPr>
              <w:t>Unknown</w:t>
            </w:r>
          </w:p>
        </w:tc>
        <w:tc>
          <w:tcPr>
            <w:tcW w:w="1559" w:type="dxa"/>
            <w:tcBorders>
              <w:top w:val="nil"/>
              <w:left w:val="nil"/>
              <w:bottom w:val="single" w:sz="4" w:space="0" w:color="auto"/>
              <w:right w:val="nil"/>
            </w:tcBorders>
            <w:shd w:val="clear" w:color="000000" w:fill="FFFFFF"/>
            <w:noWrap/>
            <w:vAlign w:val="bottom"/>
          </w:tcPr>
          <w:p w:rsidR="00D17D65" w:rsidRPr="00D17D65" w:rsidRDefault="00ED1F55" w:rsidP="00ED695D">
            <w:pPr>
              <w:spacing w:before="0" w:after="0"/>
              <w:jc w:val="right"/>
              <w:rPr>
                <w:bCs/>
                <w:sz w:val="22"/>
                <w:szCs w:val="22"/>
              </w:rPr>
            </w:pPr>
            <w:r>
              <w:rPr>
                <w:bCs/>
                <w:sz w:val="22"/>
                <w:szCs w:val="22"/>
              </w:rPr>
              <w:t>147</w:t>
            </w:r>
          </w:p>
        </w:tc>
        <w:tc>
          <w:tcPr>
            <w:tcW w:w="1843" w:type="dxa"/>
            <w:gridSpan w:val="2"/>
            <w:tcBorders>
              <w:top w:val="nil"/>
              <w:left w:val="nil"/>
              <w:bottom w:val="single" w:sz="4" w:space="0" w:color="auto"/>
              <w:right w:val="nil"/>
            </w:tcBorders>
            <w:shd w:val="clear" w:color="000000" w:fill="FFFFFF"/>
            <w:noWrap/>
            <w:vAlign w:val="bottom"/>
          </w:tcPr>
          <w:p w:rsidR="00D17D65" w:rsidRPr="00D17D65" w:rsidRDefault="00D17D65" w:rsidP="00ED695D">
            <w:pPr>
              <w:spacing w:before="0" w:after="0"/>
              <w:jc w:val="right"/>
              <w:rPr>
                <w:bCs/>
                <w:i/>
                <w:iCs/>
                <w:sz w:val="22"/>
                <w:szCs w:val="22"/>
              </w:rPr>
            </w:pPr>
            <w:r w:rsidRPr="00D17D65">
              <w:rPr>
                <w:bCs/>
                <w:i/>
                <w:iCs/>
                <w:sz w:val="22"/>
                <w:szCs w:val="22"/>
              </w:rPr>
              <w:t>-</w:t>
            </w:r>
          </w:p>
        </w:tc>
        <w:tc>
          <w:tcPr>
            <w:tcW w:w="1559" w:type="dxa"/>
            <w:gridSpan w:val="2"/>
            <w:tcBorders>
              <w:top w:val="nil"/>
              <w:left w:val="nil"/>
              <w:bottom w:val="single" w:sz="4" w:space="0" w:color="auto"/>
              <w:right w:val="nil"/>
            </w:tcBorders>
            <w:shd w:val="clear" w:color="000000" w:fill="FFFFFF"/>
            <w:noWrap/>
            <w:vAlign w:val="bottom"/>
          </w:tcPr>
          <w:p w:rsidR="00D17D65" w:rsidRPr="00D17D65" w:rsidRDefault="00D17D65" w:rsidP="00ED695D">
            <w:pPr>
              <w:spacing w:before="0" w:after="0" w:line="240" w:lineRule="auto"/>
              <w:jc w:val="right"/>
              <w:rPr>
                <w:bCs/>
                <w:sz w:val="22"/>
                <w:szCs w:val="22"/>
                <w:lang w:eastAsia="en-GB"/>
              </w:rPr>
            </w:pPr>
          </w:p>
        </w:tc>
        <w:tc>
          <w:tcPr>
            <w:tcW w:w="1985" w:type="dxa"/>
            <w:gridSpan w:val="2"/>
            <w:tcBorders>
              <w:top w:val="nil"/>
              <w:left w:val="nil"/>
              <w:bottom w:val="single" w:sz="4" w:space="0" w:color="auto"/>
              <w:right w:val="nil"/>
            </w:tcBorders>
            <w:shd w:val="clear" w:color="000000" w:fill="FFFFFF"/>
            <w:noWrap/>
            <w:vAlign w:val="bottom"/>
          </w:tcPr>
          <w:p w:rsidR="00D17D65" w:rsidRDefault="00D17D65" w:rsidP="00ED695D">
            <w:pPr>
              <w:spacing w:before="0" w:after="0"/>
              <w:jc w:val="right"/>
              <w:rPr>
                <w:b/>
                <w:bCs/>
                <w:sz w:val="22"/>
                <w:szCs w:val="22"/>
              </w:rPr>
            </w:pPr>
          </w:p>
        </w:tc>
      </w:tr>
    </w:tbl>
    <w:p w:rsidR="00D17D65" w:rsidRDefault="006C67BE" w:rsidP="00D65354">
      <w:pPr>
        <w:spacing w:before="0" w:after="0" w:line="270" w:lineRule="atLeast"/>
        <w:jc w:val="both"/>
        <w:rPr>
          <w:sz w:val="21"/>
          <w:szCs w:val="21"/>
          <w:lang w:eastAsia="en-GB"/>
        </w:rPr>
      </w:pPr>
      <w:r w:rsidRPr="000B6EFA">
        <w:rPr>
          <w:sz w:val="21"/>
          <w:szCs w:val="21"/>
          <w:vertAlign w:val="superscript"/>
          <w:lang w:eastAsia="en-GB"/>
        </w:rPr>
        <w:t xml:space="preserve">1 </w:t>
      </w:r>
      <w:r w:rsidR="00ED695D" w:rsidRPr="00ED695D">
        <w:rPr>
          <w:sz w:val="21"/>
          <w:szCs w:val="21"/>
          <w:lang w:eastAsia="en-GB"/>
        </w:rPr>
        <w:t>Great Britain totals also include unknowns, but percentages are only based on known location totals.</w:t>
      </w:r>
    </w:p>
    <w:p w:rsidR="00ED695D" w:rsidRDefault="00ED695D" w:rsidP="00D65354">
      <w:pPr>
        <w:spacing w:before="0" w:after="0" w:line="270" w:lineRule="atLeast"/>
        <w:jc w:val="both"/>
        <w:rPr>
          <w:sz w:val="21"/>
          <w:szCs w:val="21"/>
          <w:lang w:eastAsia="en-GB"/>
        </w:rPr>
      </w:pPr>
      <w:r>
        <w:rPr>
          <w:sz w:val="21"/>
          <w:szCs w:val="21"/>
          <w:vertAlign w:val="superscript"/>
          <w:lang w:eastAsia="en-GB"/>
        </w:rPr>
        <w:t>2</w:t>
      </w:r>
      <w:r w:rsidRPr="000B6EFA">
        <w:rPr>
          <w:sz w:val="21"/>
          <w:szCs w:val="21"/>
          <w:vertAlign w:val="superscript"/>
          <w:lang w:eastAsia="en-GB"/>
        </w:rPr>
        <w:t xml:space="preserve"> </w:t>
      </w:r>
      <w:r w:rsidRPr="00ED695D">
        <w:rPr>
          <w:sz w:val="21"/>
          <w:szCs w:val="21"/>
          <w:lang w:eastAsia="en-GB"/>
        </w:rPr>
        <w:t xml:space="preserve">Percentage of ECO measures delivered </w:t>
      </w:r>
      <w:proofErr w:type="gramStart"/>
      <w:r w:rsidRPr="00ED695D">
        <w:rPr>
          <w:sz w:val="21"/>
          <w:szCs w:val="21"/>
          <w:lang w:eastAsia="en-GB"/>
        </w:rPr>
        <w:t>is</w:t>
      </w:r>
      <w:proofErr w:type="gramEnd"/>
      <w:r w:rsidRPr="00ED695D">
        <w:rPr>
          <w:sz w:val="21"/>
          <w:szCs w:val="21"/>
          <w:lang w:eastAsia="en-GB"/>
        </w:rPr>
        <w:t xml:space="preserve"> calculated only for those ECO measures where the location is known.</w:t>
      </w:r>
    </w:p>
    <w:p w:rsidR="00ED695D" w:rsidRPr="001D54FE" w:rsidRDefault="00ED695D" w:rsidP="00D65354">
      <w:pPr>
        <w:spacing w:before="0" w:after="0" w:line="270" w:lineRule="atLeast"/>
        <w:jc w:val="both"/>
        <w:rPr>
          <w:sz w:val="21"/>
          <w:szCs w:val="21"/>
          <w:lang w:eastAsia="en-GB"/>
        </w:rPr>
      </w:pPr>
      <w:r>
        <w:rPr>
          <w:sz w:val="21"/>
          <w:szCs w:val="21"/>
          <w:vertAlign w:val="superscript"/>
          <w:lang w:eastAsia="en-GB"/>
        </w:rPr>
        <w:t>3</w:t>
      </w:r>
      <w:r w:rsidRPr="000B6EFA">
        <w:rPr>
          <w:sz w:val="21"/>
          <w:szCs w:val="21"/>
          <w:vertAlign w:val="superscript"/>
          <w:lang w:eastAsia="en-GB"/>
        </w:rPr>
        <w:t xml:space="preserve"> </w:t>
      </w:r>
      <w:proofErr w:type="gramStart"/>
      <w:r w:rsidRPr="000B6EFA">
        <w:rPr>
          <w:sz w:val="21"/>
          <w:szCs w:val="21"/>
          <w:lang w:eastAsia="en-GB"/>
        </w:rPr>
        <w:t>Source</w:t>
      </w:r>
      <w:proofErr w:type="gramEnd"/>
      <w:r w:rsidRPr="00F476E8">
        <w:rPr>
          <w:sz w:val="21"/>
          <w:szCs w:val="21"/>
          <w:lang w:eastAsia="en-GB"/>
        </w:rPr>
        <w:t xml:space="preserve">: England: Department for Communities and Local Government, Household Projections. Wales: Welsh Government, Household estimates. Scotland: General Register Office for </w:t>
      </w:r>
      <w:proofErr w:type="gramStart"/>
      <w:r w:rsidRPr="00F476E8">
        <w:rPr>
          <w:sz w:val="21"/>
          <w:szCs w:val="21"/>
          <w:lang w:eastAsia="en-GB"/>
        </w:rPr>
        <w:t>Scotland,</w:t>
      </w:r>
      <w:proofErr w:type="gramEnd"/>
      <w:r w:rsidRPr="00F476E8">
        <w:rPr>
          <w:sz w:val="21"/>
          <w:szCs w:val="21"/>
          <w:lang w:eastAsia="en-GB"/>
        </w:rPr>
        <w:t xml:space="preserve"> Estimates of </w:t>
      </w:r>
      <w:r w:rsidRPr="001D54FE">
        <w:rPr>
          <w:sz w:val="21"/>
          <w:szCs w:val="21"/>
          <w:lang w:eastAsia="en-GB"/>
        </w:rPr>
        <w:t>Households in Scotland.</w:t>
      </w:r>
    </w:p>
    <w:p w:rsidR="00ED695D" w:rsidRPr="001D54FE" w:rsidRDefault="00ED695D" w:rsidP="00D65354">
      <w:pPr>
        <w:spacing w:before="0" w:after="0" w:line="270" w:lineRule="atLeast"/>
        <w:jc w:val="both"/>
        <w:rPr>
          <w:sz w:val="21"/>
          <w:szCs w:val="21"/>
          <w:lang w:eastAsia="en-GB"/>
        </w:rPr>
      </w:pPr>
    </w:p>
    <w:p w:rsidR="00D17D65" w:rsidRPr="001D54FE" w:rsidRDefault="00D17D65" w:rsidP="00D65354">
      <w:pPr>
        <w:spacing w:before="0" w:after="0" w:line="270" w:lineRule="atLeast"/>
        <w:jc w:val="both"/>
        <w:rPr>
          <w:sz w:val="21"/>
          <w:szCs w:val="21"/>
          <w:lang w:eastAsia="en-GB"/>
        </w:rPr>
      </w:pPr>
    </w:p>
    <w:p w:rsidR="00D17D65" w:rsidRPr="001448FE" w:rsidRDefault="00D17D65" w:rsidP="00D65354">
      <w:pPr>
        <w:spacing w:before="0" w:after="0" w:line="270" w:lineRule="atLeast"/>
        <w:jc w:val="both"/>
        <w:rPr>
          <w:bCs/>
          <w:sz w:val="23"/>
          <w:szCs w:val="23"/>
        </w:rPr>
      </w:pPr>
      <w:r w:rsidRPr="001D54FE">
        <w:rPr>
          <w:b/>
          <w:bCs/>
          <w:sz w:val="23"/>
          <w:szCs w:val="23"/>
        </w:rPr>
        <w:t>Table 1.11</w:t>
      </w:r>
      <w:r w:rsidR="00ED695D" w:rsidRPr="001D54FE">
        <w:rPr>
          <w:b/>
          <w:bCs/>
          <w:sz w:val="23"/>
          <w:szCs w:val="23"/>
        </w:rPr>
        <w:t>d</w:t>
      </w:r>
      <w:r w:rsidRPr="001D54FE">
        <w:rPr>
          <w:b/>
          <w:bCs/>
          <w:sz w:val="23"/>
          <w:szCs w:val="23"/>
        </w:rPr>
        <w:t xml:space="preserve">: Provisional number of households in receipt of ECO measures by administrative area, up to 30th September 2014 </w:t>
      </w:r>
      <w:r w:rsidRPr="001D54FE">
        <w:rPr>
          <w:bCs/>
          <w:sz w:val="23"/>
          <w:szCs w:val="23"/>
        </w:rPr>
        <w:t xml:space="preserve">(Table available </w:t>
      </w:r>
      <w:r w:rsidRPr="001D54FE">
        <w:rPr>
          <w:sz w:val="23"/>
          <w:szCs w:val="23"/>
        </w:rPr>
        <w:t xml:space="preserve">in Excel </w:t>
      </w:r>
      <w:hyperlink r:id="rId62" w:history="1">
        <w:r w:rsidR="001D54FE" w:rsidRPr="001D54FE">
          <w:rPr>
            <w:rStyle w:val="Hyperlink"/>
            <w:rFonts w:ascii="Arial" w:hAnsi="Arial"/>
            <w:sz w:val="23"/>
            <w:szCs w:val="23"/>
          </w:rPr>
          <w:t>here</w:t>
        </w:r>
      </w:hyperlink>
      <w:r w:rsidRPr="001D54FE">
        <w:rPr>
          <w:bCs/>
          <w:sz w:val="23"/>
          <w:szCs w:val="23"/>
        </w:rPr>
        <w:t>).</w:t>
      </w:r>
    </w:p>
    <w:p w:rsidR="00D17D65" w:rsidRPr="001448FE" w:rsidRDefault="00D17D65" w:rsidP="00D65354">
      <w:pPr>
        <w:spacing w:before="0" w:after="0" w:line="270" w:lineRule="atLeast"/>
        <w:jc w:val="both"/>
        <w:rPr>
          <w:bCs/>
          <w:sz w:val="23"/>
          <w:szCs w:val="23"/>
        </w:rPr>
      </w:pPr>
      <w:r w:rsidRPr="001D54FE">
        <w:rPr>
          <w:b/>
          <w:bCs/>
          <w:sz w:val="23"/>
          <w:szCs w:val="23"/>
        </w:rPr>
        <w:lastRenderedPageBreak/>
        <w:t>Table 1.11</w:t>
      </w:r>
      <w:r w:rsidR="00ED695D" w:rsidRPr="001D54FE">
        <w:rPr>
          <w:b/>
          <w:bCs/>
          <w:sz w:val="23"/>
          <w:szCs w:val="23"/>
        </w:rPr>
        <w:t>e</w:t>
      </w:r>
      <w:r w:rsidRPr="001D54FE">
        <w:rPr>
          <w:b/>
          <w:bCs/>
          <w:sz w:val="23"/>
          <w:szCs w:val="23"/>
        </w:rPr>
        <w:t xml:space="preserve">: Provisional number of households in receipt of ECO measures by Parliamentary Constituency, up to 30th September 2014 </w:t>
      </w:r>
      <w:r w:rsidRPr="001D54FE">
        <w:rPr>
          <w:bCs/>
          <w:sz w:val="23"/>
          <w:szCs w:val="23"/>
        </w:rPr>
        <w:t xml:space="preserve">(Table available </w:t>
      </w:r>
      <w:r w:rsidRPr="001D54FE">
        <w:rPr>
          <w:sz w:val="23"/>
          <w:szCs w:val="23"/>
        </w:rPr>
        <w:t xml:space="preserve">in Excel </w:t>
      </w:r>
      <w:hyperlink r:id="rId63" w:history="1">
        <w:r w:rsidR="001D54FE" w:rsidRPr="001D54FE">
          <w:rPr>
            <w:rStyle w:val="Hyperlink"/>
            <w:rFonts w:ascii="Arial" w:hAnsi="Arial"/>
            <w:sz w:val="23"/>
            <w:szCs w:val="23"/>
          </w:rPr>
          <w:t>here</w:t>
        </w:r>
      </w:hyperlink>
      <w:r w:rsidRPr="001D54FE">
        <w:rPr>
          <w:bCs/>
          <w:sz w:val="23"/>
          <w:szCs w:val="23"/>
        </w:rPr>
        <w:t>).</w:t>
      </w:r>
    </w:p>
    <w:p w:rsidR="00D73B3D" w:rsidRPr="00A21277" w:rsidRDefault="00D73B3D" w:rsidP="00415EE4">
      <w:pPr>
        <w:spacing w:before="0" w:after="0" w:line="270" w:lineRule="atLeast"/>
        <w:rPr>
          <w:b/>
          <w:bCs/>
        </w:rPr>
      </w:pPr>
    </w:p>
    <w:p w:rsidR="006C67BE" w:rsidRPr="0098219C" w:rsidRDefault="006C67BE" w:rsidP="004F2454">
      <w:pPr>
        <w:spacing w:before="0" w:after="0" w:line="270" w:lineRule="atLeast"/>
        <w:jc w:val="both"/>
        <w:rPr>
          <w:b/>
          <w:bCs/>
        </w:rPr>
      </w:pPr>
    </w:p>
    <w:p w:rsidR="00415EE4" w:rsidRPr="00A21277" w:rsidRDefault="00415EE4" w:rsidP="004F2454">
      <w:pPr>
        <w:spacing w:before="0" w:after="0" w:line="270" w:lineRule="atLeast"/>
        <w:jc w:val="both"/>
        <w:rPr>
          <w:b/>
          <w:bCs/>
        </w:rPr>
      </w:pPr>
      <w:r w:rsidRPr="0098219C">
        <w:rPr>
          <w:b/>
          <w:bCs/>
        </w:rPr>
        <w:t>Table 1</w:t>
      </w:r>
      <w:r w:rsidR="00C351B2" w:rsidRPr="0098219C">
        <w:rPr>
          <w:b/>
          <w:bCs/>
        </w:rPr>
        <w:t>.12</w:t>
      </w:r>
      <w:r w:rsidRPr="0098219C">
        <w:rPr>
          <w:b/>
          <w:bCs/>
        </w:rPr>
        <w:t xml:space="preserve">: Provisional number of ECO measures by main fuel type of property and ECO obligation, up to </w:t>
      </w:r>
      <w:r w:rsidR="007E138E" w:rsidRPr="0098219C">
        <w:rPr>
          <w:b/>
          <w:bCs/>
        </w:rPr>
        <w:t xml:space="preserve">30th </w:t>
      </w:r>
      <w:r w:rsidR="00D1378A" w:rsidRPr="0098219C">
        <w:rPr>
          <w:b/>
          <w:bCs/>
        </w:rPr>
        <w:t>September</w:t>
      </w:r>
      <w:r w:rsidR="002F723B" w:rsidRPr="0098219C">
        <w:rPr>
          <w:b/>
          <w:bCs/>
        </w:rPr>
        <w:t xml:space="preserve"> 2014</w:t>
      </w:r>
    </w:p>
    <w:tbl>
      <w:tblPr>
        <w:tblW w:w="10733" w:type="dxa"/>
        <w:tblInd w:w="-34" w:type="dxa"/>
        <w:tblLook w:val="04A0" w:firstRow="1" w:lastRow="0" w:firstColumn="1" w:lastColumn="0" w:noHBand="0" w:noVBand="1"/>
      </w:tblPr>
      <w:tblGrid>
        <w:gridCol w:w="1317"/>
        <w:gridCol w:w="1012"/>
        <w:gridCol w:w="1342"/>
        <w:gridCol w:w="1012"/>
        <w:gridCol w:w="1342"/>
        <w:gridCol w:w="1012"/>
        <w:gridCol w:w="1342"/>
        <w:gridCol w:w="1012"/>
        <w:gridCol w:w="1342"/>
      </w:tblGrid>
      <w:tr w:rsidR="00415EE4" w:rsidRPr="00A21277" w:rsidTr="00D73B3D">
        <w:trPr>
          <w:trHeight w:val="273"/>
        </w:trPr>
        <w:tc>
          <w:tcPr>
            <w:tcW w:w="1317"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101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r>
      <w:tr w:rsidR="00415EE4" w:rsidRPr="00A21277" w:rsidTr="00D73B3D">
        <w:trPr>
          <w:trHeight w:val="273"/>
        </w:trPr>
        <w:tc>
          <w:tcPr>
            <w:tcW w:w="1317" w:type="dxa"/>
            <w:tcBorders>
              <w:top w:val="single" w:sz="4" w:space="0" w:color="auto"/>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3366" w:type="dxa"/>
            <w:gridSpan w:val="3"/>
            <w:tcBorders>
              <w:top w:val="single" w:sz="4" w:space="0" w:color="auto"/>
              <w:left w:val="nil"/>
              <w:bottom w:val="single" w:sz="4" w:space="0" w:color="auto"/>
              <w:right w:val="nil"/>
            </w:tcBorders>
            <w:shd w:val="clear" w:color="000000" w:fill="FFFFFF"/>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Obligation</w:t>
            </w:r>
          </w:p>
        </w:tc>
        <w:tc>
          <w:tcPr>
            <w:tcW w:w="134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2354" w:type="dxa"/>
            <w:gridSpan w:val="2"/>
            <w:vMerge w:val="restart"/>
            <w:tcBorders>
              <w:top w:val="nil"/>
              <w:left w:val="nil"/>
              <w:bottom w:val="single" w:sz="4" w:space="0" w:color="000000"/>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 xml:space="preserve">Total number of ECO measures delivered </w:t>
            </w:r>
            <w:r w:rsidRPr="00A21277">
              <w:rPr>
                <w:color w:val="000000"/>
                <w:sz w:val="22"/>
                <w:szCs w:val="22"/>
                <w:vertAlign w:val="superscript"/>
                <w:lang w:eastAsia="en-GB"/>
              </w:rPr>
              <w:t>1</w:t>
            </w:r>
          </w:p>
        </w:tc>
      </w:tr>
      <w:tr w:rsidR="00415EE4" w:rsidRPr="00A21277" w:rsidTr="001448FE">
        <w:trPr>
          <w:trHeight w:val="369"/>
        </w:trPr>
        <w:tc>
          <w:tcPr>
            <w:tcW w:w="1317" w:type="dxa"/>
            <w:vMerge w:val="restart"/>
            <w:tcBorders>
              <w:top w:val="nil"/>
              <w:left w:val="nil"/>
              <w:bottom w:val="single" w:sz="4" w:space="0" w:color="000000"/>
              <w:right w:val="nil"/>
            </w:tcBorders>
            <w:shd w:val="clear" w:color="auto" w:fill="auto"/>
            <w:noWrap/>
            <w:vAlign w:val="center"/>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Fuel Type</w:t>
            </w:r>
          </w:p>
        </w:tc>
        <w:tc>
          <w:tcPr>
            <w:tcW w:w="2354" w:type="dxa"/>
            <w:gridSpan w:val="2"/>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Carbon Saving Target (CSO)</w:t>
            </w:r>
          </w:p>
        </w:tc>
        <w:tc>
          <w:tcPr>
            <w:tcW w:w="2354" w:type="dxa"/>
            <w:gridSpan w:val="2"/>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Carbon Savings Community (CSCO)</w:t>
            </w:r>
          </w:p>
        </w:tc>
        <w:tc>
          <w:tcPr>
            <w:tcW w:w="2354" w:type="dxa"/>
            <w:gridSpan w:val="2"/>
            <w:tcBorders>
              <w:top w:val="single" w:sz="4" w:space="0" w:color="auto"/>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Affordable Warmth (HHCRO)</w:t>
            </w:r>
          </w:p>
        </w:tc>
        <w:tc>
          <w:tcPr>
            <w:tcW w:w="2354" w:type="dxa"/>
            <w:gridSpan w:val="2"/>
            <w:vMerge/>
            <w:tcBorders>
              <w:top w:val="nil"/>
              <w:left w:val="nil"/>
              <w:bottom w:val="single" w:sz="4" w:space="0" w:color="000000"/>
              <w:right w:val="nil"/>
            </w:tcBorders>
            <w:vAlign w:val="center"/>
            <w:hideMark/>
          </w:tcPr>
          <w:p w:rsidR="00415EE4" w:rsidRPr="00A21277" w:rsidRDefault="00415EE4" w:rsidP="00415EE4">
            <w:pPr>
              <w:spacing w:before="0" w:after="0" w:line="240" w:lineRule="auto"/>
              <w:rPr>
                <w:color w:val="000000"/>
                <w:sz w:val="22"/>
                <w:szCs w:val="22"/>
                <w:lang w:eastAsia="en-GB"/>
              </w:rPr>
            </w:pPr>
          </w:p>
        </w:tc>
      </w:tr>
      <w:tr w:rsidR="00415EE4" w:rsidRPr="00A21277" w:rsidTr="00D73B3D">
        <w:trPr>
          <w:trHeight w:val="256"/>
        </w:trPr>
        <w:tc>
          <w:tcPr>
            <w:tcW w:w="1317" w:type="dxa"/>
            <w:vMerge/>
            <w:tcBorders>
              <w:top w:val="nil"/>
              <w:left w:val="nil"/>
              <w:bottom w:val="single" w:sz="4" w:space="0" w:color="000000"/>
              <w:right w:val="nil"/>
            </w:tcBorders>
            <w:vAlign w:val="center"/>
            <w:hideMark/>
          </w:tcPr>
          <w:p w:rsidR="00415EE4" w:rsidRPr="00A21277" w:rsidRDefault="00415EE4" w:rsidP="00415EE4">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r>
      <w:tr w:rsidR="00D73B3D" w:rsidRPr="000E08BD" w:rsidTr="00D73B3D">
        <w:trPr>
          <w:trHeight w:val="273"/>
        </w:trPr>
        <w:tc>
          <w:tcPr>
            <w:tcW w:w="1317" w:type="dxa"/>
            <w:tcBorders>
              <w:top w:val="nil"/>
              <w:left w:val="nil"/>
              <w:bottom w:val="nil"/>
              <w:right w:val="nil"/>
            </w:tcBorders>
            <w:shd w:val="clear" w:color="auto" w:fill="auto"/>
            <w:noWrap/>
            <w:vAlign w:val="bottom"/>
            <w:hideMark/>
          </w:tcPr>
          <w:p w:rsidR="00D73B3D" w:rsidRPr="00A21277" w:rsidRDefault="00D73B3D" w:rsidP="00415EE4">
            <w:pPr>
              <w:spacing w:before="0" w:after="0" w:line="240" w:lineRule="auto"/>
              <w:rPr>
                <w:color w:val="000000"/>
                <w:sz w:val="22"/>
                <w:szCs w:val="22"/>
                <w:lang w:eastAsia="en-GB"/>
              </w:rPr>
            </w:pPr>
            <w:r w:rsidRPr="00A21277">
              <w:rPr>
                <w:color w:val="000000"/>
                <w:sz w:val="22"/>
                <w:szCs w:val="22"/>
                <w:lang w:eastAsia="en-GB"/>
              </w:rPr>
              <w:t>Gas</w:t>
            </w:r>
          </w:p>
        </w:tc>
        <w:tc>
          <w:tcPr>
            <w:tcW w:w="1012" w:type="dxa"/>
            <w:tcBorders>
              <w:top w:val="single" w:sz="4" w:space="0" w:color="auto"/>
              <w:left w:val="nil"/>
              <w:bottom w:val="nil"/>
              <w:right w:val="nil"/>
            </w:tcBorders>
            <w:shd w:val="clear" w:color="auto" w:fill="auto"/>
            <w:noWrap/>
            <w:vAlign w:val="bottom"/>
            <w:hideMark/>
          </w:tcPr>
          <w:p w:rsidR="00D73B3D" w:rsidRPr="00D73B3D" w:rsidRDefault="00ED695D" w:rsidP="00D73B3D">
            <w:pPr>
              <w:spacing w:before="0" w:after="0"/>
              <w:jc w:val="right"/>
              <w:rPr>
                <w:color w:val="000000"/>
                <w:sz w:val="22"/>
                <w:szCs w:val="22"/>
              </w:rPr>
            </w:pPr>
            <w:r>
              <w:rPr>
                <w:color w:val="000000"/>
                <w:sz w:val="22"/>
                <w:szCs w:val="22"/>
              </w:rPr>
              <w:t>318,879</w:t>
            </w:r>
          </w:p>
        </w:tc>
        <w:tc>
          <w:tcPr>
            <w:tcW w:w="1342" w:type="dxa"/>
            <w:tcBorders>
              <w:top w:val="single" w:sz="4" w:space="0" w:color="auto"/>
              <w:left w:val="nil"/>
              <w:bottom w:val="nil"/>
              <w:right w:val="nil"/>
            </w:tcBorders>
            <w:shd w:val="clear" w:color="000000" w:fill="FFFFFF"/>
            <w:vAlign w:val="bottom"/>
            <w:hideMark/>
          </w:tcPr>
          <w:p w:rsidR="00D73B3D" w:rsidRPr="00D73B3D" w:rsidRDefault="0098219C" w:rsidP="00D73B3D">
            <w:pPr>
              <w:spacing w:before="0" w:after="0"/>
              <w:jc w:val="right"/>
              <w:rPr>
                <w:i/>
                <w:iCs/>
                <w:color w:val="000000"/>
                <w:sz w:val="22"/>
                <w:szCs w:val="22"/>
              </w:rPr>
            </w:pPr>
            <w:r>
              <w:rPr>
                <w:i/>
                <w:iCs/>
                <w:color w:val="000000"/>
                <w:sz w:val="22"/>
                <w:szCs w:val="22"/>
              </w:rPr>
              <w:t>84.1</w:t>
            </w:r>
          </w:p>
        </w:tc>
        <w:tc>
          <w:tcPr>
            <w:tcW w:w="1012" w:type="dxa"/>
            <w:tcBorders>
              <w:top w:val="single" w:sz="4" w:space="0" w:color="auto"/>
              <w:left w:val="nil"/>
              <w:bottom w:val="nil"/>
              <w:right w:val="nil"/>
            </w:tcBorders>
            <w:shd w:val="clear" w:color="auto" w:fill="auto"/>
            <w:noWrap/>
            <w:vAlign w:val="bottom"/>
            <w:hideMark/>
          </w:tcPr>
          <w:p w:rsidR="00D73B3D" w:rsidRPr="00D73B3D" w:rsidRDefault="0098219C" w:rsidP="00D73B3D">
            <w:pPr>
              <w:spacing w:before="0" w:after="0"/>
              <w:jc w:val="right"/>
              <w:rPr>
                <w:color w:val="000000"/>
                <w:sz w:val="22"/>
                <w:szCs w:val="22"/>
              </w:rPr>
            </w:pPr>
            <w:r>
              <w:rPr>
                <w:color w:val="000000"/>
                <w:sz w:val="22"/>
                <w:szCs w:val="22"/>
              </w:rPr>
              <w:t>190,899</w:t>
            </w:r>
          </w:p>
        </w:tc>
        <w:tc>
          <w:tcPr>
            <w:tcW w:w="1342" w:type="dxa"/>
            <w:tcBorders>
              <w:top w:val="single" w:sz="4" w:space="0" w:color="auto"/>
              <w:left w:val="nil"/>
              <w:bottom w:val="nil"/>
              <w:right w:val="nil"/>
            </w:tcBorders>
            <w:shd w:val="clear" w:color="000000" w:fill="FFFFFF"/>
            <w:vAlign w:val="bottom"/>
            <w:hideMark/>
          </w:tcPr>
          <w:p w:rsidR="00D73B3D" w:rsidRPr="00D73B3D" w:rsidRDefault="0098219C" w:rsidP="00D73B3D">
            <w:pPr>
              <w:spacing w:before="0" w:after="0"/>
              <w:jc w:val="right"/>
              <w:rPr>
                <w:i/>
                <w:iCs/>
                <w:color w:val="000000"/>
                <w:sz w:val="22"/>
                <w:szCs w:val="22"/>
              </w:rPr>
            </w:pPr>
            <w:r>
              <w:rPr>
                <w:i/>
                <w:iCs/>
                <w:color w:val="000000"/>
                <w:sz w:val="22"/>
                <w:szCs w:val="22"/>
              </w:rPr>
              <w:t>92</w:t>
            </w:r>
            <w:r w:rsidR="00D73B3D" w:rsidRPr="00D73B3D">
              <w:rPr>
                <w:i/>
                <w:iCs/>
                <w:color w:val="000000"/>
                <w:sz w:val="22"/>
                <w:szCs w:val="22"/>
              </w:rPr>
              <w:t>.9</w:t>
            </w:r>
          </w:p>
        </w:tc>
        <w:tc>
          <w:tcPr>
            <w:tcW w:w="1012" w:type="dxa"/>
            <w:tcBorders>
              <w:top w:val="single" w:sz="4" w:space="0" w:color="auto"/>
              <w:left w:val="nil"/>
              <w:bottom w:val="nil"/>
              <w:right w:val="nil"/>
            </w:tcBorders>
            <w:shd w:val="clear" w:color="auto" w:fill="auto"/>
            <w:noWrap/>
            <w:vAlign w:val="bottom"/>
            <w:hideMark/>
          </w:tcPr>
          <w:p w:rsidR="00D73B3D" w:rsidRPr="00D73B3D" w:rsidRDefault="0098219C" w:rsidP="00D73B3D">
            <w:pPr>
              <w:spacing w:before="0" w:after="0"/>
              <w:jc w:val="right"/>
              <w:rPr>
                <w:color w:val="000000"/>
                <w:sz w:val="22"/>
                <w:szCs w:val="22"/>
              </w:rPr>
            </w:pPr>
            <w:r>
              <w:rPr>
                <w:color w:val="000000"/>
                <w:sz w:val="22"/>
                <w:szCs w:val="22"/>
              </w:rPr>
              <w:t>374,885</w:t>
            </w:r>
          </w:p>
        </w:tc>
        <w:tc>
          <w:tcPr>
            <w:tcW w:w="1342" w:type="dxa"/>
            <w:tcBorders>
              <w:top w:val="single" w:sz="4" w:space="0" w:color="auto"/>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98.9</w:t>
            </w:r>
          </w:p>
        </w:tc>
        <w:tc>
          <w:tcPr>
            <w:tcW w:w="1012" w:type="dxa"/>
            <w:tcBorders>
              <w:top w:val="single" w:sz="4" w:space="0" w:color="auto"/>
              <w:left w:val="nil"/>
              <w:bottom w:val="nil"/>
              <w:right w:val="nil"/>
            </w:tcBorders>
            <w:shd w:val="clear" w:color="auto" w:fill="auto"/>
            <w:noWrap/>
            <w:vAlign w:val="bottom"/>
            <w:hideMark/>
          </w:tcPr>
          <w:p w:rsidR="00D73B3D" w:rsidRPr="00D73B3D" w:rsidRDefault="0098219C" w:rsidP="00D73B3D">
            <w:pPr>
              <w:spacing w:before="0" w:after="0"/>
              <w:jc w:val="right"/>
              <w:rPr>
                <w:color w:val="000000"/>
                <w:sz w:val="22"/>
                <w:szCs w:val="22"/>
              </w:rPr>
            </w:pPr>
            <w:r>
              <w:rPr>
                <w:color w:val="000000"/>
                <w:sz w:val="22"/>
                <w:szCs w:val="22"/>
              </w:rPr>
              <w:t>884,663</w:t>
            </w:r>
          </w:p>
        </w:tc>
        <w:tc>
          <w:tcPr>
            <w:tcW w:w="1342" w:type="dxa"/>
            <w:tcBorders>
              <w:top w:val="nil"/>
              <w:left w:val="nil"/>
              <w:bottom w:val="nil"/>
              <w:right w:val="nil"/>
            </w:tcBorders>
            <w:shd w:val="clear" w:color="000000" w:fill="FFFFFF"/>
            <w:vAlign w:val="bottom"/>
            <w:hideMark/>
          </w:tcPr>
          <w:p w:rsidR="00D73B3D" w:rsidRPr="00D73B3D" w:rsidRDefault="0098219C" w:rsidP="00D73B3D">
            <w:pPr>
              <w:spacing w:before="0" w:after="0"/>
              <w:jc w:val="right"/>
              <w:rPr>
                <w:i/>
                <w:iCs/>
                <w:color w:val="000000"/>
                <w:sz w:val="22"/>
                <w:szCs w:val="22"/>
              </w:rPr>
            </w:pPr>
            <w:r>
              <w:rPr>
                <w:i/>
                <w:iCs/>
                <w:color w:val="000000"/>
                <w:sz w:val="22"/>
                <w:szCs w:val="22"/>
              </w:rPr>
              <w:t>91.8</w:t>
            </w:r>
          </w:p>
        </w:tc>
      </w:tr>
      <w:tr w:rsidR="00D73B3D" w:rsidRPr="000E08BD" w:rsidTr="00D73B3D">
        <w:trPr>
          <w:trHeight w:val="273"/>
        </w:trPr>
        <w:tc>
          <w:tcPr>
            <w:tcW w:w="1317" w:type="dxa"/>
            <w:tcBorders>
              <w:top w:val="nil"/>
              <w:left w:val="nil"/>
              <w:bottom w:val="nil"/>
              <w:right w:val="nil"/>
            </w:tcBorders>
            <w:shd w:val="clear" w:color="auto" w:fill="auto"/>
            <w:noWrap/>
            <w:vAlign w:val="bottom"/>
            <w:hideMark/>
          </w:tcPr>
          <w:p w:rsidR="00D73B3D" w:rsidRPr="00A21277" w:rsidRDefault="00D73B3D" w:rsidP="00415EE4">
            <w:pPr>
              <w:spacing w:before="0" w:after="0" w:line="240" w:lineRule="auto"/>
              <w:rPr>
                <w:color w:val="000000"/>
                <w:sz w:val="22"/>
                <w:szCs w:val="22"/>
                <w:lang w:eastAsia="en-GB"/>
              </w:rPr>
            </w:pPr>
            <w:r w:rsidRPr="00A21277">
              <w:rPr>
                <w:color w:val="000000"/>
                <w:sz w:val="22"/>
                <w:szCs w:val="22"/>
                <w:lang w:eastAsia="en-GB"/>
              </w:rPr>
              <w:t>Electric</w:t>
            </w:r>
          </w:p>
        </w:tc>
        <w:tc>
          <w:tcPr>
            <w:tcW w:w="1012" w:type="dxa"/>
            <w:tcBorders>
              <w:top w:val="nil"/>
              <w:left w:val="nil"/>
              <w:bottom w:val="nil"/>
              <w:right w:val="nil"/>
            </w:tcBorders>
            <w:shd w:val="clear" w:color="auto" w:fill="auto"/>
            <w:noWrap/>
            <w:vAlign w:val="bottom"/>
            <w:hideMark/>
          </w:tcPr>
          <w:p w:rsidR="00D73B3D" w:rsidRPr="00D73B3D" w:rsidRDefault="00ED695D" w:rsidP="00D73B3D">
            <w:pPr>
              <w:spacing w:before="0" w:after="0"/>
              <w:jc w:val="right"/>
              <w:rPr>
                <w:color w:val="000000"/>
                <w:sz w:val="22"/>
                <w:szCs w:val="22"/>
              </w:rPr>
            </w:pPr>
            <w:r>
              <w:rPr>
                <w:color w:val="000000"/>
                <w:sz w:val="22"/>
                <w:szCs w:val="22"/>
              </w:rPr>
              <w:t>50,158</w:t>
            </w:r>
          </w:p>
        </w:tc>
        <w:tc>
          <w:tcPr>
            <w:tcW w:w="1342" w:type="dxa"/>
            <w:tcBorders>
              <w:top w:val="nil"/>
              <w:left w:val="nil"/>
              <w:bottom w:val="nil"/>
              <w:right w:val="nil"/>
            </w:tcBorders>
            <w:shd w:val="clear" w:color="000000" w:fill="FFFFFF"/>
            <w:vAlign w:val="bottom"/>
            <w:hideMark/>
          </w:tcPr>
          <w:p w:rsidR="00D73B3D" w:rsidRPr="00D73B3D" w:rsidRDefault="0098219C" w:rsidP="00D73B3D">
            <w:pPr>
              <w:spacing w:before="0" w:after="0"/>
              <w:jc w:val="right"/>
              <w:rPr>
                <w:i/>
                <w:iCs/>
                <w:color w:val="000000"/>
                <w:sz w:val="22"/>
                <w:szCs w:val="22"/>
              </w:rPr>
            </w:pPr>
            <w:r>
              <w:rPr>
                <w:i/>
                <w:iCs/>
                <w:color w:val="000000"/>
                <w:sz w:val="22"/>
                <w:szCs w:val="22"/>
              </w:rPr>
              <w:t>13.2</w:t>
            </w:r>
          </w:p>
        </w:tc>
        <w:tc>
          <w:tcPr>
            <w:tcW w:w="1012" w:type="dxa"/>
            <w:tcBorders>
              <w:top w:val="nil"/>
              <w:left w:val="nil"/>
              <w:bottom w:val="nil"/>
              <w:right w:val="nil"/>
            </w:tcBorders>
            <w:shd w:val="clear" w:color="auto" w:fill="auto"/>
            <w:noWrap/>
            <w:vAlign w:val="bottom"/>
            <w:hideMark/>
          </w:tcPr>
          <w:p w:rsidR="00D73B3D" w:rsidRPr="00D73B3D" w:rsidRDefault="0098219C" w:rsidP="00D73B3D">
            <w:pPr>
              <w:spacing w:before="0" w:after="0"/>
              <w:jc w:val="right"/>
              <w:rPr>
                <w:color w:val="000000"/>
                <w:sz w:val="22"/>
                <w:szCs w:val="22"/>
              </w:rPr>
            </w:pPr>
            <w:r>
              <w:rPr>
                <w:color w:val="000000"/>
                <w:sz w:val="22"/>
                <w:szCs w:val="22"/>
              </w:rPr>
              <w:t>10,359</w:t>
            </w:r>
          </w:p>
        </w:tc>
        <w:tc>
          <w:tcPr>
            <w:tcW w:w="1342" w:type="dxa"/>
            <w:tcBorders>
              <w:top w:val="nil"/>
              <w:left w:val="nil"/>
              <w:bottom w:val="nil"/>
              <w:right w:val="nil"/>
            </w:tcBorders>
            <w:shd w:val="clear" w:color="000000" w:fill="FFFFFF"/>
            <w:vAlign w:val="bottom"/>
            <w:hideMark/>
          </w:tcPr>
          <w:p w:rsidR="00D73B3D" w:rsidRPr="00D73B3D" w:rsidRDefault="0098219C" w:rsidP="00D73B3D">
            <w:pPr>
              <w:spacing w:before="0" w:after="0"/>
              <w:jc w:val="right"/>
              <w:rPr>
                <w:i/>
                <w:iCs/>
                <w:color w:val="000000"/>
                <w:sz w:val="22"/>
                <w:szCs w:val="22"/>
              </w:rPr>
            </w:pPr>
            <w:r>
              <w:rPr>
                <w:i/>
                <w:iCs/>
                <w:color w:val="000000"/>
                <w:sz w:val="22"/>
                <w:szCs w:val="22"/>
              </w:rPr>
              <w:t>5.0</w:t>
            </w:r>
          </w:p>
        </w:tc>
        <w:tc>
          <w:tcPr>
            <w:tcW w:w="1012" w:type="dxa"/>
            <w:tcBorders>
              <w:top w:val="nil"/>
              <w:left w:val="nil"/>
              <w:bottom w:val="nil"/>
              <w:right w:val="nil"/>
            </w:tcBorders>
            <w:shd w:val="clear" w:color="auto" w:fill="auto"/>
            <w:noWrap/>
            <w:vAlign w:val="bottom"/>
            <w:hideMark/>
          </w:tcPr>
          <w:p w:rsidR="00D73B3D" w:rsidRPr="00D73B3D" w:rsidRDefault="00D73B3D" w:rsidP="0098219C">
            <w:pPr>
              <w:spacing w:before="0" w:after="0"/>
              <w:jc w:val="right"/>
              <w:rPr>
                <w:color w:val="000000"/>
                <w:sz w:val="22"/>
                <w:szCs w:val="22"/>
              </w:rPr>
            </w:pPr>
            <w:r w:rsidRPr="00D73B3D">
              <w:rPr>
                <w:color w:val="000000"/>
                <w:sz w:val="22"/>
                <w:szCs w:val="22"/>
              </w:rPr>
              <w:t>1,</w:t>
            </w:r>
            <w:r w:rsidR="0098219C">
              <w:rPr>
                <w:color w:val="000000"/>
                <w:sz w:val="22"/>
                <w:szCs w:val="22"/>
              </w:rPr>
              <w:t>903</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0.5</w:t>
            </w:r>
          </w:p>
        </w:tc>
        <w:tc>
          <w:tcPr>
            <w:tcW w:w="1012" w:type="dxa"/>
            <w:tcBorders>
              <w:top w:val="nil"/>
              <w:left w:val="nil"/>
              <w:bottom w:val="nil"/>
              <w:right w:val="nil"/>
            </w:tcBorders>
            <w:shd w:val="clear" w:color="auto" w:fill="auto"/>
            <w:noWrap/>
            <w:vAlign w:val="bottom"/>
            <w:hideMark/>
          </w:tcPr>
          <w:p w:rsidR="00D73B3D" w:rsidRPr="00D73B3D" w:rsidRDefault="0098219C" w:rsidP="00D73B3D">
            <w:pPr>
              <w:spacing w:before="0" w:after="0"/>
              <w:jc w:val="right"/>
              <w:rPr>
                <w:color w:val="000000"/>
                <w:sz w:val="22"/>
                <w:szCs w:val="22"/>
              </w:rPr>
            </w:pPr>
            <w:r>
              <w:rPr>
                <w:color w:val="000000"/>
                <w:sz w:val="22"/>
                <w:szCs w:val="22"/>
              </w:rPr>
              <w:t>62,420</w:t>
            </w:r>
          </w:p>
        </w:tc>
        <w:tc>
          <w:tcPr>
            <w:tcW w:w="1342" w:type="dxa"/>
            <w:tcBorders>
              <w:top w:val="nil"/>
              <w:left w:val="nil"/>
              <w:bottom w:val="nil"/>
              <w:right w:val="nil"/>
            </w:tcBorders>
            <w:shd w:val="clear" w:color="000000" w:fill="FFFFFF"/>
            <w:vAlign w:val="bottom"/>
            <w:hideMark/>
          </w:tcPr>
          <w:p w:rsidR="00D73B3D" w:rsidRPr="00D73B3D" w:rsidRDefault="0098219C" w:rsidP="00D73B3D">
            <w:pPr>
              <w:spacing w:before="0" w:after="0"/>
              <w:jc w:val="right"/>
              <w:rPr>
                <w:i/>
                <w:iCs/>
                <w:color w:val="000000"/>
                <w:sz w:val="22"/>
                <w:szCs w:val="22"/>
              </w:rPr>
            </w:pPr>
            <w:r>
              <w:rPr>
                <w:i/>
                <w:iCs/>
                <w:color w:val="000000"/>
                <w:sz w:val="22"/>
                <w:szCs w:val="22"/>
              </w:rPr>
              <w:t>6.5</w:t>
            </w:r>
          </w:p>
        </w:tc>
      </w:tr>
      <w:tr w:rsidR="00D73B3D" w:rsidRPr="000E08BD" w:rsidTr="00D73B3D">
        <w:trPr>
          <w:trHeight w:val="315"/>
        </w:trPr>
        <w:tc>
          <w:tcPr>
            <w:tcW w:w="1317" w:type="dxa"/>
            <w:tcBorders>
              <w:top w:val="nil"/>
              <w:left w:val="nil"/>
              <w:bottom w:val="nil"/>
              <w:right w:val="nil"/>
            </w:tcBorders>
            <w:shd w:val="clear" w:color="auto" w:fill="auto"/>
            <w:noWrap/>
            <w:vAlign w:val="bottom"/>
            <w:hideMark/>
          </w:tcPr>
          <w:p w:rsidR="00D73B3D" w:rsidRPr="00A21277" w:rsidRDefault="00D73B3D" w:rsidP="00415EE4">
            <w:pPr>
              <w:spacing w:before="0" w:after="0" w:line="240" w:lineRule="auto"/>
              <w:rPr>
                <w:color w:val="000000"/>
                <w:sz w:val="22"/>
                <w:szCs w:val="22"/>
                <w:lang w:eastAsia="en-GB"/>
              </w:rPr>
            </w:pPr>
            <w:r w:rsidRPr="00A21277">
              <w:rPr>
                <w:color w:val="000000"/>
                <w:sz w:val="22"/>
                <w:szCs w:val="22"/>
                <w:lang w:eastAsia="en-GB"/>
              </w:rPr>
              <w:t>Other</w:t>
            </w:r>
            <w:r w:rsidRPr="00A21277">
              <w:rPr>
                <w:color w:val="000000"/>
                <w:sz w:val="22"/>
                <w:szCs w:val="22"/>
                <w:vertAlign w:val="superscript"/>
                <w:lang w:eastAsia="en-GB"/>
              </w:rPr>
              <w:t xml:space="preserve"> 2</w:t>
            </w:r>
          </w:p>
        </w:tc>
        <w:tc>
          <w:tcPr>
            <w:tcW w:w="1012" w:type="dxa"/>
            <w:tcBorders>
              <w:top w:val="nil"/>
              <w:left w:val="nil"/>
              <w:bottom w:val="nil"/>
              <w:right w:val="nil"/>
            </w:tcBorders>
            <w:shd w:val="clear" w:color="auto" w:fill="auto"/>
            <w:noWrap/>
            <w:vAlign w:val="bottom"/>
            <w:hideMark/>
          </w:tcPr>
          <w:p w:rsidR="00D73B3D" w:rsidRPr="00D73B3D" w:rsidRDefault="00D73B3D" w:rsidP="00ED695D">
            <w:pPr>
              <w:spacing w:before="0" w:after="0"/>
              <w:jc w:val="right"/>
              <w:rPr>
                <w:color w:val="000000"/>
                <w:sz w:val="22"/>
                <w:szCs w:val="22"/>
              </w:rPr>
            </w:pPr>
            <w:r w:rsidRPr="00D73B3D">
              <w:rPr>
                <w:color w:val="000000"/>
                <w:sz w:val="22"/>
                <w:szCs w:val="22"/>
              </w:rPr>
              <w:t>3,</w:t>
            </w:r>
            <w:r w:rsidR="00ED695D">
              <w:rPr>
                <w:color w:val="000000"/>
                <w:sz w:val="22"/>
                <w:szCs w:val="22"/>
              </w:rPr>
              <w:t>787</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1.0</w:t>
            </w:r>
          </w:p>
        </w:tc>
        <w:tc>
          <w:tcPr>
            <w:tcW w:w="1012" w:type="dxa"/>
            <w:tcBorders>
              <w:top w:val="nil"/>
              <w:left w:val="nil"/>
              <w:bottom w:val="nil"/>
              <w:right w:val="nil"/>
            </w:tcBorders>
            <w:shd w:val="clear" w:color="auto" w:fill="auto"/>
            <w:noWrap/>
            <w:vAlign w:val="bottom"/>
            <w:hideMark/>
          </w:tcPr>
          <w:p w:rsidR="00D73B3D" w:rsidRPr="00D73B3D" w:rsidRDefault="0098219C" w:rsidP="00D73B3D">
            <w:pPr>
              <w:spacing w:before="0" w:after="0"/>
              <w:jc w:val="right"/>
              <w:rPr>
                <w:color w:val="000000"/>
                <w:sz w:val="22"/>
                <w:szCs w:val="22"/>
              </w:rPr>
            </w:pPr>
            <w:r>
              <w:rPr>
                <w:color w:val="000000"/>
                <w:sz w:val="22"/>
                <w:szCs w:val="22"/>
              </w:rPr>
              <w:t>490</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0.2</w:t>
            </w:r>
          </w:p>
        </w:tc>
        <w:tc>
          <w:tcPr>
            <w:tcW w:w="1012" w:type="dxa"/>
            <w:tcBorders>
              <w:top w:val="nil"/>
              <w:left w:val="nil"/>
              <w:bottom w:val="nil"/>
              <w:right w:val="nil"/>
            </w:tcBorders>
            <w:shd w:val="clear" w:color="auto" w:fill="auto"/>
            <w:noWrap/>
            <w:vAlign w:val="bottom"/>
            <w:hideMark/>
          </w:tcPr>
          <w:p w:rsidR="00D73B3D" w:rsidRPr="00D73B3D" w:rsidRDefault="0098219C" w:rsidP="00D73B3D">
            <w:pPr>
              <w:spacing w:before="0" w:after="0"/>
              <w:jc w:val="right"/>
              <w:rPr>
                <w:color w:val="000000"/>
                <w:sz w:val="22"/>
                <w:szCs w:val="22"/>
              </w:rPr>
            </w:pPr>
            <w:r>
              <w:rPr>
                <w:color w:val="000000"/>
                <w:sz w:val="22"/>
                <w:szCs w:val="22"/>
              </w:rPr>
              <w:t>1,579</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0.4</w:t>
            </w:r>
          </w:p>
        </w:tc>
        <w:tc>
          <w:tcPr>
            <w:tcW w:w="1012" w:type="dxa"/>
            <w:tcBorders>
              <w:top w:val="nil"/>
              <w:left w:val="nil"/>
              <w:bottom w:val="nil"/>
              <w:right w:val="nil"/>
            </w:tcBorders>
            <w:shd w:val="clear" w:color="auto" w:fill="auto"/>
            <w:noWrap/>
            <w:vAlign w:val="bottom"/>
            <w:hideMark/>
          </w:tcPr>
          <w:p w:rsidR="00D73B3D" w:rsidRPr="00D73B3D" w:rsidRDefault="00D73B3D" w:rsidP="0098219C">
            <w:pPr>
              <w:spacing w:before="0" w:after="0"/>
              <w:jc w:val="right"/>
              <w:rPr>
                <w:color w:val="000000"/>
                <w:sz w:val="22"/>
                <w:szCs w:val="22"/>
              </w:rPr>
            </w:pPr>
            <w:r w:rsidRPr="00D73B3D">
              <w:rPr>
                <w:color w:val="000000"/>
                <w:sz w:val="22"/>
                <w:szCs w:val="22"/>
              </w:rPr>
              <w:t>5,</w:t>
            </w:r>
            <w:r w:rsidR="0098219C">
              <w:rPr>
                <w:color w:val="000000"/>
                <w:sz w:val="22"/>
                <w:szCs w:val="22"/>
              </w:rPr>
              <w:t>856</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0.6</w:t>
            </w:r>
          </w:p>
        </w:tc>
      </w:tr>
      <w:tr w:rsidR="00D73B3D" w:rsidRPr="000E08BD" w:rsidTr="00D73B3D">
        <w:trPr>
          <w:trHeight w:val="273"/>
        </w:trPr>
        <w:tc>
          <w:tcPr>
            <w:tcW w:w="1317" w:type="dxa"/>
            <w:tcBorders>
              <w:top w:val="nil"/>
              <w:left w:val="nil"/>
              <w:bottom w:val="nil"/>
              <w:right w:val="nil"/>
            </w:tcBorders>
            <w:shd w:val="clear" w:color="auto" w:fill="auto"/>
            <w:noWrap/>
            <w:vAlign w:val="bottom"/>
            <w:hideMark/>
          </w:tcPr>
          <w:p w:rsidR="00D73B3D" w:rsidRPr="00A21277" w:rsidRDefault="00D73B3D" w:rsidP="00415EE4">
            <w:pPr>
              <w:spacing w:before="0" w:after="0" w:line="240" w:lineRule="auto"/>
              <w:rPr>
                <w:color w:val="000000"/>
                <w:sz w:val="22"/>
                <w:szCs w:val="22"/>
                <w:lang w:eastAsia="en-GB"/>
              </w:rPr>
            </w:pPr>
            <w:r w:rsidRPr="00A21277">
              <w:rPr>
                <w:color w:val="000000"/>
                <w:sz w:val="22"/>
                <w:szCs w:val="22"/>
                <w:lang w:eastAsia="en-GB"/>
              </w:rPr>
              <w:t>Oil</w:t>
            </w:r>
          </w:p>
        </w:tc>
        <w:tc>
          <w:tcPr>
            <w:tcW w:w="1012" w:type="dxa"/>
            <w:tcBorders>
              <w:top w:val="nil"/>
              <w:left w:val="nil"/>
              <w:bottom w:val="nil"/>
              <w:right w:val="nil"/>
            </w:tcBorders>
            <w:shd w:val="clear" w:color="auto" w:fill="auto"/>
            <w:noWrap/>
            <w:vAlign w:val="bottom"/>
            <w:hideMark/>
          </w:tcPr>
          <w:p w:rsidR="00D73B3D" w:rsidRPr="00D73B3D" w:rsidRDefault="00D73B3D" w:rsidP="00ED695D">
            <w:pPr>
              <w:spacing w:before="0" w:after="0"/>
              <w:jc w:val="right"/>
              <w:rPr>
                <w:color w:val="000000"/>
                <w:sz w:val="22"/>
                <w:szCs w:val="22"/>
              </w:rPr>
            </w:pPr>
            <w:r w:rsidRPr="00D73B3D">
              <w:rPr>
                <w:color w:val="000000"/>
                <w:sz w:val="22"/>
                <w:szCs w:val="22"/>
              </w:rPr>
              <w:t>3,</w:t>
            </w:r>
            <w:r w:rsidR="00ED695D">
              <w:rPr>
                <w:color w:val="000000"/>
                <w:sz w:val="22"/>
                <w:szCs w:val="22"/>
              </w:rPr>
              <w:t>599</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0.9</w:t>
            </w:r>
          </w:p>
        </w:tc>
        <w:tc>
          <w:tcPr>
            <w:tcW w:w="1012" w:type="dxa"/>
            <w:tcBorders>
              <w:top w:val="nil"/>
              <w:left w:val="nil"/>
              <w:bottom w:val="nil"/>
              <w:right w:val="nil"/>
            </w:tcBorders>
            <w:shd w:val="clear" w:color="auto" w:fill="auto"/>
            <w:noWrap/>
            <w:vAlign w:val="bottom"/>
            <w:hideMark/>
          </w:tcPr>
          <w:p w:rsidR="00D73B3D" w:rsidRPr="00D73B3D" w:rsidRDefault="0098219C" w:rsidP="00D73B3D">
            <w:pPr>
              <w:spacing w:before="0" w:after="0"/>
              <w:jc w:val="right"/>
              <w:rPr>
                <w:color w:val="000000"/>
                <w:sz w:val="22"/>
                <w:szCs w:val="22"/>
              </w:rPr>
            </w:pPr>
            <w:r>
              <w:rPr>
                <w:color w:val="000000"/>
                <w:sz w:val="22"/>
                <w:szCs w:val="22"/>
              </w:rPr>
              <w:t>2,815</w:t>
            </w:r>
          </w:p>
        </w:tc>
        <w:tc>
          <w:tcPr>
            <w:tcW w:w="1342" w:type="dxa"/>
            <w:tcBorders>
              <w:top w:val="nil"/>
              <w:left w:val="nil"/>
              <w:bottom w:val="nil"/>
              <w:right w:val="nil"/>
            </w:tcBorders>
            <w:shd w:val="clear" w:color="000000" w:fill="FFFFFF"/>
            <w:vAlign w:val="bottom"/>
            <w:hideMark/>
          </w:tcPr>
          <w:p w:rsidR="00D73B3D" w:rsidRPr="00D73B3D" w:rsidRDefault="0098219C" w:rsidP="00D73B3D">
            <w:pPr>
              <w:spacing w:before="0" w:after="0"/>
              <w:jc w:val="right"/>
              <w:rPr>
                <w:i/>
                <w:iCs/>
                <w:color w:val="000000"/>
                <w:sz w:val="22"/>
                <w:szCs w:val="22"/>
              </w:rPr>
            </w:pPr>
            <w:r>
              <w:rPr>
                <w:i/>
                <w:iCs/>
                <w:color w:val="000000"/>
                <w:sz w:val="22"/>
                <w:szCs w:val="22"/>
              </w:rPr>
              <w:t>1.4</w:t>
            </w:r>
          </w:p>
        </w:tc>
        <w:tc>
          <w:tcPr>
            <w:tcW w:w="1012" w:type="dxa"/>
            <w:tcBorders>
              <w:top w:val="nil"/>
              <w:left w:val="nil"/>
              <w:bottom w:val="nil"/>
              <w:right w:val="nil"/>
            </w:tcBorders>
            <w:shd w:val="clear" w:color="auto" w:fill="auto"/>
            <w:noWrap/>
            <w:vAlign w:val="bottom"/>
            <w:hideMark/>
          </w:tcPr>
          <w:p w:rsidR="00D73B3D" w:rsidRPr="00D73B3D" w:rsidRDefault="0098219C" w:rsidP="00D73B3D">
            <w:pPr>
              <w:spacing w:before="0" w:after="0"/>
              <w:jc w:val="right"/>
              <w:rPr>
                <w:color w:val="000000"/>
                <w:sz w:val="22"/>
                <w:szCs w:val="22"/>
              </w:rPr>
            </w:pPr>
            <w:r>
              <w:rPr>
                <w:color w:val="000000"/>
                <w:sz w:val="22"/>
                <w:szCs w:val="22"/>
              </w:rPr>
              <w:t>638</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0.2</w:t>
            </w:r>
          </w:p>
        </w:tc>
        <w:tc>
          <w:tcPr>
            <w:tcW w:w="1012" w:type="dxa"/>
            <w:tcBorders>
              <w:top w:val="nil"/>
              <w:left w:val="nil"/>
              <w:bottom w:val="nil"/>
              <w:right w:val="nil"/>
            </w:tcBorders>
            <w:shd w:val="clear" w:color="auto" w:fill="auto"/>
            <w:noWrap/>
            <w:vAlign w:val="bottom"/>
            <w:hideMark/>
          </w:tcPr>
          <w:p w:rsidR="00D73B3D" w:rsidRPr="00D73B3D" w:rsidRDefault="0098219C" w:rsidP="00D73B3D">
            <w:pPr>
              <w:spacing w:before="0" w:after="0"/>
              <w:jc w:val="right"/>
              <w:rPr>
                <w:color w:val="000000"/>
                <w:sz w:val="22"/>
                <w:szCs w:val="22"/>
              </w:rPr>
            </w:pPr>
            <w:r>
              <w:rPr>
                <w:color w:val="000000"/>
                <w:sz w:val="22"/>
                <w:szCs w:val="22"/>
              </w:rPr>
              <w:t>7,052</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0.7</w:t>
            </w:r>
          </w:p>
        </w:tc>
      </w:tr>
      <w:tr w:rsidR="00D73B3D" w:rsidRPr="000E08BD" w:rsidTr="00D73B3D">
        <w:trPr>
          <w:trHeight w:val="273"/>
        </w:trPr>
        <w:tc>
          <w:tcPr>
            <w:tcW w:w="1317" w:type="dxa"/>
            <w:tcBorders>
              <w:top w:val="nil"/>
              <w:left w:val="nil"/>
              <w:bottom w:val="nil"/>
              <w:right w:val="nil"/>
            </w:tcBorders>
            <w:shd w:val="clear" w:color="auto" w:fill="auto"/>
            <w:noWrap/>
            <w:vAlign w:val="center"/>
            <w:hideMark/>
          </w:tcPr>
          <w:p w:rsidR="00D73B3D" w:rsidRPr="00A21277" w:rsidRDefault="00D73B3D" w:rsidP="00415EE4">
            <w:pPr>
              <w:spacing w:before="0" w:after="0" w:line="240" w:lineRule="auto"/>
              <w:rPr>
                <w:color w:val="000000"/>
                <w:sz w:val="22"/>
                <w:szCs w:val="22"/>
                <w:lang w:eastAsia="en-GB"/>
              </w:rPr>
            </w:pPr>
            <w:r w:rsidRPr="00A21277">
              <w:rPr>
                <w:color w:val="000000"/>
                <w:sz w:val="22"/>
                <w:szCs w:val="22"/>
                <w:lang w:eastAsia="en-GB"/>
              </w:rPr>
              <w:t>Coal</w:t>
            </w:r>
          </w:p>
        </w:tc>
        <w:tc>
          <w:tcPr>
            <w:tcW w:w="1012" w:type="dxa"/>
            <w:tcBorders>
              <w:top w:val="nil"/>
              <w:left w:val="nil"/>
              <w:bottom w:val="nil"/>
              <w:right w:val="nil"/>
            </w:tcBorders>
            <w:shd w:val="clear" w:color="auto" w:fill="auto"/>
            <w:noWrap/>
            <w:vAlign w:val="bottom"/>
            <w:hideMark/>
          </w:tcPr>
          <w:p w:rsidR="00D73B3D" w:rsidRPr="00D73B3D" w:rsidRDefault="0098219C" w:rsidP="00D73B3D">
            <w:pPr>
              <w:spacing w:before="0" w:after="0"/>
              <w:jc w:val="right"/>
              <w:rPr>
                <w:color w:val="000000"/>
                <w:sz w:val="22"/>
                <w:szCs w:val="22"/>
              </w:rPr>
            </w:pPr>
            <w:r>
              <w:rPr>
                <w:color w:val="000000"/>
                <w:sz w:val="22"/>
                <w:szCs w:val="22"/>
              </w:rPr>
              <w:t>1,984</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0.5</w:t>
            </w:r>
          </w:p>
        </w:tc>
        <w:tc>
          <w:tcPr>
            <w:tcW w:w="1012" w:type="dxa"/>
            <w:tcBorders>
              <w:top w:val="nil"/>
              <w:left w:val="nil"/>
              <w:bottom w:val="nil"/>
              <w:right w:val="nil"/>
            </w:tcBorders>
            <w:shd w:val="clear" w:color="auto" w:fill="auto"/>
            <w:noWrap/>
            <w:vAlign w:val="bottom"/>
            <w:hideMark/>
          </w:tcPr>
          <w:p w:rsidR="00D73B3D" w:rsidRPr="00D73B3D" w:rsidRDefault="0098219C" w:rsidP="00D73B3D">
            <w:pPr>
              <w:spacing w:before="0" w:after="0"/>
              <w:jc w:val="right"/>
              <w:rPr>
                <w:color w:val="000000"/>
                <w:sz w:val="22"/>
                <w:szCs w:val="22"/>
              </w:rPr>
            </w:pPr>
            <w:r>
              <w:rPr>
                <w:color w:val="000000"/>
                <w:sz w:val="22"/>
                <w:szCs w:val="22"/>
              </w:rPr>
              <w:t>389</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0.2</w:t>
            </w:r>
          </w:p>
        </w:tc>
        <w:tc>
          <w:tcPr>
            <w:tcW w:w="1012" w:type="dxa"/>
            <w:tcBorders>
              <w:top w:val="nil"/>
              <w:left w:val="nil"/>
              <w:bottom w:val="nil"/>
              <w:right w:val="nil"/>
            </w:tcBorders>
            <w:shd w:val="clear" w:color="auto" w:fill="auto"/>
            <w:noWrap/>
            <w:vAlign w:val="bottom"/>
            <w:hideMark/>
          </w:tcPr>
          <w:p w:rsidR="00D73B3D" w:rsidRPr="00D73B3D" w:rsidRDefault="0098219C" w:rsidP="00D73B3D">
            <w:pPr>
              <w:spacing w:before="0" w:after="0"/>
              <w:jc w:val="right"/>
              <w:rPr>
                <w:color w:val="000000"/>
                <w:sz w:val="22"/>
                <w:szCs w:val="22"/>
              </w:rPr>
            </w:pPr>
            <w:r>
              <w:rPr>
                <w:color w:val="000000"/>
                <w:sz w:val="22"/>
                <w:szCs w:val="22"/>
              </w:rPr>
              <w:t>156</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0.0</w:t>
            </w:r>
          </w:p>
        </w:tc>
        <w:tc>
          <w:tcPr>
            <w:tcW w:w="1012" w:type="dxa"/>
            <w:tcBorders>
              <w:top w:val="nil"/>
              <w:left w:val="nil"/>
              <w:bottom w:val="nil"/>
              <w:right w:val="nil"/>
            </w:tcBorders>
            <w:shd w:val="clear" w:color="auto" w:fill="auto"/>
            <w:noWrap/>
            <w:vAlign w:val="bottom"/>
            <w:hideMark/>
          </w:tcPr>
          <w:p w:rsidR="00D73B3D" w:rsidRPr="00D73B3D" w:rsidRDefault="0098219C" w:rsidP="00D73B3D">
            <w:pPr>
              <w:spacing w:before="0" w:after="0"/>
              <w:jc w:val="right"/>
              <w:rPr>
                <w:color w:val="000000"/>
                <w:sz w:val="22"/>
                <w:szCs w:val="22"/>
              </w:rPr>
            </w:pPr>
            <w:r>
              <w:rPr>
                <w:color w:val="000000"/>
                <w:sz w:val="22"/>
                <w:szCs w:val="22"/>
              </w:rPr>
              <w:t>2,529</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0.3</w:t>
            </w:r>
          </w:p>
        </w:tc>
      </w:tr>
      <w:tr w:rsidR="00D73B3D" w:rsidRPr="000E08BD" w:rsidTr="00D73B3D">
        <w:trPr>
          <w:trHeight w:val="273"/>
        </w:trPr>
        <w:tc>
          <w:tcPr>
            <w:tcW w:w="1317" w:type="dxa"/>
            <w:tcBorders>
              <w:top w:val="nil"/>
              <w:left w:val="nil"/>
              <w:bottom w:val="nil"/>
              <w:right w:val="nil"/>
            </w:tcBorders>
            <w:shd w:val="clear" w:color="auto" w:fill="auto"/>
            <w:noWrap/>
            <w:vAlign w:val="center"/>
          </w:tcPr>
          <w:p w:rsidR="00D73B3D" w:rsidRPr="00A21277" w:rsidRDefault="00D73B3D" w:rsidP="00415EE4">
            <w:pPr>
              <w:spacing w:before="0" w:after="0" w:line="240" w:lineRule="auto"/>
              <w:rPr>
                <w:color w:val="000000"/>
                <w:sz w:val="22"/>
                <w:szCs w:val="22"/>
                <w:lang w:eastAsia="en-GB"/>
              </w:rPr>
            </w:pPr>
            <w:r>
              <w:rPr>
                <w:color w:val="000000"/>
                <w:sz w:val="22"/>
                <w:szCs w:val="22"/>
                <w:lang w:eastAsia="en-GB"/>
              </w:rPr>
              <w:t>Renewable</w:t>
            </w:r>
          </w:p>
        </w:tc>
        <w:tc>
          <w:tcPr>
            <w:tcW w:w="1012" w:type="dxa"/>
            <w:tcBorders>
              <w:top w:val="nil"/>
              <w:left w:val="nil"/>
              <w:bottom w:val="nil"/>
              <w:right w:val="nil"/>
            </w:tcBorders>
            <w:shd w:val="clear" w:color="auto" w:fill="auto"/>
            <w:noWrap/>
            <w:vAlign w:val="bottom"/>
          </w:tcPr>
          <w:p w:rsidR="00D73B3D" w:rsidRPr="00D73B3D" w:rsidRDefault="00D73B3D" w:rsidP="00D73B3D">
            <w:pPr>
              <w:spacing w:before="0" w:after="0"/>
              <w:jc w:val="right"/>
              <w:rPr>
                <w:color w:val="000000"/>
                <w:sz w:val="22"/>
                <w:szCs w:val="22"/>
              </w:rPr>
            </w:pPr>
            <w:r w:rsidRPr="00D73B3D">
              <w:rPr>
                <w:color w:val="000000"/>
                <w:sz w:val="22"/>
                <w:szCs w:val="22"/>
              </w:rPr>
              <w:t>877</w:t>
            </w:r>
          </w:p>
        </w:tc>
        <w:tc>
          <w:tcPr>
            <w:tcW w:w="1342" w:type="dxa"/>
            <w:tcBorders>
              <w:top w:val="nil"/>
              <w:left w:val="nil"/>
              <w:bottom w:val="nil"/>
              <w:right w:val="nil"/>
            </w:tcBorders>
            <w:shd w:val="clear" w:color="000000" w:fill="FFFFFF"/>
            <w:vAlign w:val="bottom"/>
          </w:tcPr>
          <w:p w:rsidR="00D73B3D" w:rsidRPr="00D73B3D" w:rsidRDefault="00D73B3D" w:rsidP="00D73B3D">
            <w:pPr>
              <w:spacing w:before="0" w:after="0"/>
              <w:jc w:val="right"/>
              <w:rPr>
                <w:i/>
                <w:iCs/>
                <w:color w:val="000000"/>
                <w:sz w:val="22"/>
                <w:szCs w:val="22"/>
              </w:rPr>
            </w:pPr>
            <w:r w:rsidRPr="00D73B3D">
              <w:rPr>
                <w:i/>
                <w:iCs/>
                <w:color w:val="000000"/>
                <w:sz w:val="22"/>
                <w:szCs w:val="22"/>
              </w:rPr>
              <w:t>0.2</w:t>
            </w:r>
          </w:p>
        </w:tc>
        <w:tc>
          <w:tcPr>
            <w:tcW w:w="1012" w:type="dxa"/>
            <w:tcBorders>
              <w:top w:val="nil"/>
              <w:left w:val="nil"/>
              <w:bottom w:val="nil"/>
              <w:right w:val="nil"/>
            </w:tcBorders>
            <w:shd w:val="clear" w:color="auto" w:fill="auto"/>
            <w:noWrap/>
            <w:vAlign w:val="bottom"/>
          </w:tcPr>
          <w:p w:rsidR="00D73B3D" w:rsidRPr="00D73B3D" w:rsidRDefault="0098219C" w:rsidP="00D73B3D">
            <w:pPr>
              <w:spacing w:before="0" w:after="0"/>
              <w:jc w:val="right"/>
              <w:rPr>
                <w:color w:val="000000"/>
                <w:sz w:val="22"/>
                <w:szCs w:val="22"/>
              </w:rPr>
            </w:pPr>
            <w:r>
              <w:rPr>
                <w:color w:val="000000"/>
                <w:sz w:val="22"/>
                <w:szCs w:val="22"/>
              </w:rPr>
              <w:t>625</w:t>
            </w:r>
          </w:p>
        </w:tc>
        <w:tc>
          <w:tcPr>
            <w:tcW w:w="1342" w:type="dxa"/>
            <w:tcBorders>
              <w:top w:val="nil"/>
              <w:left w:val="nil"/>
              <w:bottom w:val="nil"/>
              <w:right w:val="nil"/>
            </w:tcBorders>
            <w:shd w:val="clear" w:color="000000" w:fill="FFFFFF"/>
            <w:vAlign w:val="bottom"/>
          </w:tcPr>
          <w:p w:rsidR="00D73B3D" w:rsidRPr="00D73B3D" w:rsidRDefault="0098219C" w:rsidP="00D73B3D">
            <w:pPr>
              <w:spacing w:before="0" w:after="0"/>
              <w:jc w:val="right"/>
              <w:rPr>
                <w:i/>
                <w:iCs/>
                <w:color w:val="000000"/>
                <w:sz w:val="22"/>
                <w:szCs w:val="22"/>
              </w:rPr>
            </w:pPr>
            <w:r>
              <w:rPr>
                <w:i/>
                <w:iCs/>
                <w:color w:val="000000"/>
                <w:sz w:val="22"/>
                <w:szCs w:val="22"/>
              </w:rPr>
              <w:t>0.3</w:t>
            </w:r>
          </w:p>
        </w:tc>
        <w:tc>
          <w:tcPr>
            <w:tcW w:w="1012" w:type="dxa"/>
            <w:tcBorders>
              <w:top w:val="nil"/>
              <w:left w:val="nil"/>
              <w:bottom w:val="nil"/>
              <w:right w:val="nil"/>
            </w:tcBorders>
            <w:shd w:val="clear" w:color="auto" w:fill="auto"/>
            <w:noWrap/>
            <w:vAlign w:val="bottom"/>
          </w:tcPr>
          <w:p w:rsidR="00D73B3D" w:rsidRPr="00D73B3D" w:rsidRDefault="00D73B3D" w:rsidP="00D73B3D">
            <w:pPr>
              <w:spacing w:before="0" w:after="0"/>
              <w:jc w:val="right"/>
              <w:rPr>
                <w:color w:val="000000"/>
                <w:sz w:val="22"/>
                <w:szCs w:val="22"/>
              </w:rPr>
            </w:pPr>
            <w:r w:rsidRPr="00D73B3D">
              <w:rPr>
                <w:color w:val="000000"/>
                <w:sz w:val="22"/>
                <w:szCs w:val="22"/>
              </w:rPr>
              <w:t>0</w:t>
            </w:r>
          </w:p>
        </w:tc>
        <w:tc>
          <w:tcPr>
            <w:tcW w:w="1342" w:type="dxa"/>
            <w:tcBorders>
              <w:top w:val="nil"/>
              <w:left w:val="nil"/>
              <w:bottom w:val="nil"/>
              <w:right w:val="nil"/>
            </w:tcBorders>
            <w:shd w:val="clear" w:color="000000" w:fill="FFFFFF"/>
            <w:vAlign w:val="bottom"/>
          </w:tcPr>
          <w:p w:rsidR="00D73B3D" w:rsidRPr="00D73B3D" w:rsidRDefault="00D73B3D" w:rsidP="00D73B3D">
            <w:pPr>
              <w:spacing w:before="0" w:after="0"/>
              <w:jc w:val="right"/>
              <w:rPr>
                <w:i/>
                <w:iCs/>
                <w:color w:val="000000"/>
                <w:sz w:val="22"/>
                <w:szCs w:val="22"/>
              </w:rPr>
            </w:pPr>
            <w:r w:rsidRPr="00D73B3D">
              <w:rPr>
                <w:i/>
                <w:iCs/>
                <w:color w:val="000000"/>
                <w:sz w:val="22"/>
                <w:szCs w:val="22"/>
              </w:rPr>
              <w:t>0.0</w:t>
            </w:r>
          </w:p>
        </w:tc>
        <w:tc>
          <w:tcPr>
            <w:tcW w:w="1012" w:type="dxa"/>
            <w:tcBorders>
              <w:top w:val="nil"/>
              <w:left w:val="nil"/>
              <w:bottom w:val="nil"/>
              <w:right w:val="nil"/>
            </w:tcBorders>
            <w:shd w:val="clear" w:color="auto" w:fill="auto"/>
            <w:noWrap/>
            <w:vAlign w:val="bottom"/>
          </w:tcPr>
          <w:p w:rsidR="00D73B3D" w:rsidRPr="00D73B3D" w:rsidRDefault="0098219C" w:rsidP="00D73B3D">
            <w:pPr>
              <w:spacing w:before="0" w:after="0"/>
              <w:jc w:val="right"/>
              <w:rPr>
                <w:color w:val="000000"/>
                <w:sz w:val="22"/>
                <w:szCs w:val="22"/>
              </w:rPr>
            </w:pPr>
            <w:r>
              <w:rPr>
                <w:color w:val="000000"/>
                <w:sz w:val="22"/>
                <w:szCs w:val="22"/>
              </w:rPr>
              <w:t>1,502</w:t>
            </w:r>
          </w:p>
        </w:tc>
        <w:tc>
          <w:tcPr>
            <w:tcW w:w="1342" w:type="dxa"/>
            <w:tcBorders>
              <w:top w:val="nil"/>
              <w:left w:val="nil"/>
              <w:bottom w:val="nil"/>
              <w:right w:val="nil"/>
            </w:tcBorders>
            <w:shd w:val="clear" w:color="000000" w:fill="FFFFFF"/>
            <w:vAlign w:val="bottom"/>
          </w:tcPr>
          <w:p w:rsidR="00D73B3D" w:rsidRPr="00D73B3D" w:rsidRDefault="00D73B3D" w:rsidP="00D73B3D">
            <w:pPr>
              <w:spacing w:before="0" w:after="0"/>
              <w:jc w:val="right"/>
              <w:rPr>
                <w:i/>
                <w:iCs/>
                <w:color w:val="000000"/>
                <w:sz w:val="22"/>
                <w:szCs w:val="22"/>
              </w:rPr>
            </w:pPr>
            <w:r w:rsidRPr="00D73B3D">
              <w:rPr>
                <w:i/>
                <w:iCs/>
                <w:color w:val="000000"/>
                <w:sz w:val="22"/>
                <w:szCs w:val="22"/>
              </w:rPr>
              <w:t>0.2</w:t>
            </w:r>
          </w:p>
        </w:tc>
      </w:tr>
      <w:tr w:rsidR="00D73B3D" w:rsidRPr="000E08BD" w:rsidTr="00D73B3D">
        <w:trPr>
          <w:trHeight w:val="273"/>
        </w:trPr>
        <w:tc>
          <w:tcPr>
            <w:tcW w:w="1317" w:type="dxa"/>
            <w:tcBorders>
              <w:top w:val="nil"/>
              <w:left w:val="nil"/>
              <w:bottom w:val="nil"/>
              <w:right w:val="nil"/>
            </w:tcBorders>
            <w:shd w:val="clear" w:color="auto" w:fill="auto"/>
            <w:noWrap/>
            <w:vAlign w:val="center"/>
            <w:hideMark/>
          </w:tcPr>
          <w:p w:rsidR="00D73B3D" w:rsidRPr="00A21277" w:rsidRDefault="00D73B3D" w:rsidP="00415EE4">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 </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 </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 </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 </w:t>
            </w:r>
          </w:p>
        </w:tc>
      </w:tr>
      <w:tr w:rsidR="00D73B3D" w:rsidRPr="000E08BD" w:rsidTr="00D73B3D">
        <w:trPr>
          <w:trHeight w:val="273"/>
        </w:trPr>
        <w:tc>
          <w:tcPr>
            <w:tcW w:w="1317" w:type="dxa"/>
            <w:tcBorders>
              <w:top w:val="nil"/>
              <w:left w:val="nil"/>
              <w:bottom w:val="nil"/>
              <w:right w:val="nil"/>
            </w:tcBorders>
            <w:shd w:val="clear" w:color="auto" w:fill="auto"/>
            <w:noWrap/>
            <w:vAlign w:val="center"/>
            <w:hideMark/>
          </w:tcPr>
          <w:p w:rsidR="00D73B3D" w:rsidRPr="00A21277" w:rsidRDefault="00D73B3D" w:rsidP="00415EE4">
            <w:pPr>
              <w:spacing w:before="0" w:after="0" w:line="240" w:lineRule="auto"/>
              <w:rPr>
                <w:color w:val="000000"/>
                <w:sz w:val="22"/>
                <w:szCs w:val="22"/>
                <w:lang w:eastAsia="en-GB"/>
              </w:rPr>
            </w:pPr>
            <w:r w:rsidRPr="00A21277">
              <w:rPr>
                <w:color w:val="000000"/>
                <w:sz w:val="22"/>
                <w:szCs w:val="22"/>
                <w:lang w:eastAsia="en-GB"/>
              </w:rPr>
              <w:t>Unknown</w:t>
            </w:r>
          </w:p>
        </w:tc>
        <w:tc>
          <w:tcPr>
            <w:tcW w:w="101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93</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w:t>
            </w:r>
          </w:p>
        </w:tc>
        <w:tc>
          <w:tcPr>
            <w:tcW w:w="101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5</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w:t>
            </w:r>
          </w:p>
        </w:tc>
        <w:tc>
          <w:tcPr>
            <w:tcW w:w="101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281</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379</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w:t>
            </w:r>
          </w:p>
        </w:tc>
      </w:tr>
      <w:tr w:rsidR="00D73B3D" w:rsidRPr="000E08BD" w:rsidTr="00D73B3D">
        <w:trPr>
          <w:trHeight w:val="273"/>
        </w:trPr>
        <w:tc>
          <w:tcPr>
            <w:tcW w:w="1317" w:type="dxa"/>
            <w:tcBorders>
              <w:top w:val="nil"/>
              <w:left w:val="nil"/>
              <w:bottom w:val="nil"/>
              <w:right w:val="nil"/>
            </w:tcBorders>
            <w:shd w:val="clear" w:color="auto" w:fill="auto"/>
            <w:noWrap/>
            <w:vAlign w:val="bottom"/>
            <w:hideMark/>
          </w:tcPr>
          <w:p w:rsidR="00D73B3D" w:rsidRPr="00A21277" w:rsidRDefault="00D73B3D" w:rsidP="00415EE4">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 </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 </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 </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 </w:t>
            </w:r>
          </w:p>
        </w:tc>
      </w:tr>
      <w:tr w:rsidR="00D73B3D" w:rsidRPr="000E08BD" w:rsidTr="00D73B3D">
        <w:trPr>
          <w:trHeight w:val="285"/>
        </w:trPr>
        <w:tc>
          <w:tcPr>
            <w:tcW w:w="1317" w:type="dxa"/>
            <w:tcBorders>
              <w:top w:val="nil"/>
              <w:left w:val="nil"/>
              <w:bottom w:val="single" w:sz="4" w:space="0" w:color="auto"/>
              <w:right w:val="nil"/>
            </w:tcBorders>
            <w:shd w:val="clear" w:color="000000" w:fill="FFFFFF"/>
            <w:noWrap/>
            <w:vAlign w:val="bottom"/>
            <w:hideMark/>
          </w:tcPr>
          <w:p w:rsidR="00D73B3D" w:rsidRPr="00A21277" w:rsidRDefault="00D73B3D" w:rsidP="00415EE4">
            <w:pPr>
              <w:spacing w:before="0" w:after="0" w:line="240" w:lineRule="auto"/>
              <w:rPr>
                <w:b/>
                <w:bCs/>
                <w:color w:val="000000"/>
                <w:sz w:val="22"/>
                <w:szCs w:val="22"/>
                <w:lang w:eastAsia="en-GB"/>
              </w:rPr>
            </w:pPr>
            <w:r w:rsidRPr="00A21277">
              <w:rPr>
                <w:b/>
                <w:bCs/>
                <w:color w:val="000000"/>
                <w:sz w:val="22"/>
                <w:szCs w:val="22"/>
                <w:lang w:eastAsia="en-GB"/>
              </w:rPr>
              <w:t>Total</w:t>
            </w:r>
          </w:p>
        </w:tc>
        <w:tc>
          <w:tcPr>
            <w:tcW w:w="1012" w:type="dxa"/>
            <w:tcBorders>
              <w:top w:val="nil"/>
              <w:left w:val="nil"/>
              <w:bottom w:val="single" w:sz="4" w:space="0" w:color="auto"/>
              <w:right w:val="nil"/>
            </w:tcBorders>
            <w:shd w:val="clear" w:color="auto" w:fill="auto"/>
            <w:noWrap/>
            <w:vAlign w:val="bottom"/>
            <w:hideMark/>
          </w:tcPr>
          <w:p w:rsidR="00D73B3D" w:rsidRPr="00D73B3D" w:rsidRDefault="0098219C" w:rsidP="00D73B3D">
            <w:pPr>
              <w:spacing w:before="0" w:after="0"/>
              <w:jc w:val="right"/>
              <w:rPr>
                <w:b/>
                <w:bCs/>
                <w:color w:val="000000"/>
                <w:sz w:val="22"/>
                <w:szCs w:val="22"/>
              </w:rPr>
            </w:pPr>
            <w:r>
              <w:rPr>
                <w:b/>
                <w:bCs/>
                <w:color w:val="000000"/>
                <w:sz w:val="22"/>
                <w:szCs w:val="22"/>
              </w:rPr>
              <w:t>379,377</w:t>
            </w:r>
          </w:p>
        </w:tc>
        <w:tc>
          <w:tcPr>
            <w:tcW w:w="1342" w:type="dxa"/>
            <w:tcBorders>
              <w:top w:val="nil"/>
              <w:left w:val="nil"/>
              <w:bottom w:val="single" w:sz="4" w:space="0" w:color="auto"/>
              <w:right w:val="nil"/>
            </w:tcBorders>
            <w:shd w:val="clear" w:color="auto" w:fill="auto"/>
            <w:noWrap/>
            <w:vAlign w:val="bottom"/>
            <w:hideMark/>
          </w:tcPr>
          <w:p w:rsidR="00D73B3D" w:rsidRPr="00D73B3D" w:rsidRDefault="00D73B3D" w:rsidP="00D73B3D">
            <w:pPr>
              <w:spacing w:before="0" w:after="0"/>
              <w:jc w:val="right"/>
              <w:rPr>
                <w:b/>
                <w:bCs/>
                <w:i/>
                <w:iCs/>
                <w:color w:val="000000"/>
                <w:sz w:val="22"/>
                <w:szCs w:val="22"/>
              </w:rPr>
            </w:pPr>
            <w:r w:rsidRPr="00D73B3D">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hideMark/>
          </w:tcPr>
          <w:p w:rsidR="00D73B3D" w:rsidRPr="00D73B3D" w:rsidRDefault="0098219C" w:rsidP="00D73B3D">
            <w:pPr>
              <w:spacing w:before="0" w:after="0"/>
              <w:jc w:val="right"/>
              <w:rPr>
                <w:b/>
                <w:bCs/>
                <w:color w:val="000000"/>
                <w:sz w:val="22"/>
                <w:szCs w:val="22"/>
              </w:rPr>
            </w:pPr>
            <w:r>
              <w:rPr>
                <w:b/>
                <w:bCs/>
                <w:color w:val="000000"/>
                <w:sz w:val="22"/>
                <w:szCs w:val="22"/>
              </w:rPr>
              <w:t>205,582</w:t>
            </w:r>
          </w:p>
        </w:tc>
        <w:tc>
          <w:tcPr>
            <w:tcW w:w="1342" w:type="dxa"/>
            <w:tcBorders>
              <w:top w:val="nil"/>
              <w:left w:val="nil"/>
              <w:bottom w:val="single" w:sz="4" w:space="0" w:color="auto"/>
              <w:right w:val="nil"/>
            </w:tcBorders>
            <w:shd w:val="clear" w:color="auto" w:fill="auto"/>
            <w:noWrap/>
            <w:vAlign w:val="bottom"/>
            <w:hideMark/>
          </w:tcPr>
          <w:p w:rsidR="00D73B3D" w:rsidRPr="00D73B3D" w:rsidRDefault="00D73B3D" w:rsidP="00D73B3D">
            <w:pPr>
              <w:spacing w:before="0" w:after="0"/>
              <w:jc w:val="right"/>
              <w:rPr>
                <w:b/>
                <w:bCs/>
                <w:i/>
                <w:iCs/>
                <w:color w:val="000000"/>
                <w:sz w:val="22"/>
                <w:szCs w:val="22"/>
              </w:rPr>
            </w:pPr>
            <w:r w:rsidRPr="00D73B3D">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hideMark/>
          </w:tcPr>
          <w:p w:rsidR="00D73B3D" w:rsidRPr="00D73B3D" w:rsidRDefault="0098219C" w:rsidP="00D73B3D">
            <w:pPr>
              <w:spacing w:before="0" w:after="0"/>
              <w:jc w:val="right"/>
              <w:rPr>
                <w:b/>
                <w:bCs/>
                <w:color w:val="000000"/>
                <w:sz w:val="22"/>
                <w:szCs w:val="22"/>
              </w:rPr>
            </w:pPr>
            <w:r>
              <w:rPr>
                <w:b/>
                <w:bCs/>
                <w:color w:val="000000"/>
                <w:sz w:val="22"/>
                <w:szCs w:val="22"/>
              </w:rPr>
              <w:t>379,442</w:t>
            </w:r>
          </w:p>
        </w:tc>
        <w:tc>
          <w:tcPr>
            <w:tcW w:w="1342" w:type="dxa"/>
            <w:tcBorders>
              <w:top w:val="nil"/>
              <w:left w:val="nil"/>
              <w:bottom w:val="single" w:sz="4" w:space="0" w:color="auto"/>
              <w:right w:val="nil"/>
            </w:tcBorders>
            <w:shd w:val="clear" w:color="auto" w:fill="auto"/>
            <w:noWrap/>
            <w:vAlign w:val="bottom"/>
            <w:hideMark/>
          </w:tcPr>
          <w:p w:rsidR="00D73B3D" w:rsidRPr="00D73B3D" w:rsidRDefault="00D73B3D" w:rsidP="00D73B3D">
            <w:pPr>
              <w:spacing w:before="0" w:after="0"/>
              <w:jc w:val="right"/>
              <w:rPr>
                <w:b/>
                <w:bCs/>
                <w:i/>
                <w:iCs/>
                <w:color w:val="000000"/>
                <w:sz w:val="22"/>
                <w:szCs w:val="22"/>
              </w:rPr>
            </w:pPr>
            <w:r w:rsidRPr="00D73B3D">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hideMark/>
          </w:tcPr>
          <w:p w:rsidR="00D73B3D" w:rsidRPr="00D73B3D" w:rsidRDefault="0098219C" w:rsidP="00D73B3D">
            <w:pPr>
              <w:spacing w:before="0" w:after="0"/>
              <w:jc w:val="right"/>
              <w:rPr>
                <w:b/>
                <w:bCs/>
                <w:color w:val="000000"/>
                <w:sz w:val="22"/>
                <w:szCs w:val="22"/>
              </w:rPr>
            </w:pPr>
            <w:r>
              <w:rPr>
                <w:b/>
                <w:bCs/>
                <w:color w:val="000000"/>
                <w:sz w:val="22"/>
                <w:szCs w:val="22"/>
              </w:rPr>
              <w:t>964,401</w:t>
            </w:r>
          </w:p>
        </w:tc>
        <w:tc>
          <w:tcPr>
            <w:tcW w:w="1342" w:type="dxa"/>
            <w:tcBorders>
              <w:top w:val="nil"/>
              <w:left w:val="nil"/>
              <w:bottom w:val="single" w:sz="4" w:space="0" w:color="auto"/>
              <w:right w:val="nil"/>
            </w:tcBorders>
            <w:shd w:val="clear" w:color="auto" w:fill="auto"/>
            <w:noWrap/>
            <w:vAlign w:val="bottom"/>
            <w:hideMark/>
          </w:tcPr>
          <w:p w:rsidR="00D73B3D" w:rsidRPr="00D73B3D" w:rsidRDefault="00D73B3D" w:rsidP="00D73B3D">
            <w:pPr>
              <w:spacing w:before="0" w:after="0"/>
              <w:jc w:val="right"/>
              <w:rPr>
                <w:b/>
                <w:bCs/>
                <w:i/>
                <w:iCs/>
                <w:color w:val="000000"/>
                <w:sz w:val="22"/>
                <w:szCs w:val="22"/>
              </w:rPr>
            </w:pPr>
            <w:r w:rsidRPr="00D73B3D">
              <w:rPr>
                <w:b/>
                <w:bCs/>
                <w:i/>
                <w:iCs/>
                <w:color w:val="000000"/>
                <w:sz w:val="22"/>
                <w:szCs w:val="22"/>
              </w:rPr>
              <w:t>100</w:t>
            </w:r>
          </w:p>
        </w:tc>
      </w:tr>
    </w:tbl>
    <w:p w:rsidR="00415EE4" w:rsidRPr="003D6AAC" w:rsidRDefault="00415EE4" w:rsidP="00D73B3D">
      <w:pPr>
        <w:spacing w:after="0" w:line="270" w:lineRule="atLeast"/>
        <w:jc w:val="both"/>
        <w:rPr>
          <w:bCs/>
          <w:sz w:val="21"/>
          <w:szCs w:val="21"/>
        </w:rPr>
      </w:pPr>
      <w:r w:rsidRPr="003D6AAC">
        <w:rPr>
          <w:bCs/>
          <w:sz w:val="21"/>
          <w:szCs w:val="21"/>
          <w:vertAlign w:val="superscript"/>
        </w:rPr>
        <w:t>1</w:t>
      </w:r>
      <w:r w:rsidRPr="003D6AAC">
        <w:rPr>
          <w:bCs/>
          <w:sz w:val="21"/>
          <w:szCs w:val="21"/>
        </w:rPr>
        <w:t xml:space="preserve"> Percentage of ECO measures delivered is calculated only for those ECO measures where the</w:t>
      </w:r>
      <w:r w:rsidR="00A21277" w:rsidRPr="003D6AAC">
        <w:rPr>
          <w:bCs/>
          <w:sz w:val="21"/>
          <w:szCs w:val="21"/>
        </w:rPr>
        <w:t xml:space="preserve"> fuel type</w:t>
      </w:r>
      <w:r w:rsidRPr="003D6AAC">
        <w:rPr>
          <w:bCs/>
          <w:sz w:val="21"/>
          <w:szCs w:val="21"/>
        </w:rPr>
        <w:t xml:space="preserve"> is known.</w:t>
      </w:r>
    </w:p>
    <w:p w:rsidR="00415EE4" w:rsidRPr="003D6AAC" w:rsidRDefault="00415EE4" w:rsidP="00415EE4">
      <w:pPr>
        <w:spacing w:before="0" w:after="0" w:line="270" w:lineRule="atLeast"/>
        <w:jc w:val="both"/>
        <w:rPr>
          <w:bCs/>
          <w:sz w:val="21"/>
          <w:szCs w:val="21"/>
        </w:rPr>
      </w:pPr>
      <w:r w:rsidRPr="003D6AAC">
        <w:rPr>
          <w:bCs/>
          <w:sz w:val="21"/>
          <w:szCs w:val="21"/>
          <w:vertAlign w:val="superscript"/>
        </w:rPr>
        <w:t>2</w:t>
      </w:r>
      <w:r w:rsidRPr="003D6AAC">
        <w:rPr>
          <w:bCs/>
          <w:sz w:val="21"/>
          <w:szCs w:val="21"/>
        </w:rPr>
        <w:t xml:space="preserve"> "Other" fuel </w:t>
      </w:r>
      <w:proofErr w:type="gramStart"/>
      <w:r w:rsidRPr="003D6AAC">
        <w:rPr>
          <w:bCs/>
          <w:sz w:val="21"/>
          <w:szCs w:val="21"/>
        </w:rPr>
        <w:t>type</w:t>
      </w:r>
      <w:proofErr w:type="gramEnd"/>
      <w:r w:rsidRPr="003D6AAC">
        <w:rPr>
          <w:bCs/>
          <w:sz w:val="21"/>
          <w:szCs w:val="21"/>
        </w:rPr>
        <w:t xml:space="preserve"> includes District Heating S</w:t>
      </w:r>
      <w:r w:rsidR="00BF6EAA" w:rsidRPr="003D6AAC">
        <w:rPr>
          <w:bCs/>
          <w:sz w:val="21"/>
          <w:szCs w:val="21"/>
        </w:rPr>
        <w:t>ystems and Liquefied Petroleum Gas.</w:t>
      </w:r>
    </w:p>
    <w:p w:rsidR="00B42728" w:rsidRPr="00466C75" w:rsidRDefault="00B42728" w:rsidP="00415EE4">
      <w:pPr>
        <w:spacing w:before="0" w:after="0" w:line="270" w:lineRule="atLeast"/>
        <w:jc w:val="both"/>
        <w:rPr>
          <w:bCs/>
          <w:szCs w:val="24"/>
        </w:rPr>
      </w:pPr>
    </w:p>
    <w:p w:rsidR="00C81928" w:rsidRDefault="00C81928" w:rsidP="00101615">
      <w:pPr>
        <w:spacing w:before="0" w:after="0" w:line="270" w:lineRule="atLeast"/>
        <w:rPr>
          <w:b/>
          <w:bCs/>
        </w:rPr>
      </w:pPr>
    </w:p>
    <w:p w:rsidR="00101615" w:rsidRPr="00A21277" w:rsidRDefault="00C351B2" w:rsidP="004F2454">
      <w:pPr>
        <w:spacing w:before="0" w:after="0" w:line="270" w:lineRule="atLeast"/>
        <w:jc w:val="both"/>
        <w:rPr>
          <w:b/>
          <w:bCs/>
        </w:rPr>
      </w:pPr>
      <w:r w:rsidRPr="00C3506F">
        <w:rPr>
          <w:b/>
          <w:bCs/>
        </w:rPr>
        <w:t>Table 1.12</w:t>
      </w:r>
      <w:r w:rsidR="00101615" w:rsidRPr="00C3506F">
        <w:rPr>
          <w:b/>
          <w:bCs/>
        </w:rPr>
        <w:t xml:space="preserve">a: Provisional number of households in receipt of ECO measures by property type and ECO obligation, up to </w:t>
      </w:r>
      <w:r w:rsidR="007E138E" w:rsidRPr="00C3506F">
        <w:rPr>
          <w:b/>
          <w:bCs/>
        </w:rPr>
        <w:t xml:space="preserve">30th </w:t>
      </w:r>
      <w:r w:rsidR="00D1378A" w:rsidRPr="00C3506F">
        <w:rPr>
          <w:b/>
          <w:bCs/>
        </w:rPr>
        <w:t>September</w:t>
      </w:r>
      <w:r w:rsidR="002F723B" w:rsidRPr="00C3506F">
        <w:rPr>
          <w:b/>
          <w:bCs/>
        </w:rPr>
        <w:t xml:space="preserve"> 2014</w:t>
      </w:r>
      <w:r w:rsidR="00101615" w:rsidRPr="00C3506F">
        <w:rPr>
          <w:b/>
          <w:bCs/>
          <w:vertAlign w:val="superscript"/>
        </w:rPr>
        <w:t>1</w:t>
      </w:r>
      <w:proofErr w:type="gramStart"/>
      <w:r w:rsidR="000E08BD" w:rsidRPr="00C3506F">
        <w:rPr>
          <w:b/>
          <w:bCs/>
          <w:vertAlign w:val="superscript"/>
        </w:rPr>
        <w:t>,2</w:t>
      </w:r>
      <w:proofErr w:type="gramEnd"/>
    </w:p>
    <w:tbl>
      <w:tblPr>
        <w:tblW w:w="10709" w:type="dxa"/>
        <w:tblInd w:w="-34" w:type="dxa"/>
        <w:tblLook w:val="04A0" w:firstRow="1" w:lastRow="0" w:firstColumn="1" w:lastColumn="0" w:noHBand="0" w:noVBand="1"/>
      </w:tblPr>
      <w:tblGrid>
        <w:gridCol w:w="1293"/>
        <w:gridCol w:w="1012"/>
        <w:gridCol w:w="1342"/>
        <w:gridCol w:w="1012"/>
        <w:gridCol w:w="1342"/>
        <w:gridCol w:w="1012"/>
        <w:gridCol w:w="1342"/>
        <w:gridCol w:w="1012"/>
        <w:gridCol w:w="1342"/>
      </w:tblGrid>
      <w:tr w:rsidR="00101615" w:rsidRPr="00A21277" w:rsidTr="00C32E60">
        <w:trPr>
          <w:trHeight w:val="273"/>
        </w:trPr>
        <w:tc>
          <w:tcPr>
            <w:tcW w:w="1293"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101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r>
      <w:tr w:rsidR="00101615" w:rsidRPr="00A21277" w:rsidTr="00C32E60">
        <w:trPr>
          <w:trHeight w:val="273"/>
        </w:trPr>
        <w:tc>
          <w:tcPr>
            <w:tcW w:w="1293" w:type="dxa"/>
            <w:tcBorders>
              <w:top w:val="single" w:sz="4" w:space="0" w:color="auto"/>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3366" w:type="dxa"/>
            <w:gridSpan w:val="3"/>
            <w:tcBorders>
              <w:top w:val="single" w:sz="4" w:space="0" w:color="auto"/>
              <w:left w:val="nil"/>
              <w:bottom w:val="single" w:sz="4" w:space="0" w:color="auto"/>
              <w:right w:val="nil"/>
            </w:tcBorders>
            <w:shd w:val="clear" w:color="000000" w:fill="FFFFFF"/>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Obligation</w:t>
            </w:r>
          </w:p>
        </w:tc>
        <w:tc>
          <w:tcPr>
            <w:tcW w:w="134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2354" w:type="dxa"/>
            <w:gridSpan w:val="2"/>
            <w:vMerge w:val="restart"/>
            <w:tcBorders>
              <w:top w:val="nil"/>
              <w:left w:val="nil"/>
              <w:bottom w:val="single" w:sz="4" w:space="0" w:color="000000"/>
              <w:right w:val="nil"/>
            </w:tcBorders>
            <w:shd w:val="clear" w:color="000000" w:fill="FFFFFF"/>
            <w:vAlign w:val="bottom"/>
            <w:hideMark/>
          </w:tcPr>
          <w:p w:rsidR="00101615" w:rsidRPr="00A21277" w:rsidRDefault="000E08BD" w:rsidP="00466C75">
            <w:pPr>
              <w:spacing w:before="0" w:after="0" w:line="240" w:lineRule="auto"/>
              <w:jc w:val="center"/>
              <w:rPr>
                <w:color w:val="000000"/>
                <w:sz w:val="22"/>
                <w:szCs w:val="22"/>
                <w:lang w:eastAsia="en-GB"/>
              </w:rPr>
            </w:pPr>
            <w:r w:rsidRPr="000E08BD">
              <w:rPr>
                <w:color w:val="000000"/>
                <w:sz w:val="22"/>
                <w:szCs w:val="22"/>
                <w:lang w:eastAsia="en-GB"/>
              </w:rPr>
              <w:t>Total number of households in receipt of ECO measures</w:t>
            </w:r>
          </w:p>
        </w:tc>
      </w:tr>
      <w:tr w:rsidR="00101615" w:rsidRPr="00A21277" w:rsidTr="001448FE">
        <w:trPr>
          <w:trHeight w:val="657"/>
        </w:trPr>
        <w:tc>
          <w:tcPr>
            <w:tcW w:w="1293" w:type="dxa"/>
            <w:vMerge w:val="restart"/>
            <w:tcBorders>
              <w:top w:val="nil"/>
              <w:left w:val="nil"/>
              <w:bottom w:val="single" w:sz="4" w:space="0" w:color="000000"/>
              <w:right w:val="nil"/>
            </w:tcBorders>
            <w:shd w:val="clear" w:color="auto" w:fill="auto"/>
            <w:noWrap/>
            <w:vAlign w:val="center"/>
            <w:hideMark/>
          </w:tcPr>
          <w:p w:rsidR="00101615" w:rsidRPr="00A21277" w:rsidRDefault="00247DB2" w:rsidP="00466C75">
            <w:pPr>
              <w:spacing w:before="0" w:after="0" w:line="240" w:lineRule="auto"/>
              <w:rPr>
                <w:color w:val="000000"/>
                <w:sz w:val="22"/>
                <w:szCs w:val="22"/>
                <w:lang w:eastAsia="en-GB"/>
              </w:rPr>
            </w:pPr>
            <w:r>
              <w:rPr>
                <w:color w:val="000000"/>
                <w:sz w:val="22"/>
                <w:szCs w:val="22"/>
                <w:lang w:eastAsia="en-GB"/>
              </w:rPr>
              <w:t xml:space="preserve">Property </w:t>
            </w:r>
            <w:r w:rsidR="00101615" w:rsidRPr="00A21277">
              <w:rPr>
                <w:color w:val="000000"/>
                <w:sz w:val="22"/>
                <w:szCs w:val="22"/>
                <w:lang w:eastAsia="en-GB"/>
              </w:rPr>
              <w:t>Type</w:t>
            </w:r>
          </w:p>
        </w:tc>
        <w:tc>
          <w:tcPr>
            <w:tcW w:w="2354" w:type="dxa"/>
            <w:gridSpan w:val="2"/>
            <w:tcBorders>
              <w:top w:val="nil"/>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Carbon Saving Target (CSO)</w:t>
            </w:r>
          </w:p>
        </w:tc>
        <w:tc>
          <w:tcPr>
            <w:tcW w:w="2354" w:type="dxa"/>
            <w:gridSpan w:val="2"/>
            <w:tcBorders>
              <w:top w:val="nil"/>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Carbon Savings Community (CSCO)</w:t>
            </w:r>
          </w:p>
        </w:tc>
        <w:tc>
          <w:tcPr>
            <w:tcW w:w="2354" w:type="dxa"/>
            <w:gridSpan w:val="2"/>
            <w:tcBorders>
              <w:top w:val="single" w:sz="4" w:space="0" w:color="auto"/>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Affordable Warmth (HHCRO)</w:t>
            </w:r>
          </w:p>
        </w:tc>
        <w:tc>
          <w:tcPr>
            <w:tcW w:w="2354" w:type="dxa"/>
            <w:gridSpan w:val="2"/>
            <w:vMerge/>
            <w:tcBorders>
              <w:top w:val="nil"/>
              <w:left w:val="nil"/>
              <w:bottom w:val="single" w:sz="4" w:space="0" w:color="000000"/>
              <w:right w:val="nil"/>
            </w:tcBorders>
            <w:vAlign w:val="center"/>
            <w:hideMark/>
          </w:tcPr>
          <w:p w:rsidR="00101615" w:rsidRPr="00A21277" w:rsidRDefault="00101615" w:rsidP="00466C75">
            <w:pPr>
              <w:spacing w:before="0" w:after="0" w:line="240" w:lineRule="auto"/>
              <w:rPr>
                <w:color w:val="000000"/>
                <w:sz w:val="22"/>
                <w:szCs w:val="22"/>
                <w:lang w:eastAsia="en-GB"/>
              </w:rPr>
            </w:pPr>
          </w:p>
        </w:tc>
      </w:tr>
      <w:tr w:rsidR="00101615" w:rsidRPr="00A21277" w:rsidTr="00C32E60">
        <w:trPr>
          <w:trHeight w:val="256"/>
        </w:trPr>
        <w:tc>
          <w:tcPr>
            <w:tcW w:w="1293" w:type="dxa"/>
            <w:vMerge/>
            <w:tcBorders>
              <w:top w:val="nil"/>
              <w:left w:val="nil"/>
              <w:bottom w:val="single" w:sz="4" w:space="0" w:color="000000"/>
              <w:right w:val="nil"/>
            </w:tcBorders>
            <w:vAlign w:val="center"/>
            <w:hideMark/>
          </w:tcPr>
          <w:p w:rsidR="00101615" w:rsidRPr="00A21277" w:rsidRDefault="00101615" w:rsidP="00466C75">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r>
      <w:tr w:rsidR="00ED1F55" w:rsidRPr="00A21277" w:rsidTr="00C32E60">
        <w:trPr>
          <w:trHeight w:val="273"/>
        </w:trPr>
        <w:tc>
          <w:tcPr>
            <w:tcW w:w="1293" w:type="dxa"/>
            <w:tcBorders>
              <w:top w:val="nil"/>
              <w:left w:val="nil"/>
              <w:bottom w:val="nil"/>
              <w:right w:val="nil"/>
            </w:tcBorders>
            <w:shd w:val="clear" w:color="auto" w:fill="auto"/>
            <w:noWrap/>
            <w:vAlign w:val="bottom"/>
          </w:tcPr>
          <w:p w:rsidR="00ED1F55" w:rsidRPr="00805647" w:rsidRDefault="00ED1F55" w:rsidP="00466C75">
            <w:pPr>
              <w:spacing w:before="0" w:after="0"/>
              <w:rPr>
                <w:color w:val="000000"/>
                <w:sz w:val="22"/>
                <w:szCs w:val="22"/>
              </w:rPr>
            </w:pPr>
            <w:r w:rsidRPr="00805647">
              <w:rPr>
                <w:color w:val="000000"/>
                <w:sz w:val="22"/>
                <w:szCs w:val="22"/>
              </w:rPr>
              <w:t>House</w:t>
            </w:r>
          </w:p>
        </w:tc>
        <w:tc>
          <w:tcPr>
            <w:tcW w:w="1012" w:type="dxa"/>
            <w:tcBorders>
              <w:top w:val="single" w:sz="4" w:space="0" w:color="auto"/>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193,012</w:t>
            </w:r>
          </w:p>
        </w:tc>
        <w:tc>
          <w:tcPr>
            <w:tcW w:w="1342" w:type="dxa"/>
            <w:tcBorders>
              <w:top w:val="single" w:sz="4" w:space="0" w:color="auto"/>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61.3</w:t>
            </w:r>
          </w:p>
        </w:tc>
        <w:tc>
          <w:tcPr>
            <w:tcW w:w="1012" w:type="dxa"/>
            <w:tcBorders>
              <w:top w:val="single" w:sz="4" w:space="0" w:color="auto"/>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138,770</w:t>
            </w:r>
          </w:p>
        </w:tc>
        <w:tc>
          <w:tcPr>
            <w:tcW w:w="1342" w:type="dxa"/>
            <w:tcBorders>
              <w:top w:val="single" w:sz="4" w:space="0" w:color="auto"/>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79.2</w:t>
            </w:r>
          </w:p>
        </w:tc>
        <w:tc>
          <w:tcPr>
            <w:tcW w:w="1012" w:type="dxa"/>
            <w:tcBorders>
              <w:top w:val="single" w:sz="4" w:space="0" w:color="auto"/>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260,775</w:t>
            </w:r>
          </w:p>
        </w:tc>
        <w:tc>
          <w:tcPr>
            <w:tcW w:w="1342" w:type="dxa"/>
            <w:tcBorders>
              <w:top w:val="single" w:sz="4" w:space="0" w:color="auto"/>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88.4</w:t>
            </w:r>
          </w:p>
        </w:tc>
        <w:tc>
          <w:tcPr>
            <w:tcW w:w="1012" w:type="dxa"/>
            <w:tcBorders>
              <w:top w:val="single" w:sz="4" w:space="0" w:color="auto"/>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592,557</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75.5</w:t>
            </w:r>
          </w:p>
        </w:tc>
      </w:tr>
      <w:tr w:rsidR="00ED1F55" w:rsidRPr="00A21277" w:rsidTr="00C32E60">
        <w:trPr>
          <w:trHeight w:val="273"/>
        </w:trPr>
        <w:tc>
          <w:tcPr>
            <w:tcW w:w="1293" w:type="dxa"/>
            <w:tcBorders>
              <w:top w:val="nil"/>
              <w:left w:val="nil"/>
              <w:bottom w:val="nil"/>
              <w:right w:val="nil"/>
            </w:tcBorders>
            <w:shd w:val="clear" w:color="auto" w:fill="auto"/>
            <w:noWrap/>
            <w:vAlign w:val="bottom"/>
          </w:tcPr>
          <w:p w:rsidR="00ED1F55" w:rsidRPr="00805647" w:rsidRDefault="00ED1F55" w:rsidP="00466C75">
            <w:pPr>
              <w:spacing w:before="0" w:after="0"/>
              <w:rPr>
                <w:color w:val="000000"/>
                <w:sz w:val="22"/>
                <w:szCs w:val="22"/>
              </w:rPr>
            </w:pPr>
            <w:r w:rsidRPr="00805647">
              <w:rPr>
                <w:color w:val="000000"/>
                <w:sz w:val="22"/>
                <w:szCs w:val="22"/>
              </w:rPr>
              <w:t>Bungalow</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12,385</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3.9</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5,735</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3.3</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18,311</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6.2</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36,431</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4.6</w:t>
            </w:r>
          </w:p>
        </w:tc>
      </w:tr>
      <w:tr w:rsidR="00ED1F55" w:rsidRPr="00A21277" w:rsidTr="00C32E60">
        <w:trPr>
          <w:trHeight w:val="315"/>
        </w:trPr>
        <w:tc>
          <w:tcPr>
            <w:tcW w:w="1293" w:type="dxa"/>
            <w:tcBorders>
              <w:top w:val="nil"/>
              <w:left w:val="nil"/>
              <w:bottom w:val="nil"/>
              <w:right w:val="nil"/>
            </w:tcBorders>
            <w:shd w:val="clear" w:color="auto" w:fill="auto"/>
            <w:noWrap/>
            <w:vAlign w:val="bottom"/>
          </w:tcPr>
          <w:p w:rsidR="00ED1F55" w:rsidRPr="00805647" w:rsidRDefault="00ED1F55" w:rsidP="00466C75">
            <w:pPr>
              <w:spacing w:before="0" w:after="0"/>
              <w:rPr>
                <w:color w:val="000000"/>
                <w:sz w:val="22"/>
                <w:szCs w:val="22"/>
              </w:rPr>
            </w:pPr>
            <w:r w:rsidRPr="00805647">
              <w:rPr>
                <w:color w:val="000000"/>
                <w:sz w:val="22"/>
                <w:szCs w:val="22"/>
              </w:rPr>
              <w:t>Flat</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105,085</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33.4</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28,414</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16.2</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14,727</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5.0</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148,226</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18.9</w:t>
            </w:r>
          </w:p>
        </w:tc>
      </w:tr>
      <w:tr w:rsidR="00ED1F55" w:rsidRPr="00A21277" w:rsidTr="00C32E60">
        <w:trPr>
          <w:trHeight w:val="273"/>
        </w:trPr>
        <w:tc>
          <w:tcPr>
            <w:tcW w:w="1293" w:type="dxa"/>
            <w:tcBorders>
              <w:top w:val="nil"/>
              <w:left w:val="nil"/>
              <w:bottom w:val="nil"/>
              <w:right w:val="nil"/>
            </w:tcBorders>
            <w:shd w:val="clear" w:color="auto" w:fill="auto"/>
            <w:noWrap/>
            <w:vAlign w:val="bottom"/>
          </w:tcPr>
          <w:p w:rsidR="00ED1F55" w:rsidRPr="00805647" w:rsidRDefault="00ED1F55" w:rsidP="00466C75">
            <w:pPr>
              <w:spacing w:before="0" w:after="0"/>
              <w:rPr>
                <w:color w:val="000000"/>
                <w:sz w:val="22"/>
                <w:szCs w:val="22"/>
              </w:rPr>
            </w:pPr>
            <w:r w:rsidRPr="00805647">
              <w:rPr>
                <w:color w:val="000000"/>
                <w:sz w:val="22"/>
                <w:szCs w:val="22"/>
              </w:rPr>
              <w:t>Maisonette</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4,422</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1.4</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2,360</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1.3</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1,034</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0.4</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7,816</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1.0</w:t>
            </w:r>
          </w:p>
        </w:tc>
      </w:tr>
      <w:tr w:rsidR="00ED1F55" w:rsidRPr="00A21277" w:rsidTr="00C32E60">
        <w:trPr>
          <w:trHeight w:val="273"/>
        </w:trPr>
        <w:tc>
          <w:tcPr>
            <w:tcW w:w="1293" w:type="dxa"/>
            <w:tcBorders>
              <w:top w:val="nil"/>
              <w:left w:val="nil"/>
              <w:bottom w:val="nil"/>
              <w:right w:val="nil"/>
            </w:tcBorders>
            <w:shd w:val="clear" w:color="auto" w:fill="auto"/>
            <w:noWrap/>
            <w:vAlign w:val="center"/>
          </w:tcPr>
          <w:p w:rsidR="00ED1F55" w:rsidRPr="00805647" w:rsidRDefault="00ED1F55" w:rsidP="00466C75">
            <w:pPr>
              <w:spacing w:before="0" w:after="0"/>
              <w:rPr>
                <w:color w:val="000000"/>
                <w:sz w:val="22"/>
                <w:szCs w:val="22"/>
              </w:rPr>
            </w:pP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 </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 </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 </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 </w:t>
            </w:r>
          </w:p>
        </w:tc>
      </w:tr>
      <w:tr w:rsidR="00ED1F55" w:rsidRPr="00A21277" w:rsidTr="00C32E60">
        <w:trPr>
          <w:trHeight w:val="273"/>
        </w:trPr>
        <w:tc>
          <w:tcPr>
            <w:tcW w:w="1293" w:type="dxa"/>
            <w:tcBorders>
              <w:top w:val="nil"/>
              <w:left w:val="nil"/>
              <w:bottom w:val="nil"/>
              <w:right w:val="nil"/>
            </w:tcBorders>
            <w:shd w:val="clear" w:color="auto" w:fill="auto"/>
            <w:noWrap/>
            <w:vAlign w:val="center"/>
          </w:tcPr>
          <w:p w:rsidR="00ED1F55" w:rsidRPr="00805647" w:rsidRDefault="00ED1F55" w:rsidP="00466C75">
            <w:pPr>
              <w:spacing w:before="0" w:after="0"/>
              <w:rPr>
                <w:color w:val="000000"/>
                <w:sz w:val="22"/>
                <w:szCs w:val="22"/>
              </w:rPr>
            </w:pPr>
            <w:r w:rsidRPr="00805647">
              <w:rPr>
                <w:color w:val="000000"/>
                <w:sz w:val="22"/>
                <w:szCs w:val="22"/>
              </w:rPr>
              <w:t>Unknown</w:t>
            </w:r>
            <w:r>
              <w:rPr>
                <w:color w:val="000000"/>
                <w:sz w:val="22"/>
                <w:szCs w:val="22"/>
                <w:vertAlign w:val="superscript"/>
                <w:lang w:eastAsia="en-GB"/>
              </w:rPr>
              <w:t xml:space="preserve"> 3</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231</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color w:val="000000"/>
                <w:sz w:val="22"/>
                <w:szCs w:val="22"/>
              </w:rPr>
            </w:pPr>
            <w:r w:rsidRPr="00ED1F55">
              <w:rPr>
                <w:color w:val="000000"/>
                <w:sz w:val="22"/>
                <w:szCs w:val="22"/>
              </w:rPr>
              <w:t>-</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23</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color w:val="000000"/>
                <w:sz w:val="22"/>
                <w:szCs w:val="22"/>
              </w:rPr>
            </w:pPr>
            <w:r w:rsidRPr="00ED1F55">
              <w:rPr>
                <w:color w:val="000000"/>
                <w:sz w:val="22"/>
                <w:szCs w:val="22"/>
              </w:rPr>
              <w:t>-</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110</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color w:val="000000"/>
                <w:sz w:val="22"/>
                <w:szCs w:val="22"/>
              </w:rPr>
            </w:pPr>
            <w:r w:rsidRPr="00ED1F55">
              <w:rPr>
                <w:color w:val="000000"/>
                <w:sz w:val="22"/>
                <w:szCs w:val="22"/>
              </w:rPr>
              <w:t>-</w:t>
            </w:r>
          </w:p>
        </w:tc>
        <w:tc>
          <w:tcPr>
            <w:tcW w:w="1012" w:type="dxa"/>
            <w:tcBorders>
              <w:top w:val="nil"/>
              <w:left w:val="nil"/>
              <w:bottom w:val="nil"/>
              <w:right w:val="nil"/>
            </w:tcBorders>
            <w:shd w:val="clear" w:color="auto" w:fill="auto"/>
            <w:noWrap/>
            <w:vAlign w:val="bottom"/>
          </w:tcPr>
          <w:p w:rsidR="00ED1F55" w:rsidRPr="00ED1F55" w:rsidRDefault="00ED1F55" w:rsidP="00ED1F55">
            <w:pPr>
              <w:spacing w:before="0" w:after="0"/>
              <w:jc w:val="right"/>
              <w:rPr>
                <w:color w:val="000000"/>
                <w:sz w:val="22"/>
                <w:szCs w:val="22"/>
              </w:rPr>
            </w:pPr>
            <w:r w:rsidRPr="00ED1F55">
              <w:rPr>
                <w:color w:val="000000"/>
                <w:sz w:val="22"/>
                <w:szCs w:val="22"/>
              </w:rPr>
              <w:t>364</w:t>
            </w:r>
          </w:p>
        </w:tc>
        <w:tc>
          <w:tcPr>
            <w:tcW w:w="1342" w:type="dxa"/>
            <w:tcBorders>
              <w:top w:val="nil"/>
              <w:left w:val="nil"/>
              <w:bottom w:val="nil"/>
              <w:right w:val="nil"/>
            </w:tcBorders>
            <w:shd w:val="clear" w:color="000000" w:fill="FFFFFF"/>
            <w:vAlign w:val="bottom"/>
          </w:tcPr>
          <w:p w:rsidR="00ED1F55" w:rsidRPr="00ED1F55" w:rsidRDefault="00ED1F55" w:rsidP="00ED1F55">
            <w:pPr>
              <w:spacing w:before="0" w:after="0"/>
              <w:jc w:val="right"/>
              <w:rPr>
                <w:color w:val="000000"/>
                <w:sz w:val="22"/>
                <w:szCs w:val="22"/>
              </w:rPr>
            </w:pPr>
            <w:r w:rsidRPr="00ED1F55">
              <w:rPr>
                <w:color w:val="000000"/>
                <w:sz w:val="22"/>
                <w:szCs w:val="22"/>
              </w:rPr>
              <w:t>-</w:t>
            </w:r>
          </w:p>
        </w:tc>
      </w:tr>
      <w:tr w:rsidR="00ED1F55" w:rsidRPr="00A21277" w:rsidTr="00C32E60">
        <w:trPr>
          <w:trHeight w:val="273"/>
        </w:trPr>
        <w:tc>
          <w:tcPr>
            <w:tcW w:w="1293" w:type="dxa"/>
            <w:tcBorders>
              <w:top w:val="nil"/>
              <w:left w:val="nil"/>
              <w:right w:val="nil"/>
            </w:tcBorders>
            <w:shd w:val="clear" w:color="auto" w:fill="auto"/>
            <w:noWrap/>
            <w:vAlign w:val="bottom"/>
          </w:tcPr>
          <w:p w:rsidR="00ED1F55" w:rsidRPr="00805647" w:rsidRDefault="00ED1F55" w:rsidP="00466C75">
            <w:pPr>
              <w:spacing w:before="0" w:after="0"/>
              <w:rPr>
                <w:color w:val="000000"/>
                <w:sz w:val="22"/>
                <w:szCs w:val="22"/>
              </w:rPr>
            </w:pPr>
          </w:p>
        </w:tc>
        <w:tc>
          <w:tcPr>
            <w:tcW w:w="1012" w:type="dxa"/>
            <w:tcBorders>
              <w:top w:val="nil"/>
              <w:left w:val="nil"/>
              <w:right w:val="nil"/>
            </w:tcBorders>
            <w:shd w:val="clear" w:color="000000" w:fill="FFFFFF"/>
            <w:vAlign w:val="bottom"/>
          </w:tcPr>
          <w:p w:rsidR="00ED1F55" w:rsidRPr="00ED1F55" w:rsidRDefault="00ED1F55" w:rsidP="00ED1F55">
            <w:pPr>
              <w:spacing w:before="0" w:after="0"/>
              <w:rPr>
                <w:color w:val="000000"/>
                <w:sz w:val="22"/>
                <w:szCs w:val="22"/>
              </w:rPr>
            </w:pPr>
          </w:p>
        </w:tc>
        <w:tc>
          <w:tcPr>
            <w:tcW w:w="1342" w:type="dxa"/>
            <w:tcBorders>
              <w:top w:val="nil"/>
              <w:left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 </w:t>
            </w:r>
          </w:p>
        </w:tc>
        <w:tc>
          <w:tcPr>
            <w:tcW w:w="1012" w:type="dxa"/>
            <w:tcBorders>
              <w:top w:val="nil"/>
              <w:left w:val="nil"/>
              <w:right w:val="nil"/>
            </w:tcBorders>
            <w:shd w:val="clear" w:color="000000" w:fill="FFFFFF"/>
            <w:vAlign w:val="bottom"/>
          </w:tcPr>
          <w:p w:rsidR="00ED1F55" w:rsidRPr="00ED1F55" w:rsidRDefault="00ED1F55" w:rsidP="00ED1F55">
            <w:pPr>
              <w:spacing w:before="0" w:after="0"/>
              <w:rPr>
                <w:color w:val="000000"/>
                <w:sz w:val="22"/>
                <w:szCs w:val="22"/>
              </w:rPr>
            </w:pPr>
          </w:p>
        </w:tc>
        <w:tc>
          <w:tcPr>
            <w:tcW w:w="1342" w:type="dxa"/>
            <w:tcBorders>
              <w:top w:val="nil"/>
              <w:left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 </w:t>
            </w:r>
          </w:p>
        </w:tc>
        <w:tc>
          <w:tcPr>
            <w:tcW w:w="1012" w:type="dxa"/>
            <w:tcBorders>
              <w:top w:val="nil"/>
              <w:left w:val="nil"/>
              <w:right w:val="nil"/>
            </w:tcBorders>
            <w:shd w:val="clear" w:color="000000" w:fill="FFFFFF"/>
            <w:vAlign w:val="bottom"/>
          </w:tcPr>
          <w:p w:rsidR="00ED1F55" w:rsidRPr="00ED1F55" w:rsidRDefault="00ED1F55" w:rsidP="00ED1F55">
            <w:pPr>
              <w:spacing w:before="0" w:after="0"/>
              <w:rPr>
                <w:color w:val="000000"/>
                <w:sz w:val="22"/>
                <w:szCs w:val="22"/>
              </w:rPr>
            </w:pPr>
          </w:p>
        </w:tc>
        <w:tc>
          <w:tcPr>
            <w:tcW w:w="1342" w:type="dxa"/>
            <w:tcBorders>
              <w:top w:val="nil"/>
              <w:left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 </w:t>
            </w:r>
          </w:p>
        </w:tc>
        <w:tc>
          <w:tcPr>
            <w:tcW w:w="1012" w:type="dxa"/>
            <w:tcBorders>
              <w:top w:val="nil"/>
              <w:left w:val="nil"/>
              <w:right w:val="nil"/>
            </w:tcBorders>
            <w:shd w:val="clear" w:color="auto" w:fill="auto"/>
            <w:noWrap/>
            <w:vAlign w:val="bottom"/>
          </w:tcPr>
          <w:p w:rsidR="00ED1F55" w:rsidRPr="00ED1F55" w:rsidRDefault="00ED1F55" w:rsidP="00ED1F55">
            <w:pPr>
              <w:spacing w:before="0" w:after="0"/>
              <w:rPr>
                <w:color w:val="000000"/>
                <w:sz w:val="22"/>
                <w:szCs w:val="22"/>
              </w:rPr>
            </w:pPr>
          </w:p>
        </w:tc>
        <w:tc>
          <w:tcPr>
            <w:tcW w:w="1342" w:type="dxa"/>
            <w:tcBorders>
              <w:top w:val="nil"/>
              <w:left w:val="nil"/>
              <w:right w:val="nil"/>
            </w:tcBorders>
            <w:shd w:val="clear" w:color="000000" w:fill="FFFFFF"/>
            <w:vAlign w:val="bottom"/>
          </w:tcPr>
          <w:p w:rsidR="00ED1F55" w:rsidRPr="00ED1F55" w:rsidRDefault="00ED1F55" w:rsidP="00ED1F55">
            <w:pPr>
              <w:spacing w:before="0" w:after="0"/>
              <w:jc w:val="right"/>
              <w:rPr>
                <w:i/>
                <w:iCs/>
                <w:color w:val="000000"/>
                <w:sz w:val="22"/>
                <w:szCs w:val="22"/>
              </w:rPr>
            </w:pPr>
            <w:r w:rsidRPr="00ED1F55">
              <w:rPr>
                <w:i/>
                <w:iCs/>
                <w:color w:val="000000"/>
                <w:sz w:val="22"/>
                <w:szCs w:val="22"/>
              </w:rPr>
              <w:t> </w:t>
            </w:r>
          </w:p>
        </w:tc>
      </w:tr>
      <w:tr w:rsidR="00ED1F55" w:rsidRPr="00A21277" w:rsidTr="00C32E60">
        <w:trPr>
          <w:trHeight w:val="273"/>
        </w:trPr>
        <w:tc>
          <w:tcPr>
            <w:tcW w:w="1293" w:type="dxa"/>
            <w:tcBorders>
              <w:top w:val="nil"/>
              <w:left w:val="nil"/>
              <w:bottom w:val="single" w:sz="4" w:space="0" w:color="auto"/>
              <w:right w:val="nil"/>
            </w:tcBorders>
            <w:shd w:val="clear" w:color="auto" w:fill="auto"/>
            <w:noWrap/>
            <w:vAlign w:val="bottom"/>
          </w:tcPr>
          <w:p w:rsidR="00ED1F55" w:rsidRPr="00805647" w:rsidRDefault="00ED1F55" w:rsidP="00466C75">
            <w:pPr>
              <w:spacing w:before="0" w:after="0"/>
              <w:rPr>
                <w:b/>
                <w:bCs/>
                <w:color w:val="000000"/>
                <w:sz w:val="22"/>
                <w:szCs w:val="22"/>
              </w:rPr>
            </w:pPr>
            <w:r w:rsidRPr="00805647">
              <w:rPr>
                <w:b/>
                <w:bCs/>
                <w:color w:val="000000"/>
                <w:sz w:val="22"/>
                <w:szCs w:val="22"/>
              </w:rPr>
              <w:t>Total</w:t>
            </w:r>
          </w:p>
        </w:tc>
        <w:tc>
          <w:tcPr>
            <w:tcW w:w="1012" w:type="dxa"/>
            <w:tcBorders>
              <w:top w:val="nil"/>
              <w:left w:val="nil"/>
              <w:bottom w:val="single" w:sz="4" w:space="0" w:color="auto"/>
              <w:right w:val="nil"/>
            </w:tcBorders>
            <w:shd w:val="clear" w:color="auto" w:fill="auto"/>
            <w:noWrap/>
            <w:vAlign w:val="bottom"/>
          </w:tcPr>
          <w:p w:rsidR="00ED1F55" w:rsidRPr="00ED1F55" w:rsidRDefault="00ED1F55" w:rsidP="00ED1F55">
            <w:pPr>
              <w:spacing w:before="0" w:after="0"/>
              <w:jc w:val="right"/>
              <w:rPr>
                <w:b/>
                <w:bCs/>
                <w:color w:val="000000"/>
                <w:sz w:val="22"/>
                <w:szCs w:val="22"/>
              </w:rPr>
            </w:pPr>
            <w:r w:rsidRPr="00ED1F55">
              <w:rPr>
                <w:b/>
                <w:bCs/>
                <w:color w:val="000000"/>
                <w:sz w:val="22"/>
                <w:szCs w:val="22"/>
              </w:rPr>
              <w:t>315,135</w:t>
            </w:r>
          </w:p>
        </w:tc>
        <w:tc>
          <w:tcPr>
            <w:tcW w:w="1342" w:type="dxa"/>
            <w:tcBorders>
              <w:top w:val="nil"/>
              <w:left w:val="nil"/>
              <w:bottom w:val="single" w:sz="4" w:space="0" w:color="auto"/>
              <w:right w:val="nil"/>
            </w:tcBorders>
            <w:shd w:val="clear" w:color="000000" w:fill="FFFFFF"/>
            <w:vAlign w:val="bottom"/>
          </w:tcPr>
          <w:p w:rsidR="00ED1F55" w:rsidRPr="00ED1F55" w:rsidRDefault="00ED1F55" w:rsidP="00ED1F55">
            <w:pPr>
              <w:spacing w:before="0" w:after="0"/>
              <w:jc w:val="right"/>
              <w:rPr>
                <w:b/>
                <w:bCs/>
                <w:color w:val="000000"/>
                <w:sz w:val="22"/>
                <w:szCs w:val="22"/>
              </w:rPr>
            </w:pPr>
            <w:r w:rsidRPr="00ED1F55">
              <w:rPr>
                <w:b/>
                <w:b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ED1F55" w:rsidRPr="00ED1F55" w:rsidRDefault="00ED1F55" w:rsidP="00ED1F55">
            <w:pPr>
              <w:spacing w:before="0" w:after="0"/>
              <w:jc w:val="right"/>
              <w:rPr>
                <w:b/>
                <w:bCs/>
                <w:color w:val="000000"/>
                <w:sz w:val="22"/>
                <w:szCs w:val="22"/>
              </w:rPr>
            </w:pPr>
            <w:r w:rsidRPr="00ED1F55">
              <w:rPr>
                <w:b/>
                <w:bCs/>
                <w:color w:val="000000"/>
                <w:sz w:val="22"/>
                <w:szCs w:val="22"/>
              </w:rPr>
              <w:t>175,302</w:t>
            </w:r>
          </w:p>
        </w:tc>
        <w:tc>
          <w:tcPr>
            <w:tcW w:w="1342" w:type="dxa"/>
            <w:tcBorders>
              <w:top w:val="nil"/>
              <w:left w:val="nil"/>
              <w:bottom w:val="single" w:sz="4" w:space="0" w:color="auto"/>
              <w:right w:val="nil"/>
            </w:tcBorders>
            <w:shd w:val="clear" w:color="000000" w:fill="FFFFFF"/>
            <w:vAlign w:val="bottom"/>
          </w:tcPr>
          <w:p w:rsidR="00ED1F55" w:rsidRPr="00ED1F55" w:rsidRDefault="00ED1F55" w:rsidP="00ED1F55">
            <w:pPr>
              <w:spacing w:before="0" w:after="0"/>
              <w:jc w:val="right"/>
              <w:rPr>
                <w:b/>
                <w:bCs/>
                <w:color w:val="000000"/>
                <w:sz w:val="22"/>
                <w:szCs w:val="22"/>
              </w:rPr>
            </w:pPr>
            <w:r w:rsidRPr="00ED1F55">
              <w:rPr>
                <w:b/>
                <w:b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ED1F55" w:rsidRPr="00ED1F55" w:rsidRDefault="00ED1F55" w:rsidP="00ED1F55">
            <w:pPr>
              <w:spacing w:before="0" w:after="0"/>
              <w:jc w:val="right"/>
              <w:rPr>
                <w:b/>
                <w:bCs/>
                <w:color w:val="000000"/>
                <w:sz w:val="22"/>
                <w:szCs w:val="22"/>
              </w:rPr>
            </w:pPr>
            <w:r w:rsidRPr="00ED1F55">
              <w:rPr>
                <w:b/>
                <w:bCs/>
                <w:color w:val="000000"/>
                <w:sz w:val="22"/>
                <w:szCs w:val="22"/>
              </w:rPr>
              <w:t>294,957</w:t>
            </w:r>
          </w:p>
        </w:tc>
        <w:tc>
          <w:tcPr>
            <w:tcW w:w="1342" w:type="dxa"/>
            <w:tcBorders>
              <w:top w:val="nil"/>
              <w:left w:val="nil"/>
              <w:bottom w:val="single" w:sz="4" w:space="0" w:color="auto"/>
              <w:right w:val="nil"/>
            </w:tcBorders>
            <w:shd w:val="clear" w:color="000000" w:fill="FFFFFF"/>
            <w:vAlign w:val="bottom"/>
          </w:tcPr>
          <w:p w:rsidR="00ED1F55" w:rsidRPr="00ED1F55" w:rsidRDefault="00ED1F55" w:rsidP="00ED1F55">
            <w:pPr>
              <w:spacing w:before="0" w:after="0"/>
              <w:jc w:val="right"/>
              <w:rPr>
                <w:b/>
                <w:bCs/>
                <w:color w:val="000000"/>
                <w:sz w:val="22"/>
                <w:szCs w:val="22"/>
              </w:rPr>
            </w:pPr>
            <w:r w:rsidRPr="00ED1F55">
              <w:rPr>
                <w:b/>
                <w:b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ED1F55" w:rsidRPr="00ED1F55" w:rsidRDefault="00ED1F55" w:rsidP="00ED1F55">
            <w:pPr>
              <w:spacing w:before="0" w:after="0"/>
              <w:jc w:val="right"/>
              <w:rPr>
                <w:b/>
                <w:bCs/>
                <w:color w:val="000000"/>
                <w:sz w:val="22"/>
                <w:szCs w:val="22"/>
              </w:rPr>
            </w:pPr>
            <w:r w:rsidRPr="00ED1F55">
              <w:rPr>
                <w:b/>
                <w:bCs/>
                <w:color w:val="000000"/>
                <w:sz w:val="22"/>
                <w:szCs w:val="22"/>
              </w:rPr>
              <w:t>785,394</w:t>
            </w:r>
          </w:p>
        </w:tc>
        <w:tc>
          <w:tcPr>
            <w:tcW w:w="1342" w:type="dxa"/>
            <w:tcBorders>
              <w:top w:val="nil"/>
              <w:left w:val="nil"/>
              <w:bottom w:val="single" w:sz="4" w:space="0" w:color="auto"/>
              <w:right w:val="nil"/>
            </w:tcBorders>
            <w:shd w:val="clear" w:color="000000" w:fill="FFFFFF"/>
            <w:vAlign w:val="bottom"/>
          </w:tcPr>
          <w:p w:rsidR="00ED1F55" w:rsidRPr="00ED1F55" w:rsidRDefault="00ED1F55" w:rsidP="00ED1F55">
            <w:pPr>
              <w:spacing w:before="0" w:after="0"/>
              <w:jc w:val="right"/>
              <w:rPr>
                <w:b/>
                <w:bCs/>
                <w:color w:val="000000"/>
                <w:sz w:val="22"/>
                <w:szCs w:val="22"/>
              </w:rPr>
            </w:pPr>
            <w:r w:rsidRPr="00ED1F55">
              <w:rPr>
                <w:b/>
                <w:bCs/>
                <w:color w:val="000000"/>
                <w:sz w:val="22"/>
                <w:szCs w:val="22"/>
              </w:rPr>
              <w:t>100</w:t>
            </w:r>
          </w:p>
        </w:tc>
      </w:tr>
    </w:tbl>
    <w:p w:rsidR="00101615" w:rsidRPr="00A21277" w:rsidRDefault="00101615" w:rsidP="000E08BD">
      <w:pPr>
        <w:spacing w:before="0" w:after="0" w:line="270" w:lineRule="atLeast"/>
        <w:ind w:right="-286"/>
        <w:jc w:val="both"/>
        <w:rPr>
          <w:sz w:val="22"/>
          <w:szCs w:val="22"/>
        </w:rPr>
      </w:pPr>
    </w:p>
    <w:tbl>
      <w:tblPr>
        <w:tblW w:w="11845" w:type="dxa"/>
        <w:tblInd w:w="93" w:type="dxa"/>
        <w:tblLook w:val="04A0" w:firstRow="1" w:lastRow="0" w:firstColumn="1" w:lastColumn="0" w:noHBand="0" w:noVBand="1"/>
      </w:tblPr>
      <w:tblGrid>
        <w:gridCol w:w="10505"/>
        <w:gridCol w:w="142"/>
        <w:gridCol w:w="1198"/>
      </w:tblGrid>
      <w:tr w:rsidR="000E08BD" w:rsidRPr="000E08BD" w:rsidTr="000E08BD">
        <w:trPr>
          <w:trHeight w:val="285"/>
        </w:trPr>
        <w:tc>
          <w:tcPr>
            <w:tcW w:w="10505" w:type="dxa"/>
            <w:tcBorders>
              <w:top w:val="nil"/>
              <w:left w:val="nil"/>
              <w:bottom w:val="nil"/>
              <w:right w:val="nil"/>
            </w:tcBorders>
            <w:shd w:val="clear" w:color="auto" w:fill="auto"/>
            <w:noWrap/>
            <w:vAlign w:val="bottom"/>
            <w:hideMark/>
          </w:tcPr>
          <w:p w:rsidR="000E08BD" w:rsidRPr="00D65354" w:rsidRDefault="000E08BD" w:rsidP="00E20863">
            <w:pPr>
              <w:spacing w:before="0" w:after="0" w:line="240" w:lineRule="auto"/>
              <w:ind w:right="-286"/>
              <w:rPr>
                <w:sz w:val="21"/>
                <w:szCs w:val="21"/>
                <w:lang w:eastAsia="en-GB"/>
              </w:rPr>
            </w:pPr>
            <w:r w:rsidRPr="00D65354">
              <w:rPr>
                <w:sz w:val="21"/>
                <w:szCs w:val="21"/>
                <w:vertAlign w:val="superscript"/>
                <w:lang w:eastAsia="en-GB"/>
              </w:rPr>
              <w:t>1</w:t>
            </w:r>
            <w:r w:rsidRPr="00D65354">
              <w:rPr>
                <w:sz w:val="21"/>
                <w:szCs w:val="21"/>
                <w:lang w:eastAsia="en-GB"/>
              </w:rPr>
              <w:t xml:space="preserve"> Percentage of ECO measures is calculated only for those ECO measures where the property type is known</w:t>
            </w:r>
            <w:r w:rsidR="00331FD0">
              <w:rPr>
                <w:sz w:val="21"/>
                <w:szCs w:val="21"/>
                <w:lang w:eastAsia="en-GB"/>
              </w:rPr>
              <w:t>.</w:t>
            </w:r>
          </w:p>
        </w:tc>
        <w:tc>
          <w:tcPr>
            <w:tcW w:w="1340" w:type="dxa"/>
            <w:gridSpan w:val="2"/>
            <w:tcBorders>
              <w:top w:val="nil"/>
              <w:left w:val="nil"/>
              <w:bottom w:val="nil"/>
              <w:right w:val="nil"/>
            </w:tcBorders>
            <w:shd w:val="clear" w:color="auto" w:fill="auto"/>
            <w:noWrap/>
            <w:vAlign w:val="bottom"/>
            <w:hideMark/>
          </w:tcPr>
          <w:p w:rsidR="000E08BD" w:rsidRPr="000E08BD" w:rsidRDefault="000E08BD" w:rsidP="000E08BD">
            <w:pPr>
              <w:spacing w:before="0" w:after="0" w:line="240" w:lineRule="auto"/>
              <w:ind w:right="-286"/>
              <w:rPr>
                <w:color w:val="000000"/>
                <w:sz w:val="20"/>
                <w:lang w:eastAsia="en-GB"/>
              </w:rPr>
            </w:pPr>
          </w:p>
        </w:tc>
      </w:tr>
      <w:tr w:rsidR="000E08BD" w:rsidRPr="000E08BD" w:rsidTr="00D10AB8">
        <w:trPr>
          <w:gridAfter w:val="1"/>
          <w:wAfter w:w="1198" w:type="dxa"/>
          <w:trHeight w:val="256"/>
        </w:trPr>
        <w:tc>
          <w:tcPr>
            <w:tcW w:w="10647" w:type="dxa"/>
            <w:gridSpan w:val="2"/>
            <w:vMerge w:val="restart"/>
            <w:tcBorders>
              <w:top w:val="nil"/>
              <w:left w:val="nil"/>
              <w:bottom w:val="nil"/>
              <w:right w:val="nil"/>
            </w:tcBorders>
            <w:shd w:val="clear" w:color="auto" w:fill="auto"/>
            <w:vAlign w:val="bottom"/>
            <w:hideMark/>
          </w:tcPr>
          <w:p w:rsidR="000E08BD" w:rsidRPr="00D65354" w:rsidRDefault="000E08BD" w:rsidP="00E20863">
            <w:pPr>
              <w:tabs>
                <w:tab w:val="left" w:pos="10539"/>
              </w:tabs>
              <w:spacing w:before="0" w:after="0" w:line="240" w:lineRule="auto"/>
              <w:ind w:right="175"/>
              <w:rPr>
                <w:sz w:val="21"/>
                <w:szCs w:val="21"/>
                <w:lang w:eastAsia="en-GB"/>
              </w:rPr>
            </w:pPr>
            <w:r w:rsidRPr="00D65354">
              <w:rPr>
                <w:sz w:val="21"/>
                <w:szCs w:val="21"/>
                <w:vertAlign w:val="superscript"/>
                <w:lang w:eastAsia="en-GB"/>
              </w:rPr>
              <w:t xml:space="preserve">2 </w:t>
            </w:r>
            <w:r w:rsidRPr="00D65354">
              <w:rPr>
                <w:sz w:val="21"/>
                <w:szCs w:val="21"/>
                <w:lang w:eastAsia="en-GB"/>
              </w:rPr>
              <w:t>As multiple ECO measures may have been installed in a property, the property type recorded against the first measure installed is used in the above table. The total number of households in receipt of ECO measures is therefore different from totals reported in other tables.</w:t>
            </w:r>
          </w:p>
        </w:tc>
      </w:tr>
      <w:tr w:rsidR="000E08BD" w:rsidRPr="000E08BD" w:rsidTr="00D10AB8">
        <w:trPr>
          <w:gridAfter w:val="1"/>
          <w:wAfter w:w="1198" w:type="dxa"/>
          <w:trHeight w:val="255"/>
        </w:trPr>
        <w:tc>
          <w:tcPr>
            <w:tcW w:w="10647" w:type="dxa"/>
            <w:gridSpan w:val="2"/>
            <w:vMerge/>
            <w:tcBorders>
              <w:top w:val="nil"/>
              <w:left w:val="nil"/>
              <w:bottom w:val="nil"/>
              <w:right w:val="nil"/>
            </w:tcBorders>
            <w:vAlign w:val="center"/>
            <w:hideMark/>
          </w:tcPr>
          <w:p w:rsidR="000E08BD" w:rsidRPr="00D65354" w:rsidRDefault="000E08BD" w:rsidP="00E20863">
            <w:pPr>
              <w:spacing w:before="0" w:after="0" w:line="240" w:lineRule="auto"/>
              <w:ind w:right="884"/>
              <w:rPr>
                <w:sz w:val="21"/>
                <w:szCs w:val="21"/>
                <w:lang w:eastAsia="en-GB"/>
              </w:rPr>
            </w:pPr>
          </w:p>
        </w:tc>
      </w:tr>
      <w:tr w:rsidR="000E08BD" w:rsidRPr="000E08BD" w:rsidTr="000E08BD">
        <w:trPr>
          <w:trHeight w:val="285"/>
        </w:trPr>
        <w:tc>
          <w:tcPr>
            <w:tcW w:w="10505" w:type="dxa"/>
            <w:tcBorders>
              <w:top w:val="nil"/>
              <w:left w:val="nil"/>
              <w:bottom w:val="nil"/>
              <w:right w:val="nil"/>
            </w:tcBorders>
            <w:shd w:val="clear" w:color="auto" w:fill="auto"/>
            <w:noWrap/>
            <w:vAlign w:val="bottom"/>
            <w:hideMark/>
          </w:tcPr>
          <w:p w:rsidR="000E08BD" w:rsidRPr="00D65354" w:rsidRDefault="000E08BD" w:rsidP="00E20863">
            <w:pPr>
              <w:spacing w:before="0" w:after="0" w:line="240" w:lineRule="auto"/>
              <w:ind w:right="884"/>
              <w:rPr>
                <w:sz w:val="21"/>
                <w:szCs w:val="21"/>
                <w:lang w:eastAsia="en-GB"/>
              </w:rPr>
            </w:pPr>
            <w:r w:rsidRPr="00D65354">
              <w:rPr>
                <w:sz w:val="21"/>
                <w:szCs w:val="21"/>
                <w:vertAlign w:val="superscript"/>
                <w:lang w:eastAsia="en-GB"/>
              </w:rPr>
              <w:t xml:space="preserve">3 </w:t>
            </w:r>
            <w:r w:rsidRPr="00D65354">
              <w:rPr>
                <w:sz w:val="21"/>
                <w:szCs w:val="21"/>
                <w:lang w:eastAsia="en-GB"/>
              </w:rPr>
              <w:t>Un</w:t>
            </w:r>
            <w:r w:rsidR="00E20863" w:rsidRPr="00D65354">
              <w:rPr>
                <w:sz w:val="21"/>
                <w:szCs w:val="21"/>
                <w:lang w:eastAsia="en-GB"/>
              </w:rPr>
              <w:t xml:space="preserve">known property </w:t>
            </w:r>
            <w:proofErr w:type="gramStart"/>
            <w:r w:rsidR="00E20863" w:rsidRPr="00D65354">
              <w:rPr>
                <w:sz w:val="21"/>
                <w:szCs w:val="21"/>
                <w:lang w:eastAsia="en-GB"/>
              </w:rPr>
              <w:t>type</w:t>
            </w:r>
            <w:proofErr w:type="gramEnd"/>
            <w:r w:rsidR="00E20863" w:rsidRPr="00D65354">
              <w:rPr>
                <w:sz w:val="21"/>
                <w:szCs w:val="21"/>
                <w:lang w:eastAsia="en-GB"/>
              </w:rPr>
              <w:t xml:space="preserve"> includes 133</w:t>
            </w:r>
            <w:r w:rsidRPr="00D65354">
              <w:rPr>
                <w:sz w:val="21"/>
                <w:szCs w:val="21"/>
                <w:lang w:eastAsia="en-GB"/>
              </w:rPr>
              <w:t xml:space="preserve"> mobile homes</w:t>
            </w:r>
            <w:r w:rsidR="00C3506F" w:rsidRPr="00D65354">
              <w:rPr>
                <w:sz w:val="21"/>
                <w:szCs w:val="21"/>
                <w:lang w:eastAsia="en-GB"/>
              </w:rPr>
              <w:t>.</w:t>
            </w:r>
          </w:p>
        </w:tc>
        <w:tc>
          <w:tcPr>
            <w:tcW w:w="1340" w:type="dxa"/>
            <w:gridSpan w:val="2"/>
            <w:tcBorders>
              <w:top w:val="nil"/>
              <w:left w:val="nil"/>
              <w:bottom w:val="nil"/>
              <w:right w:val="nil"/>
            </w:tcBorders>
            <w:shd w:val="clear" w:color="auto" w:fill="auto"/>
            <w:noWrap/>
            <w:vAlign w:val="bottom"/>
            <w:hideMark/>
          </w:tcPr>
          <w:p w:rsidR="000E08BD" w:rsidRPr="000E08BD" w:rsidRDefault="000E08BD" w:rsidP="000E08BD">
            <w:pPr>
              <w:spacing w:before="0" w:after="0" w:line="240" w:lineRule="auto"/>
              <w:rPr>
                <w:color w:val="000000"/>
                <w:sz w:val="20"/>
                <w:lang w:eastAsia="en-GB"/>
              </w:rPr>
            </w:pPr>
          </w:p>
        </w:tc>
      </w:tr>
    </w:tbl>
    <w:p w:rsidR="00B42728" w:rsidRDefault="00B42728" w:rsidP="00805647">
      <w:pPr>
        <w:spacing w:before="0" w:after="0" w:line="270" w:lineRule="atLeast"/>
        <w:rPr>
          <w:b/>
          <w:bCs/>
        </w:rPr>
      </w:pPr>
    </w:p>
    <w:p w:rsidR="00B42728" w:rsidRDefault="00B42728" w:rsidP="00805647">
      <w:pPr>
        <w:spacing w:before="0" w:after="0" w:line="270" w:lineRule="atLeast"/>
        <w:rPr>
          <w:b/>
          <w:bCs/>
        </w:rPr>
      </w:pPr>
    </w:p>
    <w:p w:rsidR="00B42728" w:rsidRDefault="00B42728" w:rsidP="00805647">
      <w:pPr>
        <w:spacing w:before="0" w:after="0" w:line="270" w:lineRule="atLeast"/>
        <w:rPr>
          <w:b/>
          <w:bCs/>
        </w:rPr>
      </w:pPr>
    </w:p>
    <w:p w:rsidR="00331FD0" w:rsidRDefault="00331FD0" w:rsidP="004F2454">
      <w:pPr>
        <w:spacing w:before="0" w:after="0" w:line="270" w:lineRule="atLeast"/>
        <w:jc w:val="both"/>
        <w:rPr>
          <w:b/>
          <w:bCs/>
        </w:rPr>
      </w:pPr>
    </w:p>
    <w:p w:rsidR="00805647" w:rsidRPr="001448FE" w:rsidRDefault="00C351B2" w:rsidP="004F2454">
      <w:pPr>
        <w:spacing w:before="0" w:after="0" w:line="270" w:lineRule="atLeast"/>
        <w:jc w:val="both"/>
        <w:rPr>
          <w:b/>
          <w:bCs/>
        </w:rPr>
      </w:pPr>
      <w:r w:rsidRPr="001448FE">
        <w:rPr>
          <w:b/>
          <w:bCs/>
        </w:rPr>
        <w:lastRenderedPageBreak/>
        <w:t>Table 1.12</w:t>
      </w:r>
      <w:r w:rsidR="00805647" w:rsidRPr="001448FE">
        <w:rPr>
          <w:b/>
          <w:bCs/>
        </w:rPr>
        <w:t xml:space="preserve">b: Provisional number of households </w:t>
      </w:r>
      <w:r w:rsidR="007502AA" w:rsidRPr="001448FE">
        <w:rPr>
          <w:b/>
          <w:bCs/>
        </w:rPr>
        <w:t xml:space="preserve">in </w:t>
      </w:r>
      <w:r w:rsidR="00805647" w:rsidRPr="001448FE">
        <w:rPr>
          <w:b/>
          <w:bCs/>
        </w:rPr>
        <w:t>recei</w:t>
      </w:r>
      <w:r w:rsidR="007502AA" w:rsidRPr="001448FE">
        <w:rPr>
          <w:b/>
          <w:bCs/>
        </w:rPr>
        <w:t>pt of</w:t>
      </w:r>
      <w:r w:rsidR="00805647" w:rsidRPr="001448FE">
        <w:rPr>
          <w:b/>
          <w:bCs/>
        </w:rPr>
        <w:t xml:space="preserve"> ECO measures by tenure and ECO obligation, up to </w:t>
      </w:r>
      <w:r w:rsidR="007E138E" w:rsidRPr="001448FE">
        <w:rPr>
          <w:b/>
          <w:bCs/>
        </w:rPr>
        <w:t xml:space="preserve">30th </w:t>
      </w:r>
      <w:r w:rsidR="00D1378A" w:rsidRPr="001448FE">
        <w:rPr>
          <w:b/>
          <w:bCs/>
        </w:rPr>
        <w:t>September</w:t>
      </w:r>
      <w:r w:rsidR="002F723B" w:rsidRPr="001448FE">
        <w:rPr>
          <w:b/>
          <w:bCs/>
        </w:rPr>
        <w:t xml:space="preserve"> 2014</w:t>
      </w:r>
      <w:r w:rsidR="00BA6A48" w:rsidRPr="001448FE">
        <w:rPr>
          <w:b/>
          <w:bCs/>
        </w:rPr>
        <w:t xml:space="preserve"> </w:t>
      </w:r>
      <w:r w:rsidR="00BA6A48" w:rsidRPr="001448FE">
        <w:rPr>
          <w:b/>
          <w:bCs/>
          <w:vertAlign w:val="superscript"/>
        </w:rPr>
        <w:t>1</w:t>
      </w:r>
    </w:p>
    <w:tbl>
      <w:tblPr>
        <w:tblW w:w="10611" w:type="dxa"/>
        <w:tblInd w:w="-34" w:type="dxa"/>
        <w:tblLook w:val="04A0" w:firstRow="1" w:lastRow="0" w:firstColumn="1" w:lastColumn="0" w:noHBand="0" w:noVBand="1"/>
      </w:tblPr>
      <w:tblGrid>
        <w:gridCol w:w="1195"/>
        <w:gridCol w:w="1012"/>
        <w:gridCol w:w="1342"/>
        <w:gridCol w:w="1012"/>
        <w:gridCol w:w="1342"/>
        <w:gridCol w:w="1012"/>
        <w:gridCol w:w="1342"/>
        <w:gridCol w:w="1012"/>
        <w:gridCol w:w="1342"/>
      </w:tblGrid>
      <w:tr w:rsidR="00805647" w:rsidRPr="001448FE" w:rsidTr="004A0E02">
        <w:trPr>
          <w:trHeight w:val="273"/>
        </w:trPr>
        <w:tc>
          <w:tcPr>
            <w:tcW w:w="1195" w:type="dxa"/>
            <w:tcBorders>
              <w:top w:val="nil"/>
              <w:left w:val="nil"/>
              <w:bottom w:val="nil"/>
              <w:right w:val="nil"/>
            </w:tcBorders>
            <w:shd w:val="clear" w:color="auto" w:fill="auto"/>
            <w:noWrap/>
            <w:vAlign w:val="bottom"/>
            <w:hideMark/>
          </w:tcPr>
          <w:p w:rsidR="00805647" w:rsidRPr="001448FE" w:rsidRDefault="00805647" w:rsidP="00247DB2">
            <w:pPr>
              <w:spacing w:before="0" w:after="0" w:line="240" w:lineRule="auto"/>
              <w:rPr>
                <w:color w:val="000000"/>
                <w:sz w:val="22"/>
                <w:szCs w:val="22"/>
                <w:lang w:eastAsia="en-GB"/>
              </w:rPr>
            </w:pPr>
          </w:p>
        </w:tc>
        <w:tc>
          <w:tcPr>
            <w:tcW w:w="1012" w:type="dxa"/>
            <w:tcBorders>
              <w:top w:val="nil"/>
              <w:left w:val="nil"/>
              <w:bottom w:val="single" w:sz="4" w:space="0" w:color="auto"/>
              <w:right w:val="nil"/>
            </w:tcBorders>
            <w:shd w:val="clear" w:color="auto" w:fill="auto"/>
            <w:noWrap/>
            <w:vAlign w:val="bottom"/>
            <w:hideMark/>
          </w:tcPr>
          <w:p w:rsidR="00805647" w:rsidRPr="001448FE" w:rsidRDefault="00805647" w:rsidP="00247DB2">
            <w:pPr>
              <w:spacing w:before="0" w:after="0" w:line="240" w:lineRule="auto"/>
              <w:rPr>
                <w:color w:val="000000"/>
                <w:sz w:val="22"/>
                <w:szCs w:val="22"/>
                <w:lang w:eastAsia="en-GB"/>
              </w:rPr>
            </w:pPr>
            <w:r w:rsidRPr="001448FE">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805647" w:rsidRPr="001448FE" w:rsidRDefault="00805647" w:rsidP="00247DB2">
            <w:pPr>
              <w:spacing w:before="0" w:after="0" w:line="240" w:lineRule="auto"/>
              <w:rPr>
                <w:color w:val="000000"/>
                <w:sz w:val="22"/>
                <w:szCs w:val="22"/>
                <w:lang w:eastAsia="en-GB"/>
              </w:rPr>
            </w:pPr>
            <w:r w:rsidRPr="001448FE">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805647" w:rsidRPr="001448FE" w:rsidRDefault="00805647" w:rsidP="00247DB2">
            <w:pPr>
              <w:spacing w:before="0" w:after="0" w:line="240" w:lineRule="auto"/>
              <w:rPr>
                <w:color w:val="000000"/>
                <w:sz w:val="22"/>
                <w:szCs w:val="22"/>
                <w:lang w:eastAsia="en-GB"/>
              </w:rPr>
            </w:pPr>
            <w:r w:rsidRPr="001448FE">
              <w:rPr>
                <w:color w:val="000000"/>
                <w:sz w:val="22"/>
                <w:szCs w:val="22"/>
                <w:lang w:eastAsia="en-GB"/>
              </w:rPr>
              <w:t> </w:t>
            </w:r>
          </w:p>
        </w:tc>
        <w:tc>
          <w:tcPr>
            <w:tcW w:w="1342" w:type="dxa"/>
            <w:tcBorders>
              <w:top w:val="nil"/>
              <w:left w:val="nil"/>
              <w:bottom w:val="nil"/>
              <w:right w:val="nil"/>
            </w:tcBorders>
            <w:shd w:val="clear" w:color="auto" w:fill="auto"/>
            <w:noWrap/>
            <w:vAlign w:val="bottom"/>
            <w:hideMark/>
          </w:tcPr>
          <w:p w:rsidR="00805647" w:rsidRPr="001448FE" w:rsidRDefault="00805647" w:rsidP="00247DB2">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805647" w:rsidRPr="001448FE" w:rsidRDefault="00805647" w:rsidP="00247DB2">
            <w:pPr>
              <w:spacing w:before="0" w:after="0" w:line="240" w:lineRule="auto"/>
              <w:rPr>
                <w:color w:val="000000"/>
                <w:sz w:val="22"/>
                <w:szCs w:val="22"/>
                <w:lang w:eastAsia="en-GB"/>
              </w:rPr>
            </w:pPr>
          </w:p>
        </w:tc>
        <w:tc>
          <w:tcPr>
            <w:tcW w:w="1342" w:type="dxa"/>
            <w:tcBorders>
              <w:top w:val="nil"/>
              <w:left w:val="nil"/>
              <w:bottom w:val="single" w:sz="4" w:space="0" w:color="auto"/>
              <w:right w:val="nil"/>
            </w:tcBorders>
            <w:shd w:val="clear" w:color="auto" w:fill="auto"/>
            <w:noWrap/>
            <w:vAlign w:val="bottom"/>
            <w:hideMark/>
          </w:tcPr>
          <w:p w:rsidR="00805647" w:rsidRPr="001448FE" w:rsidRDefault="00805647" w:rsidP="00247DB2">
            <w:pPr>
              <w:spacing w:before="0" w:after="0" w:line="240" w:lineRule="auto"/>
              <w:rPr>
                <w:color w:val="000000"/>
                <w:sz w:val="22"/>
                <w:szCs w:val="22"/>
                <w:lang w:eastAsia="en-GB"/>
              </w:rPr>
            </w:pPr>
            <w:r w:rsidRPr="001448FE">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805647" w:rsidRPr="001448FE" w:rsidRDefault="00805647" w:rsidP="00247DB2">
            <w:pPr>
              <w:spacing w:before="0" w:after="0" w:line="240" w:lineRule="auto"/>
              <w:rPr>
                <w:color w:val="000000"/>
                <w:sz w:val="22"/>
                <w:szCs w:val="22"/>
                <w:lang w:eastAsia="en-GB"/>
              </w:rPr>
            </w:pPr>
            <w:r w:rsidRPr="001448FE">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805647" w:rsidRPr="001448FE" w:rsidRDefault="00805647" w:rsidP="00247DB2">
            <w:pPr>
              <w:spacing w:before="0" w:after="0" w:line="240" w:lineRule="auto"/>
              <w:rPr>
                <w:color w:val="000000"/>
                <w:sz w:val="22"/>
                <w:szCs w:val="22"/>
                <w:lang w:eastAsia="en-GB"/>
              </w:rPr>
            </w:pPr>
            <w:r w:rsidRPr="001448FE">
              <w:rPr>
                <w:color w:val="000000"/>
                <w:sz w:val="22"/>
                <w:szCs w:val="22"/>
                <w:lang w:eastAsia="en-GB"/>
              </w:rPr>
              <w:t> </w:t>
            </w:r>
          </w:p>
        </w:tc>
      </w:tr>
      <w:tr w:rsidR="00805647" w:rsidRPr="001448FE" w:rsidTr="004A0E02">
        <w:trPr>
          <w:trHeight w:val="273"/>
        </w:trPr>
        <w:tc>
          <w:tcPr>
            <w:tcW w:w="1195" w:type="dxa"/>
            <w:tcBorders>
              <w:top w:val="single" w:sz="4" w:space="0" w:color="auto"/>
              <w:left w:val="nil"/>
              <w:bottom w:val="nil"/>
              <w:right w:val="nil"/>
            </w:tcBorders>
            <w:shd w:val="clear" w:color="auto" w:fill="auto"/>
            <w:noWrap/>
            <w:vAlign w:val="bottom"/>
            <w:hideMark/>
          </w:tcPr>
          <w:p w:rsidR="00805647" w:rsidRPr="001448FE" w:rsidRDefault="00805647" w:rsidP="00247DB2">
            <w:pPr>
              <w:spacing w:before="0" w:after="0" w:line="240" w:lineRule="auto"/>
              <w:rPr>
                <w:color w:val="000000"/>
                <w:sz w:val="22"/>
                <w:szCs w:val="22"/>
                <w:lang w:eastAsia="en-GB"/>
              </w:rPr>
            </w:pPr>
            <w:r w:rsidRPr="001448FE">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805647" w:rsidRPr="001448FE" w:rsidRDefault="00805647" w:rsidP="00247DB2">
            <w:pPr>
              <w:spacing w:before="0" w:after="0" w:line="240" w:lineRule="auto"/>
              <w:rPr>
                <w:color w:val="000000"/>
                <w:sz w:val="22"/>
                <w:szCs w:val="22"/>
                <w:lang w:eastAsia="en-GB"/>
              </w:rPr>
            </w:pPr>
            <w:r w:rsidRPr="001448FE">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805647" w:rsidRPr="001448FE" w:rsidRDefault="00805647" w:rsidP="00247DB2">
            <w:pPr>
              <w:spacing w:before="0" w:after="0" w:line="240" w:lineRule="auto"/>
              <w:rPr>
                <w:color w:val="000000"/>
                <w:sz w:val="22"/>
                <w:szCs w:val="22"/>
                <w:lang w:eastAsia="en-GB"/>
              </w:rPr>
            </w:pPr>
            <w:r w:rsidRPr="001448FE">
              <w:rPr>
                <w:color w:val="000000"/>
                <w:sz w:val="22"/>
                <w:szCs w:val="22"/>
                <w:lang w:eastAsia="en-GB"/>
              </w:rPr>
              <w:t> </w:t>
            </w:r>
          </w:p>
        </w:tc>
        <w:tc>
          <w:tcPr>
            <w:tcW w:w="3366" w:type="dxa"/>
            <w:gridSpan w:val="3"/>
            <w:tcBorders>
              <w:top w:val="single" w:sz="4" w:space="0" w:color="auto"/>
              <w:left w:val="nil"/>
              <w:bottom w:val="single" w:sz="4" w:space="0" w:color="auto"/>
              <w:right w:val="nil"/>
            </w:tcBorders>
            <w:shd w:val="clear" w:color="000000" w:fill="FFFFFF"/>
            <w:noWrap/>
            <w:vAlign w:val="bottom"/>
            <w:hideMark/>
          </w:tcPr>
          <w:p w:rsidR="00805647" w:rsidRPr="001448FE" w:rsidRDefault="00805647" w:rsidP="00247DB2">
            <w:pPr>
              <w:spacing w:before="0" w:after="0" w:line="240" w:lineRule="auto"/>
              <w:jc w:val="center"/>
              <w:rPr>
                <w:color w:val="000000"/>
                <w:sz w:val="22"/>
                <w:szCs w:val="22"/>
                <w:lang w:eastAsia="en-GB"/>
              </w:rPr>
            </w:pPr>
            <w:r w:rsidRPr="001448FE">
              <w:rPr>
                <w:color w:val="000000"/>
                <w:sz w:val="22"/>
                <w:szCs w:val="22"/>
                <w:lang w:eastAsia="en-GB"/>
              </w:rPr>
              <w:t>Obligation</w:t>
            </w:r>
          </w:p>
        </w:tc>
        <w:tc>
          <w:tcPr>
            <w:tcW w:w="1342" w:type="dxa"/>
            <w:tcBorders>
              <w:top w:val="nil"/>
              <w:left w:val="nil"/>
              <w:bottom w:val="nil"/>
              <w:right w:val="nil"/>
            </w:tcBorders>
            <w:shd w:val="clear" w:color="auto" w:fill="auto"/>
            <w:noWrap/>
            <w:vAlign w:val="bottom"/>
            <w:hideMark/>
          </w:tcPr>
          <w:p w:rsidR="00805647" w:rsidRPr="001448FE" w:rsidRDefault="00805647" w:rsidP="00247DB2">
            <w:pPr>
              <w:spacing w:before="0" w:after="0" w:line="240" w:lineRule="auto"/>
              <w:rPr>
                <w:color w:val="000000"/>
                <w:sz w:val="22"/>
                <w:szCs w:val="22"/>
                <w:lang w:eastAsia="en-GB"/>
              </w:rPr>
            </w:pPr>
          </w:p>
        </w:tc>
        <w:tc>
          <w:tcPr>
            <w:tcW w:w="2354" w:type="dxa"/>
            <w:gridSpan w:val="2"/>
            <w:vMerge w:val="restart"/>
            <w:tcBorders>
              <w:top w:val="nil"/>
              <w:left w:val="nil"/>
              <w:bottom w:val="single" w:sz="4" w:space="0" w:color="000000"/>
              <w:right w:val="nil"/>
            </w:tcBorders>
            <w:shd w:val="clear" w:color="000000" w:fill="FFFFFF"/>
            <w:vAlign w:val="bottom"/>
            <w:hideMark/>
          </w:tcPr>
          <w:p w:rsidR="00805647" w:rsidRPr="001448FE" w:rsidRDefault="000E08BD" w:rsidP="00247DB2">
            <w:pPr>
              <w:spacing w:before="0" w:after="0" w:line="240" w:lineRule="auto"/>
              <w:jc w:val="center"/>
              <w:rPr>
                <w:color w:val="000000"/>
                <w:sz w:val="22"/>
                <w:szCs w:val="22"/>
                <w:lang w:eastAsia="en-GB"/>
              </w:rPr>
            </w:pPr>
            <w:r w:rsidRPr="001448FE">
              <w:rPr>
                <w:color w:val="000000"/>
                <w:sz w:val="22"/>
                <w:szCs w:val="22"/>
                <w:lang w:eastAsia="en-GB"/>
              </w:rPr>
              <w:t xml:space="preserve">Total number of households in receipt of ECO measures </w:t>
            </w:r>
            <w:r w:rsidR="00805647" w:rsidRPr="001448FE">
              <w:rPr>
                <w:color w:val="000000"/>
                <w:sz w:val="22"/>
                <w:szCs w:val="22"/>
                <w:vertAlign w:val="superscript"/>
                <w:lang w:eastAsia="en-GB"/>
              </w:rPr>
              <w:t>1</w:t>
            </w:r>
          </w:p>
        </w:tc>
      </w:tr>
      <w:tr w:rsidR="00805647" w:rsidRPr="001448FE" w:rsidTr="004A0E02">
        <w:trPr>
          <w:trHeight w:val="739"/>
        </w:trPr>
        <w:tc>
          <w:tcPr>
            <w:tcW w:w="1195" w:type="dxa"/>
            <w:vMerge w:val="restart"/>
            <w:tcBorders>
              <w:top w:val="nil"/>
              <w:left w:val="nil"/>
              <w:bottom w:val="single" w:sz="4" w:space="0" w:color="000000"/>
              <w:right w:val="nil"/>
            </w:tcBorders>
            <w:shd w:val="clear" w:color="auto" w:fill="auto"/>
            <w:noWrap/>
            <w:vAlign w:val="center"/>
            <w:hideMark/>
          </w:tcPr>
          <w:p w:rsidR="00805647" w:rsidRPr="001448FE" w:rsidRDefault="00247DB2" w:rsidP="00247DB2">
            <w:pPr>
              <w:spacing w:before="0" w:after="0" w:line="240" w:lineRule="auto"/>
              <w:rPr>
                <w:color w:val="000000"/>
                <w:sz w:val="22"/>
                <w:szCs w:val="22"/>
                <w:lang w:eastAsia="en-GB"/>
              </w:rPr>
            </w:pPr>
            <w:r w:rsidRPr="001448FE">
              <w:rPr>
                <w:color w:val="000000"/>
                <w:sz w:val="22"/>
                <w:szCs w:val="22"/>
                <w:lang w:eastAsia="en-GB"/>
              </w:rPr>
              <w:t>Tenure</w:t>
            </w:r>
          </w:p>
        </w:tc>
        <w:tc>
          <w:tcPr>
            <w:tcW w:w="2354" w:type="dxa"/>
            <w:gridSpan w:val="2"/>
            <w:tcBorders>
              <w:top w:val="nil"/>
              <w:left w:val="nil"/>
              <w:bottom w:val="single" w:sz="4" w:space="0" w:color="auto"/>
              <w:right w:val="nil"/>
            </w:tcBorders>
            <w:shd w:val="clear" w:color="000000" w:fill="FFFFFF"/>
            <w:vAlign w:val="bottom"/>
            <w:hideMark/>
          </w:tcPr>
          <w:p w:rsidR="00805647" w:rsidRPr="001448FE" w:rsidRDefault="00805647" w:rsidP="00247DB2">
            <w:pPr>
              <w:spacing w:before="0" w:after="0" w:line="240" w:lineRule="auto"/>
              <w:jc w:val="center"/>
              <w:rPr>
                <w:color w:val="000000"/>
                <w:sz w:val="22"/>
                <w:szCs w:val="22"/>
                <w:lang w:eastAsia="en-GB"/>
              </w:rPr>
            </w:pPr>
            <w:r w:rsidRPr="001448FE">
              <w:rPr>
                <w:color w:val="000000"/>
                <w:sz w:val="22"/>
                <w:szCs w:val="22"/>
                <w:lang w:eastAsia="en-GB"/>
              </w:rPr>
              <w:t>Carbon Saving Target (CSO)</w:t>
            </w:r>
          </w:p>
        </w:tc>
        <w:tc>
          <w:tcPr>
            <w:tcW w:w="2354" w:type="dxa"/>
            <w:gridSpan w:val="2"/>
            <w:tcBorders>
              <w:top w:val="nil"/>
              <w:left w:val="nil"/>
              <w:bottom w:val="single" w:sz="4" w:space="0" w:color="auto"/>
              <w:right w:val="nil"/>
            </w:tcBorders>
            <w:shd w:val="clear" w:color="000000" w:fill="FFFFFF"/>
            <w:vAlign w:val="bottom"/>
            <w:hideMark/>
          </w:tcPr>
          <w:p w:rsidR="00805647" w:rsidRPr="001448FE" w:rsidRDefault="00805647" w:rsidP="00247DB2">
            <w:pPr>
              <w:spacing w:before="0" w:after="0" w:line="240" w:lineRule="auto"/>
              <w:jc w:val="center"/>
              <w:rPr>
                <w:color w:val="000000"/>
                <w:sz w:val="22"/>
                <w:szCs w:val="22"/>
                <w:lang w:eastAsia="en-GB"/>
              </w:rPr>
            </w:pPr>
            <w:r w:rsidRPr="001448FE">
              <w:rPr>
                <w:color w:val="000000"/>
                <w:sz w:val="22"/>
                <w:szCs w:val="22"/>
                <w:lang w:eastAsia="en-GB"/>
              </w:rPr>
              <w:t>Carbon Savings Community (CSCO)</w:t>
            </w:r>
          </w:p>
        </w:tc>
        <w:tc>
          <w:tcPr>
            <w:tcW w:w="2354" w:type="dxa"/>
            <w:gridSpan w:val="2"/>
            <w:tcBorders>
              <w:top w:val="single" w:sz="4" w:space="0" w:color="auto"/>
              <w:left w:val="nil"/>
              <w:bottom w:val="single" w:sz="4" w:space="0" w:color="auto"/>
              <w:right w:val="nil"/>
            </w:tcBorders>
            <w:shd w:val="clear" w:color="000000" w:fill="FFFFFF"/>
            <w:vAlign w:val="bottom"/>
            <w:hideMark/>
          </w:tcPr>
          <w:p w:rsidR="00805647" w:rsidRPr="001448FE" w:rsidRDefault="00805647" w:rsidP="00247DB2">
            <w:pPr>
              <w:spacing w:before="0" w:after="0" w:line="240" w:lineRule="auto"/>
              <w:jc w:val="center"/>
              <w:rPr>
                <w:color w:val="000000"/>
                <w:sz w:val="22"/>
                <w:szCs w:val="22"/>
                <w:lang w:eastAsia="en-GB"/>
              </w:rPr>
            </w:pPr>
            <w:r w:rsidRPr="001448FE">
              <w:rPr>
                <w:color w:val="000000"/>
                <w:sz w:val="22"/>
                <w:szCs w:val="22"/>
                <w:lang w:eastAsia="en-GB"/>
              </w:rPr>
              <w:t>Affordable Warmth (HHCRO)</w:t>
            </w:r>
            <w:r w:rsidR="00247DB2" w:rsidRPr="001448FE">
              <w:rPr>
                <w:color w:val="000000"/>
                <w:sz w:val="22"/>
                <w:szCs w:val="22"/>
                <w:vertAlign w:val="superscript"/>
                <w:lang w:eastAsia="en-GB"/>
              </w:rPr>
              <w:t xml:space="preserve"> 2</w:t>
            </w:r>
          </w:p>
        </w:tc>
        <w:tc>
          <w:tcPr>
            <w:tcW w:w="2354" w:type="dxa"/>
            <w:gridSpan w:val="2"/>
            <w:vMerge/>
            <w:tcBorders>
              <w:top w:val="nil"/>
              <w:left w:val="nil"/>
              <w:bottom w:val="single" w:sz="4" w:space="0" w:color="000000"/>
              <w:right w:val="nil"/>
            </w:tcBorders>
            <w:vAlign w:val="center"/>
            <w:hideMark/>
          </w:tcPr>
          <w:p w:rsidR="00805647" w:rsidRPr="001448FE" w:rsidRDefault="00805647" w:rsidP="00247DB2">
            <w:pPr>
              <w:spacing w:before="0" w:after="0" w:line="240" w:lineRule="auto"/>
              <w:rPr>
                <w:color w:val="000000"/>
                <w:sz w:val="22"/>
                <w:szCs w:val="22"/>
                <w:lang w:eastAsia="en-GB"/>
              </w:rPr>
            </w:pPr>
          </w:p>
        </w:tc>
      </w:tr>
      <w:tr w:rsidR="00805647" w:rsidRPr="001448FE" w:rsidTr="004A0E02">
        <w:trPr>
          <w:trHeight w:val="256"/>
        </w:trPr>
        <w:tc>
          <w:tcPr>
            <w:tcW w:w="1195" w:type="dxa"/>
            <w:vMerge/>
            <w:tcBorders>
              <w:top w:val="nil"/>
              <w:left w:val="nil"/>
              <w:bottom w:val="single" w:sz="4" w:space="0" w:color="000000"/>
              <w:right w:val="nil"/>
            </w:tcBorders>
            <w:vAlign w:val="center"/>
            <w:hideMark/>
          </w:tcPr>
          <w:p w:rsidR="00805647" w:rsidRPr="001448FE" w:rsidRDefault="00805647" w:rsidP="00247DB2">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805647" w:rsidRPr="001448FE" w:rsidRDefault="00805647" w:rsidP="00247DB2">
            <w:pPr>
              <w:spacing w:before="0" w:after="0" w:line="240" w:lineRule="auto"/>
              <w:jc w:val="center"/>
              <w:rPr>
                <w:color w:val="000000"/>
                <w:sz w:val="22"/>
                <w:szCs w:val="22"/>
                <w:lang w:eastAsia="en-GB"/>
              </w:rPr>
            </w:pPr>
            <w:r w:rsidRPr="001448FE">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805647" w:rsidRPr="001448FE" w:rsidRDefault="00805647" w:rsidP="00247DB2">
            <w:pPr>
              <w:spacing w:before="0" w:after="0" w:line="240" w:lineRule="auto"/>
              <w:jc w:val="center"/>
              <w:rPr>
                <w:color w:val="000000"/>
                <w:sz w:val="22"/>
                <w:szCs w:val="22"/>
                <w:lang w:eastAsia="en-GB"/>
              </w:rPr>
            </w:pPr>
            <w:r w:rsidRPr="001448FE">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805647" w:rsidRPr="001448FE" w:rsidRDefault="00805647" w:rsidP="00247DB2">
            <w:pPr>
              <w:spacing w:before="0" w:after="0" w:line="240" w:lineRule="auto"/>
              <w:jc w:val="center"/>
              <w:rPr>
                <w:color w:val="000000"/>
                <w:sz w:val="22"/>
                <w:szCs w:val="22"/>
                <w:lang w:eastAsia="en-GB"/>
              </w:rPr>
            </w:pPr>
            <w:r w:rsidRPr="001448FE">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805647" w:rsidRPr="001448FE" w:rsidRDefault="00805647" w:rsidP="00247DB2">
            <w:pPr>
              <w:spacing w:before="0" w:after="0" w:line="240" w:lineRule="auto"/>
              <w:jc w:val="center"/>
              <w:rPr>
                <w:color w:val="000000"/>
                <w:sz w:val="22"/>
                <w:szCs w:val="22"/>
                <w:lang w:eastAsia="en-GB"/>
              </w:rPr>
            </w:pPr>
            <w:r w:rsidRPr="001448FE">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805647" w:rsidRPr="001448FE" w:rsidRDefault="00805647" w:rsidP="00247DB2">
            <w:pPr>
              <w:spacing w:before="0" w:after="0" w:line="240" w:lineRule="auto"/>
              <w:jc w:val="center"/>
              <w:rPr>
                <w:color w:val="000000"/>
                <w:sz w:val="22"/>
                <w:szCs w:val="22"/>
                <w:lang w:eastAsia="en-GB"/>
              </w:rPr>
            </w:pPr>
            <w:r w:rsidRPr="001448FE">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805647" w:rsidRPr="001448FE" w:rsidRDefault="00805647" w:rsidP="00247DB2">
            <w:pPr>
              <w:spacing w:before="0" w:after="0" w:line="240" w:lineRule="auto"/>
              <w:jc w:val="center"/>
              <w:rPr>
                <w:color w:val="000000"/>
                <w:sz w:val="22"/>
                <w:szCs w:val="22"/>
                <w:lang w:eastAsia="en-GB"/>
              </w:rPr>
            </w:pPr>
            <w:r w:rsidRPr="001448FE">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805647" w:rsidRPr="001448FE" w:rsidRDefault="00805647" w:rsidP="00247DB2">
            <w:pPr>
              <w:spacing w:before="0" w:after="0" w:line="240" w:lineRule="auto"/>
              <w:jc w:val="center"/>
              <w:rPr>
                <w:color w:val="000000"/>
                <w:sz w:val="22"/>
                <w:szCs w:val="22"/>
                <w:lang w:eastAsia="en-GB"/>
              </w:rPr>
            </w:pPr>
            <w:r w:rsidRPr="001448FE">
              <w:rPr>
                <w:color w:val="000000"/>
                <w:sz w:val="22"/>
                <w:szCs w:val="22"/>
                <w:lang w:eastAsia="en-GB"/>
              </w:rPr>
              <w:t>Number</w:t>
            </w:r>
          </w:p>
        </w:tc>
        <w:tc>
          <w:tcPr>
            <w:tcW w:w="1342" w:type="dxa"/>
            <w:tcBorders>
              <w:top w:val="nil"/>
              <w:left w:val="nil"/>
              <w:bottom w:val="single" w:sz="4" w:space="0" w:color="auto"/>
              <w:right w:val="nil"/>
            </w:tcBorders>
            <w:shd w:val="clear" w:color="000000" w:fill="FFFFFF"/>
            <w:vAlign w:val="bottom"/>
            <w:hideMark/>
          </w:tcPr>
          <w:p w:rsidR="00805647" w:rsidRPr="001448FE" w:rsidRDefault="00805647" w:rsidP="00247DB2">
            <w:pPr>
              <w:spacing w:before="0" w:after="0" w:line="240" w:lineRule="auto"/>
              <w:jc w:val="center"/>
              <w:rPr>
                <w:color w:val="000000"/>
                <w:sz w:val="22"/>
                <w:szCs w:val="22"/>
                <w:lang w:eastAsia="en-GB"/>
              </w:rPr>
            </w:pPr>
            <w:r w:rsidRPr="001448FE">
              <w:rPr>
                <w:color w:val="000000"/>
                <w:sz w:val="22"/>
                <w:szCs w:val="22"/>
                <w:lang w:eastAsia="en-GB"/>
              </w:rPr>
              <w:t>Percentage</w:t>
            </w:r>
          </w:p>
        </w:tc>
      </w:tr>
      <w:tr w:rsidR="006A7040" w:rsidRPr="001448FE" w:rsidTr="004A0E02">
        <w:trPr>
          <w:trHeight w:val="273"/>
        </w:trPr>
        <w:tc>
          <w:tcPr>
            <w:tcW w:w="1195" w:type="dxa"/>
            <w:tcBorders>
              <w:top w:val="nil"/>
              <w:left w:val="nil"/>
              <w:bottom w:val="nil"/>
              <w:right w:val="nil"/>
            </w:tcBorders>
            <w:shd w:val="clear" w:color="auto" w:fill="auto"/>
            <w:noWrap/>
            <w:vAlign w:val="bottom"/>
          </w:tcPr>
          <w:p w:rsidR="006A7040" w:rsidRPr="001448FE" w:rsidRDefault="006A7040" w:rsidP="00247DB2">
            <w:pPr>
              <w:spacing w:before="0" w:after="0"/>
              <w:rPr>
                <w:color w:val="000000"/>
                <w:sz w:val="22"/>
                <w:szCs w:val="22"/>
              </w:rPr>
            </w:pPr>
            <w:r w:rsidRPr="001448FE">
              <w:rPr>
                <w:color w:val="000000"/>
                <w:sz w:val="22"/>
                <w:szCs w:val="22"/>
              </w:rPr>
              <w:t>Owner-occupied</w:t>
            </w:r>
          </w:p>
        </w:tc>
        <w:tc>
          <w:tcPr>
            <w:tcW w:w="1012" w:type="dxa"/>
            <w:tcBorders>
              <w:top w:val="single" w:sz="4" w:space="0" w:color="auto"/>
              <w:left w:val="nil"/>
              <w:bottom w:val="nil"/>
              <w:right w:val="nil"/>
            </w:tcBorders>
            <w:shd w:val="clear" w:color="auto" w:fill="auto"/>
            <w:noWrap/>
            <w:vAlign w:val="bottom"/>
          </w:tcPr>
          <w:p w:rsidR="006A7040" w:rsidRPr="006A7040" w:rsidRDefault="006A7040" w:rsidP="006A7040">
            <w:pPr>
              <w:spacing w:before="0" w:after="0"/>
              <w:jc w:val="right"/>
              <w:rPr>
                <w:color w:val="000000"/>
                <w:sz w:val="22"/>
                <w:szCs w:val="22"/>
              </w:rPr>
            </w:pPr>
            <w:r w:rsidRPr="006A7040">
              <w:rPr>
                <w:color w:val="000000"/>
                <w:sz w:val="22"/>
                <w:szCs w:val="22"/>
              </w:rPr>
              <w:t>206,033</w:t>
            </w:r>
          </w:p>
        </w:tc>
        <w:tc>
          <w:tcPr>
            <w:tcW w:w="1342" w:type="dxa"/>
            <w:tcBorders>
              <w:top w:val="single" w:sz="4" w:space="0" w:color="auto"/>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69.1</w:t>
            </w:r>
          </w:p>
        </w:tc>
        <w:tc>
          <w:tcPr>
            <w:tcW w:w="1012" w:type="dxa"/>
            <w:tcBorders>
              <w:top w:val="single" w:sz="4" w:space="0" w:color="auto"/>
              <w:left w:val="nil"/>
              <w:bottom w:val="nil"/>
              <w:right w:val="nil"/>
            </w:tcBorders>
            <w:shd w:val="clear" w:color="auto" w:fill="auto"/>
            <w:noWrap/>
            <w:vAlign w:val="bottom"/>
          </w:tcPr>
          <w:p w:rsidR="006A7040" w:rsidRPr="006A7040" w:rsidRDefault="006A7040" w:rsidP="006A7040">
            <w:pPr>
              <w:spacing w:before="0" w:after="0"/>
              <w:jc w:val="right"/>
              <w:rPr>
                <w:color w:val="000000"/>
                <w:sz w:val="22"/>
                <w:szCs w:val="22"/>
              </w:rPr>
            </w:pPr>
            <w:r w:rsidRPr="006A7040">
              <w:rPr>
                <w:color w:val="000000"/>
                <w:sz w:val="22"/>
                <w:szCs w:val="22"/>
              </w:rPr>
              <w:t>112,513</w:t>
            </w:r>
          </w:p>
        </w:tc>
        <w:tc>
          <w:tcPr>
            <w:tcW w:w="1342" w:type="dxa"/>
            <w:tcBorders>
              <w:top w:val="single" w:sz="4" w:space="0" w:color="auto"/>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67.4</w:t>
            </w:r>
          </w:p>
        </w:tc>
        <w:tc>
          <w:tcPr>
            <w:tcW w:w="1012" w:type="dxa"/>
            <w:tcBorders>
              <w:top w:val="single" w:sz="4" w:space="0" w:color="auto"/>
              <w:left w:val="nil"/>
              <w:bottom w:val="nil"/>
              <w:right w:val="nil"/>
            </w:tcBorders>
            <w:shd w:val="clear" w:color="auto" w:fill="auto"/>
            <w:noWrap/>
            <w:vAlign w:val="bottom"/>
          </w:tcPr>
          <w:p w:rsidR="006A7040" w:rsidRPr="006A7040" w:rsidRDefault="006A7040" w:rsidP="006A7040">
            <w:pPr>
              <w:spacing w:before="0" w:after="0"/>
              <w:jc w:val="right"/>
              <w:rPr>
                <w:color w:val="000000"/>
                <w:sz w:val="22"/>
                <w:szCs w:val="22"/>
              </w:rPr>
            </w:pPr>
            <w:r w:rsidRPr="006A7040">
              <w:rPr>
                <w:color w:val="000000"/>
                <w:sz w:val="22"/>
                <w:szCs w:val="22"/>
              </w:rPr>
              <w:t>222,096</w:t>
            </w:r>
          </w:p>
        </w:tc>
        <w:tc>
          <w:tcPr>
            <w:tcW w:w="1342" w:type="dxa"/>
            <w:tcBorders>
              <w:top w:val="single" w:sz="4" w:space="0" w:color="auto"/>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76.8</w:t>
            </w:r>
          </w:p>
        </w:tc>
        <w:tc>
          <w:tcPr>
            <w:tcW w:w="1012" w:type="dxa"/>
            <w:tcBorders>
              <w:top w:val="single" w:sz="4" w:space="0" w:color="auto"/>
              <w:left w:val="nil"/>
              <w:bottom w:val="nil"/>
              <w:right w:val="nil"/>
            </w:tcBorders>
            <w:shd w:val="clear" w:color="auto" w:fill="auto"/>
            <w:noWrap/>
            <w:vAlign w:val="bottom"/>
          </w:tcPr>
          <w:p w:rsidR="006A7040" w:rsidRPr="006A7040" w:rsidRDefault="006A7040" w:rsidP="006A7040">
            <w:pPr>
              <w:spacing w:before="0" w:after="0"/>
              <w:jc w:val="right"/>
              <w:rPr>
                <w:color w:val="000000"/>
                <w:sz w:val="22"/>
                <w:szCs w:val="22"/>
              </w:rPr>
            </w:pPr>
            <w:r w:rsidRPr="006A7040">
              <w:rPr>
                <w:color w:val="000000"/>
                <w:sz w:val="22"/>
                <w:szCs w:val="22"/>
              </w:rPr>
              <w:t>540,642</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71.7</w:t>
            </w:r>
          </w:p>
        </w:tc>
      </w:tr>
      <w:tr w:rsidR="006A7040" w:rsidRPr="001448FE" w:rsidTr="004A0E02">
        <w:trPr>
          <w:trHeight w:val="273"/>
        </w:trPr>
        <w:tc>
          <w:tcPr>
            <w:tcW w:w="1195" w:type="dxa"/>
            <w:tcBorders>
              <w:top w:val="nil"/>
              <w:left w:val="nil"/>
              <w:bottom w:val="nil"/>
              <w:right w:val="nil"/>
            </w:tcBorders>
            <w:shd w:val="clear" w:color="auto" w:fill="auto"/>
            <w:noWrap/>
            <w:vAlign w:val="bottom"/>
          </w:tcPr>
          <w:p w:rsidR="006A7040" w:rsidRPr="001448FE" w:rsidRDefault="006A7040" w:rsidP="00247DB2">
            <w:pPr>
              <w:spacing w:before="0" w:after="0"/>
              <w:rPr>
                <w:color w:val="000000"/>
                <w:sz w:val="22"/>
                <w:szCs w:val="22"/>
              </w:rPr>
            </w:pPr>
            <w:r w:rsidRPr="001448FE">
              <w:rPr>
                <w:color w:val="000000"/>
                <w:sz w:val="22"/>
                <w:szCs w:val="22"/>
              </w:rPr>
              <w:t>Rented (private)</w:t>
            </w:r>
          </w:p>
        </w:tc>
        <w:tc>
          <w:tcPr>
            <w:tcW w:w="1012" w:type="dxa"/>
            <w:tcBorders>
              <w:top w:val="nil"/>
              <w:left w:val="nil"/>
              <w:bottom w:val="nil"/>
              <w:right w:val="nil"/>
            </w:tcBorders>
            <w:shd w:val="clear" w:color="auto" w:fill="auto"/>
            <w:noWrap/>
            <w:vAlign w:val="bottom"/>
          </w:tcPr>
          <w:p w:rsidR="006A7040" w:rsidRPr="006A7040" w:rsidRDefault="006A7040" w:rsidP="006A7040">
            <w:pPr>
              <w:spacing w:before="0" w:after="0"/>
              <w:jc w:val="right"/>
              <w:rPr>
                <w:color w:val="000000"/>
                <w:sz w:val="22"/>
                <w:szCs w:val="22"/>
              </w:rPr>
            </w:pPr>
            <w:r w:rsidRPr="006A7040">
              <w:rPr>
                <w:color w:val="000000"/>
                <w:sz w:val="22"/>
                <w:szCs w:val="22"/>
              </w:rPr>
              <w:t>34,546</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11.6</w:t>
            </w:r>
          </w:p>
        </w:tc>
        <w:tc>
          <w:tcPr>
            <w:tcW w:w="1012" w:type="dxa"/>
            <w:tcBorders>
              <w:top w:val="nil"/>
              <w:left w:val="nil"/>
              <w:bottom w:val="nil"/>
              <w:right w:val="nil"/>
            </w:tcBorders>
            <w:shd w:val="clear" w:color="auto" w:fill="auto"/>
            <w:noWrap/>
            <w:vAlign w:val="bottom"/>
          </w:tcPr>
          <w:p w:rsidR="006A7040" w:rsidRPr="006A7040" w:rsidRDefault="006A7040" w:rsidP="006A7040">
            <w:pPr>
              <w:spacing w:before="0" w:after="0"/>
              <w:jc w:val="right"/>
              <w:rPr>
                <w:color w:val="000000"/>
                <w:sz w:val="22"/>
                <w:szCs w:val="22"/>
              </w:rPr>
            </w:pPr>
            <w:r w:rsidRPr="006A7040">
              <w:rPr>
                <w:color w:val="000000"/>
                <w:sz w:val="22"/>
                <w:szCs w:val="22"/>
              </w:rPr>
              <w:t>21,239</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12.7</w:t>
            </w:r>
          </w:p>
        </w:tc>
        <w:tc>
          <w:tcPr>
            <w:tcW w:w="1012" w:type="dxa"/>
            <w:tcBorders>
              <w:top w:val="nil"/>
              <w:left w:val="nil"/>
              <w:bottom w:val="nil"/>
              <w:right w:val="nil"/>
            </w:tcBorders>
            <w:shd w:val="clear" w:color="auto" w:fill="auto"/>
            <w:noWrap/>
            <w:vAlign w:val="bottom"/>
          </w:tcPr>
          <w:p w:rsidR="006A7040" w:rsidRPr="006A7040" w:rsidRDefault="006A7040" w:rsidP="006A7040">
            <w:pPr>
              <w:spacing w:before="0" w:after="0"/>
              <w:jc w:val="right"/>
              <w:rPr>
                <w:color w:val="000000"/>
                <w:sz w:val="22"/>
                <w:szCs w:val="22"/>
              </w:rPr>
            </w:pPr>
            <w:r w:rsidRPr="006A7040">
              <w:rPr>
                <w:color w:val="000000"/>
                <w:sz w:val="22"/>
                <w:szCs w:val="22"/>
              </w:rPr>
              <w:t>66,958</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23.2</w:t>
            </w:r>
          </w:p>
        </w:tc>
        <w:tc>
          <w:tcPr>
            <w:tcW w:w="1012" w:type="dxa"/>
            <w:tcBorders>
              <w:top w:val="nil"/>
              <w:left w:val="nil"/>
              <w:bottom w:val="nil"/>
              <w:right w:val="nil"/>
            </w:tcBorders>
            <w:shd w:val="clear" w:color="auto" w:fill="auto"/>
            <w:noWrap/>
            <w:vAlign w:val="bottom"/>
          </w:tcPr>
          <w:p w:rsidR="006A7040" w:rsidRPr="006A7040" w:rsidRDefault="006A7040" w:rsidP="006A7040">
            <w:pPr>
              <w:spacing w:before="0" w:after="0"/>
              <w:jc w:val="right"/>
              <w:rPr>
                <w:color w:val="000000"/>
                <w:sz w:val="22"/>
                <w:szCs w:val="22"/>
              </w:rPr>
            </w:pPr>
            <w:r w:rsidRPr="006A7040">
              <w:rPr>
                <w:color w:val="000000"/>
                <w:sz w:val="22"/>
                <w:szCs w:val="22"/>
              </w:rPr>
              <w:t>122,743</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16.3</w:t>
            </w:r>
          </w:p>
        </w:tc>
      </w:tr>
      <w:tr w:rsidR="006A7040" w:rsidRPr="001448FE" w:rsidTr="004A0E02">
        <w:trPr>
          <w:trHeight w:val="315"/>
        </w:trPr>
        <w:tc>
          <w:tcPr>
            <w:tcW w:w="1195" w:type="dxa"/>
            <w:tcBorders>
              <w:top w:val="nil"/>
              <w:left w:val="nil"/>
              <w:bottom w:val="nil"/>
              <w:right w:val="nil"/>
            </w:tcBorders>
            <w:shd w:val="clear" w:color="auto" w:fill="auto"/>
            <w:noWrap/>
            <w:vAlign w:val="bottom"/>
          </w:tcPr>
          <w:p w:rsidR="006A7040" w:rsidRPr="001448FE" w:rsidRDefault="006A7040" w:rsidP="00247DB2">
            <w:pPr>
              <w:spacing w:before="0" w:after="0"/>
              <w:rPr>
                <w:color w:val="000000"/>
                <w:sz w:val="22"/>
                <w:szCs w:val="22"/>
              </w:rPr>
            </w:pPr>
            <w:r w:rsidRPr="001448FE">
              <w:rPr>
                <w:color w:val="000000"/>
                <w:sz w:val="22"/>
                <w:szCs w:val="22"/>
              </w:rPr>
              <w:t>Rented (social)</w:t>
            </w:r>
          </w:p>
        </w:tc>
        <w:tc>
          <w:tcPr>
            <w:tcW w:w="1012" w:type="dxa"/>
            <w:tcBorders>
              <w:top w:val="nil"/>
              <w:left w:val="nil"/>
              <w:bottom w:val="nil"/>
              <w:right w:val="nil"/>
            </w:tcBorders>
            <w:shd w:val="clear" w:color="auto" w:fill="auto"/>
            <w:noWrap/>
            <w:vAlign w:val="bottom"/>
          </w:tcPr>
          <w:p w:rsidR="006A7040" w:rsidRPr="006A7040" w:rsidRDefault="006A7040" w:rsidP="006A7040">
            <w:pPr>
              <w:spacing w:before="0" w:after="0"/>
              <w:jc w:val="right"/>
              <w:rPr>
                <w:color w:val="000000"/>
                <w:sz w:val="22"/>
                <w:szCs w:val="22"/>
              </w:rPr>
            </w:pPr>
            <w:r w:rsidRPr="006A7040">
              <w:rPr>
                <w:color w:val="000000"/>
                <w:sz w:val="22"/>
                <w:szCs w:val="22"/>
              </w:rPr>
              <w:t>57,466</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19.3</w:t>
            </w:r>
          </w:p>
        </w:tc>
        <w:tc>
          <w:tcPr>
            <w:tcW w:w="1012" w:type="dxa"/>
            <w:tcBorders>
              <w:top w:val="nil"/>
              <w:left w:val="nil"/>
              <w:bottom w:val="nil"/>
              <w:right w:val="nil"/>
            </w:tcBorders>
            <w:shd w:val="clear" w:color="auto" w:fill="auto"/>
            <w:noWrap/>
            <w:vAlign w:val="bottom"/>
          </w:tcPr>
          <w:p w:rsidR="006A7040" w:rsidRPr="006A7040" w:rsidRDefault="006A7040" w:rsidP="006A7040">
            <w:pPr>
              <w:spacing w:before="0" w:after="0"/>
              <w:jc w:val="right"/>
              <w:rPr>
                <w:color w:val="000000"/>
                <w:sz w:val="22"/>
                <w:szCs w:val="22"/>
              </w:rPr>
            </w:pPr>
            <w:r w:rsidRPr="006A7040">
              <w:rPr>
                <w:color w:val="000000"/>
                <w:sz w:val="22"/>
                <w:szCs w:val="22"/>
              </w:rPr>
              <w:t>33,224</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19.9</w:t>
            </w:r>
          </w:p>
        </w:tc>
        <w:tc>
          <w:tcPr>
            <w:tcW w:w="1012" w:type="dxa"/>
            <w:tcBorders>
              <w:top w:val="nil"/>
              <w:left w:val="nil"/>
              <w:bottom w:val="nil"/>
              <w:right w:val="nil"/>
            </w:tcBorders>
            <w:shd w:val="clear" w:color="auto" w:fill="auto"/>
            <w:noWrap/>
            <w:vAlign w:val="bottom"/>
          </w:tcPr>
          <w:p w:rsidR="006A7040" w:rsidRPr="006A7040" w:rsidRDefault="006A7040" w:rsidP="006A7040">
            <w:pPr>
              <w:spacing w:before="0" w:after="0"/>
              <w:jc w:val="right"/>
              <w:rPr>
                <w:color w:val="000000"/>
                <w:sz w:val="22"/>
                <w:szCs w:val="22"/>
              </w:rPr>
            </w:pPr>
            <w:r w:rsidRPr="006A7040">
              <w:rPr>
                <w:color w:val="000000"/>
                <w:sz w:val="22"/>
                <w:szCs w:val="22"/>
              </w:rPr>
              <w:t>N/A</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 </w:t>
            </w:r>
          </w:p>
        </w:tc>
        <w:tc>
          <w:tcPr>
            <w:tcW w:w="1012" w:type="dxa"/>
            <w:tcBorders>
              <w:top w:val="nil"/>
              <w:left w:val="nil"/>
              <w:bottom w:val="nil"/>
              <w:right w:val="nil"/>
            </w:tcBorders>
            <w:shd w:val="clear" w:color="auto" w:fill="auto"/>
            <w:noWrap/>
            <w:vAlign w:val="bottom"/>
          </w:tcPr>
          <w:p w:rsidR="006A7040" w:rsidRPr="006A7040" w:rsidRDefault="006A7040" w:rsidP="006A7040">
            <w:pPr>
              <w:spacing w:before="0" w:after="0"/>
              <w:jc w:val="right"/>
              <w:rPr>
                <w:color w:val="000000"/>
                <w:sz w:val="22"/>
                <w:szCs w:val="22"/>
              </w:rPr>
            </w:pPr>
            <w:r w:rsidRPr="006A7040">
              <w:rPr>
                <w:color w:val="000000"/>
                <w:sz w:val="22"/>
                <w:szCs w:val="22"/>
              </w:rPr>
              <w:t>90,690</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12.0</w:t>
            </w:r>
          </w:p>
        </w:tc>
      </w:tr>
      <w:tr w:rsidR="006A7040" w:rsidRPr="001448FE" w:rsidTr="004A0E02">
        <w:trPr>
          <w:trHeight w:val="273"/>
        </w:trPr>
        <w:tc>
          <w:tcPr>
            <w:tcW w:w="1195" w:type="dxa"/>
            <w:tcBorders>
              <w:top w:val="nil"/>
              <w:left w:val="nil"/>
              <w:bottom w:val="nil"/>
              <w:right w:val="nil"/>
            </w:tcBorders>
            <w:shd w:val="clear" w:color="auto" w:fill="auto"/>
            <w:noWrap/>
            <w:vAlign w:val="center"/>
          </w:tcPr>
          <w:p w:rsidR="006A7040" w:rsidRPr="001448FE" w:rsidRDefault="006A7040" w:rsidP="00247DB2">
            <w:pPr>
              <w:spacing w:before="0" w:after="0"/>
              <w:rPr>
                <w:color w:val="000000"/>
                <w:sz w:val="22"/>
                <w:szCs w:val="22"/>
              </w:rPr>
            </w:pPr>
          </w:p>
        </w:tc>
        <w:tc>
          <w:tcPr>
            <w:tcW w:w="1012" w:type="dxa"/>
            <w:tcBorders>
              <w:top w:val="nil"/>
              <w:left w:val="nil"/>
              <w:bottom w:val="nil"/>
              <w:right w:val="nil"/>
            </w:tcBorders>
            <w:shd w:val="clear" w:color="auto" w:fill="auto"/>
            <w:noWrap/>
            <w:vAlign w:val="bottom"/>
          </w:tcPr>
          <w:p w:rsidR="006A7040" w:rsidRPr="006A7040" w:rsidRDefault="006A7040" w:rsidP="006A7040">
            <w:pPr>
              <w:spacing w:before="0" w:after="0"/>
              <w:rPr>
                <w:color w:val="000000"/>
                <w:sz w:val="22"/>
                <w:szCs w:val="22"/>
              </w:rPr>
            </w:pPr>
            <w:r w:rsidRPr="006A7040">
              <w:rPr>
                <w:color w:val="000000"/>
                <w:sz w:val="22"/>
                <w:szCs w:val="22"/>
              </w:rPr>
              <w:t> </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 </w:t>
            </w:r>
          </w:p>
        </w:tc>
        <w:tc>
          <w:tcPr>
            <w:tcW w:w="1012" w:type="dxa"/>
            <w:tcBorders>
              <w:top w:val="nil"/>
              <w:left w:val="nil"/>
              <w:bottom w:val="nil"/>
              <w:right w:val="nil"/>
            </w:tcBorders>
            <w:shd w:val="clear" w:color="auto" w:fill="auto"/>
            <w:noWrap/>
            <w:vAlign w:val="bottom"/>
          </w:tcPr>
          <w:p w:rsidR="006A7040" w:rsidRPr="006A7040" w:rsidRDefault="006A7040" w:rsidP="006A7040">
            <w:pPr>
              <w:spacing w:before="0" w:after="0"/>
              <w:rPr>
                <w:color w:val="000000"/>
                <w:sz w:val="22"/>
                <w:szCs w:val="22"/>
              </w:rPr>
            </w:pPr>
            <w:r w:rsidRPr="006A7040">
              <w:rPr>
                <w:color w:val="000000"/>
                <w:sz w:val="22"/>
                <w:szCs w:val="22"/>
              </w:rPr>
              <w:t> </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 </w:t>
            </w:r>
          </w:p>
        </w:tc>
        <w:tc>
          <w:tcPr>
            <w:tcW w:w="1012" w:type="dxa"/>
            <w:tcBorders>
              <w:top w:val="nil"/>
              <w:left w:val="nil"/>
              <w:bottom w:val="nil"/>
              <w:right w:val="nil"/>
            </w:tcBorders>
            <w:shd w:val="clear" w:color="auto" w:fill="auto"/>
            <w:noWrap/>
            <w:vAlign w:val="bottom"/>
          </w:tcPr>
          <w:p w:rsidR="006A7040" w:rsidRPr="006A7040" w:rsidRDefault="006A7040" w:rsidP="006A7040">
            <w:pPr>
              <w:spacing w:before="0" w:after="0"/>
              <w:rPr>
                <w:color w:val="000000"/>
                <w:sz w:val="22"/>
                <w:szCs w:val="22"/>
              </w:rPr>
            </w:pPr>
            <w:r w:rsidRPr="006A7040">
              <w:rPr>
                <w:color w:val="000000"/>
                <w:sz w:val="22"/>
                <w:szCs w:val="22"/>
              </w:rPr>
              <w:t> </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 </w:t>
            </w:r>
          </w:p>
        </w:tc>
        <w:tc>
          <w:tcPr>
            <w:tcW w:w="1012" w:type="dxa"/>
            <w:tcBorders>
              <w:top w:val="nil"/>
              <w:left w:val="nil"/>
              <w:bottom w:val="nil"/>
              <w:right w:val="nil"/>
            </w:tcBorders>
            <w:shd w:val="clear" w:color="auto" w:fill="auto"/>
            <w:noWrap/>
            <w:vAlign w:val="bottom"/>
          </w:tcPr>
          <w:p w:rsidR="006A7040" w:rsidRPr="006A7040" w:rsidRDefault="006A7040" w:rsidP="006A7040">
            <w:pPr>
              <w:spacing w:before="0" w:after="0"/>
              <w:rPr>
                <w:color w:val="000000"/>
                <w:sz w:val="22"/>
                <w:szCs w:val="22"/>
              </w:rPr>
            </w:pPr>
            <w:r w:rsidRPr="006A7040">
              <w:rPr>
                <w:color w:val="000000"/>
                <w:sz w:val="22"/>
                <w:szCs w:val="22"/>
              </w:rPr>
              <w:t> </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 </w:t>
            </w:r>
          </w:p>
        </w:tc>
      </w:tr>
      <w:tr w:rsidR="006A7040" w:rsidRPr="001448FE" w:rsidTr="004A0E02">
        <w:trPr>
          <w:trHeight w:val="273"/>
        </w:trPr>
        <w:tc>
          <w:tcPr>
            <w:tcW w:w="1195" w:type="dxa"/>
            <w:tcBorders>
              <w:top w:val="nil"/>
              <w:left w:val="nil"/>
              <w:bottom w:val="nil"/>
              <w:right w:val="nil"/>
            </w:tcBorders>
            <w:shd w:val="clear" w:color="auto" w:fill="auto"/>
            <w:noWrap/>
            <w:vAlign w:val="center"/>
          </w:tcPr>
          <w:p w:rsidR="006A7040" w:rsidRPr="001448FE" w:rsidRDefault="006A7040" w:rsidP="00247DB2">
            <w:pPr>
              <w:spacing w:before="0" w:after="0"/>
              <w:rPr>
                <w:color w:val="000000"/>
                <w:sz w:val="22"/>
                <w:szCs w:val="22"/>
              </w:rPr>
            </w:pPr>
            <w:r w:rsidRPr="001448FE">
              <w:rPr>
                <w:color w:val="000000"/>
                <w:sz w:val="22"/>
                <w:szCs w:val="22"/>
              </w:rPr>
              <w:t>Unknown</w:t>
            </w:r>
          </w:p>
        </w:tc>
        <w:tc>
          <w:tcPr>
            <w:tcW w:w="1012" w:type="dxa"/>
            <w:tcBorders>
              <w:top w:val="nil"/>
              <w:left w:val="nil"/>
              <w:bottom w:val="nil"/>
              <w:right w:val="nil"/>
            </w:tcBorders>
            <w:shd w:val="clear" w:color="auto" w:fill="auto"/>
            <w:noWrap/>
            <w:vAlign w:val="bottom"/>
          </w:tcPr>
          <w:p w:rsidR="006A7040" w:rsidRPr="006A7040" w:rsidRDefault="006A7040" w:rsidP="006A7040">
            <w:pPr>
              <w:spacing w:before="0" w:after="0"/>
              <w:jc w:val="right"/>
              <w:rPr>
                <w:color w:val="000000"/>
                <w:sz w:val="22"/>
                <w:szCs w:val="22"/>
              </w:rPr>
            </w:pPr>
            <w:r w:rsidRPr="006A7040">
              <w:rPr>
                <w:color w:val="000000"/>
                <w:sz w:val="22"/>
                <w:szCs w:val="22"/>
              </w:rPr>
              <w:t>17,090</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color w:val="000000"/>
                <w:sz w:val="22"/>
                <w:szCs w:val="22"/>
              </w:rPr>
            </w:pPr>
            <w:r w:rsidRPr="006A7040">
              <w:rPr>
                <w:color w:val="000000"/>
                <w:sz w:val="22"/>
                <w:szCs w:val="22"/>
              </w:rPr>
              <w:t>-</w:t>
            </w:r>
          </w:p>
        </w:tc>
        <w:tc>
          <w:tcPr>
            <w:tcW w:w="1012" w:type="dxa"/>
            <w:tcBorders>
              <w:top w:val="nil"/>
              <w:left w:val="nil"/>
              <w:bottom w:val="nil"/>
              <w:right w:val="nil"/>
            </w:tcBorders>
            <w:shd w:val="clear" w:color="auto" w:fill="auto"/>
            <w:noWrap/>
            <w:vAlign w:val="bottom"/>
          </w:tcPr>
          <w:p w:rsidR="006A7040" w:rsidRPr="006A7040" w:rsidRDefault="006A7040" w:rsidP="006A7040">
            <w:pPr>
              <w:spacing w:before="0" w:after="0"/>
              <w:jc w:val="right"/>
              <w:rPr>
                <w:color w:val="000000"/>
                <w:sz w:val="22"/>
                <w:szCs w:val="22"/>
              </w:rPr>
            </w:pPr>
            <w:r w:rsidRPr="006A7040">
              <w:rPr>
                <w:color w:val="000000"/>
                <w:sz w:val="22"/>
                <w:szCs w:val="22"/>
              </w:rPr>
              <w:t>8,326</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color w:val="000000"/>
                <w:sz w:val="22"/>
                <w:szCs w:val="22"/>
              </w:rPr>
            </w:pPr>
            <w:r w:rsidRPr="006A7040">
              <w:rPr>
                <w:color w:val="000000"/>
                <w:sz w:val="22"/>
                <w:szCs w:val="22"/>
              </w:rPr>
              <w:t>-</w:t>
            </w:r>
          </w:p>
        </w:tc>
        <w:tc>
          <w:tcPr>
            <w:tcW w:w="1012" w:type="dxa"/>
            <w:tcBorders>
              <w:top w:val="nil"/>
              <w:left w:val="nil"/>
              <w:bottom w:val="nil"/>
              <w:right w:val="nil"/>
            </w:tcBorders>
            <w:shd w:val="clear" w:color="auto" w:fill="auto"/>
            <w:noWrap/>
            <w:vAlign w:val="bottom"/>
          </w:tcPr>
          <w:p w:rsidR="006A7040" w:rsidRPr="006A7040" w:rsidRDefault="006A7040" w:rsidP="006A7040">
            <w:pPr>
              <w:spacing w:before="0" w:after="0"/>
              <w:jc w:val="right"/>
              <w:rPr>
                <w:color w:val="000000"/>
                <w:sz w:val="22"/>
                <w:szCs w:val="22"/>
              </w:rPr>
            </w:pPr>
            <w:r w:rsidRPr="006A7040">
              <w:rPr>
                <w:color w:val="000000"/>
                <w:sz w:val="22"/>
                <w:szCs w:val="22"/>
              </w:rPr>
              <w:t>5,903</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w:t>
            </w:r>
          </w:p>
        </w:tc>
        <w:tc>
          <w:tcPr>
            <w:tcW w:w="1012" w:type="dxa"/>
            <w:tcBorders>
              <w:top w:val="nil"/>
              <w:left w:val="nil"/>
              <w:bottom w:val="nil"/>
              <w:right w:val="nil"/>
            </w:tcBorders>
            <w:shd w:val="clear" w:color="auto" w:fill="auto"/>
            <w:noWrap/>
            <w:vAlign w:val="bottom"/>
          </w:tcPr>
          <w:p w:rsidR="006A7040" w:rsidRPr="006A7040" w:rsidRDefault="006A7040" w:rsidP="006A7040">
            <w:pPr>
              <w:spacing w:before="0" w:after="0"/>
              <w:jc w:val="right"/>
              <w:rPr>
                <w:color w:val="000000"/>
                <w:sz w:val="22"/>
                <w:szCs w:val="22"/>
              </w:rPr>
            </w:pPr>
            <w:r w:rsidRPr="006A7040">
              <w:rPr>
                <w:color w:val="000000"/>
                <w:sz w:val="22"/>
                <w:szCs w:val="22"/>
              </w:rPr>
              <w:t>31,319</w:t>
            </w:r>
          </w:p>
        </w:tc>
        <w:tc>
          <w:tcPr>
            <w:tcW w:w="1342" w:type="dxa"/>
            <w:tcBorders>
              <w:top w:val="nil"/>
              <w:left w:val="nil"/>
              <w:bottom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w:t>
            </w:r>
          </w:p>
        </w:tc>
      </w:tr>
      <w:tr w:rsidR="006A7040" w:rsidRPr="001448FE" w:rsidTr="004A0E02">
        <w:trPr>
          <w:trHeight w:val="273"/>
        </w:trPr>
        <w:tc>
          <w:tcPr>
            <w:tcW w:w="1195" w:type="dxa"/>
            <w:tcBorders>
              <w:top w:val="nil"/>
              <w:left w:val="nil"/>
              <w:right w:val="nil"/>
            </w:tcBorders>
            <w:shd w:val="clear" w:color="auto" w:fill="auto"/>
            <w:noWrap/>
            <w:vAlign w:val="bottom"/>
          </w:tcPr>
          <w:p w:rsidR="006A7040" w:rsidRPr="001448FE" w:rsidRDefault="006A7040" w:rsidP="00247DB2">
            <w:pPr>
              <w:spacing w:before="0" w:after="0"/>
              <w:rPr>
                <w:color w:val="000000"/>
                <w:sz w:val="22"/>
                <w:szCs w:val="22"/>
              </w:rPr>
            </w:pPr>
          </w:p>
        </w:tc>
        <w:tc>
          <w:tcPr>
            <w:tcW w:w="1012" w:type="dxa"/>
            <w:tcBorders>
              <w:top w:val="nil"/>
              <w:left w:val="nil"/>
              <w:right w:val="nil"/>
            </w:tcBorders>
            <w:shd w:val="clear" w:color="auto" w:fill="auto"/>
            <w:noWrap/>
            <w:vAlign w:val="bottom"/>
          </w:tcPr>
          <w:p w:rsidR="006A7040" w:rsidRPr="006A7040" w:rsidRDefault="006A7040" w:rsidP="006A7040">
            <w:pPr>
              <w:spacing w:before="0" w:after="0"/>
              <w:rPr>
                <w:color w:val="000000"/>
                <w:sz w:val="22"/>
                <w:szCs w:val="22"/>
              </w:rPr>
            </w:pPr>
            <w:r w:rsidRPr="006A7040">
              <w:rPr>
                <w:color w:val="000000"/>
                <w:sz w:val="22"/>
                <w:szCs w:val="22"/>
              </w:rPr>
              <w:t> </w:t>
            </w:r>
          </w:p>
        </w:tc>
        <w:tc>
          <w:tcPr>
            <w:tcW w:w="1342" w:type="dxa"/>
            <w:tcBorders>
              <w:top w:val="nil"/>
              <w:left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 </w:t>
            </w:r>
          </w:p>
        </w:tc>
        <w:tc>
          <w:tcPr>
            <w:tcW w:w="1012" w:type="dxa"/>
            <w:tcBorders>
              <w:top w:val="nil"/>
              <w:left w:val="nil"/>
              <w:right w:val="nil"/>
            </w:tcBorders>
            <w:shd w:val="clear" w:color="auto" w:fill="auto"/>
            <w:noWrap/>
            <w:vAlign w:val="bottom"/>
          </w:tcPr>
          <w:p w:rsidR="006A7040" w:rsidRPr="006A7040" w:rsidRDefault="006A7040" w:rsidP="006A7040">
            <w:pPr>
              <w:spacing w:before="0" w:after="0"/>
              <w:rPr>
                <w:color w:val="000000"/>
                <w:sz w:val="22"/>
                <w:szCs w:val="22"/>
              </w:rPr>
            </w:pPr>
            <w:r w:rsidRPr="006A7040">
              <w:rPr>
                <w:color w:val="000000"/>
                <w:sz w:val="22"/>
                <w:szCs w:val="22"/>
              </w:rPr>
              <w:t> </w:t>
            </w:r>
          </w:p>
        </w:tc>
        <w:tc>
          <w:tcPr>
            <w:tcW w:w="1342" w:type="dxa"/>
            <w:tcBorders>
              <w:top w:val="nil"/>
              <w:left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 </w:t>
            </w:r>
          </w:p>
        </w:tc>
        <w:tc>
          <w:tcPr>
            <w:tcW w:w="1012" w:type="dxa"/>
            <w:tcBorders>
              <w:top w:val="nil"/>
              <w:left w:val="nil"/>
              <w:right w:val="nil"/>
            </w:tcBorders>
            <w:shd w:val="clear" w:color="auto" w:fill="auto"/>
            <w:noWrap/>
            <w:vAlign w:val="bottom"/>
          </w:tcPr>
          <w:p w:rsidR="006A7040" w:rsidRPr="006A7040" w:rsidRDefault="006A7040" w:rsidP="006A7040">
            <w:pPr>
              <w:spacing w:before="0" w:after="0"/>
              <w:rPr>
                <w:color w:val="000000"/>
                <w:sz w:val="22"/>
                <w:szCs w:val="22"/>
              </w:rPr>
            </w:pPr>
            <w:r w:rsidRPr="006A7040">
              <w:rPr>
                <w:color w:val="000000"/>
                <w:sz w:val="22"/>
                <w:szCs w:val="22"/>
              </w:rPr>
              <w:t> </w:t>
            </w:r>
          </w:p>
        </w:tc>
        <w:tc>
          <w:tcPr>
            <w:tcW w:w="1342" w:type="dxa"/>
            <w:tcBorders>
              <w:top w:val="nil"/>
              <w:left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 </w:t>
            </w:r>
          </w:p>
        </w:tc>
        <w:tc>
          <w:tcPr>
            <w:tcW w:w="1012" w:type="dxa"/>
            <w:tcBorders>
              <w:top w:val="nil"/>
              <w:left w:val="nil"/>
              <w:right w:val="nil"/>
            </w:tcBorders>
            <w:shd w:val="clear" w:color="auto" w:fill="auto"/>
            <w:noWrap/>
            <w:vAlign w:val="bottom"/>
          </w:tcPr>
          <w:p w:rsidR="006A7040" w:rsidRPr="006A7040" w:rsidRDefault="006A7040" w:rsidP="006A7040">
            <w:pPr>
              <w:spacing w:before="0" w:after="0"/>
              <w:rPr>
                <w:color w:val="000000"/>
                <w:sz w:val="22"/>
                <w:szCs w:val="22"/>
              </w:rPr>
            </w:pPr>
            <w:r w:rsidRPr="006A7040">
              <w:rPr>
                <w:color w:val="000000"/>
                <w:sz w:val="22"/>
                <w:szCs w:val="22"/>
              </w:rPr>
              <w:t> </w:t>
            </w:r>
          </w:p>
        </w:tc>
        <w:tc>
          <w:tcPr>
            <w:tcW w:w="1342" w:type="dxa"/>
            <w:tcBorders>
              <w:top w:val="nil"/>
              <w:left w:val="nil"/>
              <w:right w:val="nil"/>
            </w:tcBorders>
            <w:shd w:val="clear" w:color="000000" w:fill="FFFFFF"/>
            <w:vAlign w:val="bottom"/>
          </w:tcPr>
          <w:p w:rsidR="006A7040" w:rsidRPr="006A7040" w:rsidRDefault="006A7040" w:rsidP="006A7040">
            <w:pPr>
              <w:spacing w:before="0" w:after="0"/>
              <w:jc w:val="right"/>
              <w:rPr>
                <w:i/>
                <w:iCs/>
                <w:color w:val="000000"/>
                <w:sz w:val="22"/>
                <w:szCs w:val="22"/>
              </w:rPr>
            </w:pPr>
            <w:r w:rsidRPr="006A7040">
              <w:rPr>
                <w:i/>
                <w:iCs/>
                <w:color w:val="000000"/>
                <w:sz w:val="22"/>
                <w:szCs w:val="22"/>
              </w:rPr>
              <w:t> </w:t>
            </w:r>
          </w:p>
        </w:tc>
      </w:tr>
      <w:tr w:rsidR="006A7040" w:rsidRPr="001448FE" w:rsidTr="004A0E02">
        <w:trPr>
          <w:trHeight w:val="273"/>
        </w:trPr>
        <w:tc>
          <w:tcPr>
            <w:tcW w:w="1195" w:type="dxa"/>
            <w:tcBorders>
              <w:top w:val="nil"/>
              <w:left w:val="nil"/>
              <w:bottom w:val="single" w:sz="4" w:space="0" w:color="auto"/>
              <w:right w:val="nil"/>
            </w:tcBorders>
            <w:shd w:val="clear" w:color="auto" w:fill="auto"/>
            <w:noWrap/>
            <w:vAlign w:val="bottom"/>
          </w:tcPr>
          <w:p w:rsidR="006A7040" w:rsidRPr="001448FE" w:rsidRDefault="006A7040" w:rsidP="00247DB2">
            <w:pPr>
              <w:spacing w:before="0" w:after="0"/>
              <w:rPr>
                <w:b/>
                <w:bCs/>
                <w:color w:val="000000"/>
                <w:sz w:val="22"/>
                <w:szCs w:val="22"/>
              </w:rPr>
            </w:pPr>
            <w:r w:rsidRPr="001448FE">
              <w:rPr>
                <w:b/>
                <w:bCs/>
                <w:color w:val="000000"/>
                <w:sz w:val="22"/>
                <w:szCs w:val="22"/>
              </w:rPr>
              <w:t xml:space="preserve">Total </w:t>
            </w:r>
            <w:r w:rsidRPr="001448FE">
              <w:rPr>
                <w:bCs/>
                <w:color w:val="000000"/>
                <w:sz w:val="22"/>
                <w:szCs w:val="22"/>
                <w:vertAlign w:val="superscript"/>
              </w:rPr>
              <w:t>3</w:t>
            </w:r>
          </w:p>
        </w:tc>
        <w:tc>
          <w:tcPr>
            <w:tcW w:w="1012" w:type="dxa"/>
            <w:tcBorders>
              <w:top w:val="nil"/>
              <w:left w:val="nil"/>
              <w:bottom w:val="single" w:sz="4" w:space="0" w:color="auto"/>
              <w:right w:val="nil"/>
            </w:tcBorders>
            <w:shd w:val="clear" w:color="000000" w:fill="FFFFFF"/>
            <w:vAlign w:val="bottom"/>
          </w:tcPr>
          <w:p w:rsidR="006A7040" w:rsidRPr="006A7040" w:rsidRDefault="006A7040" w:rsidP="006A7040">
            <w:pPr>
              <w:spacing w:before="0" w:after="0"/>
              <w:jc w:val="right"/>
              <w:rPr>
                <w:b/>
                <w:bCs/>
                <w:color w:val="000000"/>
                <w:sz w:val="22"/>
                <w:szCs w:val="22"/>
              </w:rPr>
            </w:pPr>
            <w:r w:rsidRPr="006A7040">
              <w:rPr>
                <w:b/>
                <w:bCs/>
                <w:color w:val="000000"/>
                <w:sz w:val="22"/>
                <w:szCs w:val="22"/>
              </w:rPr>
              <w:t>315,135</w:t>
            </w:r>
          </w:p>
        </w:tc>
        <w:tc>
          <w:tcPr>
            <w:tcW w:w="1342" w:type="dxa"/>
            <w:tcBorders>
              <w:top w:val="nil"/>
              <w:left w:val="nil"/>
              <w:bottom w:val="single" w:sz="4" w:space="0" w:color="auto"/>
              <w:right w:val="nil"/>
            </w:tcBorders>
            <w:shd w:val="clear" w:color="000000" w:fill="FFFFFF"/>
            <w:vAlign w:val="bottom"/>
          </w:tcPr>
          <w:p w:rsidR="006A7040" w:rsidRPr="006A7040" w:rsidRDefault="006A7040" w:rsidP="006A7040">
            <w:pPr>
              <w:spacing w:before="0" w:after="0"/>
              <w:jc w:val="right"/>
              <w:rPr>
                <w:b/>
                <w:bCs/>
                <w:color w:val="000000"/>
                <w:sz w:val="22"/>
                <w:szCs w:val="22"/>
              </w:rPr>
            </w:pPr>
            <w:r w:rsidRPr="006A7040">
              <w:rPr>
                <w:b/>
                <w:bCs/>
                <w:color w:val="000000"/>
                <w:sz w:val="22"/>
                <w:szCs w:val="22"/>
              </w:rPr>
              <w:t>100</w:t>
            </w:r>
          </w:p>
        </w:tc>
        <w:tc>
          <w:tcPr>
            <w:tcW w:w="1012" w:type="dxa"/>
            <w:tcBorders>
              <w:top w:val="nil"/>
              <w:left w:val="nil"/>
              <w:bottom w:val="single" w:sz="4" w:space="0" w:color="auto"/>
              <w:right w:val="nil"/>
            </w:tcBorders>
            <w:shd w:val="clear" w:color="000000" w:fill="FFFFFF"/>
            <w:vAlign w:val="bottom"/>
          </w:tcPr>
          <w:p w:rsidR="006A7040" w:rsidRPr="006A7040" w:rsidRDefault="006A7040" w:rsidP="006A7040">
            <w:pPr>
              <w:spacing w:before="0" w:after="0"/>
              <w:jc w:val="right"/>
              <w:rPr>
                <w:b/>
                <w:bCs/>
                <w:color w:val="000000"/>
                <w:sz w:val="22"/>
                <w:szCs w:val="22"/>
              </w:rPr>
            </w:pPr>
            <w:r w:rsidRPr="006A7040">
              <w:rPr>
                <w:b/>
                <w:bCs/>
                <w:color w:val="000000"/>
                <w:sz w:val="22"/>
                <w:szCs w:val="22"/>
              </w:rPr>
              <w:t>175,302</w:t>
            </w:r>
          </w:p>
        </w:tc>
        <w:tc>
          <w:tcPr>
            <w:tcW w:w="1342" w:type="dxa"/>
            <w:tcBorders>
              <w:top w:val="nil"/>
              <w:left w:val="nil"/>
              <w:bottom w:val="single" w:sz="4" w:space="0" w:color="auto"/>
              <w:right w:val="nil"/>
            </w:tcBorders>
            <w:shd w:val="clear" w:color="000000" w:fill="FFFFFF"/>
            <w:vAlign w:val="bottom"/>
          </w:tcPr>
          <w:p w:rsidR="006A7040" w:rsidRPr="006A7040" w:rsidRDefault="006A7040" w:rsidP="006A7040">
            <w:pPr>
              <w:spacing w:before="0" w:after="0"/>
              <w:jc w:val="right"/>
              <w:rPr>
                <w:b/>
                <w:bCs/>
                <w:color w:val="000000"/>
                <w:sz w:val="22"/>
                <w:szCs w:val="22"/>
              </w:rPr>
            </w:pPr>
            <w:r w:rsidRPr="006A7040">
              <w:rPr>
                <w:b/>
                <w:bCs/>
                <w:color w:val="000000"/>
                <w:sz w:val="22"/>
                <w:szCs w:val="22"/>
              </w:rPr>
              <w:t>100</w:t>
            </w:r>
          </w:p>
        </w:tc>
        <w:tc>
          <w:tcPr>
            <w:tcW w:w="1012" w:type="dxa"/>
            <w:tcBorders>
              <w:top w:val="nil"/>
              <w:left w:val="nil"/>
              <w:bottom w:val="single" w:sz="4" w:space="0" w:color="auto"/>
              <w:right w:val="nil"/>
            </w:tcBorders>
            <w:shd w:val="clear" w:color="000000" w:fill="FFFFFF"/>
            <w:vAlign w:val="bottom"/>
          </w:tcPr>
          <w:p w:rsidR="006A7040" w:rsidRPr="006A7040" w:rsidRDefault="006A7040" w:rsidP="006A7040">
            <w:pPr>
              <w:spacing w:before="0" w:after="0"/>
              <w:jc w:val="right"/>
              <w:rPr>
                <w:b/>
                <w:bCs/>
                <w:color w:val="000000"/>
                <w:sz w:val="22"/>
                <w:szCs w:val="22"/>
              </w:rPr>
            </w:pPr>
            <w:r w:rsidRPr="006A7040">
              <w:rPr>
                <w:b/>
                <w:bCs/>
                <w:color w:val="000000"/>
                <w:sz w:val="22"/>
                <w:szCs w:val="22"/>
              </w:rPr>
              <w:t>294,957</w:t>
            </w:r>
          </w:p>
        </w:tc>
        <w:tc>
          <w:tcPr>
            <w:tcW w:w="1342" w:type="dxa"/>
            <w:tcBorders>
              <w:top w:val="nil"/>
              <w:left w:val="nil"/>
              <w:bottom w:val="single" w:sz="4" w:space="0" w:color="auto"/>
              <w:right w:val="nil"/>
            </w:tcBorders>
            <w:shd w:val="clear" w:color="000000" w:fill="FFFFFF"/>
            <w:vAlign w:val="bottom"/>
          </w:tcPr>
          <w:p w:rsidR="006A7040" w:rsidRPr="006A7040" w:rsidRDefault="006A7040" w:rsidP="006A7040">
            <w:pPr>
              <w:spacing w:before="0" w:after="0"/>
              <w:jc w:val="right"/>
              <w:rPr>
                <w:b/>
                <w:bCs/>
                <w:color w:val="000000"/>
                <w:sz w:val="22"/>
                <w:szCs w:val="22"/>
              </w:rPr>
            </w:pPr>
            <w:r w:rsidRPr="006A7040">
              <w:rPr>
                <w:b/>
                <w:b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6A7040" w:rsidRPr="006A7040" w:rsidRDefault="006A7040" w:rsidP="006A7040">
            <w:pPr>
              <w:spacing w:before="0" w:after="0"/>
              <w:jc w:val="right"/>
              <w:rPr>
                <w:b/>
                <w:bCs/>
                <w:color w:val="000000"/>
                <w:sz w:val="22"/>
                <w:szCs w:val="22"/>
              </w:rPr>
            </w:pPr>
            <w:r w:rsidRPr="006A7040">
              <w:rPr>
                <w:b/>
                <w:bCs/>
                <w:color w:val="000000"/>
                <w:sz w:val="22"/>
                <w:szCs w:val="22"/>
              </w:rPr>
              <w:t>785,394</w:t>
            </w:r>
          </w:p>
        </w:tc>
        <w:tc>
          <w:tcPr>
            <w:tcW w:w="1342" w:type="dxa"/>
            <w:tcBorders>
              <w:top w:val="nil"/>
              <w:left w:val="nil"/>
              <w:bottom w:val="single" w:sz="4" w:space="0" w:color="auto"/>
              <w:right w:val="nil"/>
            </w:tcBorders>
            <w:shd w:val="clear" w:color="000000" w:fill="FFFFFF"/>
            <w:vAlign w:val="bottom"/>
          </w:tcPr>
          <w:p w:rsidR="006A7040" w:rsidRPr="006A7040" w:rsidRDefault="006A7040" w:rsidP="006A7040">
            <w:pPr>
              <w:spacing w:before="0" w:after="0"/>
              <w:jc w:val="right"/>
              <w:rPr>
                <w:b/>
                <w:bCs/>
                <w:color w:val="000000"/>
                <w:sz w:val="22"/>
                <w:szCs w:val="22"/>
              </w:rPr>
            </w:pPr>
            <w:r w:rsidRPr="006A7040">
              <w:rPr>
                <w:b/>
                <w:bCs/>
                <w:color w:val="000000"/>
                <w:sz w:val="22"/>
                <w:szCs w:val="22"/>
              </w:rPr>
              <w:t>100</w:t>
            </w:r>
          </w:p>
        </w:tc>
      </w:tr>
    </w:tbl>
    <w:p w:rsidR="00805647" w:rsidRPr="001448FE" w:rsidRDefault="00805647" w:rsidP="00805647">
      <w:pPr>
        <w:spacing w:before="0" w:after="0" w:line="270" w:lineRule="atLeast"/>
        <w:jc w:val="both"/>
        <w:rPr>
          <w:sz w:val="16"/>
          <w:szCs w:val="16"/>
        </w:rPr>
      </w:pPr>
    </w:p>
    <w:tbl>
      <w:tblPr>
        <w:tblW w:w="10505" w:type="dxa"/>
        <w:tblInd w:w="93" w:type="dxa"/>
        <w:tblLook w:val="04A0" w:firstRow="1" w:lastRow="0" w:firstColumn="1" w:lastColumn="0" w:noHBand="0" w:noVBand="1"/>
      </w:tblPr>
      <w:tblGrid>
        <w:gridCol w:w="10505"/>
      </w:tblGrid>
      <w:tr w:rsidR="00805647" w:rsidRPr="001448FE" w:rsidTr="00247DB2">
        <w:trPr>
          <w:trHeight w:val="285"/>
        </w:trPr>
        <w:tc>
          <w:tcPr>
            <w:tcW w:w="10505" w:type="dxa"/>
            <w:tcBorders>
              <w:top w:val="nil"/>
              <w:left w:val="nil"/>
              <w:bottom w:val="nil"/>
              <w:right w:val="nil"/>
            </w:tcBorders>
            <w:shd w:val="clear" w:color="auto" w:fill="auto"/>
            <w:noWrap/>
            <w:vAlign w:val="bottom"/>
            <w:hideMark/>
          </w:tcPr>
          <w:p w:rsidR="00805647" w:rsidRPr="001448FE" w:rsidRDefault="00805647" w:rsidP="00817954">
            <w:pPr>
              <w:spacing w:before="0" w:after="0" w:line="240" w:lineRule="auto"/>
              <w:jc w:val="both"/>
              <w:rPr>
                <w:color w:val="000000"/>
                <w:sz w:val="21"/>
                <w:szCs w:val="21"/>
                <w:lang w:eastAsia="en-GB"/>
              </w:rPr>
            </w:pPr>
            <w:r w:rsidRPr="001448FE">
              <w:rPr>
                <w:color w:val="000000"/>
                <w:sz w:val="21"/>
                <w:szCs w:val="21"/>
                <w:vertAlign w:val="superscript"/>
                <w:lang w:eastAsia="en-GB"/>
              </w:rPr>
              <w:t>1</w:t>
            </w:r>
            <w:r w:rsidRPr="001448FE">
              <w:rPr>
                <w:color w:val="000000"/>
                <w:sz w:val="21"/>
                <w:szCs w:val="21"/>
                <w:lang w:eastAsia="en-GB"/>
              </w:rPr>
              <w:t xml:space="preserve"> Percentage of ECO measures is calculated only for those ECO measures where the </w:t>
            </w:r>
            <w:r w:rsidR="00817954" w:rsidRPr="001448FE">
              <w:rPr>
                <w:color w:val="000000"/>
                <w:sz w:val="21"/>
                <w:szCs w:val="21"/>
                <w:lang w:eastAsia="en-GB"/>
              </w:rPr>
              <w:t>tenure</w:t>
            </w:r>
            <w:r w:rsidRPr="001448FE">
              <w:rPr>
                <w:color w:val="FF0000"/>
                <w:sz w:val="21"/>
                <w:szCs w:val="21"/>
                <w:lang w:eastAsia="en-GB"/>
              </w:rPr>
              <w:t xml:space="preserve"> </w:t>
            </w:r>
            <w:r w:rsidRPr="001448FE">
              <w:rPr>
                <w:color w:val="000000"/>
                <w:sz w:val="21"/>
                <w:szCs w:val="21"/>
                <w:lang w:eastAsia="en-GB"/>
              </w:rPr>
              <w:t>is known</w:t>
            </w:r>
            <w:r w:rsidR="00616D9D" w:rsidRPr="001448FE">
              <w:rPr>
                <w:color w:val="000000"/>
                <w:sz w:val="21"/>
                <w:szCs w:val="21"/>
                <w:lang w:eastAsia="en-GB"/>
              </w:rPr>
              <w:t>.</w:t>
            </w:r>
          </w:p>
        </w:tc>
      </w:tr>
      <w:tr w:rsidR="00805647" w:rsidRPr="001448FE" w:rsidTr="00247DB2">
        <w:trPr>
          <w:trHeight w:val="285"/>
        </w:trPr>
        <w:tc>
          <w:tcPr>
            <w:tcW w:w="10505" w:type="dxa"/>
            <w:tcBorders>
              <w:top w:val="nil"/>
              <w:left w:val="nil"/>
              <w:bottom w:val="nil"/>
              <w:right w:val="nil"/>
            </w:tcBorders>
            <w:shd w:val="clear" w:color="auto" w:fill="auto"/>
            <w:noWrap/>
            <w:vAlign w:val="bottom"/>
            <w:hideMark/>
          </w:tcPr>
          <w:p w:rsidR="00805647" w:rsidRPr="001448FE" w:rsidRDefault="00805647" w:rsidP="00817954">
            <w:pPr>
              <w:spacing w:before="0" w:after="0" w:line="240" w:lineRule="auto"/>
              <w:jc w:val="both"/>
              <w:rPr>
                <w:color w:val="000000"/>
                <w:sz w:val="21"/>
                <w:szCs w:val="21"/>
                <w:lang w:eastAsia="en-GB"/>
              </w:rPr>
            </w:pPr>
            <w:r w:rsidRPr="001448FE">
              <w:rPr>
                <w:color w:val="000000"/>
                <w:sz w:val="21"/>
                <w:szCs w:val="21"/>
                <w:vertAlign w:val="superscript"/>
                <w:lang w:eastAsia="en-GB"/>
              </w:rPr>
              <w:t xml:space="preserve">2 </w:t>
            </w:r>
            <w:r w:rsidR="00817954" w:rsidRPr="001448FE">
              <w:rPr>
                <w:color w:val="000000"/>
                <w:sz w:val="21"/>
                <w:szCs w:val="21"/>
                <w:lang w:eastAsia="en-GB"/>
              </w:rPr>
              <w:t>It is not possible for socially-rented properties to benefit from measures delivered under Affordable Warmth</w:t>
            </w:r>
            <w:r w:rsidR="00616D9D" w:rsidRPr="001448FE">
              <w:rPr>
                <w:color w:val="000000"/>
                <w:sz w:val="21"/>
                <w:szCs w:val="21"/>
                <w:lang w:eastAsia="en-GB"/>
              </w:rPr>
              <w:t>.</w:t>
            </w:r>
          </w:p>
        </w:tc>
      </w:tr>
      <w:tr w:rsidR="002250D7" w:rsidRPr="001448FE" w:rsidTr="002250D7">
        <w:trPr>
          <w:trHeight w:val="285"/>
        </w:trPr>
        <w:tc>
          <w:tcPr>
            <w:tcW w:w="10505" w:type="dxa"/>
            <w:tcBorders>
              <w:top w:val="nil"/>
              <w:left w:val="nil"/>
              <w:bottom w:val="nil"/>
              <w:right w:val="nil"/>
            </w:tcBorders>
            <w:shd w:val="clear" w:color="auto" w:fill="auto"/>
            <w:noWrap/>
            <w:vAlign w:val="bottom"/>
            <w:hideMark/>
          </w:tcPr>
          <w:p w:rsidR="002250D7" w:rsidRPr="001448FE" w:rsidRDefault="002250D7" w:rsidP="002250D7">
            <w:pPr>
              <w:spacing w:before="0" w:after="0" w:line="240" w:lineRule="auto"/>
              <w:jc w:val="both"/>
              <w:rPr>
                <w:color w:val="000000"/>
                <w:sz w:val="21"/>
                <w:szCs w:val="21"/>
                <w:vertAlign w:val="superscript"/>
                <w:lang w:eastAsia="en-GB"/>
              </w:rPr>
            </w:pPr>
            <w:r w:rsidRPr="001448FE">
              <w:rPr>
                <w:color w:val="000000"/>
                <w:sz w:val="21"/>
                <w:szCs w:val="21"/>
                <w:vertAlign w:val="superscript"/>
                <w:lang w:eastAsia="en-GB"/>
              </w:rPr>
              <w:t xml:space="preserve">3 </w:t>
            </w:r>
            <w:r w:rsidRPr="001448FE">
              <w:rPr>
                <w:color w:val="000000"/>
                <w:sz w:val="21"/>
                <w:szCs w:val="21"/>
                <w:lang w:eastAsia="en-GB"/>
              </w:rPr>
              <w:t>As multiple ECO measures may have been installed in a property, the tenure recorded against the first measure installed is used in the above table. The total number of households in receipt of ECO measures is therefore different from totals reported in other tables.</w:t>
            </w:r>
          </w:p>
        </w:tc>
      </w:tr>
    </w:tbl>
    <w:p w:rsidR="004D285F" w:rsidRPr="001448FE" w:rsidRDefault="004D285F" w:rsidP="00BF6EAA">
      <w:pPr>
        <w:spacing w:before="0" w:after="0" w:line="270" w:lineRule="atLeast"/>
        <w:jc w:val="both"/>
        <w:rPr>
          <w:b/>
        </w:rPr>
      </w:pPr>
    </w:p>
    <w:tbl>
      <w:tblPr>
        <w:tblW w:w="10080" w:type="dxa"/>
        <w:tblInd w:w="93" w:type="dxa"/>
        <w:tblLook w:val="04A0" w:firstRow="1" w:lastRow="0" w:firstColumn="1" w:lastColumn="0" w:noHBand="0" w:noVBand="1"/>
      </w:tblPr>
      <w:tblGrid>
        <w:gridCol w:w="2660"/>
        <w:gridCol w:w="3592"/>
        <w:gridCol w:w="3828"/>
      </w:tblGrid>
      <w:tr w:rsidR="00101615" w:rsidRPr="00101615" w:rsidTr="006178FB">
        <w:trPr>
          <w:trHeight w:val="285"/>
        </w:trPr>
        <w:tc>
          <w:tcPr>
            <w:tcW w:w="10080" w:type="dxa"/>
            <w:gridSpan w:val="3"/>
            <w:vMerge w:val="restart"/>
            <w:tcBorders>
              <w:top w:val="nil"/>
              <w:left w:val="nil"/>
              <w:bottom w:val="nil"/>
              <w:right w:val="nil"/>
            </w:tcBorders>
            <w:shd w:val="clear" w:color="auto" w:fill="auto"/>
            <w:vAlign w:val="bottom"/>
            <w:hideMark/>
          </w:tcPr>
          <w:p w:rsidR="006E664B" w:rsidRPr="001448FE" w:rsidRDefault="006E664B" w:rsidP="00101615">
            <w:pPr>
              <w:spacing w:before="0" w:after="0" w:line="240" w:lineRule="auto"/>
              <w:rPr>
                <w:b/>
                <w:bCs/>
                <w:color w:val="000000"/>
                <w:szCs w:val="24"/>
                <w:lang w:eastAsia="en-GB"/>
              </w:rPr>
            </w:pPr>
            <w:bookmarkStart w:id="59" w:name="RANGE!A1:C17"/>
          </w:p>
          <w:p w:rsidR="006E664B" w:rsidRPr="001448FE" w:rsidRDefault="00C351B2" w:rsidP="004F2454">
            <w:pPr>
              <w:spacing w:before="0" w:after="0" w:line="240" w:lineRule="auto"/>
              <w:jc w:val="both"/>
              <w:rPr>
                <w:bCs/>
                <w:szCs w:val="24"/>
              </w:rPr>
            </w:pPr>
            <w:r w:rsidRPr="004D2C9E">
              <w:rPr>
                <w:b/>
                <w:bCs/>
                <w:color w:val="000000"/>
                <w:szCs w:val="24"/>
                <w:lang w:eastAsia="en-GB"/>
              </w:rPr>
              <w:t>Table 1.12</w:t>
            </w:r>
            <w:r w:rsidR="00703C47" w:rsidRPr="004D2C9E">
              <w:rPr>
                <w:b/>
                <w:bCs/>
                <w:color w:val="000000"/>
                <w:szCs w:val="24"/>
                <w:lang w:eastAsia="en-GB"/>
              </w:rPr>
              <w:t>c: Provisional number and percentage of ECO measu</w:t>
            </w:r>
            <w:r w:rsidR="006178FB" w:rsidRPr="004D2C9E">
              <w:rPr>
                <w:b/>
                <w:bCs/>
                <w:color w:val="000000"/>
                <w:szCs w:val="24"/>
                <w:lang w:eastAsia="en-GB"/>
              </w:rPr>
              <w:t xml:space="preserve">res traded through </w:t>
            </w:r>
            <w:r w:rsidR="00703C47" w:rsidRPr="004D2C9E">
              <w:rPr>
                <w:b/>
                <w:bCs/>
                <w:color w:val="000000"/>
                <w:szCs w:val="24"/>
                <w:lang w:eastAsia="en-GB"/>
              </w:rPr>
              <w:t xml:space="preserve">brokerage by month and ECO obligation, up to </w:t>
            </w:r>
            <w:r w:rsidR="007E138E" w:rsidRPr="004D2C9E">
              <w:rPr>
                <w:b/>
                <w:bCs/>
                <w:color w:val="000000"/>
                <w:szCs w:val="24"/>
                <w:lang w:eastAsia="en-GB"/>
              </w:rPr>
              <w:t xml:space="preserve">30th </w:t>
            </w:r>
            <w:r w:rsidR="00D1378A" w:rsidRPr="004D2C9E">
              <w:rPr>
                <w:b/>
                <w:bCs/>
                <w:color w:val="000000"/>
                <w:szCs w:val="24"/>
                <w:lang w:eastAsia="en-GB"/>
              </w:rPr>
              <w:t>September</w:t>
            </w:r>
            <w:r w:rsidR="002F723B" w:rsidRPr="004D2C9E">
              <w:rPr>
                <w:b/>
                <w:bCs/>
                <w:color w:val="000000"/>
                <w:szCs w:val="24"/>
                <w:lang w:eastAsia="en-GB"/>
              </w:rPr>
              <w:t xml:space="preserve"> 2014</w:t>
            </w:r>
            <w:r w:rsidR="00A27D67" w:rsidRPr="004D2C9E">
              <w:rPr>
                <w:b/>
                <w:bCs/>
                <w:color w:val="000000"/>
                <w:szCs w:val="24"/>
                <w:lang w:eastAsia="en-GB"/>
              </w:rPr>
              <w:t xml:space="preserve"> </w:t>
            </w:r>
            <w:r w:rsidR="00A27D67" w:rsidRPr="004D2C9E">
              <w:rPr>
                <w:bCs/>
                <w:color w:val="000000"/>
                <w:szCs w:val="24"/>
                <w:lang w:eastAsia="en-GB"/>
              </w:rPr>
              <w:t xml:space="preserve">(Table available in Excel </w:t>
            </w:r>
            <w:hyperlink r:id="rId64" w:history="1">
              <w:r w:rsidR="001D54FE" w:rsidRPr="004D2C9E">
                <w:rPr>
                  <w:rStyle w:val="Hyperlink"/>
                  <w:rFonts w:ascii="Arial" w:hAnsi="Arial"/>
                  <w:sz w:val="23"/>
                  <w:szCs w:val="23"/>
                </w:rPr>
                <w:t>here</w:t>
              </w:r>
            </w:hyperlink>
            <w:r w:rsidR="00A27D67" w:rsidRPr="004D2C9E">
              <w:rPr>
                <w:bCs/>
                <w:szCs w:val="24"/>
              </w:rPr>
              <w:t>).</w:t>
            </w:r>
          </w:p>
          <w:p w:rsidR="002250D7" w:rsidRPr="001448FE" w:rsidRDefault="002250D7" w:rsidP="004F2454">
            <w:pPr>
              <w:spacing w:before="0" w:after="0" w:line="240" w:lineRule="auto"/>
              <w:jc w:val="both"/>
              <w:rPr>
                <w:b/>
                <w:bCs/>
                <w:color w:val="000000"/>
                <w:szCs w:val="24"/>
                <w:lang w:eastAsia="en-GB"/>
              </w:rPr>
            </w:pPr>
          </w:p>
          <w:p w:rsidR="006E664B" w:rsidRPr="001448FE" w:rsidRDefault="006E664B" w:rsidP="00101615">
            <w:pPr>
              <w:spacing w:before="0" w:after="0" w:line="240" w:lineRule="auto"/>
              <w:rPr>
                <w:b/>
                <w:bCs/>
                <w:color w:val="000000"/>
                <w:szCs w:val="24"/>
                <w:lang w:eastAsia="en-GB"/>
              </w:rPr>
            </w:pPr>
          </w:p>
          <w:p w:rsidR="004D285F" w:rsidRPr="001448FE" w:rsidRDefault="004D285F" w:rsidP="00101615">
            <w:pPr>
              <w:spacing w:before="0" w:after="0" w:line="240" w:lineRule="auto"/>
              <w:rPr>
                <w:b/>
                <w:bCs/>
                <w:color w:val="000000"/>
                <w:szCs w:val="24"/>
                <w:lang w:eastAsia="en-GB"/>
              </w:rPr>
            </w:pPr>
          </w:p>
          <w:p w:rsidR="004D285F" w:rsidRPr="001448FE" w:rsidRDefault="004D285F" w:rsidP="00101615">
            <w:pPr>
              <w:spacing w:before="0" w:after="0" w:line="240" w:lineRule="auto"/>
              <w:rPr>
                <w:b/>
                <w:bCs/>
                <w:color w:val="000000"/>
                <w:szCs w:val="24"/>
                <w:lang w:eastAsia="en-GB"/>
              </w:rPr>
            </w:pPr>
          </w:p>
          <w:p w:rsidR="004D285F" w:rsidRPr="001448FE" w:rsidRDefault="004D285F" w:rsidP="00101615">
            <w:pPr>
              <w:spacing w:before="0" w:after="0" w:line="240" w:lineRule="auto"/>
              <w:rPr>
                <w:b/>
                <w:bCs/>
                <w:color w:val="000000"/>
                <w:szCs w:val="24"/>
                <w:lang w:eastAsia="en-GB"/>
              </w:rPr>
            </w:pPr>
          </w:p>
          <w:p w:rsidR="004D285F" w:rsidRPr="001448FE"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1448FE" w:rsidRDefault="001448FE" w:rsidP="00101615">
            <w:pPr>
              <w:spacing w:before="0" w:after="0" w:line="240" w:lineRule="auto"/>
              <w:rPr>
                <w:b/>
                <w:bCs/>
                <w:color w:val="000000"/>
                <w:szCs w:val="24"/>
                <w:lang w:eastAsia="en-GB"/>
              </w:rPr>
            </w:pPr>
          </w:p>
          <w:p w:rsidR="001448FE" w:rsidRDefault="001448FE" w:rsidP="00101615">
            <w:pPr>
              <w:spacing w:before="0" w:after="0" w:line="240" w:lineRule="auto"/>
              <w:rPr>
                <w:b/>
                <w:bCs/>
                <w:color w:val="000000"/>
                <w:szCs w:val="24"/>
                <w:lang w:eastAsia="en-GB"/>
              </w:rPr>
            </w:pPr>
          </w:p>
          <w:p w:rsidR="001448FE" w:rsidRDefault="001448FE" w:rsidP="00101615">
            <w:pPr>
              <w:spacing w:before="0" w:after="0" w:line="240" w:lineRule="auto"/>
              <w:rPr>
                <w:b/>
                <w:bCs/>
                <w:color w:val="000000"/>
                <w:szCs w:val="24"/>
                <w:lang w:eastAsia="en-GB"/>
              </w:rPr>
            </w:pPr>
          </w:p>
          <w:p w:rsidR="001448FE" w:rsidRDefault="001448FE" w:rsidP="00101615">
            <w:pPr>
              <w:spacing w:before="0" w:after="0" w:line="240" w:lineRule="auto"/>
              <w:rPr>
                <w:b/>
                <w:bCs/>
                <w:color w:val="000000"/>
                <w:szCs w:val="24"/>
                <w:lang w:eastAsia="en-GB"/>
              </w:rPr>
            </w:pPr>
          </w:p>
          <w:p w:rsidR="001448FE" w:rsidRDefault="001448FE" w:rsidP="00101615">
            <w:pPr>
              <w:spacing w:before="0" w:after="0" w:line="240" w:lineRule="auto"/>
              <w:rPr>
                <w:b/>
                <w:bCs/>
                <w:color w:val="000000"/>
                <w:szCs w:val="24"/>
                <w:lang w:eastAsia="en-GB"/>
              </w:rPr>
            </w:pPr>
          </w:p>
          <w:p w:rsidR="001448FE" w:rsidRDefault="001448FE" w:rsidP="00101615">
            <w:pPr>
              <w:spacing w:before="0" w:after="0" w:line="240" w:lineRule="auto"/>
              <w:rPr>
                <w:b/>
                <w:bCs/>
                <w:color w:val="000000"/>
                <w:szCs w:val="24"/>
                <w:lang w:eastAsia="en-GB"/>
              </w:rPr>
            </w:pPr>
          </w:p>
          <w:p w:rsidR="001448FE" w:rsidRDefault="001448FE" w:rsidP="00101615">
            <w:pPr>
              <w:spacing w:before="0" w:after="0" w:line="240" w:lineRule="auto"/>
              <w:rPr>
                <w:b/>
                <w:bCs/>
                <w:color w:val="000000"/>
                <w:szCs w:val="24"/>
                <w:lang w:eastAsia="en-GB"/>
              </w:rPr>
            </w:pPr>
          </w:p>
          <w:p w:rsidR="001448FE" w:rsidRDefault="001448FE" w:rsidP="00101615">
            <w:pPr>
              <w:spacing w:before="0" w:after="0" w:line="240" w:lineRule="auto"/>
              <w:rPr>
                <w:b/>
                <w:bCs/>
                <w:color w:val="000000"/>
                <w:szCs w:val="24"/>
                <w:lang w:eastAsia="en-GB"/>
              </w:rPr>
            </w:pPr>
          </w:p>
          <w:p w:rsidR="001448FE" w:rsidRDefault="001448FE" w:rsidP="00101615">
            <w:pPr>
              <w:spacing w:before="0" w:after="0" w:line="240" w:lineRule="auto"/>
              <w:rPr>
                <w:b/>
                <w:bCs/>
                <w:color w:val="000000"/>
                <w:szCs w:val="24"/>
                <w:lang w:eastAsia="en-GB"/>
              </w:rPr>
            </w:pPr>
          </w:p>
          <w:p w:rsidR="001448FE" w:rsidRDefault="001448FE" w:rsidP="00101615">
            <w:pPr>
              <w:spacing w:before="0" w:after="0" w:line="240" w:lineRule="auto"/>
              <w:rPr>
                <w:b/>
                <w:bCs/>
                <w:color w:val="000000"/>
                <w:szCs w:val="24"/>
                <w:lang w:eastAsia="en-GB"/>
              </w:rPr>
            </w:pPr>
          </w:p>
          <w:p w:rsidR="001448FE" w:rsidRDefault="001448FE" w:rsidP="00101615">
            <w:pPr>
              <w:spacing w:before="0" w:after="0" w:line="240" w:lineRule="auto"/>
              <w:rPr>
                <w:b/>
                <w:bCs/>
                <w:color w:val="000000"/>
                <w:szCs w:val="24"/>
                <w:lang w:eastAsia="en-GB"/>
              </w:rPr>
            </w:pPr>
          </w:p>
          <w:p w:rsidR="001448FE" w:rsidRDefault="001448FE" w:rsidP="00101615">
            <w:pPr>
              <w:spacing w:before="0" w:after="0" w:line="240" w:lineRule="auto"/>
              <w:rPr>
                <w:b/>
                <w:bCs/>
                <w:color w:val="000000"/>
                <w:szCs w:val="24"/>
                <w:lang w:eastAsia="en-GB"/>
              </w:rPr>
            </w:pPr>
          </w:p>
          <w:p w:rsidR="001448FE" w:rsidRDefault="001448FE" w:rsidP="00101615">
            <w:pPr>
              <w:spacing w:before="0" w:after="0" w:line="240" w:lineRule="auto"/>
              <w:rPr>
                <w:b/>
                <w:bCs/>
                <w:color w:val="000000"/>
                <w:szCs w:val="24"/>
                <w:lang w:eastAsia="en-GB"/>
              </w:rPr>
            </w:pPr>
          </w:p>
          <w:p w:rsidR="001448FE" w:rsidRDefault="001448FE" w:rsidP="00101615">
            <w:pPr>
              <w:spacing w:before="0" w:after="0" w:line="240" w:lineRule="auto"/>
              <w:rPr>
                <w:b/>
                <w:bCs/>
                <w:color w:val="000000"/>
                <w:szCs w:val="24"/>
                <w:lang w:eastAsia="en-GB"/>
              </w:rPr>
            </w:pPr>
          </w:p>
          <w:p w:rsidR="001448FE" w:rsidRDefault="001448FE" w:rsidP="00101615">
            <w:pPr>
              <w:spacing w:before="0" w:after="0" w:line="240" w:lineRule="auto"/>
              <w:rPr>
                <w:b/>
                <w:bCs/>
                <w:color w:val="000000"/>
                <w:szCs w:val="24"/>
                <w:lang w:eastAsia="en-GB"/>
              </w:rPr>
            </w:pPr>
          </w:p>
          <w:p w:rsidR="001448FE" w:rsidRPr="001448FE" w:rsidRDefault="001448FE" w:rsidP="00101615">
            <w:pPr>
              <w:spacing w:before="0" w:after="0" w:line="240" w:lineRule="auto"/>
              <w:rPr>
                <w:b/>
                <w:bCs/>
                <w:color w:val="000000"/>
                <w:szCs w:val="24"/>
                <w:lang w:eastAsia="en-GB"/>
              </w:rPr>
            </w:pPr>
          </w:p>
          <w:p w:rsidR="004D285F" w:rsidRPr="001448FE" w:rsidRDefault="004D285F" w:rsidP="00101615">
            <w:pPr>
              <w:spacing w:before="0" w:after="0" w:line="240" w:lineRule="auto"/>
              <w:rPr>
                <w:b/>
                <w:bCs/>
                <w:color w:val="000000"/>
                <w:szCs w:val="24"/>
                <w:lang w:eastAsia="en-GB"/>
              </w:rPr>
            </w:pPr>
          </w:p>
          <w:p w:rsidR="00101615" w:rsidRPr="00101615" w:rsidRDefault="00C351B2" w:rsidP="00E44CC5">
            <w:pPr>
              <w:spacing w:before="0" w:after="0" w:line="240" w:lineRule="auto"/>
              <w:jc w:val="both"/>
              <w:rPr>
                <w:b/>
                <w:bCs/>
                <w:color w:val="000000"/>
                <w:szCs w:val="24"/>
                <w:lang w:eastAsia="en-GB"/>
              </w:rPr>
            </w:pPr>
            <w:r w:rsidRPr="001448FE">
              <w:rPr>
                <w:b/>
                <w:bCs/>
                <w:color w:val="000000"/>
                <w:szCs w:val="24"/>
                <w:lang w:eastAsia="en-GB"/>
              </w:rPr>
              <w:lastRenderedPageBreak/>
              <w:t>Table 1.12</w:t>
            </w:r>
            <w:r w:rsidR="00A27D67" w:rsidRPr="001448FE">
              <w:rPr>
                <w:b/>
                <w:bCs/>
                <w:color w:val="000000"/>
                <w:szCs w:val="24"/>
                <w:lang w:eastAsia="en-GB"/>
              </w:rPr>
              <w:t>d</w:t>
            </w:r>
            <w:r w:rsidR="00101615" w:rsidRPr="001448FE">
              <w:rPr>
                <w:b/>
                <w:bCs/>
                <w:color w:val="000000"/>
                <w:szCs w:val="24"/>
                <w:lang w:eastAsia="en-GB"/>
              </w:rPr>
              <w:t xml:space="preserve">: Estimated </w:t>
            </w:r>
            <w:r w:rsidR="00146E75" w:rsidRPr="001448FE">
              <w:rPr>
                <w:b/>
                <w:bCs/>
                <w:color w:val="000000"/>
                <w:szCs w:val="24"/>
                <w:lang w:eastAsia="en-GB"/>
              </w:rPr>
              <w:t xml:space="preserve">lifetime </w:t>
            </w:r>
            <w:r w:rsidR="00101615" w:rsidRPr="001448FE">
              <w:rPr>
                <w:b/>
                <w:bCs/>
                <w:color w:val="000000"/>
                <w:szCs w:val="24"/>
                <w:lang w:eastAsia="en-GB"/>
              </w:rPr>
              <w:t xml:space="preserve">bill savings for Affordable Warmth measures installed by month, up to </w:t>
            </w:r>
            <w:r w:rsidR="007E138E" w:rsidRPr="001448FE">
              <w:rPr>
                <w:b/>
                <w:bCs/>
                <w:color w:val="000000"/>
                <w:szCs w:val="24"/>
                <w:lang w:eastAsia="en-GB"/>
              </w:rPr>
              <w:t xml:space="preserve">30th </w:t>
            </w:r>
            <w:r w:rsidR="00E44CC5" w:rsidRPr="001448FE">
              <w:rPr>
                <w:b/>
                <w:bCs/>
                <w:color w:val="000000"/>
                <w:szCs w:val="24"/>
                <w:lang w:eastAsia="en-GB"/>
              </w:rPr>
              <w:t>September</w:t>
            </w:r>
            <w:r w:rsidR="002F723B" w:rsidRPr="001448FE">
              <w:rPr>
                <w:b/>
                <w:bCs/>
                <w:color w:val="000000"/>
                <w:szCs w:val="24"/>
                <w:lang w:eastAsia="en-GB"/>
              </w:rPr>
              <w:t xml:space="preserve"> 2014</w:t>
            </w:r>
            <w:r w:rsidR="00101615" w:rsidRPr="001448FE">
              <w:rPr>
                <w:b/>
                <w:bCs/>
                <w:color w:val="000000"/>
                <w:szCs w:val="24"/>
                <w:vertAlign w:val="superscript"/>
                <w:lang w:eastAsia="en-GB"/>
              </w:rPr>
              <w:t>1</w:t>
            </w:r>
            <w:bookmarkEnd w:id="59"/>
          </w:p>
        </w:tc>
      </w:tr>
      <w:tr w:rsidR="00101615" w:rsidRPr="00101615" w:rsidTr="006178FB">
        <w:trPr>
          <w:trHeight w:val="276"/>
        </w:trPr>
        <w:tc>
          <w:tcPr>
            <w:tcW w:w="10080" w:type="dxa"/>
            <w:gridSpan w:val="3"/>
            <w:vMerge/>
            <w:tcBorders>
              <w:top w:val="nil"/>
              <w:left w:val="nil"/>
              <w:bottom w:val="nil"/>
              <w:right w:val="nil"/>
            </w:tcBorders>
            <w:vAlign w:val="center"/>
            <w:hideMark/>
          </w:tcPr>
          <w:p w:rsidR="00101615" w:rsidRPr="00101615" w:rsidRDefault="00101615" w:rsidP="00101615">
            <w:pPr>
              <w:spacing w:before="0" w:after="0" w:line="240" w:lineRule="auto"/>
              <w:rPr>
                <w:b/>
                <w:bCs/>
                <w:color w:val="000000"/>
                <w:szCs w:val="24"/>
                <w:lang w:eastAsia="en-GB"/>
              </w:rPr>
            </w:pPr>
          </w:p>
        </w:tc>
      </w:tr>
      <w:tr w:rsidR="00101615" w:rsidRPr="00101615" w:rsidTr="0051419A">
        <w:trPr>
          <w:trHeight w:val="162"/>
        </w:trPr>
        <w:tc>
          <w:tcPr>
            <w:tcW w:w="2660"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lastRenderedPageBreak/>
              <w:t> </w:t>
            </w:r>
          </w:p>
        </w:tc>
        <w:tc>
          <w:tcPr>
            <w:tcW w:w="3592"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c>
          <w:tcPr>
            <w:tcW w:w="3828"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r>
      <w:tr w:rsidR="00101615" w:rsidRPr="0051419A" w:rsidTr="0051419A">
        <w:trPr>
          <w:trHeight w:val="440"/>
        </w:trPr>
        <w:tc>
          <w:tcPr>
            <w:tcW w:w="2660" w:type="dxa"/>
            <w:tcBorders>
              <w:top w:val="nil"/>
              <w:left w:val="nil"/>
              <w:bottom w:val="single" w:sz="4" w:space="0" w:color="auto"/>
              <w:right w:val="nil"/>
            </w:tcBorders>
            <w:shd w:val="clear" w:color="auto" w:fill="auto"/>
            <w:noWrap/>
            <w:vAlign w:val="center"/>
            <w:hideMark/>
          </w:tcPr>
          <w:p w:rsidR="00101615" w:rsidRPr="0051419A" w:rsidRDefault="00101615" w:rsidP="00101615">
            <w:pPr>
              <w:spacing w:before="0" w:after="0" w:line="240" w:lineRule="auto"/>
              <w:rPr>
                <w:color w:val="000000"/>
                <w:sz w:val="22"/>
                <w:szCs w:val="22"/>
                <w:lang w:eastAsia="en-GB"/>
              </w:rPr>
            </w:pPr>
            <w:r w:rsidRPr="0051419A">
              <w:rPr>
                <w:color w:val="000000"/>
                <w:sz w:val="22"/>
                <w:szCs w:val="22"/>
                <w:lang w:eastAsia="en-GB"/>
              </w:rPr>
              <w:t>Installation Month</w:t>
            </w:r>
            <w:r w:rsidRPr="0051419A">
              <w:rPr>
                <w:color w:val="000000"/>
                <w:sz w:val="22"/>
                <w:szCs w:val="22"/>
                <w:vertAlign w:val="superscript"/>
                <w:lang w:eastAsia="en-GB"/>
              </w:rPr>
              <w:t>2</w:t>
            </w:r>
          </w:p>
        </w:tc>
        <w:tc>
          <w:tcPr>
            <w:tcW w:w="3592" w:type="dxa"/>
            <w:tcBorders>
              <w:top w:val="nil"/>
              <w:left w:val="nil"/>
              <w:bottom w:val="single" w:sz="4" w:space="0" w:color="auto"/>
              <w:right w:val="nil"/>
            </w:tcBorders>
            <w:shd w:val="clear" w:color="auto" w:fill="auto"/>
            <w:vAlign w:val="bottom"/>
            <w:hideMark/>
          </w:tcPr>
          <w:p w:rsidR="00101615" w:rsidRPr="0051419A" w:rsidRDefault="00101615" w:rsidP="00101615">
            <w:pPr>
              <w:spacing w:before="0" w:after="0" w:line="240" w:lineRule="auto"/>
              <w:jc w:val="right"/>
              <w:rPr>
                <w:color w:val="000000"/>
                <w:sz w:val="22"/>
                <w:szCs w:val="22"/>
                <w:lang w:eastAsia="en-GB"/>
              </w:rPr>
            </w:pPr>
            <w:r w:rsidRPr="0051419A">
              <w:rPr>
                <w:color w:val="000000"/>
                <w:sz w:val="22"/>
                <w:szCs w:val="22"/>
                <w:lang w:eastAsia="en-GB"/>
              </w:rPr>
              <w:t>Total number of Affordable Warmth measures</w:t>
            </w:r>
          </w:p>
        </w:tc>
        <w:tc>
          <w:tcPr>
            <w:tcW w:w="3828" w:type="dxa"/>
            <w:tcBorders>
              <w:top w:val="nil"/>
              <w:left w:val="nil"/>
              <w:bottom w:val="single" w:sz="4" w:space="0" w:color="auto"/>
              <w:right w:val="nil"/>
            </w:tcBorders>
            <w:shd w:val="clear" w:color="auto" w:fill="auto"/>
            <w:vAlign w:val="center"/>
            <w:hideMark/>
          </w:tcPr>
          <w:p w:rsidR="006F03B9" w:rsidRDefault="00101615" w:rsidP="00101615">
            <w:pPr>
              <w:spacing w:before="0" w:after="0" w:line="240" w:lineRule="auto"/>
              <w:jc w:val="right"/>
              <w:rPr>
                <w:color w:val="000000"/>
                <w:sz w:val="22"/>
                <w:szCs w:val="22"/>
                <w:lang w:eastAsia="en-GB"/>
              </w:rPr>
            </w:pPr>
            <w:r w:rsidRPr="0051419A">
              <w:rPr>
                <w:color w:val="000000"/>
                <w:sz w:val="22"/>
                <w:szCs w:val="22"/>
                <w:lang w:eastAsia="en-GB"/>
              </w:rPr>
              <w:t xml:space="preserve">Estimated </w:t>
            </w:r>
            <w:r w:rsidR="00E0086A" w:rsidRPr="0051419A">
              <w:rPr>
                <w:color w:val="000000"/>
                <w:sz w:val="22"/>
                <w:szCs w:val="22"/>
                <w:lang w:eastAsia="en-GB"/>
              </w:rPr>
              <w:t xml:space="preserve">lifetime </w:t>
            </w:r>
            <w:r w:rsidRPr="0051419A">
              <w:rPr>
                <w:color w:val="000000"/>
                <w:sz w:val="22"/>
                <w:szCs w:val="22"/>
                <w:lang w:eastAsia="en-GB"/>
              </w:rPr>
              <w:t>bill saving</w:t>
            </w:r>
          </w:p>
          <w:p w:rsidR="00101615" w:rsidRPr="0051419A" w:rsidRDefault="00101615" w:rsidP="00101615">
            <w:pPr>
              <w:spacing w:before="0" w:after="0" w:line="240" w:lineRule="auto"/>
              <w:jc w:val="right"/>
              <w:rPr>
                <w:color w:val="000000"/>
                <w:sz w:val="22"/>
                <w:szCs w:val="22"/>
                <w:lang w:eastAsia="en-GB"/>
              </w:rPr>
            </w:pPr>
            <w:r w:rsidRPr="0051419A">
              <w:rPr>
                <w:color w:val="000000"/>
                <w:sz w:val="22"/>
                <w:szCs w:val="22"/>
                <w:lang w:eastAsia="en-GB"/>
              </w:rPr>
              <w:t xml:space="preserve"> (£</w:t>
            </w:r>
            <w:r w:rsidR="006F03B9">
              <w:rPr>
                <w:color w:val="000000"/>
                <w:sz w:val="22"/>
                <w:szCs w:val="22"/>
                <w:lang w:eastAsia="en-GB"/>
              </w:rPr>
              <w:t xml:space="preserve"> million</w:t>
            </w:r>
            <w:r w:rsidRPr="0051419A">
              <w:rPr>
                <w:color w:val="000000"/>
                <w:sz w:val="22"/>
                <w:szCs w:val="22"/>
                <w:lang w:eastAsia="en-GB"/>
              </w:rPr>
              <w:t>)</w:t>
            </w:r>
          </w:p>
        </w:tc>
      </w:tr>
      <w:tr w:rsidR="006F03B9" w:rsidRPr="0051419A" w:rsidTr="006178FB">
        <w:trPr>
          <w:trHeight w:val="270"/>
        </w:trPr>
        <w:tc>
          <w:tcPr>
            <w:tcW w:w="2660" w:type="dxa"/>
            <w:tcBorders>
              <w:top w:val="nil"/>
              <w:left w:val="nil"/>
              <w:bottom w:val="nil"/>
              <w:right w:val="nil"/>
            </w:tcBorders>
            <w:shd w:val="clear" w:color="000000" w:fill="FFFFFF"/>
            <w:noWrap/>
            <w:vAlign w:val="bottom"/>
            <w:hideMark/>
          </w:tcPr>
          <w:p w:rsidR="006F03B9" w:rsidRPr="0051419A" w:rsidRDefault="006F03B9" w:rsidP="004A0E02">
            <w:pPr>
              <w:spacing w:before="0" w:after="0"/>
              <w:rPr>
                <w:color w:val="000000"/>
                <w:sz w:val="22"/>
                <w:szCs w:val="22"/>
              </w:rPr>
            </w:pPr>
            <w:r w:rsidRPr="0051419A">
              <w:rPr>
                <w:color w:val="000000"/>
                <w:sz w:val="22"/>
                <w:szCs w:val="22"/>
              </w:rPr>
              <w:t>January 2013</w:t>
            </w:r>
            <w:r w:rsidRPr="0051419A">
              <w:rPr>
                <w:color w:val="000000"/>
                <w:sz w:val="22"/>
                <w:szCs w:val="22"/>
                <w:vertAlign w:val="superscript"/>
              </w:rPr>
              <w:t>3</w:t>
            </w:r>
          </w:p>
        </w:tc>
        <w:tc>
          <w:tcPr>
            <w:tcW w:w="3592" w:type="dxa"/>
            <w:tcBorders>
              <w:top w:val="nil"/>
              <w:left w:val="nil"/>
              <w:bottom w:val="nil"/>
              <w:right w:val="nil"/>
            </w:tcBorders>
            <w:shd w:val="clear" w:color="000000" w:fill="FFFFFF"/>
            <w:vAlign w:val="bottom"/>
            <w:hideMark/>
          </w:tcPr>
          <w:p w:rsidR="006F03B9" w:rsidRPr="0051419A" w:rsidRDefault="006F03B9" w:rsidP="004A0E02">
            <w:pPr>
              <w:spacing w:before="0" w:after="0"/>
              <w:jc w:val="right"/>
              <w:rPr>
                <w:color w:val="000000"/>
                <w:sz w:val="22"/>
                <w:szCs w:val="22"/>
              </w:rPr>
            </w:pPr>
            <w:r>
              <w:rPr>
                <w:color w:val="000000"/>
                <w:sz w:val="22"/>
                <w:szCs w:val="22"/>
              </w:rPr>
              <w:t>2,704</w:t>
            </w:r>
          </w:p>
        </w:tc>
        <w:tc>
          <w:tcPr>
            <w:tcW w:w="3828" w:type="dxa"/>
            <w:tcBorders>
              <w:top w:val="nil"/>
              <w:left w:val="nil"/>
              <w:bottom w:val="nil"/>
              <w:right w:val="nil"/>
            </w:tcBorders>
            <w:shd w:val="clear" w:color="000000" w:fill="FFFFFF"/>
            <w:vAlign w:val="bottom"/>
            <w:hideMark/>
          </w:tcPr>
          <w:p w:rsidR="006F03B9" w:rsidRPr="006F03B9" w:rsidRDefault="006F03B9" w:rsidP="006F03B9">
            <w:pPr>
              <w:spacing w:before="0" w:after="0"/>
              <w:jc w:val="right"/>
              <w:rPr>
                <w:color w:val="000000"/>
                <w:sz w:val="22"/>
                <w:szCs w:val="22"/>
              </w:rPr>
            </w:pPr>
            <w:r w:rsidRPr="006F03B9">
              <w:rPr>
                <w:color w:val="000000"/>
                <w:sz w:val="22"/>
                <w:szCs w:val="22"/>
              </w:rPr>
              <w:t>20.4</w:t>
            </w:r>
          </w:p>
        </w:tc>
      </w:tr>
      <w:tr w:rsidR="006F03B9" w:rsidRPr="0051419A" w:rsidTr="006178FB">
        <w:trPr>
          <w:trHeight w:val="270"/>
        </w:trPr>
        <w:tc>
          <w:tcPr>
            <w:tcW w:w="2660" w:type="dxa"/>
            <w:tcBorders>
              <w:top w:val="nil"/>
              <w:left w:val="nil"/>
              <w:bottom w:val="nil"/>
              <w:right w:val="nil"/>
            </w:tcBorders>
            <w:shd w:val="clear" w:color="000000" w:fill="FFFFFF"/>
            <w:noWrap/>
            <w:vAlign w:val="bottom"/>
            <w:hideMark/>
          </w:tcPr>
          <w:p w:rsidR="006F03B9" w:rsidRPr="0051419A" w:rsidRDefault="006F03B9" w:rsidP="004A0E02">
            <w:pPr>
              <w:spacing w:before="0" w:after="0"/>
              <w:rPr>
                <w:color w:val="000000"/>
                <w:sz w:val="22"/>
                <w:szCs w:val="22"/>
              </w:rPr>
            </w:pPr>
            <w:r w:rsidRPr="0051419A">
              <w:rPr>
                <w:color w:val="000000"/>
                <w:sz w:val="22"/>
                <w:szCs w:val="22"/>
              </w:rPr>
              <w:t>February 2013</w:t>
            </w:r>
          </w:p>
        </w:tc>
        <w:tc>
          <w:tcPr>
            <w:tcW w:w="3592" w:type="dxa"/>
            <w:tcBorders>
              <w:top w:val="nil"/>
              <w:left w:val="nil"/>
              <w:bottom w:val="nil"/>
              <w:right w:val="nil"/>
            </w:tcBorders>
            <w:shd w:val="clear" w:color="000000" w:fill="FFFFFF"/>
            <w:noWrap/>
            <w:vAlign w:val="bottom"/>
            <w:hideMark/>
          </w:tcPr>
          <w:p w:rsidR="006F03B9" w:rsidRPr="0051419A" w:rsidRDefault="006F03B9" w:rsidP="004A0E02">
            <w:pPr>
              <w:spacing w:before="0" w:after="0"/>
              <w:jc w:val="right"/>
              <w:rPr>
                <w:color w:val="000000"/>
                <w:sz w:val="22"/>
                <w:szCs w:val="22"/>
              </w:rPr>
            </w:pPr>
            <w:r>
              <w:rPr>
                <w:color w:val="000000"/>
                <w:sz w:val="22"/>
                <w:szCs w:val="22"/>
              </w:rPr>
              <w:t>6,095</w:t>
            </w:r>
          </w:p>
        </w:tc>
        <w:tc>
          <w:tcPr>
            <w:tcW w:w="3828" w:type="dxa"/>
            <w:tcBorders>
              <w:top w:val="nil"/>
              <w:left w:val="nil"/>
              <w:bottom w:val="nil"/>
              <w:right w:val="nil"/>
            </w:tcBorders>
            <w:shd w:val="clear" w:color="000000" w:fill="FFFFFF"/>
            <w:vAlign w:val="bottom"/>
            <w:hideMark/>
          </w:tcPr>
          <w:p w:rsidR="006F03B9" w:rsidRPr="006F03B9" w:rsidRDefault="006F03B9" w:rsidP="006F03B9">
            <w:pPr>
              <w:spacing w:before="0" w:after="0"/>
              <w:jc w:val="right"/>
              <w:rPr>
                <w:color w:val="000000"/>
                <w:sz w:val="22"/>
                <w:szCs w:val="22"/>
              </w:rPr>
            </w:pPr>
            <w:r w:rsidRPr="006F03B9">
              <w:rPr>
                <w:color w:val="000000"/>
                <w:sz w:val="22"/>
                <w:szCs w:val="22"/>
              </w:rPr>
              <w:t>32.3</w:t>
            </w:r>
          </w:p>
        </w:tc>
      </w:tr>
      <w:tr w:rsidR="006F03B9" w:rsidRPr="0051419A" w:rsidTr="006178FB">
        <w:trPr>
          <w:trHeight w:val="270"/>
        </w:trPr>
        <w:tc>
          <w:tcPr>
            <w:tcW w:w="2660" w:type="dxa"/>
            <w:tcBorders>
              <w:top w:val="nil"/>
              <w:left w:val="nil"/>
              <w:bottom w:val="nil"/>
              <w:right w:val="nil"/>
            </w:tcBorders>
            <w:shd w:val="clear" w:color="000000" w:fill="FFFFFF"/>
            <w:noWrap/>
            <w:vAlign w:val="bottom"/>
            <w:hideMark/>
          </w:tcPr>
          <w:p w:rsidR="006F03B9" w:rsidRPr="0051419A" w:rsidRDefault="006F03B9" w:rsidP="004A0E02">
            <w:pPr>
              <w:spacing w:before="0" w:after="0"/>
              <w:rPr>
                <w:color w:val="000000"/>
                <w:sz w:val="22"/>
                <w:szCs w:val="22"/>
              </w:rPr>
            </w:pPr>
            <w:r w:rsidRPr="0051419A">
              <w:rPr>
                <w:color w:val="000000"/>
                <w:sz w:val="22"/>
                <w:szCs w:val="22"/>
              </w:rPr>
              <w:t>March 2013</w:t>
            </w:r>
          </w:p>
        </w:tc>
        <w:tc>
          <w:tcPr>
            <w:tcW w:w="3592" w:type="dxa"/>
            <w:tcBorders>
              <w:top w:val="nil"/>
              <w:left w:val="nil"/>
              <w:bottom w:val="nil"/>
              <w:right w:val="nil"/>
            </w:tcBorders>
            <w:shd w:val="clear" w:color="000000" w:fill="FFFFFF"/>
            <w:noWrap/>
            <w:vAlign w:val="bottom"/>
            <w:hideMark/>
          </w:tcPr>
          <w:p w:rsidR="006F03B9" w:rsidRPr="0051419A" w:rsidRDefault="006F03B9" w:rsidP="0060197E">
            <w:pPr>
              <w:spacing w:before="0" w:after="0"/>
              <w:jc w:val="right"/>
              <w:rPr>
                <w:color w:val="000000"/>
                <w:sz w:val="22"/>
                <w:szCs w:val="22"/>
              </w:rPr>
            </w:pPr>
            <w:r w:rsidRPr="0051419A">
              <w:rPr>
                <w:color w:val="000000"/>
                <w:sz w:val="22"/>
                <w:szCs w:val="22"/>
              </w:rPr>
              <w:t>7,</w:t>
            </w:r>
            <w:r>
              <w:rPr>
                <w:color w:val="000000"/>
                <w:sz w:val="22"/>
                <w:szCs w:val="22"/>
              </w:rPr>
              <w:t>496</w:t>
            </w:r>
          </w:p>
        </w:tc>
        <w:tc>
          <w:tcPr>
            <w:tcW w:w="3828" w:type="dxa"/>
            <w:tcBorders>
              <w:top w:val="nil"/>
              <w:left w:val="nil"/>
              <w:bottom w:val="nil"/>
              <w:right w:val="nil"/>
            </w:tcBorders>
            <w:shd w:val="clear" w:color="000000" w:fill="FFFFFF"/>
            <w:vAlign w:val="bottom"/>
            <w:hideMark/>
          </w:tcPr>
          <w:p w:rsidR="006F03B9" w:rsidRPr="006F03B9" w:rsidRDefault="006F03B9" w:rsidP="006F03B9">
            <w:pPr>
              <w:spacing w:before="0" w:after="0"/>
              <w:jc w:val="right"/>
              <w:rPr>
                <w:color w:val="000000"/>
                <w:sz w:val="22"/>
                <w:szCs w:val="22"/>
              </w:rPr>
            </w:pPr>
            <w:r w:rsidRPr="006F03B9">
              <w:rPr>
                <w:color w:val="000000"/>
                <w:sz w:val="22"/>
                <w:szCs w:val="22"/>
              </w:rPr>
              <w:t>44.4</w:t>
            </w:r>
          </w:p>
        </w:tc>
      </w:tr>
      <w:tr w:rsidR="006F03B9" w:rsidRPr="0051419A" w:rsidTr="006178FB">
        <w:trPr>
          <w:trHeight w:val="270"/>
        </w:trPr>
        <w:tc>
          <w:tcPr>
            <w:tcW w:w="2660" w:type="dxa"/>
            <w:tcBorders>
              <w:top w:val="nil"/>
              <w:left w:val="nil"/>
              <w:bottom w:val="nil"/>
              <w:right w:val="nil"/>
            </w:tcBorders>
            <w:shd w:val="clear" w:color="000000" w:fill="FFFFFF"/>
            <w:noWrap/>
            <w:vAlign w:val="bottom"/>
            <w:hideMark/>
          </w:tcPr>
          <w:p w:rsidR="006F03B9" w:rsidRPr="0051419A" w:rsidRDefault="006F03B9" w:rsidP="004A0E02">
            <w:pPr>
              <w:spacing w:before="0" w:after="0"/>
              <w:rPr>
                <w:color w:val="000000"/>
                <w:sz w:val="22"/>
                <w:szCs w:val="22"/>
              </w:rPr>
            </w:pPr>
            <w:r w:rsidRPr="0051419A">
              <w:rPr>
                <w:color w:val="000000"/>
                <w:sz w:val="22"/>
                <w:szCs w:val="22"/>
              </w:rPr>
              <w:t>April 2013</w:t>
            </w:r>
          </w:p>
        </w:tc>
        <w:tc>
          <w:tcPr>
            <w:tcW w:w="3592" w:type="dxa"/>
            <w:tcBorders>
              <w:top w:val="nil"/>
              <w:left w:val="nil"/>
              <w:bottom w:val="nil"/>
              <w:right w:val="nil"/>
            </w:tcBorders>
            <w:shd w:val="clear" w:color="000000" w:fill="FFFFFF"/>
            <w:noWrap/>
            <w:vAlign w:val="bottom"/>
            <w:hideMark/>
          </w:tcPr>
          <w:p w:rsidR="006F03B9" w:rsidRPr="0051419A" w:rsidRDefault="006F03B9" w:rsidP="0060197E">
            <w:pPr>
              <w:spacing w:before="0" w:after="0"/>
              <w:jc w:val="right"/>
              <w:rPr>
                <w:color w:val="000000"/>
                <w:sz w:val="22"/>
                <w:szCs w:val="22"/>
              </w:rPr>
            </w:pPr>
            <w:r w:rsidRPr="0051419A">
              <w:rPr>
                <w:color w:val="000000"/>
                <w:sz w:val="22"/>
                <w:szCs w:val="22"/>
              </w:rPr>
              <w:t>10,</w:t>
            </w:r>
            <w:r>
              <w:rPr>
                <w:color w:val="000000"/>
                <w:sz w:val="22"/>
                <w:szCs w:val="22"/>
              </w:rPr>
              <w:t>295</w:t>
            </w:r>
          </w:p>
        </w:tc>
        <w:tc>
          <w:tcPr>
            <w:tcW w:w="3828" w:type="dxa"/>
            <w:tcBorders>
              <w:top w:val="nil"/>
              <w:left w:val="nil"/>
              <w:bottom w:val="nil"/>
              <w:right w:val="nil"/>
            </w:tcBorders>
            <w:shd w:val="clear" w:color="000000" w:fill="FFFFFF"/>
            <w:vAlign w:val="bottom"/>
            <w:hideMark/>
          </w:tcPr>
          <w:p w:rsidR="006F03B9" w:rsidRPr="006F03B9" w:rsidRDefault="006F03B9" w:rsidP="006F03B9">
            <w:pPr>
              <w:spacing w:before="0" w:after="0"/>
              <w:jc w:val="right"/>
              <w:rPr>
                <w:color w:val="000000"/>
                <w:sz w:val="22"/>
                <w:szCs w:val="22"/>
              </w:rPr>
            </w:pPr>
            <w:r w:rsidRPr="006F03B9">
              <w:rPr>
                <w:color w:val="000000"/>
                <w:sz w:val="22"/>
                <w:szCs w:val="22"/>
              </w:rPr>
              <w:t>74.9</w:t>
            </w:r>
          </w:p>
        </w:tc>
      </w:tr>
      <w:tr w:rsidR="006F03B9" w:rsidRPr="0051419A" w:rsidTr="006178FB">
        <w:trPr>
          <w:trHeight w:val="270"/>
        </w:trPr>
        <w:tc>
          <w:tcPr>
            <w:tcW w:w="2660" w:type="dxa"/>
            <w:tcBorders>
              <w:top w:val="nil"/>
              <w:left w:val="nil"/>
              <w:bottom w:val="nil"/>
              <w:right w:val="nil"/>
            </w:tcBorders>
            <w:shd w:val="clear" w:color="000000" w:fill="FFFFFF"/>
            <w:noWrap/>
            <w:vAlign w:val="bottom"/>
            <w:hideMark/>
          </w:tcPr>
          <w:p w:rsidR="006F03B9" w:rsidRPr="0051419A" w:rsidRDefault="006F03B9" w:rsidP="004A0E02">
            <w:pPr>
              <w:spacing w:before="0" w:after="0"/>
              <w:rPr>
                <w:color w:val="000000"/>
                <w:sz w:val="22"/>
                <w:szCs w:val="22"/>
              </w:rPr>
            </w:pPr>
            <w:r w:rsidRPr="0051419A">
              <w:rPr>
                <w:color w:val="000000"/>
                <w:sz w:val="22"/>
                <w:szCs w:val="22"/>
              </w:rPr>
              <w:t>May 2013</w:t>
            </w:r>
          </w:p>
        </w:tc>
        <w:tc>
          <w:tcPr>
            <w:tcW w:w="3592" w:type="dxa"/>
            <w:tcBorders>
              <w:top w:val="nil"/>
              <w:left w:val="nil"/>
              <w:bottom w:val="nil"/>
              <w:right w:val="nil"/>
            </w:tcBorders>
            <w:shd w:val="clear" w:color="000000" w:fill="FFFFFF"/>
            <w:noWrap/>
            <w:vAlign w:val="bottom"/>
            <w:hideMark/>
          </w:tcPr>
          <w:p w:rsidR="006F03B9" w:rsidRPr="0051419A" w:rsidRDefault="006F03B9" w:rsidP="004A0E02">
            <w:pPr>
              <w:spacing w:before="0" w:after="0"/>
              <w:jc w:val="right"/>
              <w:rPr>
                <w:color w:val="000000"/>
                <w:sz w:val="22"/>
                <w:szCs w:val="22"/>
              </w:rPr>
            </w:pPr>
            <w:r>
              <w:rPr>
                <w:color w:val="000000"/>
                <w:sz w:val="22"/>
                <w:szCs w:val="22"/>
              </w:rPr>
              <w:t>12,217</w:t>
            </w:r>
          </w:p>
        </w:tc>
        <w:tc>
          <w:tcPr>
            <w:tcW w:w="3828" w:type="dxa"/>
            <w:tcBorders>
              <w:top w:val="nil"/>
              <w:left w:val="nil"/>
              <w:bottom w:val="nil"/>
              <w:right w:val="nil"/>
            </w:tcBorders>
            <w:shd w:val="clear" w:color="000000" w:fill="FFFFFF"/>
            <w:vAlign w:val="bottom"/>
            <w:hideMark/>
          </w:tcPr>
          <w:p w:rsidR="006F03B9" w:rsidRPr="006F03B9" w:rsidRDefault="006F03B9" w:rsidP="006F03B9">
            <w:pPr>
              <w:spacing w:before="0" w:after="0"/>
              <w:jc w:val="right"/>
              <w:rPr>
                <w:color w:val="000000"/>
                <w:sz w:val="22"/>
                <w:szCs w:val="22"/>
              </w:rPr>
            </w:pPr>
            <w:r w:rsidRPr="006F03B9">
              <w:rPr>
                <w:color w:val="000000"/>
                <w:sz w:val="22"/>
                <w:szCs w:val="22"/>
              </w:rPr>
              <w:t>126.7</w:t>
            </w:r>
          </w:p>
        </w:tc>
      </w:tr>
      <w:tr w:rsidR="006F03B9" w:rsidRPr="0051419A" w:rsidTr="006178FB">
        <w:trPr>
          <w:trHeight w:val="270"/>
        </w:trPr>
        <w:tc>
          <w:tcPr>
            <w:tcW w:w="2660" w:type="dxa"/>
            <w:tcBorders>
              <w:top w:val="nil"/>
              <w:left w:val="nil"/>
              <w:bottom w:val="nil"/>
              <w:right w:val="nil"/>
            </w:tcBorders>
            <w:shd w:val="clear" w:color="000000" w:fill="FFFFFF"/>
            <w:noWrap/>
            <w:vAlign w:val="bottom"/>
            <w:hideMark/>
          </w:tcPr>
          <w:p w:rsidR="006F03B9" w:rsidRPr="0051419A" w:rsidRDefault="006F03B9" w:rsidP="004A0E02">
            <w:pPr>
              <w:spacing w:before="0" w:after="0"/>
              <w:rPr>
                <w:color w:val="000000"/>
                <w:sz w:val="22"/>
                <w:szCs w:val="22"/>
              </w:rPr>
            </w:pPr>
            <w:r w:rsidRPr="0051419A">
              <w:rPr>
                <w:color w:val="000000"/>
                <w:sz w:val="22"/>
                <w:szCs w:val="22"/>
              </w:rPr>
              <w:t>June 2013</w:t>
            </w:r>
          </w:p>
        </w:tc>
        <w:tc>
          <w:tcPr>
            <w:tcW w:w="3592" w:type="dxa"/>
            <w:tcBorders>
              <w:top w:val="nil"/>
              <w:left w:val="nil"/>
              <w:bottom w:val="nil"/>
              <w:right w:val="nil"/>
            </w:tcBorders>
            <w:shd w:val="clear" w:color="000000" w:fill="FFFFFF"/>
            <w:noWrap/>
            <w:vAlign w:val="bottom"/>
            <w:hideMark/>
          </w:tcPr>
          <w:p w:rsidR="006F03B9" w:rsidRPr="0051419A" w:rsidRDefault="006F03B9" w:rsidP="004A0E02">
            <w:pPr>
              <w:spacing w:before="0" w:after="0"/>
              <w:jc w:val="right"/>
              <w:rPr>
                <w:color w:val="000000"/>
                <w:sz w:val="22"/>
                <w:szCs w:val="22"/>
              </w:rPr>
            </w:pPr>
            <w:r>
              <w:rPr>
                <w:color w:val="000000"/>
                <w:sz w:val="22"/>
                <w:szCs w:val="22"/>
              </w:rPr>
              <w:t>16,087</w:t>
            </w:r>
          </w:p>
        </w:tc>
        <w:tc>
          <w:tcPr>
            <w:tcW w:w="3828" w:type="dxa"/>
            <w:tcBorders>
              <w:top w:val="nil"/>
              <w:left w:val="nil"/>
              <w:bottom w:val="nil"/>
              <w:right w:val="nil"/>
            </w:tcBorders>
            <w:shd w:val="clear" w:color="000000" w:fill="FFFFFF"/>
            <w:vAlign w:val="bottom"/>
            <w:hideMark/>
          </w:tcPr>
          <w:p w:rsidR="006F03B9" w:rsidRPr="006F03B9" w:rsidRDefault="006F03B9" w:rsidP="006F03B9">
            <w:pPr>
              <w:spacing w:before="0" w:after="0"/>
              <w:jc w:val="right"/>
              <w:rPr>
                <w:color w:val="000000"/>
                <w:sz w:val="22"/>
                <w:szCs w:val="22"/>
              </w:rPr>
            </w:pPr>
            <w:r w:rsidRPr="006F03B9">
              <w:rPr>
                <w:color w:val="000000"/>
                <w:sz w:val="22"/>
                <w:szCs w:val="22"/>
              </w:rPr>
              <w:t>170.5</w:t>
            </w:r>
          </w:p>
        </w:tc>
      </w:tr>
      <w:tr w:rsidR="006F03B9" w:rsidRPr="0051419A" w:rsidTr="006178FB">
        <w:trPr>
          <w:trHeight w:val="255"/>
        </w:trPr>
        <w:tc>
          <w:tcPr>
            <w:tcW w:w="2660" w:type="dxa"/>
            <w:tcBorders>
              <w:top w:val="nil"/>
              <w:left w:val="nil"/>
              <w:bottom w:val="nil"/>
              <w:right w:val="nil"/>
            </w:tcBorders>
            <w:shd w:val="clear" w:color="000000" w:fill="FFFFFF"/>
            <w:noWrap/>
            <w:vAlign w:val="bottom"/>
            <w:hideMark/>
          </w:tcPr>
          <w:p w:rsidR="006F03B9" w:rsidRPr="0051419A" w:rsidRDefault="006F03B9" w:rsidP="004A0E02">
            <w:pPr>
              <w:spacing w:before="0" w:after="0"/>
              <w:rPr>
                <w:color w:val="000000"/>
                <w:sz w:val="22"/>
                <w:szCs w:val="22"/>
              </w:rPr>
            </w:pPr>
            <w:r w:rsidRPr="0051419A">
              <w:rPr>
                <w:color w:val="000000"/>
                <w:sz w:val="22"/>
                <w:szCs w:val="22"/>
              </w:rPr>
              <w:t>July 2013</w:t>
            </w:r>
          </w:p>
        </w:tc>
        <w:tc>
          <w:tcPr>
            <w:tcW w:w="3592" w:type="dxa"/>
            <w:tcBorders>
              <w:top w:val="nil"/>
              <w:left w:val="nil"/>
              <w:bottom w:val="nil"/>
              <w:right w:val="nil"/>
            </w:tcBorders>
            <w:shd w:val="clear" w:color="000000" w:fill="FFFFFF"/>
            <w:noWrap/>
            <w:vAlign w:val="bottom"/>
            <w:hideMark/>
          </w:tcPr>
          <w:p w:rsidR="006F03B9" w:rsidRPr="0051419A" w:rsidRDefault="006F03B9" w:rsidP="004A0E02">
            <w:pPr>
              <w:spacing w:before="0" w:after="0"/>
              <w:jc w:val="right"/>
              <w:rPr>
                <w:color w:val="000000"/>
                <w:sz w:val="22"/>
                <w:szCs w:val="22"/>
              </w:rPr>
            </w:pPr>
            <w:r>
              <w:rPr>
                <w:color w:val="000000"/>
                <w:sz w:val="22"/>
                <w:szCs w:val="22"/>
              </w:rPr>
              <w:t>19,668</w:t>
            </w:r>
          </w:p>
        </w:tc>
        <w:tc>
          <w:tcPr>
            <w:tcW w:w="3828" w:type="dxa"/>
            <w:tcBorders>
              <w:top w:val="nil"/>
              <w:left w:val="nil"/>
              <w:bottom w:val="nil"/>
              <w:right w:val="nil"/>
            </w:tcBorders>
            <w:shd w:val="clear" w:color="000000" w:fill="FFFFFF"/>
            <w:vAlign w:val="bottom"/>
            <w:hideMark/>
          </w:tcPr>
          <w:p w:rsidR="006F03B9" w:rsidRPr="006F03B9" w:rsidRDefault="006F03B9" w:rsidP="006F03B9">
            <w:pPr>
              <w:spacing w:before="0" w:after="0"/>
              <w:jc w:val="right"/>
              <w:rPr>
                <w:color w:val="000000"/>
                <w:sz w:val="22"/>
                <w:szCs w:val="22"/>
              </w:rPr>
            </w:pPr>
            <w:r w:rsidRPr="006F03B9">
              <w:rPr>
                <w:color w:val="000000"/>
                <w:sz w:val="22"/>
                <w:szCs w:val="22"/>
              </w:rPr>
              <w:t>236.3</w:t>
            </w:r>
          </w:p>
        </w:tc>
      </w:tr>
      <w:tr w:rsidR="006F03B9" w:rsidRPr="0051419A" w:rsidTr="006178FB">
        <w:trPr>
          <w:trHeight w:val="255"/>
        </w:trPr>
        <w:tc>
          <w:tcPr>
            <w:tcW w:w="2660" w:type="dxa"/>
            <w:tcBorders>
              <w:top w:val="nil"/>
              <w:left w:val="nil"/>
              <w:bottom w:val="nil"/>
              <w:right w:val="nil"/>
            </w:tcBorders>
            <w:shd w:val="clear" w:color="000000" w:fill="FFFFFF"/>
            <w:noWrap/>
            <w:vAlign w:val="bottom"/>
            <w:hideMark/>
          </w:tcPr>
          <w:p w:rsidR="006F03B9" w:rsidRPr="0051419A" w:rsidRDefault="006F03B9" w:rsidP="004A0E02">
            <w:pPr>
              <w:spacing w:before="0" w:after="0"/>
              <w:rPr>
                <w:color w:val="000000"/>
                <w:sz w:val="22"/>
                <w:szCs w:val="22"/>
              </w:rPr>
            </w:pPr>
            <w:r w:rsidRPr="0051419A">
              <w:rPr>
                <w:color w:val="000000"/>
                <w:sz w:val="22"/>
                <w:szCs w:val="22"/>
              </w:rPr>
              <w:t>August 2013</w:t>
            </w:r>
          </w:p>
        </w:tc>
        <w:tc>
          <w:tcPr>
            <w:tcW w:w="3592" w:type="dxa"/>
            <w:tcBorders>
              <w:top w:val="nil"/>
              <w:left w:val="nil"/>
              <w:bottom w:val="nil"/>
              <w:right w:val="nil"/>
            </w:tcBorders>
            <w:shd w:val="clear" w:color="000000" w:fill="FFFFFF"/>
            <w:noWrap/>
            <w:vAlign w:val="bottom"/>
            <w:hideMark/>
          </w:tcPr>
          <w:p w:rsidR="006F03B9" w:rsidRPr="0051419A" w:rsidRDefault="006F03B9" w:rsidP="004A0E02">
            <w:pPr>
              <w:spacing w:before="0" w:after="0"/>
              <w:jc w:val="right"/>
              <w:rPr>
                <w:color w:val="000000"/>
                <w:sz w:val="22"/>
                <w:szCs w:val="22"/>
              </w:rPr>
            </w:pPr>
            <w:r>
              <w:rPr>
                <w:color w:val="000000"/>
                <w:sz w:val="22"/>
                <w:szCs w:val="22"/>
              </w:rPr>
              <w:t>25,972</w:t>
            </w:r>
          </w:p>
        </w:tc>
        <w:tc>
          <w:tcPr>
            <w:tcW w:w="3828" w:type="dxa"/>
            <w:tcBorders>
              <w:top w:val="nil"/>
              <w:left w:val="nil"/>
              <w:bottom w:val="nil"/>
              <w:right w:val="nil"/>
            </w:tcBorders>
            <w:shd w:val="clear" w:color="000000" w:fill="FFFFFF"/>
            <w:vAlign w:val="bottom"/>
            <w:hideMark/>
          </w:tcPr>
          <w:p w:rsidR="006F03B9" w:rsidRPr="006F03B9" w:rsidRDefault="006F03B9" w:rsidP="006F03B9">
            <w:pPr>
              <w:spacing w:before="0" w:after="0"/>
              <w:jc w:val="right"/>
              <w:rPr>
                <w:color w:val="000000"/>
                <w:sz w:val="22"/>
                <w:szCs w:val="22"/>
              </w:rPr>
            </w:pPr>
            <w:r w:rsidRPr="006F03B9">
              <w:rPr>
                <w:color w:val="000000"/>
                <w:sz w:val="22"/>
                <w:szCs w:val="22"/>
              </w:rPr>
              <w:t>307.5</w:t>
            </w:r>
          </w:p>
        </w:tc>
      </w:tr>
      <w:tr w:rsidR="006F03B9" w:rsidRPr="0051419A" w:rsidTr="006178FB">
        <w:trPr>
          <w:trHeight w:val="255"/>
        </w:trPr>
        <w:tc>
          <w:tcPr>
            <w:tcW w:w="2660" w:type="dxa"/>
            <w:tcBorders>
              <w:top w:val="nil"/>
              <w:left w:val="nil"/>
              <w:bottom w:val="nil"/>
              <w:right w:val="nil"/>
            </w:tcBorders>
            <w:shd w:val="clear" w:color="000000" w:fill="FFFFFF"/>
            <w:noWrap/>
            <w:vAlign w:val="bottom"/>
            <w:hideMark/>
          </w:tcPr>
          <w:p w:rsidR="006F03B9" w:rsidRPr="0051419A" w:rsidRDefault="006F03B9" w:rsidP="004A0E02">
            <w:pPr>
              <w:spacing w:before="0" w:after="0"/>
              <w:rPr>
                <w:color w:val="000000"/>
                <w:sz w:val="22"/>
                <w:szCs w:val="22"/>
              </w:rPr>
            </w:pPr>
            <w:r w:rsidRPr="0051419A">
              <w:rPr>
                <w:color w:val="000000"/>
                <w:sz w:val="22"/>
                <w:szCs w:val="22"/>
              </w:rPr>
              <w:t>September 2013</w:t>
            </w:r>
          </w:p>
        </w:tc>
        <w:tc>
          <w:tcPr>
            <w:tcW w:w="3592" w:type="dxa"/>
            <w:tcBorders>
              <w:top w:val="nil"/>
              <w:left w:val="nil"/>
              <w:bottom w:val="nil"/>
              <w:right w:val="nil"/>
            </w:tcBorders>
            <w:shd w:val="clear" w:color="000000" w:fill="FFFFFF"/>
            <w:noWrap/>
            <w:vAlign w:val="bottom"/>
            <w:hideMark/>
          </w:tcPr>
          <w:p w:rsidR="006F03B9" w:rsidRPr="0051419A" w:rsidRDefault="006F03B9" w:rsidP="00653354">
            <w:pPr>
              <w:spacing w:before="0" w:after="0"/>
              <w:jc w:val="right"/>
              <w:rPr>
                <w:color w:val="000000"/>
                <w:sz w:val="22"/>
                <w:szCs w:val="22"/>
              </w:rPr>
            </w:pPr>
            <w:r w:rsidRPr="0051419A">
              <w:rPr>
                <w:color w:val="000000"/>
                <w:sz w:val="22"/>
                <w:szCs w:val="22"/>
              </w:rPr>
              <w:t>28,</w:t>
            </w:r>
            <w:r>
              <w:rPr>
                <w:color w:val="000000"/>
                <w:sz w:val="22"/>
                <w:szCs w:val="22"/>
              </w:rPr>
              <w:t>901</w:t>
            </w:r>
          </w:p>
        </w:tc>
        <w:tc>
          <w:tcPr>
            <w:tcW w:w="3828" w:type="dxa"/>
            <w:tcBorders>
              <w:top w:val="nil"/>
              <w:left w:val="nil"/>
              <w:bottom w:val="nil"/>
              <w:right w:val="nil"/>
            </w:tcBorders>
            <w:shd w:val="clear" w:color="000000" w:fill="FFFFFF"/>
            <w:vAlign w:val="bottom"/>
            <w:hideMark/>
          </w:tcPr>
          <w:p w:rsidR="006F03B9" w:rsidRPr="006F03B9" w:rsidRDefault="006F03B9" w:rsidP="006F03B9">
            <w:pPr>
              <w:spacing w:before="0" w:after="0"/>
              <w:jc w:val="right"/>
              <w:rPr>
                <w:color w:val="000000"/>
                <w:sz w:val="22"/>
                <w:szCs w:val="22"/>
              </w:rPr>
            </w:pPr>
            <w:r w:rsidRPr="006F03B9">
              <w:rPr>
                <w:color w:val="000000"/>
                <w:sz w:val="22"/>
                <w:szCs w:val="22"/>
              </w:rPr>
              <w:t>355.2</w:t>
            </w:r>
          </w:p>
        </w:tc>
      </w:tr>
      <w:tr w:rsidR="006F03B9" w:rsidRPr="0051419A" w:rsidTr="006178FB">
        <w:trPr>
          <w:trHeight w:val="255"/>
        </w:trPr>
        <w:tc>
          <w:tcPr>
            <w:tcW w:w="2660" w:type="dxa"/>
            <w:tcBorders>
              <w:top w:val="nil"/>
              <w:left w:val="nil"/>
              <w:bottom w:val="nil"/>
              <w:right w:val="nil"/>
            </w:tcBorders>
            <w:shd w:val="clear" w:color="000000" w:fill="FFFFFF"/>
            <w:noWrap/>
            <w:vAlign w:val="bottom"/>
          </w:tcPr>
          <w:p w:rsidR="006F03B9" w:rsidRPr="0051419A" w:rsidRDefault="006F03B9" w:rsidP="004A0E02">
            <w:pPr>
              <w:spacing w:before="0" w:after="0"/>
              <w:rPr>
                <w:color w:val="000000"/>
                <w:sz w:val="22"/>
                <w:szCs w:val="22"/>
              </w:rPr>
            </w:pPr>
            <w:r w:rsidRPr="0051419A">
              <w:rPr>
                <w:color w:val="000000"/>
                <w:sz w:val="22"/>
                <w:szCs w:val="22"/>
              </w:rPr>
              <w:t>October 2013</w:t>
            </w:r>
          </w:p>
        </w:tc>
        <w:tc>
          <w:tcPr>
            <w:tcW w:w="3592" w:type="dxa"/>
            <w:tcBorders>
              <w:top w:val="nil"/>
              <w:left w:val="nil"/>
              <w:bottom w:val="nil"/>
              <w:right w:val="nil"/>
            </w:tcBorders>
            <w:shd w:val="clear" w:color="000000" w:fill="FFFFFF"/>
            <w:noWrap/>
            <w:vAlign w:val="bottom"/>
          </w:tcPr>
          <w:p w:rsidR="006F03B9" w:rsidRPr="0051419A" w:rsidRDefault="006F03B9" w:rsidP="004A0E02">
            <w:pPr>
              <w:spacing w:before="0" w:after="0"/>
              <w:jc w:val="right"/>
              <w:rPr>
                <w:color w:val="000000"/>
                <w:sz w:val="22"/>
                <w:szCs w:val="22"/>
              </w:rPr>
            </w:pPr>
            <w:r>
              <w:rPr>
                <w:color w:val="000000"/>
                <w:sz w:val="22"/>
                <w:szCs w:val="22"/>
              </w:rPr>
              <w:t>37,854</w:t>
            </w:r>
          </w:p>
        </w:tc>
        <w:tc>
          <w:tcPr>
            <w:tcW w:w="3828" w:type="dxa"/>
            <w:tcBorders>
              <w:top w:val="nil"/>
              <w:left w:val="nil"/>
              <w:bottom w:val="nil"/>
              <w:right w:val="nil"/>
            </w:tcBorders>
            <w:shd w:val="clear" w:color="000000" w:fill="FFFFFF"/>
            <w:vAlign w:val="bottom"/>
          </w:tcPr>
          <w:p w:rsidR="006F03B9" w:rsidRPr="006F03B9" w:rsidRDefault="006F03B9" w:rsidP="006F03B9">
            <w:pPr>
              <w:spacing w:before="0" w:after="0"/>
              <w:jc w:val="right"/>
              <w:rPr>
                <w:color w:val="000000"/>
                <w:sz w:val="22"/>
                <w:szCs w:val="22"/>
              </w:rPr>
            </w:pPr>
            <w:r w:rsidRPr="006F03B9">
              <w:rPr>
                <w:color w:val="000000"/>
                <w:sz w:val="22"/>
                <w:szCs w:val="22"/>
              </w:rPr>
              <w:t>474.8</w:t>
            </w:r>
          </w:p>
        </w:tc>
      </w:tr>
      <w:tr w:rsidR="006F03B9" w:rsidRPr="0051419A" w:rsidTr="006178FB">
        <w:trPr>
          <w:trHeight w:val="255"/>
        </w:trPr>
        <w:tc>
          <w:tcPr>
            <w:tcW w:w="2660" w:type="dxa"/>
            <w:tcBorders>
              <w:top w:val="nil"/>
              <w:left w:val="nil"/>
              <w:bottom w:val="nil"/>
              <w:right w:val="nil"/>
            </w:tcBorders>
            <w:shd w:val="clear" w:color="000000" w:fill="FFFFFF"/>
            <w:noWrap/>
            <w:vAlign w:val="bottom"/>
          </w:tcPr>
          <w:p w:rsidR="006F03B9" w:rsidRPr="0051419A" w:rsidRDefault="006F03B9" w:rsidP="004A0E02">
            <w:pPr>
              <w:spacing w:before="0" w:after="0"/>
              <w:rPr>
                <w:color w:val="000000"/>
                <w:sz w:val="22"/>
                <w:szCs w:val="22"/>
              </w:rPr>
            </w:pPr>
            <w:r w:rsidRPr="0051419A">
              <w:rPr>
                <w:color w:val="000000"/>
                <w:sz w:val="22"/>
                <w:szCs w:val="22"/>
              </w:rPr>
              <w:t>November 2013</w:t>
            </w:r>
          </w:p>
        </w:tc>
        <w:tc>
          <w:tcPr>
            <w:tcW w:w="3592" w:type="dxa"/>
            <w:tcBorders>
              <w:top w:val="nil"/>
              <w:left w:val="nil"/>
              <w:bottom w:val="nil"/>
              <w:right w:val="nil"/>
            </w:tcBorders>
            <w:shd w:val="clear" w:color="000000" w:fill="FFFFFF"/>
            <w:noWrap/>
            <w:vAlign w:val="bottom"/>
          </w:tcPr>
          <w:p w:rsidR="006F03B9" w:rsidRPr="0051419A" w:rsidRDefault="006F03B9" w:rsidP="004A0E02">
            <w:pPr>
              <w:spacing w:before="0" w:after="0"/>
              <w:jc w:val="right"/>
              <w:rPr>
                <w:color w:val="000000"/>
                <w:sz w:val="22"/>
                <w:szCs w:val="22"/>
              </w:rPr>
            </w:pPr>
            <w:r>
              <w:rPr>
                <w:color w:val="000000"/>
                <w:sz w:val="22"/>
                <w:szCs w:val="22"/>
              </w:rPr>
              <w:t>40,453</w:t>
            </w:r>
          </w:p>
        </w:tc>
        <w:tc>
          <w:tcPr>
            <w:tcW w:w="3828" w:type="dxa"/>
            <w:tcBorders>
              <w:top w:val="nil"/>
              <w:left w:val="nil"/>
              <w:bottom w:val="nil"/>
              <w:right w:val="nil"/>
            </w:tcBorders>
            <w:shd w:val="clear" w:color="000000" w:fill="FFFFFF"/>
            <w:vAlign w:val="bottom"/>
          </w:tcPr>
          <w:p w:rsidR="006F03B9" w:rsidRPr="006F03B9" w:rsidRDefault="006F03B9" w:rsidP="006F03B9">
            <w:pPr>
              <w:spacing w:before="0" w:after="0"/>
              <w:jc w:val="right"/>
              <w:rPr>
                <w:color w:val="000000"/>
                <w:sz w:val="22"/>
                <w:szCs w:val="22"/>
              </w:rPr>
            </w:pPr>
            <w:r w:rsidRPr="006F03B9">
              <w:rPr>
                <w:color w:val="000000"/>
                <w:sz w:val="22"/>
                <w:szCs w:val="22"/>
              </w:rPr>
              <w:t>499.4</w:t>
            </w:r>
          </w:p>
        </w:tc>
      </w:tr>
      <w:tr w:rsidR="006F03B9" w:rsidRPr="0051419A" w:rsidTr="006178FB">
        <w:trPr>
          <w:trHeight w:val="255"/>
        </w:trPr>
        <w:tc>
          <w:tcPr>
            <w:tcW w:w="2660" w:type="dxa"/>
            <w:tcBorders>
              <w:top w:val="nil"/>
              <w:left w:val="nil"/>
              <w:bottom w:val="nil"/>
              <w:right w:val="nil"/>
            </w:tcBorders>
            <w:shd w:val="clear" w:color="000000" w:fill="FFFFFF"/>
            <w:noWrap/>
            <w:vAlign w:val="bottom"/>
          </w:tcPr>
          <w:p w:rsidR="006F03B9" w:rsidRPr="0051419A" w:rsidRDefault="006F03B9" w:rsidP="004A0E02">
            <w:pPr>
              <w:spacing w:before="0" w:after="0"/>
              <w:rPr>
                <w:color w:val="000000"/>
                <w:sz w:val="22"/>
                <w:szCs w:val="22"/>
              </w:rPr>
            </w:pPr>
            <w:r w:rsidRPr="0051419A">
              <w:rPr>
                <w:color w:val="000000"/>
                <w:sz w:val="22"/>
                <w:szCs w:val="22"/>
              </w:rPr>
              <w:t>December 2013</w:t>
            </w:r>
          </w:p>
        </w:tc>
        <w:tc>
          <w:tcPr>
            <w:tcW w:w="3592" w:type="dxa"/>
            <w:tcBorders>
              <w:top w:val="nil"/>
              <w:left w:val="nil"/>
              <w:bottom w:val="nil"/>
              <w:right w:val="nil"/>
            </w:tcBorders>
            <w:shd w:val="clear" w:color="000000" w:fill="FFFFFF"/>
            <w:noWrap/>
            <w:vAlign w:val="bottom"/>
          </w:tcPr>
          <w:p w:rsidR="006F03B9" w:rsidRPr="0051419A" w:rsidRDefault="006F03B9" w:rsidP="004A0E02">
            <w:pPr>
              <w:spacing w:before="0" w:after="0"/>
              <w:jc w:val="right"/>
              <w:rPr>
                <w:color w:val="000000"/>
                <w:sz w:val="22"/>
                <w:szCs w:val="22"/>
              </w:rPr>
            </w:pPr>
            <w:r>
              <w:rPr>
                <w:color w:val="000000"/>
                <w:sz w:val="22"/>
                <w:szCs w:val="22"/>
              </w:rPr>
              <w:t>33,357</w:t>
            </w:r>
          </w:p>
        </w:tc>
        <w:tc>
          <w:tcPr>
            <w:tcW w:w="3828" w:type="dxa"/>
            <w:tcBorders>
              <w:top w:val="nil"/>
              <w:left w:val="nil"/>
              <w:bottom w:val="nil"/>
              <w:right w:val="nil"/>
            </w:tcBorders>
            <w:shd w:val="clear" w:color="000000" w:fill="FFFFFF"/>
            <w:vAlign w:val="bottom"/>
          </w:tcPr>
          <w:p w:rsidR="006F03B9" w:rsidRPr="006F03B9" w:rsidRDefault="006F03B9" w:rsidP="006F03B9">
            <w:pPr>
              <w:spacing w:before="0" w:after="0"/>
              <w:jc w:val="right"/>
              <w:rPr>
                <w:color w:val="000000"/>
                <w:sz w:val="22"/>
                <w:szCs w:val="22"/>
              </w:rPr>
            </w:pPr>
            <w:r w:rsidRPr="006F03B9">
              <w:rPr>
                <w:color w:val="000000"/>
                <w:sz w:val="22"/>
                <w:szCs w:val="22"/>
              </w:rPr>
              <w:t>413.6</w:t>
            </w:r>
          </w:p>
        </w:tc>
      </w:tr>
      <w:tr w:rsidR="006F03B9" w:rsidRPr="0051419A" w:rsidTr="006178FB">
        <w:trPr>
          <w:trHeight w:val="255"/>
        </w:trPr>
        <w:tc>
          <w:tcPr>
            <w:tcW w:w="2660" w:type="dxa"/>
            <w:tcBorders>
              <w:top w:val="nil"/>
              <w:left w:val="nil"/>
              <w:bottom w:val="nil"/>
              <w:right w:val="nil"/>
            </w:tcBorders>
            <w:shd w:val="clear" w:color="000000" w:fill="FFFFFF"/>
            <w:noWrap/>
            <w:vAlign w:val="bottom"/>
          </w:tcPr>
          <w:p w:rsidR="006F03B9" w:rsidRPr="0051419A" w:rsidRDefault="006F03B9" w:rsidP="004A0E02">
            <w:pPr>
              <w:spacing w:before="0" w:after="0"/>
              <w:rPr>
                <w:color w:val="000000"/>
                <w:sz w:val="22"/>
                <w:szCs w:val="22"/>
              </w:rPr>
            </w:pPr>
            <w:r w:rsidRPr="0051419A">
              <w:rPr>
                <w:color w:val="000000"/>
                <w:sz w:val="22"/>
                <w:szCs w:val="22"/>
              </w:rPr>
              <w:t>January 2014</w:t>
            </w:r>
          </w:p>
        </w:tc>
        <w:tc>
          <w:tcPr>
            <w:tcW w:w="3592" w:type="dxa"/>
            <w:tcBorders>
              <w:top w:val="nil"/>
              <w:left w:val="nil"/>
              <w:bottom w:val="nil"/>
              <w:right w:val="nil"/>
            </w:tcBorders>
            <w:shd w:val="clear" w:color="000000" w:fill="FFFFFF"/>
            <w:noWrap/>
            <w:vAlign w:val="bottom"/>
          </w:tcPr>
          <w:p w:rsidR="006F03B9" w:rsidRPr="0051419A" w:rsidRDefault="006F03B9" w:rsidP="00653354">
            <w:pPr>
              <w:spacing w:before="0" w:after="0"/>
              <w:jc w:val="right"/>
              <w:rPr>
                <w:color w:val="000000"/>
                <w:sz w:val="22"/>
                <w:szCs w:val="22"/>
              </w:rPr>
            </w:pPr>
            <w:r w:rsidRPr="0051419A">
              <w:rPr>
                <w:color w:val="000000"/>
                <w:sz w:val="22"/>
                <w:szCs w:val="22"/>
              </w:rPr>
              <w:t>33,</w:t>
            </w:r>
            <w:r>
              <w:rPr>
                <w:color w:val="000000"/>
                <w:sz w:val="22"/>
                <w:szCs w:val="22"/>
              </w:rPr>
              <w:t>384</w:t>
            </w:r>
          </w:p>
        </w:tc>
        <w:tc>
          <w:tcPr>
            <w:tcW w:w="3828" w:type="dxa"/>
            <w:tcBorders>
              <w:top w:val="nil"/>
              <w:left w:val="nil"/>
              <w:bottom w:val="nil"/>
              <w:right w:val="nil"/>
            </w:tcBorders>
            <w:shd w:val="clear" w:color="000000" w:fill="FFFFFF"/>
            <w:vAlign w:val="bottom"/>
          </w:tcPr>
          <w:p w:rsidR="006F03B9" w:rsidRPr="006F03B9" w:rsidRDefault="006F03B9" w:rsidP="006F03B9">
            <w:pPr>
              <w:spacing w:before="0" w:after="0"/>
              <w:jc w:val="right"/>
              <w:rPr>
                <w:color w:val="000000"/>
                <w:sz w:val="22"/>
                <w:szCs w:val="22"/>
              </w:rPr>
            </w:pPr>
            <w:r w:rsidRPr="006F03B9">
              <w:rPr>
                <w:color w:val="000000"/>
                <w:sz w:val="22"/>
                <w:szCs w:val="22"/>
              </w:rPr>
              <w:t>427.9</w:t>
            </w:r>
          </w:p>
        </w:tc>
      </w:tr>
      <w:tr w:rsidR="006F03B9" w:rsidRPr="0051419A" w:rsidTr="006178FB">
        <w:trPr>
          <w:trHeight w:val="255"/>
        </w:trPr>
        <w:tc>
          <w:tcPr>
            <w:tcW w:w="2660" w:type="dxa"/>
            <w:tcBorders>
              <w:top w:val="nil"/>
              <w:left w:val="nil"/>
              <w:bottom w:val="nil"/>
              <w:right w:val="nil"/>
            </w:tcBorders>
            <w:shd w:val="clear" w:color="000000" w:fill="FFFFFF"/>
            <w:noWrap/>
            <w:vAlign w:val="bottom"/>
          </w:tcPr>
          <w:p w:rsidR="006F03B9" w:rsidRPr="0051419A" w:rsidRDefault="006F03B9" w:rsidP="004A0E02">
            <w:pPr>
              <w:spacing w:before="0" w:after="0"/>
              <w:rPr>
                <w:color w:val="000000"/>
                <w:sz w:val="22"/>
                <w:szCs w:val="22"/>
              </w:rPr>
            </w:pPr>
            <w:r w:rsidRPr="0051419A">
              <w:rPr>
                <w:color w:val="000000"/>
                <w:sz w:val="22"/>
                <w:szCs w:val="22"/>
              </w:rPr>
              <w:t>February 2014</w:t>
            </w:r>
          </w:p>
        </w:tc>
        <w:tc>
          <w:tcPr>
            <w:tcW w:w="3592" w:type="dxa"/>
            <w:tcBorders>
              <w:top w:val="nil"/>
              <w:left w:val="nil"/>
              <w:bottom w:val="nil"/>
              <w:right w:val="nil"/>
            </w:tcBorders>
            <w:shd w:val="clear" w:color="000000" w:fill="FFFFFF"/>
            <w:noWrap/>
            <w:vAlign w:val="bottom"/>
          </w:tcPr>
          <w:p w:rsidR="006F03B9" w:rsidRPr="0051419A" w:rsidRDefault="006F03B9" w:rsidP="004A0E02">
            <w:pPr>
              <w:spacing w:before="0" w:after="0"/>
              <w:jc w:val="right"/>
              <w:rPr>
                <w:color w:val="000000"/>
                <w:sz w:val="22"/>
                <w:szCs w:val="22"/>
              </w:rPr>
            </w:pPr>
            <w:r>
              <w:rPr>
                <w:color w:val="000000"/>
                <w:sz w:val="22"/>
                <w:szCs w:val="22"/>
              </w:rPr>
              <w:t>24,74</w:t>
            </w:r>
            <w:r w:rsidRPr="0051419A">
              <w:rPr>
                <w:color w:val="000000"/>
                <w:sz w:val="22"/>
                <w:szCs w:val="22"/>
              </w:rPr>
              <w:t>5</w:t>
            </w:r>
          </w:p>
        </w:tc>
        <w:tc>
          <w:tcPr>
            <w:tcW w:w="3828" w:type="dxa"/>
            <w:tcBorders>
              <w:top w:val="nil"/>
              <w:left w:val="nil"/>
              <w:bottom w:val="nil"/>
              <w:right w:val="nil"/>
            </w:tcBorders>
            <w:shd w:val="clear" w:color="000000" w:fill="FFFFFF"/>
            <w:vAlign w:val="bottom"/>
          </w:tcPr>
          <w:p w:rsidR="006F03B9" w:rsidRPr="006F03B9" w:rsidRDefault="006F03B9" w:rsidP="006F03B9">
            <w:pPr>
              <w:spacing w:before="0" w:after="0"/>
              <w:jc w:val="right"/>
              <w:rPr>
                <w:color w:val="000000"/>
                <w:sz w:val="22"/>
                <w:szCs w:val="22"/>
              </w:rPr>
            </w:pPr>
            <w:r w:rsidRPr="006F03B9">
              <w:rPr>
                <w:color w:val="000000"/>
                <w:sz w:val="22"/>
                <w:szCs w:val="22"/>
              </w:rPr>
              <w:t>302.2</w:t>
            </w:r>
          </w:p>
        </w:tc>
      </w:tr>
      <w:tr w:rsidR="006F03B9" w:rsidRPr="0051419A" w:rsidTr="006178FB">
        <w:trPr>
          <w:trHeight w:val="255"/>
        </w:trPr>
        <w:tc>
          <w:tcPr>
            <w:tcW w:w="2660" w:type="dxa"/>
            <w:tcBorders>
              <w:top w:val="nil"/>
              <w:left w:val="nil"/>
              <w:bottom w:val="nil"/>
              <w:right w:val="nil"/>
            </w:tcBorders>
            <w:shd w:val="clear" w:color="000000" w:fill="FFFFFF"/>
            <w:noWrap/>
            <w:vAlign w:val="bottom"/>
          </w:tcPr>
          <w:p w:rsidR="006F03B9" w:rsidRPr="0051419A" w:rsidRDefault="006F03B9" w:rsidP="004A0E02">
            <w:pPr>
              <w:spacing w:before="0" w:after="0"/>
              <w:rPr>
                <w:color w:val="000000"/>
                <w:sz w:val="22"/>
                <w:szCs w:val="22"/>
              </w:rPr>
            </w:pPr>
            <w:r w:rsidRPr="0051419A">
              <w:rPr>
                <w:color w:val="000000"/>
                <w:sz w:val="22"/>
                <w:szCs w:val="22"/>
              </w:rPr>
              <w:t>March 2014</w:t>
            </w:r>
          </w:p>
        </w:tc>
        <w:tc>
          <w:tcPr>
            <w:tcW w:w="3592" w:type="dxa"/>
            <w:tcBorders>
              <w:top w:val="nil"/>
              <w:left w:val="nil"/>
              <w:bottom w:val="nil"/>
              <w:right w:val="nil"/>
            </w:tcBorders>
            <w:shd w:val="clear" w:color="000000" w:fill="FFFFFF"/>
            <w:noWrap/>
            <w:vAlign w:val="bottom"/>
          </w:tcPr>
          <w:p w:rsidR="006F03B9" w:rsidRPr="0051419A" w:rsidRDefault="006F03B9" w:rsidP="004A0E02">
            <w:pPr>
              <w:spacing w:before="0" w:after="0"/>
              <w:jc w:val="right"/>
              <w:rPr>
                <w:color w:val="000000"/>
                <w:sz w:val="22"/>
                <w:szCs w:val="22"/>
              </w:rPr>
            </w:pPr>
            <w:r>
              <w:rPr>
                <w:color w:val="000000"/>
                <w:sz w:val="22"/>
                <w:szCs w:val="22"/>
              </w:rPr>
              <w:t>21,117</w:t>
            </w:r>
          </w:p>
        </w:tc>
        <w:tc>
          <w:tcPr>
            <w:tcW w:w="3828" w:type="dxa"/>
            <w:tcBorders>
              <w:top w:val="nil"/>
              <w:left w:val="nil"/>
              <w:bottom w:val="nil"/>
              <w:right w:val="nil"/>
            </w:tcBorders>
            <w:shd w:val="clear" w:color="000000" w:fill="FFFFFF"/>
            <w:vAlign w:val="bottom"/>
          </w:tcPr>
          <w:p w:rsidR="006F03B9" w:rsidRPr="006F03B9" w:rsidRDefault="006F03B9" w:rsidP="006F03B9">
            <w:pPr>
              <w:spacing w:before="0" w:after="0"/>
              <w:jc w:val="right"/>
              <w:rPr>
                <w:color w:val="000000"/>
                <w:sz w:val="22"/>
                <w:szCs w:val="22"/>
              </w:rPr>
            </w:pPr>
            <w:r w:rsidRPr="006F03B9">
              <w:rPr>
                <w:color w:val="000000"/>
                <w:sz w:val="22"/>
                <w:szCs w:val="22"/>
              </w:rPr>
              <w:t>249.6</w:t>
            </w:r>
          </w:p>
        </w:tc>
      </w:tr>
      <w:tr w:rsidR="006F03B9" w:rsidRPr="0051419A" w:rsidTr="006178FB">
        <w:trPr>
          <w:trHeight w:val="255"/>
        </w:trPr>
        <w:tc>
          <w:tcPr>
            <w:tcW w:w="2660" w:type="dxa"/>
            <w:tcBorders>
              <w:top w:val="nil"/>
              <w:left w:val="nil"/>
              <w:bottom w:val="nil"/>
              <w:right w:val="nil"/>
            </w:tcBorders>
            <w:shd w:val="clear" w:color="auto" w:fill="auto"/>
            <w:noWrap/>
            <w:vAlign w:val="bottom"/>
            <w:hideMark/>
          </w:tcPr>
          <w:p w:rsidR="006F03B9" w:rsidRPr="0051419A" w:rsidRDefault="006F03B9" w:rsidP="004A0E02">
            <w:pPr>
              <w:spacing w:before="0" w:after="0"/>
              <w:rPr>
                <w:color w:val="000000"/>
                <w:sz w:val="22"/>
                <w:szCs w:val="22"/>
              </w:rPr>
            </w:pPr>
            <w:r w:rsidRPr="0051419A">
              <w:rPr>
                <w:color w:val="000000"/>
                <w:sz w:val="22"/>
                <w:szCs w:val="22"/>
              </w:rPr>
              <w:t>April 2014</w:t>
            </w:r>
          </w:p>
        </w:tc>
        <w:tc>
          <w:tcPr>
            <w:tcW w:w="3592" w:type="dxa"/>
            <w:tcBorders>
              <w:top w:val="nil"/>
              <w:left w:val="nil"/>
              <w:bottom w:val="nil"/>
              <w:right w:val="nil"/>
            </w:tcBorders>
            <w:shd w:val="clear" w:color="000000" w:fill="FFFFFF"/>
            <w:noWrap/>
            <w:vAlign w:val="bottom"/>
            <w:hideMark/>
          </w:tcPr>
          <w:p w:rsidR="006F03B9" w:rsidRPr="0051419A" w:rsidRDefault="006F03B9" w:rsidP="004A0E02">
            <w:pPr>
              <w:spacing w:before="0" w:after="0"/>
              <w:jc w:val="right"/>
              <w:rPr>
                <w:color w:val="000000"/>
                <w:sz w:val="22"/>
                <w:szCs w:val="22"/>
              </w:rPr>
            </w:pPr>
            <w:r w:rsidRPr="0051419A">
              <w:rPr>
                <w:color w:val="000000"/>
                <w:sz w:val="22"/>
                <w:szCs w:val="22"/>
              </w:rPr>
              <w:t>15,552</w:t>
            </w:r>
          </w:p>
        </w:tc>
        <w:tc>
          <w:tcPr>
            <w:tcW w:w="3828" w:type="dxa"/>
            <w:tcBorders>
              <w:top w:val="nil"/>
              <w:left w:val="nil"/>
              <w:bottom w:val="nil"/>
              <w:right w:val="nil"/>
            </w:tcBorders>
            <w:shd w:val="clear" w:color="000000" w:fill="FFFFFF"/>
            <w:noWrap/>
            <w:vAlign w:val="bottom"/>
            <w:hideMark/>
          </w:tcPr>
          <w:p w:rsidR="006F03B9" w:rsidRPr="006F03B9" w:rsidRDefault="006F03B9" w:rsidP="006F03B9">
            <w:pPr>
              <w:spacing w:before="0" w:after="0"/>
              <w:jc w:val="right"/>
              <w:rPr>
                <w:color w:val="000000"/>
                <w:sz w:val="22"/>
                <w:szCs w:val="22"/>
              </w:rPr>
            </w:pPr>
            <w:r w:rsidRPr="006F03B9">
              <w:rPr>
                <w:color w:val="000000"/>
                <w:sz w:val="22"/>
                <w:szCs w:val="22"/>
              </w:rPr>
              <w:t>178.3</w:t>
            </w:r>
          </w:p>
        </w:tc>
      </w:tr>
      <w:tr w:rsidR="006F03B9" w:rsidRPr="0051419A" w:rsidTr="006178FB">
        <w:trPr>
          <w:trHeight w:val="255"/>
        </w:trPr>
        <w:tc>
          <w:tcPr>
            <w:tcW w:w="2660" w:type="dxa"/>
            <w:tcBorders>
              <w:top w:val="nil"/>
              <w:left w:val="nil"/>
              <w:bottom w:val="nil"/>
              <w:right w:val="nil"/>
            </w:tcBorders>
            <w:shd w:val="clear" w:color="auto" w:fill="auto"/>
            <w:noWrap/>
            <w:vAlign w:val="bottom"/>
          </w:tcPr>
          <w:p w:rsidR="006F03B9" w:rsidRPr="0051419A" w:rsidRDefault="006F03B9" w:rsidP="004A0E02">
            <w:pPr>
              <w:spacing w:before="0" w:after="0"/>
              <w:rPr>
                <w:color w:val="000000"/>
                <w:sz w:val="22"/>
                <w:szCs w:val="22"/>
              </w:rPr>
            </w:pPr>
            <w:r w:rsidRPr="0051419A">
              <w:rPr>
                <w:color w:val="000000"/>
                <w:sz w:val="22"/>
                <w:szCs w:val="22"/>
              </w:rPr>
              <w:t>May 2014</w:t>
            </w:r>
          </w:p>
        </w:tc>
        <w:tc>
          <w:tcPr>
            <w:tcW w:w="3592" w:type="dxa"/>
            <w:tcBorders>
              <w:top w:val="nil"/>
              <w:left w:val="nil"/>
              <w:bottom w:val="nil"/>
              <w:right w:val="nil"/>
            </w:tcBorders>
            <w:shd w:val="clear" w:color="000000" w:fill="FFFFFF"/>
            <w:noWrap/>
            <w:vAlign w:val="bottom"/>
          </w:tcPr>
          <w:p w:rsidR="006F03B9" w:rsidRPr="0051419A" w:rsidRDefault="006F03B9" w:rsidP="004A0E02">
            <w:pPr>
              <w:spacing w:before="0" w:after="0"/>
              <w:jc w:val="right"/>
              <w:rPr>
                <w:color w:val="000000"/>
                <w:sz w:val="22"/>
                <w:szCs w:val="22"/>
              </w:rPr>
            </w:pPr>
            <w:r w:rsidRPr="0051419A">
              <w:rPr>
                <w:color w:val="000000"/>
                <w:sz w:val="22"/>
                <w:szCs w:val="22"/>
              </w:rPr>
              <w:t>12,805</w:t>
            </w:r>
          </w:p>
        </w:tc>
        <w:tc>
          <w:tcPr>
            <w:tcW w:w="3828" w:type="dxa"/>
            <w:tcBorders>
              <w:top w:val="nil"/>
              <w:left w:val="nil"/>
              <w:bottom w:val="nil"/>
              <w:right w:val="nil"/>
            </w:tcBorders>
            <w:shd w:val="clear" w:color="000000" w:fill="FFFFFF"/>
            <w:noWrap/>
            <w:vAlign w:val="bottom"/>
          </w:tcPr>
          <w:p w:rsidR="006F03B9" w:rsidRPr="006F03B9" w:rsidRDefault="006F03B9" w:rsidP="006F03B9">
            <w:pPr>
              <w:spacing w:before="0" w:after="0"/>
              <w:jc w:val="right"/>
              <w:rPr>
                <w:color w:val="000000"/>
                <w:sz w:val="22"/>
                <w:szCs w:val="22"/>
              </w:rPr>
            </w:pPr>
            <w:r w:rsidRPr="006F03B9">
              <w:rPr>
                <w:color w:val="000000"/>
                <w:sz w:val="22"/>
                <w:szCs w:val="22"/>
              </w:rPr>
              <w:t>157.4</w:t>
            </w:r>
          </w:p>
        </w:tc>
      </w:tr>
      <w:tr w:rsidR="006F03B9" w:rsidRPr="0051419A" w:rsidTr="006178FB">
        <w:trPr>
          <w:trHeight w:val="255"/>
        </w:trPr>
        <w:tc>
          <w:tcPr>
            <w:tcW w:w="2660" w:type="dxa"/>
            <w:tcBorders>
              <w:top w:val="nil"/>
              <w:left w:val="nil"/>
              <w:bottom w:val="nil"/>
              <w:right w:val="nil"/>
            </w:tcBorders>
            <w:shd w:val="clear" w:color="auto" w:fill="auto"/>
            <w:noWrap/>
            <w:vAlign w:val="bottom"/>
          </w:tcPr>
          <w:p w:rsidR="006F03B9" w:rsidRPr="0051419A" w:rsidRDefault="006F03B9" w:rsidP="004A0E02">
            <w:pPr>
              <w:spacing w:before="0" w:after="0"/>
              <w:rPr>
                <w:color w:val="000000"/>
                <w:sz w:val="22"/>
                <w:szCs w:val="22"/>
              </w:rPr>
            </w:pPr>
            <w:r w:rsidRPr="0051419A">
              <w:rPr>
                <w:color w:val="000000"/>
                <w:sz w:val="22"/>
                <w:szCs w:val="22"/>
              </w:rPr>
              <w:t>June 2014</w:t>
            </w:r>
          </w:p>
        </w:tc>
        <w:tc>
          <w:tcPr>
            <w:tcW w:w="3592" w:type="dxa"/>
            <w:tcBorders>
              <w:top w:val="nil"/>
              <w:left w:val="nil"/>
              <w:bottom w:val="nil"/>
              <w:right w:val="nil"/>
            </w:tcBorders>
            <w:shd w:val="clear" w:color="000000" w:fill="FFFFFF"/>
            <w:noWrap/>
            <w:vAlign w:val="bottom"/>
          </w:tcPr>
          <w:p w:rsidR="006F03B9" w:rsidRPr="0051419A" w:rsidRDefault="006F03B9" w:rsidP="004A0E02">
            <w:pPr>
              <w:spacing w:before="0" w:after="0"/>
              <w:jc w:val="right"/>
              <w:rPr>
                <w:color w:val="000000"/>
                <w:sz w:val="22"/>
                <w:szCs w:val="22"/>
              </w:rPr>
            </w:pPr>
            <w:r w:rsidRPr="0051419A">
              <w:rPr>
                <w:color w:val="000000"/>
                <w:sz w:val="22"/>
                <w:szCs w:val="22"/>
              </w:rPr>
              <w:t>10,084</w:t>
            </w:r>
          </w:p>
        </w:tc>
        <w:tc>
          <w:tcPr>
            <w:tcW w:w="3828" w:type="dxa"/>
            <w:tcBorders>
              <w:top w:val="nil"/>
              <w:left w:val="nil"/>
              <w:bottom w:val="nil"/>
              <w:right w:val="nil"/>
            </w:tcBorders>
            <w:shd w:val="clear" w:color="000000" w:fill="FFFFFF"/>
            <w:noWrap/>
            <w:vAlign w:val="bottom"/>
          </w:tcPr>
          <w:p w:rsidR="006F03B9" w:rsidRPr="006F03B9" w:rsidRDefault="006F03B9" w:rsidP="006F03B9">
            <w:pPr>
              <w:spacing w:before="0" w:after="0"/>
              <w:jc w:val="right"/>
              <w:rPr>
                <w:color w:val="000000"/>
                <w:sz w:val="22"/>
                <w:szCs w:val="22"/>
              </w:rPr>
            </w:pPr>
            <w:r w:rsidRPr="006F03B9">
              <w:rPr>
                <w:color w:val="000000"/>
                <w:sz w:val="22"/>
                <w:szCs w:val="22"/>
              </w:rPr>
              <w:t>130.1</w:t>
            </w:r>
          </w:p>
        </w:tc>
      </w:tr>
      <w:tr w:rsidR="006F03B9" w:rsidRPr="0051419A" w:rsidTr="006178FB">
        <w:trPr>
          <w:trHeight w:val="255"/>
        </w:trPr>
        <w:tc>
          <w:tcPr>
            <w:tcW w:w="2660" w:type="dxa"/>
            <w:tcBorders>
              <w:top w:val="nil"/>
              <w:left w:val="nil"/>
              <w:bottom w:val="nil"/>
              <w:right w:val="nil"/>
            </w:tcBorders>
            <w:shd w:val="clear" w:color="auto" w:fill="auto"/>
            <w:noWrap/>
            <w:vAlign w:val="bottom"/>
          </w:tcPr>
          <w:p w:rsidR="006F03B9" w:rsidRPr="0051419A" w:rsidRDefault="006F03B9" w:rsidP="004A0E02">
            <w:pPr>
              <w:spacing w:before="0" w:after="0"/>
              <w:rPr>
                <w:color w:val="000000"/>
                <w:sz w:val="22"/>
                <w:szCs w:val="22"/>
              </w:rPr>
            </w:pPr>
            <w:r>
              <w:rPr>
                <w:color w:val="000000"/>
                <w:sz w:val="22"/>
                <w:szCs w:val="22"/>
              </w:rPr>
              <w:t>July 2014</w:t>
            </w:r>
          </w:p>
        </w:tc>
        <w:tc>
          <w:tcPr>
            <w:tcW w:w="3592" w:type="dxa"/>
            <w:tcBorders>
              <w:top w:val="nil"/>
              <w:left w:val="nil"/>
              <w:bottom w:val="nil"/>
              <w:right w:val="nil"/>
            </w:tcBorders>
            <w:shd w:val="clear" w:color="000000" w:fill="FFFFFF"/>
            <w:noWrap/>
            <w:vAlign w:val="bottom"/>
          </w:tcPr>
          <w:p w:rsidR="006F03B9" w:rsidRPr="0051419A" w:rsidRDefault="006F03B9" w:rsidP="004A0E02">
            <w:pPr>
              <w:spacing w:before="0" w:after="0"/>
              <w:jc w:val="right"/>
              <w:rPr>
                <w:color w:val="000000"/>
                <w:sz w:val="22"/>
                <w:szCs w:val="22"/>
              </w:rPr>
            </w:pPr>
            <w:r>
              <w:rPr>
                <w:color w:val="000000"/>
                <w:sz w:val="22"/>
                <w:szCs w:val="22"/>
              </w:rPr>
              <w:t>7,938</w:t>
            </w:r>
          </w:p>
        </w:tc>
        <w:tc>
          <w:tcPr>
            <w:tcW w:w="3828" w:type="dxa"/>
            <w:tcBorders>
              <w:top w:val="nil"/>
              <w:left w:val="nil"/>
              <w:bottom w:val="nil"/>
              <w:right w:val="nil"/>
            </w:tcBorders>
            <w:shd w:val="clear" w:color="000000" w:fill="FFFFFF"/>
            <w:noWrap/>
            <w:vAlign w:val="bottom"/>
          </w:tcPr>
          <w:p w:rsidR="006F03B9" w:rsidRPr="006F03B9" w:rsidRDefault="006F03B9" w:rsidP="006F03B9">
            <w:pPr>
              <w:spacing w:before="0" w:after="0"/>
              <w:jc w:val="right"/>
              <w:rPr>
                <w:color w:val="000000"/>
                <w:sz w:val="22"/>
                <w:szCs w:val="22"/>
              </w:rPr>
            </w:pPr>
            <w:r w:rsidRPr="006F03B9">
              <w:rPr>
                <w:color w:val="000000"/>
                <w:sz w:val="22"/>
                <w:szCs w:val="22"/>
              </w:rPr>
              <w:t>105.0</w:t>
            </w:r>
          </w:p>
        </w:tc>
      </w:tr>
      <w:tr w:rsidR="006F03B9" w:rsidRPr="0051419A" w:rsidTr="006178FB">
        <w:trPr>
          <w:trHeight w:val="255"/>
        </w:trPr>
        <w:tc>
          <w:tcPr>
            <w:tcW w:w="2660" w:type="dxa"/>
            <w:tcBorders>
              <w:top w:val="nil"/>
              <w:left w:val="nil"/>
              <w:bottom w:val="nil"/>
              <w:right w:val="nil"/>
            </w:tcBorders>
            <w:shd w:val="clear" w:color="auto" w:fill="auto"/>
            <w:noWrap/>
            <w:vAlign w:val="bottom"/>
          </w:tcPr>
          <w:p w:rsidR="006F03B9" w:rsidRPr="0051419A" w:rsidRDefault="006F03B9" w:rsidP="004A0E02">
            <w:pPr>
              <w:spacing w:before="0" w:after="0"/>
              <w:rPr>
                <w:color w:val="000000"/>
                <w:sz w:val="22"/>
                <w:szCs w:val="22"/>
              </w:rPr>
            </w:pPr>
            <w:r>
              <w:rPr>
                <w:color w:val="000000"/>
                <w:sz w:val="22"/>
                <w:szCs w:val="22"/>
              </w:rPr>
              <w:t>August 2014</w:t>
            </w:r>
          </w:p>
        </w:tc>
        <w:tc>
          <w:tcPr>
            <w:tcW w:w="3592" w:type="dxa"/>
            <w:tcBorders>
              <w:top w:val="nil"/>
              <w:left w:val="nil"/>
              <w:bottom w:val="nil"/>
              <w:right w:val="nil"/>
            </w:tcBorders>
            <w:shd w:val="clear" w:color="000000" w:fill="FFFFFF"/>
            <w:noWrap/>
            <w:vAlign w:val="bottom"/>
          </w:tcPr>
          <w:p w:rsidR="006F03B9" w:rsidRPr="0051419A" w:rsidRDefault="006F03B9" w:rsidP="004A0E02">
            <w:pPr>
              <w:spacing w:before="0" w:after="0"/>
              <w:jc w:val="right"/>
              <w:rPr>
                <w:color w:val="000000"/>
                <w:sz w:val="22"/>
                <w:szCs w:val="22"/>
              </w:rPr>
            </w:pPr>
            <w:r>
              <w:rPr>
                <w:color w:val="000000"/>
                <w:sz w:val="22"/>
                <w:szCs w:val="22"/>
              </w:rPr>
              <w:t>6,896</w:t>
            </w:r>
          </w:p>
        </w:tc>
        <w:tc>
          <w:tcPr>
            <w:tcW w:w="3828" w:type="dxa"/>
            <w:tcBorders>
              <w:top w:val="nil"/>
              <w:left w:val="nil"/>
              <w:bottom w:val="nil"/>
              <w:right w:val="nil"/>
            </w:tcBorders>
            <w:shd w:val="clear" w:color="000000" w:fill="FFFFFF"/>
            <w:noWrap/>
            <w:vAlign w:val="bottom"/>
          </w:tcPr>
          <w:p w:rsidR="006F03B9" w:rsidRPr="006F03B9" w:rsidRDefault="006F03B9" w:rsidP="006F03B9">
            <w:pPr>
              <w:spacing w:before="0" w:after="0"/>
              <w:jc w:val="right"/>
              <w:rPr>
                <w:color w:val="000000"/>
                <w:sz w:val="22"/>
                <w:szCs w:val="22"/>
              </w:rPr>
            </w:pPr>
            <w:r w:rsidRPr="006F03B9">
              <w:rPr>
                <w:color w:val="000000"/>
                <w:sz w:val="22"/>
                <w:szCs w:val="22"/>
              </w:rPr>
              <w:t>84.0</w:t>
            </w:r>
          </w:p>
        </w:tc>
      </w:tr>
      <w:tr w:rsidR="006F03B9" w:rsidRPr="0051419A" w:rsidTr="006178FB">
        <w:trPr>
          <w:trHeight w:val="255"/>
        </w:trPr>
        <w:tc>
          <w:tcPr>
            <w:tcW w:w="2660" w:type="dxa"/>
            <w:tcBorders>
              <w:top w:val="nil"/>
              <w:left w:val="nil"/>
              <w:bottom w:val="nil"/>
              <w:right w:val="nil"/>
            </w:tcBorders>
            <w:shd w:val="clear" w:color="auto" w:fill="auto"/>
            <w:noWrap/>
            <w:vAlign w:val="bottom"/>
          </w:tcPr>
          <w:p w:rsidR="006F03B9" w:rsidRPr="0051419A" w:rsidRDefault="006F03B9" w:rsidP="004A0E02">
            <w:pPr>
              <w:spacing w:before="0" w:after="0"/>
              <w:rPr>
                <w:color w:val="000000"/>
                <w:sz w:val="22"/>
                <w:szCs w:val="22"/>
              </w:rPr>
            </w:pPr>
            <w:r>
              <w:rPr>
                <w:color w:val="000000"/>
                <w:sz w:val="22"/>
                <w:szCs w:val="22"/>
              </w:rPr>
              <w:t>September 2014</w:t>
            </w:r>
          </w:p>
        </w:tc>
        <w:tc>
          <w:tcPr>
            <w:tcW w:w="3592" w:type="dxa"/>
            <w:tcBorders>
              <w:top w:val="nil"/>
              <w:left w:val="nil"/>
              <w:bottom w:val="nil"/>
              <w:right w:val="nil"/>
            </w:tcBorders>
            <w:shd w:val="clear" w:color="000000" w:fill="FFFFFF"/>
            <w:noWrap/>
            <w:vAlign w:val="bottom"/>
          </w:tcPr>
          <w:p w:rsidR="006F03B9" w:rsidRPr="0051419A" w:rsidRDefault="006F03B9" w:rsidP="004A0E02">
            <w:pPr>
              <w:spacing w:before="0" w:after="0"/>
              <w:jc w:val="right"/>
              <w:rPr>
                <w:color w:val="000000"/>
                <w:sz w:val="22"/>
                <w:szCs w:val="22"/>
              </w:rPr>
            </w:pPr>
            <w:r>
              <w:rPr>
                <w:color w:val="000000"/>
                <w:sz w:val="22"/>
                <w:szCs w:val="22"/>
              </w:rPr>
              <w:t>5,822</w:t>
            </w:r>
          </w:p>
        </w:tc>
        <w:tc>
          <w:tcPr>
            <w:tcW w:w="3828" w:type="dxa"/>
            <w:tcBorders>
              <w:top w:val="nil"/>
              <w:left w:val="nil"/>
              <w:bottom w:val="nil"/>
              <w:right w:val="nil"/>
            </w:tcBorders>
            <w:shd w:val="clear" w:color="000000" w:fill="FFFFFF"/>
            <w:noWrap/>
            <w:vAlign w:val="bottom"/>
          </w:tcPr>
          <w:p w:rsidR="006F03B9" w:rsidRPr="006F03B9" w:rsidRDefault="006F03B9" w:rsidP="006F03B9">
            <w:pPr>
              <w:spacing w:before="0" w:after="0"/>
              <w:jc w:val="right"/>
              <w:rPr>
                <w:color w:val="000000"/>
                <w:sz w:val="22"/>
                <w:szCs w:val="22"/>
              </w:rPr>
            </w:pPr>
            <w:r w:rsidRPr="006F03B9">
              <w:rPr>
                <w:color w:val="000000"/>
                <w:sz w:val="22"/>
                <w:szCs w:val="22"/>
              </w:rPr>
              <w:t>71.7</w:t>
            </w:r>
          </w:p>
        </w:tc>
      </w:tr>
      <w:tr w:rsidR="006F03B9" w:rsidRPr="0051419A" w:rsidTr="00B93178">
        <w:trPr>
          <w:trHeight w:val="118"/>
        </w:trPr>
        <w:tc>
          <w:tcPr>
            <w:tcW w:w="2660" w:type="dxa"/>
            <w:tcBorders>
              <w:top w:val="nil"/>
              <w:left w:val="nil"/>
              <w:bottom w:val="nil"/>
              <w:right w:val="nil"/>
            </w:tcBorders>
            <w:shd w:val="clear" w:color="auto" w:fill="auto"/>
            <w:noWrap/>
            <w:vAlign w:val="bottom"/>
          </w:tcPr>
          <w:p w:rsidR="006F03B9" w:rsidRPr="0051419A" w:rsidRDefault="006F03B9" w:rsidP="004A0E02">
            <w:pPr>
              <w:spacing w:before="0" w:after="0"/>
              <w:rPr>
                <w:color w:val="000000"/>
                <w:sz w:val="22"/>
                <w:szCs w:val="22"/>
              </w:rPr>
            </w:pPr>
          </w:p>
        </w:tc>
        <w:tc>
          <w:tcPr>
            <w:tcW w:w="3592" w:type="dxa"/>
            <w:tcBorders>
              <w:top w:val="nil"/>
              <w:left w:val="nil"/>
              <w:bottom w:val="nil"/>
              <w:right w:val="nil"/>
            </w:tcBorders>
            <w:shd w:val="clear" w:color="000000" w:fill="FFFFFF"/>
            <w:noWrap/>
            <w:vAlign w:val="bottom"/>
          </w:tcPr>
          <w:p w:rsidR="006F03B9" w:rsidRPr="0051419A" w:rsidRDefault="006F03B9" w:rsidP="004A0E02">
            <w:pPr>
              <w:spacing w:before="0" w:after="0"/>
              <w:rPr>
                <w:color w:val="000000"/>
                <w:sz w:val="22"/>
                <w:szCs w:val="22"/>
              </w:rPr>
            </w:pPr>
          </w:p>
        </w:tc>
        <w:tc>
          <w:tcPr>
            <w:tcW w:w="3828" w:type="dxa"/>
            <w:tcBorders>
              <w:top w:val="nil"/>
              <w:left w:val="nil"/>
              <w:bottom w:val="nil"/>
              <w:right w:val="nil"/>
            </w:tcBorders>
            <w:shd w:val="clear" w:color="000000" w:fill="FFFFFF"/>
            <w:noWrap/>
            <w:vAlign w:val="bottom"/>
          </w:tcPr>
          <w:p w:rsidR="006F03B9" w:rsidRPr="006F03B9" w:rsidRDefault="006F03B9" w:rsidP="006F03B9">
            <w:pPr>
              <w:spacing w:before="0" w:after="0"/>
              <w:rPr>
                <w:color w:val="000000"/>
                <w:sz w:val="22"/>
                <w:szCs w:val="22"/>
              </w:rPr>
            </w:pPr>
          </w:p>
        </w:tc>
      </w:tr>
      <w:tr w:rsidR="006F03B9" w:rsidRPr="0051419A" w:rsidTr="006178FB">
        <w:trPr>
          <w:trHeight w:val="255"/>
        </w:trPr>
        <w:tc>
          <w:tcPr>
            <w:tcW w:w="2660" w:type="dxa"/>
            <w:tcBorders>
              <w:top w:val="nil"/>
              <w:left w:val="nil"/>
              <w:bottom w:val="single" w:sz="4" w:space="0" w:color="auto"/>
              <w:right w:val="nil"/>
            </w:tcBorders>
            <w:shd w:val="clear" w:color="000000" w:fill="FFFFFF"/>
            <w:noWrap/>
            <w:vAlign w:val="bottom"/>
            <w:hideMark/>
          </w:tcPr>
          <w:p w:rsidR="006F03B9" w:rsidRPr="0051419A" w:rsidRDefault="006F03B9" w:rsidP="004A0E02">
            <w:pPr>
              <w:spacing w:before="0" w:after="0"/>
              <w:rPr>
                <w:b/>
                <w:bCs/>
                <w:color w:val="000000"/>
                <w:sz w:val="22"/>
                <w:szCs w:val="22"/>
              </w:rPr>
            </w:pPr>
            <w:r w:rsidRPr="0051419A">
              <w:rPr>
                <w:b/>
                <w:bCs/>
                <w:color w:val="000000"/>
                <w:sz w:val="22"/>
                <w:szCs w:val="22"/>
              </w:rPr>
              <w:t>Total to date</w:t>
            </w:r>
          </w:p>
        </w:tc>
        <w:tc>
          <w:tcPr>
            <w:tcW w:w="3592" w:type="dxa"/>
            <w:tcBorders>
              <w:top w:val="nil"/>
              <w:left w:val="nil"/>
              <w:bottom w:val="single" w:sz="4" w:space="0" w:color="auto"/>
              <w:right w:val="nil"/>
            </w:tcBorders>
            <w:shd w:val="clear" w:color="000000" w:fill="FFFFFF"/>
            <w:noWrap/>
            <w:vAlign w:val="bottom"/>
            <w:hideMark/>
          </w:tcPr>
          <w:p w:rsidR="006F03B9" w:rsidRPr="0051419A" w:rsidRDefault="006F03B9" w:rsidP="004A0E02">
            <w:pPr>
              <w:spacing w:before="0" w:after="0"/>
              <w:jc w:val="right"/>
              <w:rPr>
                <w:b/>
                <w:bCs/>
                <w:color w:val="000000"/>
                <w:sz w:val="22"/>
                <w:szCs w:val="22"/>
              </w:rPr>
            </w:pPr>
            <w:r>
              <w:rPr>
                <w:b/>
                <w:bCs/>
                <w:color w:val="000000"/>
                <w:sz w:val="22"/>
                <w:szCs w:val="22"/>
              </w:rPr>
              <w:t>379,442</w:t>
            </w:r>
          </w:p>
        </w:tc>
        <w:tc>
          <w:tcPr>
            <w:tcW w:w="3828" w:type="dxa"/>
            <w:tcBorders>
              <w:top w:val="nil"/>
              <w:left w:val="nil"/>
              <w:bottom w:val="single" w:sz="4" w:space="0" w:color="auto"/>
              <w:right w:val="nil"/>
            </w:tcBorders>
            <w:shd w:val="clear" w:color="000000" w:fill="FFFFFF"/>
            <w:noWrap/>
            <w:vAlign w:val="bottom"/>
            <w:hideMark/>
          </w:tcPr>
          <w:p w:rsidR="006F03B9" w:rsidRPr="006F03B9" w:rsidRDefault="006F03B9" w:rsidP="006F03B9">
            <w:pPr>
              <w:spacing w:before="0" w:after="0"/>
              <w:jc w:val="right"/>
              <w:rPr>
                <w:b/>
                <w:color w:val="000000"/>
                <w:sz w:val="22"/>
                <w:szCs w:val="22"/>
              </w:rPr>
            </w:pPr>
            <w:r w:rsidRPr="006F03B9">
              <w:rPr>
                <w:b/>
                <w:color w:val="000000"/>
                <w:sz w:val="22"/>
                <w:szCs w:val="22"/>
              </w:rPr>
              <w:t>4,462.2</w:t>
            </w:r>
          </w:p>
        </w:tc>
      </w:tr>
      <w:tr w:rsidR="001D0BAF" w:rsidRPr="00101615" w:rsidTr="006178FB">
        <w:trPr>
          <w:trHeight w:val="60"/>
        </w:trPr>
        <w:tc>
          <w:tcPr>
            <w:tcW w:w="2660" w:type="dxa"/>
            <w:tcBorders>
              <w:top w:val="nil"/>
              <w:left w:val="nil"/>
              <w:bottom w:val="nil"/>
              <w:right w:val="nil"/>
            </w:tcBorders>
            <w:shd w:val="clear" w:color="auto" w:fill="auto"/>
            <w:noWrap/>
            <w:vAlign w:val="bottom"/>
            <w:hideMark/>
          </w:tcPr>
          <w:p w:rsidR="001D0BAF" w:rsidRPr="00101615" w:rsidRDefault="001D0BAF" w:rsidP="00101615">
            <w:pPr>
              <w:spacing w:before="0" w:after="0" w:line="240" w:lineRule="auto"/>
              <w:rPr>
                <w:color w:val="000000"/>
                <w:szCs w:val="24"/>
                <w:lang w:eastAsia="en-GB"/>
              </w:rPr>
            </w:pPr>
          </w:p>
        </w:tc>
        <w:tc>
          <w:tcPr>
            <w:tcW w:w="3592" w:type="dxa"/>
            <w:tcBorders>
              <w:top w:val="nil"/>
              <w:left w:val="nil"/>
              <w:bottom w:val="nil"/>
              <w:right w:val="nil"/>
            </w:tcBorders>
            <w:shd w:val="clear" w:color="auto" w:fill="auto"/>
            <w:noWrap/>
            <w:vAlign w:val="bottom"/>
            <w:hideMark/>
          </w:tcPr>
          <w:p w:rsidR="001D0BAF" w:rsidRPr="00101615" w:rsidRDefault="001D0BAF" w:rsidP="00101615">
            <w:pPr>
              <w:spacing w:before="0" w:after="0" w:line="240" w:lineRule="auto"/>
              <w:rPr>
                <w:color w:val="000000"/>
                <w:szCs w:val="24"/>
                <w:lang w:eastAsia="en-GB"/>
              </w:rPr>
            </w:pPr>
          </w:p>
        </w:tc>
        <w:tc>
          <w:tcPr>
            <w:tcW w:w="3828" w:type="dxa"/>
            <w:tcBorders>
              <w:top w:val="nil"/>
              <w:left w:val="nil"/>
              <w:bottom w:val="nil"/>
              <w:right w:val="nil"/>
            </w:tcBorders>
            <w:shd w:val="clear" w:color="auto" w:fill="auto"/>
            <w:noWrap/>
            <w:vAlign w:val="bottom"/>
            <w:hideMark/>
          </w:tcPr>
          <w:p w:rsidR="001D0BAF" w:rsidRPr="00101615" w:rsidRDefault="001D0BAF" w:rsidP="00101615">
            <w:pPr>
              <w:spacing w:before="0" w:after="0" w:line="240" w:lineRule="auto"/>
              <w:rPr>
                <w:color w:val="000000"/>
                <w:szCs w:val="24"/>
                <w:lang w:eastAsia="en-GB"/>
              </w:rPr>
            </w:pPr>
          </w:p>
        </w:tc>
      </w:tr>
      <w:tr w:rsidR="001D0BAF" w:rsidRPr="00722056" w:rsidTr="006178FB">
        <w:trPr>
          <w:trHeight w:val="255"/>
        </w:trPr>
        <w:tc>
          <w:tcPr>
            <w:tcW w:w="2660" w:type="dxa"/>
            <w:tcBorders>
              <w:top w:val="nil"/>
              <w:left w:val="nil"/>
              <w:bottom w:val="nil"/>
              <w:right w:val="nil"/>
            </w:tcBorders>
            <w:shd w:val="clear" w:color="000000" w:fill="FFFFFF"/>
            <w:vAlign w:val="bottom"/>
            <w:hideMark/>
          </w:tcPr>
          <w:p w:rsidR="001D0BAF" w:rsidRPr="00B93178" w:rsidRDefault="001D0BAF" w:rsidP="00101615">
            <w:pPr>
              <w:spacing w:before="0" w:after="0" w:line="240" w:lineRule="auto"/>
              <w:rPr>
                <w:color w:val="000000"/>
                <w:sz w:val="20"/>
                <w:lang w:eastAsia="en-GB"/>
              </w:rPr>
            </w:pPr>
            <w:r w:rsidRPr="00B93178">
              <w:rPr>
                <w:color w:val="000000"/>
                <w:sz w:val="20"/>
                <w:lang w:eastAsia="en-GB"/>
              </w:rPr>
              <w:t> </w:t>
            </w:r>
          </w:p>
        </w:tc>
        <w:tc>
          <w:tcPr>
            <w:tcW w:w="3592" w:type="dxa"/>
            <w:tcBorders>
              <w:top w:val="nil"/>
              <w:left w:val="nil"/>
              <w:bottom w:val="nil"/>
              <w:right w:val="nil"/>
            </w:tcBorders>
            <w:shd w:val="clear" w:color="000000" w:fill="FFFFFF"/>
            <w:vAlign w:val="bottom"/>
            <w:hideMark/>
          </w:tcPr>
          <w:p w:rsidR="001D0BAF" w:rsidRPr="00722056" w:rsidRDefault="001D0BAF" w:rsidP="00101615">
            <w:pPr>
              <w:spacing w:before="0" w:after="0" w:line="240" w:lineRule="auto"/>
              <w:rPr>
                <w:color w:val="000000"/>
                <w:sz w:val="16"/>
                <w:szCs w:val="16"/>
                <w:lang w:eastAsia="en-GB"/>
              </w:rPr>
            </w:pPr>
            <w:r w:rsidRPr="00722056">
              <w:rPr>
                <w:color w:val="000000"/>
                <w:sz w:val="16"/>
                <w:szCs w:val="16"/>
                <w:lang w:eastAsia="en-GB"/>
              </w:rPr>
              <w:t> </w:t>
            </w:r>
          </w:p>
        </w:tc>
        <w:tc>
          <w:tcPr>
            <w:tcW w:w="3828" w:type="dxa"/>
            <w:tcBorders>
              <w:top w:val="nil"/>
              <w:left w:val="nil"/>
              <w:bottom w:val="nil"/>
              <w:right w:val="nil"/>
            </w:tcBorders>
            <w:shd w:val="clear" w:color="000000" w:fill="FFFFFF"/>
            <w:vAlign w:val="bottom"/>
            <w:hideMark/>
          </w:tcPr>
          <w:p w:rsidR="001D0BAF" w:rsidRPr="00722056" w:rsidRDefault="001D0BAF" w:rsidP="00101615">
            <w:pPr>
              <w:spacing w:before="0" w:after="0" w:line="240" w:lineRule="auto"/>
              <w:rPr>
                <w:color w:val="000000"/>
                <w:sz w:val="16"/>
                <w:szCs w:val="16"/>
                <w:lang w:eastAsia="en-GB"/>
              </w:rPr>
            </w:pPr>
            <w:r w:rsidRPr="00722056">
              <w:rPr>
                <w:color w:val="000000"/>
                <w:sz w:val="16"/>
                <w:szCs w:val="16"/>
                <w:lang w:eastAsia="en-GB"/>
              </w:rPr>
              <w:t> </w:t>
            </w:r>
          </w:p>
        </w:tc>
      </w:tr>
      <w:tr w:rsidR="001D0BAF" w:rsidRPr="00101615" w:rsidTr="006178FB">
        <w:trPr>
          <w:trHeight w:val="255"/>
        </w:trPr>
        <w:tc>
          <w:tcPr>
            <w:tcW w:w="10080" w:type="dxa"/>
            <w:gridSpan w:val="3"/>
            <w:tcBorders>
              <w:top w:val="nil"/>
              <w:left w:val="nil"/>
              <w:bottom w:val="nil"/>
              <w:right w:val="nil"/>
            </w:tcBorders>
            <w:shd w:val="clear" w:color="000000" w:fill="FFFFFF"/>
            <w:vAlign w:val="bottom"/>
            <w:hideMark/>
          </w:tcPr>
          <w:p w:rsidR="001D0BAF" w:rsidRPr="00D65354" w:rsidRDefault="001D0BAF" w:rsidP="00FD6952">
            <w:pPr>
              <w:spacing w:before="0" w:after="0" w:line="240" w:lineRule="auto"/>
              <w:jc w:val="both"/>
              <w:rPr>
                <w:color w:val="000000"/>
                <w:sz w:val="21"/>
                <w:szCs w:val="21"/>
                <w:lang w:eastAsia="en-GB"/>
              </w:rPr>
            </w:pPr>
            <w:r w:rsidRPr="00D65354">
              <w:rPr>
                <w:color w:val="000000"/>
                <w:sz w:val="21"/>
                <w:szCs w:val="21"/>
                <w:vertAlign w:val="superscript"/>
                <w:lang w:eastAsia="en-GB"/>
              </w:rPr>
              <w:t>1</w:t>
            </w:r>
            <w:r w:rsidRPr="00D65354">
              <w:rPr>
                <w:color w:val="000000"/>
                <w:sz w:val="21"/>
                <w:szCs w:val="21"/>
                <w:lang w:eastAsia="en-GB"/>
              </w:rPr>
              <w:t xml:space="preserve"> Estimated bill savings as reported by energy suppliers to Ofgem and following initial validation.</w:t>
            </w:r>
          </w:p>
        </w:tc>
      </w:tr>
      <w:tr w:rsidR="001D0BAF" w:rsidRPr="00101615" w:rsidTr="006178FB">
        <w:trPr>
          <w:trHeight w:val="276"/>
        </w:trPr>
        <w:tc>
          <w:tcPr>
            <w:tcW w:w="10080" w:type="dxa"/>
            <w:gridSpan w:val="3"/>
            <w:vMerge w:val="restart"/>
            <w:tcBorders>
              <w:top w:val="nil"/>
              <w:left w:val="nil"/>
              <w:bottom w:val="nil"/>
              <w:right w:val="nil"/>
            </w:tcBorders>
            <w:shd w:val="clear" w:color="000000" w:fill="FFFFFF"/>
            <w:vAlign w:val="bottom"/>
            <w:hideMark/>
          </w:tcPr>
          <w:p w:rsidR="001D0BAF" w:rsidRPr="00D65354" w:rsidRDefault="001D0BAF" w:rsidP="00FD6952">
            <w:pPr>
              <w:spacing w:before="0" w:after="0" w:line="240" w:lineRule="auto"/>
              <w:jc w:val="both"/>
              <w:rPr>
                <w:color w:val="000000"/>
                <w:sz w:val="21"/>
                <w:szCs w:val="21"/>
                <w:lang w:eastAsia="en-GB"/>
              </w:rPr>
            </w:pPr>
            <w:r w:rsidRPr="00D65354">
              <w:rPr>
                <w:color w:val="000000"/>
                <w:sz w:val="21"/>
                <w:szCs w:val="21"/>
                <w:vertAlign w:val="superscript"/>
                <w:lang w:eastAsia="en-GB"/>
              </w:rPr>
              <w:t xml:space="preserve">2 </w:t>
            </w:r>
            <w:r w:rsidRPr="00D65354">
              <w:rPr>
                <w:color w:val="000000"/>
                <w:sz w:val="21"/>
                <w:szCs w:val="21"/>
                <w:lang w:eastAsia="en-GB"/>
              </w:rPr>
              <w:t>ECO measures installed in earlier installation months can be notified at a later date under some circumstances. Some notified measures can be reallocated to different ECO sub-obligations and so are subject to change.</w:t>
            </w:r>
          </w:p>
          <w:p w:rsidR="001D0BAF" w:rsidRPr="00D65354" w:rsidRDefault="001D0BAF" w:rsidP="00C81928">
            <w:pPr>
              <w:spacing w:before="0" w:after="0" w:line="240" w:lineRule="auto"/>
              <w:jc w:val="both"/>
              <w:rPr>
                <w:color w:val="000000"/>
                <w:sz w:val="21"/>
                <w:szCs w:val="21"/>
                <w:lang w:eastAsia="en-GB"/>
              </w:rPr>
            </w:pPr>
            <w:r w:rsidRPr="00D65354">
              <w:rPr>
                <w:color w:val="000000"/>
                <w:sz w:val="21"/>
                <w:szCs w:val="21"/>
                <w:vertAlign w:val="superscript"/>
                <w:lang w:eastAsia="en-GB"/>
              </w:rPr>
              <w:t xml:space="preserve">3 </w:t>
            </w:r>
            <w:r w:rsidRPr="00D65354">
              <w:rPr>
                <w:color w:val="000000"/>
                <w:sz w:val="21"/>
                <w:szCs w:val="21"/>
                <w:lang w:eastAsia="en-GB"/>
              </w:rPr>
              <w:t>Includes some measures installed between October and December 2012</w:t>
            </w:r>
          </w:p>
        </w:tc>
      </w:tr>
      <w:tr w:rsidR="001D0BAF" w:rsidRPr="00101615" w:rsidTr="006178FB">
        <w:trPr>
          <w:trHeight w:val="276"/>
        </w:trPr>
        <w:tc>
          <w:tcPr>
            <w:tcW w:w="10080" w:type="dxa"/>
            <w:gridSpan w:val="3"/>
            <w:vMerge/>
            <w:tcBorders>
              <w:top w:val="nil"/>
              <w:left w:val="nil"/>
              <w:bottom w:val="nil"/>
              <w:right w:val="nil"/>
            </w:tcBorders>
            <w:vAlign w:val="center"/>
            <w:hideMark/>
          </w:tcPr>
          <w:p w:rsidR="001D0BAF" w:rsidRPr="00101615" w:rsidRDefault="001D0BAF" w:rsidP="00101615">
            <w:pPr>
              <w:spacing w:before="0" w:after="0" w:line="240" w:lineRule="auto"/>
              <w:rPr>
                <w:color w:val="000000"/>
                <w:szCs w:val="24"/>
                <w:lang w:eastAsia="en-GB"/>
              </w:rPr>
            </w:pPr>
          </w:p>
        </w:tc>
      </w:tr>
      <w:tr w:rsidR="001D0BAF" w:rsidRPr="00101615" w:rsidTr="006178FB">
        <w:trPr>
          <w:trHeight w:val="276"/>
        </w:trPr>
        <w:tc>
          <w:tcPr>
            <w:tcW w:w="10080" w:type="dxa"/>
            <w:gridSpan w:val="3"/>
            <w:vMerge/>
            <w:tcBorders>
              <w:top w:val="nil"/>
              <w:left w:val="nil"/>
              <w:bottom w:val="nil"/>
              <w:right w:val="nil"/>
            </w:tcBorders>
            <w:vAlign w:val="center"/>
            <w:hideMark/>
          </w:tcPr>
          <w:p w:rsidR="001D0BAF" w:rsidRPr="00101615" w:rsidRDefault="001D0BAF" w:rsidP="00101615">
            <w:pPr>
              <w:spacing w:before="0" w:after="0" w:line="240" w:lineRule="auto"/>
              <w:rPr>
                <w:color w:val="000000"/>
                <w:szCs w:val="24"/>
                <w:lang w:eastAsia="en-GB"/>
              </w:rPr>
            </w:pPr>
          </w:p>
        </w:tc>
      </w:tr>
    </w:tbl>
    <w:p w:rsidR="004D285F" w:rsidRDefault="004D285F"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705534" w:rsidRDefault="00705534" w:rsidP="00415EE4">
      <w:pPr>
        <w:spacing w:before="0" w:after="0" w:line="270" w:lineRule="atLeast"/>
        <w:rPr>
          <w:b/>
          <w:bCs/>
        </w:rPr>
      </w:pPr>
    </w:p>
    <w:p w:rsidR="00FD6952" w:rsidRPr="00B93178" w:rsidRDefault="00C351B2" w:rsidP="004F2454">
      <w:pPr>
        <w:spacing w:before="0" w:after="0" w:line="270" w:lineRule="atLeast"/>
        <w:jc w:val="both"/>
        <w:rPr>
          <w:b/>
          <w:bCs/>
          <w:sz w:val="22"/>
          <w:szCs w:val="22"/>
        </w:rPr>
      </w:pPr>
      <w:r w:rsidRPr="006D36CE">
        <w:rPr>
          <w:b/>
          <w:bCs/>
          <w:sz w:val="22"/>
          <w:szCs w:val="22"/>
        </w:rPr>
        <w:lastRenderedPageBreak/>
        <w:t>Table 1.13</w:t>
      </w:r>
      <w:r w:rsidR="00FD6952" w:rsidRPr="006D36CE">
        <w:rPr>
          <w:b/>
          <w:bCs/>
          <w:sz w:val="22"/>
          <w:szCs w:val="22"/>
        </w:rPr>
        <w:t xml:space="preserve">: Estimated ECO delivery costs as reported by energy suppliers, up to end </w:t>
      </w:r>
      <w:r w:rsidR="00E44CC5" w:rsidRPr="006D36CE">
        <w:rPr>
          <w:b/>
          <w:bCs/>
          <w:sz w:val="22"/>
          <w:szCs w:val="22"/>
        </w:rPr>
        <w:t>September</w:t>
      </w:r>
      <w:r w:rsidR="002F723B" w:rsidRPr="006D36CE">
        <w:rPr>
          <w:b/>
          <w:bCs/>
          <w:sz w:val="22"/>
          <w:szCs w:val="22"/>
        </w:rPr>
        <w:t xml:space="preserve"> 2014</w:t>
      </w:r>
    </w:p>
    <w:p w:rsidR="00FD6952" w:rsidRPr="00671CCD" w:rsidRDefault="00FD6952" w:rsidP="00415EE4">
      <w:pPr>
        <w:spacing w:before="0" w:after="0" w:line="270" w:lineRule="atLeast"/>
        <w:rPr>
          <w:b/>
          <w:bCs/>
        </w:rPr>
      </w:pPr>
    </w:p>
    <w:tbl>
      <w:tblPr>
        <w:tblW w:w="10363" w:type="dxa"/>
        <w:tblInd w:w="93" w:type="dxa"/>
        <w:tblLook w:val="04A0" w:firstRow="1" w:lastRow="0" w:firstColumn="1" w:lastColumn="0" w:noHBand="0" w:noVBand="1"/>
      </w:tblPr>
      <w:tblGrid>
        <w:gridCol w:w="3134"/>
        <w:gridCol w:w="1134"/>
        <w:gridCol w:w="1843"/>
        <w:gridCol w:w="1984"/>
        <w:gridCol w:w="1985"/>
        <w:gridCol w:w="283"/>
      </w:tblGrid>
      <w:tr w:rsidR="001F33AF" w:rsidRPr="001F33AF" w:rsidTr="0051419A">
        <w:trPr>
          <w:gridAfter w:val="1"/>
          <w:wAfter w:w="283" w:type="dxa"/>
          <w:trHeight w:val="597"/>
        </w:trPr>
        <w:tc>
          <w:tcPr>
            <w:tcW w:w="3134" w:type="dxa"/>
            <w:tcBorders>
              <w:top w:val="single" w:sz="4" w:space="0" w:color="auto"/>
              <w:left w:val="nil"/>
              <w:bottom w:val="single" w:sz="4" w:space="0" w:color="auto"/>
              <w:right w:val="nil"/>
            </w:tcBorders>
            <w:shd w:val="clear" w:color="000000" w:fill="FFFFFF"/>
            <w:noWrap/>
            <w:vAlign w:val="bottom"/>
            <w:hideMark/>
          </w:tcPr>
          <w:p w:rsidR="001F33AF" w:rsidRPr="001F33AF" w:rsidRDefault="001F33AF" w:rsidP="001F33AF">
            <w:pPr>
              <w:spacing w:before="60" w:after="60" w:line="240" w:lineRule="auto"/>
              <w:rPr>
                <w:color w:val="000000"/>
                <w:sz w:val="22"/>
                <w:szCs w:val="22"/>
                <w:lang w:eastAsia="en-GB"/>
              </w:rPr>
            </w:pPr>
            <w:r w:rsidRPr="001F33AF">
              <w:rPr>
                <w:color w:val="000000"/>
                <w:sz w:val="22"/>
                <w:szCs w:val="22"/>
                <w:lang w:eastAsia="en-GB"/>
              </w:rPr>
              <w:t>Obligation</w:t>
            </w:r>
          </w:p>
        </w:tc>
        <w:tc>
          <w:tcPr>
            <w:tcW w:w="1134" w:type="dxa"/>
            <w:tcBorders>
              <w:top w:val="single" w:sz="4" w:space="0" w:color="auto"/>
              <w:left w:val="nil"/>
              <w:bottom w:val="single" w:sz="4" w:space="0" w:color="auto"/>
              <w:right w:val="nil"/>
            </w:tcBorders>
            <w:shd w:val="clear" w:color="000000" w:fill="FFFFFF"/>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Average price</w:t>
            </w:r>
            <w:r w:rsidRPr="001F33AF">
              <w:rPr>
                <w:color w:val="000000"/>
                <w:sz w:val="22"/>
                <w:szCs w:val="22"/>
                <w:vertAlign w:val="superscript"/>
                <w:lang w:eastAsia="en-GB"/>
              </w:rPr>
              <w:t>1</w:t>
            </w:r>
          </w:p>
        </w:tc>
        <w:tc>
          <w:tcPr>
            <w:tcW w:w="1843" w:type="dxa"/>
            <w:tcBorders>
              <w:top w:val="single" w:sz="4" w:space="0" w:color="auto"/>
              <w:left w:val="nil"/>
              <w:bottom w:val="single" w:sz="4" w:space="0" w:color="auto"/>
              <w:right w:val="nil"/>
            </w:tcBorders>
            <w:shd w:val="clear" w:color="000000" w:fill="FFFFFF"/>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 xml:space="preserve">Total delivery costs </w:t>
            </w:r>
          </w:p>
        </w:tc>
        <w:tc>
          <w:tcPr>
            <w:tcW w:w="1984" w:type="dxa"/>
            <w:tcBorders>
              <w:top w:val="single" w:sz="4" w:space="0" w:color="auto"/>
              <w:left w:val="nil"/>
              <w:bottom w:val="single" w:sz="4" w:space="0" w:color="auto"/>
              <w:right w:val="nil"/>
            </w:tcBorders>
            <w:shd w:val="clear" w:color="000000" w:fill="FFFFFF"/>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Scaled annual cost</w:t>
            </w:r>
            <w:r w:rsidRPr="001F33AF">
              <w:rPr>
                <w:color w:val="000000"/>
                <w:sz w:val="22"/>
                <w:szCs w:val="22"/>
                <w:vertAlign w:val="superscript"/>
                <w:lang w:eastAsia="en-GB"/>
              </w:rPr>
              <w:t>2,3</w:t>
            </w:r>
          </w:p>
        </w:tc>
        <w:tc>
          <w:tcPr>
            <w:tcW w:w="1985" w:type="dxa"/>
            <w:tcBorders>
              <w:top w:val="single" w:sz="4" w:space="0" w:color="auto"/>
              <w:left w:val="nil"/>
              <w:bottom w:val="single" w:sz="4" w:space="0" w:color="auto"/>
              <w:right w:val="nil"/>
            </w:tcBorders>
            <w:shd w:val="clear" w:color="000000" w:fill="FFFFFF"/>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Central Impact Assessment</w:t>
            </w:r>
            <w:r w:rsidR="00B93178" w:rsidRPr="00B93178">
              <w:rPr>
                <w:color w:val="000000"/>
                <w:sz w:val="22"/>
                <w:szCs w:val="22"/>
                <w:vertAlign w:val="superscript"/>
                <w:lang w:eastAsia="en-GB"/>
              </w:rPr>
              <w:t>4</w:t>
            </w:r>
          </w:p>
        </w:tc>
      </w:tr>
      <w:tr w:rsidR="001F33AF" w:rsidRPr="001F33AF" w:rsidTr="0051419A">
        <w:trPr>
          <w:gridAfter w:val="1"/>
          <w:wAfter w:w="283" w:type="dxa"/>
          <w:trHeight w:val="255"/>
        </w:trPr>
        <w:tc>
          <w:tcPr>
            <w:tcW w:w="3134" w:type="dxa"/>
            <w:tcBorders>
              <w:top w:val="nil"/>
              <w:left w:val="nil"/>
              <w:bottom w:val="nil"/>
              <w:right w:val="nil"/>
            </w:tcBorders>
            <w:shd w:val="clear" w:color="000000" w:fill="FFFFFF"/>
            <w:noWrap/>
            <w:vAlign w:val="bottom"/>
            <w:hideMark/>
          </w:tcPr>
          <w:p w:rsidR="001F33AF" w:rsidRPr="001F33AF" w:rsidRDefault="001F33AF" w:rsidP="001F33AF">
            <w:pPr>
              <w:spacing w:before="60" w:after="60" w:line="240" w:lineRule="auto"/>
              <w:rPr>
                <w:color w:val="000000"/>
                <w:sz w:val="22"/>
                <w:szCs w:val="22"/>
                <w:lang w:eastAsia="en-GB"/>
              </w:rPr>
            </w:pPr>
            <w:r w:rsidRPr="001F33AF">
              <w:rPr>
                <w:color w:val="000000"/>
                <w:sz w:val="22"/>
                <w:szCs w:val="22"/>
                <w:lang w:eastAsia="en-GB"/>
              </w:rPr>
              <w:t>Affordable Warmth</w:t>
            </w:r>
          </w:p>
        </w:tc>
        <w:tc>
          <w:tcPr>
            <w:tcW w:w="1134" w:type="dxa"/>
            <w:tcBorders>
              <w:top w:val="nil"/>
              <w:left w:val="nil"/>
              <w:bottom w:val="nil"/>
              <w:right w:val="nil"/>
            </w:tcBorders>
            <w:shd w:val="clear" w:color="000000" w:fill="FFFFFF"/>
            <w:noWrap/>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£0.17</w:t>
            </w:r>
          </w:p>
        </w:tc>
        <w:tc>
          <w:tcPr>
            <w:tcW w:w="1843" w:type="dxa"/>
            <w:tcBorders>
              <w:top w:val="nil"/>
              <w:left w:val="nil"/>
              <w:bottom w:val="nil"/>
              <w:right w:val="nil"/>
            </w:tcBorders>
            <w:shd w:val="clear" w:color="000000" w:fill="FFFFFF"/>
            <w:noWrap/>
            <w:vAlign w:val="bottom"/>
            <w:hideMark/>
          </w:tcPr>
          <w:p w:rsidR="001F33AF" w:rsidRPr="001F33AF" w:rsidRDefault="001F33AF" w:rsidP="0001517E">
            <w:pPr>
              <w:spacing w:before="60" w:after="60" w:line="240" w:lineRule="auto"/>
              <w:jc w:val="right"/>
              <w:rPr>
                <w:color w:val="000000"/>
                <w:sz w:val="22"/>
                <w:szCs w:val="22"/>
                <w:lang w:eastAsia="en-GB"/>
              </w:rPr>
            </w:pPr>
            <w:r w:rsidRPr="001F33AF">
              <w:rPr>
                <w:color w:val="000000"/>
                <w:sz w:val="22"/>
                <w:szCs w:val="22"/>
                <w:lang w:eastAsia="en-GB"/>
              </w:rPr>
              <w:t>£</w:t>
            </w:r>
            <w:r w:rsidR="0001517E">
              <w:rPr>
                <w:color w:val="000000"/>
                <w:sz w:val="22"/>
                <w:szCs w:val="22"/>
                <w:lang w:eastAsia="en-GB"/>
              </w:rPr>
              <w:t>747,519,396</w:t>
            </w:r>
          </w:p>
        </w:tc>
        <w:tc>
          <w:tcPr>
            <w:tcW w:w="1984" w:type="dxa"/>
            <w:tcBorders>
              <w:top w:val="nil"/>
              <w:left w:val="nil"/>
              <w:bottom w:val="nil"/>
              <w:right w:val="nil"/>
            </w:tcBorders>
            <w:shd w:val="clear" w:color="000000" w:fill="FFFFFF"/>
            <w:noWrap/>
            <w:vAlign w:val="bottom"/>
            <w:hideMark/>
          </w:tcPr>
          <w:p w:rsidR="001F33AF" w:rsidRPr="001F33AF" w:rsidRDefault="001F33AF" w:rsidP="0001517E">
            <w:pPr>
              <w:spacing w:before="60" w:after="60" w:line="240" w:lineRule="auto"/>
              <w:jc w:val="right"/>
              <w:rPr>
                <w:color w:val="000000"/>
                <w:sz w:val="22"/>
                <w:szCs w:val="22"/>
                <w:lang w:eastAsia="en-GB"/>
              </w:rPr>
            </w:pPr>
            <w:r w:rsidRPr="001F33AF">
              <w:rPr>
                <w:color w:val="000000"/>
                <w:sz w:val="22"/>
                <w:szCs w:val="22"/>
                <w:lang w:eastAsia="en-GB"/>
              </w:rPr>
              <w:t>£</w:t>
            </w:r>
            <w:r w:rsidR="0001517E">
              <w:rPr>
                <w:color w:val="000000"/>
                <w:sz w:val="22"/>
                <w:szCs w:val="22"/>
                <w:lang w:eastAsia="en-GB"/>
              </w:rPr>
              <w:t>316,600,976</w:t>
            </w:r>
          </w:p>
        </w:tc>
        <w:tc>
          <w:tcPr>
            <w:tcW w:w="1985" w:type="dxa"/>
            <w:tcBorders>
              <w:top w:val="nil"/>
              <w:left w:val="nil"/>
              <w:bottom w:val="nil"/>
              <w:right w:val="nil"/>
            </w:tcBorders>
            <w:shd w:val="clear" w:color="000000" w:fill="FFFFFF"/>
            <w:noWrap/>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£350,000,000</w:t>
            </w:r>
          </w:p>
        </w:tc>
      </w:tr>
      <w:tr w:rsidR="001F33AF" w:rsidRPr="001F33AF" w:rsidTr="0051419A">
        <w:trPr>
          <w:gridAfter w:val="1"/>
          <w:wAfter w:w="283" w:type="dxa"/>
          <w:trHeight w:val="285"/>
        </w:trPr>
        <w:tc>
          <w:tcPr>
            <w:tcW w:w="3134" w:type="dxa"/>
            <w:tcBorders>
              <w:top w:val="nil"/>
              <w:left w:val="nil"/>
              <w:bottom w:val="nil"/>
              <w:right w:val="nil"/>
            </w:tcBorders>
            <w:shd w:val="clear" w:color="000000" w:fill="FFFFFF"/>
            <w:noWrap/>
            <w:vAlign w:val="bottom"/>
            <w:hideMark/>
          </w:tcPr>
          <w:p w:rsidR="001F33AF" w:rsidRPr="001F33AF" w:rsidRDefault="001F33AF" w:rsidP="00331FD0">
            <w:pPr>
              <w:spacing w:before="60" w:after="60" w:line="240" w:lineRule="auto"/>
              <w:rPr>
                <w:color w:val="000000"/>
                <w:sz w:val="22"/>
                <w:szCs w:val="22"/>
                <w:lang w:eastAsia="en-GB"/>
              </w:rPr>
            </w:pPr>
            <w:r w:rsidRPr="001F33AF">
              <w:rPr>
                <w:color w:val="000000"/>
                <w:sz w:val="22"/>
                <w:szCs w:val="22"/>
                <w:lang w:eastAsia="en-GB"/>
              </w:rPr>
              <w:t>Carbon Saving Communities</w:t>
            </w:r>
            <w:r w:rsidR="00B93178">
              <w:rPr>
                <w:color w:val="000000"/>
                <w:sz w:val="22"/>
                <w:szCs w:val="22"/>
                <w:vertAlign w:val="superscript"/>
                <w:lang w:eastAsia="en-GB"/>
              </w:rPr>
              <w:t>5</w:t>
            </w:r>
          </w:p>
        </w:tc>
        <w:tc>
          <w:tcPr>
            <w:tcW w:w="1134" w:type="dxa"/>
            <w:tcBorders>
              <w:top w:val="nil"/>
              <w:left w:val="nil"/>
              <w:bottom w:val="nil"/>
              <w:right w:val="nil"/>
            </w:tcBorders>
            <w:shd w:val="clear" w:color="000000" w:fill="FFFFFF"/>
            <w:noWrap/>
            <w:vAlign w:val="bottom"/>
            <w:hideMark/>
          </w:tcPr>
          <w:p w:rsidR="001F33AF" w:rsidRPr="001F33AF" w:rsidRDefault="001F33AF" w:rsidP="0001517E">
            <w:pPr>
              <w:spacing w:before="60" w:after="60" w:line="240" w:lineRule="auto"/>
              <w:jc w:val="right"/>
              <w:rPr>
                <w:color w:val="000000"/>
                <w:sz w:val="22"/>
                <w:szCs w:val="22"/>
                <w:lang w:eastAsia="en-GB"/>
              </w:rPr>
            </w:pPr>
            <w:r w:rsidRPr="001F33AF">
              <w:rPr>
                <w:color w:val="000000"/>
                <w:sz w:val="22"/>
                <w:szCs w:val="22"/>
                <w:lang w:eastAsia="en-GB"/>
              </w:rPr>
              <w:t>£</w:t>
            </w:r>
            <w:r w:rsidR="0001517E">
              <w:rPr>
                <w:color w:val="000000"/>
                <w:sz w:val="22"/>
                <w:szCs w:val="22"/>
                <w:lang w:eastAsia="en-GB"/>
              </w:rPr>
              <w:t>62.72</w:t>
            </w:r>
          </w:p>
        </w:tc>
        <w:tc>
          <w:tcPr>
            <w:tcW w:w="1843" w:type="dxa"/>
            <w:tcBorders>
              <w:top w:val="nil"/>
              <w:left w:val="nil"/>
              <w:bottom w:val="nil"/>
              <w:right w:val="nil"/>
            </w:tcBorders>
            <w:shd w:val="clear" w:color="000000" w:fill="FFFFFF"/>
            <w:noWrap/>
            <w:vAlign w:val="bottom"/>
            <w:hideMark/>
          </w:tcPr>
          <w:p w:rsidR="001F33AF" w:rsidRPr="001F33AF" w:rsidRDefault="001F33AF" w:rsidP="0001517E">
            <w:pPr>
              <w:spacing w:before="60" w:after="60" w:line="240" w:lineRule="auto"/>
              <w:jc w:val="right"/>
              <w:rPr>
                <w:color w:val="000000"/>
                <w:sz w:val="22"/>
                <w:szCs w:val="22"/>
                <w:lang w:eastAsia="en-GB"/>
              </w:rPr>
            </w:pPr>
            <w:r w:rsidRPr="001F33AF">
              <w:rPr>
                <w:color w:val="000000"/>
                <w:sz w:val="22"/>
                <w:szCs w:val="22"/>
                <w:lang w:eastAsia="en-GB"/>
              </w:rPr>
              <w:t>£</w:t>
            </w:r>
            <w:r w:rsidR="0001517E">
              <w:rPr>
                <w:color w:val="000000"/>
                <w:sz w:val="22"/>
                <w:szCs w:val="22"/>
                <w:lang w:eastAsia="en-GB"/>
              </w:rPr>
              <w:t>238,440,401</w:t>
            </w:r>
          </w:p>
        </w:tc>
        <w:tc>
          <w:tcPr>
            <w:tcW w:w="1984" w:type="dxa"/>
            <w:tcBorders>
              <w:top w:val="nil"/>
              <w:left w:val="nil"/>
              <w:bottom w:val="nil"/>
              <w:right w:val="nil"/>
            </w:tcBorders>
            <w:shd w:val="clear" w:color="000000" w:fill="FFFFFF"/>
            <w:noWrap/>
            <w:vAlign w:val="bottom"/>
            <w:hideMark/>
          </w:tcPr>
          <w:p w:rsidR="001F33AF" w:rsidRPr="001F33AF" w:rsidRDefault="001F33AF" w:rsidP="0001517E">
            <w:pPr>
              <w:spacing w:before="60" w:after="60" w:line="240" w:lineRule="auto"/>
              <w:jc w:val="right"/>
              <w:rPr>
                <w:color w:val="000000"/>
                <w:sz w:val="22"/>
                <w:szCs w:val="22"/>
                <w:lang w:eastAsia="en-GB"/>
              </w:rPr>
            </w:pPr>
            <w:r w:rsidRPr="001F33AF">
              <w:rPr>
                <w:color w:val="000000"/>
                <w:sz w:val="22"/>
                <w:szCs w:val="22"/>
                <w:lang w:eastAsia="en-GB"/>
              </w:rPr>
              <w:t>£</w:t>
            </w:r>
            <w:r w:rsidR="0001517E">
              <w:rPr>
                <w:color w:val="000000"/>
                <w:sz w:val="22"/>
                <w:szCs w:val="22"/>
                <w:lang w:eastAsia="en-GB"/>
              </w:rPr>
              <w:t>189,543,331</w:t>
            </w:r>
          </w:p>
        </w:tc>
        <w:tc>
          <w:tcPr>
            <w:tcW w:w="1985" w:type="dxa"/>
            <w:tcBorders>
              <w:top w:val="nil"/>
              <w:left w:val="nil"/>
              <w:bottom w:val="nil"/>
              <w:right w:val="nil"/>
            </w:tcBorders>
            <w:shd w:val="clear" w:color="000000" w:fill="FFFFFF"/>
            <w:noWrap/>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£190,000,000</w:t>
            </w:r>
          </w:p>
        </w:tc>
      </w:tr>
      <w:tr w:rsidR="001F33AF" w:rsidRPr="001F33AF" w:rsidTr="0051419A">
        <w:trPr>
          <w:gridAfter w:val="1"/>
          <w:wAfter w:w="283" w:type="dxa"/>
          <w:trHeight w:val="255"/>
        </w:trPr>
        <w:tc>
          <w:tcPr>
            <w:tcW w:w="3134" w:type="dxa"/>
            <w:tcBorders>
              <w:top w:val="nil"/>
              <w:left w:val="nil"/>
              <w:bottom w:val="single" w:sz="4" w:space="0" w:color="auto"/>
              <w:right w:val="nil"/>
            </w:tcBorders>
            <w:shd w:val="clear" w:color="000000" w:fill="FFFFFF"/>
            <w:noWrap/>
            <w:vAlign w:val="bottom"/>
            <w:hideMark/>
          </w:tcPr>
          <w:p w:rsidR="001F33AF" w:rsidRPr="001F33AF" w:rsidRDefault="001F33AF" w:rsidP="001F33AF">
            <w:pPr>
              <w:spacing w:before="60" w:after="60" w:line="240" w:lineRule="auto"/>
              <w:rPr>
                <w:color w:val="000000"/>
                <w:sz w:val="22"/>
                <w:szCs w:val="22"/>
                <w:lang w:eastAsia="en-GB"/>
              </w:rPr>
            </w:pPr>
            <w:r w:rsidRPr="001F33AF">
              <w:rPr>
                <w:color w:val="000000"/>
                <w:sz w:val="22"/>
                <w:szCs w:val="22"/>
                <w:lang w:eastAsia="en-GB"/>
              </w:rPr>
              <w:t>Carbon Saving Obligation</w:t>
            </w:r>
          </w:p>
        </w:tc>
        <w:tc>
          <w:tcPr>
            <w:tcW w:w="1134" w:type="dxa"/>
            <w:tcBorders>
              <w:top w:val="nil"/>
              <w:left w:val="nil"/>
              <w:bottom w:val="single" w:sz="4" w:space="0" w:color="auto"/>
              <w:right w:val="nil"/>
            </w:tcBorders>
            <w:shd w:val="clear" w:color="000000" w:fill="FFFFFF"/>
            <w:noWrap/>
            <w:vAlign w:val="bottom"/>
            <w:hideMark/>
          </w:tcPr>
          <w:p w:rsidR="001F33AF" w:rsidRPr="001F33AF" w:rsidRDefault="001F33AF" w:rsidP="0001517E">
            <w:pPr>
              <w:spacing w:before="60" w:after="60" w:line="240" w:lineRule="auto"/>
              <w:jc w:val="right"/>
              <w:rPr>
                <w:color w:val="000000"/>
                <w:sz w:val="22"/>
                <w:szCs w:val="22"/>
                <w:lang w:eastAsia="en-GB"/>
              </w:rPr>
            </w:pPr>
            <w:r w:rsidRPr="001F33AF">
              <w:rPr>
                <w:color w:val="000000"/>
                <w:sz w:val="22"/>
                <w:szCs w:val="22"/>
                <w:lang w:eastAsia="en-GB"/>
              </w:rPr>
              <w:t>£</w:t>
            </w:r>
            <w:r w:rsidR="0001517E">
              <w:rPr>
                <w:color w:val="000000"/>
                <w:sz w:val="22"/>
                <w:szCs w:val="22"/>
                <w:lang w:eastAsia="en-GB"/>
              </w:rPr>
              <w:t>102.63</w:t>
            </w:r>
          </w:p>
        </w:tc>
        <w:tc>
          <w:tcPr>
            <w:tcW w:w="1843" w:type="dxa"/>
            <w:tcBorders>
              <w:top w:val="nil"/>
              <w:left w:val="nil"/>
              <w:bottom w:val="single" w:sz="4" w:space="0" w:color="auto"/>
              <w:right w:val="nil"/>
            </w:tcBorders>
            <w:shd w:val="clear" w:color="000000" w:fill="FFFFFF"/>
            <w:noWrap/>
            <w:vAlign w:val="bottom"/>
            <w:hideMark/>
          </w:tcPr>
          <w:p w:rsidR="001F33AF" w:rsidRPr="001F33AF" w:rsidRDefault="001F33AF" w:rsidP="0001517E">
            <w:pPr>
              <w:spacing w:before="60" w:after="60" w:line="240" w:lineRule="auto"/>
              <w:jc w:val="right"/>
              <w:rPr>
                <w:color w:val="000000"/>
                <w:sz w:val="22"/>
                <w:szCs w:val="22"/>
                <w:lang w:eastAsia="en-GB"/>
              </w:rPr>
            </w:pPr>
            <w:r w:rsidRPr="001F33AF">
              <w:rPr>
                <w:color w:val="000000"/>
                <w:sz w:val="22"/>
                <w:szCs w:val="22"/>
                <w:lang w:eastAsia="en-GB"/>
              </w:rPr>
              <w:t>£</w:t>
            </w:r>
            <w:r w:rsidR="0001517E">
              <w:rPr>
                <w:color w:val="000000"/>
                <w:sz w:val="22"/>
                <w:szCs w:val="22"/>
                <w:lang w:eastAsia="en-GB"/>
              </w:rPr>
              <w:t>945,164,312</w:t>
            </w:r>
          </w:p>
        </w:tc>
        <w:tc>
          <w:tcPr>
            <w:tcW w:w="1984" w:type="dxa"/>
            <w:tcBorders>
              <w:top w:val="nil"/>
              <w:left w:val="nil"/>
              <w:bottom w:val="single" w:sz="4" w:space="0" w:color="auto"/>
              <w:right w:val="nil"/>
            </w:tcBorders>
            <w:shd w:val="clear" w:color="000000" w:fill="FFFFFF"/>
            <w:noWrap/>
            <w:vAlign w:val="bottom"/>
            <w:hideMark/>
          </w:tcPr>
          <w:p w:rsidR="001F33AF" w:rsidRPr="001F33AF" w:rsidRDefault="001F33AF" w:rsidP="0001517E">
            <w:pPr>
              <w:spacing w:before="60" w:after="60" w:line="240" w:lineRule="auto"/>
              <w:jc w:val="right"/>
              <w:rPr>
                <w:color w:val="000000"/>
                <w:sz w:val="22"/>
                <w:szCs w:val="22"/>
                <w:lang w:eastAsia="en-GB"/>
              </w:rPr>
            </w:pPr>
            <w:r w:rsidRPr="001F33AF">
              <w:rPr>
                <w:color w:val="000000"/>
                <w:sz w:val="22"/>
                <w:szCs w:val="22"/>
                <w:lang w:eastAsia="en-GB"/>
              </w:rPr>
              <w:t>£</w:t>
            </w:r>
            <w:r w:rsidR="0001517E">
              <w:rPr>
                <w:color w:val="000000"/>
                <w:sz w:val="22"/>
                <w:szCs w:val="22"/>
                <w:lang w:eastAsia="en-GB"/>
              </w:rPr>
              <w:t>953,337,910</w:t>
            </w:r>
          </w:p>
        </w:tc>
        <w:tc>
          <w:tcPr>
            <w:tcW w:w="1985" w:type="dxa"/>
            <w:tcBorders>
              <w:top w:val="nil"/>
              <w:left w:val="nil"/>
              <w:bottom w:val="single" w:sz="4" w:space="0" w:color="auto"/>
              <w:right w:val="nil"/>
            </w:tcBorders>
            <w:shd w:val="clear" w:color="000000" w:fill="FFFFFF"/>
            <w:noWrap/>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£760,000,000</w:t>
            </w:r>
          </w:p>
        </w:tc>
      </w:tr>
      <w:tr w:rsidR="001F33AF" w:rsidRPr="001F33AF" w:rsidTr="0051419A">
        <w:trPr>
          <w:gridAfter w:val="1"/>
          <w:wAfter w:w="283" w:type="dxa"/>
          <w:trHeight w:val="255"/>
        </w:trPr>
        <w:tc>
          <w:tcPr>
            <w:tcW w:w="3134" w:type="dxa"/>
            <w:tcBorders>
              <w:top w:val="nil"/>
              <w:left w:val="nil"/>
              <w:bottom w:val="single" w:sz="4" w:space="0" w:color="auto"/>
              <w:right w:val="nil"/>
            </w:tcBorders>
            <w:shd w:val="clear" w:color="000000" w:fill="FFFFFF"/>
            <w:noWrap/>
            <w:hideMark/>
          </w:tcPr>
          <w:p w:rsidR="001F33AF" w:rsidRPr="001F33AF" w:rsidRDefault="001F33AF" w:rsidP="001F33AF">
            <w:pPr>
              <w:spacing w:before="60" w:after="60" w:line="240" w:lineRule="auto"/>
              <w:rPr>
                <w:color w:val="000000"/>
                <w:sz w:val="22"/>
                <w:szCs w:val="22"/>
                <w:lang w:eastAsia="en-GB"/>
              </w:rPr>
            </w:pPr>
            <w:r w:rsidRPr="001F33AF">
              <w:rPr>
                <w:color w:val="000000"/>
                <w:sz w:val="22"/>
                <w:szCs w:val="22"/>
                <w:lang w:eastAsia="en-GB"/>
              </w:rPr>
              <w:t>Total</w:t>
            </w:r>
            <w:r w:rsidR="00331FD0" w:rsidRPr="00331FD0">
              <w:rPr>
                <w:color w:val="000000"/>
                <w:sz w:val="22"/>
                <w:szCs w:val="22"/>
                <w:vertAlign w:val="superscript"/>
                <w:lang w:eastAsia="en-GB"/>
              </w:rPr>
              <w:t>6</w:t>
            </w:r>
          </w:p>
        </w:tc>
        <w:tc>
          <w:tcPr>
            <w:tcW w:w="1134" w:type="dxa"/>
            <w:tcBorders>
              <w:top w:val="nil"/>
              <w:left w:val="nil"/>
              <w:bottom w:val="single" w:sz="4" w:space="0" w:color="auto"/>
              <w:right w:val="nil"/>
            </w:tcBorders>
            <w:shd w:val="clear" w:color="000000" w:fill="FFFFFF"/>
            <w:noWrap/>
            <w:vAlign w:val="bottom"/>
            <w:hideMark/>
          </w:tcPr>
          <w:p w:rsidR="001F33AF" w:rsidRPr="001F33AF" w:rsidRDefault="001F33AF" w:rsidP="001F33AF">
            <w:pPr>
              <w:spacing w:before="60" w:after="60" w:line="240" w:lineRule="auto"/>
              <w:rPr>
                <w:b/>
                <w:bCs/>
                <w:color w:val="000000"/>
                <w:sz w:val="22"/>
                <w:szCs w:val="22"/>
                <w:lang w:eastAsia="en-GB"/>
              </w:rPr>
            </w:pPr>
            <w:r w:rsidRPr="001F33AF">
              <w:rPr>
                <w:b/>
                <w:bCs/>
                <w:color w:val="000000"/>
                <w:sz w:val="22"/>
                <w:szCs w:val="22"/>
                <w:lang w:eastAsia="en-GB"/>
              </w:rPr>
              <w:t> </w:t>
            </w:r>
          </w:p>
        </w:tc>
        <w:tc>
          <w:tcPr>
            <w:tcW w:w="1843" w:type="dxa"/>
            <w:tcBorders>
              <w:top w:val="nil"/>
              <w:left w:val="nil"/>
              <w:bottom w:val="single" w:sz="4" w:space="0" w:color="auto"/>
              <w:right w:val="nil"/>
            </w:tcBorders>
            <w:shd w:val="clear" w:color="000000" w:fill="FFFFFF"/>
            <w:noWrap/>
            <w:hideMark/>
          </w:tcPr>
          <w:p w:rsidR="001F33AF" w:rsidRPr="001F33AF" w:rsidRDefault="001F33AF" w:rsidP="0001517E">
            <w:pPr>
              <w:spacing w:before="60" w:after="60" w:line="240" w:lineRule="auto"/>
              <w:jc w:val="right"/>
              <w:rPr>
                <w:b/>
                <w:bCs/>
                <w:color w:val="000000"/>
                <w:sz w:val="22"/>
                <w:szCs w:val="22"/>
                <w:lang w:eastAsia="en-GB"/>
              </w:rPr>
            </w:pPr>
            <w:r w:rsidRPr="001F33AF">
              <w:rPr>
                <w:b/>
                <w:bCs/>
                <w:color w:val="000000"/>
                <w:sz w:val="22"/>
                <w:szCs w:val="22"/>
                <w:lang w:eastAsia="en-GB"/>
              </w:rPr>
              <w:t>£1,</w:t>
            </w:r>
            <w:r w:rsidR="0001517E">
              <w:rPr>
                <w:b/>
                <w:bCs/>
                <w:color w:val="000000"/>
                <w:sz w:val="22"/>
                <w:szCs w:val="22"/>
                <w:lang w:eastAsia="en-GB"/>
              </w:rPr>
              <w:t>931,124,109</w:t>
            </w:r>
          </w:p>
        </w:tc>
        <w:tc>
          <w:tcPr>
            <w:tcW w:w="1984" w:type="dxa"/>
            <w:tcBorders>
              <w:top w:val="nil"/>
              <w:left w:val="nil"/>
              <w:bottom w:val="single" w:sz="4" w:space="0" w:color="auto"/>
              <w:right w:val="nil"/>
            </w:tcBorders>
            <w:shd w:val="clear" w:color="000000" w:fill="FFFFFF"/>
            <w:noWrap/>
            <w:hideMark/>
          </w:tcPr>
          <w:p w:rsidR="001F33AF" w:rsidRPr="001F33AF" w:rsidRDefault="001F33AF" w:rsidP="0001517E">
            <w:pPr>
              <w:spacing w:before="60" w:after="60" w:line="240" w:lineRule="auto"/>
              <w:jc w:val="right"/>
              <w:rPr>
                <w:b/>
                <w:bCs/>
                <w:color w:val="000000"/>
                <w:sz w:val="22"/>
                <w:szCs w:val="22"/>
                <w:lang w:eastAsia="en-GB"/>
              </w:rPr>
            </w:pPr>
            <w:r w:rsidRPr="001F33AF">
              <w:rPr>
                <w:b/>
                <w:bCs/>
                <w:color w:val="000000"/>
                <w:sz w:val="22"/>
                <w:szCs w:val="22"/>
                <w:lang w:eastAsia="en-GB"/>
              </w:rPr>
              <w:t>£1,</w:t>
            </w:r>
            <w:r w:rsidR="0001517E">
              <w:rPr>
                <w:b/>
                <w:bCs/>
                <w:color w:val="000000"/>
                <w:sz w:val="22"/>
                <w:szCs w:val="22"/>
                <w:lang w:eastAsia="en-GB"/>
              </w:rPr>
              <w:t>459,482,217</w:t>
            </w:r>
          </w:p>
        </w:tc>
        <w:tc>
          <w:tcPr>
            <w:tcW w:w="1985" w:type="dxa"/>
            <w:tcBorders>
              <w:top w:val="nil"/>
              <w:left w:val="nil"/>
              <w:bottom w:val="single" w:sz="4" w:space="0" w:color="auto"/>
              <w:right w:val="nil"/>
            </w:tcBorders>
            <w:shd w:val="clear" w:color="000000" w:fill="FFFFFF"/>
            <w:noWrap/>
            <w:hideMark/>
          </w:tcPr>
          <w:p w:rsidR="001F33AF" w:rsidRPr="001F33AF" w:rsidRDefault="001F33AF" w:rsidP="001F33AF">
            <w:pPr>
              <w:spacing w:before="60" w:after="60" w:line="240" w:lineRule="auto"/>
              <w:jc w:val="right"/>
              <w:rPr>
                <w:b/>
                <w:bCs/>
                <w:color w:val="000000"/>
                <w:sz w:val="22"/>
                <w:szCs w:val="22"/>
                <w:lang w:eastAsia="en-GB"/>
              </w:rPr>
            </w:pPr>
            <w:r w:rsidRPr="001F33AF">
              <w:rPr>
                <w:b/>
                <w:bCs/>
                <w:color w:val="000000"/>
                <w:sz w:val="22"/>
                <w:szCs w:val="22"/>
                <w:lang w:eastAsia="en-GB"/>
              </w:rPr>
              <w:t>£1,300,000,000</w:t>
            </w:r>
          </w:p>
        </w:tc>
      </w:tr>
      <w:tr w:rsidR="0051419A" w:rsidRPr="001F33AF" w:rsidTr="0051419A">
        <w:trPr>
          <w:trHeight w:val="400"/>
        </w:trPr>
        <w:tc>
          <w:tcPr>
            <w:tcW w:w="10363" w:type="dxa"/>
            <w:gridSpan w:val="6"/>
            <w:vMerge w:val="restart"/>
            <w:tcBorders>
              <w:top w:val="nil"/>
              <w:left w:val="nil"/>
              <w:bottom w:val="nil"/>
              <w:right w:val="nil"/>
            </w:tcBorders>
            <w:shd w:val="clear" w:color="000000" w:fill="FFFFFF"/>
            <w:vAlign w:val="bottom"/>
            <w:hideMark/>
          </w:tcPr>
          <w:p w:rsidR="0051419A" w:rsidRPr="00D65354" w:rsidRDefault="0051419A" w:rsidP="00B93178">
            <w:pPr>
              <w:spacing w:before="0" w:after="0"/>
              <w:jc w:val="both"/>
              <w:rPr>
                <w:color w:val="000000"/>
                <w:sz w:val="21"/>
                <w:szCs w:val="21"/>
              </w:rPr>
            </w:pPr>
            <w:r w:rsidRPr="00D65354">
              <w:rPr>
                <w:color w:val="000000"/>
                <w:sz w:val="21"/>
                <w:szCs w:val="21"/>
                <w:vertAlign w:val="superscript"/>
              </w:rPr>
              <w:t>1</w:t>
            </w:r>
            <w:r w:rsidR="00B93178" w:rsidRPr="00D65354">
              <w:rPr>
                <w:color w:val="000000"/>
                <w:sz w:val="21"/>
                <w:szCs w:val="21"/>
                <w:vertAlign w:val="superscript"/>
              </w:rPr>
              <w:t xml:space="preserve"> </w:t>
            </w:r>
            <w:r w:rsidRPr="00D65354">
              <w:rPr>
                <w:color w:val="000000"/>
                <w:sz w:val="21"/>
                <w:szCs w:val="21"/>
              </w:rPr>
              <w:t>Average price refers to per £ saved on energy bills for Affordable Warmth and per lifetime tonne of CO2 saved for Carbon Saving Communities and Carbon Saving Obligation.</w:t>
            </w:r>
          </w:p>
        </w:tc>
      </w:tr>
      <w:tr w:rsidR="0051419A" w:rsidRPr="001F33AF" w:rsidTr="0051419A">
        <w:trPr>
          <w:trHeight w:val="361"/>
        </w:trPr>
        <w:tc>
          <w:tcPr>
            <w:tcW w:w="10363" w:type="dxa"/>
            <w:gridSpan w:val="6"/>
            <w:vMerge/>
            <w:tcBorders>
              <w:top w:val="nil"/>
              <w:left w:val="nil"/>
              <w:bottom w:val="nil"/>
              <w:right w:val="nil"/>
            </w:tcBorders>
            <w:vAlign w:val="center"/>
            <w:hideMark/>
          </w:tcPr>
          <w:p w:rsidR="0051419A" w:rsidRPr="00D65354" w:rsidRDefault="0051419A" w:rsidP="00B93178">
            <w:pPr>
              <w:spacing w:before="0" w:after="0" w:line="240" w:lineRule="auto"/>
              <w:jc w:val="both"/>
              <w:rPr>
                <w:color w:val="000000"/>
                <w:sz w:val="21"/>
                <w:szCs w:val="21"/>
                <w:lang w:eastAsia="en-GB"/>
              </w:rPr>
            </w:pPr>
          </w:p>
        </w:tc>
      </w:tr>
      <w:tr w:rsidR="0051419A" w:rsidRPr="001F33AF" w:rsidTr="0051419A">
        <w:trPr>
          <w:trHeight w:val="400"/>
        </w:trPr>
        <w:tc>
          <w:tcPr>
            <w:tcW w:w="10363" w:type="dxa"/>
            <w:gridSpan w:val="6"/>
            <w:vMerge w:val="restart"/>
            <w:tcBorders>
              <w:top w:val="nil"/>
              <w:left w:val="nil"/>
              <w:bottom w:val="nil"/>
              <w:right w:val="nil"/>
            </w:tcBorders>
            <w:shd w:val="clear" w:color="000000" w:fill="FFFFFF"/>
            <w:vAlign w:val="bottom"/>
            <w:hideMark/>
          </w:tcPr>
          <w:p w:rsidR="0051419A" w:rsidRPr="00D65354" w:rsidRDefault="0051419A" w:rsidP="00B93178">
            <w:pPr>
              <w:spacing w:before="0" w:after="0"/>
              <w:jc w:val="both"/>
              <w:rPr>
                <w:color w:val="000000"/>
                <w:sz w:val="21"/>
                <w:szCs w:val="21"/>
              </w:rPr>
            </w:pPr>
            <w:r w:rsidRPr="00D65354">
              <w:rPr>
                <w:color w:val="000000"/>
                <w:sz w:val="21"/>
                <w:szCs w:val="21"/>
                <w:vertAlign w:val="superscript"/>
              </w:rPr>
              <w:t>2</w:t>
            </w:r>
            <w:r w:rsidR="00B93178" w:rsidRPr="00D65354">
              <w:rPr>
                <w:color w:val="000000"/>
                <w:sz w:val="21"/>
                <w:szCs w:val="21"/>
                <w:vertAlign w:val="superscript"/>
              </w:rPr>
              <w:t xml:space="preserve"> </w:t>
            </w:r>
            <w:r w:rsidRPr="00D65354">
              <w:rPr>
                <w:color w:val="000000"/>
                <w:sz w:val="21"/>
                <w:szCs w:val="21"/>
              </w:rPr>
              <w:t>Annual costs have been scaled on the basis that the total obligation (associated with the current legislation) is met and assumes that the average prices to date continue to be paid throughout the obligation period. This doesn't include any delivery costs associated with interim ECO measures.</w:t>
            </w:r>
          </w:p>
          <w:p w:rsidR="0051419A" w:rsidRPr="00D65354" w:rsidRDefault="0051419A" w:rsidP="006D36CE">
            <w:pPr>
              <w:spacing w:before="0" w:after="0"/>
              <w:jc w:val="both"/>
              <w:rPr>
                <w:color w:val="000000"/>
                <w:sz w:val="21"/>
                <w:szCs w:val="21"/>
              </w:rPr>
            </w:pPr>
            <w:r w:rsidRPr="00D65354">
              <w:rPr>
                <w:color w:val="000000"/>
                <w:sz w:val="21"/>
                <w:szCs w:val="21"/>
                <w:vertAlign w:val="superscript"/>
              </w:rPr>
              <w:t xml:space="preserve">3 </w:t>
            </w:r>
            <w:r w:rsidR="0001517E" w:rsidRPr="00D65354">
              <w:rPr>
                <w:color w:val="000000"/>
                <w:sz w:val="21"/>
                <w:szCs w:val="21"/>
              </w:rPr>
              <w:t>This does not include the £122.5</w:t>
            </w:r>
            <w:r w:rsidRPr="00D65354">
              <w:rPr>
                <w:color w:val="000000"/>
                <w:sz w:val="21"/>
                <w:szCs w:val="21"/>
              </w:rPr>
              <w:t xml:space="preserve"> million of administrative costs reported by suppliers up to the end of </w:t>
            </w:r>
            <w:r w:rsidR="006D36CE" w:rsidRPr="00D65354">
              <w:rPr>
                <w:color w:val="000000"/>
                <w:sz w:val="21"/>
                <w:szCs w:val="21"/>
              </w:rPr>
              <w:t>September</w:t>
            </w:r>
            <w:r w:rsidRPr="00D65354">
              <w:rPr>
                <w:color w:val="000000"/>
                <w:sz w:val="21"/>
                <w:szCs w:val="21"/>
              </w:rPr>
              <w:t xml:space="preserve"> 2014.</w:t>
            </w:r>
          </w:p>
        </w:tc>
      </w:tr>
      <w:tr w:rsidR="0051419A" w:rsidRPr="001F33AF" w:rsidTr="0051419A">
        <w:trPr>
          <w:trHeight w:val="361"/>
        </w:trPr>
        <w:tc>
          <w:tcPr>
            <w:tcW w:w="10363" w:type="dxa"/>
            <w:gridSpan w:val="6"/>
            <w:vMerge/>
            <w:tcBorders>
              <w:top w:val="nil"/>
              <w:left w:val="nil"/>
              <w:bottom w:val="nil"/>
              <w:right w:val="nil"/>
            </w:tcBorders>
            <w:vAlign w:val="bottom"/>
            <w:hideMark/>
          </w:tcPr>
          <w:p w:rsidR="0051419A" w:rsidRPr="00D65354" w:rsidRDefault="0051419A" w:rsidP="00B93178">
            <w:pPr>
              <w:spacing w:before="0" w:after="0" w:line="240" w:lineRule="auto"/>
              <w:jc w:val="both"/>
              <w:rPr>
                <w:color w:val="000000"/>
                <w:sz w:val="21"/>
                <w:szCs w:val="21"/>
                <w:lang w:eastAsia="en-GB"/>
              </w:rPr>
            </w:pPr>
          </w:p>
        </w:tc>
      </w:tr>
      <w:tr w:rsidR="0051419A" w:rsidRPr="001F33AF" w:rsidTr="0051419A">
        <w:trPr>
          <w:trHeight w:val="400"/>
        </w:trPr>
        <w:tc>
          <w:tcPr>
            <w:tcW w:w="10363" w:type="dxa"/>
            <w:gridSpan w:val="6"/>
            <w:vMerge w:val="restart"/>
            <w:tcBorders>
              <w:top w:val="nil"/>
              <w:left w:val="nil"/>
              <w:bottom w:val="nil"/>
              <w:right w:val="nil"/>
            </w:tcBorders>
            <w:shd w:val="clear" w:color="000000" w:fill="FFFFFF"/>
            <w:vAlign w:val="bottom"/>
            <w:hideMark/>
          </w:tcPr>
          <w:p w:rsidR="0051419A" w:rsidRPr="00D65354" w:rsidRDefault="0051419A" w:rsidP="00B93178">
            <w:pPr>
              <w:spacing w:before="0" w:after="0"/>
              <w:jc w:val="both"/>
              <w:rPr>
                <w:color w:val="000000"/>
                <w:sz w:val="21"/>
                <w:szCs w:val="21"/>
              </w:rPr>
            </w:pPr>
            <w:r w:rsidRPr="00D65354">
              <w:rPr>
                <w:color w:val="000000"/>
                <w:sz w:val="21"/>
                <w:szCs w:val="21"/>
                <w:vertAlign w:val="superscript"/>
              </w:rPr>
              <w:t>4</w:t>
            </w:r>
            <w:r w:rsidR="00D65354">
              <w:rPr>
                <w:color w:val="000000"/>
                <w:sz w:val="21"/>
                <w:szCs w:val="21"/>
              </w:rPr>
              <w:t xml:space="preserve"> </w:t>
            </w:r>
            <w:r w:rsidRPr="00D65354">
              <w:rPr>
                <w:color w:val="000000"/>
                <w:sz w:val="21"/>
                <w:szCs w:val="21"/>
              </w:rPr>
              <w:t>Central Impact Assessment associated with the current legislation, from the Final Stage Impact Assessment for the Green Deal and Energy Company Obligation, July 2012.</w:t>
            </w:r>
          </w:p>
          <w:p w:rsidR="0051419A" w:rsidRPr="00D65354" w:rsidRDefault="0051419A" w:rsidP="00B93178">
            <w:pPr>
              <w:spacing w:before="0" w:after="0"/>
              <w:jc w:val="both"/>
              <w:rPr>
                <w:color w:val="000000"/>
                <w:sz w:val="21"/>
                <w:szCs w:val="21"/>
              </w:rPr>
            </w:pPr>
            <w:r w:rsidRPr="00D65354">
              <w:rPr>
                <w:color w:val="000000"/>
                <w:sz w:val="21"/>
                <w:szCs w:val="21"/>
                <w:vertAlign w:val="superscript"/>
              </w:rPr>
              <w:t>5</w:t>
            </w:r>
            <w:r w:rsidRPr="00D65354">
              <w:rPr>
                <w:color w:val="000000"/>
                <w:sz w:val="21"/>
                <w:szCs w:val="21"/>
              </w:rPr>
              <w:t xml:space="preserve"> Carbon Saving Communities includes delivery costs incurred through the rural sub-obligation.</w:t>
            </w:r>
          </w:p>
        </w:tc>
      </w:tr>
      <w:tr w:rsidR="0051419A" w:rsidRPr="001F33AF" w:rsidTr="0051419A">
        <w:trPr>
          <w:trHeight w:val="361"/>
        </w:trPr>
        <w:tc>
          <w:tcPr>
            <w:tcW w:w="10363" w:type="dxa"/>
            <w:gridSpan w:val="6"/>
            <w:vMerge/>
            <w:tcBorders>
              <w:top w:val="nil"/>
              <w:left w:val="nil"/>
              <w:bottom w:val="nil"/>
              <w:right w:val="nil"/>
            </w:tcBorders>
            <w:vAlign w:val="bottom"/>
            <w:hideMark/>
          </w:tcPr>
          <w:p w:rsidR="0051419A" w:rsidRPr="00D65354" w:rsidRDefault="0051419A" w:rsidP="00B93178">
            <w:pPr>
              <w:spacing w:before="0" w:after="0" w:line="240" w:lineRule="auto"/>
              <w:jc w:val="both"/>
              <w:rPr>
                <w:color w:val="000000"/>
                <w:sz w:val="21"/>
                <w:szCs w:val="21"/>
                <w:lang w:eastAsia="en-GB"/>
              </w:rPr>
            </w:pPr>
          </w:p>
        </w:tc>
      </w:tr>
      <w:tr w:rsidR="0051419A" w:rsidRPr="001F33AF" w:rsidTr="0051419A">
        <w:trPr>
          <w:trHeight w:val="255"/>
        </w:trPr>
        <w:tc>
          <w:tcPr>
            <w:tcW w:w="10363" w:type="dxa"/>
            <w:gridSpan w:val="6"/>
            <w:tcBorders>
              <w:top w:val="nil"/>
              <w:left w:val="nil"/>
              <w:bottom w:val="nil"/>
              <w:right w:val="nil"/>
            </w:tcBorders>
            <w:shd w:val="clear" w:color="000000" w:fill="FFFFFF"/>
            <w:vAlign w:val="bottom"/>
            <w:hideMark/>
          </w:tcPr>
          <w:p w:rsidR="0051419A" w:rsidRPr="00D65354" w:rsidRDefault="0051419A" w:rsidP="00B93178">
            <w:pPr>
              <w:spacing w:before="0" w:after="0"/>
              <w:jc w:val="both"/>
              <w:rPr>
                <w:color w:val="000000"/>
                <w:sz w:val="21"/>
                <w:szCs w:val="21"/>
              </w:rPr>
            </w:pPr>
            <w:r w:rsidRPr="00D65354">
              <w:rPr>
                <w:color w:val="000000"/>
                <w:sz w:val="21"/>
                <w:szCs w:val="21"/>
                <w:vertAlign w:val="superscript"/>
              </w:rPr>
              <w:t>6</w:t>
            </w:r>
            <w:r w:rsidRPr="00D65354">
              <w:rPr>
                <w:color w:val="000000"/>
                <w:sz w:val="21"/>
                <w:szCs w:val="21"/>
              </w:rPr>
              <w:t xml:space="preserve"> Total estimated ECO delivery costs include cost revisions submitted from some energy companies.</w:t>
            </w:r>
          </w:p>
          <w:p w:rsidR="006D36CE" w:rsidRPr="00D65354" w:rsidRDefault="006D36CE" w:rsidP="00B93178">
            <w:pPr>
              <w:spacing w:before="0" w:after="0"/>
              <w:jc w:val="both"/>
              <w:rPr>
                <w:color w:val="000000"/>
                <w:sz w:val="21"/>
                <w:szCs w:val="21"/>
              </w:rPr>
            </w:pPr>
          </w:p>
        </w:tc>
      </w:tr>
    </w:tbl>
    <w:p w:rsidR="001448FE" w:rsidRDefault="001448FE" w:rsidP="004F2454">
      <w:pPr>
        <w:spacing w:before="0" w:after="0" w:line="270" w:lineRule="atLeast"/>
        <w:jc w:val="both"/>
        <w:rPr>
          <w:b/>
          <w:bCs/>
        </w:rPr>
      </w:pPr>
    </w:p>
    <w:p w:rsidR="001448FE" w:rsidRDefault="001448FE" w:rsidP="004F2454">
      <w:pPr>
        <w:spacing w:before="0" w:after="0" w:line="270" w:lineRule="atLeast"/>
        <w:jc w:val="both"/>
        <w:rPr>
          <w:b/>
          <w:bCs/>
        </w:rPr>
      </w:pPr>
    </w:p>
    <w:p w:rsidR="00FD6952" w:rsidRDefault="00C351B2" w:rsidP="004F2454">
      <w:pPr>
        <w:spacing w:before="0" w:after="0" w:line="270" w:lineRule="atLeast"/>
        <w:jc w:val="both"/>
        <w:rPr>
          <w:b/>
          <w:bCs/>
        </w:rPr>
      </w:pPr>
      <w:r w:rsidRPr="0082660B">
        <w:rPr>
          <w:b/>
          <w:bCs/>
        </w:rPr>
        <w:t>Table 1.13</w:t>
      </w:r>
      <w:r w:rsidR="007D375F" w:rsidRPr="0082660B">
        <w:rPr>
          <w:b/>
          <w:bCs/>
        </w:rPr>
        <w:t xml:space="preserve">a: Estimated average ECO delivery costs as reported by energy suppliers, up to end </w:t>
      </w:r>
      <w:r w:rsidR="00E44CC5" w:rsidRPr="0082660B">
        <w:rPr>
          <w:b/>
          <w:bCs/>
        </w:rPr>
        <w:t>September</w:t>
      </w:r>
      <w:r w:rsidR="001F33AF" w:rsidRPr="0082660B">
        <w:rPr>
          <w:b/>
          <w:bCs/>
        </w:rPr>
        <w:t xml:space="preserve"> </w:t>
      </w:r>
      <w:r w:rsidR="002F723B" w:rsidRPr="0082660B">
        <w:rPr>
          <w:b/>
          <w:bCs/>
        </w:rPr>
        <w:t>2014</w:t>
      </w:r>
    </w:p>
    <w:p w:rsidR="00FD6952" w:rsidRPr="0051419A" w:rsidRDefault="00FD6952" w:rsidP="00415EE4">
      <w:pPr>
        <w:spacing w:before="0" w:after="0" w:line="270" w:lineRule="atLeast"/>
        <w:rPr>
          <w:b/>
          <w:bCs/>
          <w:sz w:val="22"/>
          <w:szCs w:val="22"/>
        </w:rPr>
      </w:pPr>
    </w:p>
    <w:tbl>
      <w:tblPr>
        <w:tblW w:w="10160" w:type="dxa"/>
        <w:tblInd w:w="93" w:type="dxa"/>
        <w:tblLook w:val="04A0" w:firstRow="1" w:lastRow="0" w:firstColumn="1" w:lastColumn="0" w:noHBand="0" w:noVBand="1"/>
      </w:tblPr>
      <w:tblGrid>
        <w:gridCol w:w="3920"/>
        <w:gridCol w:w="2080"/>
        <w:gridCol w:w="2080"/>
        <w:gridCol w:w="2080"/>
      </w:tblGrid>
      <w:tr w:rsidR="0051419A" w:rsidRPr="0051419A" w:rsidTr="0051419A">
        <w:trPr>
          <w:trHeight w:val="825"/>
        </w:trPr>
        <w:tc>
          <w:tcPr>
            <w:tcW w:w="3920" w:type="dxa"/>
            <w:tcBorders>
              <w:top w:val="single" w:sz="4" w:space="0" w:color="auto"/>
              <w:left w:val="nil"/>
              <w:bottom w:val="single" w:sz="4" w:space="0" w:color="auto"/>
              <w:right w:val="nil"/>
            </w:tcBorders>
            <w:shd w:val="clear" w:color="000000" w:fill="FFFFFF"/>
            <w:noWrap/>
            <w:vAlign w:val="center"/>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Obligation</w:t>
            </w:r>
          </w:p>
        </w:tc>
        <w:tc>
          <w:tcPr>
            <w:tcW w:w="2080" w:type="dxa"/>
            <w:tcBorders>
              <w:top w:val="single" w:sz="4" w:space="0" w:color="auto"/>
              <w:left w:val="nil"/>
              <w:bottom w:val="single" w:sz="4" w:space="0" w:color="auto"/>
              <w:right w:val="nil"/>
            </w:tcBorders>
            <w:shd w:val="clear" w:color="000000" w:fill="FFFFFF"/>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Average price</w:t>
            </w:r>
            <w:r w:rsidRPr="0051419A">
              <w:rPr>
                <w:color w:val="000000"/>
                <w:sz w:val="22"/>
                <w:szCs w:val="22"/>
                <w:lang w:eastAsia="en-GB"/>
              </w:rPr>
              <w:br/>
              <w:t>(all suppliers)</w:t>
            </w:r>
            <w:r w:rsidRPr="0051419A">
              <w:rPr>
                <w:color w:val="000000"/>
                <w:sz w:val="22"/>
                <w:szCs w:val="22"/>
                <w:vertAlign w:val="superscript"/>
                <w:lang w:eastAsia="en-GB"/>
              </w:rPr>
              <w:t>1</w:t>
            </w:r>
          </w:p>
        </w:tc>
        <w:tc>
          <w:tcPr>
            <w:tcW w:w="2080" w:type="dxa"/>
            <w:tcBorders>
              <w:top w:val="single" w:sz="4" w:space="0" w:color="auto"/>
              <w:left w:val="nil"/>
              <w:bottom w:val="single" w:sz="4" w:space="0" w:color="auto"/>
              <w:right w:val="nil"/>
            </w:tcBorders>
            <w:shd w:val="clear" w:color="000000" w:fill="FFFFFF"/>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Highest price (individual supplier)</w:t>
            </w:r>
            <w:r w:rsidRPr="0051419A">
              <w:rPr>
                <w:color w:val="000000"/>
                <w:sz w:val="22"/>
                <w:szCs w:val="22"/>
                <w:vertAlign w:val="superscript"/>
                <w:lang w:eastAsia="en-GB"/>
              </w:rPr>
              <w:t>2</w:t>
            </w:r>
          </w:p>
        </w:tc>
        <w:tc>
          <w:tcPr>
            <w:tcW w:w="2080" w:type="dxa"/>
            <w:tcBorders>
              <w:top w:val="single" w:sz="4" w:space="0" w:color="auto"/>
              <w:left w:val="nil"/>
              <w:bottom w:val="single" w:sz="4" w:space="0" w:color="auto"/>
              <w:right w:val="nil"/>
            </w:tcBorders>
            <w:shd w:val="clear" w:color="000000" w:fill="FFFFFF"/>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Lowest price</w:t>
            </w:r>
            <w:r w:rsidRPr="0051419A">
              <w:rPr>
                <w:color w:val="000000"/>
                <w:sz w:val="22"/>
                <w:szCs w:val="22"/>
                <w:lang w:eastAsia="en-GB"/>
              </w:rPr>
              <w:br/>
              <w:t>(individual supplier)</w:t>
            </w:r>
            <w:r w:rsidRPr="0051419A">
              <w:rPr>
                <w:color w:val="000000"/>
                <w:sz w:val="22"/>
                <w:szCs w:val="22"/>
                <w:vertAlign w:val="superscript"/>
                <w:lang w:eastAsia="en-GB"/>
              </w:rPr>
              <w:t>2</w:t>
            </w:r>
          </w:p>
        </w:tc>
      </w:tr>
      <w:tr w:rsidR="0051419A" w:rsidRPr="0051419A" w:rsidTr="0051419A">
        <w:trPr>
          <w:trHeight w:val="255"/>
        </w:trPr>
        <w:tc>
          <w:tcPr>
            <w:tcW w:w="392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Affordable Warmth</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£0.17</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£0.18</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£0.15</w:t>
            </w:r>
          </w:p>
        </w:tc>
      </w:tr>
      <w:tr w:rsidR="0051419A" w:rsidRPr="0051419A" w:rsidTr="0051419A">
        <w:trPr>
          <w:trHeight w:val="285"/>
        </w:trPr>
        <w:tc>
          <w:tcPr>
            <w:tcW w:w="392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Carbon Saving Communities</w:t>
            </w:r>
            <w:r w:rsidRPr="0051419A">
              <w:rPr>
                <w:color w:val="000000"/>
                <w:sz w:val="22"/>
                <w:szCs w:val="22"/>
                <w:vertAlign w:val="superscript"/>
                <w:lang w:eastAsia="en-GB"/>
              </w:rPr>
              <w:t xml:space="preserve"> 3</w:t>
            </w:r>
          </w:p>
        </w:tc>
        <w:tc>
          <w:tcPr>
            <w:tcW w:w="2080" w:type="dxa"/>
            <w:tcBorders>
              <w:top w:val="nil"/>
              <w:left w:val="nil"/>
              <w:bottom w:val="nil"/>
              <w:right w:val="nil"/>
            </w:tcBorders>
            <w:shd w:val="clear" w:color="000000" w:fill="FFFFFF"/>
            <w:noWrap/>
            <w:vAlign w:val="bottom"/>
            <w:hideMark/>
          </w:tcPr>
          <w:p w:rsidR="0051419A" w:rsidRPr="0051419A" w:rsidRDefault="0051419A" w:rsidP="006D36CE">
            <w:pPr>
              <w:spacing w:before="0" w:after="0" w:line="240" w:lineRule="auto"/>
              <w:jc w:val="right"/>
              <w:rPr>
                <w:color w:val="000000"/>
                <w:sz w:val="22"/>
                <w:szCs w:val="22"/>
                <w:lang w:eastAsia="en-GB"/>
              </w:rPr>
            </w:pPr>
            <w:r w:rsidRPr="0051419A">
              <w:rPr>
                <w:color w:val="000000"/>
                <w:sz w:val="22"/>
                <w:szCs w:val="22"/>
                <w:lang w:eastAsia="en-GB"/>
              </w:rPr>
              <w:t>£</w:t>
            </w:r>
            <w:r w:rsidR="006D36CE">
              <w:rPr>
                <w:color w:val="000000"/>
                <w:sz w:val="22"/>
                <w:szCs w:val="22"/>
                <w:lang w:eastAsia="en-GB"/>
              </w:rPr>
              <w:t>62.72</w:t>
            </w:r>
          </w:p>
        </w:tc>
        <w:tc>
          <w:tcPr>
            <w:tcW w:w="2080" w:type="dxa"/>
            <w:tcBorders>
              <w:top w:val="nil"/>
              <w:left w:val="nil"/>
              <w:bottom w:val="nil"/>
              <w:right w:val="nil"/>
            </w:tcBorders>
            <w:shd w:val="clear" w:color="000000" w:fill="FFFFFF"/>
            <w:noWrap/>
            <w:vAlign w:val="bottom"/>
            <w:hideMark/>
          </w:tcPr>
          <w:p w:rsidR="0051419A" w:rsidRPr="0051419A" w:rsidRDefault="0051419A" w:rsidP="0082660B">
            <w:pPr>
              <w:spacing w:before="0" w:after="0" w:line="240" w:lineRule="auto"/>
              <w:jc w:val="right"/>
              <w:rPr>
                <w:color w:val="000000"/>
                <w:sz w:val="22"/>
                <w:szCs w:val="22"/>
                <w:lang w:eastAsia="en-GB"/>
              </w:rPr>
            </w:pPr>
            <w:r w:rsidRPr="0051419A">
              <w:rPr>
                <w:color w:val="000000"/>
                <w:sz w:val="22"/>
                <w:szCs w:val="22"/>
                <w:lang w:eastAsia="en-GB"/>
              </w:rPr>
              <w:t>£</w:t>
            </w:r>
            <w:r w:rsidR="0082660B">
              <w:rPr>
                <w:color w:val="000000"/>
                <w:sz w:val="22"/>
                <w:szCs w:val="22"/>
                <w:lang w:eastAsia="en-GB"/>
              </w:rPr>
              <w:t>91.44</w:t>
            </w:r>
          </w:p>
        </w:tc>
        <w:tc>
          <w:tcPr>
            <w:tcW w:w="2080" w:type="dxa"/>
            <w:tcBorders>
              <w:top w:val="nil"/>
              <w:left w:val="nil"/>
              <w:bottom w:val="nil"/>
              <w:right w:val="nil"/>
            </w:tcBorders>
            <w:shd w:val="clear" w:color="000000" w:fill="FFFFFF"/>
            <w:noWrap/>
            <w:vAlign w:val="bottom"/>
            <w:hideMark/>
          </w:tcPr>
          <w:p w:rsidR="0051419A" w:rsidRPr="0051419A" w:rsidRDefault="0051419A" w:rsidP="0082660B">
            <w:pPr>
              <w:spacing w:before="0" w:after="0" w:line="240" w:lineRule="auto"/>
              <w:jc w:val="right"/>
              <w:rPr>
                <w:color w:val="000000"/>
                <w:sz w:val="22"/>
                <w:szCs w:val="22"/>
                <w:lang w:eastAsia="en-GB"/>
              </w:rPr>
            </w:pPr>
            <w:r w:rsidRPr="0051419A">
              <w:rPr>
                <w:color w:val="000000"/>
                <w:sz w:val="22"/>
                <w:szCs w:val="22"/>
                <w:lang w:eastAsia="en-GB"/>
              </w:rPr>
              <w:t>£</w:t>
            </w:r>
            <w:r w:rsidR="0082660B">
              <w:rPr>
                <w:color w:val="000000"/>
                <w:sz w:val="22"/>
                <w:szCs w:val="22"/>
                <w:lang w:eastAsia="en-GB"/>
              </w:rPr>
              <w:t>41.69</w:t>
            </w:r>
          </w:p>
        </w:tc>
      </w:tr>
      <w:tr w:rsidR="0051419A" w:rsidRPr="0051419A" w:rsidTr="0051419A">
        <w:trPr>
          <w:trHeight w:val="255"/>
        </w:trPr>
        <w:tc>
          <w:tcPr>
            <w:tcW w:w="392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Carbon Saving Obligation</w:t>
            </w:r>
          </w:p>
        </w:tc>
        <w:tc>
          <w:tcPr>
            <w:tcW w:w="2080" w:type="dxa"/>
            <w:tcBorders>
              <w:top w:val="nil"/>
              <w:left w:val="nil"/>
              <w:bottom w:val="nil"/>
              <w:right w:val="nil"/>
            </w:tcBorders>
            <w:shd w:val="clear" w:color="000000" w:fill="FFFFFF"/>
            <w:noWrap/>
            <w:vAlign w:val="bottom"/>
            <w:hideMark/>
          </w:tcPr>
          <w:p w:rsidR="0051419A" w:rsidRPr="0051419A" w:rsidRDefault="0051419A" w:rsidP="006D36CE">
            <w:pPr>
              <w:spacing w:before="0" w:after="0" w:line="240" w:lineRule="auto"/>
              <w:jc w:val="right"/>
              <w:rPr>
                <w:color w:val="000000"/>
                <w:sz w:val="22"/>
                <w:szCs w:val="22"/>
                <w:lang w:eastAsia="en-GB"/>
              </w:rPr>
            </w:pPr>
            <w:r w:rsidRPr="0051419A">
              <w:rPr>
                <w:color w:val="000000"/>
                <w:sz w:val="22"/>
                <w:szCs w:val="22"/>
                <w:lang w:eastAsia="en-GB"/>
              </w:rPr>
              <w:t>£</w:t>
            </w:r>
            <w:r w:rsidR="006D36CE">
              <w:rPr>
                <w:color w:val="000000"/>
                <w:sz w:val="22"/>
                <w:szCs w:val="22"/>
                <w:lang w:eastAsia="en-GB"/>
              </w:rPr>
              <w:t>102.63</w:t>
            </w:r>
          </w:p>
        </w:tc>
        <w:tc>
          <w:tcPr>
            <w:tcW w:w="2080" w:type="dxa"/>
            <w:tcBorders>
              <w:top w:val="nil"/>
              <w:left w:val="nil"/>
              <w:bottom w:val="nil"/>
              <w:right w:val="nil"/>
            </w:tcBorders>
            <w:shd w:val="clear" w:color="000000" w:fill="FFFFFF"/>
            <w:noWrap/>
            <w:vAlign w:val="bottom"/>
            <w:hideMark/>
          </w:tcPr>
          <w:p w:rsidR="0051419A" w:rsidRPr="0051419A" w:rsidRDefault="0082660B" w:rsidP="0051419A">
            <w:pPr>
              <w:spacing w:before="0" w:after="0" w:line="240" w:lineRule="auto"/>
              <w:jc w:val="right"/>
              <w:rPr>
                <w:color w:val="000000"/>
                <w:sz w:val="22"/>
                <w:szCs w:val="22"/>
                <w:lang w:eastAsia="en-GB"/>
              </w:rPr>
            </w:pPr>
            <w:r>
              <w:rPr>
                <w:color w:val="000000"/>
                <w:sz w:val="22"/>
                <w:szCs w:val="22"/>
                <w:lang w:eastAsia="en-GB"/>
              </w:rPr>
              <w:t>£129.03</w:t>
            </w:r>
          </w:p>
        </w:tc>
        <w:tc>
          <w:tcPr>
            <w:tcW w:w="2080" w:type="dxa"/>
            <w:tcBorders>
              <w:top w:val="nil"/>
              <w:left w:val="nil"/>
              <w:bottom w:val="nil"/>
              <w:right w:val="nil"/>
            </w:tcBorders>
            <w:shd w:val="clear" w:color="000000" w:fill="FFFFFF"/>
            <w:noWrap/>
            <w:vAlign w:val="bottom"/>
            <w:hideMark/>
          </w:tcPr>
          <w:p w:rsidR="0051419A" w:rsidRPr="0051419A" w:rsidRDefault="0082660B" w:rsidP="0051419A">
            <w:pPr>
              <w:spacing w:before="0" w:after="0" w:line="240" w:lineRule="auto"/>
              <w:jc w:val="right"/>
              <w:rPr>
                <w:color w:val="000000"/>
                <w:sz w:val="22"/>
                <w:szCs w:val="22"/>
                <w:lang w:eastAsia="en-GB"/>
              </w:rPr>
            </w:pPr>
            <w:r>
              <w:rPr>
                <w:color w:val="000000"/>
                <w:sz w:val="22"/>
                <w:szCs w:val="22"/>
                <w:lang w:eastAsia="en-GB"/>
              </w:rPr>
              <w:t>£81.38</w:t>
            </w:r>
          </w:p>
        </w:tc>
      </w:tr>
      <w:tr w:rsidR="0051419A" w:rsidRPr="0051419A" w:rsidTr="0051419A">
        <w:trPr>
          <w:trHeight w:val="150"/>
        </w:trPr>
        <w:tc>
          <w:tcPr>
            <w:tcW w:w="392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 </w:t>
            </w:r>
          </w:p>
        </w:tc>
      </w:tr>
      <w:tr w:rsidR="0051419A" w:rsidRPr="0051419A" w:rsidTr="0051419A">
        <w:trPr>
          <w:trHeight w:val="285"/>
        </w:trPr>
        <w:tc>
          <w:tcPr>
            <w:tcW w:w="392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Scaled annual cost</w:t>
            </w:r>
            <w:r w:rsidRPr="0051419A">
              <w:rPr>
                <w:color w:val="000000"/>
                <w:sz w:val="22"/>
                <w:szCs w:val="22"/>
                <w:vertAlign w:val="superscript"/>
                <w:lang w:eastAsia="en-GB"/>
              </w:rPr>
              <w:t>4,5</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£1.5bn</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£1.6bn</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£1.3bn</w:t>
            </w:r>
          </w:p>
        </w:tc>
      </w:tr>
      <w:tr w:rsidR="0051419A" w:rsidRPr="0051419A" w:rsidTr="0051419A">
        <w:trPr>
          <w:trHeight w:val="180"/>
        </w:trPr>
        <w:tc>
          <w:tcPr>
            <w:tcW w:w="392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 </w:t>
            </w:r>
          </w:p>
        </w:tc>
      </w:tr>
      <w:tr w:rsidR="0051419A" w:rsidRPr="0051419A" w:rsidTr="0051419A">
        <w:trPr>
          <w:trHeight w:val="510"/>
        </w:trPr>
        <w:tc>
          <w:tcPr>
            <w:tcW w:w="3920" w:type="dxa"/>
            <w:tcBorders>
              <w:top w:val="nil"/>
              <w:left w:val="nil"/>
              <w:bottom w:val="single" w:sz="4" w:space="0" w:color="auto"/>
              <w:right w:val="nil"/>
            </w:tcBorders>
            <w:shd w:val="clear" w:color="000000" w:fill="FFFFFF"/>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Potential ECO costs passed through (per customer per year)</w:t>
            </w:r>
          </w:p>
        </w:tc>
        <w:tc>
          <w:tcPr>
            <w:tcW w:w="2080" w:type="dxa"/>
            <w:tcBorders>
              <w:top w:val="nil"/>
              <w:left w:val="nil"/>
              <w:bottom w:val="single" w:sz="4" w:space="0" w:color="auto"/>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£55</w:t>
            </w:r>
          </w:p>
        </w:tc>
        <w:tc>
          <w:tcPr>
            <w:tcW w:w="2080" w:type="dxa"/>
            <w:tcBorders>
              <w:top w:val="nil"/>
              <w:left w:val="nil"/>
              <w:bottom w:val="single" w:sz="4" w:space="0" w:color="auto"/>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£65</w:t>
            </w:r>
          </w:p>
        </w:tc>
        <w:tc>
          <w:tcPr>
            <w:tcW w:w="2080" w:type="dxa"/>
            <w:tcBorders>
              <w:top w:val="nil"/>
              <w:left w:val="nil"/>
              <w:bottom w:val="single" w:sz="4" w:space="0" w:color="auto"/>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£50</w:t>
            </w:r>
          </w:p>
        </w:tc>
      </w:tr>
      <w:tr w:rsidR="0051419A" w:rsidRPr="0051419A" w:rsidTr="0051419A">
        <w:trPr>
          <w:trHeight w:val="255"/>
        </w:trPr>
        <w:tc>
          <w:tcPr>
            <w:tcW w:w="3920" w:type="dxa"/>
            <w:tcBorders>
              <w:top w:val="nil"/>
              <w:left w:val="nil"/>
              <w:bottom w:val="nil"/>
              <w:right w:val="nil"/>
            </w:tcBorders>
            <w:shd w:val="clear" w:color="000000" w:fill="FFFFFF"/>
            <w:noWrap/>
            <w:hideMark/>
          </w:tcPr>
          <w:p w:rsidR="0051419A" w:rsidRPr="0051419A" w:rsidRDefault="0051419A" w:rsidP="0051419A">
            <w:pPr>
              <w:spacing w:before="0" w:after="0" w:line="240" w:lineRule="auto"/>
              <w:rPr>
                <w:color w:val="000000"/>
                <w:sz w:val="20"/>
                <w:lang w:eastAsia="en-GB"/>
              </w:rPr>
            </w:pPr>
            <w:r w:rsidRPr="0051419A">
              <w:rPr>
                <w:color w:val="000000"/>
                <w:sz w:val="20"/>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b/>
                <w:bCs/>
                <w:color w:val="000000"/>
                <w:sz w:val="20"/>
                <w:lang w:eastAsia="en-GB"/>
              </w:rPr>
            </w:pPr>
            <w:r w:rsidRPr="0051419A">
              <w:rPr>
                <w:b/>
                <w:bCs/>
                <w:color w:val="000000"/>
                <w:sz w:val="20"/>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b/>
                <w:bCs/>
                <w:color w:val="000000"/>
                <w:sz w:val="20"/>
                <w:lang w:eastAsia="en-GB"/>
              </w:rPr>
            </w:pPr>
            <w:r w:rsidRPr="0051419A">
              <w:rPr>
                <w:b/>
                <w:bCs/>
                <w:color w:val="000000"/>
                <w:sz w:val="20"/>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b/>
                <w:bCs/>
                <w:color w:val="000000"/>
                <w:sz w:val="20"/>
                <w:lang w:eastAsia="en-GB"/>
              </w:rPr>
            </w:pPr>
            <w:r w:rsidRPr="0051419A">
              <w:rPr>
                <w:b/>
                <w:bCs/>
                <w:color w:val="000000"/>
                <w:sz w:val="20"/>
                <w:lang w:eastAsia="en-GB"/>
              </w:rPr>
              <w:t> </w:t>
            </w:r>
          </w:p>
        </w:tc>
      </w:tr>
      <w:tr w:rsidR="0051419A" w:rsidRPr="0051419A" w:rsidTr="0051419A">
        <w:trPr>
          <w:trHeight w:val="361"/>
        </w:trPr>
        <w:tc>
          <w:tcPr>
            <w:tcW w:w="10160" w:type="dxa"/>
            <w:gridSpan w:val="4"/>
            <w:vMerge w:val="restart"/>
            <w:tcBorders>
              <w:top w:val="nil"/>
              <w:left w:val="nil"/>
              <w:bottom w:val="nil"/>
              <w:right w:val="nil"/>
            </w:tcBorders>
            <w:shd w:val="clear" w:color="000000" w:fill="FFFFFF"/>
            <w:vAlign w:val="bottom"/>
            <w:hideMark/>
          </w:tcPr>
          <w:p w:rsidR="0051419A" w:rsidRPr="00D65354" w:rsidRDefault="0051419A" w:rsidP="00D65354">
            <w:pPr>
              <w:spacing w:before="0" w:after="60" w:line="240" w:lineRule="auto"/>
              <w:jc w:val="both"/>
              <w:rPr>
                <w:color w:val="000000"/>
                <w:sz w:val="21"/>
                <w:szCs w:val="21"/>
                <w:lang w:eastAsia="en-GB"/>
              </w:rPr>
            </w:pPr>
            <w:r w:rsidRPr="00D65354">
              <w:rPr>
                <w:color w:val="000000"/>
                <w:sz w:val="21"/>
                <w:szCs w:val="21"/>
                <w:vertAlign w:val="superscript"/>
                <w:lang w:eastAsia="en-GB"/>
              </w:rPr>
              <w:t xml:space="preserve">1 </w:t>
            </w:r>
            <w:r w:rsidRPr="00D65354">
              <w:rPr>
                <w:color w:val="000000"/>
                <w:sz w:val="21"/>
                <w:szCs w:val="21"/>
                <w:lang w:eastAsia="en-GB"/>
              </w:rPr>
              <w:t>Average price refers to per £ saved on energy bills for Affordable Warmth and per lifetime tonne of CO2 saved for Carbon Saving Communities and Carbon Saving Obligation.</w:t>
            </w:r>
          </w:p>
        </w:tc>
      </w:tr>
      <w:tr w:rsidR="0051419A" w:rsidRPr="0051419A" w:rsidTr="00D65354">
        <w:trPr>
          <w:trHeight w:val="361"/>
        </w:trPr>
        <w:tc>
          <w:tcPr>
            <w:tcW w:w="10160" w:type="dxa"/>
            <w:gridSpan w:val="4"/>
            <w:vMerge/>
            <w:tcBorders>
              <w:top w:val="nil"/>
              <w:left w:val="nil"/>
              <w:bottom w:val="nil"/>
              <w:right w:val="nil"/>
            </w:tcBorders>
            <w:vAlign w:val="center"/>
            <w:hideMark/>
          </w:tcPr>
          <w:p w:rsidR="0051419A" w:rsidRPr="00D65354" w:rsidRDefault="0051419A" w:rsidP="00D65354">
            <w:pPr>
              <w:spacing w:before="0" w:after="60" w:line="240" w:lineRule="auto"/>
              <w:jc w:val="both"/>
              <w:rPr>
                <w:color w:val="000000"/>
                <w:sz w:val="21"/>
                <w:szCs w:val="21"/>
                <w:lang w:eastAsia="en-GB"/>
              </w:rPr>
            </w:pPr>
          </w:p>
        </w:tc>
      </w:tr>
      <w:tr w:rsidR="0051419A" w:rsidRPr="0051419A" w:rsidTr="0051419A">
        <w:trPr>
          <w:trHeight w:val="361"/>
        </w:trPr>
        <w:tc>
          <w:tcPr>
            <w:tcW w:w="10160" w:type="dxa"/>
            <w:gridSpan w:val="4"/>
            <w:vMerge w:val="restart"/>
            <w:tcBorders>
              <w:top w:val="nil"/>
              <w:left w:val="nil"/>
              <w:bottom w:val="nil"/>
              <w:right w:val="nil"/>
            </w:tcBorders>
            <w:shd w:val="clear" w:color="000000" w:fill="FFFFFF"/>
            <w:vAlign w:val="bottom"/>
            <w:hideMark/>
          </w:tcPr>
          <w:p w:rsidR="0051419A" w:rsidRPr="00D65354" w:rsidRDefault="0051419A" w:rsidP="00D65354">
            <w:pPr>
              <w:spacing w:before="0" w:after="60" w:line="240" w:lineRule="auto"/>
              <w:jc w:val="both"/>
              <w:rPr>
                <w:color w:val="000000"/>
                <w:sz w:val="21"/>
                <w:szCs w:val="21"/>
                <w:lang w:eastAsia="en-GB"/>
              </w:rPr>
            </w:pPr>
            <w:r w:rsidRPr="00D65354">
              <w:rPr>
                <w:color w:val="000000"/>
                <w:sz w:val="21"/>
                <w:szCs w:val="21"/>
                <w:vertAlign w:val="superscript"/>
                <w:lang w:eastAsia="en-GB"/>
              </w:rPr>
              <w:t xml:space="preserve">2 </w:t>
            </w:r>
            <w:r w:rsidRPr="00D65354">
              <w:rPr>
                <w:color w:val="000000"/>
                <w:sz w:val="21"/>
                <w:szCs w:val="21"/>
                <w:lang w:eastAsia="en-GB"/>
              </w:rPr>
              <w:t>Suppliers have delivered different amounts against each obligation. 'Highest' and 'lowest' average prices for individual suppliers should therefore be treated with caution as they may relate to relatively low levels of delivery, different measures installed and different routes of meeting the obligation.</w:t>
            </w:r>
          </w:p>
        </w:tc>
      </w:tr>
      <w:tr w:rsidR="0051419A" w:rsidRPr="0051419A" w:rsidTr="00D65354">
        <w:trPr>
          <w:trHeight w:val="479"/>
        </w:trPr>
        <w:tc>
          <w:tcPr>
            <w:tcW w:w="10160" w:type="dxa"/>
            <w:gridSpan w:val="4"/>
            <w:vMerge/>
            <w:tcBorders>
              <w:top w:val="nil"/>
              <w:left w:val="nil"/>
              <w:bottom w:val="nil"/>
              <w:right w:val="nil"/>
            </w:tcBorders>
            <w:vAlign w:val="center"/>
            <w:hideMark/>
          </w:tcPr>
          <w:p w:rsidR="0051419A" w:rsidRPr="00D65354" w:rsidRDefault="0051419A" w:rsidP="00D65354">
            <w:pPr>
              <w:spacing w:before="0" w:after="60" w:line="240" w:lineRule="auto"/>
              <w:jc w:val="both"/>
              <w:rPr>
                <w:color w:val="000000"/>
                <w:sz w:val="21"/>
                <w:szCs w:val="21"/>
                <w:lang w:eastAsia="en-GB"/>
              </w:rPr>
            </w:pPr>
          </w:p>
        </w:tc>
      </w:tr>
      <w:tr w:rsidR="0051419A" w:rsidRPr="0051419A" w:rsidTr="0051419A">
        <w:trPr>
          <w:trHeight w:val="285"/>
        </w:trPr>
        <w:tc>
          <w:tcPr>
            <w:tcW w:w="10160" w:type="dxa"/>
            <w:gridSpan w:val="4"/>
            <w:tcBorders>
              <w:top w:val="nil"/>
              <w:left w:val="nil"/>
              <w:bottom w:val="nil"/>
              <w:right w:val="nil"/>
            </w:tcBorders>
            <w:shd w:val="clear" w:color="000000" w:fill="FFFFFF"/>
            <w:noWrap/>
            <w:vAlign w:val="bottom"/>
            <w:hideMark/>
          </w:tcPr>
          <w:p w:rsidR="0051419A" w:rsidRPr="00D65354" w:rsidRDefault="0051419A" w:rsidP="00D65354">
            <w:pPr>
              <w:spacing w:before="0" w:after="60" w:line="240" w:lineRule="auto"/>
              <w:jc w:val="both"/>
              <w:rPr>
                <w:color w:val="000000"/>
                <w:sz w:val="21"/>
                <w:szCs w:val="21"/>
                <w:lang w:eastAsia="en-GB"/>
              </w:rPr>
            </w:pPr>
            <w:r w:rsidRPr="00D65354">
              <w:rPr>
                <w:color w:val="000000"/>
                <w:sz w:val="21"/>
                <w:szCs w:val="21"/>
                <w:vertAlign w:val="superscript"/>
                <w:lang w:eastAsia="en-GB"/>
              </w:rPr>
              <w:t xml:space="preserve">3 </w:t>
            </w:r>
            <w:r w:rsidRPr="00D65354">
              <w:rPr>
                <w:color w:val="000000"/>
                <w:sz w:val="21"/>
                <w:szCs w:val="21"/>
                <w:lang w:eastAsia="en-GB"/>
              </w:rPr>
              <w:t>Carbon Saving Communities includes delivery costs incurred through the rural sub-obligation.</w:t>
            </w:r>
          </w:p>
        </w:tc>
      </w:tr>
      <w:tr w:rsidR="0051419A" w:rsidRPr="0051419A" w:rsidTr="0051419A">
        <w:trPr>
          <w:trHeight w:val="361"/>
        </w:trPr>
        <w:tc>
          <w:tcPr>
            <w:tcW w:w="10160" w:type="dxa"/>
            <w:gridSpan w:val="4"/>
            <w:vMerge w:val="restart"/>
            <w:tcBorders>
              <w:top w:val="nil"/>
              <w:left w:val="nil"/>
              <w:bottom w:val="nil"/>
              <w:right w:val="nil"/>
            </w:tcBorders>
            <w:shd w:val="clear" w:color="000000" w:fill="FFFFFF"/>
            <w:vAlign w:val="bottom"/>
            <w:hideMark/>
          </w:tcPr>
          <w:p w:rsidR="0051419A" w:rsidRPr="00D65354" w:rsidRDefault="0051419A" w:rsidP="00D65354">
            <w:pPr>
              <w:spacing w:before="0" w:after="60" w:line="240" w:lineRule="auto"/>
              <w:jc w:val="both"/>
              <w:rPr>
                <w:color w:val="000000"/>
                <w:sz w:val="21"/>
                <w:szCs w:val="21"/>
                <w:lang w:eastAsia="en-GB"/>
              </w:rPr>
            </w:pPr>
            <w:r w:rsidRPr="00D65354">
              <w:rPr>
                <w:color w:val="000000"/>
                <w:sz w:val="21"/>
                <w:szCs w:val="21"/>
                <w:vertAlign w:val="superscript"/>
                <w:lang w:eastAsia="en-GB"/>
              </w:rPr>
              <w:t xml:space="preserve">4 </w:t>
            </w:r>
            <w:r w:rsidRPr="00D65354">
              <w:rPr>
                <w:color w:val="000000"/>
                <w:sz w:val="21"/>
                <w:szCs w:val="21"/>
                <w:lang w:eastAsia="en-GB"/>
              </w:rPr>
              <w:t>Annual costs have been scaled on the basis that the total obligation (associated with the current legislation) is met and assumes that the average/highest/lowest prices to date continue to be paid throughout the obligation period. This doesn't include any delivery costs associated with interim ECO measures.</w:t>
            </w:r>
          </w:p>
        </w:tc>
      </w:tr>
      <w:tr w:rsidR="0051419A" w:rsidRPr="0051419A" w:rsidTr="0051419A">
        <w:trPr>
          <w:trHeight w:val="555"/>
        </w:trPr>
        <w:tc>
          <w:tcPr>
            <w:tcW w:w="10160" w:type="dxa"/>
            <w:gridSpan w:val="4"/>
            <w:vMerge/>
            <w:tcBorders>
              <w:top w:val="nil"/>
              <w:left w:val="nil"/>
              <w:bottom w:val="nil"/>
              <w:right w:val="nil"/>
            </w:tcBorders>
            <w:vAlign w:val="center"/>
            <w:hideMark/>
          </w:tcPr>
          <w:p w:rsidR="0051419A" w:rsidRPr="00D65354" w:rsidRDefault="0051419A" w:rsidP="00D65354">
            <w:pPr>
              <w:spacing w:before="0" w:after="60" w:line="240" w:lineRule="auto"/>
              <w:jc w:val="both"/>
              <w:rPr>
                <w:color w:val="000000"/>
                <w:sz w:val="21"/>
                <w:szCs w:val="21"/>
                <w:lang w:eastAsia="en-GB"/>
              </w:rPr>
            </w:pPr>
          </w:p>
        </w:tc>
      </w:tr>
      <w:tr w:rsidR="0051419A" w:rsidRPr="0051419A" w:rsidTr="0051419A">
        <w:trPr>
          <w:trHeight w:val="255"/>
        </w:trPr>
        <w:tc>
          <w:tcPr>
            <w:tcW w:w="10160" w:type="dxa"/>
            <w:gridSpan w:val="4"/>
            <w:tcBorders>
              <w:top w:val="nil"/>
              <w:left w:val="nil"/>
              <w:bottom w:val="nil"/>
              <w:right w:val="nil"/>
            </w:tcBorders>
            <w:shd w:val="clear" w:color="000000" w:fill="FFFFFF"/>
            <w:vAlign w:val="bottom"/>
            <w:hideMark/>
          </w:tcPr>
          <w:p w:rsidR="0051419A" w:rsidRPr="00D65354" w:rsidRDefault="0051419A" w:rsidP="00D65354">
            <w:pPr>
              <w:spacing w:before="0" w:after="60" w:line="240" w:lineRule="auto"/>
              <w:jc w:val="both"/>
              <w:rPr>
                <w:color w:val="000000"/>
                <w:sz w:val="21"/>
                <w:szCs w:val="21"/>
                <w:lang w:eastAsia="en-GB"/>
              </w:rPr>
            </w:pPr>
            <w:r w:rsidRPr="00D65354">
              <w:rPr>
                <w:color w:val="000000"/>
                <w:sz w:val="21"/>
                <w:szCs w:val="21"/>
                <w:vertAlign w:val="superscript"/>
                <w:lang w:eastAsia="en-GB"/>
              </w:rPr>
              <w:t>5</w:t>
            </w:r>
            <w:r w:rsidRPr="00D65354">
              <w:rPr>
                <w:rFonts w:ascii="Calibri" w:hAnsi="Calibri" w:cs="Calibri"/>
                <w:color w:val="000000"/>
                <w:sz w:val="21"/>
                <w:szCs w:val="21"/>
                <w:lang w:eastAsia="en-GB"/>
              </w:rPr>
              <w:t xml:space="preserve"> </w:t>
            </w:r>
            <w:r w:rsidR="0082660B" w:rsidRPr="00D65354">
              <w:rPr>
                <w:color w:val="000000"/>
                <w:sz w:val="21"/>
                <w:szCs w:val="21"/>
                <w:lang w:eastAsia="en-GB"/>
              </w:rPr>
              <w:t>This does not include the £122.5</w:t>
            </w:r>
            <w:r w:rsidRPr="00D65354">
              <w:rPr>
                <w:color w:val="000000"/>
                <w:sz w:val="21"/>
                <w:szCs w:val="21"/>
                <w:lang w:eastAsia="en-GB"/>
              </w:rPr>
              <w:t xml:space="preserve"> million of administrative costs reported by suppliers up to the end of </w:t>
            </w:r>
            <w:r w:rsidR="0082660B" w:rsidRPr="00D65354">
              <w:rPr>
                <w:color w:val="000000"/>
                <w:sz w:val="21"/>
                <w:szCs w:val="21"/>
                <w:lang w:eastAsia="en-GB"/>
              </w:rPr>
              <w:t>September</w:t>
            </w:r>
            <w:r w:rsidRPr="00D65354">
              <w:rPr>
                <w:color w:val="000000"/>
                <w:sz w:val="21"/>
                <w:szCs w:val="21"/>
                <w:lang w:eastAsia="en-GB"/>
              </w:rPr>
              <w:t xml:space="preserve"> 2014.</w:t>
            </w:r>
          </w:p>
        </w:tc>
      </w:tr>
    </w:tbl>
    <w:p w:rsidR="00703C47" w:rsidRPr="0077452A" w:rsidRDefault="00C351B2" w:rsidP="00703C47">
      <w:pPr>
        <w:spacing w:before="0" w:after="0"/>
        <w:jc w:val="both"/>
        <w:rPr>
          <w:b/>
        </w:rPr>
      </w:pPr>
      <w:r w:rsidRPr="00C73037">
        <w:rPr>
          <w:b/>
        </w:rPr>
        <w:lastRenderedPageBreak/>
        <w:t>Table 1.14</w:t>
      </w:r>
      <w:r w:rsidR="00703C47" w:rsidRPr="00C73037">
        <w:rPr>
          <w:b/>
        </w:rPr>
        <w:t>: ECO Br</w:t>
      </w:r>
      <w:r w:rsidR="00113349" w:rsidRPr="00C73037">
        <w:rPr>
          <w:b/>
        </w:rPr>
        <w:t>okerage Auction clearing prices</w:t>
      </w:r>
      <w:r w:rsidR="00703C47" w:rsidRPr="00C73037">
        <w:rPr>
          <w:b/>
        </w:rPr>
        <w:t xml:space="preserve"> by ECO obligation by auction, up to end of </w:t>
      </w:r>
      <w:r w:rsidR="00E44CC5" w:rsidRPr="00C73037">
        <w:rPr>
          <w:b/>
        </w:rPr>
        <w:t>September</w:t>
      </w:r>
      <w:r w:rsidR="002F723B" w:rsidRPr="00C73037">
        <w:rPr>
          <w:b/>
        </w:rPr>
        <w:t xml:space="preserve"> 2014</w:t>
      </w:r>
      <w:r w:rsidR="00703C47" w:rsidRPr="00C73037">
        <w:rPr>
          <w:b/>
        </w:rPr>
        <w:t xml:space="preserve"> </w:t>
      </w:r>
      <w:r w:rsidR="00703C47" w:rsidRPr="00C73037">
        <w:rPr>
          <w:bCs/>
        </w:rPr>
        <w:t xml:space="preserve">(Table available </w:t>
      </w:r>
      <w:r w:rsidR="00703C47" w:rsidRPr="00C73037">
        <w:t xml:space="preserve">in Excel </w:t>
      </w:r>
      <w:hyperlink r:id="rId65" w:history="1">
        <w:r w:rsidR="001D54FE" w:rsidRPr="001D54FE">
          <w:rPr>
            <w:rStyle w:val="Hyperlink"/>
            <w:rFonts w:ascii="Arial" w:hAnsi="Arial"/>
            <w:sz w:val="23"/>
            <w:szCs w:val="23"/>
          </w:rPr>
          <w:t>here</w:t>
        </w:r>
      </w:hyperlink>
      <w:r w:rsidR="00703C47" w:rsidRPr="00C73037">
        <w:rPr>
          <w:bCs/>
        </w:rPr>
        <w:t>).</w:t>
      </w:r>
    </w:p>
    <w:p w:rsidR="00703C47" w:rsidRPr="0077452A" w:rsidRDefault="00703C47" w:rsidP="00415EE4">
      <w:pPr>
        <w:spacing w:before="0" w:after="0"/>
        <w:jc w:val="both"/>
        <w:rPr>
          <w:b/>
        </w:rPr>
      </w:pPr>
    </w:p>
    <w:p w:rsidR="0050659E" w:rsidRPr="0077452A" w:rsidRDefault="0050659E" w:rsidP="00415EE4">
      <w:pPr>
        <w:spacing w:before="0" w:after="0"/>
        <w:jc w:val="both"/>
        <w:rPr>
          <w:b/>
        </w:rPr>
      </w:pPr>
    </w:p>
    <w:p w:rsidR="00415EE4" w:rsidRPr="00C73037" w:rsidRDefault="00CF39F4" w:rsidP="00C81928">
      <w:pPr>
        <w:spacing w:before="0" w:after="0" w:line="240" w:lineRule="auto"/>
        <w:jc w:val="both"/>
        <w:rPr>
          <w:bCs/>
        </w:rPr>
      </w:pPr>
      <w:r w:rsidRPr="00C73037">
        <w:rPr>
          <w:b/>
        </w:rPr>
        <w:t>Table 1.1</w:t>
      </w:r>
      <w:r w:rsidR="00C351B2" w:rsidRPr="00C73037">
        <w:rPr>
          <w:b/>
        </w:rPr>
        <w:t>5</w:t>
      </w:r>
      <w:r w:rsidR="00415EE4" w:rsidRPr="00C73037">
        <w:rPr>
          <w:b/>
        </w:rPr>
        <w:t>: Estimated carbon and energy savings relating to measures installed through ECO</w:t>
      </w:r>
      <w:r w:rsidR="00331FD0">
        <w:rPr>
          <w:b/>
        </w:rPr>
        <w:t>, Cashback, Green Deal Home Improvement Fund and Green Deal Plans</w:t>
      </w:r>
      <w:r w:rsidR="00415EE4" w:rsidRPr="00C73037">
        <w:rPr>
          <w:b/>
        </w:rPr>
        <w:t xml:space="preserve">, up to </w:t>
      </w:r>
      <w:r w:rsidR="007E138E" w:rsidRPr="00C73037">
        <w:rPr>
          <w:b/>
        </w:rPr>
        <w:t xml:space="preserve">30th </w:t>
      </w:r>
      <w:r w:rsidR="00E44CC5" w:rsidRPr="00C73037">
        <w:rPr>
          <w:b/>
        </w:rPr>
        <w:t>September</w:t>
      </w:r>
      <w:r w:rsidR="002F723B" w:rsidRPr="00C73037">
        <w:rPr>
          <w:b/>
        </w:rPr>
        <w:t xml:space="preserve"> 2014</w:t>
      </w:r>
      <w:r w:rsidR="00D054F7" w:rsidRPr="00C73037">
        <w:rPr>
          <w:b/>
        </w:rPr>
        <w:t xml:space="preserve"> </w:t>
      </w:r>
      <w:r w:rsidR="00D054F7" w:rsidRPr="00C73037">
        <w:rPr>
          <w:bCs/>
        </w:rPr>
        <w:t xml:space="preserve">(Table available </w:t>
      </w:r>
      <w:r w:rsidR="00D054F7" w:rsidRPr="00C73037">
        <w:t xml:space="preserve">in Excel </w:t>
      </w:r>
      <w:hyperlink r:id="rId66" w:history="1">
        <w:r w:rsidR="001D54FE" w:rsidRPr="001D54FE">
          <w:rPr>
            <w:rStyle w:val="Hyperlink"/>
            <w:rFonts w:ascii="Arial" w:hAnsi="Arial"/>
            <w:sz w:val="23"/>
            <w:szCs w:val="23"/>
          </w:rPr>
          <w:t>here</w:t>
        </w:r>
      </w:hyperlink>
      <w:r w:rsidR="00D054F7" w:rsidRPr="00C73037">
        <w:rPr>
          <w:bCs/>
        </w:rPr>
        <w:t xml:space="preserve">). </w:t>
      </w:r>
    </w:p>
    <w:p w:rsidR="00C81928" w:rsidRPr="00C73037" w:rsidRDefault="00C81928" w:rsidP="00C81928">
      <w:pPr>
        <w:spacing w:before="0" w:after="0" w:line="240" w:lineRule="auto"/>
        <w:jc w:val="both"/>
        <w:rPr>
          <w:bCs/>
        </w:rPr>
      </w:pPr>
    </w:p>
    <w:p w:rsidR="0050659E" w:rsidRPr="00C73037" w:rsidRDefault="0050659E" w:rsidP="00C81928">
      <w:pPr>
        <w:spacing w:before="0" w:after="0" w:line="240" w:lineRule="auto"/>
        <w:jc w:val="both"/>
        <w:rPr>
          <w:bCs/>
        </w:rPr>
      </w:pPr>
    </w:p>
    <w:p w:rsidR="00415EE4" w:rsidRPr="00A21277" w:rsidRDefault="00C351B2" w:rsidP="00415EE4">
      <w:pPr>
        <w:spacing w:before="0" w:after="0" w:line="240" w:lineRule="auto"/>
        <w:jc w:val="both"/>
        <w:rPr>
          <w:bCs/>
        </w:rPr>
      </w:pPr>
      <w:proofErr w:type="gramStart"/>
      <w:r w:rsidRPr="00C73037">
        <w:rPr>
          <w:b/>
          <w:bCs/>
          <w:lang w:eastAsia="en-GB"/>
        </w:rPr>
        <w:t>Table 1.16</w:t>
      </w:r>
      <w:r w:rsidR="00415EE4" w:rsidRPr="00C73037">
        <w:rPr>
          <w:b/>
          <w:bCs/>
          <w:lang w:eastAsia="en-GB"/>
        </w:rPr>
        <w:t xml:space="preserve">: Number of accredited Assessor organisations, Green Deal Providers, and Installer organisations reporting where they would operate, by Lower Tier Local Authority, as of 28th </w:t>
      </w:r>
      <w:r w:rsidR="00E44CC5" w:rsidRPr="00C73037">
        <w:rPr>
          <w:b/>
          <w:bCs/>
          <w:lang w:eastAsia="en-GB"/>
        </w:rPr>
        <w:t>October</w:t>
      </w:r>
      <w:r w:rsidR="007E138E" w:rsidRPr="00C73037">
        <w:rPr>
          <w:b/>
          <w:bCs/>
          <w:lang w:eastAsia="en-GB"/>
        </w:rPr>
        <w:t xml:space="preserve"> </w:t>
      </w:r>
      <w:r w:rsidR="004C6A2E" w:rsidRPr="00C73037">
        <w:rPr>
          <w:b/>
          <w:bCs/>
          <w:lang w:eastAsia="en-GB"/>
        </w:rPr>
        <w:t>2014</w:t>
      </w:r>
      <w:r w:rsidR="00415EE4" w:rsidRPr="00C73037">
        <w:rPr>
          <w:b/>
          <w:bCs/>
          <w:lang w:eastAsia="en-GB"/>
        </w:rPr>
        <w:t xml:space="preserve"> </w:t>
      </w:r>
      <w:r w:rsidR="00415EE4" w:rsidRPr="00C73037">
        <w:rPr>
          <w:bCs/>
        </w:rPr>
        <w:t xml:space="preserve">(Table available </w:t>
      </w:r>
      <w:r w:rsidR="00415EE4" w:rsidRPr="00C73037">
        <w:t xml:space="preserve">in Excel </w:t>
      </w:r>
      <w:hyperlink r:id="rId67" w:history="1">
        <w:r w:rsidR="001D54FE" w:rsidRPr="001D54FE">
          <w:rPr>
            <w:rStyle w:val="Hyperlink"/>
            <w:rFonts w:ascii="Arial" w:hAnsi="Arial"/>
            <w:sz w:val="23"/>
            <w:szCs w:val="23"/>
          </w:rPr>
          <w:t>here</w:t>
        </w:r>
      </w:hyperlink>
      <w:r w:rsidR="00415EE4" w:rsidRPr="00C73037">
        <w:rPr>
          <w:bCs/>
        </w:rPr>
        <w:t>).</w:t>
      </w:r>
      <w:proofErr w:type="gramEnd"/>
    </w:p>
    <w:p w:rsidR="00291E07" w:rsidRPr="0007309E" w:rsidRDefault="00A21277" w:rsidP="00291E07">
      <w:pPr>
        <w:pStyle w:val="ChapterHead"/>
        <w:spacing w:before="0" w:after="200"/>
        <w:rPr>
          <w:rFonts w:cs="Arial"/>
          <w:szCs w:val="50"/>
        </w:rPr>
      </w:pPr>
      <w:r>
        <w:rPr>
          <w:rFonts w:cs="Arial"/>
          <w:szCs w:val="50"/>
        </w:rPr>
        <w:br w:type="page"/>
      </w:r>
      <w:bookmarkStart w:id="60" w:name="Section2"/>
      <w:bookmarkStart w:id="61" w:name="_Toc374539336"/>
      <w:bookmarkStart w:id="62" w:name="_Toc406514290"/>
      <w:bookmarkEnd w:id="60"/>
      <w:r w:rsidR="00855AC0">
        <w:rPr>
          <w:rFonts w:cs="Arial"/>
          <w:szCs w:val="50"/>
        </w:rPr>
        <w:lastRenderedPageBreak/>
        <w:t xml:space="preserve">Section 2 - </w:t>
      </w:r>
      <w:r w:rsidR="00291E07" w:rsidRPr="002B7674">
        <w:rPr>
          <w:rFonts w:cs="Arial"/>
          <w:szCs w:val="50"/>
        </w:rPr>
        <w:t xml:space="preserve">Estimates of Home Insulation Levels in Great Britain: </w:t>
      </w:r>
      <w:r w:rsidR="00E44CC5">
        <w:rPr>
          <w:rFonts w:cs="Arial"/>
          <w:szCs w:val="50"/>
        </w:rPr>
        <w:t>September</w:t>
      </w:r>
      <w:r w:rsidR="002F723B">
        <w:rPr>
          <w:rFonts w:cs="Arial"/>
          <w:szCs w:val="50"/>
        </w:rPr>
        <w:t xml:space="preserve"> 2014</w:t>
      </w:r>
      <w:bookmarkEnd w:id="61"/>
      <w:bookmarkEnd w:id="62"/>
    </w:p>
    <w:p w:rsidR="00745AAD" w:rsidRPr="00B643AA" w:rsidRDefault="00745AAD" w:rsidP="00745AAD">
      <w:pPr>
        <w:spacing w:before="0" w:after="0"/>
        <w:jc w:val="both"/>
      </w:pPr>
      <w:r w:rsidRPr="00B643AA">
        <w:t>This section presents estimates of the number of homes in Great Britain with loft, cavity w</w:t>
      </w:r>
      <w:r>
        <w:t xml:space="preserve">all and solid wall insulation. </w:t>
      </w:r>
      <w:r w:rsidRPr="00B643AA">
        <w:t>It gives headline estimates for the number of insulated homes and a summary of the different data s</w:t>
      </w:r>
      <w:r>
        <w:t xml:space="preserve">ources these are derived from. </w:t>
      </w:r>
      <w:r w:rsidRPr="00B643AA">
        <w:t>It also sets out the remaining potential for insulation in dwellings in Great Britain.</w:t>
      </w:r>
    </w:p>
    <w:p w:rsidR="00745AAD" w:rsidRPr="00B643AA" w:rsidRDefault="00745AAD" w:rsidP="00745AAD">
      <w:pPr>
        <w:spacing w:before="240"/>
        <w:outlineLvl w:val="1"/>
        <w:rPr>
          <w:b/>
          <w:color w:val="00AEEF"/>
        </w:rPr>
      </w:pPr>
      <w:bookmarkStart w:id="63" w:name="_Toc374539338"/>
      <w:bookmarkStart w:id="64" w:name="_Toc375046013"/>
      <w:r w:rsidRPr="00B643AA">
        <w:rPr>
          <w:b/>
          <w:color w:val="00AEEF"/>
        </w:rPr>
        <w:t>Sources and methodology</w:t>
      </w:r>
      <w:bookmarkEnd w:id="63"/>
      <w:bookmarkEnd w:id="64"/>
    </w:p>
    <w:p w:rsidR="00745AAD" w:rsidRPr="00B643AA" w:rsidRDefault="00745AAD" w:rsidP="00745AAD">
      <w:pPr>
        <w:spacing w:before="0" w:after="0"/>
        <w:jc w:val="both"/>
        <w:rPr>
          <w:b/>
        </w:rPr>
      </w:pPr>
    </w:p>
    <w:p w:rsidR="00745AAD" w:rsidRPr="00B643AA" w:rsidRDefault="00745AAD" w:rsidP="00745AAD">
      <w:pPr>
        <w:spacing w:before="0" w:after="0"/>
        <w:jc w:val="both"/>
      </w:pPr>
      <w:r w:rsidRPr="00B643AA">
        <w:t xml:space="preserve">The </w:t>
      </w:r>
      <w:r w:rsidR="00080315">
        <w:t>estimates in this Statistical Release use 2008 housing survey data, which coincides with the start of the Carbon Emissions Reduction Target (CERT), and adds known measures delivered through Government schemes (these include CERT</w:t>
      </w:r>
      <w:r w:rsidR="00080315">
        <w:rPr>
          <w:vertAlign w:val="superscript"/>
        </w:rPr>
        <w:footnoteReference w:id="23"/>
      </w:r>
      <w:r w:rsidR="00080315">
        <w:t>, the Community Energy Saving Programme (CESP)</w:t>
      </w:r>
      <w:r w:rsidR="00080315">
        <w:rPr>
          <w:vertAlign w:val="superscript"/>
        </w:rPr>
        <w:footnoteReference w:id="24"/>
      </w:r>
      <w:r w:rsidR="00080315">
        <w:t>, Warm Front</w:t>
      </w:r>
      <w:r w:rsidR="00080315">
        <w:rPr>
          <w:vertAlign w:val="superscript"/>
        </w:rPr>
        <w:footnoteReference w:id="25"/>
      </w:r>
      <w:r w:rsidR="00080315">
        <w:t xml:space="preserve">, Green Deal (including </w:t>
      </w:r>
      <w:r w:rsidR="00EE22E3">
        <w:t xml:space="preserve">Green Deal finance, </w:t>
      </w:r>
      <w:r w:rsidR="00080315">
        <w:t>Cashback</w:t>
      </w:r>
      <w:r w:rsidR="00EE22E3">
        <w:t xml:space="preserve"> and the Green Deal Home Improvement Fund</w:t>
      </w:r>
      <w:r w:rsidR="00080315">
        <w:t>)</w:t>
      </w:r>
      <w:r w:rsidR="00080315">
        <w:rPr>
          <w:vertAlign w:val="superscript"/>
        </w:rPr>
        <w:footnoteReference w:id="26"/>
      </w:r>
      <w:r w:rsidR="00080315">
        <w:t xml:space="preserve"> and the Energy Company Obligation</w:t>
      </w:r>
      <w:r w:rsidR="00080315">
        <w:rPr>
          <w:vertAlign w:val="superscript"/>
        </w:rPr>
        <w:footnoteReference w:id="27"/>
      </w:r>
      <w:r w:rsidR="00080315">
        <w:t xml:space="preserve"> (ECO)). This is supplemented with data on house building published by The Department for Communities and Local Government to provide an estimate for the latest quarter.</w:t>
      </w:r>
      <w:r w:rsidR="00E026E7">
        <w:t xml:space="preserve"> See the </w:t>
      </w:r>
      <w:hyperlink r:id="rId68" w:history="1">
        <w:r w:rsidR="0027699B" w:rsidRPr="009079D3">
          <w:rPr>
            <w:rStyle w:val="Hyperlink"/>
            <w:rFonts w:ascii="Arial" w:hAnsi="Arial"/>
            <w:szCs w:val="24"/>
          </w:rPr>
          <w:t>Methodol</w:t>
        </w:r>
        <w:r w:rsidR="0027699B" w:rsidRPr="009079D3">
          <w:rPr>
            <w:rStyle w:val="Hyperlink"/>
            <w:rFonts w:ascii="Arial" w:hAnsi="Arial"/>
            <w:szCs w:val="24"/>
          </w:rPr>
          <w:t>o</w:t>
        </w:r>
        <w:r w:rsidR="0027699B" w:rsidRPr="009079D3">
          <w:rPr>
            <w:rStyle w:val="Hyperlink"/>
            <w:rFonts w:ascii="Arial" w:hAnsi="Arial"/>
            <w:szCs w:val="24"/>
          </w:rPr>
          <w:t>gy note</w:t>
        </w:r>
      </w:hyperlink>
      <w:r w:rsidR="0027699B">
        <w:rPr>
          <w:color w:val="000000"/>
        </w:rPr>
        <w:t xml:space="preserve"> </w:t>
      </w:r>
      <w:r w:rsidR="00E026E7">
        <w:t>for full details.</w:t>
      </w:r>
    </w:p>
    <w:p w:rsidR="00745AAD" w:rsidRPr="00B643AA" w:rsidRDefault="00745AAD" w:rsidP="00745AAD">
      <w:pPr>
        <w:spacing w:before="240"/>
        <w:outlineLvl w:val="1"/>
        <w:rPr>
          <w:b/>
          <w:color w:val="00AEEF"/>
        </w:rPr>
      </w:pPr>
      <w:bookmarkStart w:id="65" w:name="_Toc374539339"/>
      <w:bookmarkStart w:id="66" w:name="_Toc375046014"/>
      <w:r w:rsidRPr="00B643AA">
        <w:rPr>
          <w:b/>
          <w:color w:val="00AEEF"/>
        </w:rPr>
        <w:t>Headline results</w:t>
      </w:r>
      <w:bookmarkEnd w:id="65"/>
      <w:bookmarkEnd w:id="66"/>
    </w:p>
    <w:p w:rsidR="00745AAD" w:rsidRDefault="00080315" w:rsidP="00745AAD">
      <w:pPr>
        <w:spacing w:before="0" w:after="0"/>
        <w:jc w:val="both"/>
      </w:pPr>
      <w:r w:rsidRPr="00C45F94">
        <w:t>There were 27.3 million homes</w:t>
      </w:r>
      <w:r w:rsidR="00A971DF">
        <w:rPr>
          <w:rStyle w:val="FootnoteReference"/>
        </w:rPr>
        <w:footnoteReference w:id="28"/>
      </w:r>
      <w:r w:rsidRPr="00C45F94">
        <w:t xml:space="preserve"> in Great Britain, of these 19.3 million had cavity walls with the remaining 8.0 million having solid walls. 23.</w:t>
      </w:r>
      <w:r w:rsidR="00C45F94" w:rsidRPr="00C45F94">
        <w:t>9</w:t>
      </w:r>
      <w:r w:rsidRPr="00C45F94">
        <w:t xml:space="preserve"> million </w:t>
      </w:r>
      <w:proofErr w:type="gramStart"/>
      <w:r w:rsidRPr="00C45F94">
        <w:t>properties</w:t>
      </w:r>
      <w:proofErr w:type="gramEnd"/>
      <w:r w:rsidRPr="00C45F94">
        <w:t xml:space="preserve"> had a loft.</w:t>
      </w:r>
    </w:p>
    <w:p w:rsidR="00080315" w:rsidRPr="00B643AA" w:rsidRDefault="00080315" w:rsidP="00745AAD">
      <w:pPr>
        <w:spacing w:before="0" w:after="0"/>
        <w:jc w:val="both"/>
        <w:rPr>
          <w:b/>
        </w:rPr>
      </w:pPr>
    </w:p>
    <w:p w:rsidR="00745AAD" w:rsidRPr="00B643AA" w:rsidRDefault="00745AAD" w:rsidP="00745AAD">
      <w:pPr>
        <w:spacing w:before="0" w:after="0"/>
        <w:jc w:val="both"/>
        <w:rPr>
          <w:szCs w:val="24"/>
        </w:rPr>
      </w:pPr>
      <w:r w:rsidRPr="00B643AA">
        <w:rPr>
          <w:szCs w:val="24"/>
        </w:rPr>
        <w:t>Table 2.</w:t>
      </w:r>
      <w:r>
        <w:rPr>
          <w:szCs w:val="24"/>
        </w:rPr>
        <w:t>1</w:t>
      </w:r>
      <w:r w:rsidRPr="00B643AA">
        <w:rPr>
          <w:szCs w:val="24"/>
        </w:rPr>
        <w:t xml:space="preserve"> shows the number of properties in Great Britain with cavity wall, loft or solid wall insulation (</w:t>
      </w:r>
      <w:r w:rsidRPr="00DE3DCC">
        <w:rPr>
          <w:szCs w:val="24"/>
        </w:rPr>
        <w:t xml:space="preserve">see </w:t>
      </w:r>
      <w:hyperlink w:anchor="AnnexB" w:history="1">
        <w:r w:rsidRPr="00DE3DCC">
          <w:rPr>
            <w:color w:val="0000FF"/>
            <w:szCs w:val="24"/>
            <w:u w:val="single"/>
          </w:rPr>
          <w:t>Anne</w:t>
        </w:r>
        <w:r w:rsidRPr="00DE3DCC">
          <w:rPr>
            <w:color w:val="0000FF"/>
            <w:szCs w:val="24"/>
            <w:u w:val="single"/>
          </w:rPr>
          <w:t>x</w:t>
        </w:r>
        <w:r w:rsidRPr="00DE3DCC">
          <w:rPr>
            <w:color w:val="0000FF"/>
            <w:szCs w:val="24"/>
            <w:u w:val="single"/>
          </w:rPr>
          <w:t xml:space="preserve"> B</w:t>
        </w:r>
      </w:hyperlink>
      <w:r w:rsidRPr="00DE3DCC">
        <w:rPr>
          <w:szCs w:val="24"/>
        </w:rPr>
        <w:t xml:space="preserve"> for</w:t>
      </w:r>
      <w:r w:rsidRPr="00B643AA">
        <w:rPr>
          <w:szCs w:val="24"/>
        </w:rPr>
        <w:t xml:space="preserve"> an explanation of measures).</w:t>
      </w:r>
    </w:p>
    <w:p w:rsidR="00745AAD" w:rsidRPr="00B643AA" w:rsidRDefault="00745AAD" w:rsidP="00745AAD">
      <w:pPr>
        <w:spacing w:before="0" w:after="0"/>
        <w:jc w:val="both"/>
      </w:pPr>
    </w:p>
    <w:p w:rsidR="00291E07" w:rsidRDefault="00080315" w:rsidP="00291E07">
      <w:pPr>
        <w:spacing w:before="0" w:after="0"/>
        <w:jc w:val="both"/>
      </w:pPr>
      <w:r w:rsidRPr="00C45F94">
        <w:t xml:space="preserve">At the end of </w:t>
      </w:r>
      <w:r w:rsidR="00E44CC5" w:rsidRPr="00C45F94">
        <w:t>September</w:t>
      </w:r>
      <w:r w:rsidRPr="00C45F94">
        <w:t xml:space="preserve"> 2014, 13.</w:t>
      </w:r>
      <w:r w:rsidR="00C45F94" w:rsidRPr="00C45F94">
        <w:t>9</w:t>
      </w:r>
      <w:r w:rsidRPr="00C45F94">
        <w:t xml:space="preserve"> million had cavity wall insulation (72 per cent of properties with a cavity wall), 16.</w:t>
      </w:r>
      <w:r w:rsidR="00C45F94" w:rsidRPr="00C45F94">
        <w:t>5</w:t>
      </w:r>
      <w:r w:rsidRPr="00C45F94">
        <w:t xml:space="preserve"> million had loft insulation (69 per cent of properties with a loft) and 2</w:t>
      </w:r>
      <w:r w:rsidR="00C45F94" w:rsidRPr="00C45F94">
        <w:t>73</w:t>
      </w:r>
      <w:r w:rsidRPr="00C45F94">
        <w:t>,000 had solid wall insulation (</w:t>
      </w:r>
      <w:r w:rsidR="007D479A">
        <w:t>three</w:t>
      </w:r>
      <w:r w:rsidRPr="00C45F94">
        <w:t xml:space="preserve"> per cent of properties with solid walls) (Chart 2.1). It should be noted that measures i</w:t>
      </w:r>
      <w:r w:rsidR="00464866">
        <w:t>nstalled as a mitigation action</w:t>
      </w:r>
      <w:r w:rsidR="00464866">
        <w:rPr>
          <w:rStyle w:val="FootnoteReference"/>
        </w:rPr>
        <w:footnoteReference w:id="29"/>
      </w:r>
      <w:r w:rsidR="00464866">
        <w:t xml:space="preserve"> </w:t>
      </w:r>
      <w:r w:rsidRPr="00C45F94">
        <w:t>after the end of CERT and CESP are not currently included in these figures, and therefore actual delivery during 2013 is likely to be higher than reported in this document.</w:t>
      </w:r>
    </w:p>
    <w:p w:rsidR="00C95448" w:rsidRDefault="00C95448" w:rsidP="00291E07">
      <w:pPr>
        <w:spacing w:before="0" w:after="0"/>
        <w:jc w:val="both"/>
      </w:pPr>
    </w:p>
    <w:p w:rsidR="00C95448" w:rsidRDefault="00C95448" w:rsidP="00291E07">
      <w:pPr>
        <w:spacing w:before="0" w:after="0"/>
        <w:jc w:val="both"/>
      </w:pPr>
    </w:p>
    <w:p w:rsidR="00C95448" w:rsidRDefault="00C95448" w:rsidP="00291E07">
      <w:pPr>
        <w:spacing w:before="0" w:after="0"/>
        <w:jc w:val="both"/>
      </w:pPr>
    </w:p>
    <w:p w:rsidR="00291E07" w:rsidRDefault="00291E07" w:rsidP="00291E07">
      <w:pPr>
        <w:spacing w:before="0" w:after="0"/>
        <w:jc w:val="both"/>
      </w:pPr>
    </w:p>
    <w:p w:rsidR="00291E07" w:rsidRDefault="00291E07" w:rsidP="00291E07">
      <w:pPr>
        <w:spacing w:before="0" w:after="0"/>
        <w:jc w:val="both"/>
      </w:pPr>
    </w:p>
    <w:p w:rsidR="00291E07" w:rsidRDefault="00D52FFD" w:rsidP="00AA7DF4">
      <w:pPr>
        <w:keepNext/>
        <w:spacing w:before="0" w:after="0"/>
        <w:jc w:val="both"/>
        <w:rPr>
          <w:b/>
        </w:rPr>
      </w:pPr>
      <w:bookmarkStart w:id="67" w:name="_Toc374374412"/>
      <w:r>
        <w:rPr>
          <w:b/>
          <w:szCs w:val="24"/>
        </w:rPr>
        <w:br w:type="page"/>
      </w:r>
      <w:bookmarkStart w:id="68" w:name="_Toc405914260"/>
      <w:proofErr w:type="gramStart"/>
      <w:r w:rsidR="00911320" w:rsidRPr="00C45F94">
        <w:rPr>
          <w:b/>
          <w:szCs w:val="24"/>
        </w:rPr>
        <w:lastRenderedPageBreak/>
        <w:t>Chart 2.</w:t>
      </w:r>
      <w:proofErr w:type="gramEnd"/>
      <w:r w:rsidR="00911320" w:rsidRPr="00C45F94">
        <w:rPr>
          <w:b/>
        </w:rPr>
        <w:fldChar w:fldCharType="begin"/>
      </w:r>
      <w:r w:rsidR="00911320" w:rsidRPr="00C45F94">
        <w:rPr>
          <w:b/>
        </w:rPr>
        <w:instrText xml:space="preserve"> SEQ Figure \* ARABIC </w:instrText>
      </w:r>
      <w:r w:rsidR="00911320" w:rsidRPr="00C45F94">
        <w:rPr>
          <w:b/>
        </w:rPr>
        <w:fldChar w:fldCharType="separate"/>
      </w:r>
      <w:r w:rsidR="006B5574">
        <w:rPr>
          <w:b/>
          <w:noProof/>
        </w:rPr>
        <w:t>1</w:t>
      </w:r>
      <w:r w:rsidR="00911320" w:rsidRPr="00C45F94">
        <w:rPr>
          <w:b/>
        </w:rPr>
        <w:fldChar w:fldCharType="end"/>
      </w:r>
      <w:r w:rsidR="00291E07" w:rsidRPr="00C45F94">
        <w:rPr>
          <w:b/>
        </w:rPr>
        <w:t>: Percentage of properties with insulation in Great Britain</w:t>
      </w:r>
      <w:bookmarkEnd w:id="67"/>
      <w:r w:rsidR="00C45F94">
        <w:rPr>
          <w:b/>
        </w:rPr>
        <w:t>, March 2008 to September 2014</w:t>
      </w:r>
      <w:bookmarkEnd w:id="68"/>
    </w:p>
    <w:p w:rsidR="00080315" w:rsidRDefault="00080315" w:rsidP="00AA7DF4">
      <w:pPr>
        <w:keepNext/>
        <w:spacing w:before="0" w:after="0"/>
        <w:jc w:val="both"/>
      </w:pPr>
    </w:p>
    <w:p w:rsidR="00745AAD" w:rsidRDefault="00745AAD" w:rsidP="00EE105C">
      <w:pPr>
        <w:spacing w:before="0" w:after="0"/>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C45F94" w:rsidP="00745AAD">
      <w:pPr>
        <w:rPr>
          <w:b/>
        </w:rPr>
      </w:pPr>
      <w:r w:rsidRPr="00C45F94">
        <w:rPr>
          <w:noProof/>
          <w:lang w:eastAsia="en-GB"/>
        </w:rPr>
        <w:drawing>
          <wp:anchor distT="0" distB="0" distL="114300" distR="114300" simplePos="0" relativeHeight="251711488" behindDoc="0" locked="0" layoutInCell="1" allowOverlap="1" wp14:anchorId="493AB62B" wp14:editId="6C6B5C6C">
            <wp:simplePos x="0" y="0"/>
            <wp:positionH relativeFrom="column">
              <wp:posOffset>2540</wp:posOffset>
            </wp:positionH>
            <wp:positionV relativeFrom="paragraph">
              <wp:posOffset>-3555365</wp:posOffset>
            </wp:positionV>
            <wp:extent cx="5324475" cy="36861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24475"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AAD" w:rsidRPr="0091337B" w:rsidRDefault="00745AAD" w:rsidP="00745AAD">
      <w:pPr>
        <w:rPr>
          <w:b/>
        </w:rPr>
      </w:pPr>
      <w:r w:rsidRPr="00C45F94">
        <w:rPr>
          <w:b/>
        </w:rPr>
        <w:t xml:space="preserve">Table 2.1: Insulated homes in Great Britain, March 2008 to </w:t>
      </w:r>
      <w:r w:rsidR="00E44CC5" w:rsidRPr="00C45F94">
        <w:rPr>
          <w:b/>
        </w:rPr>
        <w:t>September</w:t>
      </w:r>
      <w:r w:rsidRPr="00C45F94">
        <w:rPr>
          <w:b/>
        </w:rPr>
        <w:t xml:space="preserve"> 2014 (Thousands)</w:t>
      </w:r>
    </w:p>
    <w:tbl>
      <w:tblPr>
        <w:tblW w:w="8220" w:type="dxa"/>
        <w:tblInd w:w="108" w:type="dxa"/>
        <w:tblLayout w:type="fixed"/>
        <w:tblLook w:val="04A0" w:firstRow="1" w:lastRow="0" w:firstColumn="1" w:lastColumn="0" w:noHBand="0" w:noVBand="1"/>
      </w:tblPr>
      <w:tblGrid>
        <w:gridCol w:w="1351"/>
        <w:gridCol w:w="236"/>
        <w:gridCol w:w="2211"/>
        <w:gridCol w:w="2211"/>
        <w:gridCol w:w="2211"/>
      </w:tblGrid>
      <w:tr w:rsidR="00080315" w:rsidRPr="0091337B" w:rsidTr="00080315">
        <w:trPr>
          <w:trHeight w:val="510"/>
        </w:trPr>
        <w:tc>
          <w:tcPr>
            <w:tcW w:w="1351" w:type="dxa"/>
            <w:tcBorders>
              <w:top w:val="single" w:sz="4" w:space="0" w:color="auto"/>
              <w:left w:val="nil"/>
              <w:bottom w:val="single" w:sz="4" w:space="0" w:color="auto"/>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r>
              <w:rPr>
                <w:color w:val="000000"/>
                <w:szCs w:val="24"/>
                <w:lang w:eastAsia="en-GB"/>
              </w:rPr>
              <w:t> </w:t>
            </w:r>
          </w:p>
        </w:tc>
        <w:tc>
          <w:tcPr>
            <w:tcW w:w="236" w:type="dxa"/>
            <w:tcBorders>
              <w:top w:val="single" w:sz="4" w:space="0" w:color="auto"/>
              <w:left w:val="nil"/>
              <w:bottom w:val="single" w:sz="4" w:space="0" w:color="auto"/>
              <w:right w:val="nil"/>
            </w:tcBorders>
            <w:shd w:val="clear" w:color="000000" w:fill="FFFFFF"/>
          </w:tcPr>
          <w:p w:rsidR="00080315" w:rsidRDefault="00080315" w:rsidP="00316BD6">
            <w:pPr>
              <w:spacing w:before="0" w:after="0" w:line="240" w:lineRule="auto"/>
              <w:jc w:val="right"/>
              <w:rPr>
                <w:color w:val="000000"/>
                <w:szCs w:val="24"/>
                <w:lang w:eastAsia="en-GB"/>
              </w:rPr>
            </w:pPr>
          </w:p>
        </w:tc>
        <w:tc>
          <w:tcPr>
            <w:tcW w:w="2211" w:type="dxa"/>
            <w:tcBorders>
              <w:top w:val="single" w:sz="4" w:space="0" w:color="auto"/>
              <w:left w:val="nil"/>
              <w:bottom w:val="single" w:sz="4" w:space="0" w:color="auto"/>
              <w:right w:val="nil"/>
            </w:tcBorders>
            <w:shd w:val="clear" w:color="000000" w:fill="FFFFFF"/>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Cavity wall insulation</w:t>
            </w:r>
          </w:p>
        </w:tc>
        <w:tc>
          <w:tcPr>
            <w:tcW w:w="2211" w:type="dxa"/>
            <w:tcBorders>
              <w:top w:val="single" w:sz="4" w:space="0" w:color="auto"/>
              <w:left w:val="nil"/>
              <w:bottom w:val="single" w:sz="4" w:space="0" w:color="auto"/>
              <w:right w:val="nil"/>
            </w:tcBorders>
            <w:shd w:val="clear" w:color="000000" w:fill="FFFFFF"/>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Loft insulation &gt;=125mm</w:t>
            </w:r>
          </w:p>
        </w:tc>
        <w:tc>
          <w:tcPr>
            <w:tcW w:w="2211" w:type="dxa"/>
            <w:tcBorders>
              <w:top w:val="single" w:sz="4" w:space="0" w:color="auto"/>
              <w:left w:val="nil"/>
              <w:bottom w:val="single" w:sz="4" w:space="0" w:color="auto"/>
              <w:right w:val="nil"/>
            </w:tcBorders>
            <w:shd w:val="clear" w:color="000000" w:fill="FFFFFF"/>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Solid wall insulation</w:t>
            </w:r>
          </w:p>
        </w:tc>
      </w:tr>
      <w:tr w:rsidR="00080315" w:rsidRPr="0091337B" w:rsidTr="00080315">
        <w:trPr>
          <w:trHeight w:val="255"/>
        </w:trPr>
        <w:tc>
          <w:tcPr>
            <w:tcW w:w="135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r>
              <w:rPr>
                <w:color w:val="000000"/>
                <w:szCs w:val="24"/>
                <w:lang w:eastAsia="en-GB"/>
              </w:rPr>
              <w:t>Mar 2008</w:t>
            </w:r>
          </w:p>
        </w:tc>
        <w:tc>
          <w:tcPr>
            <w:tcW w:w="236" w:type="dxa"/>
            <w:tcBorders>
              <w:top w:val="nil"/>
              <w:left w:val="nil"/>
              <w:bottom w:val="nil"/>
              <w:right w:val="nil"/>
            </w:tcBorders>
            <w:shd w:val="clear" w:color="000000" w:fill="FFFFFF"/>
          </w:tcPr>
          <w:p w:rsidR="00080315" w:rsidRDefault="00080315"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10,030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10,150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65</w:t>
            </w:r>
          </w:p>
        </w:tc>
      </w:tr>
      <w:tr w:rsidR="00080315" w:rsidRPr="0091337B" w:rsidTr="00080315">
        <w:trPr>
          <w:trHeight w:val="255"/>
        </w:trPr>
        <w:tc>
          <w:tcPr>
            <w:tcW w:w="135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r>
              <w:rPr>
                <w:color w:val="000000"/>
                <w:szCs w:val="24"/>
                <w:lang w:eastAsia="en-GB"/>
              </w:rPr>
              <w:t>Mar 2009</w:t>
            </w:r>
          </w:p>
        </w:tc>
        <w:tc>
          <w:tcPr>
            <w:tcW w:w="236" w:type="dxa"/>
            <w:tcBorders>
              <w:top w:val="nil"/>
              <w:left w:val="nil"/>
              <w:bottom w:val="nil"/>
              <w:right w:val="nil"/>
            </w:tcBorders>
            <w:shd w:val="clear" w:color="000000" w:fill="FFFFFF"/>
          </w:tcPr>
          <w:p w:rsidR="00080315" w:rsidRDefault="00080315"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10,760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10,930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74</w:t>
            </w:r>
          </w:p>
        </w:tc>
      </w:tr>
      <w:tr w:rsidR="00080315" w:rsidRPr="0091337B" w:rsidTr="00080315">
        <w:trPr>
          <w:trHeight w:val="255"/>
        </w:trPr>
        <w:tc>
          <w:tcPr>
            <w:tcW w:w="135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r>
              <w:rPr>
                <w:color w:val="000000"/>
                <w:szCs w:val="24"/>
                <w:lang w:eastAsia="en-GB"/>
              </w:rPr>
              <w:t>Mar 2010</w:t>
            </w:r>
          </w:p>
        </w:tc>
        <w:tc>
          <w:tcPr>
            <w:tcW w:w="236" w:type="dxa"/>
            <w:tcBorders>
              <w:top w:val="nil"/>
              <w:left w:val="nil"/>
              <w:bottom w:val="nil"/>
              <w:right w:val="nil"/>
            </w:tcBorders>
            <w:shd w:val="clear" w:color="000000" w:fill="FFFFFF"/>
          </w:tcPr>
          <w:p w:rsidR="00080315" w:rsidRDefault="00080315"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11,490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12,450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94</w:t>
            </w:r>
          </w:p>
        </w:tc>
      </w:tr>
      <w:tr w:rsidR="00080315" w:rsidRPr="00EF3971" w:rsidTr="00080315">
        <w:trPr>
          <w:trHeight w:val="255"/>
        </w:trPr>
        <w:tc>
          <w:tcPr>
            <w:tcW w:w="135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r>
              <w:rPr>
                <w:color w:val="000000"/>
                <w:szCs w:val="24"/>
                <w:lang w:eastAsia="en-GB"/>
              </w:rPr>
              <w:t>Mar 2011</w:t>
            </w:r>
          </w:p>
        </w:tc>
        <w:tc>
          <w:tcPr>
            <w:tcW w:w="236" w:type="dxa"/>
            <w:tcBorders>
              <w:top w:val="nil"/>
              <w:left w:val="nil"/>
              <w:bottom w:val="nil"/>
              <w:right w:val="nil"/>
            </w:tcBorders>
            <w:shd w:val="clear" w:color="000000" w:fill="FFFFFF"/>
          </w:tcPr>
          <w:p w:rsidR="00080315" w:rsidRDefault="00080315"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12,090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13,540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102</w:t>
            </w:r>
          </w:p>
        </w:tc>
      </w:tr>
      <w:tr w:rsidR="00080315" w:rsidRPr="00EF3971" w:rsidTr="00080315">
        <w:trPr>
          <w:trHeight w:val="255"/>
        </w:trPr>
        <w:tc>
          <w:tcPr>
            <w:tcW w:w="135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r>
              <w:rPr>
                <w:color w:val="000000"/>
                <w:szCs w:val="24"/>
                <w:lang w:eastAsia="en-GB"/>
              </w:rPr>
              <w:t>Mar 2012</w:t>
            </w:r>
          </w:p>
        </w:tc>
        <w:tc>
          <w:tcPr>
            <w:tcW w:w="236" w:type="dxa"/>
            <w:tcBorders>
              <w:top w:val="nil"/>
              <w:left w:val="nil"/>
              <w:bottom w:val="nil"/>
              <w:right w:val="nil"/>
            </w:tcBorders>
            <w:shd w:val="clear" w:color="000000" w:fill="FFFFFF"/>
          </w:tcPr>
          <w:p w:rsidR="00080315" w:rsidRDefault="00080315"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12,750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14,770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132</w:t>
            </w:r>
          </w:p>
        </w:tc>
      </w:tr>
      <w:tr w:rsidR="00080315" w:rsidRPr="00EF3971" w:rsidTr="00080315">
        <w:trPr>
          <w:trHeight w:val="255"/>
        </w:trPr>
        <w:tc>
          <w:tcPr>
            <w:tcW w:w="135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r>
              <w:rPr>
                <w:color w:val="000000"/>
                <w:szCs w:val="24"/>
                <w:lang w:eastAsia="en-GB"/>
              </w:rPr>
              <w:t>Mar 2013 </w:t>
            </w:r>
          </w:p>
        </w:tc>
        <w:tc>
          <w:tcPr>
            <w:tcW w:w="236" w:type="dxa"/>
            <w:tcBorders>
              <w:top w:val="nil"/>
              <w:left w:val="nil"/>
              <w:bottom w:val="nil"/>
              <w:right w:val="nil"/>
            </w:tcBorders>
            <w:shd w:val="clear" w:color="000000" w:fill="FFFFFF"/>
          </w:tcPr>
          <w:p w:rsidR="00080315" w:rsidRDefault="00080315" w:rsidP="00316BD6">
            <w:pPr>
              <w:spacing w:before="0" w:after="0" w:line="240" w:lineRule="auto"/>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Pr="00807482" w:rsidRDefault="00080315" w:rsidP="00316BD6">
            <w:pPr>
              <w:spacing w:before="0" w:after="0" w:line="240" w:lineRule="auto"/>
              <w:jc w:val="right"/>
              <w:rPr>
                <w:color w:val="000000"/>
                <w:szCs w:val="24"/>
                <w:lang w:eastAsia="en-GB"/>
              </w:rPr>
            </w:pPr>
            <w:r w:rsidRPr="00807482">
              <w:rPr>
                <w:color w:val="000000"/>
                <w:szCs w:val="24"/>
                <w:lang w:eastAsia="en-GB"/>
              </w:rPr>
              <w:t> 13,360</w:t>
            </w:r>
          </w:p>
        </w:tc>
        <w:tc>
          <w:tcPr>
            <w:tcW w:w="2211" w:type="dxa"/>
            <w:tcBorders>
              <w:top w:val="nil"/>
              <w:left w:val="nil"/>
              <w:bottom w:val="nil"/>
              <w:right w:val="nil"/>
            </w:tcBorders>
            <w:shd w:val="clear" w:color="000000" w:fill="FFFFFF"/>
            <w:noWrap/>
            <w:vAlign w:val="bottom"/>
            <w:hideMark/>
          </w:tcPr>
          <w:p w:rsidR="00080315" w:rsidRPr="00807482" w:rsidRDefault="00080315" w:rsidP="00316BD6">
            <w:pPr>
              <w:spacing w:before="0" w:after="0" w:line="240" w:lineRule="auto"/>
              <w:jc w:val="right"/>
              <w:rPr>
                <w:color w:val="000000"/>
                <w:szCs w:val="24"/>
                <w:lang w:eastAsia="en-GB"/>
              </w:rPr>
            </w:pPr>
            <w:r w:rsidRPr="00807482">
              <w:rPr>
                <w:color w:val="000000"/>
                <w:szCs w:val="24"/>
                <w:lang w:eastAsia="en-GB"/>
              </w:rPr>
              <w:t> 16,160</w:t>
            </w:r>
          </w:p>
        </w:tc>
        <w:tc>
          <w:tcPr>
            <w:tcW w:w="2211" w:type="dxa"/>
            <w:tcBorders>
              <w:top w:val="nil"/>
              <w:left w:val="nil"/>
              <w:bottom w:val="nil"/>
              <w:right w:val="nil"/>
            </w:tcBorders>
            <w:shd w:val="clear" w:color="000000" w:fill="FFFFFF"/>
            <w:noWrap/>
            <w:vAlign w:val="bottom"/>
            <w:hideMark/>
          </w:tcPr>
          <w:p w:rsidR="00080315" w:rsidRPr="00807482" w:rsidRDefault="00080315" w:rsidP="00316BD6">
            <w:pPr>
              <w:spacing w:before="0" w:after="0" w:line="240" w:lineRule="auto"/>
              <w:jc w:val="right"/>
              <w:rPr>
                <w:color w:val="000000"/>
                <w:szCs w:val="24"/>
                <w:lang w:eastAsia="en-GB"/>
              </w:rPr>
            </w:pPr>
            <w:r w:rsidRPr="00807482">
              <w:rPr>
                <w:color w:val="000000"/>
                <w:szCs w:val="24"/>
                <w:lang w:eastAsia="en-GB"/>
              </w:rPr>
              <w:t> 205</w:t>
            </w:r>
          </w:p>
        </w:tc>
      </w:tr>
      <w:tr w:rsidR="00080315" w:rsidRPr="00EF3971" w:rsidTr="00080315">
        <w:trPr>
          <w:trHeight w:val="255"/>
        </w:trPr>
        <w:tc>
          <w:tcPr>
            <w:tcW w:w="135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p>
        </w:tc>
        <w:tc>
          <w:tcPr>
            <w:tcW w:w="236" w:type="dxa"/>
            <w:tcBorders>
              <w:top w:val="nil"/>
              <w:left w:val="nil"/>
              <w:bottom w:val="nil"/>
              <w:right w:val="nil"/>
            </w:tcBorders>
            <w:shd w:val="clear" w:color="000000" w:fill="FFFFFF"/>
          </w:tcPr>
          <w:p w:rsidR="00080315" w:rsidRDefault="00080315" w:rsidP="00316BD6">
            <w:pPr>
              <w:spacing w:before="0" w:after="0" w:line="240" w:lineRule="auto"/>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p>
        </w:tc>
      </w:tr>
      <w:tr w:rsidR="00D2341D" w:rsidRPr="00EF3971" w:rsidTr="00080315">
        <w:trPr>
          <w:trHeight w:val="255"/>
        </w:trPr>
        <w:tc>
          <w:tcPr>
            <w:tcW w:w="1351" w:type="dxa"/>
            <w:tcBorders>
              <w:top w:val="nil"/>
              <w:left w:val="nil"/>
              <w:bottom w:val="nil"/>
              <w:right w:val="nil"/>
            </w:tcBorders>
            <w:shd w:val="clear" w:color="000000" w:fill="FFFFFF"/>
            <w:noWrap/>
            <w:vAlign w:val="bottom"/>
            <w:hideMark/>
          </w:tcPr>
          <w:p w:rsidR="00D2341D" w:rsidRDefault="00D2341D" w:rsidP="0095040F">
            <w:pPr>
              <w:spacing w:before="0" w:after="0" w:line="240" w:lineRule="auto"/>
              <w:rPr>
                <w:color w:val="000000"/>
                <w:szCs w:val="24"/>
                <w:lang w:eastAsia="en-GB"/>
              </w:rPr>
            </w:pPr>
            <w:r>
              <w:rPr>
                <w:color w:val="000000"/>
                <w:szCs w:val="24"/>
                <w:lang w:eastAsia="en-GB"/>
              </w:rPr>
              <w:t xml:space="preserve">Sep 2013     </w:t>
            </w:r>
          </w:p>
        </w:tc>
        <w:tc>
          <w:tcPr>
            <w:tcW w:w="236" w:type="dxa"/>
            <w:tcBorders>
              <w:top w:val="nil"/>
              <w:left w:val="nil"/>
              <w:bottom w:val="nil"/>
              <w:right w:val="nil"/>
            </w:tcBorders>
            <w:shd w:val="clear" w:color="000000" w:fill="FFFFFF"/>
          </w:tcPr>
          <w:p w:rsidR="00D2341D" w:rsidRDefault="00D2341D"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D2341D" w:rsidRDefault="00D2341D" w:rsidP="0095040F">
            <w:pPr>
              <w:spacing w:before="0" w:after="0" w:line="240" w:lineRule="auto"/>
              <w:jc w:val="right"/>
              <w:rPr>
                <w:color w:val="000000"/>
                <w:szCs w:val="24"/>
                <w:lang w:eastAsia="en-GB"/>
              </w:rPr>
            </w:pPr>
            <w:r>
              <w:rPr>
                <w:color w:val="000000"/>
                <w:szCs w:val="24"/>
                <w:lang w:eastAsia="en-GB"/>
              </w:rPr>
              <w:t>13,510</w:t>
            </w:r>
          </w:p>
        </w:tc>
        <w:tc>
          <w:tcPr>
            <w:tcW w:w="2211" w:type="dxa"/>
            <w:tcBorders>
              <w:top w:val="nil"/>
              <w:left w:val="nil"/>
              <w:bottom w:val="nil"/>
              <w:right w:val="nil"/>
            </w:tcBorders>
            <w:shd w:val="clear" w:color="000000" w:fill="FFFFFF"/>
            <w:noWrap/>
            <w:vAlign w:val="bottom"/>
            <w:hideMark/>
          </w:tcPr>
          <w:p w:rsidR="00D2341D" w:rsidRDefault="00D2341D" w:rsidP="0095040F">
            <w:pPr>
              <w:spacing w:before="0" w:after="0" w:line="240" w:lineRule="auto"/>
              <w:jc w:val="right"/>
              <w:rPr>
                <w:color w:val="000000"/>
                <w:szCs w:val="24"/>
                <w:lang w:eastAsia="en-GB"/>
              </w:rPr>
            </w:pPr>
            <w:r>
              <w:rPr>
                <w:color w:val="000000"/>
                <w:szCs w:val="24"/>
                <w:lang w:eastAsia="en-GB"/>
              </w:rPr>
              <w:t>16,280</w:t>
            </w:r>
          </w:p>
        </w:tc>
        <w:tc>
          <w:tcPr>
            <w:tcW w:w="2211" w:type="dxa"/>
            <w:tcBorders>
              <w:top w:val="nil"/>
              <w:left w:val="nil"/>
              <w:bottom w:val="nil"/>
              <w:right w:val="nil"/>
            </w:tcBorders>
            <w:shd w:val="clear" w:color="000000" w:fill="FFFFFF"/>
            <w:noWrap/>
            <w:vAlign w:val="bottom"/>
            <w:hideMark/>
          </w:tcPr>
          <w:p w:rsidR="00D2341D" w:rsidRDefault="00D2341D" w:rsidP="0095040F">
            <w:pPr>
              <w:spacing w:before="0" w:after="0" w:line="240" w:lineRule="auto"/>
              <w:jc w:val="right"/>
              <w:rPr>
                <w:color w:val="000000"/>
                <w:szCs w:val="24"/>
                <w:lang w:eastAsia="en-GB"/>
              </w:rPr>
            </w:pPr>
            <w:r>
              <w:rPr>
                <w:color w:val="000000"/>
                <w:szCs w:val="24"/>
                <w:lang w:eastAsia="en-GB"/>
              </w:rPr>
              <w:t>217</w:t>
            </w:r>
          </w:p>
        </w:tc>
      </w:tr>
      <w:tr w:rsidR="00D2341D" w:rsidRPr="00EF3971" w:rsidTr="00D2341D">
        <w:trPr>
          <w:trHeight w:val="255"/>
        </w:trPr>
        <w:tc>
          <w:tcPr>
            <w:tcW w:w="1351" w:type="dxa"/>
            <w:tcBorders>
              <w:top w:val="nil"/>
              <w:left w:val="nil"/>
              <w:bottom w:val="nil"/>
              <w:right w:val="nil"/>
            </w:tcBorders>
            <w:shd w:val="clear" w:color="000000" w:fill="FFFFFF"/>
            <w:noWrap/>
            <w:vAlign w:val="bottom"/>
            <w:hideMark/>
          </w:tcPr>
          <w:p w:rsidR="00D2341D" w:rsidRDefault="00D2341D" w:rsidP="0095040F">
            <w:pPr>
              <w:spacing w:before="0" w:after="0" w:line="240" w:lineRule="auto"/>
              <w:rPr>
                <w:color w:val="000000"/>
                <w:szCs w:val="24"/>
                <w:lang w:eastAsia="en-GB"/>
              </w:rPr>
            </w:pPr>
            <w:r>
              <w:rPr>
                <w:color w:val="000000"/>
                <w:szCs w:val="24"/>
                <w:lang w:eastAsia="en-GB"/>
              </w:rPr>
              <w:t xml:space="preserve">Dec 2013     </w:t>
            </w:r>
          </w:p>
        </w:tc>
        <w:tc>
          <w:tcPr>
            <w:tcW w:w="236" w:type="dxa"/>
            <w:tcBorders>
              <w:top w:val="nil"/>
              <w:left w:val="nil"/>
              <w:bottom w:val="nil"/>
              <w:right w:val="nil"/>
            </w:tcBorders>
            <w:shd w:val="clear" w:color="000000" w:fill="FFFFFF"/>
          </w:tcPr>
          <w:p w:rsidR="00D2341D" w:rsidRDefault="00D2341D"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tcPr>
          <w:p w:rsidR="00D2341D" w:rsidRDefault="00D2341D" w:rsidP="0095040F">
            <w:pPr>
              <w:spacing w:before="0" w:after="0" w:line="240" w:lineRule="auto"/>
              <w:jc w:val="right"/>
              <w:rPr>
                <w:color w:val="000000"/>
                <w:szCs w:val="24"/>
                <w:lang w:eastAsia="en-GB"/>
              </w:rPr>
            </w:pPr>
            <w:r>
              <w:rPr>
                <w:color w:val="000000"/>
                <w:szCs w:val="24"/>
                <w:lang w:eastAsia="en-GB"/>
              </w:rPr>
              <w:t>13,620</w:t>
            </w:r>
          </w:p>
        </w:tc>
        <w:tc>
          <w:tcPr>
            <w:tcW w:w="2211" w:type="dxa"/>
            <w:tcBorders>
              <w:top w:val="nil"/>
              <w:left w:val="nil"/>
              <w:bottom w:val="nil"/>
              <w:right w:val="nil"/>
            </w:tcBorders>
            <w:shd w:val="clear" w:color="000000" w:fill="FFFFFF"/>
            <w:noWrap/>
            <w:vAlign w:val="bottom"/>
          </w:tcPr>
          <w:p w:rsidR="00D2341D" w:rsidRDefault="00D2341D" w:rsidP="0095040F">
            <w:pPr>
              <w:spacing w:before="0" w:after="0" w:line="240" w:lineRule="auto"/>
              <w:jc w:val="right"/>
              <w:rPr>
                <w:color w:val="000000"/>
                <w:szCs w:val="24"/>
                <w:lang w:eastAsia="en-GB"/>
              </w:rPr>
            </w:pPr>
            <w:r>
              <w:rPr>
                <w:color w:val="000000"/>
                <w:szCs w:val="24"/>
                <w:lang w:eastAsia="en-GB"/>
              </w:rPr>
              <w:t>16,340</w:t>
            </w:r>
          </w:p>
        </w:tc>
        <w:tc>
          <w:tcPr>
            <w:tcW w:w="2211" w:type="dxa"/>
            <w:tcBorders>
              <w:top w:val="nil"/>
              <w:left w:val="nil"/>
              <w:bottom w:val="nil"/>
              <w:right w:val="nil"/>
            </w:tcBorders>
            <w:shd w:val="clear" w:color="000000" w:fill="FFFFFF"/>
            <w:noWrap/>
            <w:vAlign w:val="bottom"/>
          </w:tcPr>
          <w:p w:rsidR="00D2341D" w:rsidRDefault="00D2341D" w:rsidP="0095040F">
            <w:pPr>
              <w:spacing w:before="0" w:after="0" w:line="240" w:lineRule="auto"/>
              <w:jc w:val="right"/>
              <w:rPr>
                <w:color w:val="000000"/>
                <w:szCs w:val="24"/>
                <w:lang w:eastAsia="en-GB"/>
              </w:rPr>
            </w:pPr>
            <w:r>
              <w:rPr>
                <w:color w:val="000000"/>
                <w:szCs w:val="24"/>
                <w:lang w:eastAsia="en-GB"/>
              </w:rPr>
              <w:t>232</w:t>
            </w:r>
          </w:p>
        </w:tc>
      </w:tr>
      <w:tr w:rsidR="00D2341D" w:rsidRPr="00EF3971" w:rsidTr="00080315">
        <w:trPr>
          <w:trHeight w:val="255"/>
        </w:trPr>
        <w:tc>
          <w:tcPr>
            <w:tcW w:w="1351" w:type="dxa"/>
            <w:tcBorders>
              <w:top w:val="nil"/>
              <w:left w:val="nil"/>
              <w:bottom w:val="nil"/>
              <w:right w:val="nil"/>
            </w:tcBorders>
            <w:shd w:val="clear" w:color="000000" w:fill="FFFFFF"/>
            <w:noWrap/>
            <w:vAlign w:val="bottom"/>
          </w:tcPr>
          <w:p w:rsidR="00D2341D" w:rsidRDefault="00D2341D" w:rsidP="0095040F">
            <w:pPr>
              <w:spacing w:before="0" w:after="0" w:line="240" w:lineRule="auto"/>
              <w:rPr>
                <w:color w:val="000000"/>
                <w:szCs w:val="24"/>
                <w:lang w:eastAsia="en-GB"/>
              </w:rPr>
            </w:pPr>
            <w:r>
              <w:rPr>
                <w:color w:val="000000"/>
                <w:szCs w:val="24"/>
                <w:lang w:eastAsia="en-GB"/>
              </w:rPr>
              <w:t>Mar 2014</w:t>
            </w:r>
          </w:p>
        </w:tc>
        <w:tc>
          <w:tcPr>
            <w:tcW w:w="236" w:type="dxa"/>
            <w:tcBorders>
              <w:top w:val="nil"/>
              <w:left w:val="nil"/>
              <w:bottom w:val="nil"/>
              <w:right w:val="nil"/>
            </w:tcBorders>
            <w:shd w:val="clear" w:color="000000" w:fill="FFFFFF"/>
          </w:tcPr>
          <w:p w:rsidR="00D2341D" w:rsidRDefault="00D2341D"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tcPr>
          <w:p w:rsidR="00D2341D" w:rsidRDefault="00D2341D" w:rsidP="0095040F">
            <w:pPr>
              <w:spacing w:before="0" w:after="0" w:line="240" w:lineRule="auto"/>
              <w:jc w:val="right"/>
              <w:rPr>
                <w:color w:val="000000"/>
                <w:szCs w:val="24"/>
                <w:lang w:eastAsia="en-GB"/>
              </w:rPr>
            </w:pPr>
            <w:r>
              <w:rPr>
                <w:color w:val="000000"/>
                <w:szCs w:val="24"/>
                <w:lang w:eastAsia="en-GB"/>
              </w:rPr>
              <w:t>13,760</w:t>
            </w:r>
          </w:p>
        </w:tc>
        <w:tc>
          <w:tcPr>
            <w:tcW w:w="2211" w:type="dxa"/>
            <w:tcBorders>
              <w:top w:val="nil"/>
              <w:left w:val="nil"/>
              <w:bottom w:val="nil"/>
              <w:right w:val="nil"/>
            </w:tcBorders>
            <w:shd w:val="clear" w:color="000000" w:fill="FFFFFF"/>
            <w:noWrap/>
            <w:vAlign w:val="bottom"/>
          </w:tcPr>
          <w:p w:rsidR="00D2341D" w:rsidRDefault="00D2341D" w:rsidP="0095040F">
            <w:pPr>
              <w:spacing w:before="0" w:after="0" w:line="240" w:lineRule="auto"/>
              <w:jc w:val="right"/>
              <w:rPr>
                <w:color w:val="000000"/>
                <w:szCs w:val="24"/>
                <w:lang w:eastAsia="en-GB"/>
              </w:rPr>
            </w:pPr>
            <w:r>
              <w:rPr>
                <w:color w:val="000000"/>
                <w:szCs w:val="24"/>
                <w:lang w:eastAsia="en-GB"/>
              </w:rPr>
              <w:t>16,400</w:t>
            </w:r>
          </w:p>
        </w:tc>
        <w:tc>
          <w:tcPr>
            <w:tcW w:w="2211" w:type="dxa"/>
            <w:tcBorders>
              <w:top w:val="nil"/>
              <w:left w:val="nil"/>
              <w:bottom w:val="nil"/>
              <w:right w:val="nil"/>
            </w:tcBorders>
            <w:shd w:val="clear" w:color="000000" w:fill="FFFFFF"/>
            <w:noWrap/>
            <w:vAlign w:val="bottom"/>
          </w:tcPr>
          <w:p w:rsidR="00D2341D" w:rsidRDefault="00D2341D" w:rsidP="0095040F">
            <w:pPr>
              <w:spacing w:before="0" w:after="0" w:line="240" w:lineRule="auto"/>
              <w:jc w:val="right"/>
              <w:rPr>
                <w:color w:val="000000"/>
                <w:szCs w:val="24"/>
                <w:lang w:eastAsia="en-GB"/>
              </w:rPr>
            </w:pPr>
            <w:r>
              <w:rPr>
                <w:color w:val="000000"/>
                <w:szCs w:val="24"/>
                <w:lang w:eastAsia="en-GB"/>
              </w:rPr>
              <w:t>257</w:t>
            </w:r>
          </w:p>
        </w:tc>
      </w:tr>
      <w:tr w:rsidR="00D2341D" w:rsidRPr="00EF3971" w:rsidTr="00080315">
        <w:trPr>
          <w:trHeight w:val="255"/>
        </w:trPr>
        <w:tc>
          <w:tcPr>
            <w:tcW w:w="1351" w:type="dxa"/>
            <w:tcBorders>
              <w:top w:val="nil"/>
              <w:left w:val="nil"/>
              <w:bottom w:val="nil"/>
              <w:right w:val="nil"/>
            </w:tcBorders>
            <w:shd w:val="clear" w:color="000000" w:fill="FFFFFF"/>
            <w:noWrap/>
            <w:vAlign w:val="bottom"/>
          </w:tcPr>
          <w:p w:rsidR="00D2341D" w:rsidRDefault="00D2341D" w:rsidP="0095040F">
            <w:pPr>
              <w:spacing w:before="0" w:after="0" w:line="240" w:lineRule="auto"/>
              <w:rPr>
                <w:color w:val="000000"/>
                <w:szCs w:val="24"/>
                <w:lang w:eastAsia="en-GB"/>
              </w:rPr>
            </w:pPr>
            <w:r>
              <w:rPr>
                <w:color w:val="000000"/>
                <w:szCs w:val="24"/>
                <w:lang w:eastAsia="en-GB"/>
              </w:rPr>
              <w:t>Jun 2014</w:t>
            </w:r>
          </w:p>
        </w:tc>
        <w:tc>
          <w:tcPr>
            <w:tcW w:w="236" w:type="dxa"/>
            <w:tcBorders>
              <w:top w:val="nil"/>
              <w:left w:val="nil"/>
              <w:bottom w:val="nil"/>
              <w:right w:val="nil"/>
            </w:tcBorders>
            <w:shd w:val="clear" w:color="000000" w:fill="FFFFFF"/>
          </w:tcPr>
          <w:p w:rsidR="00D2341D" w:rsidRDefault="00D2341D"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tcPr>
          <w:p w:rsidR="00D2341D" w:rsidRDefault="00D2341D" w:rsidP="0095040F">
            <w:pPr>
              <w:spacing w:before="0" w:after="0" w:line="240" w:lineRule="auto"/>
              <w:jc w:val="right"/>
              <w:rPr>
                <w:color w:val="000000"/>
                <w:szCs w:val="24"/>
                <w:lang w:eastAsia="en-GB"/>
              </w:rPr>
            </w:pPr>
            <w:r>
              <w:rPr>
                <w:color w:val="000000"/>
                <w:szCs w:val="24"/>
                <w:lang w:eastAsia="en-GB"/>
              </w:rPr>
              <w:t>13,840</w:t>
            </w:r>
          </w:p>
        </w:tc>
        <w:tc>
          <w:tcPr>
            <w:tcW w:w="2211" w:type="dxa"/>
            <w:tcBorders>
              <w:top w:val="nil"/>
              <w:left w:val="nil"/>
              <w:bottom w:val="nil"/>
              <w:right w:val="nil"/>
            </w:tcBorders>
            <w:shd w:val="clear" w:color="000000" w:fill="FFFFFF"/>
            <w:noWrap/>
            <w:vAlign w:val="bottom"/>
          </w:tcPr>
          <w:p w:rsidR="00D2341D" w:rsidRDefault="00D2341D" w:rsidP="0095040F">
            <w:pPr>
              <w:spacing w:before="0" w:after="0" w:line="240" w:lineRule="auto"/>
              <w:jc w:val="right"/>
              <w:rPr>
                <w:color w:val="000000"/>
                <w:szCs w:val="24"/>
                <w:lang w:eastAsia="en-GB"/>
              </w:rPr>
            </w:pPr>
            <w:r>
              <w:rPr>
                <w:color w:val="000000"/>
                <w:szCs w:val="24"/>
                <w:lang w:eastAsia="en-GB"/>
              </w:rPr>
              <w:t>16,450</w:t>
            </w:r>
          </w:p>
        </w:tc>
        <w:tc>
          <w:tcPr>
            <w:tcW w:w="2211" w:type="dxa"/>
            <w:tcBorders>
              <w:top w:val="nil"/>
              <w:left w:val="nil"/>
              <w:bottom w:val="nil"/>
              <w:right w:val="nil"/>
            </w:tcBorders>
            <w:shd w:val="clear" w:color="000000" w:fill="FFFFFF"/>
            <w:noWrap/>
            <w:vAlign w:val="bottom"/>
          </w:tcPr>
          <w:p w:rsidR="00D2341D" w:rsidRDefault="00D2341D" w:rsidP="0095040F">
            <w:pPr>
              <w:spacing w:before="0" w:after="0" w:line="240" w:lineRule="auto"/>
              <w:jc w:val="right"/>
              <w:rPr>
                <w:color w:val="000000"/>
                <w:szCs w:val="24"/>
                <w:lang w:eastAsia="en-GB"/>
              </w:rPr>
            </w:pPr>
            <w:r>
              <w:rPr>
                <w:color w:val="000000"/>
                <w:szCs w:val="24"/>
                <w:lang w:eastAsia="en-GB"/>
              </w:rPr>
              <w:t>265</w:t>
            </w:r>
          </w:p>
        </w:tc>
      </w:tr>
      <w:tr w:rsidR="00D2341D" w:rsidRPr="00EF3971" w:rsidTr="00080315">
        <w:trPr>
          <w:trHeight w:val="255"/>
        </w:trPr>
        <w:tc>
          <w:tcPr>
            <w:tcW w:w="1351" w:type="dxa"/>
            <w:tcBorders>
              <w:top w:val="nil"/>
              <w:left w:val="nil"/>
              <w:bottom w:val="single" w:sz="4" w:space="0" w:color="auto"/>
              <w:right w:val="nil"/>
            </w:tcBorders>
            <w:shd w:val="clear" w:color="000000" w:fill="FFFFFF"/>
            <w:noWrap/>
            <w:vAlign w:val="bottom"/>
          </w:tcPr>
          <w:p w:rsidR="00D2341D" w:rsidRDefault="00D2341D" w:rsidP="00316BD6">
            <w:pPr>
              <w:spacing w:before="0" w:after="0" w:line="240" w:lineRule="auto"/>
              <w:rPr>
                <w:color w:val="000000"/>
                <w:szCs w:val="24"/>
                <w:lang w:eastAsia="en-GB"/>
              </w:rPr>
            </w:pPr>
            <w:r>
              <w:rPr>
                <w:color w:val="000000"/>
                <w:szCs w:val="24"/>
                <w:lang w:eastAsia="en-GB"/>
              </w:rPr>
              <w:t>Sep 2014</w:t>
            </w:r>
          </w:p>
        </w:tc>
        <w:tc>
          <w:tcPr>
            <w:tcW w:w="236" w:type="dxa"/>
            <w:tcBorders>
              <w:top w:val="nil"/>
              <w:left w:val="nil"/>
              <w:bottom w:val="single" w:sz="4" w:space="0" w:color="auto"/>
              <w:right w:val="nil"/>
            </w:tcBorders>
            <w:shd w:val="clear" w:color="000000" w:fill="FFFFFF"/>
          </w:tcPr>
          <w:p w:rsidR="00D2341D" w:rsidRDefault="00D2341D" w:rsidP="00316BD6">
            <w:pPr>
              <w:spacing w:before="0" w:after="0" w:line="240" w:lineRule="auto"/>
              <w:jc w:val="right"/>
              <w:rPr>
                <w:color w:val="000000"/>
                <w:szCs w:val="24"/>
                <w:lang w:eastAsia="en-GB"/>
              </w:rPr>
            </w:pPr>
            <w:r>
              <w:rPr>
                <w:color w:val="000000"/>
                <w:szCs w:val="24"/>
                <w:lang w:eastAsia="en-GB"/>
              </w:rPr>
              <w:t>p</w:t>
            </w:r>
          </w:p>
        </w:tc>
        <w:tc>
          <w:tcPr>
            <w:tcW w:w="2211" w:type="dxa"/>
            <w:tcBorders>
              <w:top w:val="nil"/>
              <w:left w:val="nil"/>
              <w:bottom w:val="single" w:sz="4" w:space="0" w:color="auto"/>
              <w:right w:val="nil"/>
            </w:tcBorders>
            <w:shd w:val="clear" w:color="000000" w:fill="FFFFFF"/>
            <w:noWrap/>
            <w:vAlign w:val="bottom"/>
          </w:tcPr>
          <w:p w:rsidR="00D2341D" w:rsidRDefault="00D2341D" w:rsidP="00316BD6">
            <w:pPr>
              <w:spacing w:before="0" w:after="0" w:line="240" w:lineRule="auto"/>
              <w:jc w:val="right"/>
              <w:rPr>
                <w:color w:val="000000"/>
                <w:szCs w:val="24"/>
                <w:lang w:eastAsia="en-GB"/>
              </w:rPr>
            </w:pPr>
            <w:r>
              <w:rPr>
                <w:color w:val="000000"/>
                <w:szCs w:val="24"/>
                <w:lang w:eastAsia="en-GB"/>
              </w:rPr>
              <w:t>13,890</w:t>
            </w:r>
          </w:p>
        </w:tc>
        <w:tc>
          <w:tcPr>
            <w:tcW w:w="2211" w:type="dxa"/>
            <w:tcBorders>
              <w:top w:val="nil"/>
              <w:left w:val="nil"/>
              <w:bottom w:val="single" w:sz="4" w:space="0" w:color="auto"/>
              <w:right w:val="nil"/>
            </w:tcBorders>
            <w:shd w:val="clear" w:color="000000" w:fill="FFFFFF"/>
            <w:noWrap/>
            <w:vAlign w:val="bottom"/>
          </w:tcPr>
          <w:p w:rsidR="00D2341D" w:rsidRDefault="00D2341D" w:rsidP="00316BD6">
            <w:pPr>
              <w:spacing w:before="0" w:after="0" w:line="240" w:lineRule="auto"/>
              <w:jc w:val="right"/>
              <w:rPr>
                <w:color w:val="000000"/>
                <w:szCs w:val="24"/>
                <w:lang w:eastAsia="en-GB"/>
              </w:rPr>
            </w:pPr>
            <w:r>
              <w:rPr>
                <w:color w:val="000000"/>
                <w:szCs w:val="24"/>
                <w:lang w:eastAsia="en-GB"/>
              </w:rPr>
              <w:t>16,490</w:t>
            </w:r>
          </w:p>
        </w:tc>
        <w:tc>
          <w:tcPr>
            <w:tcW w:w="2211" w:type="dxa"/>
            <w:tcBorders>
              <w:top w:val="nil"/>
              <w:left w:val="nil"/>
              <w:bottom w:val="single" w:sz="4" w:space="0" w:color="auto"/>
              <w:right w:val="nil"/>
            </w:tcBorders>
            <w:shd w:val="clear" w:color="000000" w:fill="FFFFFF"/>
            <w:noWrap/>
            <w:vAlign w:val="bottom"/>
          </w:tcPr>
          <w:p w:rsidR="00D2341D" w:rsidRDefault="00D2341D" w:rsidP="00316BD6">
            <w:pPr>
              <w:spacing w:before="0" w:after="0" w:line="240" w:lineRule="auto"/>
              <w:jc w:val="right"/>
              <w:rPr>
                <w:color w:val="000000"/>
                <w:szCs w:val="24"/>
                <w:lang w:eastAsia="en-GB"/>
              </w:rPr>
            </w:pPr>
            <w:r>
              <w:rPr>
                <w:color w:val="000000"/>
                <w:szCs w:val="24"/>
                <w:lang w:eastAsia="en-GB"/>
              </w:rPr>
              <w:t>273</w:t>
            </w:r>
          </w:p>
        </w:tc>
      </w:tr>
    </w:tbl>
    <w:p w:rsidR="00745AAD" w:rsidRDefault="00745AAD" w:rsidP="00745AAD">
      <w:pPr>
        <w:spacing w:after="0"/>
        <w:rPr>
          <w:szCs w:val="24"/>
        </w:rPr>
      </w:pPr>
      <w:proofErr w:type="gramStart"/>
      <w:r w:rsidRPr="00EF3971">
        <w:rPr>
          <w:szCs w:val="24"/>
        </w:rPr>
        <w:t>p</w:t>
      </w:r>
      <w:proofErr w:type="gramEnd"/>
      <w:r w:rsidRPr="00EF3971">
        <w:rPr>
          <w:szCs w:val="24"/>
        </w:rPr>
        <w:t xml:space="preserve">, provisional figure. </w:t>
      </w:r>
    </w:p>
    <w:p w:rsidR="00745AAD" w:rsidRPr="00EF3971" w:rsidRDefault="00745AAD" w:rsidP="00745AAD">
      <w:pPr>
        <w:tabs>
          <w:tab w:val="right" w:pos="9026"/>
        </w:tabs>
        <w:spacing w:before="0" w:after="0" w:line="240" w:lineRule="auto"/>
        <w:rPr>
          <w:rFonts w:eastAsia="Calibri"/>
          <w:sz w:val="20"/>
        </w:rPr>
      </w:pPr>
      <w:r w:rsidRPr="00EF3971">
        <w:rPr>
          <w:rFonts w:eastAsia="Calibri"/>
          <w:sz w:val="20"/>
        </w:rPr>
        <w:tab/>
      </w:r>
    </w:p>
    <w:p w:rsidR="00591351" w:rsidRDefault="00080315" w:rsidP="00591351">
      <w:pPr>
        <w:spacing w:before="0" w:after="0"/>
        <w:jc w:val="both"/>
      </w:pPr>
      <w:r w:rsidRPr="009276AB">
        <w:t>Taking into account retro-fit insulation delivered through Government schemes and new properties</w:t>
      </w:r>
      <w:r w:rsidRPr="009276AB">
        <w:rPr>
          <w:vertAlign w:val="superscript"/>
        </w:rPr>
        <w:footnoteReference w:id="30"/>
      </w:r>
      <w:r w:rsidRPr="009276AB">
        <w:t xml:space="preserve"> built with insulation during the last year, in </w:t>
      </w:r>
      <w:r w:rsidR="00E44CC5" w:rsidRPr="009276AB">
        <w:t>September</w:t>
      </w:r>
      <w:r w:rsidRPr="009276AB">
        <w:t xml:space="preserve"> 2014 there were 2</w:t>
      </w:r>
      <w:r w:rsidR="009276AB" w:rsidRPr="009276AB">
        <w:t>2</w:t>
      </w:r>
      <w:r w:rsidRPr="009276AB">
        <w:t xml:space="preserve">0,000 more homes with at least 125mm of loft insulation, </w:t>
      </w:r>
      <w:r w:rsidR="009276AB" w:rsidRPr="009276AB">
        <w:t>38</w:t>
      </w:r>
      <w:r w:rsidRPr="009276AB">
        <w:t xml:space="preserve">0,000 more homes with cavity wall insulation and 56,000 more homes with solid wall insulation compared with </w:t>
      </w:r>
      <w:r w:rsidR="00E44CC5" w:rsidRPr="009276AB">
        <w:t>September</w:t>
      </w:r>
      <w:r w:rsidRPr="00E44CC5">
        <w:t xml:space="preserve"> 2013.</w:t>
      </w:r>
    </w:p>
    <w:p w:rsidR="00745AAD" w:rsidRDefault="00316BD6" w:rsidP="00745AAD">
      <w:pPr>
        <w:spacing w:before="0" w:after="0"/>
        <w:jc w:val="both"/>
        <w:rPr>
          <w:szCs w:val="24"/>
        </w:rPr>
      </w:pPr>
      <w:r>
        <w:rPr>
          <w:szCs w:val="24"/>
        </w:rPr>
        <w:t xml:space="preserve">The number of retro-fit wall and loft insulations in the first half of 2013 was low compared to delivery in previous quarters. This reflects a transition phase between the end of the CERT </w:t>
      </w:r>
      <w:r>
        <w:rPr>
          <w:szCs w:val="24"/>
        </w:rPr>
        <w:lastRenderedPageBreak/>
        <w:t>and CESP schemes in December 2012 and the commencement of ECO. Following the end of the CERT and CESP schemes, energy suppliers and generators who had not achieved their targets by 31st December 2012 were able to deliver energy efficiency measures as “mitigation action”. In addition, insulation measures delivered</w:t>
      </w:r>
      <w:r w:rsidR="00E026E7">
        <w:rPr>
          <w:szCs w:val="24"/>
        </w:rPr>
        <w:t xml:space="preserve"> </w:t>
      </w:r>
      <w:r>
        <w:rPr>
          <w:szCs w:val="24"/>
        </w:rPr>
        <w:t xml:space="preserve">in Scotland </w:t>
      </w:r>
      <w:r w:rsidR="00E026E7">
        <w:rPr>
          <w:szCs w:val="24"/>
        </w:rPr>
        <w:t xml:space="preserve">exclusively </w:t>
      </w:r>
      <w:r>
        <w:rPr>
          <w:szCs w:val="24"/>
        </w:rPr>
        <w:t>under the Green Homes Cashback scheme are also excluded from the figures. Both will be included when data become available.</w:t>
      </w:r>
    </w:p>
    <w:p w:rsidR="00D162DE" w:rsidRDefault="00D162DE" w:rsidP="00EE105C">
      <w:pPr>
        <w:spacing w:before="0" w:after="0"/>
        <w:jc w:val="both"/>
        <w:rPr>
          <w:b/>
        </w:rPr>
      </w:pPr>
    </w:p>
    <w:p w:rsidR="00291E07" w:rsidRDefault="00911320" w:rsidP="00D92A01">
      <w:pPr>
        <w:spacing w:before="0" w:after="0"/>
        <w:jc w:val="both"/>
        <w:rPr>
          <w:b/>
        </w:rPr>
      </w:pPr>
      <w:bookmarkStart w:id="69" w:name="_Toc374374413"/>
      <w:bookmarkStart w:id="70" w:name="_Toc405914261"/>
      <w:proofErr w:type="gramStart"/>
      <w:r w:rsidRPr="009276AB">
        <w:rPr>
          <w:b/>
          <w:szCs w:val="24"/>
        </w:rPr>
        <w:t>Chart 2.</w:t>
      </w:r>
      <w:proofErr w:type="gramEnd"/>
      <w:r w:rsidRPr="009276AB">
        <w:rPr>
          <w:b/>
        </w:rPr>
        <w:fldChar w:fldCharType="begin"/>
      </w:r>
      <w:r w:rsidRPr="009276AB">
        <w:rPr>
          <w:b/>
        </w:rPr>
        <w:instrText xml:space="preserve"> SEQ Figure \* ARABIC </w:instrText>
      </w:r>
      <w:r w:rsidRPr="009276AB">
        <w:rPr>
          <w:b/>
        </w:rPr>
        <w:fldChar w:fldCharType="separate"/>
      </w:r>
      <w:r w:rsidR="006B5574">
        <w:rPr>
          <w:b/>
          <w:noProof/>
        </w:rPr>
        <w:t>2</w:t>
      </w:r>
      <w:r w:rsidRPr="009276AB">
        <w:rPr>
          <w:b/>
        </w:rPr>
        <w:fldChar w:fldCharType="end"/>
      </w:r>
      <w:r w:rsidR="00291E07" w:rsidRPr="009276AB">
        <w:rPr>
          <w:b/>
        </w:rPr>
        <w:t xml:space="preserve">: Homes in Great Britain with cavity wall insulation and loft insulation: March 2008 to </w:t>
      </w:r>
      <w:r w:rsidR="00E44CC5" w:rsidRPr="009276AB">
        <w:rPr>
          <w:b/>
        </w:rPr>
        <w:t>September</w:t>
      </w:r>
      <w:r w:rsidR="002F723B" w:rsidRPr="009276AB">
        <w:rPr>
          <w:b/>
        </w:rPr>
        <w:t xml:space="preserve"> 2014</w:t>
      </w:r>
      <w:r w:rsidR="00291E07" w:rsidRPr="009276AB">
        <w:rPr>
          <w:b/>
        </w:rPr>
        <w:t xml:space="preserve"> (Thousands)</w:t>
      </w:r>
      <w:bookmarkEnd w:id="69"/>
      <w:bookmarkEnd w:id="70"/>
    </w:p>
    <w:p w:rsidR="00291E07" w:rsidRDefault="007D479A" w:rsidP="00D92A01">
      <w:pPr>
        <w:jc w:val="both"/>
        <w:rPr>
          <w:b/>
        </w:rPr>
      </w:pPr>
      <w:r>
        <w:rPr>
          <w:b/>
          <w:noProof/>
          <w:lang w:eastAsia="en-GB"/>
        </w:rPr>
        <mc:AlternateContent>
          <mc:Choice Requires="wps">
            <w:drawing>
              <wp:anchor distT="0" distB="0" distL="114300" distR="114300" simplePos="0" relativeHeight="251673600" behindDoc="0" locked="0" layoutInCell="1" allowOverlap="1" wp14:anchorId="6DC57C0A" wp14:editId="4C347F8C">
                <wp:simplePos x="0" y="0"/>
                <wp:positionH relativeFrom="column">
                  <wp:posOffset>4092575</wp:posOffset>
                </wp:positionH>
                <wp:positionV relativeFrom="paragraph">
                  <wp:posOffset>80010</wp:posOffset>
                </wp:positionV>
                <wp:extent cx="2446020" cy="2872740"/>
                <wp:effectExtent l="0" t="0" r="0" b="3810"/>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87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310" w:rsidRPr="0049412F" w:rsidRDefault="00C34310" w:rsidP="00D92A01">
                            <w:pPr>
                              <w:numPr>
                                <w:ilvl w:val="0"/>
                                <w:numId w:val="32"/>
                              </w:numPr>
                              <w:spacing w:before="0" w:after="200" w:line="276" w:lineRule="auto"/>
                              <w:jc w:val="both"/>
                            </w:pPr>
                            <w:r w:rsidRPr="0049412F">
                              <w:t xml:space="preserve">The number of properties with cavity wall insulation increased by </w:t>
                            </w:r>
                            <w:r>
                              <w:t>three</w:t>
                            </w:r>
                            <w:r w:rsidRPr="0049412F">
                              <w:t xml:space="preserve"> per cent (380,000) between the end of September 2013 and September 2014.</w:t>
                            </w:r>
                          </w:p>
                          <w:p w:rsidR="00C34310" w:rsidRPr="0049412F" w:rsidRDefault="00C34310" w:rsidP="00D92A01">
                            <w:pPr>
                              <w:numPr>
                                <w:ilvl w:val="0"/>
                                <w:numId w:val="32"/>
                              </w:numPr>
                              <w:spacing w:before="0" w:after="200" w:line="276" w:lineRule="auto"/>
                              <w:jc w:val="both"/>
                            </w:pPr>
                            <w:r w:rsidRPr="0049412F">
                              <w:t xml:space="preserve">The number of properties with loft insulation with a depth of at least 125mm increased by </w:t>
                            </w:r>
                            <w:r>
                              <w:t>one</w:t>
                            </w:r>
                            <w:r w:rsidRPr="0049412F">
                              <w:t xml:space="preserve"> per cent (220,000) between the end of September 2013 and September 2014.</w:t>
                            </w:r>
                          </w:p>
                          <w:p w:rsidR="00C34310" w:rsidRPr="00383A17" w:rsidRDefault="00C34310" w:rsidP="00D92A01">
                            <w:pPr>
                              <w:numPr>
                                <w:ilvl w:val="0"/>
                                <w:numId w:val="32"/>
                              </w:numPr>
                              <w:spacing w:before="0" w:after="200" w:line="276" w:lineRule="auto"/>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322.25pt;margin-top:6.3pt;width:192.6pt;height:22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" stroked="f">
                <v:textbox>
                  <w:txbxContent>
                    <w:p w:rsidR="00C34310" w:rsidRPr="0049412F" w:rsidRDefault="00C34310" w:rsidP="00D92A01">
                      <w:pPr>
                        <w:numPr>
                          <w:ilvl w:val="0"/>
                          <w:numId w:val="32"/>
                        </w:numPr>
                        <w:spacing w:before="0" w:after="200" w:line="276" w:lineRule="auto"/>
                        <w:jc w:val="both"/>
                      </w:pPr>
                      <w:r w:rsidRPr="0049412F">
                        <w:t xml:space="preserve">The number of properties with cavity wall insulation increased by </w:t>
                      </w:r>
                      <w:r>
                        <w:t>three</w:t>
                      </w:r>
                      <w:r w:rsidRPr="0049412F">
                        <w:t xml:space="preserve"> per cent (380,000) between the end of September 2013 and September 2014.</w:t>
                      </w:r>
                    </w:p>
                    <w:p w:rsidR="00C34310" w:rsidRPr="0049412F" w:rsidRDefault="00C34310" w:rsidP="00D92A01">
                      <w:pPr>
                        <w:numPr>
                          <w:ilvl w:val="0"/>
                          <w:numId w:val="32"/>
                        </w:numPr>
                        <w:spacing w:before="0" w:after="200" w:line="276" w:lineRule="auto"/>
                        <w:jc w:val="both"/>
                      </w:pPr>
                      <w:r w:rsidRPr="0049412F">
                        <w:t xml:space="preserve">The number of properties with loft insulation with a depth of at least 125mm increased by </w:t>
                      </w:r>
                      <w:r>
                        <w:t>one</w:t>
                      </w:r>
                      <w:r w:rsidRPr="0049412F">
                        <w:t xml:space="preserve"> per cent (220,000) between the end of September 2013 and September 2014.</w:t>
                      </w:r>
                    </w:p>
                    <w:p w:rsidR="00C34310" w:rsidRPr="00383A17" w:rsidRDefault="00C34310" w:rsidP="00D92A01">
                      <w:pPr>
                        <w:numPr>
                          <w:ilvl w:val="0"/>
                          <w:numId w:val="32"/>
                        </w:numPr>
                        <w:spacing w:before="0" w:after="200" w:line="276" w:lineRule="auto"/>
                        <w:jc w:val="both"/>
                      </w:pPr>
                    </w:p>
                  </w:txbxContent>
                </v:textbox>
              </v:shape>
            </w:pict>
          </mc:Fallback>
        </mc:AlternateContent>
      </w:r>
      <w:r w:rsidR="00202EFC">
        <w:rPr>
          <w:b/>
          <w:noProof/>
          <w:lang w:eastAsia="en-GB"/>
        </w:rPr>
        <w:drawing>
          <wp:anchor distT="0" distB="0" distL="114300" distR="114300" simplePos="0" relativeHeight="251717632" behindDoc="0" locked="0" layoutInCell="1" allowOverlap="1" wp14:anchorId="150DF7B4" wp14:editId="53E45FB3">
            <wp:simplePos x="0" y="0"/>
            <wp:positionH relativeFrom="column">
              <wp:posOffset>635</wp:posOffset>
            </wp:positionH>
            <wp:positionV relativeFrom="paragraph">
              <wp:posOffset>-3810</wp:posOffset>
            </wp:positionV>
            <wp:extent cx="4068445" cy="310134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68445" cy="3101340"/>
                    </a:xfrm>
                    <a:prstGeom prst="rect">
                      <a:avLst/>
                    </a:prstGeom>
                    <a:noFill/>
                  </pic:spPr>
                </pic:pic>
              </a:graphicData>
            </a:graphic>
            <wp14:sizeRelH relativeFrom="margin">
              <wp14:pctWidth>0</wp14:pctWidth>
            </wp14:sizeRelH>
            <wp14:sizeRelV relativeFrom="margin">
              <wp14:pctHeight>0</wp14:pctHeight>
            </wp14:sizeRelV>
          </wp:anchor>
        </w:drawing>
      </w:r>
    </w:p>
    <w:p w:rsidR="00291E07" w:rsidRDefault="00291E07" w:rsidP="00D92A01">
      <w:pPr>
        <w:jc w:val="both"/>
        <w:rPr>
          <w:b/>
        </w:rPr>
      </w:pPr>
    </w:p>
    <w:p w:rsidR="00291E07" w:rsidRDefault="00291E07" w:rsidP="00D92A01">
      <w:pPr>
        <w:jc w:val="both"/>
        <w:rPr>
          <w:b/>
        </w:rPr>
      </w:pPr>
    </w:p>
    <w:p w:rsidR="00291E07" w:rsidRDefault="00291E07" w:rsidP="00D92A01">
      <w:pPr>
        <w:jc w:val="both"/>
        <w:rPr>
          <w:b/>
        </w:rPr>
      </w:pPr>
    </w:p>
    <w:p w:rsidR="00291E07" w:rsidRDefault="00291E07" w:rsidP="00D92A01">
      <w:pPr>
        <w:jc w:val="both"/>
        <w:rPr>
          <w:b/>
        </w:rPr>
      </w:pPr>
    </w:p>
    <w:p w:rsidR="00291E07" w:rsidRDefault="00291E07" w:rsidP="00D92A01">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9D5A40" w:rsidRDefault="009D5A40" w:rsidP="00EE105C">
      <w:pPr>
        <w:spacing w:before="0" w:after="0"/>
        <w:jc w:val="both"/>
        <w:rPr>
          <w:b/>
          <w:szCs w:val="24"/>
        </w:rPr>
      </w:pPr>
    </w:p>
    <w:p w:rsidR="0049412F" w:rsidRDefault="0049412F" w:rsidP="00EE105C">
      <w:pPr>
        <w:spacing w:before="0" w:after="0"/>
        <w:jc w:val="both"/>
        <w:rPr>
          <w:b/>
          <w:szCs w:val="24"/>
        </w:rPr>
      </w:pPr>
    </w:p>
    <w:p w:rsidR="00291E07" w:rsidRDefault="00911320" w:rsidP="00EE105C">
      <w:pPr>
        <w:spacing w:before="0" w:after="0"/>
        <w:jc w:val="both"/>
        <w:rPr>
          <w:b/>
          <w:sz w:val="22"/>
        </w:rPr>
      </w:pPr>
      <w:bookmarkStart w:id="71" w:name="_Toc405914262"/>
      <w:proofErr w:type="gramStart"/>
      <w:r w:rsidRPr="0049412F">
        <w:rPr>
          <w:b/>
          <w:szCs w:val="24"/>
        </w:rPr>
        <w:t>Chart 2.</w:t>
      </w:r>
      <w:proofErr w:type="gramEnd"/>
      <w:r w:rsidRPr="0049412F">
        <w:rPr>
          <w:b/>
        </w:rPr>
        <w:fldChar w:fldCharType="begin"/>
      </w:r>
      <w:r w:rsidRPr="0049412F">
        <w:rPr>
          <w:b/>
        </w:rPr>
        <w:instrText xml:space="preserve"> SEQ Figure \* ARABIC </w:instrText>
      </w:r>
      <w:r w:rsidRPr="0049412F">
        <w:rPr>
          <w:b/>
        </w:rPr>
        <w:fldChar w:fldCharType="separate"/>
      </w:r>
      <w:r w:rsidR="006B5574">
        <w:rPr>
          <w:b/>
          <w:noProof/>
        </w:rPr>
        <w:t>3</w:t>
      </w:r>
      <w:r w:rsidRPr="0049412F">
        <w:rPr>
          <w:b/>
        </w:rPr>
        <w:fldChar w:fldCharType="end"/>
      </w:r>
      <w:r w:rsidRPr="0049412F">
        <w:rPr>
          <w:b/>
        </w:rPr>
        <w:t xml:space="preserve">: </w:t>
      </w:r>
      <w:r w:rsidR="00291E07" w:rsidRPr="0049412F">
        <w:rPr>
          <w:b/>
        </w:rPr>
        <w:t>Homes in Great Britain with solid wall insulation</w:t>
      </w:r>
      <w:r w:rsidR="00291E07" w:rsidRPr="0049412F">
        <w:rPr>
          <w:rStyle w:val="FootnoteReference"/>
          <w:b/>
        </w:rPr>
        <w:footnoteReference w:id="31"/>
      </w:r>
      <w:r w:rsidR="00291E07" w:rsidRPr="0049412F">
        <w:rPr>
          <w:b/>
        </w:rPr>
        <w:t xml:space="preserve">: March 2008 to </w:t>
      </w:r>
      <w:r w:rsidR="00AF0271" w:rsidRPr="0049412F">
        <w:rPr>
          <w:b/>
        </w:rPr>
        <w:t>September</w:t>
      </w:r>
      <w:r w:rsidR="002F723B" w:rsidRPr="0049412F">
        <w:rPr>
          <w:b/>
        </w:rPr>
        <w:t xml:space="preserve"> 2014</w:t>
      </w:r>
      <w:r w:rsidR="00291E07" w:rsidRPr="0049412F">
        <w:rPr>
          <w:b/>
          <w:sz w:val="22"/>
        </w:rPr>
        <w:t xml:space="preserve"> (Thousands)</w:t>
      </w:r>
      <w:bookmarkEnd w:id="71"/>
    </w:p>
    <w:p w:rsidR="00745AAD" w:rsidRDefault="007A2613" w:rsidP="00EE105C">
      <w:pPr>
        <w:spacing w:before="0" w:after="0"/>
        <w:jc w:val="both"/>
        <w:rPr>
          <w:b/>
        </w:rPr>
      </w:pPr>
      <w:r>
        <w:rPr>
          <w:b/>
          <w:noProof/>
          <w:lang w:eastAsia="en-GB"/>
        </w:rPr>
        <w:drawing>
          <wp:anchor distT="0" distB="0" distL="114300" distR="114300" simplePos="0" relativeHeight="251718656" behindDoc="0" locked="0" layoutInCell="1" allowOverlap="1" wp14:anchorId="7B382F6A" wp14:editId="357FEA19">
            <wp:simplePos x="0" y="0"/>
            <wp:positionH relativeFrom="column">
              <wp:posOffset>635</wp:posOffset>
            </wp:positionH>
            <wp:positionV relativeFrom="paragraph">
              <wp:posOffset>118110</wp:posOffset>
            </wp:positionV>
            <wp:extent cx="4255135" cy="304228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55135" cy="3042285"/>
                    </a:xfrm>
                    <a:prstGeom prst="rect">
                      <a:avLst/>
                    </a:prstGeom>
                    <a:noFill/>
                  </pic:spPr>
                </pic:pic>
              </a:graphicData>
            </a:graphic>
            <wp14:sizeRelH relativeFrom="page">
              <wp14:pctWidth>0</wp14:pctWidth>
            </wp14:sizeRelH>
            <wp14:sizeRelV relativeFrom="page">
              <wp14:pctHeight>0</wp14:pctHeight>
            </wp14:sizeRelV>
          </wp:anchor>
        </w:drawing>
      </w:r>
    </w:p>
    <w:p w:rsidR="0091337B" w:rsidRDefault="0091337B" w:rsidP="00EE105C">
      <w:pPr>
        <w:spacing w:before="0" w:after="0"/>
        <w:jc w:val="both"/>
        <w:rPr>
          <w:b/>
        </w:rPr>
      </w:pPr>
    </w:p>
    <w:p w:rsidR="00291E07" w:rsidRDefault="00316BD6" w:rsidP="00EE105C">
      <w:pPr>
        <w:spacing w:before="0" w:after="0"/>
        <w:jc w:val="both"/>
        <w:rPr>
          <w:b/>
        </w:rPr>
      </w:pPr>
      <w:r>
        <w:rPr>
          <w:b/>
          <w:noProof/>
          <w:lang w:eastAsia="en-GB"/>
        </w:rPr>
        <mc:AlternateContent>
          <mc:Choice Requires="wps">
            <w:drawing>
              <wp:anchor distT="0" distB="0" distL="114300" distR="114300" simplePos="0" relativeHeight="251674624" behindDoc="0" locked="0" layoutInCell="1" allowOverlap="1" wp14:anchorId="07448CD7" wp14:editId="6BDBB9B8">
                <wp:simplePos x="0" y="0"/>
                <wp:positionH relativeFrom="column">
                  <wp:posOffset>4196715</wp:posOffset>
                </wp:positionH>
                <wp:positionV relativeFrom="paragraph">
                  <wp:posOffset>36195</wp:posOffset>
                </wp:positionV>
                <wp:extent cx="2274570" cy="1567815"/>
                <wp:effectExtent l="0" t="0" r="0" b="0"/>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56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310" w:rsidRPr="008950B9" w:rsidRDefault="00C34310" w:rsidP="00316BD6">
                            <w:pPr>
                              <w:numPr>
                                <w:ilvl w:val="0"/>
                                <w:numId w:val="32"/>
                              </w:numPr>
                              <w:spacing w:before="0" w:line="240" w:lineRule="auto"/>
                              <w:ind w:left="357" w:hanging="357"/>
                              <w:jc w:val="both"/>
                            </w:pPr>
                            <w:r w:rsidRPr="008950B9">
                              <w:t>The number of properties with solid wall insulation increased by 26 per cent (56,000) between the end of September 2013 and September 2014.</w:t>
                            </w:r>
                          </w:p>
                          <w:p w:rsidR="00C34310" w:rsidRPr="00211D46" w:rsidRDefault="00C34310" w:rsidP="000A0384">
                            <w:pPr>
                              <w:spacing w:before="0" w:line="240" w:lineRule="auto"/>
                              <w:ind w:left="357"/>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27" type="#_x0000_t202" style="position:absolute;left:0;text-align:left;margin-left:330.45pt;margin-top:2.85pt;width:179.1pt;height:1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dmhQIAABg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" stroked="f">
                <v:textbox>
                  <w:txbxContent>
                    <w:p w:rsidR="00C34310" w:rsidRPr="008950B9" w:rsidRDefault="00C34310" w:rsidP="00316BD6">
                      <w:pPr>
                        <w:numPr>
                          <w:ilvl w:val="0"/>
                          <w:numId w:val="32"/>
                        </w:numPr>
                        <w:spacing w:before="0" w:line="240" w:lineRule="auto"/>
                        <w:ind w:left="357" w:hanging="357"/>
                        <w:jc w:val="both"/>
                      </w:pPr>
                      <w:r w:rsidRPr="008950B9">
                        <w:t>The number of properties with solid wall insulation increased by 26 per cent (56,000) between the end of September 2013 and September 2014.</w:t>
                      </w:r>
                    </w:p>
                    <w:p w:rsidR="00C34310" w:rsidRPr="00211D46" w:rsidRDefault="00C34310" w:rsidP="000A0384">
                      <w:pPr>
                        <w:spacing w:before="0" w:line="240" w:lineRule="auto"/>
                        <w:ind w:left="357"/>
                        <w:jc w:val="both"/>
                      </w:pPr>
                    </w:p>
                  </w:txbxContent>
                </v:textbox>
              </v:shape>
            </w:pict>
          </mc:Fallback>
        </mc:AlternateContent>
      </w:r>
    </w:p>
    <w:p w:rsidR="00291E07" w:rsidRDefault="00291E07" w:rsidP="00EE105C">
      <w:pPr>
        <w:spacing w:before="0" w:after="0"/>
        <w:jc w:val="both"/>
        <w:rPr>
          <w:b/>
        </w:rPr>
      </w:pPr>
    </w:p>
    <w:p w:rsidR="00291E07" w:rsidRDefault="00291E07" w:rsidP="00EE105C">
      <w:pPr>
        <w:spacing w:before="0" w:after="0"/>
        <w:jc w:val="both"/>
        <w:rPr>
          <w:b/>
        </w:rPr>
      </w:pPr>
    </w:p>
    <w:p w:rsidR="00291E07" w:rsidRDefault="00291E07" w:rsidP="001B08CA">
      <w:pPr>
        <w:jc w:val="both"/>
        <w:rPr>
          <w:b/>
        </w:rPr>
      </w:pPr>
    </w:p>
    <w:p w:rsidR="00291E07" w:rsidRDefault="00291E07" w:rsidP="001B08CA">
      <w:pPr>
        <w:jc w:val="both"/>
        <w:rPr>
          <w:b/>
        </w:rPr>
      </w:pPr>
      <w:r w:rsidRPr="00CC20DC">
        <w:rPr>
          <w:b/>
        </w:rPr>
        <w:t xml:space="preserve"> </w:t>
      </w: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D162DE" w:rsidRDefault="00D162DE" w:rsidP="00C60DF3">
      <w:pPr>
        <w:pStyle w:val="Heading2"/>
      </w:pPr>
    </w:p>
    <w:p w:rsidR="00745AAD" w:rsidRDefault="00745AAD" w:rsidP="00C60DF3">
      <w:pPr>
        <w:pStyle w:val="Heading2"/>
      </w:pPr>
    </w:p>
    <w:p w:rsidR="00E026E7" w:rsidRDefault="00E026E7" w:rsidP="00C60DF3">
      <w:pPr>
        <w:pStyle w:val="Heading2"/>
      </w:pPr>
    </w:p>
    <w:p w:rsidR="00291E07" w:rsidRPr="00B456A0" w:rsidRDefault="00291E07" w:rsidP="00C60DF3">
      <w:pPr>
        <w:pStyle w:val="Heading2"/>
      </w:pPr>
      <w:bookmarkStart w:id="72" w:name="_Toc406514291"/>
      <w:r>
        <w:lastRenderedPageBreak/>
        <w:t>Sources</w:t>
      </w:r>
      <w:r w:rsidRPr="00B456A0">
        <w:t xml:space="preserve"> of increase in insulation levels</w:t>
      </w:r>
      <w:bookmarkEnd w:id="72"/>
    </w:p>
    <w:p w:rsidR="00DE6E2B" w:rsidRDefault="00741805" w:rsidP="001B08CA">
      <w:pPr>
        <w:jc w:val="both"/>
      </w:pPr>
      <w:r w:rsidRPr="00741805">
        <w:t xml:space="preserve">Increases in </w:t>
      </w:r>
      <w:r w:rsidR="00316BD6">
        <w:t>in the number of properties with insulation result from new properties being built</w:t>
      </w:r>
      <w:r w:rsidR="00316BD6">
        <w:rPr>
          <w:rStyle w:val="FootnoteReference"/>
        </w:rPr>
        <w:footnoteReference w:id="32"/>
      </w:r>
      <w:r w:rsidR="00316BD6">
        <w:t xml:space="preserve"> and from retro-fit insulation, predominately through Government schemes. Table 2.2 and Charts 2.4 and 2.5 show where the insulation estimates have come from. Deliv</w:t>
      </w:r>
      <w:r w:rsidR="00316BD6" w:rsidRPr="00652C9F">
        <w:t>ery of measures through CERT has made the largest contribution since April 2008, for lofts and cavities. CESP has accounted for the largest contribution of solid wall insulation.</w:t>
      </w:r>
    </w:p>
    <w:p w:rsidR="00741805" w:rsidRDefault="00741805" w:rsidP="001B08CA">
      <w:pPr>
        <w:jc w:val="both"/>
        <w:rPr>
          <w:b/>
        </w:rPr>
      </w:pPr>
    </w:p>
    <w:p w:rsidR="00741805" w:rsidRPr="004635D2" w:rsidRDefault="00291E07" w:rsidP="00741805">
      <w:pPr>
        <w:jc w:val="both"/>
        <w:rPr>
          <w:b/>
        </w:rPr>
      </w:pPr>
      <w:r w:rsidRPr="008950B9">
        <w:rPr>
          <w:b/>
        </w:rPr>
        <w:t>Table 2.</w:t>
      </w:r>
      <w:r w:rsidR="007B131C" w:rsidRPr="008950B9">
        <w:rPr>
          <w:b/>
        </w:rPr>
        <w:t>2</w:t>
      </w:r>
      <w:r w:rsidRPr="008950B9">
        <w:rPr>
          <w:b/>
        </w:rPr>
        <w:t xml:space="preserve">: Insulated homes in Great Britain by source, </w:t>
      </w:r>
      <w:r w:rsidR="00AF0271" w:rsidRPr="008950B9">
        <w:rPr>
          <w:b/>
        </w:rPr>
        <w:t>September</w:t>
      </w:r>
      <w:r w:rsidR="002F723B" w:rsidRPr="008950B9">
        <w:rPr>
          <w:b/>
        </w:rPr>
        <w:t xml:space="preserve"> 2014</w:t>
      </w:r>
      <w:r w:rsidRPr="008950B9">
        <w:rPr>
          <w:b/>
        </w:rPr>
        <w:t xml:space="preserve"> (Thousands)</w:t>
      </w:r>
      <w:bookmarkStart w:id="73" w:name="_Toc374374415"/>
    </w:p>
    <w:tbl>
      <w:tblPr>
        <w:tblW w:w="10252" w:type="dxa"/>
        <w:tblInd w:w="108" w:type="dxa"/>
        <w:tblLayout w:type="fixed"/>
        <w:tblLook w:val="04A0" w:firstRow="1" w:lastRow="0" w:firstColumn="1" w:lastColumn="0" w:noHBand="0" w:noVBand="1"/>
      </w:tblPr>
      <w:tblGrid>
        <w:gridCol w:w="5103"/>
        <w:gridCol w:w="1716"/>
        <w:gridCol w:w="1716"/>
        <w:gridCol w:w="1717"/>
      </w:tblGrid>
      <w:tr w:rsidR="00741805" w:rsidRPr="007D02B2" w:rsidTr="00741805">
        <w:trPr>
          <w:trHeight w:val="512"/>
        </w:trPr>
        <w:tc>
          <w:tcPr>
            <w:tcW w:w="5103" w:type="dxa"/>
            <w:tcBorders>
              <w:top w:val="single" w:sz="4" w:space="0" w:color="auto"/>
              <w:left w:val="nil"/>
              <w:bottom w:val="single" w:sz="4" w:space="0" w:color="auto"/>
              <w:right w:val="nil"/>
            </w:tcBorders>
            <w:shd w:val="clear" w:color="000000" w:fill="FFFFFF"/>
            <w:noWrap/>
            <w:vAlign w:val="bottom"/>
            <w:hideMark/>
          </w:tcPr>
          <w:p w:rsidR="00741805" w:rsidRPr="007D02B2" w:rsidRDefault="00741805" w:rsidP="00741805">
            <w:pPr>
              <w:spacing w:before="0" w:after="0" w:line="240" w:lineRule="auto"/>
              <w:jc w:val="both"/>
              <w:rPr>
                <w:color w:val="000000"/>
                <w:szCs w:val="24"/>
                <w:lang w:eastAsia="en-GB"/>
              </w:rPr>
            </w:pPr>
            <w:r w:rsidRPr="007D02B2">
              <w:rPr>
                <w:color w:val="000000"/>
                <w:szCs w:val="24"/>
                <w:lang w:eastAsia="en-GB"/>
              </w:rPr>
              <w:t> </w:t>
            </w:r>
          </w:p>
        </w:tc>
        <w:tc>
          <w:tcPr>
            <w:tcW w:w="1716" w:type="dxa"/>
            <w:tcBorders>
              <w:top w:val="single" w:sz="4" w:space="0" w:color="auto"/>
              <w:left w:val="nil"/>
              <w:bottom w:val="single" w:sz="4" w:space="0" w:color="auto"/>
              <w:right w:val="nil"/>
            </w:tcBorders>
            <w:shd w:val="clear" w:color="000000" w:fill="FFFFFF"/>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Cavity wall insulation</w:t>
            </w:r>
          </w:p>
        </w:tc>
        <w:tc>
          <w:tcPr>
            <w:tcW w:w="1716" w:type="dxa"/>
            <w:tcBorders>
              <w:top w:val="single" w:sz="4" w:space="0" w:color="auto"/>
              <w:left w:val="nil"/>
              <w:bottom w:val="single" w:sz="4" w:space="0" w:color="auto"/>
              <w:right w:val="nil"/>
            </w:tcBorders>
            <w:shd w:val="clear" w:color="000000" w:fill="FFFFFF"/>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Loft insulation &gt;=125mm</w:t>
            </w:r>
          </w:p>
        </w:tc>
        <w:tc>
          <w:tcPr>
            <w:tcW w:w="1717" w:type="dxa"/>
            <w:tcBorders>
              <w:top w:val="single" w:sz="4" w:space="0" w:color="auto"/>
              <w:left w:val="nil"/>
              <w:bottom w:val="single" w:sz="4" w:space="0" w:color="auto"/>
              <w:right w:val="nil"/>
            </w:tcBorders>
            <w:shd w:val="clear" w:color="000000" w:fill="FFFFFF"/>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Solid wall insulation</w:t>
            </w:r>
          </w:p>
        </w:tc>
      </w:tr>
      <w:tr w:rsidR="00316BD6" w:rsidRPr="007D02B2" w:rsidTr="00741805">
        <w:trPr>
          <w:trHeight w:val="256"/>
        </w:trPr>
        <w:tc>
          <w:tcPr>
            <w:tcW w:w="5103" w:type="dxa"/>
            <w:tcBorders>
              <w:top w:val="nil"/>
              <w:left w:val="nil"/>
              <w:bottom w:val="nil"/>
              <w:right w:val="nil"/>
            </w:tcBorders>
            <w:shd w:val="clear" w:color="000000" w:fill="FFFFFF"/>
            <w:noWrap/>
            <w:vAlign w:val="bottom"/>
            <w:hideMark/>
          </w:tcPr>
          <w:p w:rsidR="00316BD6" w:rsidRPr="007D02B2" w:rsidRDefault="00316BD6" w:rsidP="00741805">
            <w:pPr>
              <w:spacing w:before="0" w:after="0" w:line="240" w:lineRule="auto"/>
              <w:rPr>
                <w:color w:val="000000"/>
                <w:szCs w:val="24"/>
                <w:lang w:eastAsia="en-GB"/>
              </w:rPr>
            </w:pPr>
            <w:r w:rsidRPr="007D02B2">
              <w:rPr>
                <w:color w:val="000000"/>
                <w:szCs w:val="24"/>
                <w:lang w:eastAsia="en-GB"/>
              </w:rPr>
              <w:t>April 2008 housing surveys</w:t>
            </w:r>
            <w:r w:rsidRPr="007D02B2">
              <w:rPr>
                <w:szCs w:val="24"/>
                <w:vertAlign w:val="superscript"/>
              </w:rPr>
              <w:t>^</w:t>
            </w:r>
          </w:p>
        </w:tc>
        <w:tc>
          <w:tcPr>
            <w:tcW w:w="1716"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10,030</w:t>
            </w:r>
          </w:p>
        </w:tc>
        <w:tc>
          <w:tcPr>
            <w:tcW w:w="1716"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10,150</w:t>
            </w:r>
          </w:p>
        </w:tc>
        <w:tc>
          <w:tcPr>
            <w:tcW w:w="1717"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65</w:t>
            </w:r>
          </w:p>
        </w:tc>
      </w:tr>
      <w:tr w:rsidR="00316BD6" w:rsidRPr="007D02B2" w:rsidTr="00741805">
        <w:trPr>
          <w:trHeight w:val="256"/>
        </w:trPr>
        <w:tc>
          <w:tcPr>
            <w:tcW w:w="5103" w:type="dxa"/>
            <w:tcBorders>
              <w:top w:val="nil"/>
              <w:left w:val="nil"/>
              <w:bottom w:val="nil"/>
              <w:right w:val="nil"/>
            </w:tcBorders>
            <w:shd w:val="clear" w:color="000000" w:fill="FFFFFF"/>
            <w:noWrap/>
            <w:vAlign w:val="bottom"/>
            <w:hideMark/>
          </w:tcPr>
          <w:p w:rsidR="00316BD6" w:rsidRPr="007D02B2" w:rsidRDefault="00316BD6" w:rsidP="00741805">
            <w:pPr>
              <w:spacing w:before="0" w:after="0" w:line="240" w:lineRule="auto"/>
              <w:rPr>
                <w:color w:val="000000"/>
                <w:szCs w:val="24"/>
                <w:lang w:eastAsia="en-GB"/>
              </w:rPr>
            </w:pPr>
            <w:r w:rsidRPr="007D02B2">
              <w:rPr>
                <w:color w:val="000000"/>
                <w:szCs w:val="24"/>
                <w:lang w:eastAsia="en-GB"/>
              </w:rPr>
              <w:t>Properties built since April 2008</w:t>
            </w:r>
          </w:p>
        </w:tc>
        <w:tc>
          <w:tcPr>
            <w:tcW w:w="1716" w:type="dxa"/>
            <w:tcBorders>
              <w:top w:val="nil"/>
              <w:left w:val="nil"/>
              <w:bottom w:val="nil"/>
              <w:right w:val="nil"/>
            </w:tcBorders>
            <w:shd w:val="clear" w:color="000000" w:fill="FFFFFF"/>
            <w:noWrap/>
            <w:vAlign w:val="bottom"/>
            <w:hideMark/>
          </w:tcPr>
          <w:p w:rsidR="00316BD6" w:rsidRDefault="003B2DFA" w:rsidP="00316BD6">
            <w:pPr>
              <w:spacing w:before="0" w:after="0" w:line="240" w:lineRule="auto"/>
              <w:jc w:val="right"/>
              <w:rPr>
                <w:color w:val="000000"/>
                <w:szCs w:val="24"/>
                <w:lang w:eastAsia="en-GB"/>
              </w:rPr>
            </w:pPr>
            <w:r>
              <w:rPr>
                <w:color w:val="000000"/>
                <w:szCs w:val="24"/>
                <w:lang w:eastAsia="en-GB"/>
              </w:rPr>
              <w:t>91</w:t>
            </w:r>
            <w:r w:rsidR="00316BD6">
              <w:rPr>
                <w:color w:val="000000"/>
                <w:szCs w:val="24"/>
                <w:lang w:eastAsia="en-GB"/>
              </w:rPr>
              <w:t>0</w:t>
            </w:r>
          </w:p>
        </w:tc>
        <w:tc>
          <w:tcPr>
            <w:tcW w:w="1716" w:type="dxa"/>
            <w:tcBorders>
              <w:top w:val="nil"/>
              <w:left w:val="nil"/>
              <w:bottom w:val="nil"/>
              <w:right w:val="nil"/>
            </w:tcBorders>
            <w:shd w:val="clear" w:color="000000" w:fill="FFFFFF"/>
            <w:noWrap/>
            <w:vAlign w:val="bottom"/>
            <w:hideMark/>
          </w:tcPr>
          <w:p w:rsidR="00316BD6" w:rsidRDefault="003B2DFA" w:rsidP="00316BD6">
            <w:pPr>
              <w:spacing w:before="0" w:after="0" w:line="240" w:lineRule="auto"/>
              <w:jc w:val="right"/>
              <w:rPr>
                <w:color w:val="000000"/>
                <w:szCs w:val="24"/>
                <w:lang w:eastAsia="en-GB"/>
              </w:rPr>
            </w:pPr>
            <w:r>
              <w:rPr>
                <w:color w:val="000000"/>
                <w:szCs w:val="24"/>
                <w:lang w:eastAsia="en-GB"/>
              </w:rPr>
              <w:t>700</w:t>
            </w:r>
          </w:p>
        </w:tc>
        <w:tc>
          <w:tcPr>
            <w:tcW w:w="1717"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w:t>
            </w:r>
          </w:p>
        </w:tc>
      </w:tr>
      <w:tr w:rsidR="00316BD6" w:rsidRPr="007D02B2" w:rsidTr="00741805">
        <w:trPr>
          <w:trHeight w:val="256"/>
        </w:trPr>
        <w:tc>
          <w:tcPr>
            <w:tcW w:w="5103" w:type="dxa"/>
            <w:tcBorders>
              <w:top w:val="nil"/>
              <w:left w:val="nil"/>
              <w:bottom w:val="nil"/>
              <w:right w:val="nil"/>
            </w:tcBorders>
            <w:shd w:val="clear" w:color="000000" w:fill="FFFFFF"/>
            <w:noWrap/>
            <w:vAlign w:val="bottom"/>
            <w:hideMark/>
          </w:tcPr>
          <w:p w:rsidR="00316BD6" w:rsidRPr="007D02B2" w:rsidRDefault="00316BD6" w:rsidP="00741805">
            <w:pPr>
              <w:spacing w:before="0" w:after="0" w:line="240" w:lineRule="auto"/>
              <w:rPr>
                <w:color w:val="000000"/>
                <w:szCs w:val="24"/>
                <w:lang w:eastAsia="en-GB"/>
              </w:rPr>
            </w:pPr>
            <w:r w:rsidRPr="007D02B2">
              <w:rPr>
                <w:color w:val="000000"/>
                <w:szCs w:val="24"/>
                <w:lang w:eastAsia="en-GB"/>
              </w:rPr>
              <w:t>Government scheme delivery April 2008 - December 2012</w:t>
            </w:r>
          </w:p>
        </w:tc>
        <w:tc>
          <w:tcPr>
            <w:tcW w:w="1716"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2,600</w:t>
            </w:r>
          </w:p>
        </w:tc>
        <w:tc>
          <w:tcPr>
            <w:tcW w:w="1716"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5,450</w:t>
            </w:r>
          </w:p>
        </w:tc>
        <w:tc>
          <w:tcPr>
            <w:tcW w:w="1717"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139</w:t>
            </w:r>
          </w:p>
        </w:tc>
      </w:tr>
      <w:tr w:rsidR="00316BD6" w:rsidRPr="007D02B2" w:rsidTr="00741805">
        <w:trPr>
          <w:trHeight w:val="256"/>
        </w:trPr>
        <w:tc>
          <w:tcPr>
            <w:tcW w:w="5103" w:type="dxa"/>
            <w:tcBorders>
              <w:top w:val="nil"/>
              <w:left w:val="nil"/>
              <w:bottom w:val="nil"/>
              <w:right w:val="nil"/>
            </w:tcBorders>
            <w:shd w:val="clear" w:color="000000" w:fill="FFFFFF"/>
            <w:noWrap/>
            <w:vAlign w:val="bottom"/>
            <w:hideMark/>
          </w:tcPr>
          <w:p w:rsidR="00316BD6" w:rsidRPr="007D02B2" w:rsidRDefault="00316BD6" w:rsidP="00741805">
            <w:pPr>
              <w:spacing w:before="0" w:after="0" w:line="240" w:lineRule="auto"/>
              <w:rPr>
                <w:color w:val="000000"/>
                <w:szCs w:val="24"/>
                <w:lang w:eastAsia="en-GB"/>
              </w:rPr>
            </w:pPr>
            <w:r w:rsidRPr="007D02B2">
              <w:rPr>
                <w:color w:val="000000"/>
                <w:szCs w:val="24"/>
                <w:lang w:eastAsia="en-GB"/>
              </w:rPr>
              <w:t>Green Deal/ECO delivery since January 2013</w:t>
            </w:r>
          </w:p>
        </w:tc>
        <w:tc>
          <w:tcPr>
            <w:tcW w:w="1716" w:type="dxa"/>
            <w:tcBorders>
              <w:top w:val="nil"/>
              <w:left w:val="nil"/>
              <w:bottom w:val="nil"/>
              <w:right w:val="nil"/>
            </w:tcBorders>
            <w:shd w:val="clear" w:color="000000" w:fill="FFFFFF"/>
            <w:noWrap/>
            <w:vAlign w:val="bottom"/>
            <w:hideMark/>
          </w:tcPr>
          <w:p w:rsidR="00316BD6" w:rsidRDefault="00316BD6" w:rsidP="003B2DFA">
            <w:pPr>
              <w:spacing w:before="0" w:after="0" w:line="240" w:lineRule="auto"/>
              <w:jc w:val="right"/>
              <w:rPr>
                <w:color w:val="000000"/>
                <w:szCs w:val="24"/>
                <w:lang w:eastAsia="en-GB"/>
              </w:rPr>
            </w:pPr>
            <w:r>
              <w:rPr>
                <w:color w:val="000000"/>
                <w:szCs w:val="24"/>
                <w:lang w:eastAsia="en-GB"/>
              </w:rPr>
              <w:t>3</w:t>
            </w:r>
            <w:r w:rsidR="003B2DFA">
              <w:rPr>
                <w:color w:val="000000"/>
                <w:szCs w:val="24"/>
                <w:lang w:eastAsia="en-GB"/>
              </w:rPr>
              <w:t>5</w:t>
            </w:r>
            <w:r>
              <w:rPr>
                <w:color w:val="000000"/>
                <w:szCs w:val="24"/>
                <w:lang w:eastAsia="en-GB"/>
              </w:rPr>
              <w:t>0</w:t>
            </w:r>
          </w:p>
        </w:tc>
        <w:tc>
          <w:tcPr>
            <w:tcW w:w="1716" w:type="dxa"/>
            <w:tcBorders>
              <w:top w:val="nil"/>
              <w:left w:val="nil"/>
              <w:bottom w:val="nil"/>
              <w:right w:val="nil"/>
            </w:tcBorders>
            <w:shd w:val="clear" w:color="000000" w:fill="FFFFFF"/>
            <w:noWrap/>
            <w:vAlign w:val="bottom"/>
            <w:hideMark/>
          </w:tcPr>
          <w:p w:rsidR="00316BD6" w:rsidRDefault="003B2DFA" w:rsidP="00316BD6">
            <w:pPr>
              <w:spacing w:before="0" w:after="0" w:line="240" w:lineRule="auto"/>
              <w:jc w:val="right"/>
              <w:rPr>
                <w:color w:val="000000"/>
                <w:szCs w:val="24"/>
                <w:lang w:eastAsia="en-GB"/>
              </w:rPr>
            </w:pPr>
            <w:r>
              <w:rPr>
                <w:color w:val="000000"/>
                <w:szCs w:val="24"/>
                <w:lang w:eastAsia="en-GB"/>
              </w:rPr>
              <w:t>20</w:t>
            </w:r>
            <w:r w:rsidR="00316BD6">
              <w:rPr>
                <w:color w:val="000000"/>
                <w:szCs w:val="24"/>
                <w:lang w:eastAsia="en-GB"/>
              </w:rPr>
              <w:t>0</w:t>
            </w:r>
          </w:p>
        </w:tc>
        <w:tc>
          <w:tcPr>
            <w:tcW w:w="1717" w:type="dxa"/>
            <w:tcBorders>
              <w:top w:val="nil"/>
              <w:left w:val="nil"/>
              <w:bottom w:val="nil"/>
              <w:right w:val="nil"/>
            </w:tcBorders>
            <w:shd w:val="clear" w:color="000000" w:fill="FFFFFF"/>
            <w:noWrap/>
            <w:vAlign w:val="bottom"/>
            <w:hideMark/>
          </w:tcPr>
          <w:p w:rsidR="00316BD6" w:rsidRDefault="00316BD6" w:rsidP="003B2DFA">
            <w:pPr>
              <w:spacing w:before="0" w:after="0" w:line="240" w:lineRule="auto"/>
              <w:jc w:val="right"/>
              <w:rPr>
                <w:color w:val="000000"/>
                <w:szCs w:val="24"/>
                <w:lang w:eastAsia="en-GB"/>
              </w:rPr>
            </w:pPr>
            <w:r>
              <w:rPr>
                <w:color w:val="000000"/>
                <w:szCs w:val="24"/>
                <w:lang w:eastAsia="en-GB"/>
              </w:rPr>
              <w:t>6</w:t>
            </w:r>
            <w:r w:rsidR="003B2DFA">
              <w:rPr>
                <w:color w:val="000000"/>
                <w:szCs w:val="24"/>
                <w:lang w:eastAsia="en-GB"/>
              </w:rPr>
              <w:t>9</w:t>
            </w:r>
          </w:p>
        </w:tc>
      </w:tr>
      <w:tr w:rsidR="00316BD6" w:rsidRPr="007D02B2" w:rsidTr="00741805">
        <w:trPr>
          <w:trHeight w:val="256"/>
        </w:trPr>
        <w:tc>
          <w:tcPr>
            <w:tcW w:w="5103" w:type="dxa"/>
            <w:tcBorders>
              <w:top w:val="single" w:sz="4" w:space="0" w:color="auto"/>
              <w:left w:val="nil"/>
              <w:bottom w:val="single" w:sz="4" w:space="0" w:color="auto"/>
              <w:right w:val="nil"/>
            </w:tcBorders>
            <w:shd w:val="clear" w:color="000000" w:fill="FFFFFF"/>
            <w:noWrap/>
            <w:vAlign w:val="bottom"/>
            <w:hideMark/>
          </w:tcPr>
          <w:p w:rsidR="00316BD6" w:rsidRPr="007D02B2" w:rsidRDefault="00316BD6" w:rsidP="00741805">
            <w:pPr>
              <w:spacing w:before="0" w:after="0" w:line="240" w:lineRule="auto"/>
              <w:rPr>
                <w:color w:val="000000"/>
                <w:szCs w:val="24"/>
                <w:lang w:eastAsia="en-GB"/>
              </w:rPr>
            </w:pPr>
            <w:r w:rsidRPr="007D02B2">
              <w:rPr>
                <w:color w:val="000000"/>
                <w:szCs w:val="24"/>
                <w:lang w:eastAsia="en-GB"/>
              </w:rPr>
              <w:t>Total</w:t>
            </w:r>
          </w:p>
        </w:tc>
        <w:tc>
          <w:tcPr>
            <w:tcW w:w="1716" w:type="dxa"/>
            <w:tcBorders>
              <w:top w:val="single" w:sz="4" w:space="0" w:color="auto"/>
              <w:left w:val="nil"/>
              <w:bottom w:val="single" w:sz="4" w:space="0" w:color="auto"/>
              <w:right w:val="nil"/>
            </w:tcBorders>
            <w:shd w:val="clear" w:color="000000" w:fill="FFFFFF"/>
            <w:noWrap/>
            <w:vAlign w:val="bottom"/>
            <w:hideMark/>
          </w:tcPr>
          <w:p w:rsidR="00316BD6" w:rsidRDefault="00316BD6" w:rsidP="003B2DFA">
            <w:pPr>
              <w:spacing w:before="0" w:after="0" w:line="240" w:lineRule="auto"/>
              <w:jc w:val="right"/>
              <w:rPr>
                <w:color w:val="000000"/>
                <w:szCs w:val="24"/>
                <w:lang w:eastAsia="en-GB"/>
              </w:rPr>
            </w:pPr>
            <w:r>
              <w:rPr>
                <w:color w:val="000000"/>
                <w:szCs w:val="24"/>
                <w:lang w:eastAsia="en-GB"/>
              </w:rPr>
              <w:t>13,8</w:t>
            </w:r>
            <w:r w:rsidR="003B2DFA">
              <w:rPr>
                <w:color w:val="000000"/>
                <w:szCs w:val="24"/>
                <w:lang w:eastAsia="en-GB"/>
              </w:rPr>
              <w:t>9</w:t>
            </w:r>
            <w:r>
              <w:rPr>
                <w:color w:val="000000"/>
                <w:szCs w:val="24"/>
                <w:lang w:eastAsia="en-GB"/>
              </w:rPr>
              <w:t>0</w:t>
            </w:r>
          </w:p>
        </w:tc>
        <w:tc>
          <w:tcPr>
            <w:tcW w:w="1716" w:type="dxa"/>
            <w:tcBorders>
              <w:top w:val="single" w:sz="4" w:space="0" w:color="auto"/>
              <w:left w:val="nil"/>
              <w:bottom w:val="single" w:sz="4" w:space="0" w:color="auto"/>
              <w:right w:val="nil"/>
            </w:tcBorders>
            <w:shd w:val="clear" w:color="000000" w:fill="FFFFFF"/>
            <w:noWrap/>
            <w:vAlign w:val="bottom"/>
            <w:hideMark/>
          </w:tcPr>
          <w:p w:rsidR="00316BD6" w:rsidRDefault="00316BD6" w:rsidP="003B2DFA">
            <w:pPr>
              <w:spacing w:before="0" w:after="0" w:line="240" w:lineRule="auto"/>
              <w:jc w:val="right"/>
              <w:rPr>
                <w:color w:val="000000"/>
                <w:szCs w:val="24"/>
                <w:lang w:eastAsia="en-GB"/>
              </w:rPr>
            </w:pPr>
            <w:r>
              <w:rPr>
                <w:color w:val="000000"/>
                <w:szCs w:val="24"/>
                <w:lang w:eastAsia="en-GB"/>
              </w:rPr>
              <w:t>16,4</w:t>
            </w:r>
            <w:r w:rsidR="003B2DFA">
              <w:rPr>
                <w:color w:val="000000"/>
                <w:szCs w:val="24"/>
                <w:lang w:eastAsia="en-GB"/>
              </w:rPr>
              <w:t>9</w:t>
            </w:r>
            <w:r>
              <w:rPr>
                <w:color w:val="000000"/>
                <w:szCs w:val="24"/>
                <w:lang w:eastAsia="en-GB"/>
              </w:rPr>
              <w:t>0</w:t>
            </w:r>
          </w:p>
        </w:tc>
        <w:tc>
          <w:tcPr>
            <w:tcW w:w="1717" w:type="dxa"/>
            <w:tcBorders>
              <w:top w:val="single" w:sz="4" w:space="0" w:color="auto"/>
              <w:left w:val="nil"/>
              <w:bottom w:val="single" w:sz="4" w:space="0" w:color="auto"/>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2</w:t>
            </w:r>
            <w:r w:rsidR="00822B74">
              <w:rPr>
                <w:color w:val="000000"/>
                <w:szCs w:val="24"/>
                <w:lang w:eastAsia="en-GB"/>
              </w:rPr>
              <w:t>73</w:t>
            </w:r>
          </w:p>
        </w:tc>
      </w:tr>
      <w:tr w:rsidR="00316BD6" w:rsidRPr="007D02B2" w:rsidTr="00741805">
        <w:trPr>
          <w:trHeight w:val="256"/>
        </w:trPr>
        <w:tc>
          <w:tcPr>
            <w:tcW w:w="5103" w:type="dxa"/>
            <w:tcBorders>
              <w:top w:val="nil"/>
              <w:left w:val="nil"/>
              <w:bottom w:val="nil"/>
              <w:right w:val="nil"/>
            </w:tcBorders>
            <w:shd w:val="clear" w:color="000000" w:fill="FFFFFF"/>
            <w:noWrap/>
            <w:vAlign w:val="bottom"/>
            <w:hideMark/>
          </w:tcPr>
          <w:p w:rsidR="00316BD6" w:rsidRPr="007D02B2" w:rsidRDefault="00316BD6" w:rsidP="00741805">
            <w:pPr>
              <w:spacing w:before="0" w:after="0" w:line="240" w:lineRule="auto"/>
              <w:rPr>
                <w:color w:val="000000"/>
                <w:szCs w:val="24"/>
                <w:lang w:eastAsia="en-GB"/>
              </w:rPr>
            </w:pPr>
            <w:r w:rsidRPr="007D02B2">
              <w:rPr>
                <w:color w:val="000000"/>
                <w:szCs w:val="24"/>
                <w:lang w:eastAsia="en-GB"/>
              </w:rPr>
              <w:t>Homes in Great Britain</w:t>
            </w:r>
            <w:r w:rsidRPr="007D02B2">
              <w:rPr>
                <w:szCs w:val="24"/>
                <w:vertAlign w:val="superscript"/>
              </w:rPr>
              <w:t>†</w:t>
            </w:r>
          </w:p>
        </w:tc>
        <w:tc>
          <w:tcPr>
            <w:tcW w:w="1716" w:type="dxa"/>
            <w:tcBorders>
              <w:top w:val="nil"/>
              <w:left w:val="nil"/>
              <w:bottom w:val="nil"/>
              <w:right w:val="nil"/>
            </w:tcBorders>
            <w:shd w:val="clear" w:color="000000" w:fill="FFFFFF"/>
            <w:noWrap/>
            <w:vAlign w:val="bottom"/>
            <w:hideMark/>
          </w:tcPr>
          <w:p w:rsidR="00316BD6" w:rsidRDefault="00316BD6" w:rsidP="003B2DFA">
            <w:pPr>
              <w:spacing w:before="0" w:after="0" w:line="240" w:lineRule="auto"/>
              <w:jc w:val="right"/>
              <w:rPr>
                <w:color w:val="000000"/>
                <w:szCs w:val="24"/>
                <w:lang w:eastAsia="en-GB"/>
              </w:rPr>
            </w:pPr>
            <w:r>
              <w:rPr>
                <w:color w:val="000000"/>
                <w:szCs w:val="24"/>
                <w:lang w:eastAsia="en-GB"/>
              </w:rPr>
              <w:t>19,3</w:t>
            </w:r>
            <w:r w:rsidR="003B2DFA">
              <w:rPr>
                <w:color w:val="000000"/>
                <w:szCs w:val="24"/>
                <w:lang w:eastAsia="en-GB"/>
              </w:rPr>
              <w:t>5</w:t>
            </w:r>
            <w:r>
              <w:rPr>
                <w:color w:val="000000"/>
                <w:szCs w:val="24"/>
                <w:lang w:eastAsia="en-GB"/>
              </w:rPr>
              <w:t>0</w:t>
            </w:r>
          </w:p>
        </w:tc>
        <w:tc>
          <w:tcPr>
            <w:tcW w:w="1716" w:type="dxa"/>
            <w:tcBorders>
              <w:top w:val="nil"/>
              <w:left w:val="nil"/>
              <w:bottom w:val="nil"/>
              <w:right w:val="nil"/>
            </w:tcBorders>
            <w:shd w:val="clear" w:color="000000" w:fill="FFFFFF"/>
            <w:noWrap/>
            <w:vAlign w:val="bottom"/>
            <w:hideMark/>
          </w:tcPr>
          <w:p w:rsidR="00316BD6" w:rsidRDefault="00316BD6" w:rsidP="003B2DFA">
            <w:pPr>
              <w:spacing w:before="0" w:after="0" w:line="240" w:lineRule="auto"/>
              <w:jc w:val="right"/>
              <w:rPr>
                <w:color w:val="000000"/>
                <w:szCs w:val="24"/>
                <w:lang w:eastAsia="en-GB"/>
              </w:rPr>
            </w:pPr>
            <w:r>
              <w:rPr>
                <w:color w:val="000000"/>
                <w:szCs w:val="24"/>
                <w:lang w:eastAsia="en-GB"/>
              </w:rPr>
              <w:t>23,8</w:t>
            </w:r>
            <w:r w:rsidR="003B2DFA">
              <w:rPr>
                <w:color w:val="000000"/>
                <w:szCs w:val="24"/>
                <w:lang w:eastAsia="en-GB"/>
              </w:rPr>
              <w:t>7</w:t>
            </w:r>
            <w:r>
              <w:rPr>
                <w:color w:val="000000"/>
                <w:szCs w:val="24"/>
                <w:lang w:eastAsia="en-GB"/>
              </w:rPr>
              <w:t>0</w:t>
            </w:r>
          </w:p>
        </w:tc>
        <w:tc>
          <w:tcPr>
            <w:tcW w:w="1717"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7,990</w:t>
            </w:r>
          </w:p>
        </w:tc>
      </w:tr>
      <w:tr w:rsidR="00316BD6" w:rsidRPr="007D02B2" w:rsidTr="00741805">
        <w:trPr>
          <w:trHeight w:val="256"/>
        </w:trPr>
        <w:tc>
          <w:tcPr>
            <w:tcW w:w="5103" w:type="dxa"/>
            <w:tcBorders>
              <w:top w:val="nil"/>
              <w:left w:val="nil"/>
              <w:bottom w:val="single" w:sz="4" w:space="0" w:color="auto"/>
              <w:right w:val="nil"/>
            </w:tcBorders>
            <w:shd w:val="clear" w:color="000000" w:fill="FFFFFF"/>
            <w:noWrap/>
            <w:vAlign w:val="bottom"/>
            <w:hideMark/>
          </w:tcPr>
          <w:p w:rsidR="00316BD6" w:rsidRPr="007D02B2" w:rsidRDefault="00316BD6" w:rsidP="00741805">
            <w:pPr>
              <w:spacing w:before="0" w:after="0" w:line="240" w:lineRule="auto"/>
              <w:rPr>
                <w:color w:val="000000"/>
                <w:szCs w:val="24"/>
                <w:lang w:eastAsia="en-GB"/>
              </w:rPr>
            </w:pPr>
            <w:r w:rsidRPr="007D02B2">
              <w:rPr>
                <w:color w:val="000000"/>
                <w:szCs w:val="24"/>
                <w:lang w:eastAsia="en-GB"/>
              </w:rPr>
              <w:t>Percentage of homes insulated</w:t>
            </w:r>
            <w:r w:rsidRPr="007D02B2">
              <w:rPr>
                <w:szCs w:val="24"/>
                <w:vertAlign w:val="superscript"/>
              </w:rPr>
              <w:t>‡</w:t>
            </w:r>
          </w:p>
        </w:tc>
        <w:tc>
          <w:tcPr>
            <w:tcW w:w="1716" w:type="dxa"/>
            <w:tcBorders>
              <w:top w:val="nil"/>
              <w:left w:val="nil"/>
              <w:bottom w:val="single" w:sz="4" w:space="0" w:color="auto"/>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72%</w:t>
            </w:r>
          </w:p>
        </w:tc>
        <w:tc>
          <w:tcPr>
            <w:tcW w:w="1716" w:type="dxa"/>
            <w:tcBorders>
              <w:top w:val="nil"/>
              <w:left w:val="nil"/>
              <w:bottom w:val="single" w:sz="4" w:space="0" w:color="auto"/>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69%</w:t>
            </w:r>
          </w:p>
        </w:tc>
        <w:tc>
          <w:tcPr>
            <w:tcW w:w="1717" w:type="dxa"/>
            <w:tcBorders>
              <w:top w:val="nil"/>
              <w:left w:val="nil"/>
              <w:bottom w:val="single" w:sz="4" w:space="0" w:color="auto"/>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3%</w:t>
            </w:r>
          </w:p>
        </w:tc>
      </w:tr>
    </w:tbl>
    <w:p w:rsidR="00741805" w:rsidRPr="007D02B2" w:rsidRDefault="00741805" w:rsidP="00020551">
      <w:pPr>
        <w:spacing w:before="0" w:after="0" w:line="240" w:lineRule="auto"/>
        <w:jc w:val="both"/>
        <w:rPr>
          <w:szCs w:val="24"/>
        </w:rPr>
      </w:pPr>
      <w:r w:rsidRPr="007D02B2">
        <w:rPr>
          <w:szCs w:val="24"/>
          <w:vertAlign w:val="superscript"/>
        </w:rPr>
        <w:t xml:space="preserve">^ </w:t>
      </w:r>
      <w:r w:rsidRPr="007D02B2">
        <w:rPr>
          <w:szCs w:val="24"/>
        </w:rPr>
        <w:t>2008 estimates for solid wall insulation are taken from the Government’s Energy Efficiency Commitment (EEC) 1 and 2 reported activity rather than housing surveys.</w:t>
      </w:r>
    </w:p>
    <w:p w:rsidR="00741805" w:rsidRPr="007D02B2" w:rsidRDefault="00741805" w:rsidP="00020551">
      <w:pPr>
        <w:spacing w:before="0" w:after="0" w:line="240" w:lineRule="auto"/>
        <w:jc w:val="both"/>
        <w:rPr>
          <w:szCs w:val="24"/>
        </w:rPr>
      </w:pPr>
      <w:r w:rsidRPr="007D02B2">
        <w:rPr>
          <w:szCs w:val="24"/>
          <w:vertAlign w:val="superscript"/>
        </w:rPr>
        <w:t>†</w:t>
      </w:r>
      <w:r w:rsidRPr="007D02B2">
        <w:rPr>
          <w:szCs w:val="24"/>
        </w:rPr>
        <w:t xml:space="preserve"> The number of homes in Great Britain with cavity walls, lofts and solid walls respectively.</w:t>
      </w:r>
    </w:p>
    <w:p w:rsidR="00741805" w:rsidRPr="007D02B2" w:rsidRDefault="00741805" w:rsidP="00020551">
      <w:pPr>
        <w:spacing w:before="0" w:after="0" w:line="240" w:lineRule="auto"/>
        <w:jc w:val="both"/>
        <w:rPr>
          <w:szCs w:val="24"/>
        </w:rPr>
      </w:pPr>
      <w:r w:rsidRPr="007D02B2">
        <w:rPr>
          <w:szCs w:val="24"/>
          <w:vertAlign w:val="superscript"/>
        </w:rPr>
        <w:t>‡</w:t>
      </w:r>
      <w:r w:rsidRPr="007D02B2">
        <w:rPr>
          <w:szCs w:val="24"/>
        </w:rPr>
        <w:t xml:space="preserve"> The solid wall insulation (SWI) percentage is calculated based on the number of homes with SWI delivered through Government schemes divided by the number of homes with non-cavity </w:t>
      </w:r>
      <w:proofErr w:type="gramStart"/>
      <w:r w:rsidRPr="007D02B2">
        <w:rPr>
          <w:szCs w:val="24"/>
        </w:rPr>
        <w:t>walls,</w:t>
      </w:r>
      <w:proofErr w:type="gramEnd"/>
      <w:r w:rsidRPr="007D02B2">
        <w:rPr>
          <w:szCs w:val="24"/>
        </w:rPr>
        <w:t xml:space="preserve"> this is likely to be an overestimate of the total number of properties with solid wall insulation as it may include a small number of hard to treat cavity wall properties.</w:t>
      </w:r>
    </w:p>
    <w:p w:rsidR="00741805" w:rsidRDefault="00741805" w:rsidP="00020551">
      <w:pPr>
        <w:spacing w:before="0" w:after="0" w:line="240" w:lineRule="auto"/>
        <w:jc w:val="both"/>
        <w:rPr>
          <w:szCs w:val="24"/>
        </w:rPr>
      </w:pPr>
      <w:r w:rsidRPr="007D02B2">
        <w:rPr>
          <w:szCs w:val="24"/>
        </w:rPr>
        <w:t xml:space="preserve">.. </w:t>
      </w:r>
      <w:proofErr w:type="gramStart"/>
      <w:r w:rsidRPr="007D02B2">
        <w:rPr>
          <w:szCs w:val="24"/>
        </w:rPr>
        <w:t>not</w:t>
      </w:r>
      <w:proofErr w:type="gramEnd"/>
      <w:r w:rsidRPr="007D02B2">
        <w:rPr>
          <w:szCs w:val="24"/>
        </w:rPr>
        <w:t xml:space="preserve"> applicable.</w:t>
      </w:r>
    </w:p>
    <w:p w:rsidR="00DE6E2B" w:rsidRPr="00DE6E2B" w:rsidRDefault="00DE6E2B" w:rsidP="00DE6E2B">
      <w:pPr>
        <w:spacing w:before="0" w:after="0" w:line="240" w:lineRule="auto"/>
        <w:jc w:val="both"/>
        <w:rPr>
          <w:szCs w:val="24"/>
        </w:rPr>
      </w:pPr>
    </w:p>
    <w:p w:rsidR="00291E07" w:rsidRPr="00EE105C" w:rsidRDefault="00911320" w:rsidP="00DE6E2B">
      <w:pPr>
        <w:spacing w:before="0" w:after="0" w:line="240" w:lineRule="auto"/>
        <w:jc w:val="both"/>
        <w:rPr>
          <w:szCs w:val="24"/>
        </w:rPr>
      </w:pPr>
      <w:bookmarkStart w:id="74" w:name="_Toc405914263"/>
      <w:proofErr w:type="gramStart"/>
      <w:r w:rsidRPr="00652C9F">
        <w:rPr>
          <w:b/>
          <w:szCs w:val="24"/>
        </w:rPr>
        <w:t>Chart 2.</w:t>
      </w:r>
      <w:proofErr w:type="gramEnd"/>
      <w:r w:rsidRPr="00652C9F">
        <w:rPr>
          <w:b/>
        </w:rPr>
        <w:fldChar w:fldCharType="begin"/>
      </w:r>
      <w:r w:rsidRPr="00652C9F">
        <w:rPr>
          <w:b/>
        </w:rPr>
        <w:instrText xml:space="preserve"> SEQ Figure \* ARABIC </w:instrText>
      </w:r>
      <w:r w:rsidRPr="00652C9F">
        <w:rPr>
          <w:b/>
        </w:rPr>
        <w:fldChar w:fldCharType="separate"/>
      </w:r>
      <w:r w:rsidR="006B5574">
        <w:rPr>
          <w:b/>
          <w:noProof/>
        </w:rPr>
        <w:t>4</w:t>
      </w:r>
      <w:r w:rsidRPr="00652C9F">
        <w:rPr>
          <w:b/>
        </w:rPr>
        <w:fldChar w:fldCharType="end"/>
      </w:r>
      <w:r w:rsidRPr="00652C9F">
        <w:rPr>
          <w:b/>
        </w:rPr>
        <w:t xml:space="preserve">: </w:t>
      </w:r>
      <w:r w:rsidR="00291E07" w:rsidRPr="00652C9F">
        <w:rPr>
          <w:b/>
        </w:rPr>
        <w:t xml:space="preserve">Number of homes in Great Britain with cavity wall insulation and loft insulation by source, </w:t>
      </w:r>
      <w:r w:rsidR="00AF0271" w:rsidRPr="00652C9F">
        <w:rPr>
          <w:b/>
        </w:rPr>
        <w:t>September</w:t>
      </w:r>
      <w:r w:rsidR="002F723B" w:rsidRPr="00652C9F">
        <w:rPr>
          <w:b/>
        </w:rPr>
        <w:t xml:space="preserve"> 2014</w:t>
      </w:r>
      <w:r w:rsidR="00291E07" w:rsidRPr="00652C9F">
        <w:rPr>
          <w:b/>
        </w:rPr>
        <w:t xml:space="preserve"> (Thousands)</w:t>
      </w:r>
      <w:bookmarkEnd w:id="73"/>
      <w:bookmarkEnd w:id="74"/>
    </w:p>
    <w:p w:rsidR="00C66EA5" w:rsidRPr="00942C1F" w:rsidRDefault="00652C9F" w:rsidP="001B08CA">
      <w:pPr>
        <w:spacing w:line="240" w:lineRule="auto"/>
        <w:jc w:val="both"/>
        <w:rPr>
          <w:sz w:val="20"/>
        </w:rPr>
      </w:pPr>
      <w:r w:rsidRPr="00652C9F">
        <w:rPr>
          <w:noProof/>
          <w:lang w:eastAsia="en-GB"/>
        </w:rPr>
        <w:drawing>
          <wp:inline distT="0" distB="0" distL="0" distR="0" wp14:anchorId="6770A8B9" wp14:editId="6805BC2A">
            <wp:extent cx="4404213" cy="2914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2">
                      <a:extLst>
                        <a:ext uri="{28A0092B-C50C-407E-A947-70E740481C1C}">
                          <a14:useLocalDpi xmlns:a14="http://schemas.microsoft.com/office/drawing/2010/main" val="0"/>
                        </a:ext>
                      </a:extLst>
                    </a:blip>
                    <a:srcRect l="1323" t="1463" r="1890" b="2549"/>
                    <a:stretch/>
                  </pic:blipFill>
                  <pic:spPr bwMode="auto">
                    <a:xfrm>
                      <a:off x="0" y="0"/>
                      <a:ext cx="4404213" cy="2914650"/>
                    </a:xfrm>
                    <a:prstGeom prst="rect">
                      <a:avLst/>
                    </a:prstGeom>
                    <a:noFill/>
                    <a:ln>
                      <a:noFill/>
                    </a:ln>
                    <a:extLst>
                      <a:ext uri="{53640926-AAD7-44D8-BBD7-CCE9431645EC}">
                        <a14:shadowObscured xmlns:a14="http://schemas.microsoft.com/office/drawing/2010/main"/>
                      </a:ext>
                    </a:extLst>
                  </pic:spPr>
                </pic:pic>
              </a:graphicData>
            </a:graphic>
          </wp:inline>
        </w:drawing>
      </w:r>
    </w:p>
    <w:p w:rsidR="00291E07" w:rsidRDefault="00652C9F" w:rsidP="001B08CA">
      <w:pPr>
        <w:jc w:val="both"/>
        <w:rPr>
          <w:b/>
        </w:rPr>
      </w:pPr>
      <w:bookmarkStart w:id="75" w:name="_Toc374374416"/>
      <w:bookmarkStart w:id="76" w:name="_Toc405914264"/>
      <w:r w:rsidRPr="00652C9F">
        <w:rPr>
          <w:noProof/>
          <w:lang w:eastAsia="en-GB"/>
        </w:rPr>
        <w:lastRenderedPageBreak/>
        <w:drawing>
          <wp:anchor distT="0" distB="0" distL="114300" distR="114300" simplePos="0" relativeHeight="251715584" behindDoc="0" locked="0" layoutInCell="1" allowOverlap="1" wp14:anchorId="3F1073DF" wp14:editId="7539F8F7">
            <wp:simplePos x="0" y="0"/>
            <wp:positionH relativeFrom="column">
              <wp:posOffset>2540</wp:posOffset>
            </wp:positionH>
            <wp:positionV relativeFrom="paragraph">
              <wp:posOffset>365760</wp:posOffset>
            </wp:positionV>
            <wp:extent cx="4800600" cy="332994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00600" cy="33299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11320" w:rsidRPr="00652C9F">
        <w:rPr>
          <w:b/>
          <w:szCs w:val="24"/>
        </w:rPr>
        <w:t>Chart 2.</w:t>
      </w:r>
      <w:proofErr w:type="gramEnd"/>
      <w:r w:rsidR="00911320" w:rsidRPr="00652C9F">
        <w:rPr>
          <w:b/>
        </w:rPr>
        <w:fldChar w:fldCharType="begin"/>
      </w:r>
      <w:r w:rsidR="00911320" w:rsidRPr="00652C9F">
        <w:rPr>
          <w:b/>
        </w:rPr>
        <w:instrText xml:space="preserve"> SEQ Figure \* ARABIC </w:instrText>
      </w:r>
      <w:r w:rsidR="00911320" w:rsidRPr="00652C9F">
        <w:rPr>
          <w:b/>
        </w:rPr>
        <w:fldChar w:fldCharType="separate"/>
      </w:r>
      <w:r w:rsidR="006B5574">
        <w:rPr>
          <w:b/>
          <w:noProof/>
        </w:rPr>
        <w:t>5</w:t>
      </w:r>
      <w:r w:rsidR="00911320" w:rsidRPr="00652C9F">
        <w:rPr>
          <w:b/>
        </w:rPr>
        <w:fldChar w:fldCharType="end"/>
      </w:r>
      <w:r w:rsidR="00291E07" w:rsidRPr="00652C9F">
        <w:rPr>
          <w:b/>
        </w:rPr>
        <w:t xml:space="preserve">: Number of homes in Great Britain with solid wall insulation by source, </w:t>
      </w:r>
      <w:r w:rsidR="00AF0271" w:rsidRPr="00652C9F">
        <w:rPr>
          <w:b/>
        </w:rPr>
        <w:t>September</w:t>
      </w:r>
      <w:r w:rsidR="002F723B" w:rsidRPr="00652C9F">
        <w:rPr>
          <w:b/>
        </w:rPr>
        <w:t xml:space="preserve"> 2014</w:t>
      </w:r>
      <w:r w:rsidR="00291E07" w:rsidRPr="00652C9F">
        <w:rPr>
          <w:b/>
        </w:rPr>
        <w:t xml:space="preserve"> (Thousands)</w:t>
      </w:r>
      <w:r w:rsidR="00291E07" w:rsidRPr="00652C9F">
        <w:rPr>
          <w:rStyle w:val="FootnoteReference"/>
          <w:b/>
        </w:rPr>
        <w:footnoteReference w:id="33"/>
      </w:r>
      <w:bookmarkEnd w:id="75"/>
      <w:bookmarkEnd w:id="76"/>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Pr="004402A7" w:rsidRDefault="00291E07" w:rsidP="001B08CA">
      <w:pPr>
        <w:pStyle w:val="Heading2"/>
        <w:jc w:val="both"/>
      </w:pPr>
      <w:bookmarkStart w:id="77" w:name="_Toc406514292"/>
      <w:r w:rsidRPr="004402A7">
        <w:t>Remaining potential</w:t>
      </w:r>
      <w:bookmarkEnd w:id="77"/>
    </w:p>
    <w:p w:rsidR="00741805" w:rsidRDefault="000C72AB" w:rsidP="00741805">
      <w:pPr>
        <w:spacing w:before="0" w:after="0"/>
        <w:jc w:val="both"/>
      </w:pPr>
      <w:bookmarkStart w:id="78" w:name="_Toc374374417"/>
      <w:r>
        <w:t xml:space="preserve">A key use of these estimates for DECC is to identify homes that have the potential to receive cavity wall, loft and solid wall insulation in the future. The section below outlines remaining potential figures as at the end of </w:t>
      </w:r>
      <w:r w:rsidR="00AF0271">
        <w:t>September</w:t>
      </w:r>
      <w:r>
        <w:t xml:space="preserve"> 2014, for historical figures and a more detailed breakdown see Tables 2.3 to 2.7 in the </w:t>
      </w:r>
      <w:hyperlink r:id="rId74" w:history="1">
        <w:r w:rsidR="00741805" w:rsidRPr="001A2F46">
          <w:rPr>
            <w:color w:val="0000FF"/>
            <w:u w:val="single"/>
          </w:rPr>
          <w:t>Excel tables</w:t>
        </w:r>
      </w:hyperlink>
      <w:r w:rsidR="00741805" w:rsidRPr="00EF3971">
        <w:t xml:space="preserve"> accompanying this publication.</w:t>
      </w:r>
    </w:p>
    <w:p w:rsidR="00741805" w:rsidRDefault="00741805" w:rsidP="00741805">
      <w:pPr>
        <w:spacing w:before="0" w:after="0"/>
        <w:jc w:val="both"/>
      </w:pPr>
    </w:p>
    <w:p w:rsidR="00741805" w:rsidRDefault="00741805" w:rsidP="00741805">
      <w:pPr>
        <w:spacing w:before="0" w:after="0"/>
        <w:jc w:val="both"/>
      </w:pPr>
      <w:r>
        <w:t>Table 2.3 and Chart 2.6 give a summary of the remaining potential for insulating the housing stock in Great Britain.</w:t>
      </w:r>
    </w:p>
    <w:p w:rsidR="00741805" w:rsidRDefault="00741805" w:rsidP="00741805">
      <w:pPr>
        <w:spacing w:before="0" w:after="0"/>
        <w:jc w:val="both"/>
      </w:pPr>
    </w:p>
    <w:p w:rsidR="00741805" w:rsidRPr="00DE41C1" w:rsidRDefault="00741805" w:rsidP="00741805">
      <w:pPr>
        <w:jc w:val="both"/>
        <w:rPr>
          <w:b/>
        </w:rPr>
      </w:pPr>
      <w:r w:rsidRPr="00652C9F">
        <w:rPr>
          <w:b/>
        </w:rPr>
        <w:t xml:space="preserve">Table 2.3: Remaining potential to insulate the housing stock in Great Britain, </w:t>
      </w:r>
      <w:r w:rsidR="00AF0271" w:rsidRPr="00652C9F">
        <w:rPr>
          <w:b/>
        </w:rPr>
        <w:t>September</w:t>
      </w:r>
      <w:r w:rsidRPr="00652C9F">
        <w:rPr>
          <w:b/>
        </w:rPr>
        <w:t xml:space="preserve"> 2014</w:t>
      </w:r>
      <w:r w:rsidR="000C72AB" w:rsidRPr="00652C9F">
        <w:rPr>
          <w:b/>
        </w:rPr>
        <w:t xml:space="preserve"> (Thousands)</w:t>
      </w:r>
    </w:p>
    <w:tbl>
      <w:tblPr>
        <w:tblW w:w="9072" w:type="dxa"/>
        <w:tblInd w:w="108" w:type="dxa"/>
        <w:tblLayout w:type="fixed"/>
        <w:tblLook w:val="04A0" w:firstRow="1" w:lastRow="0" w:firstColumn="1" w:lastColumn="0" w:noHBand="0" w:noVBand="1"/>
      </w:tblPr>
      <w:tblGrid>
        <w:gridCol w:w="1560"/>
        <w:gridCol w:w="2068"/>
        <w:gridCol w:w="1815"/>
        <w:gridCol w:w="1814"/>
        <w:gridCol w:w="1815"/>
      </w:tblGrid>
      <w:tr w:rsidR="00741805" w:rsidRPr="00960C10" w:rsidTr="00741805">
        <w:trPr>
          <w:trHeight w:val="510"/>
        </w:trPr>
        <w:tc>
          <w:tcPr>
            <w:tcW w:w="1560" w:type="dxa"/>
            <w:tcBorders>
              <w:top w:val="single" w:sz="4" w:space="0" w:color="auto"/>
              <w:left w:val="nil"/>
              <w:bottom w:val="single" w:sz="4" w:space="0" w:color="auto"/>
              <w:right w:val="nil"/>
            </w:tcBorders>
            <w:shd w:val="clear" w:color="auto" w:fill="auto"/>
            <w:vAlign w:val="center"/>
            <w:hideMark/>
          </w:tcPr>
          <w:p w:rsidR="00741805" w:rsidRPr="0004339F" w:rsidRDefault="00741805" w:rsidP="00741805">
            <w:pPr>
              <w:spacing w:before="0" w:after="0" w:line="240" w:lineRule="auto"/>
              <w:rPr>
                <w:color w:val="000000"/>
                <w:szCs w:val="24"/>
                <w:lang w:eastAsia="en-GB"/>
              </w:rPr>
            </w:pPr>
            <w:r w:rsidRPr="0004339F">
              <w:rPr>
                <w:color w:val="000000"/>
                <w:szCs w:val="24"/>
                <w:lang w:eastAsia="en-GB"/>
              </w:rPr>
              <w:t>Insulation type</w:t>
            </w:r>
          </w:p>
        </w:tc>
        <w:tc>
          <w:tcPr>
            <w:tcW w:w="2068" w:type="dxa"/>
            <w:tcBorders>
              <w:top w:val="single" w:sz="4" w:space="0" w:color="auto"/>
              <w:left w:val="nil"/>
              <w:bottom w:val="single" w:sz="4" w:space="0" w:color="auto"/>
              <w:right w:val="nil"/>
            </w:tcBorders>
            <w:shd w:val="clear" w:color="auto" w:fill="auto"/>
            <w:vAlign w:val="center"/>
            <w:hideMark/>
          </w:tcPr>
          <w:p w:rsidR="00741805" w:rsidRPr="0004339F" w:rsidRDefault="00741805" w:rsidP="00741805">
            <w:pPr>
              <w:spacing w:before="0" w:after="0" w:line="240" w:lineRule="auto"/>
              <w:rPr>
                <w:color w:val="000000"/>
                <w:szCs w:val="24"/>
                <w:lang w:eastAsia="en-GB"/>
              </w:rPr>
            </w:pPr>
            <w:r w:rsidRPr="0004339F">
              <w:rPr>
                <w:color w:val="000000"/>
                <w:szCs w:val="24"/>
                <w:lang w:eastAsia="en-GB"/>
              </w:rPr>
              <w:t>Insulated</w:t>
            </w:r>
          </w:p>
        </w:tc>
        <w:tc>
          <w:tcPr>
            <w:tcW w:w="1815" w:type="dxa"/>
            <w:tcBorders>
              <w:top w:val="single" w:sz="4" w:space="0" w:color="auto"/>
              <w:left w:val="nil"/>
              <w:bottom w:val="single" w:sz="4" w:space="0" w:color="auto"/>
              <w:right w:val="nil"/>
            </w:tcBorders>
            <w:shd w:val="clear" w:color="auto" w:fill="auto"/>
            <w:vAlign w:val="center"/>
            <w:hideMark/>
          </w:tcPr>
          <w:p w:rsidR="00741805" w:rsidRPr="0004339F" w:rsidRDefault="00741805" w:rsidP="00741805">
            <w:pPr>
              <w:spacing w:before="0" w:after="0" w:line="240" w:lineRule="auto"/>
              <w:rPr>
                <w:color w:val="000000"/>
                <w:szCs w:val="24"/>
                <w:lang w:eastAsia="en-GB"/>
              </w:rPr>
            </w:pPr>
            <w:r w:rsidRPr="0004339F">
              <w:rPr>
                <w:color w:val="000000"/>
                <w:szCs w:val="24"/>
                <w:lang w:eastAsia="en-GB"/>
              </w:rPr>
              <w:t>Uncertainty*</w:t>
            </w:r>
          </w:p>
        </w:tc>
        <w:tc>
          <w:tcPr>
            <w:tcW w:w="1814" w:type="dxa"/>
            <w:tcBorders>
              <w:top w:val="single" w:sz="4" w:space="0" w:color="auto"/>
              <w:left w:val="nil"/>
              <w:bottom w:val="single" w:sz="4" w:space="0" w:color="auto"/>
              <w:right w:val="nil"/>
            </w:tcBorders>
            <w:shd w:val="clear" w:color="auto" w:fill="auto"/>
            <w:vAlign w:val="center"/>
            <w:hideMark/>
          </w:tcPr>
          <w:p w:rsidR="00741805" w:rsidRPr="0004339F" w:rsidRDefault="00741805" w:rsidP="00741805">
            <w:pPr>
              <w:spacing w:before="0" w:after="0" w:line="240" w:lineRule="auto"/>
              <w:rPr>
                <w:color w:val="000000"/>
                <w:szCs w:val="24"/>
                <w:lang w:eastAsia="en-GB"/>
              </w:rPr>
            </w:pPr>
            <w:r w:rsidRPr="0004339F">
              <w:rPr>
                <w:color w:val="000000"/>
                <w:szCs w:val="24"/>
                <w:lang w:eastAsia="en-GB"/>
              </w:rPr>
              <w:t>Remaining potential**</w:t>
            </w:r>
          </w:p>
        </w:tc>
        <w:tc>
          <w:tcPr>
            <w:tcW w:w="1815" w:type="dxa"/>
            <w:tcBorders>
              <w:top w:val="single" w:sz="4" w:space="0" w:color="auto"/>
              <w:left w:val="nil"/>
              <w:bottom w:val="single" w:sz="4" w:space="0" w:color="auto"/>
              <w:right w:val="nil"/>
            </w:tcBorders>
            <w:shd w:val="clear" w:color="auto" w:fill="auto"/>
            <w:vAlign w:val="center"/>
            <w:hideMark/>
          </w:tcPr>
          <w:p w:rsidR="00741805" w:rsidRPr="0004339F" w:rsidRDefault="00741805" w:rsidP="00741805">
            <w:pPr>
              <w:spacing w:before="0" w:after="0" w:line="240" w:lineRule="auto"/>
              <w:rPr>
                <w:color w:val="000000"/>
                <w:szCs w:val="24"/>
                <w:lang w:eastAsia="en-GB"/>
              </w:rPr>
            </w:pPr>
            <w:r w:rsidRPr="0004339F">
              <w:rPr>
                <w:color w:val="000000"/>
                <w:szCs w:val="24"/>
                <w:lang w:eastAsia="en-GB"/>
              </w:rPr>
              <w:t>Total properties</w:t>
            </w:r>
          </w:p>
        </w:tc>
      </w:tr>
      <w:tr w:rsidR="000C72AB" w:rsidRPr="00960C10" w:rsidTr="00741805">
        <w:trPr>
          <w:trHeight w:val="255"/>
        </w:trPr>
        <w:tc>
          <w:tcPr>
            <w:tcW w:w="1560" w:type="dxa"/>
            <w:vMerge w:val="restart"/>
            <w:tcBorders>
              <w:top w:val="single" w:sz="4" w:space="0" w:color="auto"/>
              <w:left w:val="nil"/>
              <w:bottom w:val="single" w:sz="4" w:space="0" w:color="000000"/>
              <w:right w:val="nil"/>
            </w:tcBorders>
            <w:shd w:val="clear" w:color="000000" w:fill="FFFFFF"/>
            <w:vAlign w:val="bottom"/>
            <w:hideMark/>
          </w:tcPr>
          <w:p w:rsidR="000C72AB" w:rsidRPr="0004339F" w:rsidRDefault="000C72AB" w:rsidP="00741805">
            <w:pPr>
              <w:spacing w:before="0" w:after="0" w:line="240" w:lineRule="auto"/>
              <w:rPr>
                <w:color w:val="000000"/>
                <w:szCs w:val="24"/>
                <w:lang w:eastAsia="en-GB"/>
              </w:rPr>
            </w:pPr>
            <w:r w:rsidRPr="0004339F">
              <w:rPr>
                <w:color w:val="000000"/>
                <w:szCs w:val="24"/>
                <w:lang w:eastAsia="en-GB"/>
              </w:rPr>
              <w:t>Cavity wall insulation</w:t>
            </w:r>
          </w:p>
        </w:tc>
        <w:tc>
          <w:tcPr>
            <w:tcW w:w="2068" w:type="dxa"/>
            <w:tcBorders>
              <w:top w:val="single" w:sz="4" w:space="0" w:color="auto"/>
              <w:left w:val="nil"/>
              <w:bottom w:val="nil"/>
              <w:right w:val="nil"/>
            </w:tcBorders>
            <w:shd w:val="clear" w:color="000000" w:fill="FFFFFF"/>
            <w:noWrap/>
            <w:vAlign w:val="bottom"/>
            <w:hideMark/>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13,8</w:t>
            </w:r>
            <w:r w:rsidR="00652C9F">
              <w:rPr>
                <w:color w:val="000000"/>
                <w:szCs w:val="24"/>
                <w:lang w:eastAsia="en-GB"/>
              </w:rPr>
              <w:t>90</w:t>
            </w:r>
          </w:p>
        </w:tc>
        <w:tc>
          <w:tcPr>
            <w:tcW w:w="1815" w:type="dxa"/>
            <w:tcBorders>
              <w:top w:val="single" w:sz="4" w:space="0" w:color="auto"/>
              <w:left w:val="nil"/>
              <w:bottom w:val="nil"/>
              <w:right w:val="nil"/>
            </w:tcBorders>
            <w:shd w:val="clear" w:color="000000" w:fill="FFFFFF"/>
            <w:noWrap/>
            <w:vAlign w:val="bottom"/>
            <w:hideMark/>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480</w:t>
            </w:r>
          </w:p>
        </w:tc>
        <w:tc>
          <w:tcPr>
            <w:tcW w:w="1814" w:type="dxa"/>
            <w:tcBorders>
              <w:top w:val="single" w:sz="4" w:space="0" w:color="auto"/>
              <w:left w:val="nil"/>
              <w:bottom w:val="nil"/>
              <w:right w:val="nil"/>
            </w:tcBorders>
            <w:shd w:val="clear" w:color="000000" w:fill="FFFFFF"/>
            <w:noWrap/>
            <w:vAlign w:val="bottom"/>
            <w:hideMark/>
          </w:tcPr>
          <w:p w:rsidR="000C72AB" w:rsidRPr="0004339F" w:rsidRDefault="00652C9F" w:rsidP="00652C9F">
            <w:pPr>
              <w:spacing w:before="0" w:after="0" w:line="240" w:lineRule="auto"/>
              <w:rPr>
                <w:color w:val="000000"/>
                <w:szCs w:val="24"/>
                <w:lang w:eastAsia="en-GB"/>
              </w:rPr>
            </w:pPr>
            <w:r>
              <w:rPr>
                <w:color w:val="000000"/>
                <w:szCs w:val="24"/>
                <w:lang w:eastAsia="en-GB"/>
              </w:rPr>
              <w:t>4</w:t>
            </w:r>
            <w:r w:rsidR="000C72AB" w:rsidRPr="0004339F">
              <w:rPr>
                <w:color w:val="000000"/>
                <w:szCs w:val="24"/>
                <w:lang w:eastAsia="en-GB"/>
              </w:rPr>
              <w:t>,</w:t>
            </w:r>
            <w:r>
              <w:rPr>
                <w:color w:val="000000"/>
                <w:szCs w:val="24"/>
                <w:lang w:eastAsia="en-GB"/>
              </w:rPr>
              <w:t>970</w:t>
            </w:r>
          </w:p>
        </w:tc>
        <w:tc>
          <w:tcPr>
            <w:tcW w:w="1815" w:type="dxa"/>
            <w:tcBorders>
              <w:top w:val="single" w:sz="4" w:space="0" w:color="auto"/>
              <w:left w:val="nil"/>
              <w:bottom w:val="nil"/>
              <w:right w:val="nil"/>
            </w:tcBorders>
            <w:shd w:val="clear" w:color="000000" w:fill="FFFFFF"/>
            <w:noWrap/>
            <w:vAlign w:val="bottom"/>
            <w:hideMark/>
          </w:tcPr>
          <w:p w:rsidR="000C72AB" w:rsidRPr="0004339F" w:rsidRDefault="000C72AB" w:rsidP="00652C9F">
            <w:pPr>
              <w:spacing w:before="0" w:after="0" w:line="240" w:lineRule="auto"/>
              <w:rPr>
                <w:color w:val="000000"/>
                <w:szCs w:val="24"/>
                <w:lang w:eastAsia="en-GB"/>
              </w:rPr>
            </w:pPr>
            <w:r w:rsidRPr="0004339F">
              <w:rPr>
                <w:color w:val="000000"/>
                <w:szCs w:val="24"/>
                <w:lang w:eastAsia="en-GB"/>
              </w:rPr>
              <w:t>19,3</w:t>
            </w:r>
            <w:r w:rsidR="00652C9F">
              <w:rPr>
                <w:color w:val="000000"/>
                <w:szCs w:val="24"/>
                <w:lang w:eastAsia="en-GB"/>
              </w:rPr>
              <w:t>5</w:t>
            </w:r>
            <w:r w:rsidRPr="0004339F">
              <w:rPr>
                <w:color w:val="000000"/>
                <w:szCs w:val="24"/>
                <w:lang w:eastAsia="en-GB"/>
              </w:rPr>
              <w:t>0</w:t>
            </w:r>
          </w:p>
        </w:tc>
      </w:tr>
      <w:tr w:rsidR="000C72AB" w:rsidRPr="00960C10" w:rsidTr="00741805">
        <w:trPr>
          <w:trHeight w:val="255"/>
        </w:trPr>
        <w:tc>
          <w:tcPr>
            <w:tcW w:w="1560" w:type="dxa"/>
            <w:vMerge/>
            <w:tcBorders>
              <w:top w:val="nil"/>
              <w:left w:val="nil"/>
              <w:bottom w:val="single" w:sz="4" w:space="0" w:color="auto"/>
              <w:right w:val="nil"/>
            </w:tcBorders>
            <w:vAlign w:val="center"/>
            <w:hideMark/>
          </w:tcPr>
          <w:p w:rsidR="000C72AB" w:rsidRPr="0004339F" w:rsidRDefault="000C72AB" w:rsidP="00741805">
            <w:pPr>
              <w:spacing w:before="0" w:after="0" w:line="240" w:lineRule="auto"/>
              <w:rPr>
                <w:color w:val="000000"/>
                <w:szCs w:val="24"/>
                <w:lang w:eastAsia="en-GB"/>
              </w:rPr>
            </w:pPr>
          </w:p>
        </w:tc>
        <w:tc>
          <w:tcPr>
            <w:tcW w:w="2068" w:type="dxa"/>
            <w:tcBorders>
              <w:top w:val="nil"/>
              <w:left w:val="nil"/>
              <w:bottom w:val="single" w:sz="4" w:space="0" w:color="auto"/>
              <w:right w:val="nil"/>
            </w:tcBorders>
            <w:shd w:val="clear" w:color="000000" w:fill="FFFFFF"/>
            <w:noWrap/>
            <w:vAlign w:val="bottom"/>
            <w:hideMark/>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72%</w:t>
            </w:r>
          </w:p>
        </w:tc>
        <w:tc>
          <w:tcPr>
            <w:tcW w:w="1815" w:type="dxa"/>
            <w:tcBorders>
              <w:top w:val="nil"/>
              <w:left w:val="nil"/>
              <w:bottom w:val="single" w:sz="4" w:space="0" w:color="auto"/>
              <w:right w:val="nil"/>
            </w:tcBorders>
            <w:shd w:val="clear" w:color="000000" w:fill="FFFFFF"/>
            <w:noWrap/>
            <w:vAlign w:val="bottom"/>
            <w:hideMark/>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2%</w:t>
            </w:r>
          </w:p>
        </w:tc>
        <w:tc>
          <w:tcPr>
            <w:tcW w:w="1814" w:type="dxa"/>
            <w:tcBorders>
              <w:top w:val="nil"/>
              <w:left w:val="nil"/>
              <w:bottom w:val="single" w:sz="4" w:space="0" w:color="auto"/>
              <w:right w:val="nil"/>
            </w:tcBorders>
            <w:shd w:val="clear" w:color="000000" w:fill="FFFFFF"/>
            <w:noWrap/>
            <w:vAlign w:val="bottom"/>
            <w:hideMark/>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26%</w:t>
            </w:r>
          </w:p>
        </w:tc>
        <w:tc>
          <w:tcPr>
            <w:tcW w:w="1815" w:type="dxa"/>
            <w:tcBorders>
              <w:top w:val="nil"/>
              <w:left w:val="nil"/>
              <w:bottom w:val="single" w:sz="4" w:space="0" w:color="auto"/>
              <w:right w:val="nil"/>
            </w:tcBorders>
            <w:shd w:val="clear" w:color="000000" w:fill="FFFFFF"/>
            <w:noWrap/>
            <w:vAlign w:val="bottom"/>
            <w:hideMark/>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100%</w:t>
            </w:r>
          </w:p>
        </w:tc>
      </w:tr>
      <w:tr w:rsidR="000C72AB" w:rsidRPr="00960C10" w:rsidTr="00741805">
        <w:trPr>
          <w:trHeight w:val="255"/>
        </w:trPr>
        <w:tc>
          <w:tcPr>
            <w:tcW w:w="1560" w:type="dxa"/>
            <w:vMerge w:val="restart"/>
            <w:tcBorders>
              <w:top w:val="single" w:sz="4" w:space="0" w:color="auto"/>
              <w:left w:val="nil"/>
              <w:right w:val="nil"/>
            </w:tcBorders>
            <w:vAlign w:val="bottom"/>
          </w:tcPr>
          <w:p w:rsidR="000C72AB" w:rsidRPr="0004339F" w:rsidRDefault="000C72AB" w:rsidP="00741805">
            <w:pPr>
              <w:spacing w:before="0" w:after="0" w:line="240" w:lineRule="auto"/>
              <w:rPr>
                <w:color w:val="000000"/>
                <w:szCs w:val="24"/>
                <w:lang w:eastAsia="en-GB"/>
              </w:rPr>
            </w:pPr>
            <w:r w:rsidRPr="0004339F">
              <w:rPr>
                <w:color w:val="000000"/>
                <w:szCs w:val="24"/>
                <w:lang w:eastAsia="en-GB"/>
              </w:rPr>
              <w:t>Loft insulation</w:t>
            </w:r>
          </w:p>
        </w:tc>
        <w:tc>
          <w:tcPr>
            <w:tcW w:w="2068" w:type="dxa"/>
            <w:tcBorders>
              <w:top w:val="single" w:sz="4" w:space="0" w:color="auto"/>
              <w:left w:val="nil"/>
              <w:right w:val="nil"/>
            </w:tcBorders>
            <w:shd w:val="clear" w:color="000000" w:fill="FFFFFF"/>
            <w:noWrap/>
            <w:vAlign w:val="bottom"/>
          </w:tcPr>
          <w:p w:rsidR="000C72AB" w:rsidRPr="0004339F" w:rsidRDefault="00652C9F" w:rsidP="005070C8">
            <w:pPr>
              <w:spacing w:before="0" w:after="0" w:line="240" w:lineRule="auto"/>
              <w:rPr>
                <w:color w:val="000000"/>
                <w:szCs w:val="24"/>
                <w:lang w:eastAsia="en-GB"/>
              </w:rPr>
            </w:pPr>
            <w:r>
              <w:rPr>
                <w:color w:val="000000"/>
                <w:szCs w:val="24"/>
                <w:lang w:eastAsia="en-GB"/>
              </w:rPr>
              <w:t>16,49</w:t>
            </w:r>
            <w:r w:rsidR="000C72AB" w:rsidRPr="0004339F">
              <w:rPr>
                <w:color w:val="000000"/>
                <w:szCs w:val="24"/>
                <w:lang w:eastAsia="en-GB"/>
              </w:rPr>
              <w:t>0</w:t>
            </w:r>
          </w:p>
        </w:tc>
        <w:tc>
          <w:tcPr>
            <w:tcW w:w="1815" w:type="dxa"/>
            <w:tcBorders>
              <w:top w:val="single" w:sz="4" w:space="0" w:color="auto"/>
              <w:left w:val="nil"/>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110</w:t>
            </w:r>
          </w:p>
        </w:tc>
        <w:tc>
          <w:tcPr>
            <w:tcW w:w="1814" w:type="dxa"/>
            <w:tcBorders>
              <w:top w:val="single" w:sz="4" w:space="0" w:color="auto"/>
              <w:left w:val="nil"/>
              <w:right w:val="nil"/>
            </w:tcBorders>
            <w:shd w:val="clear" w:color="000000" w:fill="FFFFFF"/>
            <w:noWrap/>
            <w:vAlign w:val="bottom"/>
          </w:tcPr>
          <w:p w:rsidR="000C72AB" w:rsidRPr="0004339F" w:rsidRDefault="000C72AB" w:rsidP="00652C9F">
            <w:pPr>
              <w:spacing w:before="0" w:after="0" w:line="240" w:lineRule="auto"/>
              <w:rPr>
                <w:color w:val="000000"/>
                <w:szCs w:val="24"/>
                <w:lang w:eastAsia="en-GB"/>
              </w:rPr>
            </w:pPr>
            <w:r w:rsidRPr="0004339F">
              <w:rPr>
                <w:color w:val="000000"/>
                <w:szCs w:val="24"/>
                <w:lang w:eastAsia="en-GB"/>
              </w:rPr>
              <w:t>7,2</w:t>
            </w:r>
            <w:r w:rsidR="00652C9F">
              <w:rPr>
                <w:color w:val="000000"/>
                <w:szCs w:val="24"/>
                <w:lang w:eastAsia="en-GB"/>
              </w:rPr>
              <w:t>7</w:t>
            </w:r>
            <w:r w:rsidRPr="0004339F">
              <w:rPr>
                <w:color w:val="000000"/>
                <w:szCs w:val="24"/>
                <w:lang w:eastAsia="en-GB"/>
              </w:rPr>
              <w:t>0</w:t>
            </w:r>
          </w:p>
        </w:tc>
        <w:tc>
          <w:tcPr>
            <w:tcW w:w="1815" w:type="dxa"/>
            <w:tcBorders>
              <w:top w:val="single" w:sz="4" w:space="0" w:color="auto"/>
              <w:left w:val="nil"/>
              <w:right w:val="nil"/>
            </w:tcBorders>
            <w:shd w:val="clear" w:color="000000" w:fill="FFFFFF"/>
            <w:noWrap/>
            <w:vAlign w:val="bottom"/>
          </w:tcPr>
          <w:p w:rsidR="000C72AB" w:rsidRPr="0004339F" w:rsidRDefault="000C72AB" w:rsidP="00652C9F">
            <w:pPr>
              <w:spacing w:before="0" w:after="0" w:line="240" w:lineRule="auto"/>
              <w:rPr>
                <w:color w:val="000000"/>
                <w:szCs w:val="24"/>
                <w:lang w:eastAsia="en-GB"/>
              </w:rPr>
            </w:pPr>
            <w:r w:rsidRPr="0004339F">
              <w:rPr>
                <w:color w:val="000000"/>
                <w:szCs w:val="24"/>
                <w:lang w:eastAsia="en-GB"/>
              </w:rPr>
              <w:t>23,8</w:t>
            </w:r>
            <w:r w:rsidR="00652C9F">
              <w:rPr>
                <w:color w:val="000000"/>
                <w:szCs w:val="24"/>
                <w:lang w:eastAsia="en-GB"/>
              </w:rPr>
              <w:t>7</w:t>
            </w:r>
            <w:r w:rsidRPr="0004339F">
              <w:rPr>
                <w:color w:val="000000"/>
                <w:szCs w:val="24"/>
                <w:lang w:eastAsia="en-GB"/>
              </w:rPr>
              <w:t>0</w:t>
            </w:r>
          </w:p>
        </w:tc>
      </w:tr>
      <w:tr w:rsidR="000C72AB" w:rsidRPr="00960C10" w:rsidTr="00741805">
        <w:trPr>
          <w:trHeight w:val="255"/>
        </w:trPr>
        <w:tc>
          <w:tcPr>
            <w:tcW w:w="1560" w:type="dxa"/>
            <w:vMerge/>
            <w:tcBorders>
              <w:left w:val="nil"/>
              <w:bottom w:val="single" w:sz="4" w:space="0" w:color="auto"/>
              <w:right w:val="nil"/>
            </w:tcBorders>
            <w:vAlign w:val="center"/>
          </w:tcPr>
          <w:p w:rsidR="000C72AB" w:rsidRPr="0004339F" w:rsidRDefault="000C72AB" w:rsidP="00741805">
            <w:pPr>
              <w:spacing w:before="0" w:after="0" w:line="240" w:lineRule="auto"/>
              <w:rPr>
                <w:color w:val="000000"/>
                <w:szCs w:val="24"/>
                <w:lang w:eastAsia="en-GB"/>
              </w:rPr>
            </w:pPr>
          </w:p>
        </w:tc>
        <w:tc>
          <w:tcPr>
            <w:tcW w:w="2068" w:type="dxa"/>
            <w:tcBorders>
              <w:top w:val="nil"/>
              <w:left w:val="nil"/>
              <w:bottom w:val="single" w:sz="4" w:space="0" w:color="auto"/>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69%</w:t>
            </w:r>
          </w:p>
        </w:tc>
        <w:tc>
          <w:tcPr>
            <w:tcW w:w="1815" w:type="dxa"/>
            <w:tcBorders>
              <w:top w:val="nil"/>
              <w:left w:val="nil"/>
              <w:bottom w:val="single" w:sz="4" w:space="0" w:color="auto"/>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0.5%</w:t>
            </w:r>
          </w:p>
        </w:tc>
        <w:tc>
          <w:tcPr>
            <w:tcW w:w="1814" w:type="dxa"/>
            <w:tcBorders>
              <w:top w:val="nil"/>
              <w:left w:val="nil"/>
              <w:bottom w:val="single" w:sz="4" w:space="0" w:color="auto"/>
              <w:right w:val="nil"/>
            </w:tcBorders>
            <w:shd w:val="clear" w:color="000000" w:fill="FFFFFF"/>
            <w:noWrap/>
            <w:vAlign w:val="bottom"/>
          </w:tcPr>
          <w:p w:rsidR="000C72AB" w:rsidRPr="0004339F" w:rsidRDefault="000C72AB" w:rsidP="00652C9F">
            <w:pPr>
              <w:spacing w:before="0" w:after="0" w:line="240" w:lineRule="auto"/>
              <w:rPr>
                <w:color w:val="000000"/>
                <w:szCs w:val="24"/>
                <w:lang w:eastAsia="en-GB"/>
              </w:rPr>
            </w:pPr>
            <w:r w:rsidRPr="0004339F">
              <w:rPr>
                <w:color w:val="000000"/>
                <w:szCs w:val="24"/>
                <w:lang w:eastAsia="en-GB"/>
              </w:rPr>
              <w:t>3</w:t>
            </w:r>
            <w:r w:rsidR="00652C9F">
              <w:rPr>
                <w:color w:val="000000"/>
                <w:szCs w:val="24"/>
                <w:lang w:eastAsia="en-GB"/>
              </w:rPr>
              <w:t>0</w:t>
            </w:r>
            <w:r w:rsidRPr="0004339F">
              <w:rPr>
                <w:color w:val="000000"/>
                <w:szCs w:val="24"/>
                <w:lang w:eastAsia="en-GB"/>
              </w:rPr>
              <w:t>%</w:t>
            </w:r>
          </w:p>
        </w:tc>
        <w:tc>
          <w:tcPr>
            <w:tcW w:w="1815" w:type="dxa"/>
            <w:tcBorders>
              <w:top w:val="nil"/>
              <w:left w:val="nil"/>
              <w:bottom w:val="single" w:sz="4" w:space="0" w:color="auto"/>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100%</w:t>
            </w:r>
          </w:p>
        </w:tc>
      </w:tr>
      <w:tr w:rsidR="000C72AB" w:rsidRPr="00960C10" w:rsidTr="00741805">
        <w:trPr>
          <w:trHeight w:val="255"/>
        </w:trPr>
        <w:tc>
          <w:tcPr>
            <w:tcW w:w="1560" w:type="dxa"/>
            <w:vMerge w:val="restart"/>
            <w:tcBorders>
              <w:top w:val="single" w:sz="4" w:space="0" w:color="auto"/>
              <w:left w:val="nil"/>
              <w:right w:val="nil"/>
            </w:tcBorders>
            <w:vAlign w:val="center"/>
          </w:tcPr>
          <w:p w:rsidR="000C72AB" w:rsidRPr="0004339F" w:rsidRDefault="000C72AB" w:rsidP="00741805">
            <w:pPr>
              <w:spacing w:before="0" w:after="0" w:line="240" w:lineRule="auto"/>
              <w:rPr>
                <w:color w:val="000000"/>
                <w:szCs w:val="24"/>
                <w:lang w:eastAsia="en-GB"/>
              </w:rPr>
            </w:pPr>
            <w:r w:rsidRPr="0004339F">
              <w:rPr>
                <w:color w:val="000000"/>
                <w:szCs w:val="24"/>
                <w:lang w:eastAsia="en-GB"/>
              </w:rPr>
              <w:t>Solid wall insulation</w:t>
            </w:r>
          </w:p>
        </w:tc>
        <w:tc>
          <w:tcPr>
            <w:tcW w:w="2068" w:type="dxa"/>
            <w:tcBorders>
              <w:top w:val="single" w:sz="4" w:space="0" w:color="auto"/>
              <w:left w:val="nil"/>
              <w:bottom w:val="nil"/>
              <w:right w:val="nil"/>
            </w:tcBorders>
            <w:shd w:val="clear" w:color="000000" w:fill="FFFFFF"/>
            <w:noWrap/>
            <w:vAlign w:val="bottom"/>
          </w:tcPr>
          <w:p w:rsidR="000C72AB" w:rsidRPr="0004339F" w:rsidRDefault="00652C9F" w:rsidP="005070C8">
            <w:pPr>
              <w:spacing w:before="0" w:after="0" w:line="240" w:lineRule="auto"/>
              <w:rPr>
                <w:color w:val="000000"/>
                <w:szCs w:val="24"/>
                <w:lang w:eastAsia="en-GB"/>
              </w:rPr>
            </w:pPr>
            <w:r>
              <w:rPr>
                <w:color w:val="000000"/>
                <w:szCs w:val="24"/>
                <w:lang w:eastAsia="en-GB"/>
              </w:rPr>
              <w:t>273</w:t>
            </w:r>
          </w:p>
        </w:tc>
        <w:tc>
          <w:tcPr>
            <w:tcW w:w="1815" w:type="dxa"/>
            <w:tcBorders>
              <w:top w:val="single" w:sz="4" w:space="0" w:color="auto"/>
              <w:left w:val="nil"/>
              <w:bottom w:val="nil"/>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126</w:t>
            </w:r>
          </w:p>
        </w:tc>
        <w:tc>
          <w:tcPr>
            <w:tcW w:w="1814" w:type="dxa"/>
            <w:tcBorders>
              <w:top w:val="single" w:sz="4" w:space="0" w:color="auto"/>
              <w:left w:val="nil"/>
              <w:bottom w:val="nil"/>
              <w:right w:val="nil"/>
            </w:tcBorders>
            <w:shd w:val="clear" w:color="000000" w:fill="FFFFFF"/>
            <w:noWrap/>
            <w:vAlign w:val="bottom"/>
          </w:tcPr>
          <w:p w:rsidR="000C72AB" w:rsidRPr="0004339F" w:rsidRDefault="000C72AB" w:rsidP="00652C9F">
            <w:pPr>
              <w:spacing w:before="0" w:after="0" w:line="240" w:lineRule="auto"/>
              <w:rPr>
                <w:color w:val="000000"/>
                <w:szCs w:val="24"/>
                <w:lang w:eastAsia="en-GB"/>
              </w:rPr>
            </w:pPr>
            <w:r w:rsidRPr="0004339F">
              <w:rPr>
                <w:color w:val="000000"/>
                <w:szCs w:val="24"/>
                <w:lang w:eastAsia="en-GB"/>
              </w:rPr>
              <w:t>7,</w:t>
            </w:r>
            <w:r w:rsidR="00652C9F">
              <w:rPr>
                <w:color w:val="000000"/>
                <w:szCs w:val="24"/>
                <w:lang w:eastAsia="en-GB"/>
              </w:rPr>
              <w:t>590</w:t>
            </w:r>
          </w:p>
        </w:tc>
        <w:tc>
          <w:tcPr>
            <w:tcW w:w="1815" w:type="dxa"/>
            <w:tcBorders>
              <w:top w:val="single" w:sz="4" w:space="0" w:color="auto"/>
              <w:left w:val="nil"/>
              <w:bottom w:val="nil"/>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7,990</w:t>
            </w:r>
          </w:p>
        </w:tc>
      </w:tr>
      <w:tr w:rsidR="000C72AB" w:rsidRPr="00960C10" w:rsidTr="00741805">
        <w:trPr>
          <w:trHeight w:val="255"/>
        </w:trPr>
        <w:tc>
          <w:tcPr>
            <w:tcW w:w="1560" w:type="dxa"/>
            <w:vMerge/>
            <w:tcBorders>
              <w:left w:val="nil"/>
              <w:bottom w:val="single" w:sz="4" w:space="0" w:color="auto"/>
              <w:right w:val="nil"/>
            </w:tcBorders>
            <w:vAlign w:val="center"/>
          </w:tcPr>
          <w:p w:rsidR="000C72AB" w:rsidRPr="0004339F" w:rsidRDefault="000C72AB" w:rsidP="00741805">
            <w:pPr>
              <w:spacing w:before="0" w:after="0" w:line="240" w:lineRule="auto"/>
              <w:rPr>
                <w:color w:val="000000"/>
                <w:szCs w:val="24"/>
                <w:lang w:eastAsia="en-GB"/>
              </w:rPr>
            </w:pPr>
          </w:p>
        </w:tc>
        <w:tc>
          <w:tcPr>
            <w:tcW w:w="2068" w:type="dxa"/>
            <w:tcBorders>
              <w:top w:val="nil"/>
              <w:left w:val="nil"/>
              <w:bottom w:val="single" w:sz="4" w:space="0" w:color="auto"/>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3%</w:t>
            </w:r>
          </w:p>
        </w:tc>
        <w:tc>
          <w:tcPr>
            <w:tcW w:w="1815" w:type="dxa"/>
            <w:tcBorders>
              <w:top w:val="nil"/>
              <w:left w:val="nil"/>
              <w:bottom w:val="single" w:sz="4" w:space="0" w:color="auto"/>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2%</w:t>
            </w:r>
          </w:p>
        </w:tc>
        <w:tc>
          <w:tcPr>
            <w:tcW w:w="1814" w:type="dxa"/>
            <w:tcBorders>
              <w:top w:val="nil"/>
              <w:left w:val="nil"/>
              <w:bottom w:val="single" w:sz="4" w:space="0" w:color="auto"/>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95%</w:t>
            </w:r>
          </w:p>
        </w:tc>
        <w:tc>
          <w:tcPr>
            <w:tcW w:w="1815" w:type="dxa"/>
            <w:tcBorders>
              <w:top w:val="nil"/>
              <w:left w:val="nil"/>
              <w:bottom w:val="single" w:sz="4" w:space="0" w:color="auto"/>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100%</w:t>
            </w:r>
          </w:p>
        </w:tc>
      </w:tr>
    </w:tbl>
    <w:p w:rsidR="00741805" w:rsidRPr="00960C10" w:rsidRDefault="00741805" w:rsidP="00741805">
      <w:pPr>
        <w:spacing w:before="0" w:after="0"/>
        <w:jc w:val="both"/>
        <w:rPr>
          <w:szCs w:val="24"/>
        </w:rPr>
      </w:pPr>
      <w:r w:rsidRPr="00960C10">
        <w:rPr>
          <w:szCs w:val="24"/>
        </w:rPr>
        <w:t xml:space="preserve">* Properties which may or may not </w:t>
      </w:r>
      <w:r>
        <w:rPr>
          <w:szCs w:val="24"/>
        </w:rPr>
        <w:t>be insulated</w:t>
      </w:r>
      <w:r w:rsidRPr="00960C10">
        <w:rPr>
          <w:szCs w:val="24"/>
        </w:rPr>
        <w:t>.</w:t>
      </w:r>
    </w:p>
    <w:p w:rsidR="00741805" w:rsidRDefault="00741805" w:rsidP="00741805">
      <w:pPr>
        <w:spacing w:before="0" w:after="0"/>
        <w:jc w:val="both"/>
        <w:rPr>
          <w:szCs w:val="24"/>
        </w:rPr>
      </w:pPr>
      <w:r w:rsidRPr="00960C10">
        <w:rPr>
          <w:szCs w:val="24"/>
        </w:rPr>
        <w:t xml:space="preserve">** Not all remaining potential properties could be insulated and some which could be insulated would not be cost effective to insulate. This could be due to properties being hard to treat, having limited potential to save energy or </w:t>
      </w:r>
      <w:r>
        <w:rPr>
          <w:szCs w:val="24"/>
        </w:rPr>
        <w:t>being</w:t>
      </w:r>
      <w:r w:rsidRPr="00960C10">
        <w:rPr>
          <w:szCs w:val="24"/>
        </w:rPr>
        <w:t xml:space="preserve"> </w:t>
      </w:r>
      <w:proofErr w:type="spellStart"/>
      <w:r w:rsidRPr="00960C10">
        <w:rPr>
          <w:szCs w:val="24"/>
        </w:rPr>
        <w:t>unfillable</w:t>
      </w:r>
      <w:proofErr w:type="spellEnd"/>
      <w:r w:rsidRPr="00960C10">
        <w:rPr>
          <w:szCs w:val="24"/>
        </w:rPr>
        <w:t>.</w:t>
      </w:r>
    </w:p>
    <w:p w:rsidR="001A2F46" w:rsidRDefault="001A2F46" w:rsidP="00741805">
      <w:pPr>
        <w:spacing w:before="0" w:after="0"/>
        <w:jc w:val="both"/>
        <w:rPr>
          <w:szCs w:val="24"/>
        </w:rPr>
      </w:pPr>
    </w:p>
    <w:p w:rsidR="001A2F46" w:rsidRPr="00960C10" w:rsidRDefault="001A2F46" w:rsidP="00741805">
      <w:pPr>
        <w:spacing w:before="0" w:after="0"/>
        <w:jc w:val="both"/>
        <w:rPr>
          <w:szCs w:val="24"/>
        </w:rPr>
      </w:pPr>
    </w:p>
    <w:p w:rsidR="0050659E" w:rsidRDefault="0050659E" w:rsidP="0050659E">
      <w:pPr>
        <w:spacing w:before="0" w:after="0"/>
        <w:jc w:val="both"/>
        <w:rPr>
          <w:b/>
          <w:szCs w:val="24"/>
        </w:rPr>
      </w:pPr>
    </w:p>
    <w:p w:rsidR="000C72AB" w:rsidRDefault="000C72AB" w:rsidP="0050659E">
      <w:pPr>
        <w:spacing w:before="0" w:after="0"/>
        <w:jc w:val="both"/>
        <w:rPr>
          <w:b/>
          <w:szCs w:val="24"/>
        </w:rPr>
      </w:pPr>
    </w:p>
    <w:p w:rsidR="00291E07" w:rsidRPr="0050659E" w:rsidRDefault="00911320" w:rsidP="0050659E">
      <w:pPr>
        <w:spacing w:before="0" w:after="0"/>
        <w:jc w:val="both"/>
        <w:rPr>
          <w:szCs w:val="24"/>
        </w:rPr>
      </w:pPr>
      <w:bookmarkStart w:id="79" w:name="_Toc405914265"/>
      <w:proofErr w:type="gramStart"/>
      <w:r w:rsidRPr="00E73771">
        <w:rPr>
          <w:b/>
          <w:szCs w:val="24"/>
        </w:rPr>
        <w:t>Chart 2.</w:t>
      </w:r>
      <w:proofErr w:type="gramEnd"/>
      <w:r w:rsidRPr="00E73771">
        <w:rPr>
          <w:b/>
        </w:rPr>
        <w:fldChar w:fldCharType="begin"/>
      </w:r>
      <w:r w:rsidRPr="00E73771">
        <w:rPr>
          <w:b/>
        </w:rPr>
        <w:instrText xml:space="preserve"> SEQ Figure \* ARABIC </w:instrText>
      </w:r>
      <w:r w:rsidRPr="00E73771">
        <w:rPr>
          <w:b/>
        </w:rPr>
        <w:fldChar w:fldCharType="separate"/>
      </w:r>
      <w:r w:rsidR="006B5574">
        <w:rPr>
          <w:b/>
          <w:noProof/>
        </w:rPr>
        <w:t>6</w:t>
      </w:r>
      <w:r w:rsidRPr="00E73771">
        <w:rPr>
          <w:b/>
        </w:rPr>
        <w:fldChar w:fldCharType="end"/>
      </w:r>
      <w:r w:rsidRPr="00E73771">
        <w:rPr>
          <w:b/>
        </w:rPr>
        <w:t xml:space="preserve">: </w:t>
      </w:r>
      <w:r w:rsidR="00291E07" w:rsidRPr="00E73771">
        <w:rPr>
          <w:b/>
        </w:rPr>
        <w:t xml:space="preserve">Remaining potential to insulate the housing stock in Great Britain, </w:t>
      </w:r>
      <w:r w:rsidR="00411ABA" w:rsidRPr="00E73771">
        <w:rPr>
          <w:b/>
        </w:rPr>
        <w:t>September</w:t>
      </w:r>
      <w:r w:rsidR="002F723B" w:rsidRPr="00E73771">
        <w:rPr>
          <w:b/>
        </w:rPr>
        <w:t xml:space="preserve"> 2014</w:t>
      </w:r>
      <w:bookmarkEnd w:id="78"/>
      <w:bookmarkEnd w:id="79"/>
    </w:p>
    <w:p w:rsidR="00291E07" w:rsidRPr="00383A17" w:rsidRDefault="00E73771" w:rsidP="001B08CA">
      <w:pPr>
        <w:jc w:val="both"/>
      </w:pPr>
      <w:r w:rsidRPr="00E73771">
        <w:rPr>
          <w:noProof/>
          <w:lang w:eastAsia="en-GB"/>
        </w:rPr>
        <w:drawing>
          <wp:anchor distT="0" distB="0" distL="114300" distR="114300" simplePos="0" relativeHeight="251716608" behindDoc="0" locked="0" layoutInCell="1" allowOverlap="1" wp14:anchorId="4C111C75" wp14:editId="477D9097">
            <wp:simplePos x="0" y="0"/>
            <wp:positionH relativeFrom="column">
              <wp:posOffset>12065</wp:posOffset>
            </wp:positionH>
            <wp:positionV relativeFrom="paragraph">
              <wp:posOffset>70485</wp:posOffset>
            </wp:positionV>
            <wp:extent cx="4391025" cy="282892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5">
                      <a:extLst>
                        <a:ext uri="{28A0092B-C50C-407E-A947-70E740481C1C}">
                          <a14:useLocalDpi xmlns:a14="http://schemas.microsoft.com/office/drawing/2010/main" val="0"/>
                        </a:ext>
                      </a:extLst>
                    </a:blip>
                    <a:srcRect l="1430" r="4489"/>
                    <a:stretch/>
                  </pic:blipFill>
                  <pic:spPr bwMode="auto">
                    <a:xfrm>
                      <a:off x="0" y="0"/>
                      <a:ext cx="4391025" cy="282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spacing w:before="0" w:after="0"/>
        <w:jc w:val="both"/>
        <w:rPr>
          <w:u w:val="single"/>
        </w:rPr>
      </w:pPr>
    </w:p>
    <w:p w:rsidR="00291E07" w:rsidRDefault="00291E07" w:rsidP="001B08CA">
      <w:pPr>
        <w:spacing w:before="0" w:after="0"/>
        <w:jc w:val="both"/>
        <w:rPr>
          <w:u w:val="single"/>
        </w:rPr>
      </w:pPr>
    </w:p>
    <w:p w:rsidR="000C72AB" w:rsidRPr="00E73771" w:rsidRDefault="000C72AB" w:rsidP="000C72AB">
      <w:pPr>
        <w:spacing w:before="0" w:after="0"/>
        <w:jc w:val="both"/>
        <w:rPr>
          <w:u w:val="single"/>
        </w:rPr>
      </w:pPr>
      <w:r w:rsidRPr="00E73771">
        <w:t>Table 2.3 and Chart 2.6 show that just over two thirds</w:t>
      </w:r>
      <w:r w:rsidR="00E73771" w:rsidRPr="00E73771">
        <w:t xml:space="preserve"> </w:t>
      </w:r>
      <w:r w:rsidRPr="00E73771">
        <w:t>of properties with cavity walls</w:t>
      </w:r>
      <w:r w:rsidR="00A971DF">
        <w:t xml:space="preserve"> </w:t>
      </w:r>
      <w:r w:rsidR="00A971DF" w:rsidRPr="00E73771">
        <w:t>(72 per cent)</w:t>
      </w:r>
      <w:r w:rsidRPr="00E73771">
        <w:t xml:space="preserve"> and properties with a loft</w:t>
      </w:r>
      <w:r w:rsidR="00A971DF">
        <w:t xml:space="preserve"> (69 per cent)</w:t>
      </w:r>
      <w:r w:rsidRPr="00E73771">
        <w:t xml:space="preserve"> are insulated. In comparison only </w:t>
      </w:r>
      <w:r w:rsidR="007D479A">
        <w:t>three</w:t>
      </w:r>
      <w:r w:rsidRPr="00E73771">
        <w:t xml:space="preserve"> per cent of properties with solid walls are insulated. The following section gives further information on the remaining potential to insulate the housing stock in Great Britain, by insulation type.</w:t>
      </w:r>
    </w:p>
    <w:p w:rsidR="0099252A" w:rsidRPr="00411ABA" w:rsidRDefault="0099252A" w:rsidP="0099252A">
      <w:pPr>
        <w:spacing w:before="0" w:after="0"/>
        <w:jc w:val="both"/>
        <w:rPr>
          <w:highlight w:val="yellow"/>
          <w:u w:val="single"/>
        </w:rPr>
      </w:pPr>
    </w:p>
    <w:p w:rsidR="0099252A" w:rsidRPr="00E73771" w:rsidRDefault="0099252A" w:rsidP="0099252A">
      <w:pPr>
        <w:spacing w:before="0" w:after="0"/>
        <w:jc w:val="both"/>
        <w:rPr>
          <w:u w:val="single"/>
        </w:rPr>
      </w:pPr>
      <w:r w:rsidRPr="00E73771">
        <w:rPr>
          <w:u w:val="single"/>
        </w:rPr>
        <w:t>Cavity wall insulation</w:t>
      </w:r>
    </w:p>
    <w:p w:rsidR="0099252A" w:rsidRPr="00411ABA" w:rsidRDefault="0099252A" w:rsidP="0099252A">
      <w:pPr>
        <w:spacing w:before="0" w:after="0"/>
        <w:jc w:val="both"/>
        <w:rPr>
          <w:highlight w:val="yellow"/>
          <w:u w:val="single"/>
        </w:rPr>
      </w:pPr>
    </w:p>
    <w:p w:rsidR="000C72AB" w:rsidRPr="00E73771" w:rsidRDefault="000C72AB" w:rsidP="000C72AB">
      <w:pPr>
        <w:spacing w:before="0" w:after="0"/>
        <w:jc w:val="both"/>
      </w:pPr>
      <w:r w:rsidRPr="00E73771">
        <w:t xml:space="preserve">It is estimated that at the end of </w:t>
      </w:r>
      <w:r w:rsidR="00411ABA" w:rsidRPr="00E73771">
        <w:t>September</w:t>
      </w:r>
      <w:r w:rsidRPr="00E73771">
        <w:t xml:space="preserve"> 2014 there were 5.0 million cavity wall properties which could benefit from some cavity wall insulation (26 per cent of homes with cavity walls).</w:t>
      </w:r>
    </w:p>
    <w:p w:rsidR="000C72AB" w:rsidRPr="00411ABA" w:rsidRDefault="000C72AB" w:rsidP="000C72AB">
      <w:pPr>
        <w:spacing w:before="0" w:after="0"/>
        <w:jc w:val="both"/>
        <w:rPr>
          <w:highlight w:val="yellow"/>
        </w:rPr>
      </w:pPr>
    </w:p>
    <w:p w:rsidR="0099252A" w:rsidRPr="00BF2449" w:rsidRDefault="000C72AB" w:rsidP="000C72AB">
      <w:pPr>
        <w:spacing w:before="0" w:after="0"/>
        <w:jc w:val="both"/>
        <w:rPr>
          <w:color w:val="0000FF"/>
          <w:u w:val="single"/>
        </w:rPr>
      </w:pPr>
      <w:r w:rsidRPr="00E73771">
        <w:t>Of these, 1.4 million are considered to have limited potential</w:t>
      </w:r>
      <w:r w:rsidRPr="00E73771">
        <w:rPr>
          <w:rStyle w:val="FootnoteReference"/>
        </w:rPr>
        <w:footnoteReference w:id="34"/>
      </w:r>
      <w:r w:rsidRPr="00E73771">
        <w:t xml:space="preserve"> (0.5 </w:t>
      </w:r>
      <w:proofErr w:type="gramStart"/>
      <w:r w:rsidRPr="00E73771">
        <w:t>million</w:t>
      </w:r>
      <w:proofErr w:type="gramEnd"/>
      <w:r w:rsidRPr="00E73771">
        <w:t xml:space="preserve"> of this 1.4 million are also considered hard to treat</w:t>
      </w:r>
      <w:r w:rsidRPr="00E73771">
        <w:rPr>
          <w:rStyle w:val="FootnoteReference"/>
        </w:rPr>
        <w:footnoteReference w:id="35"/>
      </w:r>
      <w:r w:rsidRPr="00E73771">
        <w:t xml:space="preserve">) </w:t>
      </w:r>
      <w:r w:rsidRPr="00BF2449">
        <w:t>and 3.</w:t>
      </w:r>
      <w:r w:rsidR="00E73771" w:rsidRPr="00BF2449">
        <w:t>5</w:t>
      </w:r>
      <w:r w:rsidRPr="00BF2449">
        <w:t xml:space="preserve"> million are totally uninsulated (2.9 million of the 3.</w:t>
      </w:r>
      <w:r w:rsidR="00BF2449" w:rsidRPr="00BF2449">
        <w:t>5</w:t>
      </w:r>
      <w:r w:rsidRPr="00BF2449">
        <w:t xml:space="preserve"> million uninsulated properties are considered hard to treat). There are therefore 0.7 million easy to treat, standard cavities remaining. Historical figures and a more detailed breakdown </w:t>
      </w:r>
      <w:proofErr w:type="gramStart"/>
      <w:r w:rsidRPr="00BF2449">
        <w:t>is</w:t>
      </w:r>
      <w:proofErr w:type="gramEnd"/>
      <w:r w:rsidRPr="00BF2449">
        <w:t xml:space="preserve"> available in Table 2.6 of the accompanying</w:t>
      </w:r>
      <w:r w:rsidR="0099252A" w:rsidRPr="00BF2449">
        <w:t xml:space="preserve"> </w:t>
      </w:r>
      <w:hyperlink r:id="rId76" w:history="1">
        <w:r w:rsidR="001A2F46" w:rsidRPr="00BF2449">
          <w:rPr>
            <w:color w:val="0000FF"/>
            <w:u w:val="single"/>
          </w:rPr>
          <w:t>Excel tables</w:t>
        </w:r>
      </w:hyperlink>
      <w:r w:rsidR="001A2F46" w:rsidRPr="00BF2449">
        <w:t>.</w:t>
      </w:r>
    </w:p>
    <w:p w:rsidR="00AA7DF4" w:rsidRPr="00411ABA" w:rsidRDefault="00AA7DF4" w:rsidP="0099252A">
      <w:pPr>
        <w:spacing w:before="0" w:after="0"/>
        <w:jc w:val="both"/>
        <w:rPr>
          <w:highlight w:val="yellow"/>
          <w:u w:val="single"/>
        </w:rPr>
      </w:pPr>
    </w:p>
    <w:p w:rsidR="0099252A" w:rsidRPr="00411ABA" w:rsidRDefault="0099252A" w:rsidP="0099252A">
      <w:pPr>
        <w:spacing w:before="0" w:after="0"/>
        <w:jc w:val="both"/>
        <w:rPr>
          <w:u w:val="single"/>
        </w:rPr>
      </w:pPr>
      <w:r w:rsidRPr="00411ABA">
        <w:rPr>
          <w:u w:val="single"/>
        </w:rPr>
        <w:t>Loft insulation</w:t>
      </w:r>
    </w:p>
    <w:p w:rsidR="0099252A" w:rsidRPr="00411ABA" w:rsidRDefault="0099252A" w:rsidP="0099252A">
      <w:pPr>
        <w:spacing w:before="0" w:after="0"/>
        <w:jc w:val="both"/>
        <w:rPr>
          <w:u w:val="single"/>
        </w:rPr>
      </w:pPr>
    </w:p>
    <w:p w:rsidR="000C72AB" w:rsidRDefault="000C72AB" w:rsidP="000C72AB">
      <w:pPr>
        <w:spacing w:before="0" w:after="0"/>
        <w:jc w:val="both"/>
      </w:pPr>
      <w:r w:rsidRPr="00411ABA">
        <w:t>In this publication lofts are defined as insulated if they have 125mm or more of insulation. Lofts with less than 125mm of insulation are defined as uninsulated as they would benefit most from top up insulation.</w:t>
      </w:r>
    </w:p>
    <w:p w:rsidR="000C72AB" w:rsidRDefault="000C72AB" w:rsidP="000C72AB">
      <w:pPr>
        <w:spacing w:before="0" w:after="0"/>
        <w:jc w:val="both"/>
      </w:pPr>
    </w:p>
    <w:p w:rsidR="0099252A" w:rsidRPr="00BF2449" w:rsidRDefault="000C72AB" w:rsidP="000C72AB">
      <w:pPr>
        <w:spacing w:before="0" w:after="0"/>
        <w:jc w:val="both"/>
      </w:pPr>
      <w:r w:rsidRPr="00BF2449">
        <w:t xml:space="preserve">At the end of </w:t>
      </w:r>
      <w:r w:rsidR="00411ABA" w:rsidRPr="00BF2449">
        <w:t>September</w:t>
      </w:r>
      <w:r w:rsidRPr="00BF2449">
        <w:t xml:space="preserve"> 2014 it is estimated that there were 7.3 million uninsulated lofts (3</w:t>
      </w:r>
      <w:r w:rsidR="00BF2449" w:rsidRPr="00BF2449">
        <w:t>0</w:t>
      </w:r>
      <w:r w:rsidRPr="00BF2449">
        <w:t xml:space="preserve"> per cent of homes with lofts). Of these, 1.7 million are considered to be hard to treat or </w:t>
      </w:r>
      <w:proofErr w:type="spellStart"/>
      <w:r w:rsidRPr="00BF2449">
        <w:t>unfillable</w:t>
      </w:r>
      <w:proofErr w:type="spellEnd"/>
      <w:r w:rsidRPr="00BF2449">
        <w:t xml:space="preserve"> which means the loft would be </w:t>
      </w:r>
      <w:proofErr w:type="gramStart"/>
      <w:r w:rsidRPr="00BF2449">
        <w:t>hard/costly</w:t>
      </w:r>
      <w:proofErr w:type="gramEnd"/>
      <w:r w:rsidRPr="00BF2449">
        <w:t xml:space="preserve"> to insulate or could not be insulated – this can occur in properties with a flat roof or in properties where the roof has a very shallow pitch which makes the loft space inaccessible. Historical figures and a more detailed breakdown </w:t>
      </w:r>
      <w:proofErr w:type="gramStart"/>
      <w:r w:rsidRPr="00BF2449">
        <w:t>is</w:t>
      </w:r>
      <w:proofErr w:type="gramEnd"/>
      <w:r w:rsidRPr="00BF2449">
        <w:t xml:space="preserve"> available in Table 2.7 of the accompanying</w:t>
      </w:r>
      <w:r w:rsidR="0099252A" w:rsidRPr="00BF2449">
        <w:t xml:space="preserve"> </w:t>
      </w:r>
      <w:hyperlink r:id="rId77" w:history="1">
        <w:r w:rsidR="001A2F46" w:rsidRPr="00BF2449">
          <w:rPr>
            <w:color w:val="0000FF"/>
            <w:u w:val="single"/>
          </w:rPr>
          <w:t>Excel tables</w:t>
        </w:r>
      </w:hyperlink>
      <w:r w:rsidR="001A2F46" w:rsidRPr="00BF2449">
        <w:t>.</w:t>
      </w:r>
    </w:p>
    <w:p w:rsidR="0099252A" w:rsidRPr="00411ABA" w:rsidRDefault="0099252A" w:rsidP="0099252A">
      <w:pPr>
        <w:spacing w:before="0" w:after="0"/>
        <w:jc w:val="both"/>
        <w:rPr>
          <w:highlight w:val="yellow"/>
        </w:rPr>
      </w:pPr>
    </w:p>
    <w:p w:rsidR="0099252A" w:rsidRPr="00BF2449" w:rsidRDefault="0099252A" w:rsidP="0099252A">
      <w:pPr>
        <w:spacing w:before="0" w:after="0"/>
        <w:jc w:val="both"/>
        <w:rPr>
          <w:u w:val="single"/>
        </w:rPr>
      </w:pPr>
      <w:r w:rsidRPr="00BF2449">
        <w:rPr>
          <w:u w:val="single"/>
        </w:rPr>
        <w:t>Solid wall insulation</w:t>
      </w:r>
    </w:p>
    <w:p w:rsidR="0099252A" w:rsidRPr="00411ABA" w:rsidRDefault="0099252A" w:rsidP="0099252A">
      <w:pPr>
        <w:spacing w:before="0" w:after="0"/>
        <w:jc w:val="both"/>
        <w:rPr>
          <w:highlight w:val="yellow"/>
          <w:u w:val="single"/>
        </w:rPr>
      </w:pPr>
    </w:p>
    <w:p w:rsidR="0099252A" w:rsidRDefault="000C72AB" w:rsidP="0099252A">
      <w:pPr>
        <w:spacing w:before="0" w:after="0"/>
        <w:jc w:val="both"/>
      </w:pPr>
      <w:r w:rsidRPr="00BF2449">
        <w:t xml:space="preserve">It is estimated that at the end of </w:t>
      </w:r>
      <w:r w:rsidR="00411ABA" w:rsidRPr="00BF2449">
        <w:t>September</w:t>
      </w:r>
      <w:r w:rsidRPr="00BF2449">
        <w:t xml:space="preserve"> 2014 there were 7.6 million uninsulated solid walls (95 per cent of homes with solid walls) in Great Britain. Previously</w:t>
      </w:r>
      <w:r w:rsidR="00411ABA" w:rsidRPr="00BF2449">
        <w:t>,</w:t>
      </w:r>
      <w:r w:rsidRPr="00BF2449">
        <w:t xml:space="preserve"> Government schemes have focused on insulating homes with cavity walls due to the costs involved with insulating solid wall properties; however the launch of the Green Deal and ECO in January 2013 has switched the focus to harder or more expensive to treat properties, including solid wall properties. Of the remaining potential it may not be possible to insulate all uninsulated solid wall properties, it is likely that some of these will be too costly to treat or be within conservation areas and will therefore never be insulated, work is planned to assess the extent of this issue. Historical figures and a more detailed breakdown </w:t>
      </w:r>
      <w:proofErr w:type="gramStart"/>
      <w:r w:rsidRPr="00BF2449">
        <w:t>is</w:t>
      </w:r>
      <w:proofErr w:type="gramEnd"/>
      <w:r w:rsidRPr="00BF2449">
        <w:t xml:space="preserve"> available in Table 2.5 of the accompanying </w:t>
      </w:r>
      <w:hyperlink r:id="rId78" w:history="1">
        <w:r w:rsidR="001A2F46" w:rsidRPr="00BF2449">
          <w:rPr>
            <w:color w:val="0000FF"/>
            <w:u w:val="single"/>
          </w:rPr>
          <w:t>Excel tables</w:t>
        </w:r>
      </w:hyperlink>
      <w:r w:rsidR="001A2F46" w:rsidRPr="00BF2449">
        <w:t>.</w:t>
      </w:r>
      <w:r w:rsidR="00C333A1" w:rsidRPr="00BF2449">
        <w:t xml:space="preserve"> Solid wall insulation has been defined throughout this report as internal or external wall insulation installed through Government programmes. In addition, in April 2008 about 133,000 properties are known to have had other forms of non-cavity wall insulation that fall outside this definition.</w:t>
      </w:r>
      <w:r w:rsidR="008A71F1">
        <w:t xml:space="preserve"> </w:t>
      </w:r>
    </w:p>
    <w:p w:rsidR="00291E07" w:rsidRDefault="00291E07" w:rsidP="00291E07">
      <w:pPr>
        <w:pStyle w:val="Heading2"/>
      </w:pPr>
    </w:p>
    <w:p w:rsidR="00591351" w:rsidRPr="00F21673" w:rsidRDefault="00291E07" w:rsidP="00F2050F">
      <w:pPr>
        <w:pStyle w:val="ChapterHead"/>
        <w:spacing w:before="0" w:after="200"/>
      </w:pPr>
      <w:r>
        <w:rPr>
          <w:rFonts w:cs="Arial"/>
          <w:szCs w:val="50"/>
        </w:rPr>
        <w:br w:type="page"/>
      </w:r>
    </w:p>
    <w:p w:rsidR="00C8423E" w:rsidRPr="00300603" w:rsidRDefault="000F3D99" w:rsidP="00300603">
      <w:pPr>
        <w:pStyle w:val="ChapterHead"/>
        <w:spacing w:before="0" w:after="200"/>
        <w:rPr>
          <w:rFonts w:cs="Arial"/>
          <w:szCs w:val="50"/>
        </w:rPr>
      </w:pPr>
      <w:bookmarkStart w:id="80" w:name="_Toc406514293"/>
      <w:bookmarkStart w:id="81" w:name="AnnexA"/>
      <w:r>
        <w:rPr>
          <w:rFonts w:cs="Arial"/>
          <w:szCs w:val="50"/>
        </w:rPr>
        <w:lastRenderedPageBreak/>
        <w:t xml:space="preserve">Annex </w:t>
      </w:r>
      <w:proofErr w:type="gramStart"/>
      <w:r>
        <w:rPr>
          <w:rFonts w:cs="Arial"/>
          <w:szCs w:val="50"/>
        </w:rPr>
        <w:t>A</w:t>
      </w:r>
      <w:proofErr w:type="gramEnd"/>
      <w:r w:rsidR="00614FD5" w:rsidRPr="008A5812">
        <w:rPr>
          <w:rFonts w:cs="Arial"/>
          <w:szCs w:val="50"/>
        </w:rPr>
        <w:t xml:space="preserve"> – Background</w:t>
      </w:r>
      <w:bookmarkEnd w:id="80"/>
      <w:bookmarkEnd w:id="81"/>
    </w:p>
    <w:p w:rsidR="00197017" w:rsidRDefault="00197017" w:rsidP="00300603">
      <w:pPr>
        <w:pStyle w:val="Heading2"/>
        <w:spacing w:before="0" w:after="0"/>
      </w:pPr>
    </w:p>
    <w:p w:rsidR="00D12323" w:rsidRPr="008A5812" w:rsidRDefault="00D12323" w:rsidP="00300603">
      <w:pPr>
        <w:pStyle w:val="Heading2"/>
        <w:spacing w:before="0" w:after="0"/>
      </w:pPr>
      <w:bookmarkStart w:id="82" w:name="_Toc406514294"/>
      <w:r w:rsidRPr="008A5812">
        <w:t>Green Deal</w:t>
      </w:r>
      <w:bookmarkEnd w:id="82"/>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8A5812">
        <w:rPr>
          <w:szCs w:val="24"/>
        </w:rPr>
        <w:t xml:space="preserve">The </w:t>
      </w:r>
      <w:hyperlink r:id="rId79" w:history="1">
        <w:r w:rsidRPr="008A5812">
          <w:rPr>
            <w:rStyle w:val="Hyperlink"/>
            <w:rFonts w:ascii="Arial" w:hAnsi="Arial"/>
            <w:szCs w:val="24"/>
          </w:rPr>
          <w:t>Green D</w:t>
        </w:r>
        <w:r w:rsidRPr="008A5812">
          <w:rPr>
            <w:rStyle w:val="Hyperlink"/>
            <w:rFonts w:ascii="Arial" w:hAnsi="Arial"/>
            <w:szCs w:val="24"/>
          </w:rPr>
          <w:t>e</w:t>
        </w:r>
        <w:r w:rsidRPr="008A5812">
          <w:rPr>
            <w:rStyle w:val="Hyperlink"/>
            <w:rFonts w:ascii="Arial" w:hAnsi="Arial"/>
            <w:szCs w:val="24"/>
          </w:rPr>
          <w:t>al</w:t>
        </w:r>
      </w:hyperlink>
      <w:r w:rsidRPr="008A5812">
        <w:rPr>
          <w:b/>
          <w:szCs w:val="24"/>
        </w:rPr>
        <w:t xml:space="preserve"> </w:t>
      </w:r>
      <w:r w:rsidRPr="008A5812">
        <w:rPr>
          <w:szCs w:val="24"/>
        </w:rPr>
        <w:t xml:space="preserve">(GD) was launched on 28 January 2013 in England and Wales (and on 25 February in Scotland) </w:t>
      </w:r>
      <w:r w:rsidR="00BB74B5">
        <w:rPr>
          <w:szCs w:val="24"/>
        </w:rPr>
        <w:t>with the aim of tackling</w:t>
      </w:r>
      <w:r w:rsidRPr="008A5812">
        <w:rPr>
          <w:szCs w:val="24"/>
        </w:rPr>
        <w:t xml:space="preserve"> a number of the key barriers to the take-up of energy efficiency measures. </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8A5812">
        <w:rPr>
          <w:szCs w:val="24"/>
        </w:rPr>
        <w:t>Customers having Green Deal Assessments undertaken have the choice of how they proceed. They might take the view that their home is sufficiently energy efficient, or that they want to finance work through a Green Deal Plan or that they want to use alternative funding arrangements (e.g. use of savings).</w:t>
      </w:r>
    </w:p>
    <w:p w:rsidR="007719FF" w:rsidRPr="008A5812" w:rsidRDefault="007719FF"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bookmarkStart w:id="83" w:name="OLE_LINK17"/>
      <w:bookmarkStart w:id="84" w:name="OLE_LINK18"/>
      <w:r w:rsidRPr="008A5812">
        <w:rPr>
          <w:szCs w:val="24"/>
        </w:rPr>
        <w:t>The Green Deal process for households is briefly described below:</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1</w:t>
      </w:r>
      <w:r w:rsidRPr="008A5812">
        <w:rPr>
          <w:szCs w:val="24"/>
        </w:rPr>
        <w:t xml:space="preserve"> – Assessment – A Green Deal assessor will come to the home, talk to the owner/occupier about their energy use and see if they can benefit from making energy efficiency improvements to their property.</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2</w:t>
      </w:r>
      <w:r w:rsidRPr="008A5812">
        <w:rPr>
          <w:szCs w:val="24"/>
        </w:rPr>
        <w:t xml:space="preserve"> – Recommendations – The assessor will recommend improvements that are appropriate for the property and indicate whether they are expected to pay for themselves through reduced energy bills.</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3</w:t>
      </w:r>
      <w:r w:rsidRPr="008A5812">
        <w:rPr>
          <w:szCs w:val="24"/>
        </w:rPr>
        <w:t xml:space="preserve"> – Quotes – Green Deal Providers will discuss with the owner/occupier whether a Green Deal Plan is right for them and quote for the recommended improvements, including the savings estimates, savings period, first year instalments and payment period for each improvement. A number of quotes can be obtained.</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4</w:t>
      </w:r>
      <w:r w:rsidRPr="008A5812">
        <w:rPr>
          <w:szCs w:val="24"/>
        </w:rPr>
        <w:t xml:space="preserve"> – Signing a Plan – The customer chooses to proceed with a given provider and package of measures. The owner/occupier needs to obtain the necessary consent to make improvements to the property before they can agree terms with the GD Provider of a Green Deal Plan</w:t>
      </w:r>
      <w:r w:rsidRPr="008A5812">
        <w:rPr>
          <w:rStyle w:val="FootnoteReference"/>
          <w:szCs w:val="24"/>
        </w:rPr>
        <w:footnoteReference w:id="36"/>
      </w:r>
      <w:r w:rsidRPr="008A5812">
        <w:rPr>
          <w:szCs w:val="24"/>
        </w:rPr>
        <w:t>, at which stage they enter a cooling-off period</w:t>
      </w:r>
      <w:r w:rsidRPr="008A5812">
        <w:rPr>
          <w:rStyle w:val="FootnoteReference"/>
          <w:szCs w:val="24"/>
        </w:rPr>
        <w:footnoteReference w:id="37"/>
      </w:r>
      <w:r w:rsidRPr="008A5812">
        <w:rPr>
          <w:szCs w:val="24"/>
        </w:rPr>
        <w:t>.</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5</w:t>
      </w:r>
      <w:r w:rsidRPr="008A5812">
        <w:rPr>
          <w:szCs w:val="24"/>
        </w:rPr>
        <w:t xml:space="preserve"> – Installation – Once a Green Deal Plan has been agreed, the Provider will arrange for the improvements to be made by a Green Deal Installer. Once the installation has been completed a letter is sent to the Bill Payer and, at this stage, the Green Deal Plan goes ‘live’. </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8A5812">
        <w:rPr>
          <w:szCs w:val="24"/>
        </w:rPr>
        <w:t>Repayments will be no more than what a typical household should save in energy costs.</w:t>
      </w:r>
    </w:p>
    <w:bookmarkEnd w:id="83"/>
    <w:bookmarkEnd w:id="84"/>
    <w:p w:rsidR="00D12323" w:rsidRPr="008A5812" w:rsidRDefault="00D12323" w:rsidP="00300603">
      <w:pPr>
        <w:spacing w:before="0" w:after="0" w:line="240" w:lineRule="auto"/>
        <w:jc w:val="both"/>
        <w:rPr>
          <w:szCs w:val="24"/>
        </w:rPr>
      </w:pPr>
      <w:r w:rsidRPr="008A5812">
        <w:rPr>
          <w:szCs w:val="24"/>
        </w:rPr>
        <w:t xml:space="preserve"> </w:t>
      </w:r>
    </w:p>
    <w:p w:rsidR="00D12323" w:rsidRPr="008A5812" w:rsidRDefault="00AF2024" w:rsidP="00300603">
      <w:pPr>
        <w:pStyle w:val="Heading2"/>
        <w:spacing w:before="0" w:after="0"/>
      </w:pPr>
      <w:r>
        <w:rPr>
          <w:rFonts w:eastAsia="Calibri"/>
        </w:rPr>
        <w:br w:type="page"/>
      </w:r>
      <w:bookmarkStart w:id="85" w:name="_Toc406514295"/>
      <w:r w:rsidR="00D12323" w:rsidRPr="008A5812">
        <w:rPr>
          <w:rFonts w:eastAsia="Calibri"/>
        </w:rPr>
        <w:lastRenderedPageBreak/>
        <w:t>E</w:t>
      </w:r>
      <w:r w:rsidR="00D12323" w:rsidRPr="008A5812">
        <w:t>nergy Company Obligation</w:t>
      </w:r>
      <w:bookmarkEnd w:id="85"/>
    </w:p>
    <w:p w:rsidR="00D12323" w:rsidRPr="008A5812" w:rsidRDefault="00D12323" w:rsidP="00300603">
      <w:pPr>
        <w:pStyle w:val="NormalWeb"/>
        <w:jc w:val="both"/>
        <w:rPr>
          <w:rFonts w:ascii="Arial" w:hAnsi="Arial" w:cs="Arial"/>
          <w:u w:val="single"/>
        </w:rPr>
      </w:pPr>
    </w:p>
    <w:p w:rsidR="00D12323" w:rsidRPr="008A5812" w:rsidRDefault="00D12323" w:rsidP="00300603">
      <w:pPr>
        <w:pStyle w:val="NormalWeb"/>
        <w:jc w:val="both"/>
        <w:rPr>
          <w:rFonts w:ascii="Arial" w:hAnsi="Arial" w:cs="Arial"/>
          <w:color w:val="000000"/>
        </w:rPr>
      </w:pPr>
      <w:r w:rsidRPr="008A5812">
        <w:rPr>
          <w:rFonts w:ascii="Arial" w:hAnsi="Arial" w:cs="Arial"/>
        </w:rPr>
        <w:t xml:space="preserve">The </w:t>
      </w:r>
      <w:hyperlink r:id="rId80" w:history="1">
        <w:r w:rsidRPr="008A5812">
          <w:rPr>
            <w:rStyle w:val="Hyperlink"/>
            <w:rFonts w:ascii="Arial" w:hAnsi="Arial" w:cs="Arial"/>
          </w:rPr>
          <w:t>Energy Company</w:t>
        </w:r>
        <w:r w:rsidRPr="008A5812">
          <w:rPr>
            <w:rStyle w:val="Hyperlink"/>
            <w:rFonts w:ascii="Arial" w:hAnsi="Arial" w:cs="Arial"/>
          </w:rPr>
          <w:t xml:space="preserve"> </w:t>
        </w:r>
        <w:r w:rsidRPr="008A5812">
          <w:rPr>
            <w:rStyle w:val="Hyperlink"/>
            <w:rFonts w:ascii="Arial" w:hAnsi="Arial" w:cs="Arial"/>
          </w:rPr>
          <w:t>Obligation</w:t>
        </w:r>
      </w:hyperlink>
      <w:r w:rsidRPr="008A5812">
        <w:rPr>
          <w:rFonts w:ascii="Arial" w:hAnsi="Arial" w:cs="Arial"/>
        </w:rPr>
        <w:t xml:space="preserve"> (ECO) started on 1 January 2013 (although energy </w:t>
      </w:r>
      <w:r w:rsidRPr="008A5812">
        <w:rPr>
          <w:rFonts w:ascii="Arial" w:hAnsi="Arial" w:cs="Arial"/>
          <w:color w:val="000000"/>
        </w:rPr>
        <w:t xml:space="preserve">companies have been able to count against their targets measures delivered since 1 October 2012) and </w:t>
      </w:r>
      <w:r w:rsidRPr="00535D8B">
        <w:rPr>
          <w:rFonts w:ascii="Arial" w:hAnsi="Arial" w:cs="Arial"/>
          <w:color w:val="000000"/>
        </w:rPr>
        <w:t>runs to 31 March 2015. It broadly</w:t>
      </w:r>
      <w:r w:rsidRPr="008A5812">
        <w:rPr>
          <w:rFonts w:ascii="Arial" w:hAnsi="Arial" w:cs="Arial"/>
          <w:color w:val="000000"/>
        </w:rPr>
        <w:t xml:space="preserve"> takes over from two previous schemes (Carbon Emissions Reduction Target - CERT - and Community Energy Saving Programme - CESP) and focuses on providing energy efficiency measures to low income and vulnerable consumers and those living</w:t>
      </w:r>
      <w:r w:rsidR="00DF6EF3">
        <w:rPr>
          <w:rFonts w:ascii="Arial" w:hAnsi="Arial" w:cs="Arial"/>
          <w:color w:val="000000"/>
        </w:rPr>
        <w:t xml:space="preserve"> in 'hard-to-treat' properties.</w:t>
      </w:r>
    </w:p>
    <w:p w:rsidR="00D12323" w:rsidRPr="008A5812" w:rsidRDefault="00D12323" w:rsidP="00300603">
      <w:pPr>
        <w:pStyle w:val="NormalWeb"/>
        <w:jc w:val="both"/>
        <w:rPr>
          <w:rFonts w:ascii="Arial" w:hAnsi="Arial" w:cs="Arial"/>
          <w:color w:val="FF0000"/>
        </w:rPr>
      </w:pPr>
    </w:p>
    <w:p w:rsidR="00D12323" w:rsidRPr="008A5812" w:rsidRDefault="00D12323" w:rsidP="00300603">
      <w:pPr>
        <w:pStyle w:val="NormalWeb"/>
        <w:jc w:val="both"/>
        <w:rPr>
          <w:rFonts w:ascii="Arial" w:hAnsi="Arial" w:cs="Arial"/>
          <w:color w:val="000000"/>
        </w:rPr>
      </w:pPr>
      <w:bookmarkStart w:id="86" w:name="ECOSUB"/>
      <w:r w:rsidRPr="008A5812">
        <w:rPr>
          <w:rFonts w:ascii="Arial" w:hAnsi="Arial" w:cs="Arial"/>
          <w:color w:val="000000"/>
        </w:rPr>
        <w:t xml:space="preserve">There are three main ECO obligations </w:t>
      </w:r>
      <w:bookmarkEnd w:id="86"/>
      <w:r w:rsidRPr="008A5812">
        <w:rPr>
          <w:rFonts w:ascii="Arial" w:hAnsi="Arial" w:cs="Arial"/>
          <w:color w:val="000000"/>
        </w:rPr>
        <w:t>– The Carbon Saving Obligation (CSO); Carbon Saving Communities (CSCO) and Affordable Warmth (HHCRO).</w:t>
      </w:r>
    </w:p>
    <w:p w:rsidR="00D12323" w:rsidRPr="008A5812" w:rsidRDefault="00D12323" w:rsidP="00300603">
      <w:pPr>
        <w:pStyle w:val="NormalWeb"/>
        <w:spacing w:line="270" w:lineRule="atLeast"/>
        <w:jc w:val="both"/>
        <w:rPr>
          <w:rFonts w:ascii="Arial" w:hAnsi="Arial" w:cs="Arial"/>
        </w:rPr>
      </w:pPr>
    </w:p>
    <w:p w:rsidR="00D12323" w:rsidRPr="008A5812" w:rsidRDefault="00D12323" w:rsidP="00300603">
      <w:pPr>
        <w:pStyle w:val="NormalWeb"/>
        <w:spacing w:line="270" w:lineRule="atLeast"/>
        <w:jc w:val="both"/>
        <w:rPr>
          <w:rFonts w:ascii="Arial" w:hAnsi="Arial" w:cs="Arial"/>
        </w:rPr>
      </w:pPr>
      <w:r w:rsidRPr="008A5812">
        <w:rPr>
          <w:rFonts w:ascii="Arial" w:hAnsi="Arial" w:cs="Arial"/>
          <w:u w:val="single"/>
        </w:rPr>
        <w:t>Carbon Saving Obligation</w:t>
      </w:r>
      <w:r w:rsidRPr="008A5812">
        <w:rPr>
          <w:rFonts w:ascii="Arial" w:hAnsi="Arial" w:cs="Arial"/>
        </w:rPr>
        <w:t xml:space="preserve"> - This covers the installation of measures like solid wall and hard-to-treat cavity wall insulation, which ordinarily can’t be financed solely through the Green Deal. </w:t>
      </w:r>
    </w:p>
    <w:p w:rsidR="00D12323" w:rsidRPr="008A5812" w:rsidRDefault="00D12323" w:rsidP="00300603">
      <w:pPr>
        <w:pStyle w:val="NormalWeb"/>
        <w:spacing w:line="270" w:lineRule="atLeast"/>
        <w:jc w:val="both"/>
        <w:rPr>
          <w:rFonts w:ascii="Arial" w:hAnsi="Arial" w:cs="Arial"/>
        </w:rPr>
      </w:pPr>
    </w:p>
    <w:p w:rsidR="00D12323" w:rsidRPr="008A5812" w:rsidRDefault="00D12323" w:rsidP="00300603">
      <w:pPr>
        <w:pStyle w:val="NormalWeb"/>
        <w:spacing w:line="270" w:lineRule="atLeast"/>
        <w:jc w:val="both"/>
        <w:rPr>
          <w:rFonts w:ascii="Arial" w:hAnsi="Arial" w:cs="Arial"/>
        </w:rPr>
      </w:pPr>
      <w:r w:rsidRPr="008A5812">
        <w:rPr>
          <w:rFonts w:ascii="Arial" w:hAnsi="Arial" w:cs="Arial"/>
          <w:u w:val="single"/>
        </w:rPr>
        <w:t>Carbon Saving Communities Obligation</w:t>
      </w:r>
      <w:r w:rsidRPr="008A5812">
        <w:rPr>
          <w:rFonts w:ascii="Arial" w:hAnsi="Arial" w:cs="Arial"/>
        </w:rPr>
        <w:t xml:space="preserve"> - This provides insulation measures to households in specified areas of low income. It also makes sure that 15 per cent of each supplier’s obligation is used to upgrade more hard-to-reach low-income households in rural areas.</w:t>
      </w:r>
    </w:p>
    <w:p w:rsidR="00D12323" w:rsidRPr="008A5812" w:rsidRDefault="00D12323" w:rsidP="00300603">
      <w:pPr>
        <w:pStyle w:val="NormalWeb"/>
        <w:spacing w:line="270" w:lineRule="atLeast"/>
        <w:jc w:val="both"/>
        <w:rPr>
          <w:rFonts w:ascii="Arial" w:hAnsi="Arial" w:cs="Arial"/>
        </w:rPr>
      </w:pPr>
    </w:p>
    <w:p w:rsidR="0055369A" w:rsidRDefault="00D12323" w:rsidP="0055369A">
      <w:pPr>
        <w:pStyle w:val="NormalWeb"/>
        <w:spacing w:line="270" w:lineRule="atLeast"/>
        <w:jc w:val="both"/>
        <w:rPr>
          <w:rFonts w:ascii="Arial" w:hAnsi="Arial" w:cs="Arial"/>
        </w:rPr>
      </w:pPr>
      <w:r w:rsidRPr="008A5812">
        <w:rPr>
          <w:rFonts w:ascii="Arial" w:hAnsi="Arial" w:cs="Arial"/>
          <w:u w:val="single"/>
        </w:rPr>
        <w:t>Affordable Warmth Obligation</w:t>
      </w:r>
      <w:r w:rsidRPr="008A5812">
        <w:rPr>
          <w:rFonts w:ascii="Arial" w:hAnsi="Arial" w:cs="Arial"/>
        </w:rPr>
        <w:t xml:space="preserve"> - This provides heating and insulation measures to consumers living in private tenure properties who receive particular means-tested benefits. This obligation supports low-income consumers who are vulnerable to the impact of living in cold homes, including the elderly, disabled and families.</w:t>
      </w:r>
    </w:p>
    <w:p w:rsidR="0055369A" w:rsidRPr="0055369A" w:rsidRDefault="0055369A" w:rsidP="0055369A">
      <w:pPr>
        <w:pStyle w:val="NormalWeb"/>
        <w:spacing w:line="270" w:lineRule="atLeast"/>
        <w:jc w:val="both"/>
        <w:rPr>
          <w:rFonts w:ascii="Arial" w:hAnsi="Arial" w:cs="Arial"/>
        </w:rPr>
      </w:pPr>
    </w:p>
    <w:p w:rsidR="0055369A" w:rsidRPr="0055369A" w:rsidRDefault="0055369A" w:rsidP="0055369A">
      <w:pPr>
        <w:pStyle w:val="NormalWeb"/>
        <w:spacing w:line="270" w:lineRule="atLeast"/>
        <w:jc w:val="both"/>
        <w:rPr>
          <w:rFonts w:ascii="Arial" w:hAnsi="Arial" w:cs="Arial"/>
          <w:color w:val="000000" w:themeColor="text1"/>
        </w:rPr>
      </w:pPr>
      <w:r>
        <w:rPr>
          <w:rFonts w:ascii="Arial" w:hAnsi="Arial" w:cs="Arial"/>
          <w:color w:val="000000"/>
        </w:rPr>
        <w:t xml:space="preserve">The Government announced proposals for a </w:t>
      </w:r>
      <w:hyperlink r:id="rId81" w:history="1">
        <w:r>
          <w:rPr>
            <w:rStyle w:val="Hyperlink"/>
            <w:rFonts w:ascii="Arial" w:hAnsi="Arial" w:cs="Arial"/>
          </w:rPr>
          <w:t>set of changes</w:t>
        </w:r>
        <w:r>
          <w:rPr>
            <w:rStyle w:val="Hyperlink"/>
            <w:rFonts w:ascii="Arial" w:hAnsi="Arial" w:cs="Arial"/>
          </w:rPr>
          <w:t xml:space="preserve"> </w:t>
        </w:r>
        <w:r>
          <w:rPr>
            <w:rStyle w:val="Hyperlink"/>
            <w:rFonts w:ascii="Arial" w:hAnsi="Arial" w:cs="Arial"/>
          </w:rPr>
          <w:t>to ECO</w:t>
        </w:r>
      </w:hyperlink>
      <w:r>
        <w:rPr>
          <w:rFonts w:ascii="Arial" w:hAnsi="Arial" w:cs="Arial"/>
          <w:color w:val="000000"/>
        </w:rPr>
        <w:t xml:space="preserve"> in </w:t>
      </w:r>
      <w:r w:rsidR="002F723B">
        <w:rPr>
          <w:rFonts w:ascii="Arial" w:hAnsi="Arial" w:cs="Arial"/>
          <w:color w:val="000000"/>
        </w:rPr>
        <w:t>March 2014</w:t>
      </w:r>
      <w:r w:rsidR="00040CF0">
        <w:rPr>
          <w:rFonts w:ascii="Arial" w:hAnsi="Arial" w:cs="Arial"/>
          <w:color w:val="000000"/>
        </w:rPr>
        <w:t>. </w:t>
      </w:r>
      <w:r>
        <w:rPr>
          <w:rFonts w:ascii="Arial" w:hAnsi="Arial" w:cs="Arial"/>
          <w:color w:val="000000"/>
        </w:rPr>
        <w:t>These include: extending through to 2017, with new targets; reducing the ambition of the Carbon Saving Target element; and allowing new measures (loft and standard cavity wall insulation, and district heating) to be eligible under that element. The Governm</w:t>
      </w:r>
      <w:r w:rsidRPr="0055369A">
        <w:rPr>
          <w:rFonts w:ascii="Arial" w:hAnsi="Arial" w:cs="Arial"/>
          <w:color w:val="000000" w:themeColor="text1"/>
        </w:rPr>
        <w:t>ent published a consultation on</w:t>
      </w:r>
      <w:r>
        <w:rPr>
          <w:rFonts w:ascii="Arial" w:hAnsi="Arial" w:cs="Arial"/>
          <w:color w:val="000000" w:themeColor="text1"/>
        </w:rPr>
        <w:t xml:space="preserve"> </w:t>
      </w:r>
      <w:hyperlink r:id="rId82" w:history="1">
        <w:r>
          <w:rPr>
            <w:rStyle w:val="Hyperlink"/>
            <w:rFonts w:ascii="Arial" w:hAnsi="Arial" w:cs="Arial"/>
          </w:rPr>
          <w:t>these p</w:t>
        </w:r>
        <w:r>
          <w:rPr>
            <w:rStyle w:val="Hyperlink"/>
            <w:rFonts w:ascii="Arial" w:hAnsi="Arial" w:cs="Arial"/>
          </w:rPr>
          <w:t>r</w:t>
        </w:r>
        <w:r>
          <w:rPr>
            <w:rStyle w:val="Hyperlink"/>
            <w:rFonts w:ascii="Arial" w:hAnsi="Arial" w:cs="Arial"/>
          </w:rPr>
          <w:t>oposals</w:t>
        </w:r>
      </w:hyperlink>
      <w:r>
        <w:rPr>
          <w:rFonts w:ascii="Arial" w:hAnsi="Arial" w:cs="Arial"/>
          <w:color w:val="000000"/>
        </w:rPr>
        <w:t xml:space="preserve"> </w:t>
      </w:r>
      <w:r w:rsidRPr="0055369A">
        <w:rPr>
          <w:rFonts w:ascii="Arial" w:hAnsi="Arial" w:cs="Arial"/>
          <w:color w:val="000000" w:themeColor="text1"/>
        </w:rPr>
        <w:t>in March 2014, and intends subject to consultation that revised regulations will come into force later this year, but with many changes taking effect as from 1 April 2014.</w:t>
      </w:r>
    </w:p>
    <w:p w:rsidR="00D12323" w:rsidRPr="008A5812" w:rsidRDefault="00D12323" w:rsidP="00300603">
      <w:pPr>
        <w:pStyle w:val="NormalWeb"/>
        <w:jc w:val="both"/>
        <w:rPr>
          <w:rFonts w:ascii="Arial" w:hAnsi="Arial" w:cs="Arial"/>
          <w:u w:val="single"/>
        </w:rPr>
      </w:pPr>
    </w:p>
    <w:p w:rsidR="00D12323" w:rsidRPr="008A5812" w:rsidRDefault="00D12323" w:rsidP="00300603">
      <w:pPr>
        <w:pStyle w:val="NormalWeb"/>
        <w:spacing w:line="270" w:lineRule="atLeast"/>
        <w:jc w:val="both"/>
        <w:rPr>
          <w:rFonts w:ascii="Arial" w:hAnsi="Arial" w:cs="Arial"/>
          <w:u w:val="single"/>
        </w:rPr>
      </w:pPr>
      <w:r w:rsidRPr="008A5812">
        <w:rPr>
          <w:rFonts w:ascii="Arial" w:hAnsi="Arial" w:cs="Arial"/>
          <w:u w:val="single"/>
        </w:rPr>
        <w:t>How do the Green Deal and ECO interact?</w:t>
      </w:r>
    </w:p>
    <w:p w:rsidR="00D12323" w:rsidRPr="008A5812" w:rsidRDefault="00D12323" w:rsidP="00300603">
      <w:pPr>
        <w:pStyle w:val="NormalWeb"/>
        <w:spacing w:line="270" w:lineRule="atLeast"/>
        <w:jc w:val="both"/>
        <w:rPr>
          <w:rFonts w:ascii="Arial" w:hAnsi="Arial" w:cs="Arial"/>
        </w:rPr>
      </w:pPr>
    </w:p>
    <w:p w:rsidR="00EA455B" w:rsidRPr="008A71F1" w:rsidRDefault="00D12323" w:rsidP="008A71F1">
      <w:pPr>
        <w:pStyle w:val="NormalWeb"/>
        <w:spacing w:line="270" w:lineRule="atLeast"/>
        <w:jc w:val="both"/>
        <w:rPr>
          <w:rFonts w:ascii="Arial" w:hAnsi="Arial" w:cs="Arial"/>
          <w:color w:val="FF0000"/>
        </w:rPr>
      </w:pPr>
      <w:r w:rsidRPr="008A5812">
        <w:rPr>
          <w:rFonts w:ascii="Arial" w:hAnsi="Arial" w:cs="Arial"/>
        </w:rPr>
        <w:t>Following a GD Assessment there will be a range of measures which could improve the energy efficiency of the property. Some of these could be paid for through GD finance, up to the point where the expected annual cost will not exceed what a typical household should save in energy costs. However, depending on the measure or the property, other sources of finance may also be required. ECO funding could be one of these sources, for example for measures such as Solid Wall Insulation and hard-to-treat Cavity Wall insulation.</w:t>
      </w:r>
      <w:r w:rsidRPr="008A5812">
        <w:rPr>
          <w:rFonts w:ascii="Arial" w:hAnsi="Arial" w:cs="Arial"/>
          <w:color w:val="FF0000"/>
        </w:rPr>
        <w:t xml:space="preserve"> </w:t>
      </w:r>
    </w:p>
    <w:p w:rsidR="00DB518B" w:rsidRPr="003B1639" w:rsidRDefault="00DB518B" w:rsidP="00DB518B">
      <w:pPr>
        <w:pStyle w:val="Heading2"/>
      </w:pPr>
      <w:bookmarkStart w:id="87" w:name="_Toc397621254"/>
      <w:bookmarkStart w:id="88" w:name="_Toc406514296"/>
      <w:r w:rsidRPr="00300F50">
        <w:t>Green Deal Cashback</w:t>
      </w:r>
      <w:bookmarkEnd w:id="87"/>
      <w:bookmarkEnd w:id="88"/>
    </w:p>
    <w:p w:rsidR="00DB518B" w:rsidRPr="00160BA8" w:rsidRDefault="00DB518B" w:rsidP="00DB518B">
      <w:pPr>
        <w:autoSpaceDE w:val="0"/>
        <w:autoSpaceDN w:val="0"/>
        <w:adjustRightInd w:val="0"/>
        <w:spacing w:before="0" w:after="0" w:line="240" w:lineRule="auto"/>
        <w:jc w:val="both"/>
        <w:rPr>
          <w:iCs/>
          <w:color w:val="000000"/>
          <w:szCs w:val="24"/>
          <w:lang w:eastAsia="en-GB"/>
        </w:rPr>
      </w:pPr>
      <w:r w:rsidRPr="00160BA8">
        <w:rPr>
          <w:iCs/>
          <w:color w:val="000000"/>
          <w:szCs w:val="24"/>
          <w:lang w:eastAsia="en-GB"/>
        </w:rPr>
        <w:t>The Cashback scheme closed at the end of June 2014.</w:t>
      </w:r>
      <w:r w:rsidRPr="00160BA8">
        <w:t xml:space="preserve"> </w:t>
      </w:r>
      <w:r w:rsidRPr="00160BA8">
        <w:rPr>
          <w:iCs/>
          <w:color w:val="000000"/>
          <w:szCs w:val="24"/>
          <w:lang w:eastAsia="en-GB"/>
        </w:rPr>
        <w:t>There will be no further applications for the Cashback scheme but vouchers will continued to be redeemed and paid until 30 September</w:t>
      </w:r>
      <w:r>
        <w:rPr>
          <w:iCs/>
          <w:color w:val="000000"/>
          <w:szCs w:val="24"/>
          <w:lang w:eastAsia="en-GB"/>
        </w:rPr>
        <w:t xml:space="preserve"> 2014</w:t>
      </w:r>
      <w:r w:rsidRPr="00160BA8">
        <w:rPr>
          <w:iCs/>
          <w:color w:val="000000"/>
          <w:szCs w:val="24"/>
          <w:lang w:eastAsia="en-GB"/>
        </w:rPr>
        <w:t>.</w:t>
      </w:r>
    </w:p>
    <w:p w:rsidR="00DB518B" w:rsidRPr="00160BA8" w:rsidRDefault="00DB518B" w:rsidP="00DB518B">
      <w:pPr>
        <w:autoSpaceDE w:val="0"/>
        <w:autoSpaceDN w:val="0"/>
        <w:adjustRightInd w:val="0"/>
        <w:spacing w:before="0" w:after="0" w:line="240" w:lineRule="auto"/>
        <w:jc w:val="both"/>
        <w:rPr>
          <w:iCs/>
          <w:color w:val="000000"/>
          <w:szCs w:val="24"/>
          <w:lang w:eastAsia="en-GB"/>
        </w:rPr>
      </w:pPr>
    </w:p>
    <w:p w:rsidR="00DB518B" w:rsidRDefault="00DB518B" w:rsidP="00DB518B">
      <w:pPr>
        <w:autoSpaceDE w:val="0"/>
        <w:autoSpaceDN w:val="0"/>
        <w:adjustRightInd w:val="0"/>
        <w:spacing w:before="0" w:after="0" w:line="240" w:lineRule="auto"/>
        <w:jc w:val="both"/>
        <w:rPr>
          <w:iCs/>
          <w:color w:val="000000"/>
          <w:szCs w:val="24"/>
        </w:rPr>
      </w:pPr>
      <w:r w:rsidRPr="00160BA8">
        <w:rPr>
          <w:iCs/>
          <w:color w:val="000000"/>
          <w:szCs w:val="24"/>
          <w:lang w:eastAsia="en-GB"/>
        </w:rPr>
        <w:t xml:space="preserve">The Green Deal Cashback Scheme rewarded the first Green Deal customers. It was a first-come, first served offer where householders can claim cash back from Government on energy saving improvements like insulation, front doors, windows and boilers with packages worth over £1,000. It was available for households in </w:t>
      </w:r>
      <w:r w:rsidRPr="00160BA8">
        <w:rPr>
          <w:iCs/>
          <w:color w:val="000000"/>
          <w:szCs w:val="24"/>
        </w:rPr>
        <w:t xml:space="preserve">England and Wales. </w:t>
      </w:r>
    </w:p>
    <w:p w:rsidR="00DB518B" w:rsidRDefault="00DB518B" w:rsidP="00DB518B">
      <w:pPr>
        <w:autoSpaceDE w:val="0"/>
        <w:autoSpaceDN w:val="0"/>
        <w:adjustRightInd w:val="0"/>
        <w:spacing w:before="0" w:after="0" w:line="240" w:lineRule="auto"/>
        <w:jc w:val="both"/>
        <w:rPr>
          <w:iCs/>
          <w:color w:val="000000"/>
          <w:szCs w:val="24"/>
        </w:rPr>
      </w:pPr>
    </w:p>
    <w:p w:rsidR="00DB518B" w:rsidRPr="00663124" w:rsidRDefault="00DB518B" w:rsidP="00DB518B">
      <w:pPr>
        <w:autoSpaceDE w:val="0"/>
        <w:autoSpaceDN w:val="0"/>
        <w:adjustRightInd w:val="0"/>
        <w:spacing w:before="0" w:after="0" w:line="240" w:lineRule="auto"/>
        <w:jc w:val="both"/>
        <w:rPr>
          <w:iCs/>
          <w:color w:val="000000"/>
          <w:szCs w:val="24"/>
        </w:rPr>
      </w:pPr>
      <w:r w:rsidRPr="00160BA8">
        <w:rPr>
          <w:iCs/>
          <w:color w:val="000000"/>
          <w:szCs w:val="24"/>
        </w:rPr>
        <w:t xml:space="preserve">For more information on the separate scheme that operates in Scotland please see the relevant </w:t>
      </w:r>
      <w:hyperlink r:id="rId83" w:history="1">
        <w:r w:rsidRPr="00160BA8">
          <w:rPr>
            <w:rStyle w:val="Hyperlink"/>
            <w:rFonts w:ascii="Arial" w:hAnsi="Arial"/>
            <w:iCs/>
            <w:szCs w:val="24"/>
          </w:rPr>
          <w:t>web</w:t>
        </w:r>
        <w:r w:rsidRPr="00160BA8">
          <w:rPr>
            <w:rStyle w:val="Hyperlink"/>
            <w:rFonts w:ascii="Arial" w:hAnsi="Arial"/>
            <w:iCs/>
            <w:szCs w:val="24"/>
          </w:rPr>
          <w:t>s</w:t>
        </w:r>
        <w:r w:rsidRPr="00160BA8">
          <w:rPr>
            <w:rStyle w:val="Hyperlink"/>
            <w:rFonts w:ascii="Arial" w:hAnsi="Arial"/>
            <w:iCs/>
            <w:szCs w:val="24"/>
          </w:rPr>
          <w:t>ite</w:t>
        </w:r>
      </w:hyperlink>
      <w:r w:rsidRPr="00160BA8">
        <w:rPr>
          <w:iCs/>
          <w:color w:val="000000"/>
          <w:szCs w:val="24"/>
        </w:rPr>
        <w:t>.</w:t>
      </w:r>
    </w:p>
    <w:p w:rsidR="00014925" w:rsidRPr="00683794" w:rsidRDefault="00014925" w:rsidP="00014925">
      <w:pPr>
        <w:pStyle w:val="Heading2"/>
      </w:pPr>
      <w:bookmarkStart w:id="89" w:name="_Toc405909126"/>
      <w:bookmarkStart w:id="90" w:name="_Toc406514297"/>
      <w:r w:rsidRPr="00683794">
        <w:lastRenderedPageBreak/>
        <w:t>Green Deal Home Improvement Fund</w:t>
      </w:r>
      <w:bookmarkEnd w:id="89"/>
      <w:bookmarkEnd w:id="90"/>
    </w:p>
    <w:p w:rsidR="00014925" w:rsidRPr="00014925" w:rsidRDefault="00014925" w:rsidP="00014925">
      <w:pPr>
        <w:autoSpaceDE w:val="0"/>
        <w:autoSpaceDN w:val="0"/>
        <w:adjustRightInd w:val="0"/>
        <w:spacing w:before="0" w:after="0" w:line="240" w:lineRule="auto"/>
        <w:jc w:val="both"/>
        <w:rPr>
          <w:iCs/>
          <w:color w:val="000000"/>
          <w:szCs w:val="24"/>
        </w:rPr>
      </w:pPr>
      <w:r w:rsidRPr="00683794">
        <w:rPr>
          <w:iCs/>
          <w:color w:val="000000"/>
          <w:szCs w:val="24"/>
          <w:lang w:eastAsia="en-GB"/>
        </w:rPr>
        <w:t xml:space="preserve">The Green Deal Home Improvement Fund (GDHIF) is an incentive scheme open to all householders in England and Wales wanting to improve the energy efficiency of their homes. The scheme allows householders to choose one or both of two offers available and they are eligible to claim </w:t>
      </w:r>
      <w:r w:rsidRPr="00014925">
        <w:rPr>
          <w:iCs/>
          <w:color w:val="000000"/>
          <w:szCs w:val="24"/>
          <w:lang w:eastAsia="en-GB"/>
        </w:rPr>
        <w:t>up to £7,600. Householders could also claim a refund of up to £100 for a Green Deal Advice Report (GDAR).</w:t>
      </w:r>
      <w:r w:rsidRPr="00014925">
        <w:rPr>
          <w:szCs w:val="24"/>
        </w:rPr>
        <w:t xml:space="preserve"> GDHIF Phase I closed to new applicants at 6:30pm on 24 July 2014. GDHIF Phase II commenced on 10 December 2014. For more information please see the </w:t>
      </w:r>
      <w:hyperlink r:id="rId84" w:history="1">
        <w:r w:rsidRPr="00014925">
          <w:rPr>
            <w:rStyle w:val="Hyperlink"/>
            <w:rFonts w:ascii="Arial" w:hAnsi="Arial"/>
            <w:szCs w:val="24"/>
          </w:rPr>
          <w:t>GDHIF</w:t>
        </w:r>
        <w:r w:rsidRPr="00014925">
          <w:rPr>
            <w:rStyle w:val="Hyperlink"/>
            <w:rFonts w:ascii="Arial" w:hAnsi="Arial"/>
            <w:szCs w:val="24"/>
          </w:rPr>
          <w:t xml:space="preserve"> </w:t>
        </w:r>
        <w:r w:rsidRPr="00014925">
          <w:rPr>
            <w:rStyle w:val="Hyperlink"/>
            <w:rFonts w:ascii="Arial" w:hAnsi="Arial"/>
            <w:szCs w:val="24"/>
          </w:rPr>
          <w:t>website</w:t>
        </w:r>
      </w:hyperlink>
      <w:r w:rsidRPr="00014925">
        <w:rPr>
          <w:rStyle w:val="Hyperlink"/>
          <w:rFonts w:ascii="Arial" w:hAnsi="Arial"/>
          <w:szCs w:val="24"/>
        </w:rPr>
        <w:t>.</w:t>
      </w:r>
      <w:r w:rsidRPr="00014925">
        <w:rPr>
          <w:iCs/>
          <w:color w:val="000000"/>
          <w:szCs w:val="24"/>
        </w:rPr>
        <w:t xml:space="preserve"> For more information on the separate scheme that operates in Scotland please see the relevant </w:t>
      </w:r>
      <w:hyperlink r:id="rId85" w:history="1">
        <w:r w:rsidRPr="00014925">
          <w:rPr>
            <w:rStyle w:val="Hyperlink"/>
            <w:rFonts w:ascii="Arial" w:hAnsi="Arial"/>
            <w:iCs/>
            <w:szCs w:val="24"/>
          </w:rPr>
          <w:t>we</w:t>
        </w:r>
        <w:r w:rsidRPr="00014925">
          <w:rPr>
            <w:rStyle w:val="Hyperlink"/>
            <w:rFonts w:ascii="Arial" w:hAnsi="Arial"/>
            <w:iCs/>
            <w:szCs w:val="24"/>
          </w:rPr>
          <w:t>b</w:t>
        </w:r>
        <w:r w:rsidRPr="00014925">
          <w:rPr>
            <w:rStyle w:val="Hyperlink"/>
            <w:rFonts w:ascii="Arial" w:hAnsi="Arial"/>
            <w:iCs/>
            <w:szCs w:val="24"/>
          </w:rPr>
          <w:t>site</w:t>
        </w:r>
      </w:hyperlink>
      <w:r w:rsidRPr="00014925">
        <w:rPr>
          <w:iCs/>
          <w:color w:val="000000"/>
          <w:szCs w:val="24"/>
        </w:rPr>
        <w:t xml:space="preserve">. Statistics on this scheme can be found </w:t>
      </w:r>
      <w:hyperlink r:id="rId86" w:history="1">
        <w:r w:rsidRPr="00014925">
          <w:rPr>
            <w:rStyle w:val="Hyperlink"/>
            <w:rFonts w:ascii="Arial" w:hAnsi="Arial"/>
            <w:iCs/>
            <w:szCs w:val="24"/>
          </w:rPr>
          <w:t>h</w:t>
        </w:r>
        <w:r w:rsidRPr="00014925">
          <w:rPr>
            <w:rStyle w:val="Hyperlink"/>
            <w:rFonts w:ascii="Arial" w:hAnsi="Arial"/>
            <w:iCs/>
            <w:szCs w:val="24"/>
          </w:rPr>
          <w:t>e</w:t>
        </w:r>
        <w:r w:rsidRPr="00014925">
          <w:rPr>
            <w:rStyle w:val="Hyperlink"/>
            <w:rFonts w:ascii="Arial" w:hAnsi="Arial"/>
            <w:iCs/>
            <w:szCs w:val="24"/>
          </w:rPr>
          <w:t>re</w:t>
        </w:r>
      </w:hyperlink>
      <w:r w:rsidRPr="00014925">
        <w:rPr>
          <w:iCs/>
          <w:color w:val="000000"/>
          <w:szCs w:val="24"/>
        </w:rPr>
        <w:t>.</w:t>
      </w:r>
    </w:p>
    <w:p w:rsidR="00014925" w:rsidRPr="00014925" w:rsidRDefault="00014925" w:rsidP="00014925">
      <w:pPr>
        <w:autoSpaceDE w:val="0"/>
        <w:autoSpaceDN w:val="0"/>
        <w:adjustRightInd w:val="0"/>
        <w:spacing w:before="0" w:after="0" w:line="240" w:lineRule="auto"/>
        <w:jc w:val="both"/>
        <w:rPr>
          <w:color w:val="000000"/>
          <w:szCs w:val="24"/>
          <w:u w:val="single"/>
        </w:rPr>
      </w:pPr>
    </w:p>
    <w:p w:rsidR="00014925" w:rsidRPr="00014925" w:rsidRDefault="00014925" w:rsidP="00014925">
      <w:pPr>
        <w:autoSpaceDE w:val="0"/>
        <w:autoSpaceDN w:val="0"/>
        <w:adjustRightInd w:val="0"/>
        <w:spacing w:before="0" w:after="0" w:line="240" w:lineRule="auto"/>
        <w:jc w:val="both"/>
        <w:rPr>
          <w:iCs/>
          <w:color w:val="000000"/>
          <w:szCs w:val="24"/>
          <w:lang w:eastAsia="en-GB"/>
        </w:rPr>
      </w:pPr>
      <w:r w:rsidRPr="00014925">
        <w:rPr>
          <w:iCs/>
          <w:color w:val="000000"/>
          <w:szCs w:val="24"/>
          <w:lang w:eastAsia="en-GB"/>
        </w:rPr>
        <w:t xml:space="preserve">DECC published GDHIF application data on the gov.uk </w:t>
      </w:r>
      <w:hyperlink r:id="rId87" w:history="1">
        <w:r w:rsidRPr="00014925">
          <w:rPr>
            <w:rStyle w:val="Hyperlink"/>
            <w:rFonts w:ascii="Arial" w:hAnsi="Arial"/>
            <w:iCs/>
            <w:szCs w:val="24"/>
            <w:lang w:eastAsia="en-GB"/>
          </w:rPr>
          <w:t>web</w:t>
        </w:r>
        <w:r w:rsidRPr="00014925">
          <w:rPr>
            <w:rStyle w:val="Hyperlink"/>
            <w:rFonts w:ascii="Arial" w:hAnsi="Arial"/>
            <w:iCs/>
            <w:szCs w:val="24"/>
            <w:lang w:eastAsia="en-GB"/>
          </w:rPr>
          <w:t>s</w:t>
        </w:r>
        <w:r w:rsidRPr="00014925">
          <w:rPr>
            <w:rStyle w:val="Hyperlink"/>
            <w:rFonts w:ascii="Arial" w:hAnsi="Arial"/>
            <w:iCs/>
            <w:szCs w:val="24"/>
            <w:lang w:eastAsia="en-GB"/>
          </w:rPr>
          <w:t>ite</w:t>
        </w:r>
      </w:hyperlink>
      <w:r w:rsidRPr="00014925">
        <w:rPr>
          <w:iCs/>
          <w:color w:val="000000"/>
          <w:szCs w:val="24"/>
          <w:lang w:eastAsia="en-GB"/>
        </w:rPr>
        <w:t xml:space="preserve"> on a weekly basis until the scheme closed, to assist businesses and households. This weekly series reported the number of applications, vouchers issued and maximum value of vouchers issued. This data was provided from the GDHIF administrator and was therefore provisional.</w:t>
      </w:r>
    </w:p>
    <w:p w:rsidR="002619A1" w:rsidRDefault="002619A1" w:rsidP="00300603">
      <w:pPr>
        <w:autoSpaceDE w:val="0"/>
        <w:autoSpaceDN w:val="0"/>
        <w:adjustRightInd w:val="0"/>
        <w:spacing w:before="0" w:after="0" w:line="240" w:lineRule="auto"/>
        <w:jc w:val="both"/>
        <w:rPr>
          <w:iCs/>
          <w:color w:val="000000"/>
          <w:szCs w:val="24"/>
        </w:rPr>
      </w:pPr>
    </w:p>
    <w:p w:rsidR="002619A1" w:rsidRPr="008A5812" w:rsidRDefault="002619A1" w:rsidP="002619A1">
      <w:pPr>
        <w:pStyle w:val="Heading2"/>
        <w:spacing w:before="0" w:after="0"/>
      </w:pPr>
      <w:bookmarkStart w:id="91" w:name="_Toc406514298"/>
      <w:r>
        <w:t>ECO delivery costs</w:t>
      </w:r>
      <w:bookmarkEnd w:id="91"/>
    </w:p>
    <w:p w:rsidR="002619A1" w:rsidRDefault="002619A1" w:rsidP="00300603">
      <w:pPr>
        <w:pStyle w:val="Heading2"/>
        <w:spacing w:before="0" w:after="0"/>
      </w:pPr>
      <w:bookmarkStart w:id="92" w:name="OLE_LINK13"/>
      <w:bookmarkStart w:id="93" w:name="OLE_LINK14"/>
    </w:p>
    <w:p w:rsidR="00E9747A" w:rsidRPr="00E9747A" w:rsidRDefault="00E9747A" w:rsidP="002619A1">
      <w:pPr>
        <w:spacing w:before="0" w:after="0" w:line="240" w:lineRule="auto"/>
        <w:jc w:val="both"/>
        <w:rPr>
          <w:bCs/>
          <w:color w:val="000000"/>
          <w:szCs w:val="24"/>
          <w:lang w:eastAsia="en-GB"/>
        </w:rPr>
      </w:pPr>
      <w:r>
        <w:rPr>
          <w:bCs/>
          <w:color w:val="000000"/>
          <w:szCs w:val="24"/>
          <w:lang w:eastAsia="en-GB"/>
        </w:rPr>
        <w:t xml:space="preserve">ECO delivery costs are reported by obligated energy suppliers </w:t>
      </w:r>
      <w:r w:rsidR="00322A97" w:rsidRPr="0094680F">
        <w:rPr>
          <w:szCs w:val="24"/>
        </w:rPr>
        <w:t>at the end of the month following each reporting month.</w:t>
      </w:r>
    </w:p>
    <w:p w:rsidR="00E9747A" w:rsidRDefault="00E9747A" w:rsidP="002619A1">
      <w:pPr>
        <w:spacing w:before="0" w:after="0" w:line="240" w:lineRule="auto"/>
        <w:jc w:val="both"/>
        <w:rPr>
          <w:b/>
          <w:bCs/>
          <w:color w:val="000000"/>
          <w:szCs w:val="24"/>
          <w:lang w:eastAsia="en-GB"/>
        </w:rPr>
      </w:pPr>
    </w:p>
    <w:p w:rsidR="002619A1" w:rsidRPr="0094680F" w:rsidRDefault="002619A1" w:rsidP="002619A1">
      <w:pPr>
        <w:spacing w:before="0" w:after="0" w:line="240" w:lineRule="auto"/>
        <w:jc w:val="both"/>
        <w:rPr>
          <w:szCs w:val="24"/>
        </w:rPr>
      </w:pPr>
      <w:r w:rsidRPr="0094680F">
        <w:rPr>
          <w:b/>
          <w:bCs/>
          <w:color w:val="000000"/>
          <w:szCs w:val="24"/>
          <w:lang w:eastAsia="en-GB"/>
        </w:rPr>
        <w:t>ECO delivery</w:t>
      </w:r>
      <w:r w:rsidRPr="0094680F">
        <w:rPr>
          <w:color w:val="000000"/>
          <w:szCs w:val="24"/>
          <w:lang w:eastAsia="en-GB"/>
        </w:rPr>
        <w:t xml:space="preserve"> </w:t>
      </w:r>
      <w:r w:rsidRPr="0094680F">
        <w:rPr>
          <w:b/>
          <w:bCs/>
          <w:color w:val="000000"/>
          <w:szCs w:val="24"/>
          <w:lang w:eastAsia="en-GB"/>
        </w:rPr>
        <w:t xml:space="preserve">costs </w:t>
      </w:r>
      <w:r w:rsidRPr="0094680F">
        <w:rPr>
          <w:color w:val="000000"/>
          <w:szCs w:val="24"/>
          <w:lang w:eastAsia="en-GB"/>
        </w:rPr>
        <w:t>are defined as the cost of installing an ECO measure in a property. This includes the costs of technical monitoring, cost of assessment, costs involved with searching for ECO properties, installation costs and marketing costs by delivery partners involved with promoting the ECO obligations. Administrative costs are not included in delivery cos</w:t>
      </w:r>
      <w:r w:rsidR="00E9747A">
        <w:rPr>
          <w:color w:val="000000"/>
          <w:szCs w:val="24"/>
          <w:lang w:eastAsia="en-GB"/>
        </w:rPr>
        <w:t>ts</w:t>
      </w:r>
      <w:r w:rsidRPr="0094680F">
        <w:rPr>
          <w:color w:val="000000"/>
          <w:szCs w:val="24"/>
          <w:lang w:eastAsia="en-GB"/>
        </w:rPr>
        <w:t xml:space="preserve">. </w:t>
      </w:r>
    </w:p>
    <w:p w:rsidR="002619A1" w:rsidRDefault="002619A1" w:rsidP="002619A1">
      <w:pPr>
        <w:spacing w:after="0" w:line="240" w:lineRule="auto"/>
        <w:ind w:left="-28"/>
        <w:jc w:val="both"/>
      </w:pPr>
    </w:p>
    <w:p w:rsidR="002619A1" w:rsidRDefault="002619A1" w:rsidP="002619A1">
      <w:pPr>
        <w:spacing w:before="0" w:after="0" w:line="240" w:lineRule="auto"/>
        <w:ind w:left="-28"/>
        <w:jc w:val="both"/>
      </w:pPr>
      <w:r w:rsidRPr="00705534">
        <w:t xml:space="preserve">In addition, </w:t>
      </w:r>
      <w:r w:rsidRPr="00705534">
        <w:rPr>
          <w:b/>
        </w:rPr>
        <w:t xml:space="preserve">administrative costs </w:t>
      </w:r>
      <w:r w:rsidRPr="00705534">
        <w:t xml:space="preserve">are collected every quarter from suppliers and include: reporting and compliance, own marketing and direct administrative costs. Figures up to </w:t>
      </w:r>
      <w:r w:rsidR="00322A97" w:rsidRPr="00705534">
        <w:t xml:space="preserve">the end of </w:t>
      </w:r>
      <w:r w:rsidR="00411ABA" w:rsidRPr="00705534">
        <w:t>September</w:t>
      </w:r>
      <w:r w:rsidR="002F723B" w:rsidRPr="00705534">
        <w:t xml:space="preserve"> 2014</w:t>
      </w:r>
      <w:r w:rsidRPr="00705534">
        <w:t xml:space="preserve"> show</w:t>
      </w:r>
      <w:r w:rsidR="00322A97" w:rsidRPr="00705534">
        <w:t xml:space="preserve"> aggregate expenditure of £</w:t>
      </w:r>
      <w:r w:rsidR="001326AA" w:rsidRPr="00705534">
        <w:t>1</w:t>
      </w:r>
      <w:r w:rsidR="00705534" w:rsidRPr="00705534">
        <w:t>22.5</w:t>
      </w:r>
      <w:r w:rsidRPr="00705534">
        <w:t>m. However, overall administrative costs reported are likely to be relatively small compared to delivery costs and, in addition, they may be front-loaded as suppliers will invest significantly in the development of IT / reporting systems to support delivery of the scheme. Suppliers make returns on administrative costs at the end of the month following each reporting quarter.</w:t>
      </w:r>
    </w:p>
    <w:p w:rsidR="00322A97" w:rsidRPr="00D46E4B" w:rsidRDefault="00322A97" w:rsidP="002619A1">
      <w:pPr>
        <w:spacing w:before="0" w:after="0" w:line="240" w:lineRule="auto"/>
        <w:ind w:left="-28"/>
        <w:jc w:val="both"/>
      </w:pPr>
    </w:p>
    <w:p w:rsidR="00322A97" w:rsidRPr="00D46E4B" w:rsidRDefault="00322A97" w:rsidP="002619A1">
      <w:pPr>
        <w:spacing w:before="0" w:after="0" w:line="240" w:lineRule="auto"/>
        <w:ind w:left="-28"/>
        <w:jc w:val="both"/>
      </w:pPr>
      <w:r w:rsidRPr="00D46E4B">
        <w:t>Full definitions on</w:t>
      </w:r>
      <w:r w:rsidR="00D46E4B" w:rsidRPr="00D46E4B">
        <w:t xml:space="preserve"> ECO costs</w:t>
      </w:r>
      <w:r w:rsidRPr="00D46E4B">
        <w:t xml:space="preserve"> are included </w:t>
      </w:r>
      <w:hyperlink r:id="rId88" w:history="1">
        <w:r w:rsidRPr="00D46E4B">
          <w:rPr>
            <w:rStyle w:val="Hyperlink"/>
            <w:rFonts w:ascii="Arial" w:hAnsi="Arial"/>
          </w:rPr>
          <w:t>here</w:t>
        </w:r>
      </w:hyperlink>
    </w:p>
    <w:p w:rsidR="002619A1" w:rsidRDefault="002619A1" w:rsidP="00300603">
      <w:pPr>
        <w:pStyle w:val="Heading2"/>
        <w:spacing w:before="0" w:after="0"/>
      </w:pPr>
    </w:p>
    <w:p w:rsidR="00EA455B" w:rsidRDefault="00EA455B" w:rsidP="00300603">
      <w:pPr>
        <w:pStyle w:val="Heading2"/>
        <w:spacing w:before="0" w:after="0"/>
      </w:pPr>
    </w:p>
    <w:p w:rsidR="00D12323" w:rsidRPr="008A5812" w:rsidRDefault="00D12323" w:rsidP="00300603">
      <w:pPr>
        <w:pStyle w:val="Heading2"/>
        <w:spacing w:before="0" w:after="0"/>
      </w:pPr>
      <w:bookmarkStart w:id="94" w:name="_Toc406514299"/>
      <w:r w:rsidRPr="008A5812">
        <w:t>ECO Brokerage</w:t>
      </w:r>
      <w:bookmarkEnd w:id="94"/>
    </w:p>
    <w:p w:rsidR="00D12323" w:rsidRPr="008A5812" w:rsidRDefault="00D12323" w:rsidP="00300603">
      <w:pPr>
        <w:pStyle w:val="NormalWeb"/>
        <w:spacing w:line="270" w:lineRule="atLeast"/>
        <w:jc w:val="both"/>
        <w:rPr>
          <w:rFonts w:ascii="Arial" w:hAnsi="Arial" w:cs="Arial"/>
        </w:rPr>
      </w:pPr>
      <w:bookmarkStart w:id="95" w:name="OLE_LINK3"/>
      <w:bookmarkStart w:id="96" w:name="OLE_LINK4"/>
    </w:p>
    <w:p w:rsidR="00D12323" w:rsidRPr="00300F50" w:rsidRDefault="00D12323" w:rsidP="00300603">
      <w:pPr>
        <w:pStyle w:val="NormalWeb"/>
        <w:spacing w:line="270" w:lineRule="atLeast"/>
        <w:jc w:val="both"/>
        <w:rPr>
          <w:rFonts w:ascii="Arial" w:hAnsi="Arial" w:cs="Arial"/>
          <w:color w:val="000000"/>
        </w:rPr>
      </w:pPr>
      <w:bookmarkStart w:id="97" w:name="OLE_LINK10"/>
      <w:bookmarkStart w:id="98" w:name="OLE_LINK12"/>
      <w:bookmarkEnd w:id="95"/>
      <w:bookmarkEnd w:id="96"/>
      <w:r w:rsidRPr="00300F50">
        <w:rPr>
          <w:rFonts w:ascii="Arial" w:hAnsi="Arial" w:cs="Arial"/>
          <w:color w:val="000000"/>
        </w:rPr>
        <w:t xml:space="preserve">The </w:t>
      </w:r>
      <w:hyperlink r:id="rId89" w:history="1">
        <w:r w:rsidRPr="008A5812">
          <w:rPr>
            <w:rStyle w:val="Hyperlink"/>
            <w:rFonts w:ascii="Arial" w:hAnsi="Arial" w:cs="Arial"/>
          </w:rPr>
          <w:t>ECO Brokerage</w:t>
        </w:r>
      </w:hyperlink>
      <w:r w:rsidRPr="00300F50">
        <w:rPr>
          <w:rFonts w:ascii="Arial" w:hAnsi="Arial" w:cs="Arial"/>
          <w:color w:val="000000"/>
        </w:rPr>
        <w:t xml:space="preserve"> system operates as a fortnightly anonymous auction where GD Providers can sell ‘lots’ of future measures of ECO Carbon Saving Obligation, ECO Carbon Saving Communities and ECO Affordable Warmth, to energy companies in return for ECO subsidy. </w:t>
      </w:r>
    </w:p>
    <w:p w:rsidR="00D12323" w:rsidRPr="00300F50" w:rsidRDefault="00D12323" w:rsidP="00300603">
      <w:pPr>
        <w:pStyle w:val="NormalWeb"/>
        <w:spacing w:line="270" w:lineRule="atLeast"/>
        <w:jc w:val="both"/>
        <w:rPr>
          <w:rFonts w:ascii="Arial" w:hAnsi="Arial" w:cs="Arial"/>
          <w:color w:val="000000"/>
        </w:rPr>
      </w:pPr>
    </w:p>
    <w:p w:rsidR="00D12323" w:rsidRPr="00300F50" w:rsidRDefault="00D12323" w:rsidP="00300603">
      <w:pPr>
        <w:pStyle w:val="NormalWeb"/>
        <w:spacing w:line="270" w:lineRule="atLeast"/>
        <w:jc w:val="both"/>
        <w:rPr>
          <w:rFonts w:ascii="Arial" w:hAnsi="Arial" w:cs="Arial"/>
          <w:color w:val="000000"/>
        </w:rPr>
      </w:pPr>
      <w:r w:rsidRPr="00300F50">
        <w:rPr>
          <w:rFonts w:ascii="Arial" w:hAnsi="Arial" w:cs="Arial"/>
          <w:color w:val="000000"/>
          <w:lang w:val="en-US"/>
        </w:rPr>
        <w:t>This market-based mechanism has been introduced to support an open and competitive market for the delivery of the ECO. Brokerage allows a</w:t>
      </w:r>
      <w:r w:rsidRPr="00300F50">
        <w:rPr>
          <w:rFonts w:ascii="Arial" w:hAnsi="Arial" w:cs="Arial"/>
          <w:color w:val="000000"/>
        </w:rPr>
        <w:t xml:space="preserve"> range of Green Deal providers to fairly compete on price to attract ECO support and enables energy suppliers to deliver their obligations at the lowest possible cost, thereby reducing the impact on customer energy bills. </w:t>
      </w:r>
    </w:p>
    <w:p w:rsidR="00D12323" w:rsidRPr="00300F50" w:rsidRDefault="00D12323" w:rsidP="00300603">
      <w:pPr>
        <w:pStyle w:val="NormalWeb"/>
        <w:spacing w:line="270" w:lineRule="atLeast"/>
        <w:jc w:val="both"/>
        <w:rPr>
          <w:rFonts w:ascii="Arial" w:hAnsi="Arial" w:cs="Arial"/>
          <w:color w:val="000000"/>
        </w:rPr>
      </w:pPr>
    </w:p>
    <w:p w:rsidR="00D12323" w:rsidRPr="00300F50" w:rsidRDefault="00D12323" w:rsidP="00300603">
      <w:pPr>
        <w:pStyle w:val="NormalWeb"/>
        <w:spacing w:line="270" w:lineRule="atLeast"/>
        <w:jc w:val="both"/>
        <w:rPr>
          <w:rFonts w:ascii="Arial" w:hAnsi="Arial" w:cs="Arial"/>
          <w:color w:val="000000"/>
        </w:rPr>
      </w:pPr>
      <w:r w:rsidRPr="00300F50">
        <w:rPr>
          <w:rFonts w:ascii="Arial" w:hAnsi="Arial" w:cs="Arial"/>
          <w:color w:val="000000"/>
        </w:rPr>
        <w:t>Sellers (GD Providers) can make a competitive offer on brokerage by leveraging additional sources of finance, such as part funding measures through Green Deal Finance, partnerships with local authorities, or driving down costs by economies of scale.</w:t>
      </w:r>
      <w:bookmarkEnd w:id="92"/>
      <w:bookmarkEnd w:id="93"/>
      <w:bookmarkEnd w:id="97"/>
      <w:bookmarkEnd w:id="98"/>
    </w:p>
    <w:p w:rsidR="00D12323" w:rsidRPr="00300F50" w:rsidRDefault="00D12323" w:rsidP="00300603">
      <w:pPr>
        <w:pStyle w:val="NormalWeb"/>
        <w:spacing w:line="270" w:lineRule="atLeast"/>
        <w:jc w:val="both"/>
        <w:rPr>
          <w:rFonts w:ascii="Arial" w:hAnsi="Arial" w:cs="Arial"/>
          <w:color w:val="000000"/>
        </w:rPr>
      </w:pPr>
    </w:p>
    <w:p w:rsidR="00D12323" w:rsidRDefault="00D12323" w:rsidP="00300603">
      <w:pPr>
        <w:pStyle w:val="Heading2"/>
        <w:spacing w:before="0" w:after="0"/>
      </w:pPr>
      <w:bookmarkStart w:id="99" w:name="_Toc406514300"/>
      <w:r w:rsidRPr="008A5812">
        <w:lastRenderedPageBreak/>
        <w:t>The Supply Chain</w:t>
      </w:r>
      <w:bookmarkEnd w:id="99"/>
    </w:p>
    <w:p w:rsidR="00300603" w:rsidRPr="00300603" w:rsidRDefault="00300603" w:rsidP="00300603">
      <w:pPr>
        <w:spacing w:before="0" w:after="0"/>
      </w:pPr>
    </w:p>
    <w:p w:rsidR="00D12323" w:rsidRPr="008A5812" w:rsidRDefault="00D12323" w:rsidP="00300603">
      <w:pPr>
        <w:spacing w:before="0" w:after="0" w:line="240" w:lineRule="auto"/>
        <w:jc w:val="both"/>
        <w:rPr>
          <w:szCs w:val="24"/>
        </w:rPr>
      </w:pPr>
      <w:r w:rsidRPr="008A5812">
        <w:rPr>
          <w:szCs w:val="24"/>
        </w:rPr>
        <w:t>To understand more about the organisations and infrastructure underpinning the Green Deal, this report also includes a section summarising the trends in the number of Green Deal Advisors (and Assessor organisations), the number of Green Deal Providers and the number of Green Deal Installer organisations.</w:t>
      </w:r>
    </w:p>
    <w:p w:rsidR="006505B5" w:rsidRDefault="006505B5" w:rsidP="00C32763">
      <w:pPr>
        <w:pStyle w:val="Heading2"/>
        <w:spacing w:before="0" w:after="0"/>
      </w:pPr>
    </w:p>
    <w:p w:rsidR="00C32763" w:rsidRDefault="00C32763" w:rsidP="00C32763">
      <w:pPr>
        <w:pStyle w:val="Heading2"/>
        <w:spacing w:before="0" w:after="0"/>
      </w:pPr>
      <w:bookmarkStart w:id="100" w:name="_Toc406514301"/>
      <w:r>
        <w:t>Pioneer Places</w:t>
      </w:r>
      <w:bookmarkEnd w:id="100"/>
    </w:p>
    <w:p w:rsidR="00C32763" w:rsidRDefault="00C32763" w:rsidP="00300603">
      <w:pPr>
        <w:spacing w:before="0" w:after="0" w:line="240" w:lineRule="auto"/>
        <w:rPr>
          <w:b/>
          <w:bCs/>
          <w:szCs w:val="24"/>
        </w:rPr>
      </w:pPr>
    </w:p>
    <w:p w:rsidR="009C224B" w:rsidRDefault="009C224B" w:rsidP="00DD57E4">
      <w:pPr>
        <w:spacing w:before="0" w:after="0"/>
        <w:jc w:val="both"/>
      </w:pPr>
      <w:r>
        <w:t>The Green Deal Pioneer Places Fund of £10m was allocated to Local Authorities and/or consortia of Local Authorities in England to demonstrate ambitious approaches to kick starting local Green Deal activity in both the domestic and non-domestic sectors. Activities that were supported by the DECC funding included:</w:t>
      </w:r>
    </w:p>
    <w:p w:rsidR="00DD57E4" w:rsidRPr="00DD57E4" w:rsidRDefault="00DD57E4" w:rsidP="00DD57E4">
      <w:pPr>
        <w:spacing w:before="0" w:after="0"/>
        <w:jc w:val="both"/>
      </w:pPr>
    </w:p>
    <w:p w:rsidR="009C224B" w:rsidRDefault="009C224B" w:rsidP="00D76AE6">
      <w:pPr>
        <w:numPr>
          <w:ilvl w:val="0"/>
          <w:numId w:val="37"/>
        </w:numPr>
        <w:spacing w:before="0" w:after="0"/>
        <w:jc w:val="both"/>
        <w:rPr>
          <w:color w:val="000000" w:themeColor="text1"/>
        </w:rPr>
      </w:pPr>
      <w:r w:rsidRPr="009C224B">
        <w:rPr>
          <w:color w:val="000000" w:themeColor="text1"/>
        </w:rPr>
        <w:t>funding the Green Deal Assessment by Authorised Assessors;</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piloting local marketing approaches, including a street by street approach to roll out;</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establishing a network of local Green Deal show homes;</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area wide events to publicise the Green Deal;</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 xml:space="preserve">working with local partners such as the local NHS to drive demand for the Green Deal; </w:t>
      </w:r>
    </w:p>
    <w:p w:rsidR="009C224B" w:rsidRPr="009C224B" w:rsidRDefault="009C224B" w:rsidP="00D76AE6">
      <w:pPr>
        <w:numPr>
          <w:ilvl w:val="0"/>
          <w:numId w:val="37"/>
        </w:numPr>
        <w:spacing w:before="0" w:after="0"/>
        <w:jc w:val="both"/>
        <w:rPr>
          <w:color w:val="000000" w:themeColor="text1"/>
        </w:rPr>
      </w:pPr>
      <w:proofErr w:type="gramStart"/>
      <w:r w:rsidRPr="009C224B">
        <w:rPr>
          <w:color w:val="000000" w:themeColor="text1"/>
        </w:rPr>
        <w:t>working</w:t>
      </w:r>
      <w:proofErr w:type="gramEnd"/>
      <w:r w:rsidRPr="009C224B">
        <w:rPr>
          <w:color w:val="000000" w:themeColor="text1"/>
        </w:rPr>
        <w:t xml:space="preserve"> with community and other civil society groups to deliver demand for the Green Deal.</w:t>
      </w:r>
    </w:p>
    <w:p w:rsidR="009C224B" w:rsidRDefault="009C224B" w:rsidP="009C224B">
      <w:pPr>
        <w:spacing w:before="0" w:after="0"/>
        <w:rPr>
          <w:color w:val="1F497D"/>
        </w:rPr>
      </w:pPr>
    </w:p>
    <w:p w:rsidR="00014925" w:rsidRPr="00B13311" w:rsidRDefault="002843E1" w:rsidP="00B13311">
      <w:pPr>
        <w:spacing w:before="0" w:after="0"/>
        <w:rPr>
          <w:color w:val="1F497D"/>
          <w:szCs w:val="24"/>
        </w:rPr>
      </w:pPr>
      <w:r w:rsidRPr="00217A69">
        <w:rPr>
          <w:color w:val="000000" w:themeColor="text1"/>
        </w:rPr>
        <w:t>The</w:t>
      </w:r>
      <w:r w:rsidR="000D0C4C">
        <w:rPr>
          <w:color w:val="000000" w:themeColor="text1"/>
        </w:rPr>
        <w:t xml:space="preserve"> </w:t>
      </w:r>
      <w:r w:rsidR="000D0C4C" w:rsidRPr="009079D3">
        <w:rPr>
          <w:color w:val="000000" w:themeColor="text1"/>
        </w:rPr>
        <w:t>accompanying</w:t>
      </w:r>
      <w:r w:rsidR="00812F13" w:rsidRPr="009079D3">
        <w:rPr>
          <w:color w:val="000000" w:themeColor="text1"/>
        </w:rPr>
        <w:t xml:space="preserve"> </w:t>
      </w:r>
      <w:hyperlink r:id="rId90" w:history="1">
        <w:r w:rsidR="00812F13" w:rsidRPr="009079D3">
          <w:rPr>
            <w:rStyle w:val="Hyperlink"/>
            <w:rFonts w:ascii="Arial" w:hAnsi="Arial"/>
            <w:szCs w:val="24"/>
          </w:rPr>
          <w:t>Methodology note</w:t>
        </w:r>
      </w:hyperlink>
      <w:r w:rsidRPr="009079D3">
        <w:rPr>
          <w:color w:val="000000" w:themeColor="text1"/>
        </w:rPr>
        <w:t xml:space="preserve"> contains a</w:t>
      </w:r>
      <w:r w:rsidRPr="00217A69">
        <w:rPr>
          <w:color w:val="000000" w:themeColor="text1"/>
        </w:rPr>
        <w:t xml:space="preserve"> table of the</w:t>
      </w:r>
      <w:r w:rsidR="00FD0B61" w:rsidRPr="00217A69">
        <w:rPr>
          <w:color w:val="0D0D0D" w:themeColor="text1" w:themeTint="F2"/>
          <w:szCs w:val="24"/>
        </w:rPr>
        <w:t xml:space="preserve"> full list of lead Local</w:t>
      </w:r>
      <w:r w:rsidR="00FD0B61" w:rsidRPr="00217A69">
        <w:rPr>
          <w:szCs w:val="24"/>
        </w:rPr>
        <w:t xml:space="preserve"> Authorities and/or consortia of Local Authorities which form part of these projects</w:t>
      </w:r>
    </w:p>
    <w:p w:rsidR="00144EE8" w:rsidRDefault="00144EE8" w:rsidP="00144EE8">
      <w:pPr>
        <w:pStyle w:val="Heading2"/>
      </w:pPr>
      <w:bookmarkStart w:id="101" w:name="_Toc406514302"/>
      <w:r w:rsidRPr="00217A69">
        <w:t>Core Cities</w:t>
      </w:r>
      <w:bookmarkEnd w:id="101"/>
    </w:p>
    <w:p w:rsidR="00B4382F" w:rsidRDefault="00B4382F" w:rsidP="00B05F65">
      <w:pPr>
        <w:spacing w:before="0" w:after="0"/>
        <w:jc w:val="both"/>
        <w:rPr>
          <w:color w:val="0D0D0D" w:themeColor="text1" w:themeTint="F2"/>
        </w:rPr>
      </w:pPr>
      <w:r w:rsidRPr="00B4382F">
        <w:rPr>
          <w:color w:val="0D0D0D" w:themeColor="text1" w:themeTint="F2"/>
        </w:rPr>
        <w:t>Eight cities across England received funding of £10.8m in total to trial early aspects of the Green Deal process and support them to help kick-start the Green Deal. The projects included retrofitting properties across whole communities.</w:t>
      </w:r>
    </w:p>
    <w:p w:rsidR="00B05F65" w:rsidRPr="00B4382F" w:rsidRDefault="00B05F65" w:rsidP="00B05F65">
      <w:pPr>
        <w:spacing w:before="0" w:after="0"/>
        <w:jc w:val="both"/>
        <w:rPr>
          <w:color w:val="0D0D0D" w:themeColor="text1" w:themeTint="F2"/>
        </w:rPr>
      </w:pPr>
    </w:p>
    <w:p w:rsidR="00B4382F" w:rsidRPr="00B4382F" w:rsidRDefault="00B4382F" w:rsidP="008071E6">
      <w:pPr>
        <w:spacing w:before="0"/>
        <w:jc w:val="both"/>
        <w:rPr>
          <w:color w:val="0D0D0D" w:themeColor="text1" w:themeTint="F2"/>
        </w:rPr>
      </w:pPr>
      <w:r w:rsidRPr="00B4382F">
        <w:rPr>
          <w:color w:val="0D0D0D" w:themeColor="text1" w:themeTint="F2"/>
        </w:rPr>
        <w:t>The cities were:</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Birmingham</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Bristol</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Leeds</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Liverpool</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Manchester</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Newcastle</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Nottingham</w:t>
      </w:r>
    </w:p>
    <w:p w:rsidR="00B4382F" w:rsidRPr="00B05F65" w:rsidRDefault="00B4382F" w:rsidP="00B4382F">
      <w:pPr>
        <w:numPr>
          <w:ilvl w:val="0"/>
          <w:numId w:val="38"/>
        </w:numPr>
        <w:spacing w:before="0" w:after="0"/>
        <w:jc w:val="both"/>
        <w:rPr>
          <w:color w:val="0D0D0D" w:themeColor="text1" w:themeTint="F2"/>
        </w:rPr>
      </w:pPr>
      <w:r w:rsidRPr="00B4382F">
        <w:rPr>
          <w:color w:val="0D0D0D" w:themeColor="text1" w:themeTint="F2"/>
        </w:rPr>
        <w:t xml:space="preserve">Sheffield </w:t>
      </w:r>
      <w:r w:rsidR="00B05F65">
        <w:rPr>
          <w:color w:val="0D0D0D" w:themeColor="text1" w:themeTint="F2"/>
        </w:rPr>
        <w:br/>
      </w:r>
    </w:p>
    <w:p w:rsidR="00B4382F" w:rsidRDefault="00B4382F" w:rsidP="00E31168">
      <w:pPr>
        <w:spacing w:before="0" w:after="0"/>
        <w:jc w:val="both"/>
        <w:rPr>
          <w:color w:val="0D0D0D" w:themeColor="text1" w:themeTint="F2"/>
        </w:rPr>
      </w:pPr>
      <w:r w:rsidRPr="00B4382F">
        <w:rPr>
          <w:color w:val="0D0D0D" w:themeColor="text1" w:themeTint="F2"/>
        </w:rPr>
        <w:t>The projects provided feedback and data on the elements of the Green Deal framework such as assessment and installation.</w:t>
      </w:r>
    </w:p>
    <w:p w:rsidR="00E31168" w:rsidRPr="00B4382F" w:rsidRDefault="00E31168" w:rsidP="00E31168">
      <w:pPr>
        <w:spacing w:before="0" w:after="0"/>
        <w:jc w:val="both"/>
        <w:rPr>
          <w:color w:val="0D0D0D" w:themeColor="text1" w:themeTint="F2"/>
        </w:rPr>
      </w:pPr>
    </w:p>
    <w:p w:rsidR="00B4382F" w:rsidRPr="00B4382F" w:rsidRDefault="00B4382F" w:rsidP="00E31168">
      <w:pPr>
        <w:spacing w:before="0" w:after="0"/>
        <w:jc w:val="both"/>
        <w:rPr>
          <w:color w:val="0D0D0D" w:themeColor="text1" w:themeTint="F2"/>
        </w:rPr>
      </w:pPr>
      <w:r w:rsidRPr="00B4382F">
        <w:rPr>
          <w:color w:val="0D0D0D" w:themeColor="text1" w:themeTint="F2"/>
        </w:rPr>
        <w:t>The cities’ projects also generated match funding. This work is supporting future Green Deal activity in these cities, including raised awareness of the Green Deal through community engagement and show homes, and a stimulus to local supply chains such as trained Green Deal advisors and registered installers.</w:t>
      </w:r>
    </w:p>
    <w:p w:rsidR="00144EE8" w:rsidRDefault="00144EE8" w:rsidP="00144EE8">
      <w:pPr>
        <w:spacing w:before="0" w:after="0"/>
        <w:jc w:val="both"/>
      </w:pPr>
    </w:p>
    <w:p w:rsidR="008B4D9A" w:rsidRDefault="00C32B92" w:rsidP="00C32763">
      <w:pPr>
        <w:spacing w:before="0" w:after="0" w:line="240" w:lineRule="auto"/>
        <w:rPr>
          <w:bCs/>
          <w:szCs w:val="24"/>
        </w:rPr>
      </w:pPr>
      <w:r w:rsidRPr="00C32B92">
        <w:rPr>
          <w:bCs/>
          <w:szCs w:val="24"/>
        </w:rPr>
        <w:t>Further information on Core Cities and Pion</w:t>
      </w:r>
      <w:r>
        <w:rPr>
          <w:bCs/>
          <w:szCs w:val="24"/>
        </w:rPr>
        <w:t>e</w:t>
      </w:r>
      <w:r w:rsidR="008B4D9A">
        <w:rPr>
          <w:bCs/>
          <w:szCs w:val="24"/>
        </w:rPr>
        <w:t>er Place can be found at</w:t>
      </w:r>
    </w:p>
    <w:p w:rsidR="00C32B92" w:rsidRPr="00C32B92" w:rsidRDefault="00C34310" w:rsidP="00C32763">
      <w:pPr>
        <w:spacing w:before="0" w:after="0" w:line="240" w:lineRule="auto"/>
        <w:rPr>
          <w:bCs/>
          <w:szCs w:val="24"/>
        </w:rPr>
      </w:pPr>
      <w:hyperlink r:id="rId91" w:history="1">
        <w:r w:rsidR="00C32B92" w:rsidRPr="00C32B92">
          <w:rPr>
            <w:rStyle w:val="Hyperlink"/>
            <w:rFonts w:ascii="Arial" w:hAnsi="Arial"/>
            <w:bCs/>
            <w:szCs w:val="24"/>
          </w:rPr>
          <w:t>https://www.gov.uk/local-authorities-and-the-green-deal</w:t>
        </w:r>
      </w:hyperlink>
      <w:r w:rsidR="00411ABA">
        <w:rPr>
          <w:rStyle w:val="Hyperlink"/>
          <w:rFonts w:ascii="Arial" w:hAnsi="Arial"/>
          <w:bCs/>
          <w:szCs w:val="24"/>
        </w:rPr>
        <w:t>.</w:t>
      </w:r>
    </w:p>
    <w:p w:rsidR="007719FF" w:rsidRPr="008A5812" w:rsidRDefault="007719FF" w:rsidP="00C32763">
      <w:pPr>
        <w:spacing w:before="0" w:after="0" w:line="240" w:lineRule="auto"/>
        <w:rPr>
          <w:b/>
          <w:bCs/>
          <w:szCs w:val="24"/>
        </w:rPr>
      </w:pPr>
      <w:r w:rsidRPr="008A5812">
        <w:rPr>
          <w:b/>
          <w:bCs/>
          <w:szCs w:val="24"/>
        </w:rPr>
        <w:br w:type="page"/>
      </w:r>
    </w:p>
    <w:p w:rsidR="0003252A" w:rsidRDefault="0003252A" w:rsidP="00300603">
      <w:pPr>
        <w:pStyle w:val="ChapterHead"/>
        <w:spacing w:before="0" w:after="0"/>
        <w:rPr>
          <w:rFonts w:cs="Arial"/>
          <w:szCs w:val="50"/>
        </w:rPr>
      </w:pPr>
      <w:bookmarkStart w:id="102" w:name="AnnexB"/>
      <w:bookmarkStart w:id="103" w:name="_Toc406514303"/>
      <w:r w:rsidRPr="008A5812">
        <w:rPr>
          <w:rFonts w:cs="Arial"/>
          <w:szCs w:val="50"/>
        </w:rPr>
        <w:lastRenderedPageBreak/>
        <w:t>A</w:t>
      </w:r>
      <w:r w:rsidR="000F3D99">
        <w:rPr>
          <w:rFonts w:cs="Arial"/>
          <w:szCs w:val="50"/>
        </w:rPr>
        <w:t>nnex B</w:t>
      </w:r>
      <w:r w:rsidRPr="008A5812">
        <w:rPr>
          <w:rFonts w:cs="Arial"/>
          <w:szCs w:val="50"/>
        </w:rPr>
        <w:t xml:space="preserve"> </w:t>
      </w:r>
      <w:bookmarkEnd w:id="102"/>
      <w:r w:rsidRPr="008A5812">
        <w:rPr>
          <w:rFonts w:cs="Arial"/>
          <w:szCs w:val="50"/>
        </w:rPr>
        <w:t>– Sources and Methodology</w:t>
      </w:r>
      <w:bookmarkEnd w:id="103"/>
    </w:p>
    <w:p w:rsidR="00300603" w:rsidRPr="00300603" w:rsidRDefault="00300603" w:rsidP="00300603">
      <w:pPr>
        <w:pStyle w:val="Introduction"/>
        <w:spacing w:before="0" w:after="0"/>
      </w:pPr>
    </w:p>
    <w:p w:rsidR="00C95448" w:rsidRPr="00300603" w:rsidRDefault="00C95448" w:rsidP="00C95448">
      <w:pPr>
        <w:pStyle w:val="Heading2"/>
        <w:spacing w:before="0" w:after="0"/>
      </w:pPr>
      <w:bookmarkStart w:id="104" w:name="_Toc406514304"/>
      <w:bookmarkStart w:id="105" w:name="OLE_LINK11"/>
      <w:r w:rsidRPr="00C06107">
        <w:t>Experimental Statistics</w:t>
      </w:r>
      <w:bookmarkEnd w:id="104"/>
      <w:r>
        <w:br/>
      </w:r>
    </w:p>
    <w:p w:rsidR="00C95448" w:rsidRDefault="00C95448" w:rsidP="00C95448">
      <w:pPr>
        <w:spacing w:before="0" w:after="0" w:line="270" w:lineRule="atLeast"/>
        <w:jc w:val="both"/>
        <w:rPr>
          <w:szCs w:val="24"/>
        </w:rPr>
      </w:pPr>
      <w:r w:rsidRPr="008A5812">
        <w:rPr>
          <w:szCs w:val="24"/>
        </w:rPr>
        <w:t>These estimates are released as Experimental Statistics which means they are official statistics undergoing an evaluation process prior to being assessed as Na</w:t>
      </w:r>
      <w:r w:rsidR="00C93928">
        <w:rPr>
          <w:szCs w:val="24"/>
        </w:rPr>
        <w:t>tional Statistics.</w:t>
      </w:r>
      <w:r w:rsidRPr="008A5812">
        <w:rPr>
          <w:szCs w:val="24"/>
        </w:rPr>
        <w:t xml:space="preserve"> They are published in order to involve users and stakeholders in their development, and as a means to build in quality assurance during development. </w:t>
      </w:r>
    </w:p>
    <w:p w:rsidR="00C724F6" w:rsidRDefault="00C724F6" w:rsidP="00C95448">
      <w:pPr>
        <w:spacing w:before="0" w:after="0" w:line="270" w:lineRule="atLeast"/>
        <w:jc w:val="both"/>
        <w:rPr>
          <w:szCs w:val="24"/>
        </w:rPr>
      </w:pPr>
    </w:p>
    <w:p w:rsidR="00C724F6" w:rsidRDefault="00C724F6" w:rsidP="00C724F6">
      <w:pPr>
        <w:spacing w:before="0" w:after="0" w:line="270" w:lineRule="atLeast"/>
        <w:jc w:val="both"/>
        <w:rPr>
          <w:color w:val="FF0000"/>
          <w:szCs w:val="24"/>
        </w:rPr>
      </w:pPr>
      <w:r w:rsidRPr="008A5812">
        <w:rPr>
          <w:szCs w:val="24"/>
        </w:rPr>
        <w:t xml:space="preserve">More information on the </w:t>
      </w:r>
      <w:r w:rsidRPr="00812F13">
        <w:rPr>
          <w:szCs w:val="24"/>
        </w:rPr>
        <w:t xml:space="preserve">methodology is </w:t>
      </w:r>
      <w:r w:rsidRPr="009079D3">
        <w:rPr>
          <w:szCs w:val="24"/>
        </w:rPr>
        <w:t xml:space="preserve">included </w:t>
      </w:r>
      <w:hyperlink r:id="rId92" w:history="1">
        <w:r w:rsidRPr="009079D3">
          <w:rPr>
            <w:rStyle w:val="Hyperlink"/>
            <w:rFonts w:ascii="Arial" w:hAnsi="Arial"/>
            <w:szCs w:val="24"/>
          </w:rPr>
          <w:t>here</w:t>
        </w:r>
      </w:hyperlink>
      <w:r w:rsidRPr="009079D3">
        <w:rPr>
          <w:szCs w:val="24"/>
        </w:rPr>
        <w:t>.</w:t>
      </w:r>
      <w:r w:rsidRPr="00300603">
        <w:rPr>
          <w:szCs w:val="24"/>
        </w:rPr>
        <w:t xml:space="preserve"> </w:t>
      </w:r>
    </w:p>
    <w:p w:rsidR="00C724F6" w:rsidRPr="008A5812" w:rsidRDefault="00C724F6" w:rsidP="00C724F6">
      <w:pPr>
        <w:spacing w:before="0" w:after="0" w:line="270" w:lineRule="atLeast"/>
        <w:jc w:val="both"/>
        <w:rPr>
          <w:szCs w:val="24"/>
        </w:rPr>
      </w:pPr>
    </w:p>
    <w:p w:rsidR="00EA455B" w:rsidRDefault="00C724F6" w:rsidP="00D92A01">
      <w:pPr>
        <w:spacing w:before="0" w:after="0" w:line="270" w:lineRule="atLeast"/>
        <w:jc w:val="both"/>
        <w:rPr>
          <w:szCs w:val="24"/>
        </w:rPr>
      </w:pPr>
      <w:r w:rsidRPr="008A5812">
        <w:rPr>
          <w:szCs w:val="24"/>
        </w:rPr>
        <w:t>As with any new data collection, there are likely to be some data quality issues to resolve as the process beds in. There</w:t>
      </w:r>
      <w:r w:rsidR="00C93928">
        <w:rPr>
          <w:szCs w:val="24"/>
        </w:rPr>
        <w:t>fore data in the monthly Green Deal and Energy Company Obligation (ECO)</w:t>
      </w:r>
      <w:r w:rsidR="00C93928" w:rsidRPr="008A5812">
        <w:rPr>
          <w:szCs w:val="24"/>
        </w:rPr>
        <w:t xml:space="preserve"> </w:t>
      </w:r>
      <w:r w:rsidR="00C93928">
        <w:rPr>
          <w:szCs w:val="24"/>
        </w:rPr>
        <w:t>releases</w:t>
      </w:r>
      <w:r w:rsidRPr="008A5812">
        <w:rPr>
          <w:szCs w:val="24"/>
        </w:rPr>
        <w:t xml:space="preserve"> should be treated as provisional and subject to revision. </w:t>
      </w:r>
    </w:p>
    <w:p w:rsidR="00D92A01" w:rsidRPr="00D92A01" w:rsidRDefault="00D92A01" w:rsidP="00D92A01">
      <w:pPr>
        <w:spacing w:before="0" w:after="0" w:line="270" w:lineRule="atLeast"/>
        <w:jc w:val="both"/>
        <w:rPr>
          <w:szCs w:val="24"/>
        </w:rPr>
      </w:pPr>
    </w:p>
    <w:p w:rsidR="00C95448" w:rsidRDefault="00C95448" w:rsidP="00197017">
      <w:pPr>
        <w:pStyle w:val="Heading2"/>
        <w:spacing w:after="0"/>
      </w:pPr>
      <w:bookmarkStart w:id="106" w:name="_Toc406514305"/>
      <w:r>
        <w:t>Green Deal and ECO estimates</w:t>
      </w:r>
      <w:bookmarkEnd w:id="106"/>
    </w:p>
    <w:p w:rsidR="00C95448" w:rsidRDefault="00C95448" w:rsidP="00C95448">
      <w:pPr>
        <w:spacing w:before="0" w:after="0" w:line="270" w:lineRule="atLeast"/>
        <w:jc w:val="both"/>
        <w:rPr>
          <w:szCs w:val="24"/>
        </w:rPr>
      </w:pPr>
    </w:p>
    <w:p w:rsidR="00C95448" w:rsidRDefault="00C95448" w:rsidP="00C95448">
      <w:pPr>
        <w:spacing w:before="0" w:after="0" w:line="270" w:lineRule="atLeast"/>
        <w:jc w:val="both"/>
        <w:rPr>
          <w:szCs w:val="24"/>
        </w:rPr>
      </w:pPr>
      <w:r w:rsidRPr="008A5812">
        <w:rPr>
          <w:szCs w:val="24"/>
        </w:rPr>
        <w:t>The estimates</w:t>
      </w:r>
      <w:r>
        <w:rPr>
          <w:szCs w:val="24"/>
        </w:rPr>
        <w:t xml:space="preserve"> </w:t>
      </w:r>
      <w:r w:rsidR="00C93928">
        <w:rPr>
          <w:szCs w:val="24"/>
        </w:rPr>
        <w:t>relating to the Green Deal and ECO</w:t>
      </w:r>
      <w:r w:rsidRPr="008A5812">
        <w:rPr>
          <w:szCs w:val="24"/>
        </w:rPr>
        <w:t xml:space="preserve"> in this and future Statistical Release</w:t>
      </w:r>
      <w:r>
        <w:rPr>
          <w:szCs w:val="24"/>
        </w:rPr>
        <w:t>s</w:t>
      </w:r>
      <w:r w:rsidRPr="008A5812">
        <w:rPr>
          <w:szCs w:val="24"/>
        </w:rPr>
        <w:t xml:space="preserve"> use administrative data generated as part of the Green Deal and </w:t>
      </w:r>
      <w:r>
        <w:rPr>
          <w:szCs w:val="24"/>
        </w:rPr>
        <w:t>ECO</w:t>
      </w:r>
      <w:r w:rsidRPr="008A5812">
        <w:rPr>
          <w:szCs w:val="24"/>
        </w:rPr>
        <w:t xml:space="preserve"> processes. </w:t>
      </w:r>
    </w:p>
    <w:p w:rsidR="00C95448" w:rsidRPr="008A5812" w:rsidRDefault="00C95448" w:rsidP="00C95448">
      <w:pPr>
        <w:spacing w:before="0" w:after="0" w:line="270" w:lineRule="atLeast"/>
        <w:jc w:val="both"/>
        <w:rPr>
          <w:szCs w:val="24"/>
        </w:rPr>
      </w:pPr>
    </w:p>
    <w:p w:rsidR="00D12323" w:rsidRDefault="00D12323" w:rsidP="00300603">
      <w:pPr>
        <w:spacing w:before="0" w:after="0" w:line="270" w:lineRule="atLeast"/>
        <w:jc w:val="both"/>
        <w:rPr>
          <w:szCs w:val="24"/>
        </w:rPr>
      </w:pPr>
      <w:r w:rsidRPr="008A5812">
        <w:rPr>
          <w:szCs w:val="24"/>
        </w:rPr>
        <w:t xml:space="preserve">There are seven main sources of information: </w:t>
      </w:r>
    </w:p>
    <w:p w:rsidR="00C95448" w:rsidRPr="008A5812" w:rsidRDefault="00C95448" w:rsidP="00300603">
      <w:pPr>
        <w:spacing w:before="0" w:after="0" w:line="270" w:lineRule="atLeast"/>
        <w:jc w:val="both"/>
        <w:rPr>
          <w:szCs w:val="24"/>
        </w:rPr>
      </w:pPr>
    </w:p>
    <w:p w:rsidR="00D12323" w:rsidRPr="008A5812" w:rsidRDefault="00D12323" w:rsidP="003C6A41">
      <w:pPr>
        <w:numPr>
          <w:ilvl w:val="0"/>
          <w:numId w:val="6"/>
        </w:numPr>
        <w:spacing w:before="0" w:line="270" w:lineRule="atLeast"/>
        <w:jc w:val="both"/>
        <w:rPr>
          <w:szCs w:val="24"/>
        </w:rPr>
      </w:pPr>
      <w:r w:rsidRPr="008A5812">
        <w:rPr>
          <w:szCs w:val="24"/>
        </w:rPr>
        <w:t xml:space="preserve">Landmark – who manage the national lodgement of Green Deal Assessments in England and Wales </w:t>
      </w:r>
    </w:p>
    <w:p w:rsidR="00D12323" w:rsidRPr="008A5812" w:rsidRDefault="00D12323" w:rsidP="003C6A41">
      <w:pPr>
        <w:numPr>
          <w:ilvl w:val="0"/>
          <w:numId w:val="6"/>
        </w:numPr>
        <w:spacing w:before="0" w:line="270" w:lineRule="atLeast"/>
        <w:jc w:val="both"/>
        <w:rPr>
          <w:szCs w:val="24"/>
        </w:rPr>
      </w:pPr>
      <w:r w:rsidRPr="008A5812">
        <w:rPr>
          <w:szCs w:val="24"/>
        </w:rPr>
        <w:t>Energy Savings Trust (EST) – who manage the national lodgement of Green Deal Assessments in Scotland</w:t>
      </w:r>
    </w:p>
    <w:p w:rsidR="00D12323" w:rsidRPr="008A5812" w:rsidRDefault="00D12323" w:rsidP="003C6A41">
      <w:pPr>
        <w:numPr>
          <w:ilvl w:val="0"/>
          <w:numId w:val="6"/>
        </w:numPr>
        <w:spacing w:before="0" w:line="270" w:lineRule="atLeast"/>
        <w:jc w:val="both"/>
        <w:rPr>
          <w:szCs w:val="24"/>
        </w:rPr>
      </w:pPr>
      <w:r w:rsidRPr="008A5812">
        <w:rPr>
          <w:szCs w:val="24"/>
        </w:rPr>
        <w:t>Green Deal Central Charge Database – which manages the recording and administration of Green Deal Plans</w:t>
      </w:r>
    </w:p>
    <w:p w:rsidR="00D12323" w:rsidRPr="008A5812" w:rsidRDefault="00D12323" w:rsidP="003C6A41">
      <w:pPr>
        <w:numPr>
          <w:ilvl w:val="0"/>
          <w:numId w:val="6"/>
        </w:numPr>
        <w:spacing w:before="0" w:line="270" w:lineRule="atLeast"/>
        <w:jc w:val="both"/>
        <w:rPr>
          <w:szCs w:val="24"/>
        </w:rPr>
      </w:pPr>
      <w:r w:rsidRPr="008A5812">
        <w:rPr>
          <w:szCs w:val="24"/>
        </w:rPr>
        <w:t>Ofgem – who administer the Energy Company Obligation</w:t>
      </w:r>
      <w:r w:rsidR="00931620">
        <w:rPr>
          <w:szCs w:val="24"/>
        </w:rPr>
        <w:t xml:space="preserve"> (ECO)</w:t>
      </w:r>
      <w:r w:rsidRPr="008A5812">
        <w:rPr>
          <w:szCs w:val="24"/>
        </w:rPr>
        <w:t xml:space="preserve"> and collect information from energy companies on measures installed under ECO.</w:t>
      </w:r>
    </w:p>
    <w:p w:rsidR="00D12323" w:rsidRPr="008A5812" w:rsidRDefault="00D12323" w:rsidP="003C6A41">
      <w:pPr>
        <w:numPr>
          <w:ilvl w:val="0"/>
          <w:numId w:val="6"/>
        </w:numPr>
        <w:spacing w:before="0" w:line="270" w:lineRule="atLeast"/>
        <w:jc w:val="both"/>
        <w:rPr>
          <w:szCs w:val="24"/>
        </w:rPr>
      </w:pPr>
      <w:r w:rsidRPr="008A5812">
        <w:rPr>
          <w:szCs w:val="24"/>
        </w:rPr>
        <w:t>The Green Deal Oversight and Regulation Body (ORB) – who administer the certification of GD organisations (including assessors, installers and providers)</w:t>
      </w:r>
    </w:p>
    <w:p w:rsidR="00D12323" w:rsidRPr="008A5812" w:rsidRDefault="00D12323" w:rsidP="003C6A41">
      <w:pPr>
        <w:numPr>
          <w:ilvl w:val="0"/>
          <w:numId w:val="6"/>
        </w:numPr>
        <w:spacing w:before="0" w:line="270" w:lineRule="atLeast"/>
        <w:jc w:val="both"/>
        <w:rPr>
          <w:szCs w:val="24"/>
        </w:rPr>
      </w:pPr>
      <w:r w:rsidRPr="008A5812">
        <w:rPr>
          <w:szCs w:val="24"/>
        </w:rPr>
        <w:t>Data on ECO brokerage is publically available following each auction.</w:t>
      </w:r>
    </w:p>
    <w:p w:rsidR="00D12323" w:rsidRPr="008A5812" w:rsidRDefault="00D12323" w:rsidP="007719FF">
      <w:pPr>
        <w:numPr>
          <w:ilvl w:val="0"/>
          <w:numId w:val="6"/>
        </w:numPr>
        <w:spacing w:before="0" w:line="276" w:lineRule="auto"/>
        <w:jc w:val="both"/>
        <w:rPr>
          <w:szCs w:val="24"/>
        </w:rPr>
      </w:pPr>
      <w:r w:rsidRPr="008A5812">
        <w:rPr>
          <w:szCs w:val="24"/>
        </w:rPr>
        <w:t xml:space="preserve">Capita – who administer the </w:t>
      </w:r>
      <w:r w:rsidRPr="00044902">
        <w:rPr>
          <w:szCs w:val="24"/>
        </w:rPr>
        <w:t>Green Deal Cashback Schem</w:t>
      </w:r>
      <w:r w:rsidR="00044902">
        <w:rPr>
          <w:szCs w:val="24"/>
        </w:rPr>
        <w:t xml:space="preserve">e </w:t>
      </w:r>
      <w:r w:rsidR="000C22B8">
        <w:rPr>
          <w:szCs w:val="24"/>
        </w:rPr>
        <w:t xml:space="preserve">and the </w:t>
      </w:r>
      <w:hyperlink r:id="rId93" w:history="1">
        <w:r w:rsidR="000C22B8" w:rsidRPr="000C22B8">
          <w:rPr>
            <w:rStyle w:val="Hyperlink"/>
            <w:rFonts w:ascii="Arial" w:hAnsi="Arial"/>
            <w:szCs w:val="24"/>
          </w:rPr>
          <w:t xml:space="preserve">Green Deal Home Improvement </w:t>
        </w:r>
        <w:r w:rsidR="000C22B8" w:rsidRPr="000C22B8">
          <w:rPr>
            <w:rStyle w:val="Hyperlink"/>
            <w:rFonts w:ascii="Arial" w:hAnsi="Arial"/>
            <w:szCs w:val="24"/>
          </w:rPr>
          <w:t>F</w:t>
        </w:r>
        <w:r w:rsidR="000C22B8" w:rsidRPr="000C22B8">
          <w:rPr>
            <w:rStyle w:val="Hyperlink"/>
            <w:rFonts w:ascii="Arial" w:hAnsi="Arial"/>
            <w:szCs w:val="24"/>
          </w:rPr>
          <w:t>und</w:t>
        </w:r>
      </w:hyperlink>
    </w:p>
    <w:p w:rsidR="00D12323" w:rsidRPr="008A5812" w:rsidRDefault="00D12323" w:rsidP="00D12323">
      <w:pPr>
        <w:spacing w:after="0" w:line="270" w:lineRule="atLeast"/>
        <w:jc w:val="both"/>
        <w:rPr>
          <w:szCs w:val="24"/>
        </w:rPr>
      </w:pPr>
      <w:r w:rsidRPr="008A5812">
        <w:rPr>
          <w:szCs w:val="24"/>
        </w:rPr>
        <w:t>This report uses data from Landmark and the Energy Savings Trust for numbers of lodged Assessments</w:t>
      </w:r>
      <w:r w:rsidR="00AF2024">
        <w:rPr>
          <w:szCs w:val="24"/>
        </w:rPr>
        <w:t xml:space="preserve"> and on measures installed using Green Deal finance</w:t>
      </w:r>
      <w:r w:rsidRPr="008A5812">
        <w:rPr>
          <w:szCs w:val="24"/>
        </w:rPr>
        <w:t>, data from the Central Charge Database on Green Deal Plans, data from the Cashback Scheme Administrator on Cashback vouchers issued and measures installed, data from Ofgem on ECO measures, data from the ORB for the supply chain and the published data on ECO brokerage.</w:t>
      </w:r>
    </w:p>
    <w:p w:rsidR="00300603" w:rsidRDefault="00300603" w:rsidP="006D2B70">
      <w:pPr>
        <w:spacing w:before="0" w:after="0" w:line="270" w:lineRule="atLeast"/>
        <w:jc w:val="both"/>
        <w:rPr>
          <w:szCs w:val="24"/>
        </w:rPr>
      </w:pPr>
    </w:p>
    <w:p w:rsidR="00300603" w:rsidRDefault="00300603" w:rsidP="006D2B70">
      <w:pPr>
        <w:spacing w:before="0" w:after="0" w:line="270" w:lineRule="atLeast"/>
        <w:jc w:val="both"/>
        <w:rPr>
          <w:u w:val="single"/>
        </w:rPr>
      </w:pPr>
      <w:r w:rsidRPr="00CF3AFB">
        <w:rPr>
          <w:u w:val="single"/>
        </w:rPr>
        <w:t>Property Characteristics</w:t>
      </w:r>
    </w:p>
    <w:p w:rsidR="006D2B70" w:rsidRPr="00300603" w:rsidRDefault="006D2B70" w:rsidP="006D2B70">
      <w:pPr>
        <w:spacing w:before="0" w:after="0" w:line="270" w:lineRule="atLeast"/>
        <w:jc w:val="both"/>
        <w:rPr>
          <w:u w:val="single"/>
        </w:rPr>
      </w:pPr>
    </w:p>
    <w:p w:rsidR="00300603" w:rsidRDefault="00300603" w:rsidP="006D2B70">
      <w:pPr>
        <w:spacing w:before="0" w:after="0" w:line="270" w:lineRule="atLeast"/>
        <w:jc w:val="both"/>
      </w:pPr>
      <w:r>
        <w:t>Information relating to the characteristics of properties getting GD Assessments is taken from the Energy Performance Certificate relating to the GD Assessment. Properties</w:t>
      </w:r>
      <w:r w:rsidRPr="00C50423">
        <w:t xml:space="preserve"> can be built in a large variety of configurations. A basic divisi</w:t>
      </w:r>
      <w:r>
        <w:t>on is between free-standing or s</w:t>
      </w:r>
      <w:r w:rsidRPr="00C50423">
        <w:t xml:space="preserve">ingle-family </w:t>
      </w:r>
      <w:r w:rsidRPr="00C50423">
        <w:lastRenderedPageBreak/>
        <w:t xml:space="preserve">houses and various types of attached or multi-user dwellings. Both sorts may vary greatly in scale and amount of accommodation provided. </w:t>
      </w:r>
      <w:r>
        <w:t>M</w:t>
      </w:r>
      <w:r w:rsidRPr="00C50423">
        <w:t>any variations are purely matters of style rather than spatial arrangement or scale.</w:t>
      </w:r>
      <w:r>
        <w:t xml:space="preserve"> </w:t>
      </w:r>
    </w:p>
    <w:p w:rsidR="006D2B70" w:rsidRDefault="006D2B70" w:rsidP="006D2B70">
      <w:pPr>
        <w:spacing w:before="0" w:after="0" w:line="270" w:lineRule="atLeast"/>
        <w:jc w:val="both"/>
        <w:rPr>
          <w:u w:val="single"/>
        </w:rPr>
      </w:pPr>
    </w:p>
    <w:p w:rsidR="00300603" w:rsidRPr="00CF3AFB" w:rsidRDefault="00300603" w:rsidP="006D2B70">
      <w:pPr>
        <w:spacing w:before="0" w:after="0" w:line="270" w:lineRule="atLeast"/>
        <w:jc w:val="both"/>
        <w:rPr>
          <w:u w:val="single"/>
        </w:rPr>
      </w:pPr>
      <w:r w:rsidRPr="00CF3AFB">
        <w:rPr>
          <w:u w:val="single"/>
        </w:rPr>
        <w:t>Energy Efficiency Rating</w:t>
      </w:r>
    </w:p>
    <w:p w:rsidR="00300603" w:rsidRDefault="00300603" w:rsidP="006D2B70">
      <w:pPr>
        <w:spacing w:before="0" w:after="0" w:line="270" w:lineRule="atLeast"/>
        <w:jc w:val="both"/>
      </w:pPr>
    </w:p>
    <w:p w:rsidR="00300603" w:rsidRPr="008C7D29" w:rsidRDefault="00300603" w:rsidP="006D2B70">
      <w:pPr>
        <w:spacing w:before="0" w:after="0" w:line="240" w:lineRule="auto"/>
        <w:contextualSpacing/>
        <w:jc w:val="both"/>
      </w:pPr>
      <w:r w:rsidRPr="008C7D29">
        <w:t xml:space="preserve">The </w:t>
      </w:r>
      <w:r>
        <w:t>Energy Efficiency R</w:t>
      </w:r>
      <w:r w:rsidRPr="008C7D29">
        <w:t>ating</w:t>
      </w:r>
      <w:r>
        <w:t xml:space="preserve"> (EER)</w:t>
      </w:r>
      <w:r w:rsidRPr="008C7D29">
        <w:t xml:space="preserve"> is presented in an A-G banding system for an Energy Performance Certificate, where Band </w:t>
      </w:r>
      <w:proofErr w:type="gramStart"/>
      <w:r w:rsidRPr="008C7D29">
        <w:t>A</w:t>
      </w:r>
      <w:proofErr w:type="gramEnd"/>
      <w:r w:rsidRPr="008C7D29">
        <w:t xml:space="preserve"> rating represents low energy costs (i.e. the most efficient band) and Band </w:t>
      </w:r>
      <w:proofErr w:type="spellStart"/>
      <w:r w:rsidRPr="008C7D29">
        <w:t>G rating</w:t>
      </w:r>
      <w:proofErr w:type="spellEnd"/>
      <w:r w:rsidRPr="008C7D29">
        <w:t xml:space="preserve"> represents high energy costs (the least efficient band). </w:t>
      </w:r>
    </w:p>
    <w:p w:rsidR="00300603" w:rsidRDefault="00300603" w:rsidP="006D2B70">
      <w:pPr>
        <w:spacing w:before="0" w:after="0" w:line="270" w:lineRule="atLeast"/>
        <w:jc w:val="both"/>
      </w:pPr>
    </w:p>
    <w:p w:rsidR="00300603" w:rsidRPr="008C7D29" w:rsidRDefault="00300603" w:rsidP="006D2B70">
      <w:pPr>
        <w:spacing w:before="0" w:after="0" w:line="240" w:lineRule="auto"/>
        <w:contextualSpacing/>
        <w:jc w:val="both"/>
      </w:pPr>
      <w:r w:rsidRPr="008C7D29">
        <w:t>The EER bands based on SAP</w:t>
      </w:r>
      <w:r w:rsidRPr="008C7D29">
        <w:rPr>
          <w:vertAlign w:val="superscript"/>
        </w:rPr>
        <w:footnoteReference w:id="38"/>
      </w:r>
      <w:r w:rsidRPr="008C7D29">
        <w:t xml:space="preserve"> are:</w:t>
      </w:r>
    </w:p>
    <w:p w:rsidR="00300603" w:rsidRPr="008C7D29" w:rsidRDefault="00300603" w:rsidP="006D2B70">
      <w:pPr>
        <w:spacing w:before="0" w:after="0" w:line="240" w:lineRule="auto"/>
        <w:ind w:left="720"/>
        <w:contextualSpacing/>
        <w:jc w:val="both"/>
      </w:pPr>
    </w:p>
    <w:p w:rsidR="00300603" w:rsidRPr="008C7D29" w:rsidRDefault="00300603" w:rsidP="006D2B70">
      <w:pPr>
        <w:numPr>
          <w:ilvl w:val="0"/>
          <w:numId w:val="35"/>
        </w:numPr>
        <w:spacing w:before="0" w:after="0" w:line="240" w:lineRule="auto"/>
        <w:contextualSpacing/>
        <w:jc w:val="both"/>
      </w:pPr>
      <w:r w:rsidRPr="008C7D29">
        <w:t>Band A (92 plus)</w:t>
      </w:r>
    </w:p>
    <w:p w:rsidR="00300603" w:rsidRPr="008C7D29" w:rsidRDefault="00300603" w:rsidP="006D2B70">
      <w:pPr>
        <w:numPr>
          <w:ilvl w:val="0"/>
          <w:numId w:val="35"/>
        </w:numPr>
        <w:spacing w:before="0" w:after="0" w:line="240" w:lineRule="auto"/>
        <w:contextualSpacing/>
        <w:jc w:val="both"/>
      </w:pPr>
      <w:r w:rsidRPr="008C7D29">
        <w:t>Band B (81-91)</w:t>
      </w:r>
    </w:p>
    <w:p w:rsidR="00300603" w:rsidRPr="008C7D29" w:rsidRDefault="00300603" w:rsidP="006D2B70">
      <w:pPr>
        <w:numPr>
          <w:ilvl w:val="0"/>
          <w:numId w:val="35"/>
        </w:numPr>
        <w:spacing w:before="0" w:after="0" w:line="240" w:lineRule="auto"/>
        <w:contextualSpacing/>
        <w:jc w:val="both"/>
      </w:pPr>
      <w:r w:rsidRPr="008C7D29">
        <w:t>Band C (69-90)</w:t>
      </w:r>
    </w:p>
    <w:p w:rsidR="00300603" w:rsidRPr="008C7D29" w:rsidRDefault="00300603" w:rsidP="006D2B70">
      <w:pPr>
        <w:numPr>
          <w:ilvl w:val="0"/>
          <w:numId w:val="35"/>
        </w:numPr>
        <w:spacing w:before="0" w:after="0" w:line="240" w:lineRule="auto"/>
        <w:contextualSpacing/>
        <w:jc w:val="both"/>
      </w:pPr>
      <w:r w:rsidRPr="008C7D29">
        <w:t>Band D (55-68)</w:t>
      </w:r>
    </w:p>
    <w:p w:rsidR="00300603" w:rsidRPr="008C7D29" w:rsidRDefault="00300603" w:rsidP="006D2B70">
      <w:pPr>
        <w:numPr>
          <w:ilvl w:val="0"/>
          <w:numId w:val="35"/>
        </w:numPr>
        <w:spacing w:before="0" w:after="0" w:line="240" w:lineRule="auto"/>
        <w:contextualSpacing/>
        <w:jc w:val="both"/>
      </w:pPr>
      <w:r w:rsidRPr="008C7D29">
        <w:t>Band E (39-54)</w:t>
      </w:r>
    </w:p>
    <w:p w:rsidR="00300603" w:rsidRPr="008C7D29" w:rsidRDefault="00300603" w:rsidP="006D2B70">
      <w:pPr>
        <w:numPr>
          <w:ilvl w:val="0"/>
          <w:numId w:val="35"/>
        </w:numPr>
        <w:spacing w:before="0" w:after="0" w:line="240" w:lineRule="auto"/>
        <w:contextualSpacing/>
        <w:jc w:val="both"/>
      </w:pPr>
      <w:r w:rsidRPr="008C7D29">
        <w:t>Band F (21-38)</w:t>
      </w:r>
    </w:p>
    <w:p w:rsidR="00D92A01" w:rsidRDefault="00300603" w:rsidP="001B59B9">
      <w:pPr>
        <w:numPr>
          <w:ilvl w:val="0"/>
          <w:numId w:val="35"/>
        </w:numPr>
        <w:spacing w:before="0" w:after="0" w:line="240" w:lineRule="auto"/>
        <w:contextualSpacing/>
        <w:jc w:val="both"/>
      </w:pPr>
      <w:r w:rsidRPr="008C7D29">
        <w:t>Band G (1-20)</w:t>
      </w:r>
    </w:p>
    <w:p w:rsidR="001B59B9" w:rsidRDefault="00D92A01" w:rsidP="001B59B9">
      <w:pPr>
        <w:pStyle w:val="Heading2"/>
      </w:pPr>
      <w:r>
        <w:br/>
      </w:r>
      <w:bookmarkStart w:id="107" w:name="_Toc406514306"/>
      <w:r>
        <w:t>I</w:t>
      </w:r>
      <w:r w:rsidR="001B59B9">
        <w:t>nsulation statistics</w:t>
      </w:r>
      <w:bookmarkEnd w:id="107"/>
    </w:p>
    <w:bookmarkEnd w:id="105"/>
    <w:p w:rsidR="0099252A" w:rsidRDefault="0099252A" w:rsidP="0099252A">
      <w:pPr>
        <w:jc w:val="both"/>
      </w:pPr>
      <w:r>
        <w:t>The following types of insulation which are included in the estimates of home insulation levels in Great Britain.</w:t>
      </w:r>
    </w:p>
    <w:p w:rsidR="0099252A" w:rsidRDefault="0099252A" w:rsidP="0099252A">
      <w:pPr>
        <w:spacing w:before="0" w:after="0" w:line="270" w:lineRule="exact"/>
        <w:jc w:val="both"/>
        <w:rPr>
          <w:u w:val="single"/>
        </w:rPr>
      </w:pPr>
      <w:r w:rsidRPr="00EA207E">
        <w:rPr>
          <w:u w:val="single"/>
        </w:rPr>
        <w:t>Cavity wall insulation</w:t>
      </w:r>
    </w:p>
    <w:p w:rsidR="0099252A" w:rsidRDefault="0099252A" w:rsidP="0099252A">
      <w:pPr>
        <w:spacing w:before="0" w:after="0" w:line="270" w:lineRule="exact"/>
        <w:jc w:val="both"/>
        <w:rPr>
          <w:u w:val="single"/>
        </w:rPr>
      </w:pPr>
    </w:p>
    <w:p w:rsidR="0099252A" w:rsidRDefault="0099252A" w:rsidP="0099252A">
      <w:pPr>
        <w:spacing w:before="0" w:after="0" w:line="270" w:lineRule="exact"/>
        <w:jc w:val="both"/>
      </w:pPr>
      <w:r w:rsidRPr="0007309E">
        <w:t>Many homes</w:t>
      </w:r>
      <w:r>
        <w:t xml:space="preserve"> built in Great Britain have external walls made up of an inner and outer wall with a small cavity in between. These have been typical since the 1930s, but some older properties will also have them. Cavity walls were used initially because they were cheaper (as the inner leaf could use non-decorative brick) and had a greater resistance to moisture moving from outside to inside. The presence of a cavity also improves the thermal performance of the wall, especially if the cavity is insulated. Since the mid-1980s, homes have been increasingly built with pre-insulated cavity walls, though the type of </w:t>
      </w:r>
      <w:proofErr w:type="spellStart"/>
      <w:r>
        <w:t>blockwork</w:t>
      </w:r>
      <w:proofErr w:type="spellEnd"/>
      <w:r>
        <w:t xml:space="preserve"> used for the inner leaf has also contributed to the improved thermal performance required by Building Regulations.</w:t>
      </w:r>
    </w:p>
    <w:p w:rsidR="0099252A" w:rsidRPr="0007309E" w:rsidRDefault="0099252A" w:rsidP="0099252A">
      <w:pPr>
        <w:spacing w:before="0" w:after="0" w:line="270" w:lineRule="exact"/>
        <w:jc w:val="both"/>
        <w:rPr>
          <w:u w:val="single"/>
        </w:rPr>
      </w:pPr>
    </w:p>
    <w:p w:rsidR="0099252A" w:rsidRDefault="0099252A" w:rsidP="0099252A">
      <w:pPr>
        <w:spacing w:before="0" w:after="0" w:line="270" w:lineRule="exact"/>
        <w:jc w:val="both"/>
        <w:rPr>
          <w:u w:val="single"/>
        </w:rPr>
      </w:pPr>
      <w:r w:rsidRPr="00EA207E">
        <w:rPr>
          <w:u w:val="single"/>
        </w:rPr>
        <w:t>Loft insulation</w:t>
      </w:r>
    </w:p>
    <w:p w:rsidR="0099252A" w:rsidRDefault="0099252A" w:rsidP="0099252A">
      <w:pPr>
        <w:spacing w:before="0" w:after="0" w:line="270" w:lineRule="exact"/>
        <w:jc w:val="both"/>
        <w:rPr>
          <w:u w:val="single"/>
        </w:rPr>
      </w:pPr>
    </w:p>
    <w:p w:rsidR="0099252A" w:rsidRDefault="0099252A" w:rsidP="0099252A">
      <w:pPr>
        <w:spacing w:before="0" w:after="0" w:line="270" w:lineRule="exact"/>
        <w:jc w:val="both"/>
      </w:pPr>
      <w:r>
        <w:t>Some loft insulation has been installed in new homes since 1965. Current building regulations for new homes require a roof to have a thermal transmittance (U-value) of at least as low as 0.13 W/m²</w:t>
      </w:r>
      <w:r w:rsidRPr="00F107D0">
        <w:t>.K,</w:t>
      </w:r>
      <w:r>
        <w:t xml:space="preserve"> which would typically be achieved with 300mm of loft insulation. There is a strong ‘diminishing returns’ effect with savings from increasing the depth of loft insulation, so the first inch gives about half the savings from full insulation. Therefore, a threshold of 125mm is used in these statistics since homes with less than this would expect to see significant improvements in energy efficiency from a top-up.</w:t>
      </w:r>
    </w:p>
    <w:p w:rsidR="0099252A" w:rsidRDefault="0099252A" w:rsidP="0099252A">
      <w:pPr>
        <w:spacing w:before="0" w:after="0" w:line="270" w:lineRule="exact"/>
        <w:jc w:val="both"/>
      </w:pPr>
    </w:p>
    <w:p w:rsidR="0099252A" w:rsidRDefault="0099252A" w:rsidP="0099252A">
      <w:pPr>
        <w:spacing w:before="0" w:after="0" w:line="270" w:lineRule="exact"/>
        <w:jc w:val="both"/>
        <w:rPr>
          <w:u w:val="single"/>
        </w:rPr>
      </w:pPr>
      <w:r w:rsidRPr="00F107D0">
        <w:rPr>
          <w:u w:val="single"/>
        </w:rPr>
        <w:t>Solid wall insulation</w:t>
      </w:r>
    </w:p>
    <w:p w:rsidR="0099252A" w:rsidRPr="00F107D0" w:rsidRDefault="0099252A" w:rsidP="0099252A">
      <w:pPr>
        <w:spacing w:before="0" w:after="0" w:line="270" w:lineRule="exact"/>
        <w:jc w:val="both"/>
        <w:rPr>
          <w:u w:val="single"/>
        </w:rPr>
      </w:pPr>
    </w:p>
    <w:p w:rsidR="0099252A" w:rsidRDefault="0099252A" w:rsidP="0099252A">
      <w:pPr>
        <w:spacing w:before="0" w:after="0" w:line="270" w:lineRule="exact"/>
        <w:jc w:val="both"/>
        <w:rPr>
          <w:szCs w:val="50"/>
        </w:rPr>
      </w:pPr>
      <w:r>
        <w:t xml:space="preserve">It is possible to improve the thermal performance of solid walls by adding insulation either internally or externally. There is a wide variety of technical solutions that can be used to </w:t>
      </w:r>
      <w:r>
        <w:lastRenderedPageBreak/>
        <w:t>insulate either the internal or external face of the wall. Current building regulations require a target U-value of 0.35 W/m²</w:t>
      </w:r>
      <w:r w:rsidRPr="00F107D0">
        <w:t>.K</w:t>
      </w:r>
      <w:r>
        <w:t xml:space="preserve"> to be reached if this modification to the wall is made. It is likely that installations of solid wall insulation before 2002 (i.e. before the first phase of the Energy Efficiency Commitment) may not achieve this level of thermal performance, so these are recorded separately in the statistics.</w:t>
      </w:r>
      <w:r>
        <w:rPr>
          <w:szCs w:val="50"/>
        </w:rPr>
        <w:t xml:space="preserve"> </w:t>
      </w:r>
    </w:p>
    <w:p w:rsidR="0099252A" w:rsidRDefault="0099252A" w:rsidP="0099252A">
      <w:pPr>
        <w:spacing w:before="0" w:after="0" w:line="270" w:lineRule="exact"/>
        <w:jc w:val="both"/>
        <w:rPr>
          <w:szCs w:val="50"/>
        </w:rPr>
      </w:pPr>
    </w:p>
    <w:p w:rsidR="0099252A" w:rsidRDefault="0099252A" w:rsidP="0099252A">
      <w:pPr>
        <w:spacing w:after="0" w:line="270" w:lineRule="atLeast"/>
        <w:jc w:val="both"/>
      </w:pPr>
      <w:r>
        <w:t>A methodology note setting out how estimates of home insulation levels in Great Britain are produced is available at:</w:t>
      </w:r>
      <w:r w:rsidRPr="009079D3">
        <w:t xml:space="preserve"> </w:t>
      </w:r>
      <w:hyperlink r:id="rId94" w:history="1">
        <w:r w:rsidRPr="00D748E9">
          <w:rPr>
            <w:rStyle w:val="Hyperlink"/>
            <w:rFonts w:ascii="Arial" w:hAnsi="Arial"/>
          </w:rPr>
          <w:t>http</w:t>
        </w:r>
        <w:r w:rsidRPr="00D748E9">
          <w:rPr>
            <w:rStyle w:val="Hyperlink"/>
            <w:rFonts w:ascii="Arial" w:hAnsi="Arial"/>
          </w:rPr>
          <w:t>s</w:t>
        </w:r>
        <w:r w:rsidRPr="00D748E9">
          <w:rPr>
            <w:rStyle w:val="Hyperlink"/>
            <w:rFonts w:ascii="Arial" w:hAnsi="Arial"/>
          </w:rPr>
          <w:t>://www.gov.uk/government/publications/domestic-green-deal-and-eco-statistics-methodology-note</w:t>
        </w:r>
      </w:hyperlink>
    </w:p>
    <w:p w:rsidR="00EA455B" w:rsidRDefault="00EA455B" w:rsidP="00C95448">
      <w:pPr>
        <w:pStyle w:val="Heading2"/>
      </w:pPr>
    </w:p>
    <w:p w:rsidR="00C95448" w:rsidRPr="00D83C81" w:rsidRDefault="00C95448" w:rsidP="00C95448">
      <w:pPr>
        <w:pStyle w:val="Heading2"/>
      </w:pPr>
      <w:bookmarkStart w:id="108" w:name="_Toc406514307"/>
      <w:r w:rsidRPr="00D83C81">
        <w:t>Revisions</w:t>
      </w:r>
      <w:bookmarkEnd w:id="108"/>
    </w:p>
    <w:p w:rsidR="00C95448" w:rsidRDefault="00C95448" w:rsidP="00C95448">
      <w:pPr>
        <w:spacing w:before="0" w:after="0" w:line="270" w:lineRule="atLeast"/>
        <w:jc w:val="both"/>
        <w:rPr>
          <w:szCs w:val="24"/>
        </w:rPr>
      </w:pPr>
      <w:r w:rsidRPr="00AA69EA">
        <w:rPr>
          <w:szCs w:val="24"/>
        </w:rPr>
        <w:t xml:space="preserve">On occasions, previously published data will need to be revised due to changes to source data, methodology or correcting of errors. </w:t>
      </w:r>
      <w:r>
        <w:rPr>
          <w:szCs w:val="24"/>
        </w:rPr>
        <w:t>Provisional data will be marked with a “p” in the tables and</w:t>
      </w:r>
      <w:r w:rsidRPr="008A5812">
        <w:rPr>
          <w:szCs w:val="24"/>
        </w:rPr>
        <w:t xml:space="preserve"> revisions will be </w:t>
      </w:r>
      <w:r w:rsidRPr="003657BE">
        <w:rPr>
          <w:szCs w:val="24"/>
        </w:rPr>
        <w:t>denoted with “r”</w:t>
      </w:r>
      <w:r w:rsidRPr="008A5812">
        <w:rPr>
          <w:szCs w:val="24"/>
        </w:rPr>
        <w:t xml:space="preserve"> in the data tables</w:t>
      </w:r>
      <w:r>
        <w:rPr>
          <w:szCs w:val="24"/>
        </w:rPr>
        <w:t>. Explanation will be provided for</w:t>
      </w:r>
      <w:r w:rsidRPr="008A5812">
        <w:rPr>
          <w:szCs w:val="24"/>
        </w:rPr>
        <w:t xml:space="preserve"> any significant revisions.</w:t>
      </w:r>
    </w:p>
    <w:p w:rsidR="00EA455B" w:rsidRDefault="00EA455B" w:rsidP="00FB3E32">
      <w:pPr>
        <w:pStyle w:val="Heading2"/>
      </w:pPr>
      <w:bookmarkStart w:id="109" w:name="_Toc372045048"/>
      <w:bookmarkStart w:id="110" w:name="_Toc372133531"/>
      <w:bookmarkEnd w:id="14"/>
    </w:p>
    <w:p w:rsidR="0003252A" w:rsidRPr="00FB3E32" w:rsidRDefault="0003252A" w:rsidP="00FB3E32">
      <w:pPr>
        <w:pStyle w:val="Heading2"/>
      </w:pPr>
      <w:bookmarkStart w:id="111" w:name="_Toc406514308"/>
      <w:r w:rsidRPr="00FB3E32">
        <w:t>Further Information and Feedback</w:t>
      </w:r>
      <w:bookmarkEnd w:id="109"/>
      <w:bookmarkEnd w:id="110"/>
      <w:bookmarkEnd w:id="111"/>
    </w:p>
    <w:p w:rsidR="00C95448" w:rsidRPr="008A5812" w:rsidRDefault="00C95448" w:rsidP="00C95448">
      <w:pPr>
        <w:pStyle w:val="Paragraphtext"/>
        <w:spacing w:before="0" w:after="0"/>
        <w:jc w:val="both"/>
        <w:rPr>
          <w:rFonts w:cs="Arial"/>
          <w:szCs w:val="24"/>
        </w:rPr>
      </w:pPr>
      <w:r w:rsidRPr="008A5812">
        <w:rPr>
          <w:rFonts w:cs="Arial"/>
          <w:szCs w:val="24"/>
        </w:rPr>
        <w:t>Any enquiries or comments in relation to this statistical release should be sent to DECC Statistic</w:t>
      </w:r>
      <w:r>
        <w:rPr>
          <w:rFonts w:cs="Arial"/>
          <w:szCs w:val="24"/>
        </w:rPr>
        <w:t>ian</w:t>
      </w:r>
      <w:r w:rsidRPr="008A5812">
        <w:rPr>
          <w:rFonts w:cs="Arial"/>
          <w:szCs w:val="24"/>
        </w:rPr>
        <w:t xml:space="preserve">s at the following email address: </w:t>
      </w:r>
      <w:hyperlink r:id="rId95" w:history="1">
        <w:r w:rsidRPr="008A5812">
          <w:rPr>
            <w:rStyle w:val="Hyperlink"/>
            <w:rFonts w:ascii="Arial" w:hAnsi="Arial" w:cs="Arial"/>
            <w:szCs w:val="24"/>
          </w:rPr>
          <w:t>EnergyEfficiency.Stats@decc.gsi.gov.uk</w:t>
        </w:r>
      </w:hyperlink>
      <w:r w:rsidRPr="008A5812">
        <w:rPr>
          <w:rFonts w:cs="Arial"/>
          <w:szCs w:val="24"/>
        </w:rPr>
        <w:t xml:space="preserve"> </w:t>
      </w:r>
    </w:p>
    <w:p w:rsidR="00D72894" w:rsidRPr="008A5812" w:rsidRDefault="00D72894" w:rsidP="00106DBE">
      <w:pPr>
        <w:pStyle w:val="Paragraphtext"/>
        <w:spacing w:before="0" w:after="0"/>
        <w:jc w:val="both"/>
        <w:rPr>
          <w:rFonts w:cs="Arial"/>
          <w:szCs w:val="24"/>
        </w:rPr>
      </w:pPr>
    </w:p>
    <w:p w:rsidR="00B35CEF" w:rsidRPr="008A5812" w:rsidRDefault="00B35CEF" w:rsidP="00106DBE">
      <w:pPr>
        <w:pStyle w:val="Paragraphtext"/>
        <w:spacing w:before="0" w:after="0"/>
        <w:jc w:val="both"/>
        <w:rPr>
          <w:rFonts w:cs="Arial"/>
          <w:szCs w:val="24"/>
        </w:rPr>
      </w:pPr>
      <w:r w:rsidRPr="008A5812">
        <w:rPr>
          <w:rFonts w:cs="Arial"/>
          <w:szCs w:val="24"/>
        </w:rPr>
        <w:t>C</w:t>
      </w:r>
      <w:r w:rsidR="00D72894" w:rsidRPr="008A5812">
        <w:rPr>
          <w:rFonts w:cs="Arial"/>
          <w:szCs w:val="24"/>
        </w:rPr>
        <w:t>ontact telephone: 0300 068 5</w:t>
      </w:r>
      <w:r w:rsidR="004F30BB">
        <w:rPr>
          <w:rFonts w:cs="Arial"/>
          <w:szCs w:val="24"/>
        </w:rPr>
        <w:t>106</w:t>
      </w:r>
    </w:p>
    <w:p w:rsidR="00D72894" w:rsidRPr="008A5812" w:rsidRDefault="00D72894" w:rsidP="00106DBE">
      <w:pPr>
        <w:pStyle w:val="Paragraphtext"/>
        <w:spacing w:before="0" w:after="0"/>
        <w:jc w:val="both"/>
        <w:rPr>
          <w:rFonts w:cs="Arial"/>
          <w:szCs w:val="24"/>
        </w:rPr>
      </w:pPr>
    </w:p>
    <w:p w:rsidR="00B35CEF" w:rsidRPr="008A5812" w:rsidRDefault="00B35CEF" w:rsidP="00106DBE">
      <w:pPr>
        <w:pStyle w:val="Paragraphtext"/>
        <w:spacing w:before="0" w:after="0"/>
        <w:jc w:val="both"/>
        <w:rPr>
          <w:rFonts w:cs="Arial"/>
          <w:szCs w:val="24"/>
        </w:rPr>
      </w:pPr>
      <w:r w:rsidRPr="008A5812">
        <w:rPr>
          <w:rFonts w:cs="Arial"/>
          <w:szCs w:val="24"/>
        </w:rPr>
        <w:t xml:space="preserve">The statistician responsible for this publication is </w:t>
      </w:r>
      <w:r w:rsidR="004F30BB">
        <w:rPr>
          <w:rFonts w:cs="Arial"/>
          <w:szCs w:val="24"/>
        </w:rPr>
        <w:t>Peter Antoniades</w:t>
      </w:r>
      <w:r w:rsidRPr="008A5812">
        <w:rPr>
          <w:rFonts w:cs="Arial"/>
          <w:szCs w:val="24"/>
        </w:rPr>
        <w:t>.</w:t>
      </w:r>
    </w:p>
    <w:p w:rsidR="00D72894" w:rsidRPr="008A5812" w:rsidRDefault="00D72894" w:rsidP="00106DBE">
      <w:pPr>
        <w:pStyle w:val="Paragraphtext"/>
        <w:spacing w:before="0" w:after="0"/>
        <w:jc w:val="both"/>
        <w:rPr>
          <w:rFonts w:cs="Arial"/>
          <w:szCs w:val="24"/>
        </w:rPr>
      </w:pPr>
    </w:p>
    <w:p w:rsidR="00106DBE" w:rsidRDefault="00B35CEF" w:rsidP="00106DBE">
      <w:pPr>
        <w:pStyle w:val="Paragraphtext"/>
        <w:spacing w:before="0" w:after="0"/>
        <w:jc w:val="both"/>
        <w:rPr>
          <w:rFonts w:cs="Arial"/>
          <w:szCs w:val="24"/>
        </w:rPr>
      </w:pPr>
      <w:r w:rsidRPr="008A5812">
        <w:rPr>
          <w:rFonts w:cs="Arial"/>
          <w:szCs w:val="24"/>
        </w:rPr>
        <w:t xml:space="preserve">Further information on energy statistics is available at </w:t>
      </w:r>
    </w:p>
    <w:p w:rsidR="00B35CEF" w:rsidRPr="008A5812" w:rsidRDefault="00C34310" w:rsidP="00106DBE">
      <w:pPr>
        <w:pStyle w:val="Paragraphtext"/>
        <w:spacing w:before="0" w:after="0"/>
        <w:jc w:val="both"/>
        <w:rPr>
          <w:rFonts w:cs="Arial"/>
          <w:szCs w:val="24"/>
        </w:rPr>
      </w:pPr>
      <w:hyperlink r:id="rId96" w:history="1">
        <w:r w:rsidR="00B35CEF" w:rsidRPr="008A5812">
          <w:rPr>
            <w:rStyle w:val="Hyperlink"/>
            <w:rFonts w:ascii="Arial" w:hAnsi="Arial" w:cs="Arial"/>
            <w:szCs w:val="24"/>
          </w:rPr>
          <w:t>https://www.gov.uk/government/organisations/department-of-energy-climate-change/about/statistics</w:t>
        </w:r>
      </w:hyperlink>
      <w:r w:rsidR="00B35CEF" w:rsidRPr="008A5812">
        <w:rPr>
          <w:rFonts w:cs="Arial"/>
          <w:szCs w:val="24"/>
        </w:rPr>
        <w:t xml:space="preserve"> </w:t>
      </w:r>
    </w:p>
    <w:p w:rsidR="00EA455B" w:rsidRDefault="00EA455B" w:rsidP="00106DBE">
      <w:pPr>
        <w:pStyle w:val="Heading2"/>
        <w:jc w:val="both"/>
      </w:pPr>
    </w:p>
    <w:p w:rsidR="00B35CEF" w:rsidRPr="008A5812" w:rsidRDefault="00B35CEF" w:rsidP="00106DBE">
      <w:pPr>
        <w:pStyle w:val="Heading2"/>
        <w:jc w:val="both"/>
      </w:pPr>
      <w:bookmarkStart w:id="112" w:name="_Toc406514309"/>
      <w:r w:rsidRPr="008A5812">
        <w:t>Next Release</w:t>
      </w:r>
      <w:bookmarkEnd w:id="112"/>
    </w:p>
    <w:p w:rsidR="00D72894" w:rsidRPr="008A5812" w:rsidRDefault="00D72894" w:rsidP="00106DBE">
      <w:pPr>
        <w:pStyle w:val="Paragraphtext"/>
        <w:spacing w:before="0" w:after="0"/>
        <w:jc w:val="both"/>
        <w:rPr>
          <w:rFonts w:cs="Arial"/>
          <w:szCs w:val="24"/>
        </w:rPr>
      </w:pPr>
    </w:p>
    <w:p w:rsidR="000D1C94" w:rsidRDefault="000D1C94" w:rsidP="000D1C94">
      <w:pPr>
        <w:pStyle w:val="Paragraphtext"/>
        <w:spacing w:before="0" w:after="0"/>
        <w:jc w:val="both"/>
      </w:pPr>
      <w:r>
        <w:t>The next quarterly publication i</w:t>
      </w:r>
      <w:r w:rsidR="008E4688">
        <w:t>s</w:t>
      </w:r>
      <w:r>
        <w:t xml:space="preserve"> planned for publication at 9.</w:t>
      </w:r>
      <w:r w:rsidRPr="00044902">
        <w:t xml:space="preserve">30am on </w:t>
      </w:r>
      <w:r w:rsidR="00044902" w:rsidRPr="00044902">
        <w:rPr>
          <w:b/>
          <w:bCs/>
        </w:rPr>
        <w:t>19</w:t>
      </w:r>
      <w:r w:rsidRPr="00044902">
        <w:rPr>
          <w:b/>
          <w:bCs/>
        </w:rPr>
        <w:t xml:space="preserve"> </w:t>
      </w:r>
      <w:r w:rsidR="00044902" w:rsidRPr="00044902">
        <w:rPr>
          <w:b/>
          <w:bCs/>
        </w:rPr>
        <w:t>March</w:t>
      </w:r>
      <w:r w:rsidRPr="00044902">
        <w:rPr>
          <w:b/>
          <w:bCs/>
        </w:rPr>
        <w:t xml:space="preserve"> 201</w:t>
      </w:r>
      <w:r w:rsidR="00044902" w:rsidRPr="00044902">
        <w:rPr>
          <w:b/>
          <w:bCs/>
        </w:rPr>
        <w:t>5</w:t>
      </w:r>
      <w:r w:rsidRPr="00044902">
        <w:t xml:space="preserve"> and</w:t>
      </w:r>
      <w:r>
        <w:t xml:space="preserve"> will contain more detailed information on activity up to the end of </w:t>
      </w:r>
      <w:r w:rsidR="00675700">
        <w:t>December</w:t>
      </w:r>
      <w:r w:rsidR="00F45B58">
        <w:t xml:space="preserve"> 2014.</w:t>
      </w:r>
    </w:p>
    <w:p w:rsidR="00F45B58" w:rsidRDefault="00F45B58" w:rsidP="000D1C94">
      <w:pPr>
        <w:pStyle w:val="Paragraphtext"/>
        <w:spacing w:before="0" w:after="0"/>
        <w:jc w:val="both"/>
      </w:pPr>
    </w:p>
    <w:p w:rsidR="00DC1A45" w:rsidRDefault="00DC1A45"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D92A01">
      <w:pPr>
        <w:pStyle w:val="Paragraphtext"/>
        <w:spacing w:before="0" w:after="0"/>
      </w:pPr>
    </w:p>
    <w:p w:rsidR="00F2050F" w:rsidRDefault="00F2050F" w:rsidP="00D92A01">
      <w:pPr>
        <w:pStyle w:val="ChapterHead"/>
        <w:spacing w:before="0" w:after="0"/>
        <w:rPr>
          <w:rFonts w:cs="Arial"/>
          <w:szCs w:val="50"/>
        </w:rPr>
      </w:pPr>
      <w:bookmarkStart w:id="113" w:name="_Toc382990105"/>
      <w:bookmarkStart w:id="114" w:name="_Toc406514310"/>
      <w:bookmarkStart w:id="115" w:name="AnnexC"/>
      <w:r w:rsidRPr="00C21119">
        <w:rPr>
          <w:rFonts w:cs="Arial"/>
          <w:szCs w:val="50"/>
        </w:rPr>
        <w:lastRenderedPageBreak/>
        <w:t>Annex C - Household Energy Efficiency schemes</w:t>
      </w:r>
      <w:bookmarkEnd w:id="113"/>
      <w:bookmarkEnd w:id="114"/>
    </w:p>
    <w:bookmarkEnd w:id="115"/>
    <w:p w:rsidR="00D92A01" w:rsidRPr="00D92A01" w:rsidRDefault="00D92A01" w:rsidP="00D92A01">
      <w:pPr>
        <w:pStyle w:val="Introduction"/>
        <w:spacing w:before="0" w:after="0"/>
      </w:pPr>
    </w:p>
    <w:p w:rsidR="00F2050F" w:rsidRDefault="00F2050F" w:rsidP="00D92A01">
      <w:pPr>
        <w:spacing w:before="0" w:after="0" w:line="270" w:lineRule="atLeast"/>
        <w:jc w:val="both"/>
        <w:rPr>
          <w:szCs w:val="24"/>
        </w:rPr>
      </w:pPr>
      <w:r w:rsidRPr="00F2050F">
        <w:rPr>
          <w:szCs w:val="24"/>
        </w:rPr>
        <w:t>It is intended to gradually widen the scope of this quarterly release to provide more detail on other domestic energy efficiency schemes. This section of the report presents activity levels on ECO, Cashback</w:t>
      </w:r>
      <w:r w:rsidR="00BB6C2C">
        <w:rPr>
          <w:szCs w:val="24"/>
        </w:rPr>
        <w:t>,</w:t>
      </w:r>
      <w:r w:rsidRPr="00F2050F">
        <w:rPr>
          <w:szCs w:val="24"/>
        </w:rPr>
        <w:t xml:space="preserve"> Green Deal </w:t>
      </w:r>
      <w:r w:rsidR="00BB6C2C">
        <w:rPr>
          <w:szCs w:val="24"/>
        </w:rPr>
        <w:t xml:space="preserve">Plans and </w:t>
      </w:r>
      <w:r w:rsidR="00BB6C2C" w:rsidRPr="00BB6C2C">
        <w:rPr>
          <w:szCs w:val="24"/>
        </w:rPr>
        <w:t xml:space="preserve">Green Deal Home Improvement Fund </w:t>
      </w:r>
      <w:r w:rsidR="00A3467E">
        <w:rPr>
          <w:szCs w:val="24"/>
        </w:rPr>
        <w:t xml:space="preserve">(GDHIF) </w:t>
      </w:r>
      <w:r w:rsidRPr="00F2050F">
        <w:rPr>
          <w:szCs w:val="24"/>
        </w:rPr>
        <w:t xml:space="preserve">between January 2013 and </w:t>
      </w:r>
      <w:r w:rsidR="008E2A1F">
        <w:rPr>
          <w:szCs w:val="24"/>
        </w:rPr>
        <w:t>September</w:t>
      </w:r>
      <w:r w:rsidRPr="00F2050F">
        <w:rPr>
          <w:szCs w:val="24"/>
        </w:rPr>
        <w:t xml:space="preserve"> 2014 (as reported in the monthly Official Statistics release published on </w:t>
      </w:r>
      <w:r w:rsidR="008E2A1F">
        <w:rPr>
          <w:szCs w:val="24"/>
        </w:rPr>
        <w:t>20</w:t>
      </w:r>
      <w:r w:rsidR="00335295">
        <w:rPr>
          <w:szCs w:val="24"/>
        </w:rPr>
        <w:t xml:space="preserve"> </w:t>
      </w:r>
      <w:r w:rsidR="008E2A1F">
        <w:rPr>
          <w:szCs w:val="24"/>
        </w:rPr>
        <w:t>November</w:t>
      </w:r>
      <w:r w:rsidRPr="00F2050F">
        <w:rPr>
          <w:szCs w:val="24"/>
        </w:rPr>
        <w:t xml:space="preserve"> 2014) alongside figures on Feed-In Tariffs installations, Renewable Heat Premium Payment voucher redemptions, and on Smart Electricity and Gas Meter installations that have been previously published in their own statistical releases.</w:t>
      </w:r>
    </w:p>
    <w:p w:rsidR="00F2050F" w:rsidRDefault="00F2050F" w:rsidP="00D92A01">
      <w:pPr>
        <w:spacing w:before="0" w:after="0" w:line="270" w:lineRule="atLeast"/>
        <w:jc w:val="both"/>
        <w:rPr>
          <w:color w:val="000000"/>
          <w:lang w:eastAsia="en-GB"/>
        </w:rPr>
      </w:pPr>
    </w:p>
    <w:p w:rsidR="00823BBA" w:rsidRDefault="00823BBA" w:rsidP="00D92A01">
      <w:pPr>
        <w:spacing w:before="0" w:after="0" w:line="270" w:lineRule="atLeast"/>
        <w:jc w:val="both"/>
        <w:rPr>
          <w:color w:val="000000"/>
          <w:lang w:eastAsia="en-GB"/>
        </w:rPr>
      </w:pPr>
    </w:p>
    <w:p w:rsidR="00F2050F" w:rsidRPr="009A140B" w:rsidRDefault="00F2050F" w:rsidP="00D92A01">
      <w:pPr>
        <w:pStyle w:val="Heading2"/>
        <w:spacing w:before="0" w:after="0"/>
        <w:rPr>
          <w:lang w:eastAsia="en-GB"/>
        </w:rPr>
      </w:pPr>
      <w:bookmarkStart w:id="116" w:name="_Toc406514311"/>
      <w:r>
        <w:rPr>
          <w:lang w:eastAsia="en-GB"/>
        </w:rPr>
        <w:t>ECO, Cashback</w:t>
      </w:r>
      <w:r w:rsidR="00BB6C2C">
        <w:rPr>
          <w:lang w:eastAsia="en-GB"/>
        </w:rPr>
        <w:t xml:space="preserve">, </w:t>
      </w:r>
      <w:r>
        <w:rPr>
          <w:lang w:eastAsia="en-GB"/>
        </w:rPr>
        <w:t>Green Deal</w:t>
      </w:r>
      <w:r w:rsidR="00BB6C2C">
        <w:rPr>
          <w:lang w:eastAsia="en-GB"/>
        </w:rPr>
        <w:t xml:space="preserve"> Plans and Green Deal Home Improvement Fund</w:t>
      </w:r>
      <w:bookmarkEnd w:id="116"/>
    </w:p>
    <w:p w:rsidR="00F2050F" w:rsidRDefault="00F2050F" w:rsidP="00D92A01">
      <w:pPr>
        <w:spacing w:before="0" w:after="0" w:line="270" w:lineRule="atLeast"/>
        <w:jc w:val="both"/>
        <w:rPr>
          <w:color w:val="000000"/>
          <w:lang w:eastAsia="en-GB"/>
        </w:rPr>
      </w:pPr>
    </w:p>
    <w:p w:rsidR="00F2050F" w:rsidRPr="00DE3DCC" w:rsidRDefault="00F2050F" w:rsidP="00D92A01">
      <w:pPr>
        <w:spacing w:before="0" w:after="0" w:line="270" w:lineRule="atLeast"/>
        <w:jc w:val="both"/>
        <w:rPr>
          <w:color w:val="000000" w:themeColor="text1"/>
          <w:lang w:eastAsia="en-GB"/>
        </w:rPr>
      </w:pPr>
      <w:r w:rsidRPr="006E0715">
        <w:rPr>
          <w:color w:val="000000" w:themeColor="text1"/>
          <w:lang w:eastAsia="en-GB"/>
        </w:rPr>
        <w:t xml:space="preserve">Provisional figures show that around </w:t>
      </w:r>
      <w:r w:rsidR="008B0421" w:rsidRPr="006E0715">
        <w:rPr>
          <w:color w:val="000000" w:themeColor="text1"/>
          <w:lang w:eastAsia="en-GB"/>
        </w:rPr>
        <w:t>7</w:t>
      </w:r>
      <w:r w:rsidR="001703A7">
        <w:rPr>
          <w:color w:val="000000" w:themeColor="text1"/>
          <w:lang w:eastAsia="en-GB"/>
        </w:rPr>
        <w:t>85</w:t>
      </w:r>
      <w:r w:rsidR="008B0421" w:rsidRPr="006E0715">
        <w:rPr>
          <w:color w:val="000000" w:themeColor="text1"/>
          <w:lang w:eastAsia="en-GB"/>
        </w:rPr>
        <w:t>,</w:t>
      </w:r>
      <w:r w:rsidR="002E0548">
        <w:rPr>
          <w:color w:val="000000" w:themeColor="text1"/>
          <w:lang w:eastAsia="en-GB"/>
        </w:rPr>
        <w:t>4</w:t>
      </w:r>
      <w:r w:rsidR="005604CE" w:rsidRPr="006E0715">
        <w:rPr>
          <w:color w:val="000000" w:themeColor="text1"/>
          <w:lang w:eastAsia="en-GB"/>
        </w:rPr>
        <w:t>0</w:t>
      </w:r>
      <w:r w:rsidRPr="006E0715">
        <w:rPr>
          <w:color w:val="000000" w:themeColor="text1"/>
          <w:lang w:eastAsia="en-GB"/>
        </w:rPr>
        <w:t xml:space="preserve">0 households benefitted from ECO between January 2013 and </w:t>
      </w:r>
      <w:r w:rsidR="00892877" w:rsidRPr="006E0715">
        <w:rPr>
          <w:color w:val="000000" w:themeColor="text1"/>
          <w:lang w:eastAsia="en-GB"/>
        </w:rPr>
        <w:t xml:space="preserve">September </w:t>
      </w:r>
      <w:r w:rsidRPr="006E0715">
        <w:rPr>
          <w:color w:val="000000" w:themeColor="text1"/>
          <w:lang w:eastAsia="en-GB"/>
        </w:rPr>
        <w:t>2014</w:t>
      </w:r>
      <w:r w:rsidR="00BB3130" w:rsidRPr="006E0715">
        <w:rPr>
          <w:color w:val="000000" w:themeColor="text1"/>
          <w:lang w:eastAsia="en-GB"/>
        </w:rPr>
        <w:t>. A</w:t>
      </w:r>
      <w:r w:rsidRPr="006E0715">
        <w:rPr>
          <w:color w:val="000000" w:themeColor="text1"/>
          <w:lang w:eastAsia="en-GB"/>
        </w:rPr>
        <w:t>round 1</w:t>
      </w:r>
      <w:r w:rsidR="00BB3130" w:rsidRPr="006E0715">
        <w:rPr>
          <w:color w:val="000000" w:themeColor="text1"/>
          <w:lang w:eastAsia="en-GB"/>
        </w:rPr>
        <w:t>4</w:t>
      </w:r>
      <w:r w:rsidRPr="006E0715">
        <w:rPr>
          <w:color w:val="000000" w:themeColor="text1"/>
          <w:lang w:eastAsia="en-GB"/>
        </w:rPr>
        <w:t>,</w:t>
      </w:r>
      <w:r w:rsidR="00BB3130" w:rsidRPr="006E0715">
        <w:rPr>
          <w:color w:val="000000" w:themeColor="text1"/>
          <w:lang w:eastAsia="en-GB"/>
        </w:rPr>
        <w:t>7</w:t>
      </w:r>
      <w:r w:rsidRPr="006E0715">
        <w:rPr>
          <w:color w:val="000000" w:themeColor="text1"/>
          <w:lang w:eastAsia="en-GB"/>
        </w:rPr>
        <w:t>00 households installed measures and received money from th</w:t>
      </w:r>
      <w:r w:rsidR="008B0421" w:rsidRPr="006E0715">
        <w:rPr>
          <w:color w:val="000000" w:themeColor="text1"/>
          <w:lang w:eastAsia="en-GB"/>
        </w:rPr>
        <w:t>e Cashback scheme</w:t>
      </w:r>
      <w:r w:rsidR="00BB3130" w:rsidRPr="006E0715">
        <w:rPr>
          <w:color w:val="000000" w:themeColor="text1"/>
          <w:lang w:eastAsia="en-GB"/>
        </w:rPr>
        <w:t>,</w:t>
      </w:r>
      <w:r w:rsidR="008B0421" w:rsidRPr="006E0715">
        <w:rPr>
          <w:color w:val="000000" w:themeColor="text1"/>
          <w:lang w:eastAsia="en-GB"/>
        </w:rPr>
        <w:t xml:space="preserve"> around </w:t>
      </w:r>
      <w:r w:rsidR="00BB3130" w:rsidRPr="006E0715">
        <w:rPr>
          <w:color w:val="000000" w:themeColor="text1"/>
          <w:lang w:eastAsia="en-GB"/>
        </w:rPr>
        <w:t>2</w:t>
      </w:r>
      <w:r w:rsidR="008B0421" w:rsidRPr="006E0715">
        <w:rPr>
          <w:color w:val="000000" w:themeColor="text1"/>
          <w:lang w:eastAsia="en-GB"/>
        </w:rPr>
        <w:t>,6</w:t>
      </w:r>
      <w:r w:rsidRPr="006E0715">
        <w:rPr>
          <w:color w:val="000000" w:themeColor="text1"/>
          <w:lang w:eastAsia="en-GB"/>
        </w:rPr>
        <w:t>00 households had funded measures through Green Deal</w:t>
      </w:r>
      <w:r w:rsidR="00BB3130" w:rsidRPr="006E0715">
        <w:rPr>
          <w:color w:val="000000" w:themeColor="text1"/>
          <w:lang w:eastAsia="en-GB"/>
        </w:rPr>
        <w:t xml:space="preserve"> finance Plans, and 6,600 households had funded measures through Green Deal Home Improvement Fund</w:t>
      </w:r>
      <w:r w:rsidRPr="006E0715">
        <w:rPr>
          <w:color w:val="000000" w:themeColor="text1"/>
          <w:lang w:eastAsia="en-GB"/>
        </w:rPr>
        <w:t>. There is a small amount of double counting between these mechanisms, but the levels between these</w:t>
      </w:r>
      <w:r w:rsidR="00BB3130" w:rsidRPr="006E0715">
        <w:rPr>
          <w:color w:val="000000" w:themeColor="text1"/>
          <w:lang w:eastAsia="en-GB"/>
        </w:rPr>
        <w:t xml:space="preserve"> four </w:t>
      </w:r>
      <w:r w:rsidRPr="006E0715">
        <w:rPr>
          <w:color w:val="000000" w:themeColor="text1"/>
          <w:lang w:eastAsia="en-GB"/>
        </w:rPr>
        <w:t>schemes and the following energy efficiency schemes is not yet known. More detailed work will be undertaken to better understand how many households are benefitting from a combination of schemes.</w:t>
      </w:r>
    </w:p>
    <w:p w:rsidR="008B0421" w:rsidRDefault="008B0421" w:rsidP="00D92A01">
      <w:pPr>
        <w:spacing w:before="0" w:after="0" w:line="270" w:lineRule="atLeast"/>
        <w:jc w:val="both"/>
        <w:rPr>
          <w:color w:val="000000"/>
          <w:lang w:eastAsia="en-GB"/>
        </w:rPr>
      </w:pPr>
    </w:p>
    <w:p w:rsidR="00F2050F" w:rsidRPr="00B16BD0" w:rsidRDefault="00F2050F" w:rsidP="00D92A01">
      <w:pPr>
        <w:spacing w:before="0" w:after="0" w:line="270" w:lineRule="atLeast"/>
        <w:jc w:val="both"/>
        <w:rPr>
          <w:b/>
          <w:szCs w:val="24"/>
        </w:rPr>
      </w:pPr>
      <w:r>
        <w:rPr>
          <w:color w:val="000000"/>
          <w:lang w:eastAsia="en-GB"/>
        </w:rPr>
        <w:t xml:space="preserve">For more information on the policy background behind these schemes, please see </w:t>
      </w:r>
      <w:hyperlink w:anchor="AnnexB" w:history="1">
        <w:r w:rsidR="00BE4FDD" w:rsidRPr="00DE3DCC">
          <w:rPr>
            <w:color w:val="0000FF"/>
            <w:szCs w:val="24"/>
            <w:u w:val="single"/>
          </w:rPr>
          <w:t>Anne</w:t>
        </w:r>
        <w:r w:rsidR="00BE4FDD" w:rsidRPr="00DE3DCC">
          <w:rPr>
            <w:color w:val="0000FF"/>
            <w:szCs w:val="24"/>
            <w:u w:val="single"/>
          </w:rPr>
          <w:t>x</w:t>
        </w:r>
        <w:r w:rsidR="00BE4FDD" w:rsidRPr="00DE3DCC">
          <w:rPr>
            <w:color w:val="0000FF"/>
            <w:szCs w:val="24"/>
            <w:u w:val="single"/>
          </w:rPr>
          <w:t xml:space="preserve"> B</w:t>
        </w:r>
      </w:hyperlink>
      <w:r>
        <w:rPr>
          <w:color w:val="000000"/>
          <w:lang w:eastAsia="en-GB"/>
        </w:rPr>
        <w:t>.</w:t>
      </w:r>
    </w:p>
    <w:p w:rsidR="00F2050F" w:rsidRDefault="00F2050F" w:rsidP="00D92A01">
      <w:pPr>
        <w:spacing w:before="0" w:after="0" w:line="270" w:lineRule="atLeast"/>
        <w:jc w:val="both"/>
        <w:rPr>
          <w:szCs w:val="24"/>
        </w:rPr>
      </w:pPr>
    </w:p>
    <w:p w:rsidR="00C21119" w:rsidRPr="00C21119" w:rsidRDefault="00C21119" w:rsidP="008312D7">
      <w:pPr>
        <w:pStyle w:val="Heading2"/>
      </w:pPr>
      <w:bookmarkStart w:id="117" w:name="_Toc397698389"/>
      <w:bookmarkStart w:id="118" w:name="_Toc406514312"/>
      <w:r w:rsidRPr="00C21119">
        <w:t>Feed-In Tariffs</w:t>
      </w:r>
      <w:bookmarkEnd w:id="117"/>
      <w:bookmarkEnd w:id="118"/>
    </w:p>
    <w:p w:rsidR="00C21119" w:rsidRPr="00C21119" w:rsidRDefault="00C21119" w:rsidP="00C21119">
      <w:pPr>
        <w:spacing w:before="0" w:after="0"/>
      </w:pPr>
    </w:p>
    <w:p w:rsidR="00C21119" w:rsidRPr="00C21119" w:rsidRDefault="00C21119" w:rsidP="00C21119">
      <w:pPr>
        <w:spacing w:before="0" w:after="0" w:line="270" w:lineRule="atLeast"/>
        <w:jc w:val="both"/>
        <w:rPr>
          <w:color w:val="000000" w:themeColor="text1"/>
          <w:szCs w:val="24"/>
        </w:rPr>
      </w:pPr>
      <w:r w:rsidRPr="00C21119">
        <w:rPr>
          <w:color w:val="000000" w:themeColor="text1"/>
          <w:szCs w:val="24"/>
        </w:rPr>
        <w:t>The Feed-in Tariff (</w:t>
      </w:r>
      <w:proofErr w:type="spellStart"/>
      <w:r w:rsidRPr="00C21119">
        <w:rPr>
          <w:color w:val="000000" w:themeColor="text1"/>
          <w:szCs w:val="24"/>
        </w:rPr>
        <w:t>FiTs</w:t>
      </w:r>
      <w:proofErr w:type="spellEnd"/>
      <w:r w:rsidRPr="00C21119">
        <w:rPr>
          <w:color w:val="000000" w:themeColor="text1"/>
          <w:szCs w:val="24"/>
        </w:rPr>
        <w:t xml:space="preserve">) scheme was launched in April 2010 and is a financial support scheme for eligible low-carbon electricity technologies, aimed at small-scale installations with a capacity of less than 5 Megawatts (MW). </w:t>
      </w:r>
      <w:proofErr w:type="spellStart"/>
      <w:r w:rsidRPr="00C21119">
        <w:rPr>
          <w:color w:val="000000" w:themeColor="text1"/>
          <w:szCs w:val="24"/>
        </w:rPr>
        <w:t>FiTs</w:t>
      </w:r>
      <w:proofErr w:type="spellEnd"/>
      <w:r w:rsidRPr="00C21119">
        <w:rPr>
          <w:color w:val="000000" w:themeColor="text1"/>
          <w:szCs w:val="24"/>
        </w:rPr>
        <w:t xml:space="preserve"> support new anaerobic digestion (AD), solar photovoltaic (PV), small hydro and wind, by requiring electricity suppliers to make payments (generation tariffs) to these generators based on the number of kilowatt hours (kWh) they generate. An additional guaranteed export tariff is paid for electricity generated that is not used on site and exported to the grid. The scheme also supports micro combined heat and power installations with an electrical capacity of 2 kW or less. </w:t>
      </w:r>
    </w:p>
    <w:p w:rsidR="00C21119" w:rsidRPr="00C21119" w:rsidRDefault="00C21119" w:rsidP="00C21119">
      <w:pPr>
        <w:spacing w:before="0" w:after="0" w:line="270" w:lineRule="atLeast"/>
        <w:jc w:val="both"/>
        <w:rPr>
          <w:color w:val="000000" w:themeColor="text1"/>
          <w:szCs w:val="24"/>
        </w:rPr>
      </w:pPr>
    </w:p>
    <w:p w:rsidR="00723015" w:rsidRPr="00723015" w:rsidRDefault="00723015" w:rsidP="00723015">
      <w:pPr>
        <w:spacing w:before="0" w:after="0" w:line="270" w:lineRule="atLeast"/>
        <w:jc w:val="both"/>
        <w:rPr>
          <w:color w:val="000000" w:themeColor="text1"/>
          <w:szCs w:val="24"/>
        </w:rPr>
      </w:pPr>
      <w:r w:rsidRPr="00723015">
        <w:rPr>
          <w:color w:val="000000" w:themeColor="text1"/>
          <w:szCs w:val="24"/>
        </w:rPr>
        <w:t xml:space="preserve">The majority of the installations installed under </w:t>
      </w:r>
      <w:proofErr w:type="spellStart"/>
      <w:r w:rsidRPr="00723015">
        <w:rPr>
          <w:color w:val="000000" w:themeColor="text1"/>
          <w:szCs w:val="24"/>
        </w:rPr>
        <w:t>FiTs</w:t>
      </w:r>
      <w:proofErr w:type="spellEnd"/>
      <w:r w:rsidRPr="00723015">
        <w:rPr>
          <w:color w:val="000000" w:themeColor="text1"/>
          <w:szCs w:val="24"/>
        </w:rPr>
        <w:t xml:space="preserve"> are in the domestic sector (96 per cent) but as these tend to be smaller in size, the capacity of domestic schemes makes up 63 per cent of the total capacity installed under </w:t>
      </w:r>
      <w:proofErr w:type="spellStart"/>
      <w:r w:rsidRPr="00723015">
        <w:rPr>
          <w:color w:val="000000" w:themeColor="text1"/>
          <w:szCs w:val="24"/>
        </w:rPr>
        <w:t>FiTs</w:t>
      </w:r>
      <w:proofErr w:type="spellEnd"/>
      <w:r w:rsidRPr="00723015">
        <w:rPr>
          <w:color w:val="000000" w:themeColor="text1"/>
          <w:szCs w:val="24"/>
        </w:rPr>
        <w:t>. The majority of the domestic schemes are solar PV (97 per cent).</w:t>
      </w:r>
    </w:p>
    <w:p w:rsidR="00723015" w:rsidRPr="00723015" w:rsidRDefault="00723015" w:rsidP="00723015">
      <w:pPr>
        <w:spacing w:before="0" w:after="0" w:line="270" w:lineRule="atLeast"/>
        <w:jc w:val="both"/>
        <w:rPr>
          <w:color w:val="000000" w:themeColor="text1"/>
          <w:szCs w:val="24"/>
        </w:rPr>
      </w:pPr>
    </w:p>
    <w:p w:rsidR="00C21119" w:rsidRPr="00C21119" w:rsidRDefault="00723015" w:rsidP="00C21119">
      <w:pPr>
        <w:spacing w:before="0" w:after="0" w:line="270" w:lineRule="atLeast"/>
        <w:jc w:val="both"/>
        <w:rPr>
          <w:szCs w:val="24"/>
        </w:rPr>
      </w:pPr>
      <w:r w:rsidRPr="00723015">
        <w:rPr>
          <w:color w:val="000000" w:themeColor="text1"/>
          <w:szCs w:val="24"/>
        </w:rPr>
        <w:t xml:space="preserve">Between January 2013 and the end of September 2014 165,953 domestic installations were confirmed onto the Central </w:t>
      </w:r>
      <w:proofErr w:type="spellStart"/>
      <w:r w:rsidRPr="00723015">
        <w:rPr>
          <w:color w:val="000000" w:themeColor="text1"/>
          <w:szCs w:val="24"/>
        </w:rPr>
        <w:t>FiT</w:t>
      </w:r>
      <w:proofErr w:type="spellEnd"/>
      <w:r w:rsidRPr="00723015">
        <w:rPr>
          <w:color w:val="000000" w:themeColor="text1"/>
          <w:szCs w:val="24"/>
        </w:rPr>
        <w:t xml:space="preserve"> Register. The total number of domestic installations confirmed onto the </w:t>
      </w:r>
      <w:proofErr w:type="spellStart"/>
      <w:r w:rsidRPr="00723015">
        <w:rPr>
          <w:color w:val="000000" w:themeColor="text1"/>
          <w:szCs w:val="24"/>
        </w:rPr>
        <w:t>FiT</w:t>
      </w:r>
      <w:proofErr w:type="spellEnd"/>
      <w:r w:rsidRPr="00723015">
        <w:rPr>
          <w:color w:val="000000" w:themeColor="text1"/>
          <w:szCs w:val="24"/>
        </w:rPr>
        <w:t xml:space="preserve"> scheme by the end of September 2014 was 511,562.</w:t>
      </w:r>
    </w:p>
    <w:p w:rsidR="00C21119" w:rsidRPr="00C21119" w:rsidRDefault="00C21119" w:rsidP="008312D7">
      <w:pPr>
        <w:pStyle w:val="Heading2"/>
      </w:pPr>
      <w:bookmarkStart w:id="119" w:name="_Toc397698390"/>
      <w:bookmarkStart w:id="120" w:name="_Toc406514313"/>
      <w:r w:rsidRPr="00C21119">
        <w:t>Renewable Heat Premium Payment</w:t>
      </w:r>
      <w:bookmarkEnd w:id="119"/>
      <w:bookmarkEnd w:id="120"/>
    </w:p>
    <w:p w:rsidR="00C21119" w:rsidRPr="00C21119" w:rsidRDefault="00C21119" w:rsidP="00C21119">
      <w:pPr>
        <w:spacing w:before="0" w:after="0" w:line="270" w:lineRule="atLeast"/>
        <w:jc w:val="both"/>
        <w:rPr>
          <w:szCs w:val="24"/>
        </w:rPr>
      </w:pPr>
    </w:p>
    <w:p w:rsidR="00C21119" w:rsidRPr="00C21119" w:rsidRDefault="00C21119" w:rsidP="00C21119">
      <w:pPr>
        <w:spacing w:before="0" w:after="0" w:line="270" w:lineRule="atLeast"/>
        <w:jc w:val="both"/>
        <w:rPr>
          <w:szCs w:val="24"/>
        </w:rPr>
      </w:pPr>
      <w:r w:rsidRPr="00C21119">
        <w:rPr>
          <w:szCs w:val="24"/>
        </w:rPr>
        <w:t xml:space="preserve">Renewable Heat Premium Payment (RHPP) scheme was introduced as an interim measure in the absence of the domestic Renewable Heat Incentive (RHI). It was designed to support the </w:t>
      </w:r>
      <w:r w:rsidRPr="00C21119">
        <w:rPr>
          <w:szCs w:val="24"/>
        </w:rPr>
        <w:lastRenderedPageBreak/>
        <w:t>uptake of domestic renewable heat and maintain the supply chain, to learn about renewable heat technologies and the way consumers use them to better shape the domestic RHI policy and contribute to the renewable energy target. The scheme encompasses three components: the householder’s scheme, social landlord competition and community’s scheme. These components were designed to give greater coverage across the different parts of the housing market.</w:t>
      </w:r>
    </w:p>
    <w:p w:rsidR="00C21119" w:rsidRPr="00C21119" w:rsidRDefault="00C21119" w:rsidP="008312D7">
      <w:pPr>
        <w:pStyle w:val="Heading2"/>
      </w:pPr>
      <w:bookmarkStart w:id="121" w:name="_Toc397698391"/>
      <w:bookmarkStart w:id="122" w:name="_Toc406514314"/>
      <w:r w:rsidRPr="00C21119">
        <w:t>Householders’ scheme</w:t>
      </w:r>
      <w:bookmarkEnd w:id="121"/>
      <w:bookmarkEnd w:id="122"/>
    </w:p>
    <w:p w:rsidR="00C21119" w:rsidRPr="00C21119" w:rsidRDefault="00C21119" w:rsidP="00C21119">
      <w:pPr>
        <w:spacing w:before="0" w:after="0"/>
      </w:pPr>
    </w:p>
    <w:p w:rsidR="009213D0" w:rsidRPr="009213D0" w:rsidRDefault="009213D0" w:rsidP="009213D0">
      <w:pPr>
        <w:spacing w:before="0" w:after="0"/>
        <w:jc w:val="both"/>
      </w:pPr>
      <w:r w:rsidRPr="009213D0">
        <w:t xml:space="preserve">The RHPP scheme distributed vouchers as a one off grant to eligible applicants installing renewable heating systems to offset some of the cost of installation. The technologies supported were: ground and water source heat pumps, air-to-water heat pumps, solid biomass boilers and solar thermal systems. There were three phases, run over three financial years; Phase 1 ran from the 1 August 2011 to the 31 March 2012, Phase 2 opened on the 1 May 2012 and closed on the 31 March 2013 and Phase 2 Extension opened on the 1 April 2013 and officially closed on the 31 March 2014. The RHPP scheme was succeeded by the domestic RHI scheme which launched on 9 April 2014. Information on homes benefiting from the domestic RHI </w:t>
      </w:r>
      <w:proofErr w:type="gramStart"/>
      <w:r w:rsidRPr="009213D0">
        <w:t>are</w:t>
      </w:r>
      <w:proofErr w:type="gramEnd"/>
      <w:r w:rsidRPr="009213D0">
        <w:t xml:space="preserve"> included below for the first time.</w:t>
      </w:r>
    </w:p>
    <w:p w:rsidR="009213D0" w:rsidRPr="009213D0" w:rsidRDefault="009213D0" w:rsidP="009213D0">
      <w:pPr>
        <w:spacing w:before="0" w:after="0"/>
        <w:jc w:val="both"/>
      </w:pPr>
    </w:p>
    <w:p w:rsidR="00723015" w:rsidRDefault="00723015" w:rsidP="00723015">
      <w:pPr>
        <w:spacing w:before="0" w:after="0"/>
        <w:jc w:val="both"/>
      </w:pPr>
      <w:r>
        <w:t xml:space="preserve">Between January 2013 and September 2014, 8,991 vouchers were redeemed under phase 2 or phase 2 </w:t>
      </w:r>
      <w:proofErr w:type="gramStart"/>
      <w:r>
        <w:t>extension</w:t>
      </w:r>
      <w:proofErr w:type="gramEnd"/>
      <w:r>
        <w:t>.</w:t>
      </w:r>
    </w:p>
    <w:p w:rsidR="00723015" w:rsidRDefault="00723015" w:rsidP="00723015">
      <w:pPr>
        <w:spacing w:before="0" w:after="0"/>
        <w:jc w:val="both"/>
      </w:pPr>
    </w:p>
    <w:p w:rsidR="00723015" w:rsidRDefault="00723015" w:rsidP="00723015">
      <w:pPr>
        <w:spacing w:before="0" w:after="0"/>
        <w:jc w:val="both"/>
      </w:pPr>
      <w:r>
        <w:t>A total of 15,364 vouchers had been redeemed under all phases of the Renewable Heat Premium Payment voucher schemes – 5,230 under Phase 1, 5,315 under Phase 2, and a further 4,819 under Phase 2 Extension.</w:t>
      </w:r>
    </w:p>
    <w:p w:rsidR="009213D0" w:rsidRPr="009213D0" w:rsidRDefault="009213D0" w:rsidP="009213D0">
      <w:pPr>
        <w:spacing w:before="0" w:after="0"/>
        <w:jc w:val="both"/>
      </w:pPr>
    </w:p>
    <w:p w:rsidR="009213D0" w:rsidRPr="009213D0" w:rsidRDefault="009213D0" w:rsidP="009213D0">
      <w:pPr>
        <w:spacing w:before="0" w:after="0"/>
        <w:jc w:val="both"/>
      </w:pPr>
      <w:r w:rsidRPr="009213D0">
        <w:t xml:space="preserve">Solar Thermal and Air Source Heat Pumps are the most popular technologies in all phases, accounting for over two thirds of redeemed or claimed vouchers in total. Social landlord competitions </w:t>
      </w:r>
    </w:p>
    <w:p w:rsidR="009213D0" w:rsidRPr="009213D0" w:rsidRDefault="009213D0" w:rsidP="009213D0">
      <w:pPr>
        <w:spacing w:before="0" w:after="0"/>
        <w:jc w:val="both"/>
      </w:pPr>
    </w:p>
    <w:p w:rsidR="009213D0" w:rsidRPr="009213D0" w:rsidRDefault="009213D0" w:rsidP="009213D0">
      <w:pPr>
        <w:spacing w:before="0" w:after="0"/>
        <w:jc w:val="both"/>
      </w:pPr>
      <w:r w:rsidRPr="009213D0">
        <w:t xml:space="preserve">The social landlord competitions were designed to accelerate the deployment of renewable heating technologies in the social housing sector. Registered Providers of social housing were invited to bid for grants to support projects installing eligible renewable heating systems. </w:t>
      </w:r>
    </w:p>
    <w:p w:rsidR="009213D0" w:rsidRPr="009213D0" w:rsidRDefault="009213D0" w:rsidP="009213D0">
      <w:pPr>
        <w:spacing w:before="0" w:after="0"/>
        <w:jc w:val="both"/>
      </w:pPr>
    </w:p>
    <w:p w:rsidR="009213D0" w:rsidRPr="009213D0" w:rsidRDefault="009213D0" w:rsidP="009213D0">
      <w:pPr>
        <w:spacing w:before="0" w:after="0"/>
        <w:jc w:val="both"/>
      </w:pPr>
      <w:r w:rsidRPr="009213D0">
        <w:t>Since August 2011, 7 social landlord competitions have been run, of which 5 have concluded with 3,763 renewable heating systems being installed in tenants’ homes via £10 million in grants to social landlords across Great Britain.</w:t>
      </w:r>
    </w:p>
    <w:p w:rsidR="009213D0" w:rsidRPr="009213D0" w:rsidRDefault="009213D0" w:rsidP="009213D0">
      <w:pPr>
        <w:spacing w:before="0" w:after="0"/>
        <w:jc w:val="both"/>
      </w:pPr>
    </w:p>
    <w:p w:rsidR="009213D0" w:rsidRPr="009213D0" w:rsidRDefault="009213D0" w:rsidP="008312D7">
      <w:pPr>
        <w:pStyle w:val="Heading2"/>
      </w:pPr>
      <w:bookmarkStart w:id="123" w:name="_Toc397698392"/>
      <w:bookmarkStart w:id="124" w:name="_Toc406514315"/>
      <w:r w:rsidRPr="009213D0">
        <w:t>Communities scheme</w:t>
      </w:r>
      <w:bookmarkEnd w:id="123"/>
      <w:bookmarkEnd w:id="124"/>
    </w:p>
    <w:p w:rsidR="009213D0" w:rsidRPr="009213D0" w:rsidRDefault="009213D0" w:rsidP="009213D0">
      <w:pPr>
        <w:spacing w:before="0" w:after="0"/>
        <w:jc w:val="both"/>
        <w:rPr>
          <w:szCs w:val="24"/>
        </w:rPr>
      </w:pPr>
    </w:p>
    <w:p w:rsidR="009213D0" w:rsidRPr="009213D0" w:rsidRDefault="009213D0" w:rsidP="009213D0">
      <w:pPr>
        <w:spacing w:before="0" w:after="0"/>
        <w:jc w:val="both"/>
        <w:rPr>
          <w:szCs w:val="24"/>
        </w:rPr>
      </w:pPr>
      <w:r w:rsidRPr="009213D0">
        <w:rPr>
          <w:szCs w:val="24"/>
        </w:rPr>
        <w:t xml:space="preserve">DECC launched the Renewable Heat Premium Payments Communities Scheme on 24 July 2012. The scheme was a funding mechanism to assist communities in England, Wales and Scotland to support domestic renewable heat installations in privately owned homes. </w:t>
      </w:r>
    </w:p>
    <w:p w:rsidR="009213D0" w:rsidRPr="009213D0" w:rsidRDefault="009213D0" w:rsidP="009213D0">
      <w:pPr>
        <w:spacing w:before="0" w:after="0" w:line="240" w:lineRule="auto"/>
        <w:ind w:left="720"/>
        <w:jc w:val="both"/>
        <w:rPr>
          <w:szCs w:val="24"/>
        </w:rPr>
      </w:pPr>
    </w:p>
    <w:p w:rsidR="009213D0" w:rsidRPr="009213D0" w:rsidRDefault="009213D0" w:rsidP="009213D0">
      <w:pPr>
        <w:spacing w:after="0" w:line="240" w:lineRule="auto"/>
        <w:jc w:val="both"/>
        <w:rPr>
          <w:szCs w:val="24"/>
        </w:rPr>
      </w:pPr>
      <w:r w:rsidRPr="009213D0">
        <w:rPr>
          <w:szCs w:val="24"/>
        </w:rPr>
        <w:t>Twenty eight community groups, representing 31 projects, received £910,809 in grant funding towards the cost of installing the renewable technology. From this, 365 renewable heating technologies were installed.</w:t>
      </w:r>
    </w:p>
    <w:p w:rsidR="009213D0" w:rsidRPr="009213D0" w:rsidRDefault="009213D0" w:rsidP="009213D0">
      <w:pPr>
        <w:spacing w:before="0" w:after="0"/>
        <w:outlineLvl w:val="1"/>
        <w:rPr>
          <w:b/>
          <w:color w:val="00AEEF"/>
        </w:rPr>
      </w:pPr>
    </w:p>
    <w:p w:rsidR="009213D0" w:rsidRPr="009213D0" w:rsidRDefault="009213D0" w:rsidP="009213D0">
      <w:pPr>
        <w:spacing w:before="0" w:after="0"/>
        <w:outlineLvl w:val="1"/>
        <w:rPr>
          <w:b/>
          <w:color w:val="00AEEF"/>
        </w:rPr>
      </w:pPr>
    </w:p>
    <w:p w:rsidR="009213D0" w:rsidRPr="009213D0" w:rsidRDefault="009213D0" w:rsidP="009213D0">
      <w:pPr>
        <w:spacing w:before="0" w:after="0"/>
        <w:outlineLvl w:val="1"/>
        <w:rPr>
          <w:b/>
          <w:color w:val="00AEEF"/>
        </w:rPr>
      </w:pPr>
    </w:p>
    <w:p w:rsidR="009213D0" w:rsidRPr="009213D0" w:rsidRDefault="009213D0" w:rsidP="008312D7">
      <w:pPr>
        <w:pStyle w:val="Heading2"/>
      </w:pPr>
      <w:bookmarkStart w:id="125" w:name="_Toc406514316"/>
      <w:r w:rsidRPr="009213D0">
        <w:lastRenderedPageBreak/>
        <w:t>Domestic RHI</w:t>
      </w:r>
      <w:bookmarkEnd w:id="125"/>
    </w:p>
    <w:p w:rsidR="009213D0" w:rsidRPr="009213D0" w:rsidRDefault="009213D0" w:rsidP="009213D0">
      <w:pPr>
        <w:spacing w:before="0" w:after="0"/>
        <w:outlineLvl w:val="1"/>
        <w:rPr>
          <w:b/>
          <w:color w:val="00AEEF"/>
        </w:rPr>
      </w:pPr>
    </w:p>
    <w:p w:rsidR="009213D0" w:rsidRPr="009213D0" w:rsidRDefault="009213D0" w:rsidP="009213D0">
      <w:pPr>
        <w:spacing w:before="0" w:after="0"/>
        <w:jc w:val="both"/>
        <w:rPr>
          <w:szCs w:val="24"/>
        </w:rPr>
      </w:pPr>
      <w:r w:rsidRPr="009213D0">
        <w:rPr>
          <w:szCs w:val="24"/>
        </w:rPr>
        <w:t xml:space="preserve">The domestic Renewable Heat Incentive (RHI) is a financial incentive scheme introduced to encourage a switch to renewable heating systems in the domestic sector. Launched on the 9 April 2014 in Great Britain, participants of the scheme receive tariff payments for the heat generated from an eligible renewable heating system which is heating a single dwelling. The scheme covers single domestic dwellings and is open to owner-occupiers, private landlords, social landlords and self-builders. There are four renewable heating technologies covered by the scheme - Air-source heat pumps; Ground and water-source heat pumps; Biomass-only boilers and biomass pellet stoves with integrated boilers; and </w:t>
      </w:r>
      <w:proofErr w:type="gramStart"/>
      <w:r w:rsidRPr="009213D0">
        <w:rPr>
          <w:szCs w:val="24"/>
        </w:rPr>
        <w:t>Solar</w:t>
      </w:r>
      <w:proofErr w:type="gramEnd"/>
      <w:r w:rsidRPr="009213D0">
        <w:rPr>
          <w:szCs w:val="24"/>
        </w:rPr>
        <w:t xml:space="preserve"> thermal panels. </w:t>
      </w:r>
    </w:p>
    <w:p w:rsidR="009213D0" w:rsidRPr="009213D0" w:rsidRDefault="009213D0" w:rsidP="009213D0">
      <w:pPr>
        <w:spacing w:before="0" w:after="0"/>
        <w:outlineLvl w:val="1"/>
        <w:rPr>
          <w:b/>
          <w:color w:val="00AEEF"/>
        </w:rPr>
      </w:pPr>
    </w:p>
    <w:p w:rsidR="00723015" w:rsidRPr="008312D7" w:rsidRDefault="00723015" w:rsidP="009213D0">
      <w:pPr>
        <w:spacing w:before="0" w:after="0"/>
        <w:outlineLvl w:val="1"/>
        <w:rPr>
          <w:szCs w:val="24"/>
        </w:rPr>
      </w:pPr>
      <w:r w:rsidRPr="00723015">
        <w:rPr>
          <w:szCs w:val="24"/>
        </w:rPr>
        <w:t>Up until the end of September 2014, 1,703 systems that had been installed after the launch of the domestic RHI scheme on 9 April 2014 had been accredited to the scheme.</w:t>
      </w:r>
    </w:p>
    <w:p w:rsidR="009213D0" w:rsidRPr="009213D0" w:rsidRDefault="009213D0" w:rsidP="008312D7">
      <w:pPr>
        <w:pStyle w:val="Heading2"/>
      </w:pPr>
      <w:bookmarkStart w:id="126" w:name="_Toc397698393"/>
      <w:bookmarkStart w:id="127" w:name="_Toc406514317"/>
      <w:r w:rsidRPr="009213D0">
        <w:t>Smart Meters</w:t>
      </w:r>
      <w:bookmarkEnd w:id="126"/>
      <w:bookmarkEnd w:id="127"/>
    </w:p>
    <w:p w:rsidR="009213D0" w:rsidRPr="009213D0" w:rsidRDefault="009213D0" w:rsidP="009213D0">
      <w:pPr>
        <w:spacing w:before="0" w:after="0" w:line="270" w:lineRule="atLeast"/>
        <w:jc w:val="both"/>
        <w:rPr>
          <w:szCs w:val="24"/>
        </w:rPr>
      </w:pPr>
    </w:p>
    <w:p w:rsidR="009213D0" w:rsidRPr="009213D0" w:rsidRDefault="009213D0" w:rsidP="009213D0">
      <w:pPr>
        <w:spacing w:before="0" w:after="0" w:line="270" w:lineRule="atLeast"/>
        <w:jc w:val="both"/>
        <w:rPr>
          <w:szCs w:val="24"/>
        </w:rPr>
      </w:pPr>
      <w:r w:rsidRPr="009213D0">
        <w:rPr>
          <w:szCs w:val="24"/>
        </w:rPr>
        <w:t>The rollout of smart meters</w:t>
      </w:r>
      <w:r w:rsidRPr="009213D0">
        <w:rPr>
          <w:szCs w:val="24"/>
          <w:vertAlign w:val="superscript"/>
        </w:rPr>
        <w:footnoteReference w:id="39"/>
      </w:r>
      <w:r w:rsidRPr="009213D0">
        <w:rPr>
          <w:szCs w:val="24"/>
        </w:rPr>
        <w:t xml:space="preserve"> is one of the largest and most complex engineering infrastructure Programmes within the EU. The strategic aim of the programme within Great Britain is to rollout over 50 million smart electricity and gas meters to all domestic households by 2020. This will impact approximately 30 million properties. </w:t>
      </w:r>
    </w:p>
    <w:p w:rsidR="009213D0" w:rsidRPr="009213D0" w:rsidRDefault="009213D0" w:rsidP="009213D0">
      <w:pPr>
        <w:spacing w:before="0" w:after="0" w:line="270" w:lineRule="atLeast"/>
        <w:jc w:val="both"/>
        <w:rPr>
          <w:szCs w:val="24"/>
        </w:rPr>
      </w:pPr>
    </w:p>
    <w:p w:rsidR="009213D0" w:rsidRPr="009213D0" w:rsidRDefault="009213D0" w:rsidP="009213D0">
      <w:pPr>
        <w:spacing w:before="0" w:after="0" w:line="270" w:lineRule="atLeast"/>
        <w:jc w:val="both"/>
        <w:rPr>
          <w:szCs w:val="24"/>
        </w:rPr>
      </w:pPr>
      <w:r w:rsidRPr="009213D0">
        <w:rPr>
          <w:szCs w:val="24"/>
        </w:rPr>
        <w:t>Smart meters are the next generation of gas and electricity meters and offer a range of intelligent functions. Consumers will have near real time information on their energy consumption to help them control and manage their energy use, save money and reduce emissions. Smart meters will also provide consumers with more accurate information and bring an end to estimated billing.</w:t>
      </w:r>
    </w:p>
    <w:p w:rsidR="009213D0" w:rsidRPr="009213D0" w:rsidRDefault="009213D0" w:rsidP="009213D0">
      <w:pPr>
        <w:spacing w:before="0" w:after="0" w:line="270" w:lineRule="atLeast"/>
        <w:jc w:val="both"/>
        <w:rPr>
          <w:szCs w:val="24"/>
        </w:rPr>
      </w:pPr>
    </w:p>
    <w:p w:rsidR="009213D0" w:rsidRPr="009213D0" w:rsidRDefault="009213D0" w:rsidP="009213D0">
      <w:pPr>
        <w:spacing w:before="0" w:after="0" w:line="270" w:lineRule="atLeast"/>
        <w:jc w:val="both"/>
        <w:rPr>
          <w:szCs w:val="24"/>
        </w:rPr>
      </w:pPr>
      <w:r w:rsidRPr="009213D0">
        <w:rPr>
          <w:szCs w:val="24"/>
        </w:rPr>
        <w:t xml:space="preserve">The Smart Metering Programme is currently in Foundation Stage, which began in March 2011. The Government is working with the energy industry, consumer groups and other stakeholders to put commercial and regulatory frameworks in place to support smart metering, trial and test systems, learn lessons from early installations and enhance the consumer experience. Most householders will then have smart meters installed by their energy company </w:t>
      </w:r>
      <w:r w:rsidR="00FB1E83">
        <w:rPr>
          <w:szCs w:val="24"/>
        </w:rPr>
        <w:t>in the period between 2016</w:t>
      </w:r>
      <w:r w:rsidRPr="009213D0">
        <w:rPr>
          <w:szCs w:val="24"/>
        </w:rPr>
        <w:t xml:space="preserve"> and 2020 during the Rollout Phase. Further information can be found on the gov.uk website.</w:t>
      </w:r>
    </w:p>
    <w:p w:rsidR="009213D0" w:rsidRPr="009213D0" w:rsidRDefault="009213D0" w:rsidP="009213D0">
      <w:pPr>
        <w:spacing w:before="0" w:after="0" w:line="270" w:lineRule="atLeast"/>
        <w:jc w:val="both"/>
        <w:rPr>
          <w:szCs w:val="24"/>
        </w:rPr>
      </w:pPr>
    </w:p>
    <w:p w:rsidR="009213D0" w:rsidRPr="009213D0" w:rsidRDefault="009213D0" w:rsidP="009213D0">
      <w:pPr>
        <w:spacing w:before="0" w:after="0" w:line="270" w:lineRule="atLeast"/>
        <w:jc w:val="both"/>
        <w:rPr>
          <w:szCs w:val="24"/>
        </w:rPr>
      </w:pPr>
      <w:r w:rsidRPr="009213D0">
        <w:rPr>
          <w:szCs w:val="24"/>
        </w:rPr>
        <w:t>Since the Foundation Stage began, 621,595 Smart gas and electricity meters have been installed in homes.</w:t>
      </w:r>
    </w:p>
    <w:p w:rsidR="009213D0" w:rsidRPr="009213D0" w:rsidRDefault="009213D0" w:rsidP="009213D0">
      <w:pPr>
        <w:spacing w:before="0" w:after="200" w:line="276" w:lineRule="auto"/>
        <w:rPr>
          <w:rFonts w:eastAsiaTheme="minorHAnsi"/>
          <w:szCs w:val="24"/>
        </w:rPr>
      </w:pPr>
    </w:p>
    <w:p w:rsidR="009213D0" w:rsidRPr="009213D0" w:rsidRDefault="009213D0" w:rsidP="009213D0">
      <w:pPr>
        <w:spacing w:before="0" w:after="0"/>
        <w:jc w:val="both"/>
        <w:rPr>
          <w:sz w:val="50"/>
        </w:rPr>
      </w:pPr>
    </w:p>
    <w:p w:rsidR="009213D0" w:rsidRDefault="009213D0" w:rsidP="009213D0">
      <w:pPr>
        <w:spacing w:before="0" w:after="0"/>
        <w:jc w:val="both"/>
        <w:rPr>
          <w:sz w:val="50"/>
        </w:rPr>
      </w:pPr>
    </w:p>
    <w:p w:rsidR="00B13311" w:rsidRPr="009213D0" w:rsidRDefault="00B13311" w:rsidP="009213D0">
      <w:pPr>
        <w:spacing w:before="0" w:after="0"/>
        <w:jc w:val="both"/>
        <w:rPr>
          <w:sz w:val="50"/>
        </w:rPr>
      </w:pPr>
    </w:p>
    <w:p w:rsidR="00F2050F" w:rsidRDefault="00F2050F" w:rsidP="00D92A01">
      <w:pPr>
        <w:spacing w:before="0" w:after="0"/>
        <w:jc w:val="both"/>
        <w:rPr>
          <w:sz w:val="50"/>
        </w:rPr>
      </w:pPr>
    </w:p>
    <w:p w:rsidR="00723015" w:rsidRDefault="00723015" w:rsidP="00D92A01">
      <w:pPr>
        <w:spacing w:before="0" w:after="0"/>
        <w:jc w:val="both"/>
        <w:rPr>
          <w:sz w:val="50"/>
        </w:rPr>
      </w:pPr>
    </w:p>
    <w:p w:rsidR="009213D0" w:rsidRDefault="009213D0" w:rsidP="00D92A01">
      <w:pPr>
        <w:spacing w:before="0" w:after="0"/>
        <w:jc w:val="both"/>
        <w:rPr>
          <w:sz w:val="50"/>
        </w:rPr>
      </w:pPr>
    </w:p>
    <w:p w:rsidR="009213D0" w:rsidRDefault="009213D0" w:rsidP="00D92A01">
      <w:pPr>
        <w:spacing w:before="0" w:after="0"/>
        <w:jc w:val="both"/>
        <w:rPr>
          <w:sz w:val="50"/>
        </w:rPr>
      </w:pPr>
    </w:p>
    <w:p w:rsidR="00F2050F" w:rsidRDefault="00F2050F" w:rsidP="00D92A01">
      <w:pPr>
        <w:spacing w:before="0" w:after="0"/>
        <w:jc w:val="both"/>
        <w:rPr>
          <w:sz w:val="50"/>
        </w:rPr>
      </w:pPr>
    </w:p>
    <w:tbl>
      <w:tblPr>
        <w:tblW w:w="10648" w:type="dxa"/>
        <w:tblInd w:w="93" w:type="dxa"/>
        <w:shd w:val="clear" w:color="auto" w:fill="FFFFFF" w:themeFill="background1"/>
        <w:tblLayout w:type="fixed"/>
        <w:tblLook w:val="04A0" w:firstRow="1" w:lastRow="0" w:firstColumn="1" w:lastColumn="0" w:noHBand="0" w:noVBand="1"/>
      </w:tblPr>
      <w:tblGrid>
        <w:gridCol w:w="2283"/>
        <w:gridCol w:w="1177"/>
        <w:gridCol w:w="1180"/>
        <w:gridCol w:w="1047"/>
        <w:gridCol w:w="93"/>
        <w:gridCol w:w="1384"/>
        <w:gridCol w:w="939"/>
        <w:gridCol w:w="161"/>
        <w:gridCol w:w="1109"/>
        <w:gridCol w:w="131"/>
        <w:gridCol w:w="1144"/>
      </w:tblGrid>
      <w:tr w:rsidR="00BB6C2C" w:rsidRPr="00BB6C2C" w:rsidTr="005647E4">
        <w:trPr>
          <w:trHeight w:val="300"/>
        </w:trPr>
        <w:tc>
          <w:tcPr>
            <w:tcW w:w="10648" w:type="dxa"/>
            <w:gridSpan w:val="11"/>
            <w:vMerge w:val="restart"/>
            <w:tcBorders>
              <w:top w:val="nil"/>
              <w:left w:val="nil"/>
              <w:bottom w:val="nil"/>
              <w:right w:val="nil"/>
            </w:tcBorders>
            <w:shd w:val="clear" w:color="auto" w:fill="FFFFFF" w:themeFill="background1"/>
            <w:vAlign w:val="bottom"/>
            <w:hideMark/>
          </w:tcPr>
          <w:p w:rsidR="00BB6C2C" w:rsidRPr="008A6D7F" w:rsidRDefault="00BB6C2C" w:rsidP="00BB6C2C">
            <w:pPr>
              <w:spacing w:before="0" w:after="0" w:line="240" w:lineRule="auto"/>
              <w:rPr>
                <w:b/>
                <w:bCs/>
                <w:color w:val="000000"/>
                <w:sz w:val="22"/>
                <w:szCs w:val="22"/>
                <w:lang w:eastAsia="en-GB"/>
              </w:rPr>
            </w:pPr>
            <w:bookmarkStart w:id="128" w:name="TableC1"/>
            <w:r w:rsidRPr="008A6D7F">
              <w:rPr>
                <w:b/>
                <w:bCs/>
                <w:color w:val="000000"/>
                <w:sz w:val="22"/>
                <w:szCs w:val="22"/>
                <w:lang w:eastAsia="en-GB"/>
              </w:rPr>
              <w:t>Table C1:</w:t>
            </w:r>
            <w:bookmarkEnd w:id="128"/>
            <w:r w:rsidRPr="008A6D7F">
              <w:rPr>
                <w:b/>
                <w:bCs/>
                <w:color w:val="000000"/>
                <w:sz w:val="22"/>
                <w:szCs w:val="22"/>
                <w:lang w:eastAsia="en-GB"/>
              </w:rPr>
              <w:t xml:space="preserve"> Provisional number of individual households that have had measures installed through ECO, Cashback, using Green Deal Finance, GDHIF, benefitting from Feed-in Tariffs, Renewable Heat Premium Payment, Domestic Renewable Heat Incentive, by quarter of installation, from January 2013 to September 2014</w:t>
            </w:r>
          </w:p>
        </w:tc>
      </w:tr>
      <w:tr w:rsidR="00BB6C2C" w:rsidRPr="00BB6C2C" w:rsidTr="005647E4">
        <w:trPr>
          <w:trHeight w:val="645"/>
        </w:trPr>
        <w:tc>
          <w:tcPr>
            <w:tcW w:w="10648" w:type="dxa"/>
            <w:gridSpan w:val="11"/>
            <w:vMerge/>
            <w:tcBorders>
              <w:top w:val="nil"/>
              <w:left w:val="nil"/>
              <w:bottom w:val="nil"/>
              <w:right w:val="nil"/>
            </w:tcBorders>
            <w:shd w:val="clear" w:color="auto" w:fill="FFFFFF" w:themeFill="background1"/>
            <w:vAlign w:val="center"/>
            <w:hideMark/>
          </w:tcPr>
          <w:p w:rsidR="00BB6C2C" w:rsidRPr="00BB6C2C" w:rsidRDefault="00BB6C2C" w:rsidP="00BB6C2C">
            <w:pPr>
              <w:spacing w:before="0" w:after="0" w:line="240" w:lineRule="auto"/>
              <w:rPr>
                <w:rFonts w:ascii="Calibri" w:hAnsi="Calibri" w:cs="Calibri"/>
                <w:b/>
                <w:bCs/>
                <w:color w:val="000000"/>
                <w:sz w:val="22"/>
                <w:szCs w:val="22"/>
                <w:lang w:eastAsia="en-GB"/>
              </w:rPr>
            </w:pPr>
          </w:p>
        </w:tc>
      </w:tr>
      <w:tr w:rsidR="00BB6C2C" w:rsidRPr="00BB6C2C" w:rsidTr="005647E4">
        <w:trPr>
          <w:trHeight w:val="315"/>
        </w:trPr>
        <w:tc>
          <w:tcPr>
            <w:tcW w:w="2283" w:type="dxa"/>
            <w:tcBorders>
              <w:top w:val="nil"/>
              <w:left w:val="nil"/>
              <w:bottom w:val="nil"/>
              <w:right w:val="nil"/>
            </w:tcBorders>
            <w:shd w:val="clear" w:color="auto" w:fill="FFFFFF" w:themeFill="background1"/>
            <w:noWrap/>
            <w:vAlign w:val="bottom"/>
            <w:hideMark/>
          </w:tcPr>
          <w:p w:rsidR="00BB6C2C" w:rsidRPr="00BB6C2C" w:rsidRDefault="00BB6C2C" w:rsidP="00BB6C2C">
            <w:pPr>
              <w:spacing w:before="0" w:after="0" w:line="240" w:lineRule="auto"/>
              <w:rPr>
                <w:rFonts w:ascii="Calibri" w:hAnsi="Calibri" w:cs="Calibri"/>
                <w:color w:val="000000"/>
                <w:sz w:val="22"/>
                <w:szCs w:val="22"/>
                <w:lang w:eastAsia="en-GB"/>
              </w:rPr>
            </w:pPr>
            <w:r w:rsidRPr="00BB6C2C">
              <w:rPr>
                <w:rFonts w:ascii="Calibri" w:hAnsi="Calibri" w:cs="Calibri"/>
                <w:color w:val="000000"/>
                <w:sz w:val="22"/>
                <w:szCs w:val="22"/>
                <w:lang w:eastAsia="en-GB"/>
              </w:rPr>
              <w:t> </w:t>
            </w:r>
          </w:p>
        </w:tc>
        <w:tc>
          <w:tcPr>
            <w:tcW w:w="1177" w:type="dxa"/>
            <w:tcBorders>
              <w:top w:val="nil"/>
              <w:left w:val="nil"/>
              <w:bottom w:val="nil"/>
              <w:right w:val="nil"/>
            </w:tcBorders>
            <w:shd w:val="clear" w:color="auto" w:fill="FFFFFF" w:themeFill="background1"/>
            <w:noWrap/>
            <w:vAlign w:val="bottom"/>
            <w:hideMark/>
          </w:tcPr>
          <w:p w:rsidR="00BB6C2C" w:rsidRPr="00BB6C2C" w:rsidRDefault="00BB6C2C" w:rsidP="00BB6C2C">
            <w:pPr>
              <w:spacing w:before="0" w:after="0" w:line="240" w:lineRule="auto"/>
              <w:rPr>
                <w:rFonts w:ascii="Calibri" w:hAnsi="Calibri" w:cs="Calibri"/>
                <w:color w:val="000000"/>
                <w:sz w:val="22"/>
                <w:szCs w:val="22"/>
                <w:lang w:eastAsia="en-GB"/>
              </w:rPr>
            </w:pPr>
            <w:r w:rsidRPr="00BB6C2C">
              <w:rPr>
                <w:rFonts w:ascii="Calibri" w:hAnsi="Calibri" w:cs="Calibri"/>
                <w:color w:val="000000"/>
                <w:sz w:val="22"/>
                <w:szCs w:val="22"/>
                <w:lang w:eastAsia="en-GB"/>
              </w:rPr>
              <w:t> </w:t>
            </w:r>
          </w:p>
        </w:tc>
        <w:tc>
          <w:tcPr>
            <w:tcW w:w="1180" w:type="dxa"/>
            <w:tcBorders>
              <w:top w:val="nil"/>
              <w:left w:val="nil"/>
              <w:bottom w:val="nil"/>
              <w:right w:val="nil"/>
            </w:tcBorders>
            <w:shd w:val="clear" w:color="auto" w:fill="FFFFFF" w:themeFill="background1"/>
            <w:noWrap/>
            <w:vAlign w:val="bottom"/>
            <w:hideMark/>
          </w:tcPr>
          <w:p w:rsidR="00BB6C2C" w:rsidRPr="00BB6C2C" w:rsidRDefault="00BB6C2C" w:rsidP="00BB6C2C">
            <w:pPr>
              <w:spacing w:before="0" w:after="0" w:line="240" w:lineRule="auto"/>
              <w:rPr>
                <w:rFonts w:ascii="Calibri" w:hAnsi="Calibri" w:cs="Calibri"/>
                <w:color w:val="000000"/>
                <w:sz w:val="22"/>
                <w:szCs w:val="22"/>
                <w:lang w:eastAsia="en-GB"/>
              </w:rPr>
            </w:pPr>
            <w:r w:rsidRPr="00BB6C2C">
              <w:rPr>
                <w:rFonts w:ascii="Calibri" w:hAnsi="Calibri" w:cs="Calibri"/>
                <w:color w:val="000000"/>
                <w:sz w:val="22"/>
                <w:szCs w:val="22"/>
                <w:lang w:eastAsia="en-GB"/>
              </w:rPr>
              <w:t> </w:t>
            </w:r>
          </w:p>
        </w:tc>
        <w:tc>
          <w:tcPr>
            <w:tcW w:w="1140" w:type="dxa"/>
            <w:gridSpan w:val="2"/>
            <w:tcBorders>
              <w:top w:val="nil"/>
              <w:left w:val="nil"/>
              <w:bottom w:val="nil"/>
              <w:right w:val="nil"/>
            </w:tcBorders>
            <w:shd w:val="clear" w:color="auto" w:fill="FFFFFF" w:themeFill="background1"/>
            <w:noWrap/>
            <w:vAlign w:val="bottom"/>
            <w:hideMark/>
          </w:tcPr>
          <w:p w:rsidR="00BB6C2C" w:rsidRPr="00BB6C2C" w:rsidRDefault="00BB6C2C" w:rsidP="00BB6C2C">
            <w:pPr>
              <w:spacing w:before="0" w:after="0" w:line="240" w:lineRule="auto"/>
              <w:rPr>
                <w:rFonts w:ascii="Calibri" w:hAnsi="Calibri" w:cs="Calibri"/>
                <w:color w:val="000000"/>
                <w:sz w:val="22"/>
                <w:szCs w:val="22"/>
                <w:lang w:eastAsia="en-GB"/>
              </w:rPr>
            </w:pPr>
            <w:r w:rsidRPr="00BB6C2C">
              <w:rPr>
                <w:rFonts w:ascii="Calibri" w:hAnsi="Calibri" w:cs="Calibri"/>
                <w:color w:val="000000"/>
                <w:sz w:val="22"/>
                <w:szCs w:val="22"/>
                <w:lang w:eastAsia="en-GB"/>
              </w:rPr>
              <w:t> </w:t>
            </w:r>
          </w:p>
        </w:tc>
        <w:tc>
          <w:tcPr>
            <w:tcW w:w="1384" w:type="dxa"/>
            <w:tcBorders>
              <w:top w:val="nil"/>
              <w:left w:val="nil"/>
              <w:bottom w:val="nil"/>
              <w:right w:val="nil"/>
            </w:tcBorders>
            <w:shd w:val="clear" w:color="auto" w:fill="FFFFFF" w:themeFill="background1"/>
            <w:noWrap/>
            <w:vAlign w:val="bottom"/>
            <w:hideMark/>
          </w:tcPr>
          <w:p w:rsidR="00BB6C2C" w:rsidRPr="00BB6C2C" w:rsidRDefault="00BB6C2C" w:rsidP="00BB6C2C">
            <w:pPr>
              <w:spacing w:before="0" w:after="0" w:line="240" w:lineRule="auto"/>
              <w:rPr>
                <w:rFonts w:ascii="Calibri" w:hAnsi="Calibri" w:cs="Calibri"/>
                <w:color w:val="000000"/>
                <w:sz w:val="22"/>
                <w:szCs w:val="22"/>
                <w:lang w:eastAsia="en-GB"/>
              </w:rPr>
            </w:pPr>
            <w:r w:rsidRPr="00BB6C2C">
              <w:rPr>
                <w:rFonts w:ascii="Calibri" w:hAnsi="Calibri" w:cs="Calibri"/>
                <w:color w:val="000000"/>
                <w:sz w:val="22"/>
                <w:szCs w:val="22"/>
                <w:lang w:eastAsia="en-GB"/>
              </w:rPr>
              <w:t> </w:t>
            </w:r>
          </w:p>
        </w:tc>
        <w:tc>
          <w:tcPr>
            <w:tcW w:w="1100" w:type="dxa"/>
            <w:gridSpan w:val="2"/>
            <w:tcBorders>
              <w:top w:val="nil"/>
              <w:left w:val="nil"/>
              <w:bottom w:val="nil"/>
              <w:right w:val="nil"/>
            </w:tcBorders>
            <w:shd w:val="clear" w:color="auto" w:fill="FFFFFF" w:themeFill="background1"/>
            <w:noWrap/>
            <w:vAlign w:val="bottom"/>
            <w:hideMark/>
          </w:tcPr>
          <w:p w:rsidR="00BB6C2C" w:rsidRPr="00BB6C2C" w:rsidRDefault="00BB6C2C" w:rsidP="00BB6C2C">
            <w:pPr>
              <w:spacing w:before="0" w:after="0" w:line="240" w:lineRule="auto"/>
              <w:rPr>
                <w:rFonts w:ascii="Calibri" w:hAnsi="Calibri" w:cs="Calibri"/>
                <w:color w:val="000000"/>
                <w:sz w:val="22"/>
                <w:szCs w:val="22"/>
                <w:lang w:eastAsia="en-GB"/>
              </w:rPr>
            </w:pPr>
            <w:r w:rsidRPr="00BB6C2C">
              <w:rPr>
                <w:rFonts w:ascii="Calibri" w:hAnsi="Calibri" w:cs="Calibri"/>
                <w:color w:val="000000"/>
                <w:sz w:val="22"/>
                <w:szCs w:val="22"/>
                <w:lang w:eastAsia="en-GB"/>
              </w:rPr>
              <w:t> </w:t>
            </w:r>
          </w:p>
        </w:tc>
        <w:tc>
          <w:tcPr>
            <w:tcW w:w="1240" w:type="dxa"/>
            <w:gridSpan w:val="2"/>
            <w:tcBorders>
              <w:top w:val="nil"/>
              <w:left w:val="nil"/>
              <w:bottom w:val="nil"/>
              <w:right w:val="nil"/>
            </w:tcBorders>
            <w:shd w:val="clear" w:color="auto" w:fill="FFFFFF" w:themeFill="background1"/>
            <w:noWrap/>
            <w:vAlign w:val="bottom"/>
            <w:hideMark/>
          </w:tcPr>
          <w:p w:rsidR="00BB6C2C" w:rsidRPr="00BB6C2C" w:rsidRDefault="00BB6C2C" w:rsidP="00BB6C2C">
            <w:pPr>
              <w:spacing w:before="0" w:after="0" w:line="240" w:lineRule="auto"/>
              <w:rPr>
                <w:rFonts w:ascii="Calibri" w:hAnsi="Calibri" w:cs="Calibri"/>
                <w:color w:val="000000"/>
                <w:sz w:val="22"/>
                <w:szCs w:val="22"/>
                <w:lang w:eastAsia="en-GB"/>
              </w:rPr>
            </w:pPr>
            <w:r w:rsidRPr="00BB6C2C">
              <w:rPr>
                <w:rFonts w:ascii="Calibri" w:hAnsi="Calibri" w:cs="Calibri"/>
                <w:color w:val="000000"/>
                <w:sz w:val="22"/>
                <w:szCs w:val="22"/>
                <w:lang w:eastAsia="en-GB"/>
              </w:rPr>
              <w:t> </w:t>
            </w:r>
          </w:p>
        </w:tc>
        <w:tc>
          <w:tcPr>
            <w:tcW w:w="1144" w:type="dxa"/>
            <w:tcBorders>
              <w:top w:val="nil"/>
              <w:left w:val="nil"/>
              <w:bottom w:val="nil"/>
              <w:right w:val="nil"/>
            </w:tcBorders>
            <w:shd w:val="clear" w:color="auto" w:fill="FFFFFF" w:themeFill="background1"/>
            <w:noWrap/>
            <w:vAlign w:val="bottom"/>
            <w:hideMark/>
          </w:tcPr>
          <w:p w:rsidR="00BB6C2C" w:rsidRPr="00BB6C2C" w:rsidRDefault="00BB6C2C" w:rsidP="00BB6C2C">
            <w:pPr>
              <w:spacing w:before="0" w:after="0" w:line="240" w:lineRule="auto"/>
              <w:rPr>
                <w:rFonts w:ascii="Calibri" w:hAnsi="Calibri" w:cs="Calibri"/>
                <w:color w:val="000000"/>
                <w:sz w:val="22"/>
                <w:szCs w:val="22"/>
                <w:lang w:eastAsia="en-GB"/>
              </w:rPr>
            </w:pPr>
            <w:r w:rsidRPr="00BB6C2C">
              <w:rPr>
                <w:rFonts w:ascii="Calibri" w:hAnsi="Calibri" w:cs="Calibri"/>
                <w:color w:val="000000"/>
                <w:sz w:val="22"/>
                <w:szCs w:val="22"/>
                <w:lang w:eastAsia="en-GB"/>
              </w:rPr>
              <w:t> </w:t>
            </w:r>
          </w:p>
        </w:tc>
      </w:tr>
      <w:tr w:rsidR="00BB6C2C" w:rsidRPr="00BB6C2C" w:rsidTr="005647E4">
        <w:trPr>
          <w:trHeight w:val="315"/>
        </w:trPr>
        <w:tc>
          <w:tcPr>
            <w:tcW w:w="2283" w:type="dxa"/>
            <w:tcBorders>
              <w:top w:val="single" w:sz="8" w:space="0" w:color="auto"/>
              <w:left w:val="nil"/>
              <w:bottom w:val="nil"/>
              <w:right w:val="nil"/>
            </w:tcBorders>
            <w:shd w:val="clear" w:color="auto" w:fill="FFFFFF" w:themeFill="background1"/>
            <w:noWrap/>
            <w:vAlign w:val="center"/>
            <w:hideMark/>
          </w:tcPr>
          <w:p w:rsidR="00BB6C2C" w:rsidRPr="00BB6C2C" w:rsidRDefault="00BB6C2C" w:rsidP="00BB6C2C">
            <w:pPr>
              <w:spacing w:before="0" w:after="0" w:line="240" w:lineRule="auto"/>
              <w:rPr>
                <w:color w:val="000000"/>
                <w:sz w:val="20"/>
                <w:lang w:eastAsia="en-GB"/>
              </w:rPr>
            </w:pPr>
            <w:r w:rsidRPr="00BB6C2C">
              <w:rPr>
                <w:color w:val="000000"/>
                <w:sz w:val="20"/>
                <w:lang w:eastAsia="en-GB"/>
              </w:rPr>
              <w:t> </w:t>
            </w:r>
          </w:p>
        </w:tc>
        <w:tc>
          <w:tcPr>
            <w:tcW w:w="8365" w:type="dxa"/>
            <w:gridSpan w:val="10"/>
            <w:tcBorders>
              <w:top w:val="single" w:sz="8" w:space="0" w:color="auto"/>
              <w:left w:val="nil"/>
              <w:bottom w:val="single" w:sz="8" w:space="0" w:color="auto"/>
              <w:right w:val="nil"/>
            </w:tcBorders>
            <w:shd w:val="clear" w:color="auto" w:fill="FFFFFF" w:themeFill="background1"/>
            <w:noWrap/>
            <w:vAlign w:val="center"/>
            <w:hideMark/>
          </w:tcPr>
          <w:p w:rsidR="00BB6C2C" w:rsidRPr="00BB6C2C" w:rsidRDefault="00BB6C2C" w:rsidP="00BB6C2C">
            <w:pPr>
              <w:spacing w:before="0" w:after="0" w:line="240" w:lineRule="auto"/>
              <w:jc w:val="center"/>
              <w:rPr>
                <w:color w:val="000000"/>
                <w:sz w:val="20"/>
                <w:lang w:eastAsia="en-GB"/>
              </w:rPr>
            </w:pPr>
            <w:r w:rsidRPr="00BB6C2C">
              <w:rPr>
                <w:color w:val="000000"/>
                <w:sz w:val="20"/>
                <w:lang w:eastAsia="en-GB"/>
              </w:rPr>
              <w:t>Delivery mechanism</w:t>
            </w:r>
          </w:p>
        </w:tc>
      </w:tr>
      <w:tr w:rsidR="00BB6C2C" w:rsidRPr="00BB6C2C" w:rsidTr="005647E4">
        <w:trPr>
          <w:trHeight w:val="300"/>
        </w:trPr>
        <w:tc>
          <w:tcPr>
            <w:tcW w:w="2283" w:type="dxa"/>
            <w:vMerge w:val="restart"/>
            <w:tcBorders>
              <w:top w:val="nil"/>
              <w:left w:val="nil"/>
              <w:bottom w:val="single" w:sz="8" w:space="0" w:color="000000"/>
              <w:right w:val="nil"/>
            </w:tcBorders>
            <w:shd w:val="clear" w:color="auto" w:fill="FFFFFF" w:themeFill="background1"/>
            <w:vAlign w:val="center"/>
            <w:hideMark/>
          </w:tcPr>
          <w:p w:rsidR="00BB6C2C" w:rsidRPr="00BB6C2C" w:rsidRDefault="00BB6C2C" w:rsidP="00BB6C2C">
            <w:pPr>
              <w:spacing w:before="0" w:after="0" w:line="240" w:lineRule="auto"/>
              <w:rPr>
                <w:color w:val="000000"/>
                <w:sz w:val="20"/>
                <w:lang w:eastAsia="en-GB"/>
              </w:rPr>
            </w:pPr>
            <w:r w:rsidRPr="00BB6C2C">
              <w:rPr>
                <w:color w:val="000000"/>
                <w:sz w:val="20"/>
                <w:lang w:eastAsia="en-GB"/>
              </w:rPr>
              <w:t>Installation quarter</w:t>
            </w:r>
            <w:r w:rsidRPr="00BB6C2C">
              <w:rPr>
                <w:color w:val="000000"/>
                <w:sz w:val="20"/>
                <w:vertAlign w:val="superscript"/>
                <w:lang w:eastAsia="en-GB"/>
              </w:rPr>
              <w:t>1</w:t>
            </w:r>
          </w:p>
        </w:tc>
        <w:tc>
          <w:tcPr>
            <w:tcW w:w="1177" w:type="dxa"/>
            <w:vMerge w:val="restart"/>
            <w:tcBorders>
              <w:top w:val="nil"/>
              <w:left w:val="nil"/>
              <w:bottom w:val="single" w:sz="8" w:space="0" w:color="000000"/>
              <w:right w:val="nil"/>
            </w:tcBorders>
            <w:shd w:val="clear" w:color="auto" w:fill="FFFFFF" w:themeFill="background1"/>
            <w:vAlign w:val="center"/>
            <w:hideMark/>
          </w:tcPr>
          <w:p w:rsidR="00BB6C2C" w:rsidRPr="00BB6C2C" w:rsidRDefault="00BB6C2C" w:rsidP="00BB6C2C">
            <w:pPr>
              <w:spacing w:before="0" w:after="0" w:line="240" w:lineRule="auto"/>
              <w:jc w:val="right"/>
              <w:rPr>
                <w:color w:val="000000"/>
                <w:sz w:val="20"/>
                <w:lang w:eastAsia="en-GB"/>
              </w:rPr>
            </w:pPr>
            <w:r w:rsidRPr="00BB6C2C">
              <w:rPr>
                <w:color w:val="000000"/>
                <w:sz w:val="20"/>
                <w:lang w:eastAsia="en-GB"/>
              </w:rPr>
              <w:t>ECO</w:t>
            </w:r>
            <w:r w:rsidRPr="00BB6C2C">
              <w:rPr>
                <w:color w:val="000000"/>
                <w:sz w:val="20"/>
                <w:vertAlign w:val="superscript"/>
                <w:lang w:eastAsia="en-GB"/>
              </w:rPr>
              <w:t>2</w:t>
            </w:r>
          </w:p>
        </w:tc>
        <w:tc>
          <w:tcPr>
            <w:tcW w:w="1180" w:type="dxa"/>
            <w:vMerge w:val="restart"/>
            <w:tcBorders>
              <w:top w:val="nil"/>
              <w:left w:val="nil"/>
              <w:bottom w:val="single" w:sz="8" w:space="0" w:color="000000"/>
              <w:right w:val="nil"/>
            </w:tcBorders>
            <w:shd w:val="clear" w:color="auto" w:fill="FFFFFF" w:themeFill="background1"/>
            <w:vAlign w:val="center"/>
            <w:hideMark/>
          </w:tcPr>
          <w:p w:rsidR="00BB6C2C" w:rsidRPr="00BB6C2C" w:rsidRDefault="00BB6C2C" w:rsidP="00BB6C2C">
            <w:pPr>
              <w:spacing w:before="0" w:after="0" w:line="240" w:lineRule="auto"/>
              <w:jc w:val="right"/>
              <w:rPr>
                <w:color w:val="000000"/>
                <w:sz w:val="20"/>
                <w:lang w:eastAsia="en-GB"/>
              </w:rPr>
            </w:pPr>
            <w:r w:rsidRPr="00BB6C2C">
              <w:rPr>
                <w:color w:val="000000"/>
                <w:sz w:val="20"/>
                <w:lang w:eastAsia="en-GB"/>
              </w:rPr>
              <w:t>Cashback</w:t>
            </w:r>
            <w:r w:rsidRPr="00BB6C2C">
              <w:rPr>
                <w:color w:val="000000"/>
                <w:sz w:val="20"/>
                <w:vertAlign w:val="superscript"/>
                <w:lang w:eastAsia="en-GB"/>
              </w:rPr>
              <w:t xml:space="preserve">3 </w:t>
            </w:r>
          </w:p>
        </w:tc>
        <w:tc>
          <w:tcPr>
            <w:tcW w:w="1047" w:type="dxa"/>
            <w:vMerge w:val="restart"/>
            <w:tcBorders>
              <w:top w:val="nil"/>
              <w:left w:val="nil"/>
              <w:bottom w:val="single" w:sz="8" w:space="0" w:color="000000"/>
              <w:right w:val="nil"/>
            </w:tcBorders>
            <w:shd w:val="clear" w:color="auto" w:fill="FFFFFF" w:themeFill="background1"/>
            <w:vAlign w:val="center"/>
            <w:hideMark/>
          </w:tcPr>
          <w:p w:rsidR="00BB6C2C" w:rsidRPr="00BB6C2C" w:rsidRDefault="00BB6C2C" w:rsidP="00BB6C2C">
            <w:pPr>
              <w:spacing w:before="0" w:after="0" w:line="240" w:lineRule="auto"/>
              <w:jc w:val="right"/>
              <w:rPr>
                <w:color w:val="000000"/>
                <w:sz w:val="20"/>
                <w:lang w:eastAsia="en-GB"/>
              </w:rPr>
            </w:pPr>
            <w:r w:rsidRPr="00BB6C2C">
              <w:rPr>
                <w:color w:val="000000"/>
                <w:sz w:val="20"/>
                <w:lang w:eastAsia="en-GB"/>
              </w:rPr>
              <w:t>Green Deal Plans</w:t>
            </w:r>
          </w:p>
        </w:tc>
        <w:tc>
          <w:tcPr>
            <w:tcW w:w="1477" w:type="dxa"/>
            <w:gridSpan w:val="2"/>
            <w:vMerge w:val="restart"/>
            <w:tcBorders>
              <w:top w:val="nil"/>
              <w:left w:val="nil"/>
              <w:bottom w:val="single" w:sz="8" w:space="0" w:color="000000"/>
              <w:right w:val="nil"/>
            </w:tcBorders>
            <w:shd w:val="clear" w:color="auto" w:fill="FFFFFF" w:themeFill="background1"/>
            <w:vAlign w:val="center"/>
            <w:hideMark/>
          </w:tcPr>
          <w:p w:rsidR="00BB6C2C" w:rsidRPr="00BB6C2C" w:rsidRDefault="00BB6C2C" w:rsidP="005647E4">
            <w:pPr>
              <w:spacing w:before="0" w:after="0" w:line="240" w:lineRule="auto"/>
              <w:jc w:val="right"/>
              <w:rPr>
                <w:color w:val="000000"/>
                <w:sz w:val="20"/>
                <w:lang w:eastAsia="en-GB"/>
              </w:rPr>
            </w:pPr>
            <w:r w:rsidRPr="00BB6C2C">
              <w:rPr>
                <w:color w:val="000000"/>
                <w:sz w:val="20"/>
                <w:lang w:eastAsia="en-GB"/>
              </w:rPr>
              <w:t>Green Deal Home Improvement Fund</w:t>
            </w:r>
            <w:r w:rsidR="008A6D7F">
              <w:rPr>
                <w:color w:val="000000"/>
                <w:sz w:val="20"/>
                <w:vertAlign w:val="superscript"/>
                <w:lang w:eastAsia="en-GB"/>
              </w:rPr>
              <w:t>4</w:t>
            </w:r>
          </w:p>
        </w:tc>
        <w:tc>
          <w:tcPr>
            <w:tcW w:w="939" w:type="dxa"/>
            <w:vMerge w:val="restart"/>
            <w:tcBorders>
              <w:top w:val="nil"/>
              <w:left w:val="nil"/>
              <w:bottom w:val="single" w:sz="8" w:space="0" w:color="000000"/>
              <w:right w:val="nil"/>
            </w:tcBorders>
            <w:shd w:val="clear" w:color="auto" w:fill="FFFFFF" w:themeFill="background1"/>
            <w:vAlign w:val="center"/>
            <w:hideMark/>
          </w:tcPr>
          <w:p w:rsidR="00BB6C2C" w:rsidRPr="00BB6C2C" w:rsidRDefault="00BB6C2C" w:rsidP="00BB6C2C">
            <w:pPr>
              <w:spacing w:before="0" w:after="0" w:line="240" w:lineRule="auto"/>
              <w:jc w:val="right"/>
              <w:rPr>
                <w:color w:val="000000"/>
                <w:sz w:val="20"/>
                <w:lang w:eastAsia="en-GB"/>
              </w:rPr>
            </w:pPr>
            <w:r w:rsidRPr="00BB6C2C">
              <w:rPr>
                <w:color w:val="000000"/>
                <w:sz w:val="20"/>
                <w:lang w:eastAsia="en-GB"/>
              </w:rPr>
              <w:t>Feed in Tariffs</w:t>
            </w:r>
            <w:r w:rsidRPr="00BB6C2C">
              <w:rPr>
                <w:color w:val="000000"/>
                <w:sz w:val="20"/>
                <w:vertAlign w:val="superscript"/>
                <w:lang w:eastAsia="en-GB"/>
              </w:rPr>
              <w:t>5</w:t>
            </w:r>
          </w:p>
        </w:tc>
        <w:tc>
          <w:tcPr>
            <w:tcW w:w="1270" w:type="dxa"/>
            <w:gridSpan w:val="2"/>
            <w:vMerge w:val="restart"/>
            <w:tcBorders>
              <w:top w:val="nil"/>
              <w:left w:val="nil"/>
              <w:bottom w:val="single" w:sz="8" w:space="0" w:color="000000"/>
              <w:right w:val="nil"/>
            </w:tcBorders>
            <w:shd w:val="clear" w:color="auto" w:fill="FFFFFF" w:themeFill="background1"/>
            <w:vAlign w:val="center"/>
            <w:hideMark/>
          </w:tcPr>
          <w:p w:rsidR="00BB6C2C" w:rsidRPr="00BB6C2C" w:rsidRDefault="00BB6C2C" w:rsidP="00BB6C2C">
            <w:pPr>
              <w:spacing w:before="0" w:after="0" w:line="240" w:lineRule="auto"/>
              <w:jc w:val="right"/>
              <w:rPr>
                <w:color w:val="000000"/>
                <w:sz w:val="20"/>
                <w:lang w:eastAsia="en-GB"/>
              </w:rPr>
            </w:pPr>
            <w:r w:rsidRPr="00BB6C2C">
              <w:rPr>
                <w:color w:val="000000"/>
                <w:sz w:val="20"/>
                <w:lang w:eastAsia="en-GB"/>
              </w:rPr>
              <w:t>Renewable Heat Premium Payment</w:t>
            </w:r>
            <w:r w:rsidRPr="00BB6C2C">
              <w:rPr>
                <w:color w:val="000000"/>
                <w:sz w:val="20"/>
                <w:vertAlign w:val="superscript"/>
                <w:lang w:eastAsia="en-GB"/>
              </w:rPr>
              <w:t>6</w:t>
            </w:r>
          </w:p>
        </w:tc>
        <w:tc>
          <w:tcPr>
            <w:tcW w:w="1275" w:type="dxa"/>
            <w:gridSpan w:val="2"/>
            <w:vMerge w:val="restart"/>
            <w:tcBorders>
              <w:top w:val="nil"/>
              <w:left w:val="nil"/>
              <w:bottom w:val="single" w:sz="8" w:space="0" w:color="000000"/>
              <w:right w:val="nil"/>
            </w:tcBorders>
            <w:shd w:val="clear" w:color="auto" w:fill="FFFFFF" w:themeFill="background1"/>
            <w:vAlign w:val="center"/>
            <w:hideMark/>
          </w:tcPr>
          <w:p w:rsidR="00BB6C2C" w:rsidRPr="00BB6C2C" w:rsidRDefault="00BB6C2C" w:rsidP="00BB6C2C">
            <w:pPr>
              <w:spacing w:before="0" w:after="0" w:line="240" w:lineRule="auto"/>
              <w:jc w:val="right"/>
              <w:rPr>
                <w:color w:val="000000"/>
                <w:sz w:val="20"/>
                <w:lang w:eastAsia="en-GB"/>
              </w:rPr>
            </w:pPr>
            <w:r w:rsidRPr="00BB6C2C">
              <w:rPr>
                <w:color w:val="000000"/>
                <w:sz w:val="20"/>
                <w:lang w:eastAsia="en-GB"/>
              </w:rPr>
              <w:t>Domestic Renewable Heat Incentive</w:t>
            </w:r>
            <w:r w:rsidRPr="00BB6C2C">
              <w:rPr>
                <w:color w:val="000000"/>
                <w:sz w:val="20"/>
                <w:vertAlign w:val="superscript"/>
                <w:lang w:eastAsia="en-GB"/>
              </w:rPr>
              <w:t>7</w:t>
            </w:r>
          </w:p>
        </w:tc>
      </w:tr>
      <w:tr w:rsidR="00BB6C2C" w:rsidRPr="00BB6C2C" w:rsidTr="005647E4">
        <w:trPr>
          <w:trHeight w:val="757"/>
        </w:trPr>
        <w:tc>
          <w:tcPr>
            <w:tcW w:w="2283" w:type="dxa"/>
            <w:vMerge/>
            <w:tcBorders>
              <w:top w:val="nil"/>
              <w:left w:val="nil"/>
              <w:bottom w:val="single" w:sz="8" w:space="0" w:color="000000"/>
              <w:right w:val="nil"/>
            </w:tcBorders>
            <w:shd w:val="clear" w:color="auto" w:fill="FFFFFF" w:themeFill="background1"/>
            <w:vAlign w:val="center"/>
            <w:hideMark/>
          </w:tcPr>
          <w:p w:rsidR="00BB6C2C" w:rsidRPr="00BB6C2C" w:rsidRDefault="00BB6C2C" w:rsidP="00BB6C2C">
            <w:pPr>
              <w:spacing w:before="0" w:after="0" w:line="240" w:lineRule="auto"/>
              <w:rPr>
                <w:color w:val="000000"/>
                <w:sz w:val="20"/>
                <w:lang w:eastAsia="en-GB"/>
              </w:rPr>
            </w:pPr>
          </w:p>
        </w:tc>
        <w:tc>
          <w:tcPr>
            <w:tcW w:w="1177" w:type="dxa"/>
            <w:vMerge/>
            <w:tcBorders>
              <w:top w:val="nil"/>
              <w:left w:val="nil"/>
              <w:bottom w:val="single" w:sz="8" w:space="0" w:color="000000"/>
              <w:right w:val="nil"/>
            </w:tcBorders>
            <w:shd w:val="clear" w:color="auto" w:fill="FFFFFF" w:themeFill="background1"/>
            <w:vAlign w:val="center"/>
            <w:hideMark/>
          </w:tcPr>
          <w:p w:rsidR="00BB6C2C" w:rsidRPr="00BB6C2C" w:rsidRDefault="00BB6C2C" w:rsidP="00BB6C2C">
            <w:pPr>
              <w:spacing w:before="0" w:after="0" w:line="240" w:lineRule="auto"/>
              <w:rPr>
                <w:color w:val="000000"/>
                <w:sz w:val="20"/>
                <w:lang w:eastAsia="en-GB"/>
              </w:rPr>
            </w:pPr>
          </w:p>
        </w:tc>
        <w:tc>
          <w:tcPr>
            <w:tcW w:w="1180" w:type="dxa"/>
            <w:vMerge/>
            <w:tcBorders>
              <w:top w:val="nil"/>
              <w:left w:val="nil"/>
              <w:bottom w:val="single" w:sz="8" w:space="0" w:color="000000"/>
              <w:right w:val="nil"/>
            </w:tcBorders>
            <w:shd w:val="clear" w:color="auto" w:fill="FFFFFF" w:themeFill="background1"/>
            <w:vAlign w:val="center"/>
            <w:hideMark/>
          </w:tcPr>
          <w:p w:rsidR="00BB6C2C" w:rsidRPr="00BB6C2C" w:rsidRDefault="00BB6C2C" w:rsidP="00BB6C2C">
            <w:pPr>
              <w:spacing w:before="0" w:after="0" w:line="240" w:lineRule="auto"/>
              <w:rPr>
                <w:color w:val="000000"/>
                <w:sz w:val="20"/>
                <w:lang w:eastAsia="en-GB"/>
              </w:rPr>
            </w:pPr>
          </w:p>
        </w:tc>
        <w:tc>
          <w:tcPr>
            <w:tcW w:w="1047" w:type="dxa"/>
            <w:vMerge/>
            <w:tcBorders>
              <w:top w:val="nil"/>
              <w:left w:val="nil"/>
              <w:bottom w:val="single" w:sz="8" w:space="0" w:color="000000"/>
              <w:right w:val="nil"/>
            </w:tcBorders>
            <w:shd w:val="clear" w:color="auto" w:fill="FFFFFF" w:themeFill="background1"/>
            <w:vAlign w:val="center"/>
            <w:hideMark/>
          </w:tcPr>
          <w:p w:rsidR="00BB6C2C" w:rsidRPr="00BB6C2C" w:rsidRDefault="00BB6C2C" w:rsidP="00BB6C2C">
            <w:pPr>
              <w:spacing w:before="0" w:after="0" w:line="240" w:lineRule="auto"/>
              <w:rPr>
                <w:color w:val="000000"/>
                <w:sz w:val="20"/>
                <w:lang w:eastAsia="en-GB"/>
              </w:rPr>
            </w:pPr>
          </w:p>
        </w:tc>
        <w:tc>
          <w:tcPr>
            <w:tcW w:w="1477" w:type="dxa"/>
            <w:gridSpan w:val="2"/>
            <w:vMerge/>
            <w:tcBorders>
              <w:top w:val="nil"/>
              <w:left w:val="nil"/>
              <w:bottom w:val="single" w:sz="8" w:space="0" w:color="000000"/>
              <w:right w:val="nil"/>
            </w:tcBorders>
            <w:shd w:val="clear" w:color="auto" w:fill="FFFFFF" w:themeFill="background1"/>
            <w:vAlign w:val="center"/>
            <w:hideMark/>
          </w:tcPr>
          <w:p w:rsidR="00BB6C2C" w:rsidRPr="00BB6C2C" w:rsidRDefault="00BB6C2C" w:rsidP="00BB6C2C">
            <w:pPr>
              <w:spacing w:before="0" w:after="0" w:line="240" w:lineRule="auto"/>
              <w:rPr>
                <w:color w:val="000000"/>
                <w:sz w:val="20"/>
                <w:lang w:eastAsia="en-GB"/>
              </w:rPr>
            </w:pPr>
          </w:p>
        </w:tc>
        <w:tc>
          <w:tcPr>
            <w:tcW w:w="939" w:type="dxa"/>
            <w:vMerge/>
            <w:tcBorders>
              <w:top w:val="nil"/>
              <w:left w:val="nil"/>
              <w:bottom w:val="single" w:sz="8" w:space="0" w:color="000000"/>
              <w:right w:val="nil"/>
            </w:tcBorders>
            <w:shd w:val="clear" w:color="auto" w:fill="FFFFFF" w:themeFill="background1"/>
            <w:vAlign w:val="center"/>
            <w:hideMark/>
          </w:tcPr>
          <w:p w:rsidR="00BB6C2C" w:rsidRPr="00BB6C2C" w:rsidRDefault="00BB6C2C" w:rsidP="00BB6C2C">
            <w:pPr>
              <w:spacing w:before="0" w:after="0" w:line="240" w:lineRule="auto"/>
              <w:rPr>
                <w:color w:val="000000"/>
                <w:sz w:val="20"/>
                <w:lang w:eastAsia="en-GB"/>
              </w:rPr>
            </w:pPr>
          </w:p>
        </w:tc>
        <w:tc>
          <w:tcPr>
            <w:tcW w:w="1270" w:type="dxa"/>
            <w:gridSpan w:val="2"/>
            <w:vMerge/>
            <w:tcBorders>
              <w:top w:val="nil"/>
              <w:left w:val="nil"/>
              <w:bottom w:val="single" w:sz="8" w:space="0" w:color="000000"/>
              <w:right w:val="nil"/>
            </w:tcBorders>
            <w:shd w:val="clear" w:color="auto" w:fill="FFFFFF" w:themeFill="background1"/>
            <w:vAlign w:val="center"/>
            <w:hideMark/>
          </w:tcPr>
          <w:p w:rsidR="00BB6C2C" w:rsidRPr="00BB6C2C" w:rsidRDefault="00BB6C2C" w:rsidP="00BB6C2C">
            <w:pPr>
              <w:spacing w:before="0" w:after="0" w:line="240" w:lineRule="auto"/>
              <w:rPr>
                <w:color w:val="000000"/>
                <w:sz w:val="20"/>
                <w:lang w:eastAsia="en-GB"/>
              </w:rPr>
            </w:pPr>
          </w:p>
        </w:tc>
        <w:tc>
          <w:tcPr>
            <w:tcW w:w="1275" w:type="dxa"/>
            <w:gridSpan w:val="2"/>
            <w:vMerge/>
            <w:tcBorders>
              <w:top w:val="nil"/>
              <w:left w:val="nil"/>
              <w:bottom w:val="single" w:sz="8" w:space="0" w:color="000000"/>
              <w:right w:val="nil"/>
            </w:tcBorders>
            <w:shd w:val="clear" w:color="auto" w:fill="FFFFFF" w:themeFill="background1"/>
            <w:vAlign w:val="center"/>
            <w:hideMark/>
          </w:tcPr>
          <w:p w:rsidR="00BB6C2C" w:rsidRPr="00BB6C2C" w:rsidRDefault="00BB6C2C" w:rsidP="00BB6C2C">
            <w:pPr>
              <w:spacing w:before="0" w:after="0" w:line="240" w:lineRule="auto"/>
              <w:rPr>
                <w:color w:val="000000"/>
                <w:sz w:val="20"/>
                <w:lang w:eastAsia="en-GB"/>
              </w:rPr>
            </w:pPr>
          </w:p>
        </w:tc>
      </w:tr>
      <w:tr w:rsidR="00BB6C2C" w:rsidRPr="00BB6C2C" w:rsidTr="005647E4">
        <w:trPr>
          <w:trHeight w:val="300"/>
        </w:trPr>
        <w:tc>
          <w:tcPr>
            <w:tcW w:w="2283" w:type="dxa"/>
            <w:tcBorders>
              <w:top w:val="nil"/>
              <w:left w:val="nil"/>
              <w:bottom w:val="nil"/>
              <w:right w:val="nil"/>
            </w:tcBorders>
            <w:shd w:val="clear" w:color="auto" w:fill="FFFFFF" w:themeFill="background1"/>
            <w:vAlign w:val="center"/>
            <w:hideMark/>
          </w:tcPr>
          <w:p w:rsidR="00BB6C2C" w:rsidRPr="00BB6C2C" w:rsidRDefault="00BB6C2C" w:rsidP="000C1C3B">
            <w:pPr>
              <w:spacing w:before="0" w:after="0" w:line="240" w:lineRule="auto"/>
              <w:rPr>
                <w:color w:val="000000"/>
                <w:sz w:val="20"/>
                <w:lang w:eastAsia="en-GB"/>
              </w:rPr>
            </w:pPr>
            <w:r w:rsidRPr="00BB6C2C">
              <w:rPr>
                <w:color w:val="000000"/>
                <w:sz w:val="20"/>
                <w:lang w:eastAsia="en-GB"/>
              </w:rPr>
              <w:t> </w:t>
            </w:r>
          </w:p>
        </w:tc>
        <w:tc>
          <w:tcPr>
            <w:tcW w:w="1177" w:type="dxa"/>
            <w:tcBorders>
              <w:top w:val="nil"/>
              <w:left w:val="nil"/>
              <w:bottom w:val="nil"/>
              <w:right w:val="nil"/>
            </w:tcBorders>
            <w:shd w:val="clear" w:color="auto" w:fill="FFFFFF" w:themeFill="background1"/>
            <w:vAlign w:val="center"/>
            <w:hideMark/>
          </w:tcPr>
          <w:p w:rsidR="00BB6C2C" w:rsidRPr="00BB6C2C" w:rsidRDefault="00BB6C2C" w:rsidP="000C1C3B">
            <w:pPr>
              <w:spacing w:before="0" w:after="0" w:line="240" w:lineRule="auto"/>
              <w:jc w:val="right"/>
              <w:rPr>
                <w:color w:val="000000"/>
                <w:sz w:val="20"/>
                <w:lang w:eastAsia="en-GB"/>
              </w:rPr>
            </w:pPr>
            <w:r w:rsidRPr="00BB6C2C">
              <w:rPr>
                <w:color w:val="000000"/>
                <w:sz w:val="20"/>
                <w:lang w:eastAsia="en-GB"/>
              </w:rPr>
              <w:t> </w:t>
            </w:r>
          </w:p>
        </w:tc>
        <w:tc>
          <w:tcPr>
            <w:tcW w:w="1180" w:type="dxa"/>
            <w:tcBorders>
              <w:top w:val="nil"/>
              <w:left w:val="nil"/>
              <w:bottom w:val="nil"/>
              <w:right w:val="nil"/>
            </w:tcBorders>
            <w:shd w:val="clear" w:color="auto" w:fill="FFFFFF" w:themeFill="background1"/>
            <w:vAlign w:val="center"/>
            <w:hideMark/>
          </w:tcPr>
          <w:p w:rsidR="00BB6C2C" w:rsidRPr="00BB6C2C" w:rsidRDefault="00BB6C2C" w:rsidP="000C1C3B">
            <w:pPr>
              <w:spacing w:before="0" w:after="0" w:line="240" w:lineRule="auto"/>
              <w:jc w:val="right"/>
              <w:rPr>
                <w:color w:val="000000"/>
                <w:sz w:val="20"/>
                <w:lang w:eastAsia="en-GB"/>
              </w:rPr>
            </w:pPr>
            <w:r w:rsidRPr="00BB6C2C">
              <w:rPr>
                <w:color w:val="000000"/>
                <w:sz w:val="20"/>
                <w:lang w:eastAsia="en-GB"/>
              </w:rPr>
              <w:t> </w:t>
            </w:r>
          </w:p>
        </w:tc>
        <w:tc>
          <w:tcPr>
            <w:tcW w:w="1047" w:type="dxa"/>
            <w:tcBorders>
              <w:top w:val="nil"/>
              <w:left w:val="nil"/>
              <w:bottom w:val="nil"/>
              <w:right w:val="nil"/>
            </w:tcBorders>
            <w:shd w:val="clear" w:color="auto" w:fill="FFFFFF" w:themeFill="background1"/>
            <w:vAlign w:val="center"/>
            <w:hideMark/>
          </w:tcPr>
          <w:p w:rsidR="00BB6C2C" w:rsidRPr="00BB6C2C" w:rsidRDefault="00BB6C2C" w:rsidP="000C1C3B">
            <w:pPr>
              <w:spacing w:before="0" w:after="0" w:line="240" w:lineRule="auto"/>
              <w:jc w:val="right"/>
              <w:rPr>
                <w:color w:val="000000"/>
                <w:sz w:val="20"/>
                <w:lang w:eastAsia="en-GB"/>
              </w:rPr>
            </w:pPr>
            <w:r w:rsidRPr="00BB6C2C">
              <w:rPr>
                <w:color w:val="000000"/>
                <w:sz w:val="20"/>
                <w:lang w:eastAsia="en-GB"/>
              </w:rPr>
              <w:t> </w:t>
            </w:r>
          </w:p>
        </w:tc>
        <w:tc>
          <w:tcPr>
            <w:tcW w:w="1477" w:type="dxa"/>
            <w:gridSpan w:val="2"/>
            <w:tcBorders>
              <w:top w:val="nil"/>
              <w:left w:val="nil"/>
              <w:bottom w:val="nil"/>
              <w:right w:val="nil"/>
            </w:tcBorders>
            <w:shd w:val="clear" w:color="auto" w:fill="FFFFFF" w:themeFill="background1"/>
            <w:vAlign w:val="center"/>
            <w:hideMark/>
          </w:tcPr>
          <w:p w:rsidR="00BB6C2C" w:rsidRPr="00BB6C2C" w:rsidRDefault="00BB6C2C" w:rsidP="000C1C3B">
            <w:pPr>
              <w:spacing w:before="0" w:after="0" w:line="240" w:lineRule="auto"/>
              <w:jc w:val="right"/>
              <w:rPr>
                <w:color w:val="000000"/>
                <w:sz w:val="20"/>
                <w:lang w:eastAsia="en-GB"/>
              </w:rPr>
            </w:pPr>
            <w:r w:rsidRPr="00BB6C2C">
              <w:rPr>
                <w:color w:val="000000"/>
                <w:sz w:val="20"/>
                <w:lang w:eastAsia="en-GB"/>
              </w:rPr>
              <w:t> </w:t>
            </w:r>
          </w:p>
        </w:tc>
        <w:tc>
          <w:tcPr>
            <w:tcW w:w="939" w:type="dxa"/>
            <w:tcBorders>
              <w:top w:val="nil"/>
              <w:left w:val="nil"/>
              <w:bottom w:val="nil"/>
              <w:right w:val="nil"/>
            </w:tcBorders>
            <w:shd w:val="clear" w:color="auto" w:fill="FFFFFF" w:themeFill="background1"/>
            <w:vAlign w:val="center"/>
            <w:hideMark/>
          </w:tcPr>
          <w:p w:rsidR="00BB6C2C" w:rsidRPr="00BB6C2C" w:rsidRDefault="00BB6C2C" w:rsidP="000C1C3B">
            <w:pPr>
              <w:spacing w:before="0" w:after="0" w:line="240" w:lineRule="auto"/>
              <w:rPr>
                <w:color w:val="000000"/>
                <w:sz w:val="20"/>
                <w:lang w:eastAsia="en-GB"/>
              </w:rPr>
            </w:pPr>
            <w:r w:rsidRPr="00BB6C2C">
              <w:rPr>
                <w:color w:val="000000"/>
                <w:sz w:val="20"/>
                <w:lang w:eastAsia="en-GB"/>
              </w:rPr>
              <w:t> </w:t>
            </w:r>
          </w:p>
        </w:tc>
        <w:tc>
          <w:tcPr>
            <w:tcW w:w="1270" w:type="dxa"/>
            <w:gridSpan w:val="2"/>
            <w:tcBorders>
              <w:top w:val="nil"/>
              <w:left w:val="nil"/>
              <w:bottom w:val="nil"/>
              <w:right w:val="nil"/>
            </w:tcBorders>
            <w:shd w:val="clear" w:color="auto" w:fill="FFFFFF" w:themeFill="background1"/>
            <w:vAlign w:val="center"/>
            <w:hideMark/>
          </w:tcPr>
          <w:p w:rsidR="00BB6C2C" w:rsidRPr="00BB6C2C" w:rsidRDefault="00BB6C2C" w:rsidP="000C1C3B">
            <w:pPr>
              <w:spacing w:before="0" w:after="0" w:line="240" w:lineRule="auto"/>
              <w:rPr>
                <w:color w:val="000000"/>
                <w:sz w:val="20"/>
                <w:lang w:eastAsia="en-GB"/>
              </w:rPr>
            </w:pPr>
            <w:r w:rsidRPr="00BB6C2C">
              <w:rPr>
                <w:color w:val="000000"/>
                <w:sz w:val="20"/>
                <w:lang w:eastAsia="en-GB"/>
              </w:rPr>
              <w:t> </w:t>
            </w:r>
          </w:p>
        </w:tc>
        <w:tc>
          <w:tcPr>
            <w:tcW w:w="1275" w:type="dxa"/>
            <w:gridSpan w:val="2"/>
            <w:tcBorders>
              <w:top w:val="nil"/>
              <w:left w:val="nil"/>
              <w:bottom w:val="nil"/>
              <w:right w:val="nil"/>
            </w:tcBorders>
            <w:shd w:val="clear" w:color="auto" w:fill="FFFFFF" w:themeFill="background1"/>
            <w:vAlign w:val="center"/>
            <w:hideMark/>
          </w:tcPr>
          <w:p w:rsidR="00BB6C2C" w:rsidRPr="00BB6C2C" w:rsidRDefault="00BB6C2C" w:rsidP="000C1C3B">
            <w:pPr>
              <w:spacing w:before="0" w:after="0" w:line="240" w:lineRule="auto"/>
              <w:rPr>
                <w:color w:val="000000"/>
                <w:sz w:val="20"/>
                <w:lang w:eastAsia="en-GB"/>
              </w:rPr>
            </w:pPr>
            <w:r w:rsidRPr="00BB6C2C">
              <w:rPr>
                <w:color w:val="000000"/>
                <w:sz w:val="20"/>
                <w:lang w:eastAsia="en-GB"/>
              </w:rPr>
              <w:t> </w:t>
            </w:r>
          </w:p>
        </w:tc>
      </w:tr>
      <w:tr w:rsidR="008F7F9E" w:rsidRPr="00BB6C2C" w:rsidTr="000C1C3B">
        <w:trPr>
          <w:trHeight w:val="300"/>
        </w:trPr>
        <w:tc>
          <w:tcPr>
            <w:tcW w:w="2283" w:type="dxa"/>
            <w:tcBorders>
              <w:top w:val="nil"/>
              <w:left w:val="nil"/>
              <w:bottom w:val="nil"/>
              <w:right w:val="nil"/>
            </w:tcBorders>
            <w:shd w:val="clear" w:color="auto" w:fill="FFFFFF" w:themeFill="background1"/>
            <w:vAlign w:val="center"/>
            <w:hideMark/>
          </w:tcPr>
          <w:p w:rsidR="008F7F9E" w:rsidRPr="00BB6C2C" w:rsidRDefault="008F7F9E" w:rsidP="000C1C3B">
            <w:pPr>
              <w:spacing w:before="0" w:after="0" w:line="240" w:lineRule="auto"/>
              <w:rPr>
                <w:color w:val="000000"/>
                <w:sz w:val="20"/>
                <w:lang w:eastAsia="en-GB"/>
              </w:rPr>
            </w:pPr>
            <w:r w:rsidRPr="00BB6C2C">
              <w:rPr>
                <w:color w:val="000000"/>
                <w:sz w:val="20"/>
                <w:lang w:eastAsia="en-GB"/>
              </w:rPr>
              <w:t>January - March 2013</w:t>
            </w:r>
          </w:p>
        </w:tc>
        <w:tc>
          <w:tcPr>
            <w:tcW w:w="1177" w:type="dxa"/>
            <w:tcBorders>
              <w:top w:val="nil"/>
              <w:left w:val="nil"/>
              <w:bottom w:val="nil"/>
              <w:right w:val="nil"/>
            </w:tcBorders>
            <w:shd w:val="clear" w:color="auto" w:fill="FFFFFF" w:themeFill="background1"/>
            <w:vAlign w:val="bottom"/>
            <w:hideMark/>
          </w:tcPr>
          <w:p w:rsidR="008F7F9E" w:rsidRDefault="008F7F9E" w:rsidP="000C1C3B">
            <w:pPr>
              <w:spacing w:before="0" w:after="0"/>
              <w:jc w:val="right"/>
              <w:rPr>
                <w:color w:val="000000"/>
                <w:sz w:val="20"/>
              </w:rPr>
            </w:pPr>
            <w:r>
              <w:rPr>
                <w:color w:val="000000"/>
                <w:sz w:val="20"/>
              </w:rPr>
              <w:t>48,985</w:t>
            </w:r>
          </w:p>
        </w:tc>
        <w:tc>
          <w:tcPr>
            <w:tcW w:w="1180" w:type="dxa"/>
            <w:tcBorders>
              <w:top w:val="nil"/>
              <w:left w:val="nil"/>
              <w:bottom w:val="nil"/>
              <w:right w:val="nil"/>
            </w:tcBorders>
            <w:shd w:val="clear" w:color="auto" w:fill="FFFFFF" w:themeFill="background1"/>
            <w:vAlign w:val="bottom"/>
            <w:hideMark/>
          </w:tcPr>
          <w:p w:rsidR="008F7F9E" w:rsidRPr="00BB6C2C" w:rsidRDefault="008F7F9E" w:rsidP="000C1C3B">
            <w:pPr>
              <w:spacing w:before="0" w:after="0" w:line="240" w:lineRule="auto"/>
              <w:jc w:val="right"/>
              <w:rPr>
                <w:color w:val="000000"/>
                <w:sz w:val="20"/>
                <w:lang w:eastAsia="en-GB"/>
              </w:rPr>
            </w:pPr>
            <w:r w:rsidRPr="00BB6C2C">
              <w:rPr>
                <w:color w:val="000000"/>
                <w:sz w:val="20"/>
                <w:lang w:eastAsia="en-GB"/>
              </w:rPr>
              <w:t>228</w:t>
            </w:r>
          </w:p>
        </w:tc>
        <w:tc>
          <w:tcPr>
            <w:tcW w:w="1047" w:type="dxa"/>
            <w:tcBorders>
              <w:top w:val="nil"/>
              <w:left w:val="nil"/>
              <w:bottom w:val="nil"/>
              <w:right w:val="nil"/>
            </w:tcBorders>
            <w:shd w:val="clear" w:color="auto" w:fill="FFFFFF" w:themeFill="background1"/>
            <w:vAlign w:val="bottom"/>
            <w:hideMark/>
          </w:tcPr>
          <w:p w:rsidR="008F7F9E" w:rsidRPr="00BB6C2C" w:rsidRDefault="008F7F9E" w:rsidP="000C1C3B">
            <w:pPr>
              <w:spacing w:before="0" w:after="0" w:line="240" w:lineRule="auto"/>
              <w:jc w:val="right"/>
              <w:rPr>
                <w:color w:val="000000"/>
                <w:sz w:val="20"/>
                <w:lang w:eastAsia="en-GB"/>
              </w:rPr>
            </w:pPr>
            <w:r w:rsidRPr="00BB6C2C">
              <w:rPr>
                <w:color w:val="000000"/>
                <w:sz w:val="20"/>
                <w:lang w:eastAsia="en-GB"/>
              </w:rPr>
              <w:t>0</w:t>
            </w:r>
          </w:p>
        </w:tc>
        <w:tc>
          <w:tcPr>
            <w:tcW w:w="1477" w:type="dxa"/>
            <w:gridSpan w:val="2"/>
            <w:tcBorders>
              <w:top w:val="nil"/>
              <w:left w:val="nil"/>
              <w:bottom w:val="nil"/>
              <w:right w:val="nil"/>
            </w:tcBorders>
            <w:shd w:val="clear" w:color="auto" w:fill="FFFFFF" w:themeFill="background1"/>
            <w:vAlign w:val="bottom"/>
            <w:hideMark/>
          </w:tcPr>
          <w:p w:rsidR="008F7F9E" w:rsidRPr="00BB6C2C" w:rsidRDefault="008F7F9E" w:rsidP="000C1C3B">
            <w:pPr>
              <w:spacing w:before="0" w:after="0" w:line="240" w:lineRule="auto"/>
              <w:jc w:val="right"/>
              <w:rPr>
                <w:color w:val="000000"/>
                <w:sz w:val="20"/>
                <w:lang w:eastAsia="en-GB"/>
              </w:rPr>
            </w:pPr>
            <w:r w:rsidRPr="00BB6C2C">
              <w:rPr>
                <w:color w:val="000000"/>
                <w:sz w:val="20"/>
                <w:lang w:eastAsia="en-GB"/>
              </w:rPr>
              <w:t>0</w:t>
            </w:r>
          </w:p>
        </w:tc>
        <w:tc>
          <w:tcPr>
            <w:tcW w:w="939" w:type="dxa"/>
            <w:tcBorders>
              <w:top w:val="nil"/>
              <w:left w:val="nil"/>
              <w:bottom w:val="nil"/>
              <w:right w:val="nil"/>
            </w:tcBorders>
            <w:shd w:val="clear" w:color="auto" w:fill="FFFFFF" w:themeFill="background1"/>
            <w:vAlign w:val="bottom"/>
            <w:hideMark/>
          </w:tcPr>
          <w:p w:rsidR="008F7F9E" w:rsidRPr="008F7F9E" w:rsidRDefault="008F7F9E" w:rsidP="000C1C3B">
            <w:pPr>
              <w:spacing w:before="0" w:after="0" w:line="240" w:lineRule="auto"/>
              <w:jc w:val="right"/>
              <w:rPr>
                <w:color w:val="000000"/>
                <w:sz w:val="20"/>
                <w:lang w:eastAsia="en-GB"/>
              </w:rPr>
            </w:pPr>
            <w:r w:rsidRPr="008F7F9E">
              <w:rPr>
                <w:color w:val="000000"/>
                <w:sz w:val="20"/>
                <w:lang w:eastAsia="en-GB"/>
              </w:rPr>
              <w:t>20,403</w:t>
            </w:r>
          </w:p>
        </w:tc>
        <w:tc>
          <w:tcPr>
            <w:tcW w:w="1270" w:type="dxa"/>
            <w:gridSpan w:val="2"/>
            <w:tcBorders>
              <w:top w:val="nil"/>
              <w:left w:val="nil"/>
              <w:bottom w:val="nil"/>
              <w:right w:val="nil"/>
            </w:tcBorders>
            <w:shd w:val="clear" w:color="auto" w:fill="FFFFFF" w:themeFill="background1"/>
            <w:vAlign w:val="bottom"/>
            <w:hideMark/>
          </w:tcPr>
          <w:p w:rsidR="008F7F9E" w:rsidRPr="008F7F9E" w:rsidRDefault="008F7F9E" w:rsidP="000C1C3B">
            <w:pPr>
              <w:spacing w:before="0" w:after="0" w:line="240" w:lineRule="auto"/>
              <w:jc w:val="right"/>
              <w:rPr>
                <w:color w:val="000000"/>
                <w:sz w:val="20"/>
                <w:lang w:eastAsia="en-GB"/>
              </w:rPr>
            </w:pPr>
            <w:r w:rsidRPr="008F7F9E">
              <w:rPr>
                <w:color w:val="000000"/>
                <w:sz w:val="20"/>
                <w:lang w:eastAsia="en-GB"/>
              </w:rPr>
              <w:t>958</w:t>
            </w:r>
          </w:p>
        </w:tc>
        <w:tc>
          <w:tcPr>
            <w:tcW w:w="1275" w:type="dxa"/>
            <w:gridSpan w:val="2"/>
            <w:tcBorders>
              <w:top w:val="nil"/>
              <w:left w:val="nil"/>
              <w:bottom w:val="nil"/>
              <w:right w:val="nil"/>
            </w:tcBorders>
            <w:shd w:val="clear" w:color="auto" w:fill="FFFFFF" w:themeFill="background1"/>
            <w:vAlign w:val="bottom"/>
            <w:hideMark/>
          </w:tcPr>
          <w:p w:rsidR="008F7F9E" w:rsidRPr="008F7F9E" w:rsidRDefault="008F7F9E" w:rsidP="000C1C3B">
            <w:pPr>
              <w:spacing w:before="0" w:after="0" w:line="240" w:lineRule="auto"/>
              <w:jc w:val="right"/>
              <w:rPr>
                <w:color w:val="000000"/>
                <w:sz w:val="20"/>
                <w:lang w:eastAsia="en-GB"/>
              </w:rPr>
            </w:pPr>
            <w:r w:rsidRPr="008F7F9E">
              <w:rPr>
                <w:color w:val="000000"/>
                <w:sz w:val="20"/>
                <w:lang w:eastAsia="en-GB"/>
              </w:rPr>
              <w:t>N/A </w:t>
            </w:r>
          </w:p>
        </w:tc>
      </w:tr>
      <w:tr w:rsidR="008F7F9E" w:rsidRPr="00BB6C2C" w:rsidTr="000C1C3B">
        <w:trPr>
          <w:trHeight w:val="300"/>
        </w:trPr>
        <w:tc>
          <w:tcPr>
            <w:tcW w:w="2283" w:type="dxa"/>
            <w:tcBorders>
              <w:top w:val="nil"/>
              <w:left w:val="nil"/>
              <w:bottom w:val="nil"/>
              <w:right w:val="nil"/>
            </w:tcBorders>
            <w:shd w:val="clear" w:color="auto" w:fill="FFFFFF" w:themeFill="background1"/>
            <w:vAlign w:val="center"/>
            <w:hideMark/>
          </w:tcPr>
          <w:p w:rsidR="008F7F9E" w:rsidRPr="00BB6C2C" w:rsidRDefault="008F7F9E" w:rsidP="000C1C3B">
            <w:pPr>
              <w:spacing w:before="0" w:after="0" w:line="240" w:lineRule="auto"/>
              <w:rPr>
                <w:color w:val="000000"/>
                <w:sz w:val="20"/>
                <w:lang w:eastAsia="en-GB"/>
              </w:rPr>
            </w:pPr>
            <w:r w:rsidRPr="00BB6C2C">
              <w:rPr>
                <w:color w:val="000000"/>
                <w:sz w:val="20"/>
                <w:lang w:eastAsia="en-GB"/>
              </w:rPr>
              <w:t>April - June 2013</w:t>
            </w:r>
          </w:p>
        </w:tc>
        <w:tc>
          <w:tcPr>
            <w:tcW w:w="1177" w:type="dxa"/>
            <w:tcBorders>
              <w:top w:val="nil"/>
              <w:left w:val="nil"/>
              <w:bottom w:val="nil"/>
              <w:right w:val="nil"/>
            </w:tcBorders>
            <w:shd w:val="clear" w:color="auto" w:fill="FFFFFF" w:themeFill="background1"/>
            <w:vAlign w:val="bottom"/>
            <w:hideMark/>
          </w:tcPr>
          <w:p w:rsidR="008F7F9E" w:rsidRDefault="008F7F9E" w:rsidP="000C1C3B">
            <w:pPr>
              <w:spacing w:before="0" w:after="0"/>
              <w:jc w:val="right"/>
              <w:rPr>
                <w:color w:val="000000"/>
                <w:sz w:val="20"/>
              </w:rPr>
            </w:pPr>
            <w:r>
              <w:rPr>
                <w:color w:val="000000"/>
                <w:sz w:val="20"/>
              </w:rPr>
              <w:t>88,028</w:t>
            </w:r>
          </w:p>
        </w:tc>
        <w:tc>
          <w:tcPr>
            <w:tcW w:w="1180" w:type="dxa"/>
            <w:tcBorders>
              <w:top w:val="nil"/>
              <w:left w:val="nil"/>
              <w:bottom w:val="nil"/>
              <w:right w:val="nil"/>
            </w:tcBorders>
            <w:shd w:val="clear" w:color="auto" w:fill="FFFFFF" w:themeFill="background1"/>
            <w:vAlign w:val="bottom"/>
            <w:hideMark/>
          </w:tcPr>
          <w:p w:rsidR="008F7F9E" w:rsidRPr="00BB6C2C" w:rsidRDefault="008F7F9E" w:rsidP="000C1C3B">
            <w:pPr>
              <w:spacing w:before="0" w:after="0" w:line="240" w:lineRule="auto"/>
              <w:jc w:val="right"/>
              <w:rPr>
                <w:color w:val="000000"/>
                <w:sz w:val="20"/>
                <w:lang w:eastAsia="en-GB"/>
              </w:rPr>
            </w:pPr>
            <w:r w:rsidRPr="00BB6C2C">
              <w:rPr>
                <w:color w:val="000000"/>
                <w:sz w:val="20"/>
                <w:lang w:eastAsia="en-GB"/>
              </w:rPr>
              <w:t>3,554</w:t>
            </w:r>
          </w:p>
        </w:tc>
        <w:tc>
          <w:tcPr>
            <w:tcW w:w="1047" w:type="dxa"/>
            <w:tcBorders>
              <w:top w:val="nil"/>
              <w:left w:val="nil"/>
              <w:bottom w:val="nil"/>
              <w:right w:val="nil"/>
            </w:tcBorders>
            <w:shd w:val="clear" w:color="auto" w:fill="FFFFFF" w:themeFill="background1"/>
            <w:vAlign w:val="bottom"/>
            <w:hideMark/>
          </w:tcPr>
          <w:p w:rsidR="008F7F9E" w:rsidRPr="00BB6C2C" w:rsidRDefault="008F7F9E" w:rsidP="000C1C3B">
            <w:pPr>
              <w:spacing w:before="0" w:after="0" w:line="240" w:lineRule="auto"/>
              <w:jc w:val="right"/>
              <w:rPr>
                <w:color w:val="000000"/>
                <w:sz w:val="20"/>
                <w:lang w:eastAsia="en-GB"/>
              </w:rPr>
            </w:pPr>
            <w:r w:rsidRPr="00BB6C2C">
              <w:rPr>
                <w:color w:val="000000"/>
                <w:sz w:val="20"/>
                <w:lang w:eastAsia="en-GB"/>
              </w:rPr>
              <w:t>0</w:t>
            </w:r>
          </w:p>
        </w:tc>
        <w:tc>
          <w:tcPr>
            <w:tcW w:w="1477" w:type="dxa"/>
            <w:gridSpan w:val="2"/>
            <w:tcBorders>
              <w:top w:val="nil"/>
              <w:left w:val="nil"/>
              <w:bottom w:val="nil"/>
              <w:right w:val="nil"/>
            </w:tcBorders>
            <w:shd w:val="clear" w:color="auto" w:fill="FFFFFF" w:themeFill="background1"/>
            <w:vAlign w:val="bottom"/>
            <w:hideMark/>
          </w:tcPr>
          <w:p w:rsidR="008F7F9E" w:rsidRPr="00BB6C2C" w:rsidRDefault="008F7F9E" w:rsidP="000C1C3B">
            <w:pPr>
              <w:spacing w:before="0" w:after="0" w:line="240" w:lineRule="auto"/>
              <w:jc w:val="right"/>
              <w:rPr>
                <w:color w:val="000000"/>
                <w:sz w:val="20"/>
                <w:lang w:eastAsia="en-GB"/>
              </w:rPr>
            </w:pPr>
            <w:r w:rsidRPr="00BB6C2C">
              <w:rPr>
                <w:color w:val="000000"/>
                <w:sz w:val="20"/>
                <w:lang w:eastAsia="en-GB"/>
              </w:rPr>
              <w:t>0</w:t>
            </w:r>
          </w:p>
        </w:tc>
        <w:tc>
          <w:tcPr>
            <w:tcW w:w="939" w:type="dxa"/>
            <w:tcBorders>
              <w:top w:val="nil"/>
              <w:left w:val="nil"/>
              <w:bottom w:val="nil"/>
              <w:right w:val="nil"/>
            </w:tcBorders>
            <w:shd w:val="clear" w:color="auto" w:fill="FFFFFF" w:themeFill="background1"/>
            <w:vAlign w:val="bottom"/>
            <w:hideMark/>
          </w:tcPr>
          <w:p w:rsidR="008F7F9E" w:rsidRPr="008F7F9E" w:rsidRDefault="008F7F9E" w:rsidP="000C1C3B">
            <w:pPr>
              <w:spacing w:before="0" w:after="0" w:line="240" w:lineRule="auto"/>
              <w:jc w:val="right"/>
              <w:rPr>
                <w:color w:val="000000"/>
                <w:sz w:val="20"/>
                <w:lang w:eastAsia="en-GB"/>
              </w:rPr>
            </w:pPr>
            <w:r w:rsidRPr="008F7F9E">
              <w:rPr>
                <w:color w:val="000000"/>
                <w:sz w:val="20"/>
                <w:lang w:eastAsia="en-GB"/>
              </w:rPr>
              <w:t>18,224</w:t>
            </w:r>
          </w:p>
        </w:tc>
        <w:tc>
          <w:tcPr>
            <w:tcW w:w="1270" w:type="dxa"/>
            <w:gridSpan w:val="2"/>
            <w:tcBorders>
              <w:top w:val="nil"/>
              <w:left w:val="nil"/>
              <w:bottom w:val="nil"/>
              <w:right w:val="nil"/>
            </w:tcBorders>
            <w:shd w:val="clear" w:color="auto" w:fill="FFFFFF" w:themeFill="background1"/>
            <w:vAlign w:val="bottom"/>
            <w:hideMark/>
          </w:tcPr>
          <w:p w:rsidR="008F7F9E" w:rsidRPr="008F7F9E" w:rsidRDefault="008F7F9E" w:rsidP="000C1C3B">
            <w:pPr>
              <w:spacing w:before="0" w:after="0" w:line="240" w:lineRule="auto"/>
              <w:jc w:val="right"/>
              <w:rPr>
                <w:color w:val="000000"/>
                <w:sz w:val="20"/>
                <w:lang w:eastAsia="en-GB"/>
              </w:rPr>
            </w:pPr>
            <w:r w:rsidRPr="008F7F9E">
              <w:rPr>
                <w:color w:val="000000"/>
                <w:sz w:val="20"/>
                <w:lang w:eastAsia="en-GB"/>
              </w:rPr>
              <w:t>3,353</w:t>
            </w:r>
          </w:p>
        </w:tc>
        <w:tc>
          <w:tcPr>
            <w:tcW w:w="1275" w:type="dxa"/>
            <w:gridSpan w:val="2"/>
            <w:tcBorders>
              <w:top w:val="nil"/>
              <w:left w:val="nil"/>
              <w:bottom w:val="nil"/>
              <w:right w:val="nil"/>
            </w:tcBorders>
            <w:shd w:val="clear" w:color="auto" w:fill="FFFFFF" w:themeFill="background1"/>
            <w:vAlign w:val="bottom"/>
            <w:hideMark/>
          </w:tcPr>
          <w:p w:rsidR="008F7F9E" w:rsidRPr="008F7F9E" w:rsidRDefault="008F7F9E" w:rsidP="000C1C3B">
            <w:pPr>
              <w:spacing w:before="0" w:after="0" w:line="240" w:lineRule="auto"/>
              <w:jc w:val="right"/>
              <w:rPr>
                <w:color w:val="000000"/>
                <w:sz w:val="20"/>
                <w:lang w:eastAsia="en-GB"/>
              </w:rPr>
            </w:pPr>
            <w:r w:rsidRPr="008F7F9E">
              <w:rPr>
                <w:color w:val="000000"/>
                <w:sz w:val="20"/>
                <w:lang w:eastAsia="en-GB"/>
              </w:rPr>
              <w:t>N/A </w:t>
            </w:r>
          </w:p>
        </w:tc>
      </w:tr>
      <w:tr w:rsidR="008F7F9E" w:rsidRPr="00BB6C2C" w:rsidTr="000C1C3B">
        <w:trPr>
          <w:trHeight w:val="300"/>
        </w:trPr>
        <w:tc>
          <w:tcPr>
            <w:tcW w:w="2283" w:type="dxa"/>
            <w:tcBorders>
              <w:top w:val="nil"/>
              <w:left w:val="nil"/>
              <w:bottom w:val="nil"/>
              <w:right w:val="nil"/>
            </w:tcBorders>
            <w:shd w:val="clear" w:color="auto" w:fill="FFFFFF" w:themeFill="background1"/>
            <w:vAlign w:val="center"/>
            <w:hideMark/>
          </w:tcPr>
          <w:p w:rsidR="008F7F9E" w:rsidRPr="00BB6C2C" w:rsidRDefault="008F7F9E" w:rsidP="000C1C3B">
            <w:pPr>
              <w:spacing w:before="0" w:after="0" w:line="240" w:lineRule="auto"/>
              <w:rPr>
                <w:color w:val="000000"/>
                <w:sz w:val="20"/>
                <w:lang w:eastAsia="en-GB"/>
              </w:rPr>
            </w:pPr>
            <w:r w:rsidRPr="00BB6C2C">
              <w:rPr>
                <w:color w:val="000000"/>
                <w:sz w:val="20"/>
                <w:lang w:eastAsia="en-GB"/>
              </w:rPr>
              <w:t>July - September 2013</w:t>
            </w:r>
          </w:p>
        </w:tc>
        <w:tc>
          <w:tcPr>
            <w:tcW w:w="1177" w:type="dxa"/>
            <w:tcBorders>
              <w:top w:val="nil"/>
              <w:left w:val="nil"/>
              <w:bottom w:val="nil"/>
              <w:right w:val="nil"/>
            </w:tcBorders>
            <w:shd w:val="clear" w:color="auto" w:fill="FFFFFF" w:themeFill="background1"/>
            <w:vAlign w:val="bottom"/>
            <w:hideMark/>
          </w:tcPr>
          <w:p w:rsidR="008F7F9E" w:rsidRDefault="008F7F9E" w:rsidP="000C1C3B">
            <w:pPr>
              <w:spacing w:before="0" w:after="0"/>
              <w:jc w:val="right"/>
              <w:rPr>
                <w:color w:val="000000"/>
                <w:sz w:val="20"/>
              </w:rPr>
            </w:pPr>
            <w:r>
              <w:rPr>
                <w:color w:val="000000"/>
                <w:sz w:val="20"/>
              </w:rPr>
              <w:t>130,066</w:t>
            </w:r>
          </w:p>
        </w:tc>
        <w:tc>
          <w:tcPr>
            <w:tcW w:w="1180" w:type="dxa"/>
            <w:tcBorders>
              <w:top w:val="nil"/>
              <w:left w:val="nil"/>
              <w:bottom w:val="nil"/>
              <w:right w:val="nil"/>
            </w:tcBorders>
            <w:shd w:val="clear" w:color="auto" w:fill="FFFFFF" w:themeFill="background1"/>
            <w:vAlign w:val="bottom"/>
            <w:hideMark/>
          </w:tcPr>
          <w:p w:rsidR="008F7F9E" w:rsidRPr="00BB6C2C" w:rsidRDefault="008F7F9E" w:rsidP="000C1C3B">
            <w:pPr>
              <w:spacing w:before="0" w:after="0" w:line="240" w:lineRule="auto"/>
              <w:jc w:val="right"/>
              <w:rPr>
                <w:color w:val="000000"/>
                <w:sz w:val="20"/>
                <w:lang w:eastAsia="en-GB"/>
              </w:rPr>
            </w:pPr>
            <w:r w:rsidRPr="00BB6C2C">
              <w:rPr>
                <w:color w:val="000000"/>
                <w:sz w:val="20"/>
                <w:lang w:eastAsia="en-GB"/>
              </w:rPr>
              <w:t>3,225</w:t>
            </w:r>
          </w:p>
        </w:tc>
        <w:tc>
          <w:tcPr>
            <w:tcW w:w="1047" w:type="dxa"/>
            <w:tcBorders>
              <w:top w:val="nil"/>
              <w:left w:val="nil"/>
              <w:bottom w:val="nil"/>
              <w:right w:val="nil"/>
            </w:tcBorders>
            <w:shd w:val="clear" w:color="auto" w:fill="FFFFFF" w:themeFill="background1"/>
            <w:vAlign w:val="bottom"/>
            <w:hideMark/>
          </w:tcPr>
          <w:p w:rsidR="008F7F9E" w:rsidRPr="00BB6C2C" w:rsidRDefault="008F7F9E" w:rsidP="000C1C3B">
            <w:pPr>
              <w:spacing w:before="0" w:after="0" w:line="240" w:lineRule="auto"/>
              <w:jc w:val="right"/>
              <w:rPr>
                <w:color w:val="000000"/>
                <w:sz w:val="20"/>
                <w:lang w:eastAsia="en-GB"/>
              </w:rPr>
            </w:pPr>
            <w:r w:rsidRPr="00BB6C2C">
              <w:rPr>
                <w:color w:val="000000"/>
                <w:sz w:val="20"/>
                <w:lang w:eastAsia="en-GB"/>
              </w:rPr>
              <w:t>57</w:t>
            </w:r>
          </w:p>
        </w:tc>
        <w:tc>
          <w:tcPr>
            <w:tcW w:w="1477" w:type="dxa"/>
            <w:gridSpan w:val="2"/>
            <w:tcBorders>
              <w:top w:val="nil"/>
              <w:left w:val="nil"/>
              <w:bottom w:val="nil"/>
              <w:right w:val="nil"/>
            </w:tcBorders>
            <w:shd w:val="clear" w:color="auto" w:fill="FFFFFF" w:themeFill="background1"/>
            <w:vAlign w:val="bottom"/>
            <w:hideMark/>
          </w:tcPr>
          <w:p w:rsidR="008F7F9E" w:rsidRPr="00BB6C2C" w:rsidRDefault="008F7F9E" w:rsidP="000C1C3B">
            <w:pPr>
              <w:spacing w:before="0" w:after="0" w:line="240" w:lineRule="auto"/>
              <w:jc w:val="right"/>
              <w:rPr>
                <w:color w:val="000000"/>
                <w:sz w:val="20"/>
                <w:lang w:eastAsia="en-GB"/>
              </w:rPr>
            </w:pPr>
            <w:r w:rsidRPr="00BB6C2C">
              <w:rPr>
                <w:color w:val="000000"/>
                <w:sz w:val="20"/>
                <w:lang w:eastAsia="en-GB"/>
              </w:rPr>
              <w:t>0</w:t>
            </w:r>
          </w:p>
        </w:tc>
        <w:tc>
          <w:tcPr>
            <w:tcW w:w="939" w:type="dxa"/>
            <w:tcBorders>
              <w:top w:val="nil"/>
              <w:left w:val="nil"/>
              <w:bottom w:val="nil"/>
              <w:right w:val="nil"/>
            </w:tcBorders>
            <w:shd w:val="clear" w:color="auto" w:fill="FFFFFF" w:themeFill="background1"/>
            <w:vAlign w:val="bottom"/>
            <w:hideMark/>
          </w:tcPr>
          <w:p w:rsidR="008F7F9E" w:rsidRPr="008F7F9E" w:rsidRDefault="008F7F9E" w:rsidP="000C1C3B">
            <w:pPr>
              <w:spacing w:before="0" w:after="0" w:line="240" w:lineRule="auto"/>
              <w:jc w:val="right"/>
              <w:rPr>
                <w:color w:val="000000"/>
                <w:sz w:val="20"/>
                <w:lang w:eastAsia="en-GB"/>
              </w:rPr>
            </w:pPr>
            <w:r w:rsidRPr="008F7F9E">
              <w:rPr>
                <w:color w:val="000000"/>
                <w:sz w:val="20"/>
                <w:lang w:eastAsia="en-GB"/>
              </w:rPr>
              <w:t>24,874</w:t>
            </w:r>
          </w:p>
        </w:tc>
        <w:tc>
          <w:tcPr>
            <w:tcW w:w="1270" w:type="dxa"/>
            <w:gridSpan w:val="2"/>
            <w:tcBorders>
              <w:top w:val="nil"/>
              <w:left w:val="nil"/>
              <w:bottom w:val="nil"/>
              <w:right w:val="nil"/>
            </w:tcBorders>
            <w:shd w:val="clear" w:color="auto" w:fill="FFFFFF" w:themeFill="background1"/>
            <w:vAlign w:val="bottom"/>
            <w:hideMark/>
          </w:tcPr>
          <w:p w:rsidR="008F7F9E" w:rsidRPr="008F7F9E" w:rsidRDefault="008F7F9E" w:rsidP="000C1C3B">
            <w:pPr>
              <w:spacing w:before="0" w:after="0" w:line="240" w:lineRule="auto"/>
              <w:jc w:val="right"/>
              <w:rPr>
                <w:color w:val="000000"/>
                <w:sz w:val="20"/>
                <w:lang w:eastAsia="en-GB"/>
              </w:rPr>
            </w:pPr>
            <w:r w:rsidRPr="008F7F9E">
              <w:rPr>
                <w:color w:val="000000"/>
                <w:sz w:val="20"/>
                <w:lang w:eastAsia="en-GB"/>
              </w:rPr>
              <w:t>338</w:t>
            </w:r>
          </w:p>
        </w:tc>
        <w:tc>
          <w:tcPr>
            <w:tcW w:w="1275" w:type="dxa"/>
            <w:gridSpan w:val="2"/>
            <w:tcBorders>
              <w:top w:val="nil"/>
              <w:left w:val="nil"/>
              <w:bottom w:val="nil"/>
              <w:right w:val="nil"/>
            </w:tcBorders>
            <w:shd w:val="clear" w:color="auto" w:fill="FFFFFF" w:themeFill="background1"/>
            <w:vAlign w:val="bottom"/>
            <w:hideMark/>
          </w:tcPr>
          <w:p w:rsidR="008F7F9E" w:rsidRPr="008F7F9E" w:rsidRDefault="008F7F9E" w:rsidP="000C1C3B">
            <w:pPr>
              <w:spacing w:before="0" w:after="0" w:line="240" w:lineRule="auto"/>
              <w:jc w:val="right"/>
              <w:rPr>
                <w:color w:val="000000"/>
                <w:sz w:val="20"/>
                <w:lang w:eastAsia="en-GB"/>
              </w:rPr>
            </w:pPr>
            <w:r w:rsidRPr="008F7F9E">
              <w:rPr>
                <w:color w:val="000000"/>
                <w:sz w:val="20"/>
                <w:lang w:eastAsia="en-GB"/>
              </w:rPr>
              <w:t>N/A </w:t>
            </w:r>
          </w:p>
        </w:tc>
      </w:tr>
      <w:tr w:rsidR="008F7F9E" w:rsidRPr="00BB6C2C" w:rsidTr="000C1C3B">
        <w:trPr>
          <w:trHeight w:val="300"/>
        </w:trPr>
        <w:tc>
          <w:tcPr>
            <w:tcW w:w="2283" w:type="dxa"/>
            <w:tcBorders>
              <w:top w:val="nil"/>
              <w:left w:val="nil"/>
              <w:bottom w:val="nil"/>
              <w:right w:val="nil"/>
            </w:tcBorders>
            <w:shd w:val="clear" w:color="auto" w:fill="FFFFFF" w:themeFill="background1"/>
            <w:vAlign w:val="center"/>
            <w:hideMark/>
          </w:tcPr>
          <w:p w:rsidR="008F7F9E" w:rsidRPr="00BB6C2C" w:rsidRDefault="008F7F9E" w:rsidP="000C1C3B">
            <w:pPr>
              <w:spacing w:before="0" w:after="0" w:line="240" w:lineRule="auto"/>
              <w:rPr>
                <w:color w:val="000000"/>
                <w:sz w:val="20"/>
                <w:lang w:eastAsia="en-GB"/>
              </w:rPr>
            </w:pPr>
            <w:r w:rsidRPr="00BB6C2C">
              <w:rPr>
                <w:color w:val="000000"/>
                <w:sz w:val="20"/>
                <w:lang w:eastAsia="en-GB"/>
              </w:rPr>
              <w:t>October - December 2013</w:t>
            </w:r>
          </w:p>
        </w:tc>
        <w:tc>
          <w:tcPr>
            <w:tcW w:w="1177" w:type="dxa"/>
            <w:tcBorders>
              <w:top w:val="nil"/>
              <w:left w:val="nil"/>
              <w:bottom w:val="nil"/>
              <w:right w:val="nil"/>
            </w:tcBorders>
            <w:shd w:val="clear" w:color="auto" w:fill="FFFFFF" w:themeFill="background1"/>
            <w:vAlign w:val="bottom"/>
            <w:hideMark/>
          </w:tcPr>
          <w:p w:rsidR="008F7F9E" w:rsidRDefault="008F7F9E" w:rsidP="000C1C3B">
            <w:pPr>
              <w:spacing w:before="0" w:after="0"/>
              <w:jc w:val="right"/>
              <w:rPr>
                <w:color w:val="000000"/>
                <w:sz w:val="20"/>
              </w:rPr>
            </w:pPr>
            <w:r>
              <w:rPr>
                <w:color w:val="000000"/>
                <w:sz w:val="20"/>
              </w:rPr>
              <w:t>177,107</w:t>
            </w:r>
          </w:p>
        </w:tc>
        <w:tc>
          <w:tcPr>
            <w:tcW w:w="1180" w:type="dxa"/>
            <w:tcBorders>
              <w:top w:val="nil"/>
              <w:left w:val="nil"/>
              <w:bottom w:val="nil"/>
              <w:right w:val="nil"/>
            </w:tcBorders>
            <w:shd w:val="clear" w:color="auto" w:fill="FFFFFF" w:themeFill="background1"/>
            <w:vAlign w:val="bottom"/>
            <w:hideMark/>
          </w:tcPr>
          <w:p w:rsidR="008F7F9E" w:rsidRPr="00BB6C2C" w:rsidRDefault="008F7F9E" w:rsidP="000C1C3B">
            <w:pPr>
              <w:spacing w:before="0" w:after="0" w:line="240" w:lineRule="auto"/>
              <w:jc w:val="right"/>
              <w:rPr>
                <w:color w:val="000000"/>
                <w:sz w:val="20"/>
                <w:lang w:eastAsia="en-GB"/>
              </w:rPr>
            </w:pPr>
            <w:r w:rsidRPr="00BB6C2C">
              <w:rPr>
                <w:color w:val="000000"/>
                <w:sz w:val="20"/>
                <w:lang w:eastAsia="en-GB"/>
              </w:rPr>
              <w:t>1,958</w:t>
            </w:r>
          </w:p>
        </w:tc>
        <w:tc>
          <w:tcPr>
            <w:tcW w:w="1047" w:type="dxa"/>
            <w:tcBorders>
              <w:top w:val="nil"/>
              <w:left w:val="nil"/>
              <w:bottom w:val="nil"/>
              <w:right w:val="nil"/>
            </w:tcBorders>
            <w:shd w:val="clear" w:color="auto" w:fill="FFFFFF" w:themeFill="background1"/>
            <w:vAlign w:val="bottom"/>
            <w:hideMark/>
          </w:tcPr>
          <w:p w:rsidR="008F7F9E" w:rsidRPr="00BB6C2C" w:rsidRDefault="008F7F9E" w:rsidP="000C1C3B">
            <w:pPr>
              <w:spacing w:before="0" w:after="0" w:line="240" w:lineRule="auto"/>
              <w:jc w:val="right"/>
              <w:rPr>
                <w:color w:val="000000"/>
                <w:sz w:val="20"/>
                <w:lang w:eastAsia="en-GB"/>
              </w:rPr>
            </w:pPr>
            <w:r w:rsidRPr="00BB6C2C">
              <w:rPr>
                <w:color w:val="000000"/>
                <w:sz w:val="20"/>
                <w:lang w:eastAsia="en-GB"/>
              </w:rPr>
              <w:t>569</w:t>
            </w:r>
          </w:p>
        </w:tc>
        <w:tc>
          <w:tcPr>
            <w:tcW w:w="1477" w:type="dxa"/>
            <w:gridSpan w:val="2"/>
            <w:tcBorders>
              <w:top w:val="nil"/>
              <w:left w:val="nil"/>
              <w:bottom w:val="nil"/>
              <w:right w:val="nil"/>
            </w:tcBorders>
            <w:shd w:val="clear" w:color="auto" w:fill="FFFFFF" w:themeFill="background1"/>
            <w:vAlign w:val="bottom"/>
            <w:hideMark/>
          </w:tcPr>
          <w:p w:rsidR="008F7F9E" w:rsidRPr="00BB6C2C" w:rsidRDefault="008F7F9E" w:rsidP="000C1C3B">
            <w:pPr>
              <w:spacing w:before="0" w:after="0" w:line="240" w:lineRule="auto"/>
              <w:jc w:val="right"/>
              <w:rPr>
                <w:color w:val="000000"/>
                <w:sz w:val="20"/>
                <w:lang w:eastAsia="en-GB"/>
              </w:rPr>
            </w:pPr>
            <w:r w:rsidRPr="00BB6C2C">
              <w:rPr>
                <w:color w:val="000000"/>
                <w:sz w:val="20"/>
                <w:lang w:eastAsia="en-GB"/>
              </w:rPr>
              <w:t>0</w:t>
            </w:r>
          </w:p>
        </w:tc>
        <w:tc>
          <w:tcPr>
            <w:tcW w:w="939" w:type="dxa"/>
            <w:tcBorders>
              <w:top w:val="nil"/>
              <w:left w:val="nil"/>
              <w:bottom w:val="nil"/>
              <w:right w:val="nil"/>
            </w:tcBorders>
            <w:shd w:val="clear" w:color="auto" w:fill="FFFFFF" w:themeFill="background1"/>
            <w:vAlign w:val="bottom"/>
            <w:hideMark/>
          </w:tcPr>
          <w:p w:rsidR="008F7F9E" w:rsidRPr="008F7F9E" w:rsidRDefault="008F7F9E" w:rsidP="000C1C3B">
            <w:pPr>
              <w:spacing w:before="0" w:after="0" w:line="240" w:lineRule="auto"/>
              <w:jc w:val="right"/>
              <w:rPr>
                <w:color w:val="000000"/>
                <w:sz w:val="20"/>
                <w:lang w:eastAsia="en-GB"/>
              </w:rPr>
            </w:pPr>
            <w:r w:rsidRPr="008F7F9E">
              <w:rPr>
                <w:color w:val="000000"/>
                <w:sz w:val="20"/>
                <w:lang w:eastAsia="en-GB"/>
              </w:rPr>
              <w:t>23,100</w:t>
            </w:r>
          </w:p>
        </w:tc>
        <w:tc>
          <w:tcPr>
            <w:tcW w:w="1270" w:type="dxa"/>
            <w:gridSpan w:val="2"/>
            <w:tcBorders>
              <w:top w:val="nil"/>
              <w:left w:val="nil"/>
              <w:bottom w:val="nil"/>
              <w:right w:val="nil"/>
            </w:tcBorders>
            <w:shd w:val="clear" w:color="auto" w:fill="FFFFFF" w:themeFill="background1"/>
            <w:vAlign w:val="bottom"/>
            <w:hideMark/>
          </w:tcPr>
          <w:p w:rsidR="008F7F9E" w:rsidRPr="008F7F9E" w:rsidRDefault="008F7F9E" w:rsidP="000C1C3B">
            <w:pPr>
              <w:spacing w:before="0" w:after="0" w:line="240" w:lineRule="auto"/>
              <w:jc w:val="right"/>
              <w:rPr>
                <w:color w:val="000000"/>
                <w:sz w:val="20"/>
                <w:lang w:eastAsia="en-GB"/>
              </w:rPr>
            </w:pPr>
            <w:r w:rsidRPr="008F7F9E">
              <w:rPr>
                <w:color w:val="000000"/>
                <w:sz w:val="20"/>
                <w:lang w:eastAsia="en-GB"/>
              </w:rPr>
              <w:t>333</w:t>
            </w:r>
          </w:p>
        </w:tc>
        <w:tc>
          <w:tcPr>
            <w:tcW w:w="1275" w:type="dxa"/>
            <w:gridSpan w:val="2"/>
            <w:tcBorders>
              <w:top w:val="nil"/>
              <w:left w:val="nil"/>
              <w:bottom w:val="nil"/>
              <w:right w:val="nil"/>
            </w:tcBorders>
            <w:shd w:val="clear" w:color="auto" w:fill="FFFFFF" w:themeFill="background1"/>
            <w:vAlign w:val="bottom"/>
            <w:hideMark/>
          </w:tcPr>
          <w:p w:rsidR="008F7F9E" w:rsidRPr="008F7F9E" w:rsidRDefault="008F7F9E" w:rsidP="000C1C3B">
            <w:pPr>
              <w:spacing w:before="0" w:after="0" w:line="240" w:lineRule="auto"/>
              <w:jc w:val="right"/>
              <w:rPr>
                <w:color w:val="000000"/>
                <w:sz w:val="20"/>
                <w:lang w:eastAsia="en-GB"/>
              </w:rPr>
            </w:pPr>
            <w:r w:rsidRPr="008F7F9E">
              <w:rPr>
                <w:color w:val="000000"/>
                <w:sz w:val="20"/>
                <w:lang w:eastAsia="en-GB"/>
              </w:rPr>
              <w:t>N/A </w:t>
            </w:r>
          </w:p>
        </w:tc>
      </w:tr>
      <w:tr w:rsidR="008F7F9E" w:rsidRPr="00BB6C2C" w:rsidTr="000C1C3B">
        <w:trPr>
          <w:trHeight w:val="300"/>
        </w:trPr>
        <w:tc>
          <w:tcPr>
            <w:tcW w:w="2283" w:type="dxa"/>
            <w:tcBorders>
              <w:top w:val="nil"/>
              <w:left w:val="nil"/>
              <w:bottom w:val="nil"/>
              <w:right w:val="nil"/>
            </w:tcBorders>
            <w:shd w:val="clear" w:color="auto" w:fill="FFFFFF" w:themeFill="background1"/>
            <w:vAlign w:val="center"/>
            <w:hideMark/>
          </w:tcPr>
          <w:p w:rsidR="008F7F9E" w:rsidRPr="00BB6C2C" w:rsidRDefault="008F7F9E" w:rsidP="000C1C3B">
            <w:pPr>
              <w:spacing w:before="0" w:after="0" w:line="240" w:lineRule="auto"/>
              <w:rPr>
                <w:color w:val="000000"/>
                <w:sz w:val="20"/>
                <w:lang w:eastAsia="en-GB"/>
              </w:rPr>
            </w:pPr>
            <w:r w:rsidRPr="00BB6C2C">
              <w:rPr>
                <w:color w:val="000000"/>
                <w:sz w:val="20"/>
                <w:lang w:eastAsia="en-GB"/>
              </w:rPr>
              <w:t> </w:t>
            </w:r>
          </w:p>
        </w:tc>
        <w:tc>
          <w:tcPr>
            <w:tcW w:w="1177" w:type="dxa"/>
            <w:tcBorders>
              <w:top w:val="nil"/>
              <w:left w:val="nil"/>
              <w:bottom w:val="nil"/>
              <w:right w:val="nil"/>
            </w:tcBorders>
            <w:shd w:val="clear" w:color="auto" w:fill="FFFFFF" w:themeFill="background1"/>
            <w:vAlign w:val="bottom"/>
            <w:hideMark/>
          </w:tcPr>
          <w:p w:rsidR="008F7F9E" w:rsidRDefault="008F7F9E" w:rsidP="000C1C3B">
            <w:pPr>
              <w:spacing w:before="0" w:after="0"/>
              <w:jc w:val="right"/>
              <w:rPr>
                <w:color w:val="000000"/>
                <w:sz w:val="20"/>
              </w:rPr>
            </w:pPr>
            <w:r>
              <w:rPr>
                <w:color w:val="000000"/>
                <w:sz w:val="20"/>
              </w:rPr>
              <w:t> </w:t>
            </w:r>
          </w:p>
        </w:tc>
        <w:tc>
          <w:tcPr>
            <w:tcW w:w="1180" w:type="dxa"/>
            <w:tcBorders>
              <w:top w:val="nil"/>
              <w:left w:val="nil"/>
              <w:bottom w:val="nil"/>
              <w:right w:val="nil"/>
            </w:tcBorders>
            <w:shd w:val="clear" w:color="auto" w:fill="FFFFFF" w:themeFill="background1"/>
            <w:vAlign w:val="bottom"/>
            <w:hideMark/>
          </w:tcPr>
          <w:p w:rsidR="008F7F9E" w:rsidRPr="00BB6C2C" w:rsidRDefault="008F7F9E" w:rsidP="000C1C3B">
            <w:pPr>
              <w:spacing w:before="0" w:after="0" w:line="240" w:lineRule="auto"/>
              <w:jc w:val="right"/>
              <w:rPr>
                <w:color w:val="000000"/>
                <w:sz w:val="20"/>
                <w:lang w:eastAsia="en-GB"/>
              </w:rPr>
            </w:pPr>
            <w:r w:rsidRPr="00BB6C2C">
              <w:rPr>
                <w:color w:val="000000"/>
                <w:sz w:val="20"/>
                <w:lang w:eastAsia="en-GB"/>
              </w:rPr>
              <w:t> </w:t>
            </w:r>
          </w:p>
        </w:tc>
        <w:tc>
          <w:tcPr>
            <w:tcW w:w="1047" w:type="dxa"/>
            <w:tcBorders>
              <w:top w:val="nil"/>
              <w:left w:val="nil"/>
              <w:bottom w:val="nil"/>
              <w:right w:val="nil"/>
            </w:tcBorders>
            <w:shd w:val="clear" w:color="auto" w:fill="FFFFFF" w:themeFill="background1"/>
            <w:vAlign w:val="bottom"/>
            <w:hideMark/>
          </w:tcPr>
          <w:p w:rsidR="008F7F9E" w:rsidRPr="00BB6C2C" w:rsidRDefault="008F7F9E" w:rsidP="000C1C3B">
            <w:pPr>
              <w:spacing w:before="0" w:after="0" w:line="240" w:lineRule="auto"/>
              <w:jc w:val="right"/>
              <w:rPr>
                <w:color w:val="000000"/>
                <w:sz w:val="20"/>
                <w:lang w:eastAsia="en-GB"/>
              </w:rPr>
            </w:pPr>
            <w:r w:rsidRPr="00BB6C2C">
              <w:rPr>
                <w:color w:val="000000"/>
                <w:sz w:val="20"/>
                <w:lang w:eastAsia="en-GB"/>
              </w:rPr>
              <w:t> </w:t>
            </w:r>
          </w:p>
        </w:tc>
        <w:tc>
          <w:tcPr>
            <w:tcW w:w="1477" w:type="dxa"/>
            <w:gridSpan w:val="2"/>
            <w:tcBorders>
              <w:top w:val="nil"/>
              <w:left w:val="nil"/>
              <w:bottom w:val="nil"/>
              <w:right w:val="nil"/>
            </w:tcBorders>
            <w:shd w:val="clear" w:color="auto" w:fill="FFFFFF" w:themeFill="background1"/>
            <w:vAlign w:val="bottom"/>
            <w:hideMark/>
          </w:tcPr>
          <w:p w:rsidR="008F7F9E" w:rsidRPr="00BB6C2C" w:rsidRDefault="008F7F9E" w:rsidP="000C1C3B">
            <w:pPr>
              <w:spacing w:before="0" w:after="0" w:line="240" w:lineRule="auto"/>
              <w:jc w:val="right"/>
              <w:rPr>
                <w:color w:val="000000"/>
                <w:sz w:val="20"/>
                <w:lang w:eastAsia="en-GB"/>
              </w:rPr>
            </w:pPr>
            <w:r w:rsidRPr="00BB6C2C">
              <w:rPr>
                <w:color w:val="000000"/>
                <w:sz w:val="20"/>
                <w:lang w:eastAsia="en-GB"/>
              </w:rPr>
              <w:t> </w:t>
            </w:r>
          </w:p>
        </w:tc>
        <w:tc>
          <w:tcPr>
            <w:tcW w:w="939" w:type="dxa"/>
            <w:tcBorders>
              <w:top w:val="nil"/>
              <w:left w:val="nil"/>
              <w:bottom w:val="nil"/>
              <w:right w:val="nil"/>
            </w:tcBorders>
            <w:shd w:val="clear" w:color="auto" w:fill="FFFFFF" w:themeFill="background1"/>
            <w:vAlign w:val="bottom"/>
            <w:hideMark/>
          </w:tcPr>
          <w:p w:rsidR="008F7F9E" w:rsidRPr="008F7F9E" w:rsidRDefault="008F7F9E" w:rsidP="000C1C3B">
            <w:pPr>
              <w:spacing w:before="0" w:after="0" w:line="240" w:lineRule="auto"/>
              <w:jc w:val="right"/>
              <w:rPr>
                <w:color w:val="000000"/>
                <w:sz w:val="20"/>
                <w:lang w:eastAsia="en-GB"/>
              </w:rPr>
            </w:pPr>
            <w:r w:rsidRPr="008F7F9E">
              <w:rPr>
                <w:color w:val="000000"/>
                <w:sz w:val="20"/>
                <w:lang w:eastAsia="en-GB"/>
              </w:rPr>
              <w:t> </w:t>
            </w:r>
          </w:p>
        </w:tc>
        <w:tc>
          <w:tcPr>
            <w:tcW w:w="1270" w:type="dxa"/>
            <w:gridSpan w:val="2"/>
            <w:tcBorders>
              <w:top w:val="nil"/>
              <w:left w:val="nil"/>
              <w:bottom w:val="nil"/>
              <w:right w:val="nil"/>
            </w:tcBorders>
            <w:shd w:val="clear" w:color="auto" w:fill="FFFFFF" w:themeFill="background1"/>
            <w:vAlign w:val="bottom"/>
            <w:hideMark/>
          </w:tcPr>
          <w:p w:rsidR="008F7F9E" w:rsidRPr="008F7F9E" w:rsidRDefault="008F7F9E" w:rsidP="000C1C3B">
            <w:pPr>
              <w:spacing w:before="0" w:after="0" w:line="240" w:lineRule="auto"/>
              <w:jc w:val="right"/>
              <w:rPr>
                <w:color w:val="000000"/>
                <w:sz w:val="20"/>
                <w:lang w:eastAsia="en-GB"/>
              </w:rPr>
            </w:pPr>
            <w:r w:rsidRPr="008F7F9E">
              <w:rPr>
                <w:color w:val="000000"/>
                <w:sz w:val="20"/>
                <w:lang w:eastAsia="en-GB"/>
              </w:rPr>
              <w:t> </w:t>
            </w:r>
          </w:p>
        </w:tc>
        <w:tc>
          <w:tcPr>
            <w:tcW w:w="1275" w:type="dxa"/>
            <w:gridSpan w:val="2"/>
            <w:tcBorders>
              <w:top w:val="nil"/>
              <w:left w:val="nil"/>
              <w:bottom w:val="nil"/>
              <w:right w:val="nil"/>
            </w:tcBorders>
            <w:shd w:val="clear" w:color="auto" w:fill="FFFFFF" w:themeFill="background1"/>
            <w:vAlign w:val="bottom"/>
            <w:hideMark/>
          </w:tcPr>
          <w:p w:rsidR="008F7F9E" w:rsidRPr="008F7F9E" w:rsidRDefault="008F7F9E" w:rsidP="000C1C3B">
            <w:pPr>
              <w:spacing w:before="0" w:after="0" w:line="240" w:lineRule="auto"/>
              <w:jc w:val="right"/>
              <w:rPr>
                <w:color w:val="000000"/>
                <w:sz w:val="20"/>
                <w:lang w:eastAsia="en-GB"/>
              </w:rPr>
            </w:pPr>
            <w:r w:rsidRPr="008F7F9E">
              <w:rPr>
                <w:color w:val="000000"/>
                <w:sz w:val="20"/>
                <w:lang w:eastAsia="en-GB"/>
              </w:rPr>
              <w:t> </w:t>
            </w:r>
          </w:p>
        </w:tc>
      </w:tr>
      <w:tr w:rsidR="0036523A" w:rsidRPr="00BB6C2C" w:rsidTr="000C1C3B">
        <w:trPr>
          <w:trHeight w:val="300"/>
        </w:trPr>
        <w:tc>
          <w:tcPr>
            <w:tcW w:w="2283" w:type="dxa"/>
            <w:tcBorders>
              <w:top w:val="nil"/>
              <w:left w:val="nil"/>
              <w:bottom w:val="nil"/>
              <w:right w:val="nil"/>
            </w:tcBorders>
            <w:shd w:val="clear" w:color="auto" w:fill="FFFFFF" w:themeFill="background1"/>
            <w:vAlign w:val="center"/>
            <w:hideMark/>
          </w:tcPr>
          <w:p w:rsidR="0036523A" w:rsidRPr="00BB6C2C" w:rsidRDefault="0036523A" w:rsidP="000C1C3B">
            <w:pPr>
              <w:spacing w:before="0" w:after="0" w:line="240" w:lineRule="auto"/>
              <w:rPr>
                <w:color w:val="000000"/>
                <w:sz w:val="20"/>
                <w:lang w:eastAsia="en-GB"/>
              </w:rPr>
            </w:pPr>
            <w:r w:rsidRPr="00BB6C2C">
              <w:rPr>
                <w:color w:val="000000"/>
                <w:sz w:val="20"/>
                <w:lang w:eastAsia="en-GB"/>
              </w:rPr>
              <w:t>January - March 2014</w:t>
            </w:r>
          </w:p>
        </w:tc>
        <w:tc>
          <w:tcPr>
            <w:tcW w:w="1177" w:type="dxa"/>
            <w:tcBorders>
              <w:top w:val="nil"/>
              <w:left w:val="nil"/>
              <w:bottom w:val="nil"/>
              <w:right w:val="nil"/>
            </w:tcBorders>
            <w:shd w:val="clear" w:color="auto" w:fill="FFFFFF" w:themeFill="background1"/>
            <w:vAlign w:val="bottom"/>
            <w:hideMark/>
          </w:tcPr>
          <w:p w:rsidR="0036523A" w:rsidRDefault="0036523A" w:rsidP="000C1C3B">
            <w:pPr>
              <w:spacing w:before="0" w:after="0"/>
              <w:jc w:val="right"/>
              <w:rPr>
                <w:color w:val="000000"/>
                <w:sz w:val="20"/>
              </w:rPr>
            </w:pPr>
            <w:r>
              <w:rPr>
                <w:color w:val="000000"/>
                <w:sz w:val="20"/>
              </w:rPr>
              <w:t>200,628</w:t>
            </w:r>
          </w:p>
        </w:tc>
        <w:tc>
          <w:tcPr>
            <w:tcW w:w="1180" w:type="dxa"/>
            <w:tcBorders>
              <w:top w:val="nil"/>
              <w:left w:val="nil"/>
              <w:bottom w:val="nil"/>
              <w:right w:val="nil"/>
            </w:tcBorders>
            <w:shd w:val="clear" w:color="auto" w:fill="FFFFFF" w:themeFill="background1"/>
            <w:vAlign w:val="bottom"/>
            <w:hideMark/>
          </w:tcPr>
          <w:p w:rsidR="0036523A" w:rsidRPr="00BB6C2C" w:rsidRDefault="0036523A" w:rsidP="000C1C3B">
            <w:pPr>
              <w:spacing w:before="0" w:after="0" w:line="240" w:lineRule="auto"/>
              <w:jc w:val="right"/>
              <w:rPr>
                <w:color w:val="000000"/>
                <w:sz w:val="20"/>
                <w:lang w:eastAsia="en-GB"/>
              </w:rPr>
            </w:pPr>
            <w:r w:rsidRPr="00BB6C2C">
              <w:rPr>
                <w:color w:val="000000"/>
                <w:sz w:val="20"/>
                <w:lang w:eastAsia="en-GB"/>
              </w:rPr>
              <w:t>2,042</w:t>
            </w:r>
          </w:p>
        </w:tc>
        <w:tc>
          <w:tcPr>
            <w:tcW w:w="1047" w:type="dxa"/>
            <w:tcBorders>
              <w:top w:val="nil"/>
              <w:left w:val="nil"/>
              <w:bottom w:val="nil"/>
              <w:right w:val="nil"/>
            </w:tcBorders>
            <w:shd w:val="clear" w:color="auto" w:fill="FFFFFF" w:themeFill="background1"/>
            <w:vAlign w:val="bottom"/>
            <w:hideMark/>
          </w:tcPr>
          <w:p w:rsidR="0036523A" w:rsidRPr="00BB6C2C" w:rsidRDefault="0036523A" w:rsidP="000C1C3B">
            <w:pPr>
              <w:spacing w:before="0" w:after="0" w:line="240" w:lineRule="auto"/>
              <w:jc w:val="right"/>
              <w:rPr>
                <w:color w:val="000000"/>
                <w:sz w:val="20"/>
                <w:lang w:eastAsia="en-GB"/>
              </w:rPr>
            </w:pPr>
            <w:r w:rsidRPr="00BB6C2C">
              <w:rPr>
                <w:color w:val="000000"/>
                <w:sz w:val="20"/>
                <w:lang w:eastAsia="en-GB"/>
              </w:rPr>
              <w:t>369</w:t>
            </w:r>
          </w:p>
        </w:tc>
        <w:tc>
          <w:tcPr>
            <w:tcW w:w="1477" w:type="dxa"/>
            <w:gridSpan w:val="2"/>
            <w:tcBorders>
              <w:top w:val="nil"/>
              <w:left w:val="nil"/>
              <w:bottom w:val="nil"/>
              <w:right w:val="nil"/>
            </w:tcBorders>
            <w:shd w:val="clear" w:color="auto" w:fill="FFFFFF" w:themeFill="background1"/>
            <w:vAlign w:val="bottom"/>
            <w:hideMark/>
          </w:tcPr>
          <w:p w:rsidR="0036523A" w:rsidRDefault="0036523A" w:rsidP="000C1C3B">
            <w:pPr>
              <w:spacing w:before="0" w:after="0"/>
              <w:jc w:val="right"/>
              <w:rPr>
                <w:color w:val="000000"/>
                <w:sz w:val="20"/>
              </w:rPr>
            </w:pPr>
            <w:r>
              <w:rPr>
                <w:color w:val="000000"/>
                <w:sz w:val="20"/>
              </w:rPr>
              <w:t>0</w:t>
            </w:r>
          </w:p>
        </w:tc>
        <w:tc>
          <w:tcPr>
            <w:tcW w:w="939" w:type="dxa"/>
            <w:tcBorders>
              <w:top w:val="nil"/>
              <w:left w:val="nil"/>
              <w:bottom w:val="nil"/>
              <w:right w:val="nil"/>
            </w:tcBorders>
            <w:shd w:val="clear" w:color="auto" w:fill="FFFFFF" w:themeFill="background1"/>
            <w:vAlign w:val="bottom"/>
            <w:hideMark/>
          </w:tcPr>
          <w:p w:rsidR="0036523A" w:rsidRPr="008F7F9E" w:rsidRDefault="0036523A" w:rsidP="000C1C3B">
            <w:pPr>
              <w:spacing w:before="0" w:after="0" w:line="240" w:lineRule="auto"/>
              <w:jc w:val="right"/>
              <w:rPr>
                <w:color w:val="000000"/>
                <w:sz w:val="20"/>
                <w:lang w:eastAsia="en-GB"/>
              </w:rPr>
            </w:pPr>
            <w:r w:rsidRPr="008F7F9E">
              <w:rPr>
                <w:color w:val="000000"/>
                <w:sz w:val="20"/>
                <w:lang w:eastAsia="en-GB"/>
              </w:rPr>
              <w:t>21,928</w:t>
            </w:r>
          </w:p>
        </w:tc>
        <w:tc>
          <w:tcPr>
            <w:tcW w:w="1270" w:type="dxa"/>
            <w:gridSpan w:val="2"/>
            <w:tcBorders>
              <w:top w:val="nil"/>
              <w:left w:val="nil"/>
              <w:bottom w:val="nil"/>
              <w:right w:val="nil"/>
            </w:tcBorders>
            <w:shd w:val="clear" w:color="auto" w:fill="FFFFFF" w:themeFill="background1"/>
            <w:vAlign w:val="bottom"/>
            <w:hideMark/>
          </w:tcPr>
          <w:p w:rsidR="0036523A" w:rsidRPr="008F7F9E" w:rsidRDefault="0036523A" w:rsidP="000C1C3B">
            <w:pPr>
              <w:spacing w:before="0" w:after="0" w:line="240" w:lineRule="auto"/>
              <w:jc w:val="right"/>
              <w:rPr>
                <w:color w:val="000000"/>
                <w:sz w:val="20"/>
                <w:lang w:eastAsia="en-GB"/>
              </w:rPr>
            </w:pPr>
            <w:r w:rsidRPr="008F7F9E">
              <w:rPr>
                <w:color w:val="000000"/>
                <w:sz w:val="20"/>
                <w:lang w:eastAsia="en-GB"/>
              </w:rPr>
              <w:t>1,178</w:t>
            </w:r>
          </w:p>
        </w:tc>
        <w:tc>
          <w:tcPr>
            <w:tcW w:w="1275" w:type="dxa"/>
            <w:gridSpan w:val="2"/>
            <w:tcBorders>
              <w:top w:val="nil"/>
              <w:left w:val="nil"/>
              <w:bottom w:val="nil"/>
              <w:right w:val="nil"/>
            </w:tcBorders>
            <w:shd w:val="clear" w:color="auto" w:fill="FFFFFF" w:themeFill="background1"/>
            <w:vAlign w:val="bottom"/>
            <w:hideMark/>
          </w:tcPr>
          <w:p w:rsidR="0036523A" w:rsidRPr="008F7F9E" w:rsidRDefault="0036523A" w:rsidP="000C1C3B">
            <w:pPr>
              <w:spacing w:before="0" w:after="0" w:line="240" w:lineRule="auto"/>
              <w:jc w:val="right"/>
              <w:rPr>
                <w:color w:val="000000"/>
                <w:sz w:val="20"/>
                <w:lang w:eastAsia="en-GB"/>
              </w:rPr>
            </w:pPr>
            <w:r w:rsidRPr="008F7F9E">
              <w:rPr>
                <w:color w:val="000000"/>
                <w:sz w:val="20"/>
                <w:lang w:eastAsia="en-GB"/>
              </w:rPr>
              <w:t>N/A </w:t>
            </w:r>
          </w:p>
        </w:tc>
      </w:tr>
      <w:tr w:rsidR="0036523A" w:rsidRPr="00BB6C2C" w:rsidTr="000C1C3B">
        <w:trPr>
          <w:trHeight w:val="300"/>
        </w:trPr>
        <w:tc>
          <w:tcPr>
            <w:tcW w:w="2283" w:type="dxa"/>
            <w:tcBorders>
              <w:top w:val="nil"/>
              <w:left w:val="nil"/>
              <w:bottom w:val="nil"/>
              <w:right w:val="nil"/>
            </w:tcBorders>
            <w:shd w:val="clear" w:color="auto" w:fill="FFFFFF" w:themeFill="background1"/>
            <w:vAlign w:val="center"/>
            <w:hideMark/>
          </w:tcPr>
          <w:p w:rsidR="0036523A" w:rsidRPr="00BB6C2C" w:rsidRDefault="0036523A" w:rsidP="000C1C3B">
            <w:pPr>
              <w:spacing w:before="0" w:after="0" w:line="240" w:lineRule="auto"/>
              <w:rPr>
                <w:color w:val="000000"/>
                <w:sz w:val="20"/>
                <w:lang w:eastAsia="en-GB"/>
              </w:rPr>
            </w:pPr>
            <w:r w:rsidRPr="00BB6C2C">
              <w:rPr>
                <w:color w:val="000000"/>
                <w:sz w:val="20"/>
                <w:lang w:eastAsia="en-GB"/>
              </w:rPr>
              <w:t>April - June 2014</w:t>
            </w:r>
          </w:p>
        </w:tc>
        <w:tc>
          <w:tcPr>
            <w:tcW w:w="1177" w:type="dxa"/>
            <w:tcBorders>
              <w:top w:val="nil"/>
              <w:left w:val="nil"/>
              <w:bottom w:val="nil"/>
              <w:right w:val="nil"/>
            </w:tcBorders>
            <w:shd w:val="clear" w:color="auto" w:fill="FFFFFF" w:themeFill="background1"/>
            <w:vAlign w:val="bottom"/>
            <w:hideMark/>
          </w:tcPr>
          <w:p w:rsidR="0036523A" w:rsidRDefault="0036523A" w:rsidP="000C1C3B">
            <w:pPr>
              <w:spacing w:before="0" w:after="0"/>
              <w:jc w:val="right"/>
              <w:rPr>
                <w:color w:val="000000"/>
                <w:sz w:val="20"/>
              </w:rPr>
            </w:pPr>
            <w:r>
              <w:rPr>
                <w:color w:val="000000"/>
                <w:sz w:val="20"/>
              </w:rPr>
              <w:t>85,947</w:t>
            </w:r>
          </w:p>
        </w:tc>
        <w:tc>
          <w:tcPr>
            <w:tcW w:w="1180" w:type="dxa"/>
            <w:tcBorders>
              <w:top w:val="nil"/>
              <w:left w:val="nil"/>
              <w:bottom w:val="nil"/>
              <w:right w:val="nil"/>
            </w:tcBorders>
            <w:shd w:val="clear" w:color="auto" w:fill="FFFFFF" w:themeFill="background1"/>
            <w:vAlign w:val="bottom"/>
            <w:hideMark/>
          </w:tcPr>
          <w:p w:rsidR="0036523A" w:rsidRPr="00BB6C2C" w:rsidRDefault="0036523A" w:rsidP="000C1C3B">
            <w:pPr>
              <w:spacing w:before="0" w:after="0" w:line="240" w:lineRule="auto"/>
              <w:jc w:val="right"/>
              <w:rPr>
                <w:color w:val="000000"/>
                <w:sz w:val="20"/>
                <w:lang w:eastAsia="en-GB"/>
              </w:rPr>
            </w:pPr>
            <w:r w:rsidRPr="00BB6C2C">
              <w:rPr>
                <w:color w:val="000000"/>
                <w:sz w:val="20"/>
                <w:lang w:eastAsia="en-GB"/>
              </w:rPr>
              <w:t>3,520</w:t>
            </w:r>
          </w:p>
        </w:tc>
        <w:tc>
          <w:tcPr>
            <w:tcW w:w="1047" w:type="dxa"/>
            <w:tcBorders>
              <w:top w:val="nil"/>
              <w:left w:val="nil"/>
              <w:bottom w:val="nil"/>
              <w:right w:val="nil"/>
            </w:tcBorders>
            <w:shd w:val="clear" w:color="auto" w:fill="FFFFFF" w:themeFill="background1"/>
            <w:vAlign w:val="bottom"/>
            <w:hideMark/>
          </w:tcPr>
          <w:p w:rsidR="0036523A" w:rsidRPr="00BB6C2C" w:rsidRDefault="0036523A" w:rsidP="000C1C3B">
            <w:pPr>
              <w:spacing w:before="0" w:after="0" w:line="240" w:lineRule="auto"/>
              <w:jc w:val="right"/>
              <w:rPr>
                <w:color w:val="000000"/>
                <w:sz w:val="20"/>
                <w:lang w:eastAsia="en-GB"/>
              </w:rPr>
            </w:pPr>
            <w:r w:rsidRPr="00BB6C2C">
              <w:rPr>
                <w:color w:val="000000"/>
                <w:sz w:val="20"/>
                <w:lang w:eastAsia="en-GB"/>
              </w:rPr>
              <w:t>592</w:t>
            </w:r>
          </w:p>
        </w:tc>
        <w:tc>
          <w:tcPr>
            <w:tcW w:w="1477" w:type="dxa"/>
            <w:gridSpan w:val="2"/>
            <w:tcBorders>
              <w:top w:val="nil"/>
              <w:left w:val="nil"/>
              <w:bottom w:val="nil"/>
              <w:right w:val="nil"/>
            </w:tcBorders>
            <w:shd w:val="clear" w:color="auto" w:fill="FFFFFF" w:themeFill="background1"/>
            <w:vAlign w:val="bottom"/>
            <w:hideMark/>
          </w:tcPr>
          <w:p w:rsidR="0036523A" w:rsidRDefault="0036523A" w:rsidP="000C1C3B">
            <w:pPr>
              <w:spacing w:before="0" w:after="0"/>
              <w:jc w:val="right"/>
              <w:rPr>
                <w:color w:val="000000"/>
                <w:sz w:val="20"/>
              </w:rPr>
            </w:pPr>
            <w:r>
              <w:rPr>
                <w:color w:val="000000"/>
                <w:sz w:val="20"/>
              </w:rPr>
              <w:t>632</w:t>
            </w:r>
          </w:p>
        </w:tc>
        <w:tc>
          <w:tcPr>
            <w:tcW w:w="939" w:type="dxa"/>
            <w:tcBorders>
              <w:top w:val="nil"/>
              <w:left w:val="nil"/>
              <w:bottom w:val="nil"/>
              <w:right w:val="nil"/>
            </w:tcBorders>
            <w:shd w:val="clear" w:color="auto" w:fill="FFFFFF" w:themeFill="background1"/>
            <w:vAlign w:val="bottom"/>
            <w:hideMark/>
          </w:tcPr>
          <w:p w:rsidR="0036523A" w:rsidRPr="008F7F9E" w:rsidRDefault="0036523A" w:rsidP="000C1C3B">
            <w:pPr>
              <w:spacing w:before="0" w:after="0" w:line="240" w:lineRule="auto"/>
              <w:jc w:val="right"/>
              <w:rPr>
                <w:color w:val="000000"/>
                <w:sz w:val="20"/>
                <w:lang w:eastAsia="en-GB"/>
              </w:rPr>
            </w:pPr>
            <w:r w:rsidRPr="008F7F9E">
              <w:rPr>
                <w:color w:val="000000"/>
                <w:sz w:val="20"/>
                <w:lang w:eastAsia="en-GB"/>
              </w:rPr>
              <w:t>29,127</w:t>
            </w:r>
          </w:p>
        </w:tc>
        <w:tc>
          <w:tcPr>
            <w:tcW w:w="1270" w:type="dxa"/>
            <w:gridSpan w:val="2"/>
            <w:tcBorders>
              <w:top w:val="nil"/>
              <w:left w:val="nil"/>
              <w:bottom w:val="nil"/>
              <w:right w:val="nil"/>
            </w:tcBorders>
            <w:shd w:val="clear" w:color="auto" w:fill="FFFFFF" w:themeFill="background1"/>
            <w:vAlign w:val="bottom"/>
            <w:hideMark/>
          </w:tcPr>
          <w:p w:rsidR="0036523A" w:rsidRPr="008F7F9E" w:rsidRDefault="0036523A" w:rsidP="000C1C3B">
            <w:pPr>
              <w:spacing w:before="0" w:after="0" w:line="240" w:lineRule="auto"/>
              <w:jc w:val="right"/>
              <w:rPr>
                <w:color w:val="000000"/>
                <w:sz w:val="20"/>
                <w:lang w:eastAsia="en-GB"/>
              </w:rPr>
            </w:pPr>
            <w:r w:rsidRPr="008F7F9E">
              <w:rPr>
                <w:color w:val="000000"/>
                <w:sz w:val="20"/>
                <w:lang w:eastAsia="en-GB"/>
              </w:rPr>
              <w:t>2,825</w:t>
            </w:r>
          </w:p>
        </w:tc>
        <w:tc>
          <w:tcPr>
            <w:tcW w:w="1275" w:type="dxa"/>
            <w:gridSpan w:val="2"/>
            <w:tcBorders>
              <w:top w:val="nil"/>
              <w:left w:val="nil"/>
              <w:bottom w:val="nil"/>
              <w:right w:val="nil"/>
            </w:tcBorders>
            <w:shd w:val="clear" w:color="auto" w:fill="FFFFFF" w:themeFill="background1"/>
            <w:vAlign w:val="bottom"/>
            <w:hideMark/>
          </w:tcPr>
          <w:p w:rsidR="0036523A" w:rsidRPr="008F7F9E" w:rsidRDefault="0036523A" w:rsidP="000C1C3B">
            <w:pPr>
              <w:spacing w:before="0" w:after="0" w:line="240" w:lineRule="auto"/>
              <w:jc w:val="right"/>
              <w:rPr>
                <w:color w:val="000000"/>
                <w:sz w:val="20"/>
                <w:lang w:eastAsia="en-GB"/>
              </w:rPr>
            </w:pPr>
            <w:r w:rsidRPr="008F7F9E">
              <w:rPr>
                <w:color w:val="000000"/>
                <w:sz w:val="20"/>
                <w:lang w:eastAsia="en-GB"/>
              </w:rPr>
              <w:t>328</w:t>
            </w:r>
          </w:p>
        </w:tc>
      </w:tr>
      <w:tr w:rsidR="0036523A" w:rsidRPr="00BB6C2C" w:rsidTr="000C1C3B">
        <w:trPr>
          <w:trHeight w:val="300"/>
        </w:trPr>
        <w:tc>
          <w:tcPr>
            <w:tcW w:w="2283" w:type="dxa"/>
            <w:tcBorders>
              <w:top w:val="nil"/>
              <w:left w:val="nil"/>
              <w:bottom w:val="nil"/>
              <w:right w:val="nil"/>
            </w:tcBorders>
            <w:shd w:val="clear" w:color="auto" w:fill="FFFFFF" w:themeFill="background1"/>
            <w:vAlign w:val="center"/>
            <w:hideMark/>
          </w:tcPr>
          <w:p w:rsidR="0036523A" w:rsidRPr="00BB6C2C" w:rsidRDefault="0036523A" w:rsidP="000C1C3B">
            <w:pPr>
              <w:spacing w:before="0" w:after="0" w:line="240" w:lineRule="auto"/>
              <w:rPr>
                <w:color w:val="000000"/>
                <w:sz w:val="20"/>
                <w:lang w:eastAsia="en-GB"/>
              </w:rPr>
            </w:pPr>
            <w:r w:rsidRPr="00BB6C2C">
              <w:rPr>
                <w:color w:val="000000"/>
                <w:sz w:val="20"/>
                <w:lang w:eastAsia="en-GB"/>
              </w:rPr>
              <w:t>July – September 2014</w:t>
            </w:r>
          </w:p>
        </w:tc>
        <w:tc>
          <w:tcPr>
            <w:tcW w:w="1177" w:type="dxa"/>
            <w:tcBorders>
              <w:top w:val="nil"/>
              <w:left w:val="nil"/>
              <w:bottom w:val="nil"/>
              <w:right w:val="nil"/>
            </w:tcBorders>
            <w:shd w:val="clear" w:color="auto" w:fill="FFFFFF" w:themeFill="background1"/>
            <w:vAlign w:val="bottom"/>
            <w:hideMark/>
          </w:tcPr>
          <w:p w:rsidR="0036523A" w:rsidRDefault="0036523A" w:rsidP="000C1C3B">
            <w:pPr>
              <w:spacing w:before="0" w:after="0"/>
              <w:jc w:val="right"/>
              <w:rPr>
                <w:color w:val="000000"/>
                <w:sz w:val="20"/>
              </w:rPr>
            </w:pPr>
            <w:r>
              <w:rPr>
                <w:color w:val="000000"/>
                <w:sz w:val="20"/>
              </w:rPr>
              <w:t>54,633</w:t>
            </w:r>
          </w:p>
        </w:tc>
        <w:tc>
          <w:tcPr>
            <w:tcW w:w="1180" w:type="dxa"/>
            <w:tcBorders>
              <w:top w:val="nil"/>
              <w:left w:val="nil"/>
              <w:bottom w:val="nil"/>
              <w:right w:val="nil"/>
            </w:tcBorders>
            <w:shd w:val="clear" w:color="auto" w:fill="FFFFFF" w:themeFill="background1"/>
            <w:vAlign w:val="bottom"/>
            <w:hideMark/>
          </w:tcPr>
          <w:p w:rsidR="0036523A" w:rsidRPr="00BB6C2C" w:rsidRDefault="0036523A" w:rsidP="000C1C3B">
            <w:pPr>
              <w:spacing w:before="0" w:after="0" w:line="240" w:lineRule="auto"/>
              <w:jc w:val="right"/>
              <w:rPr>
                <w:color w:val="000000"/>
                <w:sz w:val="20"/>
                <w:lang w:eastAsia="en-GB"/>
              </w:rPr>
            </w:pPr>
            <w:r w:rsidRPr="00BB6C2C">
              <w:rPr>
                <w:color w:val="000000"/>
                <w:sz w:val="20"/>
                <w:lang w:eastAsia="en-GB"/>
              </w:rPr>
              <w:t>216</w:t>
            </w:r>
          </w:p>
        </w:tc>
        <w:tc>
          <w:tcPr>
            <w:tcW w:w="1047" w:type="dxa"/>
            <w:tcBorders>
              <w:top w:val="nil"/>
              <w:left w:val="nil"/>
              <w:bottom w:val="nil"/>
              <w:right w:val="nil"/>
            </w:tcBorders>
            <w:shd w:val="clear" w:color="auto" w:fill="FFFFFF" w:themeFill="background1"/>
            <w:vAlign w:val="bottom"/>
            <w:hideMark/>
          </w:tcPr>
          <w:p w:rsidR="0036523A" w:rsidRPr="00BB6C2C" w:rsidRDefault="0036523A" w:rsidP="000C1C3B">
            <w:pPr>
              <w:spacing w:before="0" w:after="0" w:line="240" w:lineRule="auto"/>
              <w:jc w:val="right"/>
              <w:rPr>
                <w:color w:val="000000"/>
                <w:sz w:val="20"/>
                <w:lang w:eastAsia="en-GB"/>
              </w:rPr>
            </w:pPr>
            <w:r w:rsidRPr="00BB6C2C">
              <w:rPr>
                <w:color w:val="000000"/>
                <w:sz w:val="20"/>
                <w:lang w:eastAsia="en-GB"/>
              </w:rPr>
              <w:t>994</w:t>
            </w:r>
          </w:p>
        </w:tc>
        <w:tc>
          <w:tcPr>
            <w:tcW w:w="1477" w:type="dxa"/>
            <w:gridSpan w:val="2"/>
            <w:tcBorders>
              <w:top w:val="nil"/>
              <w:left w:val="nil"/>
              <w:bottom w:val="nil"/>
              <w:right w:val="nil"/>
            </w:tcBorders>
            <w:shd w:val="clear" w:color="auto" w:fill="FFFFFF" w:themeFill="background1"/>
            <w:vAlign w:val="bottom"/>
            <w:hideMark/>
          </w:tcPr>
          <w:p w:rsidR="0036523A" w:rsidRDefault="0036523A" w:rsidP="000C1C3B">
            <w:pPr>
              <w:spacing w:before="0" w:after="0"/>
              <w:jc w:val="right"/>
              <w:rPr>
                <w:color w:val="000000"/>
                <w:sz w:val="20"/>
              </w:rPr>
            </w:pPr>
            <w:r>
              <w:rPr>
                <w:color w:val="000000"/>
                <w:sz w:val="20"/>
              </w:rPr>
              <w:t>5,971</w:t>
            </w:r>
          </w:p>
        </w:tc>
        <w:tc>
          <w:tcPr>
            <w:tcW w:w="939" w:type="dxa"/>
            <w:tcBorders>
              <w:top w:val="nil"/>
              <w:left w:val="nil"/>
              <w:bottom w:val="nil"/>
              <w:right w:val="nil"/>
            </w:tcBorders>
            <w:shd w:val="clear" w:color="auto" w:fill="FFFFFF" w:themeFill="background1"/>
            <w:vAlign w:val="bottom"/>
            <w:hideMark/>
          </w:tcPr>
          <w:p w:rsidR="0036523A" w:rsidRPr="008F7F9E" w:rsidRDefault="0036523A" w:rsidP="000C1C3B">
            <w:pPr>
              <w:spacing w:before="0" w:after="0" w:line="240" w:lineRule="auto"/>
              <w:jc w:val="right"/>
              <w:rPr>
                <w:color w:val="000000"/>
                <w:sz w:val="20"/>
                <w:lang w:eastAsia="en-GB"/>
              </w:rPr>
            </w:pPr>
            <w:r w:rsidRPr="008F7F9E">
              <w:rPr>
                <w:color w:val="000000"/>
                <w:sz w:val="20"/>
                <w:lang w:eastAsia="en-GB"/>
              </w:rPr>
              <w:t>28,297</w:t>
            </w:r>
          </w:p>
        </w:tc>
        <w:tc>
          <w:tcPr>
            <w:tcW w:w="1270" w:type="dxa"/>
            <w:gridSpan w:val="2"/>
            <w:tcBorders>
              <w:top w:val="nil"/>
              <w:left w:val="nil"/>
              <w:bottom w:val="nil"/>
              <w:right w:val="nil"/>
            </w:tcBorders>
            <w:shd w:val="clear" w:color="auto" w:fill="FFFFFF" w:themeFill="background1"/>
            <w:vAlign w:val="bottom"/>
            <w:hideMark/>
          </w:tcPr>
          <w:p w:rsidR="0036523A" w:rsidRPr="008F7F9E" w:rsidRDefault="0036523A" w:rsidP="000C1C3B">
            <w:pPr>
              <w:spacing w:before="0" w:after="0" w:line="240" w:lineRule="auto"/>
              <w:jc w:val="right"/>
              <w:rPr>
                <w:color w:val="000000"/>
                <w:sz w:val="20"/>
                <w:lang w:eastAsia="en-GB"/>
              </w:rPr>
            </w:pPr>
            <w:r w:rsidRPr="008F7F9E">
              <w:rPr>
                <w:color w:val="000000"/>
                <w:sz w:val="20"/>
                <w:lang w:eastAsia="en-GB"/>
              </w:rPr>
              <w:t>6</w:t>
            </w:r>
          </w:p>
        </w:tc>
        <w:tc>
          <w:tcPr>
            <w:tcW w:w="1275" w:type="dxa"/>
            <w:gridSpan w:val="2"/>
            <w:tcBorders>
              <w:top w:val="nil"/>
              <w:left w:val="nil"/>
              <w:bottom w:val="nil"/>
              <w:right w:val="nil"/>
            </w:tcBorders>
            <w:shd w:val="clear" w:color="auto" w:fill="FFFFFF" w:themeFill="background1"/>
            <w:vAlign w:val="bottom"/>
            <w:hideMark/>
          </w:tcPr>
          <w:p w:rsidR="0036523A" w:rsidRPr="008F7F9E" w:rsidRDefault="0036523A" w:rsidP="000C1C3B">
            <w:pPr>
              <w:spacing w:before="0" w:after="0" w:line="240" w:lineRule="auto"/>
              <w:jc w:val="right"/>
              <w:rPr>
                <w:color w:val="000000"/>
                <w:sz w:val="20"/>
                <w:lang w:eastAsia="en-GB"/>
              </w:rPr>
            </w:pPr>
            <w:r w:rsidRPr="008F7F9E">
              <w:rPr>
                <w:color w:val="000000"/>
                <w:sz w:val="20"/>
                <w:lang w:eastAsia="en-GB"/>
              </w:rPr>
              <w:t>1,375</w:t>
            </w:r>
          </w:p>
        </w:tc>
      </w:tr>
      <w:tr w:rsidR="0036523A" w:rsidRPr="00BB6C2C" w:rsidTr="000C1C3B">
        <w:trPr>
          <w:trHeight w:val="300"/>
        </w:trPr>
        <w:tc>
          <w:tcPr>
            <w:tcW w:w="2283" w:type="dxa"/>
            <w:tcBorders>
              <w:top w:val="nil"/>
              <w:left w:val="nil"/>
              <w:bottom w:val="nil"/>
              <w:right w:val="nil"/>
            </w:tcBorders>
            <w:shd w:val="clear" w:color="auto" w:fill="FFFFFF" w:themeFill="background1"/>
            <w:vAlign w:val="center"/>
            <w:hideMark/>
          </w:tcPr>
          <w:p w:rsidR="0036523A" w:rsidRPr="00BB6C2C" w:rsidRDefault="0036523A" w:rsidP="000C1C3B">
            <w:pPr>
              <w:spacing w:before="0" w:after="0" w:line="240" w:lineRule="auto"/>
              <w:rPr>
                <w:color w:val="000000"/>
                <w:sz w:val="20"/>
                <w:lang w:eastAsia="en-GB"/>
              </w:rPr>
            </w:pPr>
            <w:r w:rsidRPr="00BB6C2C">
              <w:rPr>
                <w:color w:val="000000"/>
                <w:sz w:val="20"/>
                <w:lang w:eastAsia="en-GB"/>
              </w:rPr>
              <w:t> </w:t>
            </w:r>
          </w:p>
        </w:tc>
        <w:tc>
          <w:tcPr>
            <w:tcW w:w="1177" w:type="dxa"/>
            <w:tcBorders>
              <w:top w:val="nil"/>
              <w:left w:val="nil"/>
              <w:bottom w:val="nil"/>
              <w:right w:val="nil"/>
            </w:tcBorders>
            <w:shd w:val="clear" w:color="auto" w:fill="FFFFFF" w:themeFill="background1"/>
            <w:vAlign w:val="bottom"/>
            <w:hideMark/>
          </w:tcPr>
          <w:p w:rsidR="0036523A" w:rsidRDefault="0036523A" w:rsidP="000C1C3B">
            <w:pPr>
              <w:spacing w:before="0" w:after="0"/>
              <w:jc w:val="right"/>
              <w:rPr>
                <w:color w:val="000000"/>
                <w:sz w:val="20"/>
              </w:rPr>
            </w:pPr>
            <w:r>
              <w:rPr>
                <w:color w:val="000000"/>
                <w:sz w:val="20"/>
              </w:rPr>
              <w:t> </w:t>
            </w:r>
          </w:p>
        </w:tc>
        <w:tc>
          <w:tcPr>
            <w:tcW w:w="1180" w:type="dxa"/>
            <w:tcBorders>
              <w:top w:val="nil"/>
              <w:left w:val="nil"/>
              <w:bottom w:val="nil"/>
              <w:right w:val="nil"/>
            </w:tcBorders>
            <w:shd w:val="clear" w:color="auto" w:fill="FFFFFF" w:themeFill="background1"/>
            <w:vAlign w:val="bottom"/>
            <w:hideMark/>
          </w:tcPr>
          <w:p w:rsidR="0036523A" w:rsidRPr="00BB6C2C" w:rsidRDefault="0036523A" w:rsidP="000C1C3B">
            <w:pPr>
              <w:spacing w:before="0" w:after="0" w:line="240" w:lineRule="auto"/>
              <w:jc w:val="right"/>
              <w:rPr>
                <w:color w:val="000000"/>
                <w:sz w:val="20"/>
                <w:lang w:eastAsia="en-GB"/>
              </w:rPr>
            </w:pPr>
            <w:r w:rsidRPr="00BB6C2C">
              <w:rPr>
                <w:color w:val="000000"/>
                <w:sz w:val="20"/>
                <w:lang w:eastAsia="en-GB"/>
              </w:rPr>
              <w:t> </w:t>
            </w:r>
          </w:p>
        </w:tc>
        <w:tc>
          <w:tcPr>
            <w:tcW w:w="1047" w:type="dxa"/>
            <w:tcBorders>
              <w:top w:val="nil"/>
              <w:left w:val="nil"/>
              <w:bottom w:val="nil"/>
              <w:right w:val="nil"/>
            </w:tcBorders>
            <w:shd w:val="clear" w:color="auto" w:fill="FFFFFF" w:themeFill="background1"/>
            <w:vAlign w:val="bottom"/>
            <w:hideMark/>
          </w:tcPr>
          <w:p w:rsidR="0036523A" w:rsidRPr="00BB6C2C" w:rsidRDefault="0036523A" w:rsidP="000C1C3B">
            <w:pPr>
              <w:spacing w:before="0" w:after="0" w:line="240" w:lineRule="auto"/>
              <w:jc w:val="right"/>
              <w:rPr>
                <w:color w:val="000000"/>
                <w:sz w:val="20"/>
                <w:lang w:eastAsia="en-GB"/>
              </w:rPr>
            </w:pPr>
            <w:r w:rsidRPr="00BB6C2C">
              <w:rPr>
                <w:color w:val="000000"/>
                <w:sz w:val="20"/>
                <w:lang w:eastAsia="en-GB"/>
              </w:rPr>
              <w:t> </w:t>
            </w:r>
          </w:p>
        </w:tc>
        <w:tc>
          <w:tcPr>
            <w:tcW w:w="1477" w:type="dxa"/>
            <w:gridSpan w:val="2"/>
            <w:tcBorders>
              <w:top w:val="nil"/>
              <w:left w:val="nil"/>
              <w:bottom w:val="nil"/>
              <w:right w:val="nil"/>
            </w:tcBorders>
            <w:shd w:val="clear" w:color="auto" w:fill="FFFFFF" w:themeFill="background1"/>
            <w:vAlign w:val="bottom"/>
            <w:hideMark/>
          </w:tcPr>
          <w:p w:rsidR="0036523A" w:rsidRDefault="0036523A" w:rsidP="000C1C3B">
            <w:pPr>
              <w:spacing w:before="0" w:after="0"/>
              <w:jc w:val="right"/>
              <w:rPr>
                <w:color w:val="000000"/>
                <w:sz w:val="20"/>
              </w:rPr>
            </w:pPr>
            <w:r>
              <w:rPr>
                <w:color w:val="000000"/>
                <w:sz w:val="20"/>
              </w:rPr>
              <w:t> </w:t>
            </w:r>
          </w:p>
        </w:tc>
        <w:tc>
          <w:tcPr>
            <w:tcW w:w="939" w:type="dxa"/>
            <w:tcBorders>
              <w:top w:val="nil"/>
              <w:left w:val="nil"/>
              <w:bottom w:val="nil"/>
              <w:right w:val="nil"/>
            </w:tcBorders>
            <w:shd w:val="clear" w:color="auto" w:fill="FFFFFF" w:themeFill="background1"/>
            <w:vAlign w:val="bottom"/>
            <w:hideMark/>
          </w:tcPr>
          <w:p w:rsidR="0036523A" w:rsidRPr="008F7F9E" w:rsidRDefault="0036523A" w:rsidP="000C1C3B">
            <w:pPr>
              <w:spacing w:before="0" w:after="0" w:line="240" w:lineRule="auto"/>
              <w:jc w:val="right"/>
              <w:rPr>
                <w:color w:val="000000"/>
                <w:sz w:val="20"/>
                <w:lang w:eastAsia="en-GB"/>
              </w:rPr>
            </w:pPr>
            <w:r w:rsidRPr="008F7F9E">
              <w:rPr>
                <w:color w:val="000000"/>
                <w:sz w:val="20"/>
                <w:lang w:eastAsia="en-GB"/>
              </w:rPr>
              <w:t> </w:t>
            </w:r>
          </w:p>
        </w:tc>
        <w:tc>
          <w:tcPr>
            <w:tcW w:w="1270" w:type="dxa"/>
            <w:gridSpan w:val="2"/>
            <w:tcBorders>
              <w:top w:val="nil"/>
              <w:left w:val="nil"/>
              <w:bottom w:val="nil"/>
              <w:right w:val="nil"/>
            </w:tcBorders>
            <w:shd w:val="clear" w:color="auto" w:fill="FFFFFF" w:themeFill="background1"/>
            <w:vAlign w:val="bottom"/>
            <w:hideMark/>
          </w:tcPr>
          <w:p w:rsidR="0036523A" w:rsidRPr="008F7F9E" w:rsidRDefault="0036523A" w:rsidP="000C1C3B">
            <w:pPr>
              <w:spacing w:before="0" w:after="0" w:line="240" w:lineRule="auto"/>
              <w:jc w:val="right"/>
              <w:rPr>
                <w:color w:val="000000"/>
                <w:sz w:val="20"/>
                <w:lang w:eastAsia="en-GB"/>
              </w:rPr>
            </w:pPr>
            <w:r w:rsidRPr="008F7F9E">
              <w:rPr>
                <w:color w:val="000000"/>
                <w:sz w:val="20"/>
                <w:lang w:eastAsia="en-GB"/>
              </w:rPr>
              <w:t> </w:t>
            </w:r>
          </w:p>
        </w:tc>
        <w:tc>
          <w:tcPr>
            <w:tcW w:w="1275" w:type="dxa"/>
            <w:gridSpan w:val="2"/>
            <w:tcBorders>
              <w:top w:val="nil"/>
              <w:left w:val="nil"/>
              <w:bottom w:val="nil"/>
              <w:right w:val="nil"/>
            </w:tcBorders>
            <w:shd w:val="clear" w:color="auto" w:fill="FFFFFF" w:themeFill="background1"/>
            <w:vAlign w:val="bottom"/>
            <w:hideMark/>
          </w:tcPr>
          <w:p w:rsidR="0036523A" w:rsidRPr="008F7F9E" w:rsidRDefault="0036523A" w:rsidP="000C1C3B">
            <w:pPr>
              <w:spacing w:before="0" w:after="0" w:line="240" w:lineRule="auto"/>
              <w:jc w:val="right"/>
              <w:rPr>
                <w:color w:val="000000"/>
                <w:sz w:val="20"/>
                <w:lang w:eastAsia="en-GB"/>
              </w:rPr>
            </w:pPr>
            <w:r w:rsidRPr="008F7F9E">
              <w:rPr>
                <w:color w:val="000000"/>
                <w:sz w:val="20"/>
                <w:lang w:eastAsia="en-GB"/>
              </w:rPr>
              <w:t> </w:t>
            </w:r>
          </w:p>
        </w:tc>
      </w:tr>
      <w:tr w:rsidR="0036523A" w:rsidRPr="00BB6C2C" w:rsidTr="000C1C3B">
        <w:trPr>
          <w:trHeight w:val="551"/>
        </w:trPr>
        <w:tc>
          <w:tcPr>
            <w:tcW w:w="2283" w:type="dxa"/>
            <w:tcBorders>
              <w:top w:val="nil"/>
              <w:left w:val="nil"/>
              <w:bottom w:val="single" w:sz="8" w:space="0" w:color="auto"/>
              <w:right w:val="nil"/>
            </w:tcBorders>
            <w:shd w:val="clear" w:color="auto" w:fill="FFFFFF" w:themeFill="background1"/>
            <w:vAlign w:val="center"/>
            <w:hideMark/>
          </w:tcPr>
          <w:p w:rsidR="0036523A" w:rsidRPr="008F7F9E" w:rsidRDefault="0036523A" w:rsidP="000C1C3B">
            <w:pPr>
              <w:spacing w:before="0" w:after="0" w:line="240" w:lineRule="auto"/>
              <w:rPr>
                <w:b/>
                <w:bCs/>
                <w:color w:val="000000"/>
                <w:sz w:val="20"/>
                <w:lang w:eastAsia="en-GB"/>
              </w:rPr>
            </w:pPr>
            <w:r w:rsidRPr="008F7F9E">
              <w:rPr>
                <w:b/>
                <w:bCs/>
                <w:color w:val="000000"/>
                <w:sz w:val="20"/>
                <w:lang w:eastAsia="en-GB"/>
              </w:rPr>
              <w:t>Total from January 2013 to September 2014</w:t>
            </w:r>
            <w:r w:rsidR="008A6D7F">
              <w:rPr>
                <w:b/>
                <w:bCs/>
                <w:color w:val="000000"/>
                <w:sz w:val="20"/>
                <w:lang w:eastAsia="en-GB"/>
              </w:rPr>
              <w:t xml:space="preserve"> </w:t>
            </w:r>
            <w:r w:rsidRPr="008F7F9E">
              <w:rPr>
                <w:b/>
                <w:bCs/>
                <w:color w:val="000000"/>
                <w:sz w:val="20"/>
                <w:vertAlign w:val="superscript"/>
                <w:lang w:eastAsia="en-GB"/>
              </w:rPr>
              <w:t>8</w:t>
            </w:r>
          </w:p>
        </w:tc>
        <w:tc>
          <w:tcPr>
            <w:tcW w:w="1177" w:type="dxa"/>
            <w:tcBorders>
              <w:top w:val="nil"/>
              <w:left w:val="nil"/>
              <w:bottom w:val="single" w:sz="8" w:space="0" w:color="auto"/>
              <w:right w:val="nil"/>
            </w:tcBorders>
            <w:shd w:val="clear" w:color="auto" w:fill="FFFFFF" w:themeFill="background1"/>
            <w:vAlign w:val="bottom"/>
            <w:hideMark/>
          </w:tcPr>
          <w:p w:rsidR="0036523A" w:rsidRPr="008F7F9E" w:rsidRDefault="0036523A" w:rsidP="000C1C3B">
            <w:pPr>
              <w:spacing w:before="0"/>
              <w:jc w:val="right"/>
              <w:rPr>
                <w:b/>
                <w:bCs/>
                <w:color w:val="000000"/>
                <w:sz w:val="20"/>
              </w:rPr>
            </w:pPr>
            <w:r w:rsidRPr="008F7F9E">
              <w:rPr>
                <w:b/>
                <w:bCs/>
                <w:color w:val="000000"/>
                <w:sz w:val="20"/>
              </w:rPr>
              <w:t>785,394</w:t>
            </w:r>
          </w:p>
        </w:tc>
        <w:tc>
          <w:tcPr>
            <w:tcW w:w="1180" w:type="dxa"/>
            <w:tcBorders>
              <w:top w:val="nil"/>
              <w:left w:val="nil"/>
              <w:bottom w:val="single" w:sz="8" w:space="0" w:color="auto"/>
              <w:right w:val="nil"/>
            </w:tcBorders>
            <w:shd w:val="clear" w:color="auto" w:fill="FFFFFF" w:themeFill="background1"/>
            <w:vAlign w:val="bottom"/>
            <w:hideMark/>
          </w:tcPr>
          <w:p w:rsidR="0036523A" w:rsidRPr="008F7F9E" w:rsidRDefault="0036523A" w:rsidP="000C1C3B">
            <w:pPr>
              <w:spacing w:before="0" w:line="240" w:lineRule="auto"/>
              <w:jc w:val="right"/>
              <w:rPr>
                <w:b/>
                <w:bCs/>
                <w:color w:val="000000"/>
                <w:sz w:val="20"/>
                <w:lang w:eastAsia="en-GB"/>
              </w:rPr>
            </w:pPr>
            <w:r w:rsidRPr="008F7F9E">
              <w:rPr>
                <w:b/>
                <w:bCs/>
                <w:color w:val="000000"/>
                <w:sz w:val="20"/>
                <w:lang w:eastAsia="en-GB"/>
              </w:rPr>
              <w:t>14,743</w:t>
            </w:r>
          </w:p>
        </w:tc>
        <w:tc>
          <w:tcPr>
            <w:tcW w:w="1047" w:type="dxa"/>
            <w:tcBorders>
              <w:top w:val="nil"/>
              <w:left w:val="nil"/>
              <w:bottom w:val="single" w:sz="8" w:space="0" w:color="auto"/>
              <w:right w:val="nil"/>
            </w:tcBorders>
            <w:shd w:val="clear" w:color="auto" w:fill="FFFFFF" w:themeFill="background1"/>
            <w:vAlign w:val="bottom"/>
            <w:hideMark/>
          </w:tcPr>
          <w:p w:rsidR="0036523A" w:rsidRPr="008F7F9E" w:rsidRDefault="0036523A" w:rsidP="000C1C3B">
            <w:pPr>
              <w:spacing w:before="0" w:line="240" w:lineRule="auto"/>
              <w:jc w:val="right"/>
              <w:rPr>
                <w:b/>
                <w:bCs/>
                <w:color w:val="000000"/>
                <w:sz w:val="20"/>
                <w:lang w:eastAsia="en-GB"/>
              </w:rPr>
            </w:pPr>
            <w:r w:rsidRPr="008F7F9E">
              <w:rPr>
                <w:b/>
                <w:bCs/>
                <w:color w:val="000000"/>
                <w:sz w:val="20"/>
                <w:lang w:eastAsia="en-GB"/>
              </w:rPr>
              <w:t>2,581</w:t>
            </w:r>
          </w:p>
        </w:tc>
        <w:tc>
          <w:tcPr>
            <w:tcW w:w="1477" w:type="dxa"/>
            <w:gridSpan w:val="2"/>
            <w:tcBorders>
              <w:top w:val="nil"/>
              <w:left w:val="nil"/>
              <w:bottom w:val="single" w:sz="8" w:space="0" w:color="auto"/>
              <w:right w:val="nil"/>
            </w:tcBorders>
            <w:shd w:val="clear" w:color="auto" w:fill="FFFFFF" w:themeFill="background1"/>
            <w:vAlign w:val="bottom"/>
            <w:hideMark/>
          </w:tcPr>
          <w:p w:rsidR="0036523A" w:rsidRDefault="0036523A" w:rsidP="000C1C3B">
            <w:pPr>
              <w:spacing w:before="0"/>
              <w:jc w:val="right"/>
              <w:rPr>
                <w:b/>
                <w:bCs/>
                <w:color w:val="000000"/>
                <w:sz w:val="20"/>
              </w:rPr>
            </w:pPr>
            <w:r>
              <w:rPr>
                <w:b/>
                <w:bCs/>
                <w:color w:val="000000"/>
                <w:sz w:val="20"/>
              </w:rPr>
              <w:t>6,603</w:t>
            </w:r>
          </w:p>
        </w:tc>
        <w:tc>
          <w:tcPr>
            <w:tcW w:w="939" w:type="dxa"/>
            <w:tcBorders>
              <w:top w:val="nil"/>
              <w:left w:val="nil"/>
              <w:bottom w:val="single" w:sz="8" w:space="0" w:color="auto"/>
              <w:right w:val="nil"/>
            </w:tcBorders>
            <w:shd w:val="clear" w:color="auto" w:fill="FFFFFF" w:themeFill="background1"/>
            <w:vAlign w:val="bottom"/>
            <w:hideMark/>
          </w:tcPr>
          <w:p w:rsidR="0036523A" w:rsidRPr="008F7F9E" w:rsidRDefault="0036523A" w:rsidP="000C1C3B">
            <w:pPr>
              <w:spacing w:before="0" w:line="240" w:lineRule="auto"/>
              <w:jc w:val="right"/>
              <w:rPr>
                <w:b/>
                <w:bCs/>
                <w:color w:val="000000"/>
                <w:sz w:val="20"/>
                <w:lang w:eastAsia="en-GB"/>
              </w:rPr>
            </w:pPr>
            <w:r w:rsidRPr="008F7F9E">
              <w:rPr>
                <w:b/>
                <w:bCs/>
                <w:color w:val="000000"/>
                <w:sz w:val="20"/>
                <w:lang w:eastAsia="en-GB"/>
              </w:rPr>
              <w:t>165,953</w:t>
            </w:r>
          </w:p>
        </w:tc>
        <w:tc>
          <w:tcPr>
            <w:tcW w:w="1270" w:type="dxa"/>
            <w:gridSpan w:val="2"/>
            <w:tcBorders>
              <w:top w:val="nil"/>
              <w:left w:val="nil"/>
              <w:bottom w:val="single" w:sz="8" w:space="0" w:color="auto"/>
              <w:right w:val="nil"/>
            </w:tcBorders>
            <w:shd w:val="clear" w:color="auto" w:fill="FFFFFF" w:themeFill="background1"/>
            <w:vAlign w:val="bottom"/>
            <w:hideMark/>
          </w:tcPr>
          <w:p w:rsidR="0036523A" w:rsidRPr="008F7F9E" w:rsidRDefault="0036523A" w:rsidP="000C1C3B">
            <w:pPr>
              <w:spacing w:before="0" w:line="240" w:lineRule="auto"/>
              <w:jc w:val="right"/>
              <w:rPr>
                <w:b/>
                <w:bCs/>
                <w:color w:val="000000"/>
                <w:sz w:val="20"/>
                <w:lang w:eastAsia="en-GB"/>
              </w:rPr>
            </w:pPr>
            <w:r w:rsidRPr="008F7F9E">
              <w:rPr>
                <w:b/>
                <w:bCs/>
                <w:color w:val="000000"/>
                <w:sz w:val="20"/>
                <w:lang w:eastAsia="en-GB"/>
              </w:rPr>
              <w:t>8,991</w:t>
            </w:r>
          </w:p>
        </w:tc>
        <w:tc>
          <w:tcPr>
            <w:tcW w:w="1275" w:type="dxa"/>
            <w:gridSpan w:val="2"/>
            <w:tcBorders>
              <w:top w:val="nil"/>
              <w:left w:val="nil"/>
              <w:bottom w:val="single" w:sz="8" w:space="0" w:color="auto"/>
              <w:right w:val="nil"/>
            </w:tcBorders>
            <w:shd w:val="clear" w:color="auto" w:fill="FFFFFF" w:themeFill="background1"/>
            <w:vAlign w:val="bottom"/>
            <w:hideMark/>
          </w:tcPr>
          <w:p w:rsidR="0036523A" w:rsidRPr="008F7F9E" w:rsidRDefault="0036523A" w:rsidP="000C1C3B">
            <w:pPr>
              <w:spacing w:before="0" w:line="240" w:lineRule="auto"/>
              <w:jc w:val="right"/>
              <w:rPr>
                <w:b/>
                <w:bCs/>
                <w:color w:val="000000"/>
                <w:sz w:val="20"/>
                <w:lang w:eastAsia="en-GB"/>
              </w:rPr>
            </w:pPr>
            <w:r w:rsidRPr="008F7F9E">
              <w:rPr>
                <w:b/>
                <w:bCs/>
                <w:color w:val="000000"/>
                <w:sz w:val="20"/>
                <w:lang w:eastAsia="en-GB"/>
              </w:rPr>
              <w:t>1,703</w:t>
            </w:r>
          </w:p>
        </w:tc>
      </w:tr>
      <w:tr w:rsidR="00BB6C2C" w:rsidRPr="00BB6C2C" w:rsidTr="005647E4">
        <w:trPr>
          <w:trHeight w:val="300"/>
        </w:trPr>
        <w:tc>
          <w:tcPr>
            <w:tcW w:w="2283" w:type="dxa"/>
            <w:tcBorders>
              <w:top w:val="nil"/>
              <w:left w:val="nil"/>
              <w:bottom w:val="nil"/>
              <w:right w:val="nil"/>
            </w:tcBorders>
            <w:shd w:val="clear" w:color="auto" w:fill="FFFFFF" w:themeFill="background1"/>
            <w:noWrap/>
            <w:vAlign w:val="center"/>
            <w:hideMark/>
          </w:tcPr>
          <w:p w:rsidR="00BB6C2C" w:rsidRPr="00BB6C2C" w:rsidRDefault="00BB6C2C" w:rsidP="00BB6C2C">
            <w:pPr>
              <w:spacing w:before="0" w:after="0" w:line="240" w:lineRule="auto"/>
              <w:rPr>
                <w:color w:val="000000"/>
                <w:sz w:val="20"/>
                <w:lang w:eastAsia="en-GB"/>
              </w:rPr>
            </w:pPr>
            <w:r w:rsidRPr="00BB6C2C">
              <w:rPr>
                <w:color w:val="000000"/>
                <w:sz w:val="20"/>
                <w:lang w:eastAsia="en-GB"/>
              </w:rPr>
              <w:t> </w:t>
            </w:r>
          </w:p>
        </w:tc>
        <w:tc>
          <w:tcPr>
            <w:tcW w:w="1177" w:type="dxa"/>
            <w:tcBorders>
              <w:top w:val="nil"/>
              <w:left w:val="nil"/>
              <w:bottom w:val="nil"/>
              <w:right w:val="nil"/>
            </w:tcBorders>
            <w:shd w:val="clear" w:color="auto" w:fill="FFFFFF" w:themeFill="background1"/>
            <w:noWrap/>
            <w:vAlign w:val="center"/>
            <w:hideMark/>
          </w:tcPr>
          <w:p w:rsidR="00BB6C2C" w:rsidRPr="00BB6C2C" w:rsidRDefault="00BB6C2C" w:rsidP="00BB6C2C">
            <w:pPr>
              <w:spacing w:before="0" w:after="0" w:line="240" w:lineRule="auto"/>
              <w:rPr>
                <w:color w:val="000000"/>
                <w:sz w:val="20"/>
                <w:lang w:eastAsia="en-GB"/>
              </w:rPr>
            </w:pPr>
            <w:r w:rsidRPr="00BB6C2C">
              <w:rPr>
                <w:color w:val="000000"/>
                <w:sz w:val="20"/>
                <w:lang w:eastAsia="en-GB"/>
              </w:rPr>
              <w:t> </w:t>
            </w:r>
          </w:p>
        </w:tc>
        <w:tc>
          <w:tcPr>
            <w:tcW w:w="1180" w:type="dxa"/>
            <w:tcBorders>
              <w:top w:val="nil"/>
              <w:left w:val="nil"/>
              <w:bottom w:val="nil"/>
              <w:right w:val="nil"/>
            </w:tcBorders>
            <w:shd w:val="clear" w:color="auto" w:fill="FFFFFF" w:themeFill="background1"/>
            <w:noWrap/>
            <w:vAlign w:val="center"/>
            <w:hideMark/>
          </w:tcPr>
          <w:p w:rsidR="00BB6C2C" w:rsidRPr="00BB6C2C" w:rsidRDefault="00BB6C2C" w:rsidP="00BB6C2C">
            <w:pPr>
              <w:spacing w:before="0" w:after="0" w:line="240" w:lineRule="auto"/>
              <w:rPr>
                <w:color w:val="000000"/>
                <w:sz w:val="20"/>
                <w:lang w:eastAsia="en-GB"/>
              </w:rPr>
            </w:pPr>
            <w:r w:rsidRPr="00BB6C2C">
              <w:rPr>
                <w:color w:val="000000"/>
                <w:sz w:val="20"/>
                <w:lang w:eastAsia="en-GB"/>
              </w:rPr>
              <w:t> </w:t>
            </w:r>
          </w:p>
        </w:tc>
        <w:tc>
          <w:tcPr>
            <w:tcW w:w="1047" w:type="dxa"/>
            <w:tcBorders>
              <w:top w:val="nil"/>
              <w:left w:val="nil"/>
              <w:bottom w:val="nil"/>
              <w:right w:val="nil"/>
            </w:tcBorders>
            <w:shd w:val="clear" w:color="auto" w:fill="FFFFFF" w:themeFill="background1"/>
            <w:noWrap/>
            <w:vAlign w:val="center"/>
            <w:hideMark/>
          </w:tcPr>
          <w:p w:rsidR="00BB6C2C" w:rsidRPr="00BB6C2C" w:rsidRDefault="00BB6C2C" w:rsidP="00BB6C2C">
            <w:pPr>
              <w:spacing w:before="0" w:after="0" w:line="240" w:lineRule="auto"/>
              <w:rPr>
                <w:color w:val="000000"/>
                <w:sz w:val="20"/>
                <w:lang w:eastAsia="en-GB"/>
              </w:rPr>
            </w:pPr>
            <w:r w:rsidRPr="00BB6C2C">
              <w:rPr>
                <w:color w:val="000000"/>
                <w:sz w:val="20"/>
                <w:lang w:eastAsia="en-GB"/>
              </w:rPr>
              <w:t> </w:t>
            </w:r>
          </w:p>
        </w:tc>
        <w:tc>
          <w:tcPr>
            <w:tcW w:w="1477" w:type="dxa"/>
            <w:gridSpan w:val="2"/>
            <w:tcBorders>
              <w:top w:val="nil"/>
              <w:left w:val="nil"/>
              <w:bottom w:val="nil"/>
              <w:right w:val="nil"/>
            </w:tcBorders>
            <w:shd w:val="clear" w:color="auto" w:fill="FFFFFF" w:themeFill="background1"/>
            <w:noWrap/>
            <w:vAlign w:val="center"/>
            <w:hideMark/>
          </w:tcPr>
          <w:p w:rsidR="00BB6C2C" w:rsidRPr="00BB6C2C" w:rsidRDefault="00BB6C2C" w:rsidP="00BB6C2C">
            <w:pPr>
              <w:spacing w:before="0" w:after="0" w:line="240" w:lineRule="auto"/>
              <w:rPr>
                <w:color w:val="000000"/>
                <w:sz w:val="20"/>
                <w:lang w:eastAsia="en-GB"/>
              </w:rPr>
            </w:pPr>
            <w:r w:rsidRPr="00BB6C2C">
              <w:rPr>
                <w:color w:val="000000"/>
                <w:sz w:val="20"/>
                <w:lang w:eastAsia="en-GB"/>
              </w:rPr>
              <w:t> </w:t>
            </w:r>
          </w:p>
        </w:tc>
        <w:tc>
          <w:tcPr>
            <w:tcW w:w="939" w:type="dxa"/>
            <w:tcBorders>
              <w:top w:val="nil"/>
              <w:left w:val="nil"/>
              <w:bottom w:val="nil"/>
              <w:right w:val="nil"/>
            </w:tcBorders>
            <w:shd w:val="clear" w:color="auto" w:fill="FFFFFF" w:themeFill="background1"/>
            <w:noWrap/>
            <w:vAlign w:val="center"/>
            <w:hideMark/>
          </w:tcPr>
          <w:p w:rsidR="00BB6C2C" w:rsidRPr="008F7F9E" w:rsidRDefault="00BB6C2C" w:rsidP="00BB6C2C">
            <w:pPr>
              <w:spacing w:before="0" w:after="0" w:line="240" w:lineRule="auto"/>
              <w:rPr>
                <w:color w:val="000000"/>
                <w:sz w:val="20"/>
                <w:lang w:eastAsia="en-GB"/>
              </w:rPr>
            </w:pPr>
            <w:r w:rsidRPr="008F7F9E">
              <w:rPr>
                <w:color w:val="000000"/>
                <w:sz w:val="20"/>
                <w:lang w:eastAsia="en-GB"/>
              </w:rPr>
              <w:t> </w:t>
            </w:r>
          </w:p>
        </w:tc>
        <w:tc>
          <w:tcPr>
            <w:tcW w:w="1270" w:type="dxa"/>
            <w:gridSpan w:val="2"/>
            <w:tcBorders>
              <w:top w:val="nil"/>
              <w:left w:val="nil"/>
              <w:bottom w:val="nil"/>
              <w:right w:val="nil"/>
            </w:tcBorders>
            <w:shd w:val="clear" w:color="auto" w:fill="FFFFFF" w:themeFill="background1"/>
            <w:noWrap/>
            <w:vAlign w:val="center"/>
            <w:hideMark/>
          </w:tcPr>
          <w:p w:rsidR="00BB6C2C" w:rsidRPr="008F7F9E" w:rsidRDefault="00BB6C2C" w:rsidP="00BB6C2C">
            <w:pPr>
              <w:spacing w:before="0" w:after="0" w:line="240" w:lineRule="auto"/>
              <w:rPr>
                <w:color w:val="000000"/>
                <w:sz w:val="20"/>
                <w:lang w:eastAsia="en-GB"/>
              </w:rPr>
            </w:pPr>
            <w:r w:rsidRPr="008F7F9E">
              <w:rPr>
                <w:color w:val="000000"/>
                <w:sz w:val="20"/>
                <w:lang w:eastAsia="en-GB"/>
              </w:rPr>
              <w:t> </w:t>
            </w:r>
          </w:p>
        </w:tc>
        <w:tc>
          <w:tcPr>
            <w:tcW w:w="1275" w:type="dxa"/>
            <w:gridSpan w:val="2"/>
            <w:tcBorders>
              <w:top w:val="nil"/>
              <w:left w:val="nil"/>
              <w:bottom w:val="nil"/>
              <w:right w:val="nil"/>
            </w:tcBorders>
            <w:shd w:val="clear" w:color="auto" w:fill="FFFFFF" w:themeFill="background1"/>
            <w:noWrap/>
            <w:vAlign w:val="center"/>
            <w:hideMark/>
          </w:tcPr>
          <w:p w:rsidR="00BB6C2C" w:rsidRPr="00BB6C2C" w:rsidRDefault="00BB6C2C" w:rsidP="00BB6C2C">
            <w:pPr>
              <w:spacing w:before="0" w:after="0" w:line="240" w:lineRule="auto"/>
              <w:rPr>
                <w:color w:val="000000"/>
                <w:sz w:val="20"/>
                <w:lang w:eastAsia="en-GB"/>
              </w:rPr>
            </w:pPr>
            <w:r w:rsidRPr="00BB6C2C">
              <w:rPr>
                <w:color w:val="000000"/>
                <w:sz w:val="20"/>
                <w:lang w:eastAsia="en-GB"/>
              </w:rPr>
              <w:t> </w:t>
            </w:r>
          </w:p>
        </w:tc>
      </w:tr>
      <w:tr w:rsidR="00BB6C2C" w:rsidRPr="00BB6C2C" w:rsidTr="005647E4">
        <w:trPr>
          <w:trHeight w:val="555"/>
        </w:trPr>
        <w:tc>
          <w:tcPr>
            <w:tcW w:w="10648" w:type="dxa"/>
            <w:gridSpan w:val="11"/>
            <w:tcBorders>
              <w:top w:val="nil"/>
              <w:left w:val="nil"/>
              <w:bottom w:val="nil"/>
              <w:right w:val="nil"/>
            </w:tcBorders>
            <w:shd w:val="clear" w:color="auto" w:fill="FFFFFF" w:themeFill="background1"/>
            <w:vAlign w:val="center"/>
            <w:hideMark/>
          </w:tcPr>
          <w:p w:rsidR="00BB6C2C" w:rsidRPr="00D65354" w:rsidRDefault="00BB6C2C" w:rsidP="00D75CC1">
            <w:pPr>
              <w:spacing w:before="0" w:after="0" w:line="240" w:lineRule="auto"/>
              <w:jc w:val="both"/>
              <w:rPr>
                <w:color w:val="000000"/>
                <w:sz w:val="21"/>
                <w:szCs w:val="21"/>
                <w:lang w:eastAsia="en-GB"/>
              </w:rPr>
            </w:pPr>
            <w:r w:rsidRPr="00D65354">
              <w:rPr>
                <w:color w:val="000000"/>
                <w:sz w:val="21"/>
                <w:szCs w:val="21"/>
                <w:vertAlign w:val="superscript"/>
                <w:lang w:eastAsia="en-GB"/>
              </w:rPr>
              <w:t xml:space="preserve">1 </w:t>
            </w:r>
            <w:r w:rsidRPr="00D65354">
              <w:rPr>
                <w:color w:val="000000"/>
                <w:sz w:val="21"/>
                <w:szCs w:val="21"/>
                <w:lang w:eastAsia="en-GB"/>
              </w:rPr>
              <w:t>Measures installed in earlier installation months can be notified at a later date under some circumstances; some ECO installations prior to January 2013 are included in the January - March 2013 period.</w:t>
            </w:r>
          </w:p>
        </w:tc>
      </w:tr>
      <w:tr w:rsidR="00BB6C2C" w:rsidRPr="00BB6C2C" w:rsidTr="005647E4">
        <w:trPr>
          <w:trHeight w:val="300"/>
        </w:trPr>
        <w:tc>
          <w:tcPr>
            <w:tcW w:w="10648" w:type="dxa"/>
            <w:gridSpan w:val="11"/>
            <w:tcBorders>
              <w:top w:val="nil"/>
              <w:left w:val="nil"/>
              <w:bottom w:val="nil"/>
              <w:right w:val="nil"/>
            </w:tcBorders>
            <w:shd w:val="clear" w:color="auto" w:fill="FFFFFF" w:themeFill="background1"/>
            <w:vAlign w:val="center"/>
            <w:hideMark/>
          </w:tcPr>
          <w:p w:rsidR="00BB6C2C" w:rsidRPr="00D65354" w:rsidRDefault="00BB6C2C" w:rsidP="00D75CC1">
            <w:pPr>
              <w:spacing w:before="0" w:after="0" w:line="240" w:lineRule="auto"/>
              <w:jc w:val="both"/>
              <w:rPr>
                <w:color w:val="000000"/>
                <w:sz w:val="21"/>
                <w:szCs w:val="21"/>
                <w:lang w:eastAsia="en-GB"/>
              </w:rPr>
            </w:pPr>
            <w:r w:rsidRPr="00D65354">
              <w:rPr>
                <w:color w:val="000000"/>
                <w:sz w:val="21"/>
                <w:szCs w:val="21"/>
                <w:vertAlign w:val="superscript"/>
                <w:lang w:eastAsia="en-GB"/>
              </w:rPr>
              <w:t>2</w:t>
            </w:r>
            <w:r w:rsidRPr="00D65354">
              <w:rPr>
                <w:color w:val="000000"/>
                <w:sz w:val="21"/>
                <w:szCs w:val="21"/>
                <w:lang w:eastAsia="en-GB"/>
              </w:rPr>
              <w:t xml:space="preserve"> Where a household has measures installed in two or more months, the earliest installation month is recorded.</w:t>
            </w:r>
            <w:r w:rsidR="00B56B7D">
              <w:rPr>
                <w:color w:val="000000"/>
                <w:sz w:val="21"/>
                <w:szCs w:val="21"/>
                <w:lang w:eastAsia="en-GB"/>
              </w:rPr>
              <w:t xml:space="preserve"> Following improved de-duplication processes the number of unique properties in receipt of ECO has been revised in all quarters compared to official statistics published in earlier monthly statistical releases.</w:t>
            </w:r>
          </w:p>
        </w:tc>
      </w:tr>
      <w:tr w:rsidR="00BB6C2C" w:rsidRPr="00BB6C2C" w:rsidTr="005647E4">
        <w:trPr>
          <w:trHeight w:val="555"/>
        </w:trPr>
        <w:tc>
          <w:tcPr>
            <w:tcW w:w="10648" w:type="dxa"/>
            <w:gridSpan w:val="11"/>
            <w:tcBorders>
              <w:top w:val="nil"/>
              <w:left w:val="nil"/>
              <w:bottom w:val="nil"/>
              <w:right w:val="nil"/>
            </w:tcBorders>
            <w:shd w:val="clear" w:color="auto" w:fill="FFFFFF" w:themeFill="background1"/>
            <w:vAlign w:val="center"/>
            <w:hideMark/>
          </w:tcPr>
          <w:p w:rsidR="00BB6C2C" w:rsidRPr="00D65354" w:rsidRDefault="00BB6C2C" w:rsidP="00D75CC1">
            <w:pPr>
              <w:spacing w:before="0" w:after="0" w:line="240" w:lineRule="auto"/>
              <w:jc w:val="both"/>
              <w:rPr>
                <w:color w:val="000000"/>
                <w:sz w:val="21"/>
                <w:szCs w:val="21"/>
                <w:lang w:eastAsia="en-GB"/>
              </w:rPr>
            </w:pPr>
            <w:r w:rsidRPr="00D65354">
              <w:rPr>
                <w:color w:val="000000"/>
                <w:sz w:val="21"/>
                <w:szCs w:val="21"/>
                <w:vertAlign w:val="superscript"/>
                <w:lang w:eastAsia="en-GB"/>
              </w:rPr>
              <w:t>3</w:t>
            </w:r>
            <w:r w:rsidRPr="00D65354">
              <w:rPr>
                <w:color w:val="000000"/>
                <w:sz w:val="21"/>
                <w:szCs w:val="21"/>
                <w:lang w:eastAsia="en-GB"/>
              </w:rPr>
              <w:t xml:space="preserve"> Cashback figures do not include any households that have had measures installed solely through the Cashback Exception Process.</w:t>
            </w:r>
          </w:p>
        </w:tc>
      </w:tr>
      <w:tr w:rsidR="00BB6C2C" w:rsidRPr="00BB6C2C" w:rsidTr="005647E4">
        <w:trPr>
          <w:trHeight w:val="300"/>
        </w:trPr>
        <w:tc>
          <w:tcPr>
            <w:tcW w:w="10648" w:type="dxa"/>
            <w:gridSpan w:val="11"/>
            <w:tcBorders>
              <w:top w:val="nil"/>
              <w:left w:val="nil"/>
              <w:bottom w:val="nil"/>
              <w:right w:val="nil"/>
            </w:tcBorders>
            <w:shd w:val="clear" w:color="auto" w:fill="FFFFFF" w:themeFill="background1"/>
            <w:vAlign w:val="center"/>
            <w:hideMark/>
          </w:tcPr>
          <w:p w:rsidR="00BB6C2C" w:rsidRPr="00D65354" w:rsidRDefault="00BB6C2C" w:rsidP="00D75CC1">
            <w:pPr>
              <w:spacing w:before="0" w:after="0" w:line="240" w:lineRule="auto"/>
              <w:jc w:val="both"/>
              <w:rPr>
                <w:color w:val="000000"/>
                <w:sz w:val="21"/>
                <w:szCs w:val="21"/>
                <w:lang w:eastAsia="en-GB"/>
              </w:rPr>
            </w:pPr>
            <w:r w:rsidRPr="00D65354">
              <w:rPr>
                <w:color w:val="000000"/>
                <w:sz w:val="21"/>
                <w:szCs w:val="21"/>
                <w:vertAlign w:val="superscript"/>
                <w:lang w:eastAsia="en-GB"/>
              </w:rPr>
              <w:t>4</w:t>
            </w:r>
            <w:r w:rsidRPr="00D65354">
              <w:rPr>
                <w:color w:val="000000"/>
                <w:sz w:val="21"/>
                <w:szCs w:val="21"/>
                <w:lang w:eastAsia="en-GB"/>
              </w:rPr>
              <w:t xml:space="preserve"> </w:t>
            </w:r>
            <w:r w:rsidR="008A6D7F" w:rsidRPr="00D65354">
              <w:rPr>
                <w:color w:val="000000"/>
                <w:sz w:val="21"/>
                <w:szCs w:val="21"/>
                <w:lang w:eastAsia="en-GB"/>
              </w:rPr>
              <w:t>Where a household has measures installed in two or more months, the earliest installation month is recorded. This is lower than the number of vouchers issued as it is possible for there to be more than one GDHIF voucher paid per household.</w:t>
            </w:r>
          </w:p>
        </w:tc>
      </w:tr>
      <w:tr w:rsidR="00BB6C2C" w:rsidRPr="00BB6C2C" w:rsidTr="005647E4">
        <w:trPr>
          <w:trHeight w:val="855"/>
        </w:trPr>
        <w:tc>
          <w:tcPr>
            <w:tcW w:w="10648" w:type="dxa"/>
            <w:gridSpan w:val="11"/>
            <w:tcBorders>
              <w:top w:val="nil"/>
              <w:left w:val="nil"/>
              <w:bottom w:val="nil"/>
              <w:right w:val="nil"/>
            </w:tcBorders>
            <w:shd w:val="clear" w:color="auto" w:fill="FFFFFF" w:themeFill="background1"/>
            <w:hideMark/>
          </w:tcPr>
          <w:p w:rsidR="00BB6C2C" w:rsidRPr="00D65354" w:rsidRDefault="00BB6C2C" w:rsidP="00D75CC1">
            <w:pPr>
              <w:spacing w:before="0" w:after="0" w:line="240" w:lineRule="auto"/>
              <w:jc w:val="both"/>
              <w:rPr>
                <w:color w:val="000000"/>
                <w:sz w:val="21"/>
                <w:szCs w:val="21"/>
                <w:lang w:eastAsia="en-GB"/>
              </w:rPr>
            </w:pPr>
            <w:r w:rsidRPr="00D65354">
              <w:rPr>
                <w:color w:val="000000"/>
                <w:sz w:val="21"/>
                <w:szCs w:val="21"/>
                <w:vertAlign w:val="superscript"/>
                <w:lang w:eastAsia="en-GB"/>
              </w:rPr>
              <w:t>5</w:t>
            </w:r>
            <w:r w:rsidRPr="00D65354">
              <w:rPr>
                <w:color w:val="000000"/>
                <w:sz w:val="21"/>
                <w:szCs w:val="21"/>
                <w:lang w:eastAsia="en-GB"/>
              </w:rPr>
              <w:t xml:space="preserve"> Feed in Tariff installations classified as domestic on the Central </w:t>
            </w:r>
            <w:proofErr w:type="spellStart"/>
            <w:r w:rsidRPr="00D65354">
              <w:rPr>
                <w:color w:val="000000"/>
                <w:sz w:val="21"/>
                <w:szCs w:val="21"/>
                <w:lang w:eastAsia="en-GB"/>
              </w:rPr>
              <w:t>FiT</w:t>
            </w:r>
            <w:proofErr w:type="spellEnd"/>
            <w:r w:rsidRPr="00D65354">
              <w:rPr>
                <w:color w:val="000000"/>
                <w:sz w:val="21"/>
                <w:szCs w:val="21"/>
                <w:lang w:eastAsia="en-GB"/>
              </w:rPr>
              <w:t xml:space="preserve"> Register and based on their 'date of confirmation'. Further information can be found at: </w:t>
            </w:r>
            <w:hyperlink r:id="rId97" w:history="1">
              <w:r w:rsidR="008F7F9E" w:rsidRPr="00D65354">
                <w:rPr>
                  <w:rStyle w:val="Hyperlink"/>
                  <w:rFonts w:ascii="Arial" w:hAnsi="Arial"/>
                  <w:sz w:val="21"/>
                  <w:szCs w:val="21"/>
                  <w:lang w:eastAsia="en-GB"/>
                </w:rPr>
                <w:t>https://www.gov.uk/government/statistical-data-sets/sub-regional-feed-in-tariffs-</w:t>
              </w:r>
              <w:r w:rsidR="008F7F9E" w:rsidRPr="00D65354">
                <w:rPr>
                  <w:rStyle w:val="Hyperlink"/>
                  <w:rFonts w:ascii="Arial" w:hAnsi="Arial"/>
                  <w:sz w:val="21"/>
                  <w:szCs w:val="21"/>
                  <w:lang w:eastAsia="en-GB"/>
                </w:rPr>
                <w:t>c</w:t>
              </w:r>
              <w:r w:rsidR="008F7F9E" w:rsidRPr="00D65354">
                <w:rPr>
                  <w:rStyle w:val="Hyperlink"/>
                  <w:rFonts w:ascii="Arial" w:hAnsi="Arial"/>
                  <w:sz w:val="21"/>
                  <w:szCs w:val="21"/>
                  <w:lang w:eastAsia="en-GB"/>
                </w:rPr>
                <w:t>onfirmed-on-the-cfr-statistics</w:t>
              </w:r>
            </w:hyperlink>
            <w:r w:rsidRPr="00D65354">
              <w:rPr>
                <w:color w:val="000000"/>
                <w:sz w:val="21"/>
                <w:szCs w:val="21"/>
                <w:lang w:eastAsia="en-GB"/>
              </w:rPr>
              <w:t xml:space="preserve">. </w:t>
            </w:r>
          </w:p>
        </w:tc>
      </w:tr>
      <w:tr w:rsidR="00BB6C2C" w:rsidRPr="00BB6C2C" w:rsidTr="005647E4">
        <w:trPr>
          <w:trHeight w:val="810"/>
        </w:trPr>
        <w:tc>
          <w:tcPr>
            <w:tcW w:w="10648" w:type="dxa"/>
            <w:gridSpan w:val="11"/>
            <w:tcBorders>
              <w:top w:val="nil"/>
              <w:left w:val="nil"/>
              <w:bottom w:val="nil"/>
              <w:right w:val="nil"/>
            </w:tcBorders>
            <w:shd w:val="clear" w:color="auto" w:fill="FFFFFF" w:themeFill="background1"/>
            <w:hideMark/>
          </w:tcPr>
          <w:p w:rsidR="00BB6C2C" w:rsidRPr="00D65354" w:rsidRDefault="00BB6C2C" w:rsidP="00D75CC1">
            <w:pPr>
              <w:spacing w:before="0" w:after="0" w:line="240" w:lineRule="auto"/>
              <w:jc w:val="both"/>
              <w:rPr>
                <w:color w:val="000000"/>
                <w:sz w:val="21"/>
                <w:szCs w:val="21"/>
                <w:lang w:eastAsia="en-GB"/>
              </w:rPr>
            </w:pPr>
            <w:r w:rsidRPr="00D65354">
              <w:rPr>
                <w:color w:val="000000"/>
                <w:sz w:val="21"/>
                <w:szCs w:val="21"/>
                <w:vertAlign w:val="superscript"/>
                <w:lang w:eastAsia="en-GB"/>
              </w:rPr>
              <w:t xml:space="preserve">6 </w:t>
            </w:r>
            <w:r w:rsidRPr="00D65354">
              <w:rPr>
                <w:color w:val="000000"/>
                <w:sz w:val="21"/>
                <w:szCs w:val="21"/>
                <w:lang w:eastAsia="en-GB"/>
              </w:rPr>
              <w:t>Whilst the Renewable Heat Premium Payment consisted of 3 schemes, these quarterly installation figures relate to the redemption of vouchers for Phase 2 and Phase 2 extension only. Further information can be found at:</w:t>
            </w:r>
            <w:r w:rsidR="00D65354">
              <w:rPr>
                <w:color w:val="000000"/>
                <w:sz w:val="21"/>
                <w:szCs w:val="21"/>
                <w:lang w:eastAsia="en-GB"/>
              </w:rPr>
              <w:t xml:space="preserve"> </w:t>
            </w:r>
            <w:hyperlink r:id="rId98" w:history="1">
              <w:r w:rsidR="00E01EED" w:rsidRPr="00D65354">
                <w:rPr>
                  <w:rStyle w:val="Hyperlink"/>
                  <w:rFonts w:ascii="Arial" w:hAnsi="Arial"/>
                  <w:sz w:val="21"/>
                  <w:szCs w:val="21"/>
                  <w:lang w:eastAsia="en-GB"/>
                </w:rPr>
                <w:t>https://www.gov.uk/government/c</w:t>
              </w:r>
              <w:bookmarkStart w:id="129" w:name="_GoBack"/>
              <w:bookmarkEnd w:id="129"/>
              <w:r w:rsidR="00E01EED" w:rsidRPr="00D65354">
                <w:rPr>
                  <w:rStyle w:val="Hyperlink"/>
                  <w:rFonts w:ascii="Arial" w:hAnsi="Arial"/>
                  <w:sz w:val="21"/>
                  <w:szCs w:val="21"/>
                  <w:lang w:eastAsia="en-GB"/>
                </w:rPr>
                <w:t>o</w:t>
              </w:r>
              <w:r w:rsidR="00E01EED" w:rsidRPr="00D65354">
                <w:rPr>
                  <w:rStyle w:val="Hyperlink"/>
                  <w:rFonts w:ascii="Arial" w:hAnsi="Arial"/>
                  <w:sz w:val="21"/>
                  <w:szCs w:val="21"/>
                  <w:lang w:eastAsia="en-GB"/>
                </w:rPr>
                <w:t>llections/renewable-heat-incentive-renewable-heat-premium-payment-statistics</w:t>
              </w:r>
            </w:hyperlink>
            <w:r w:rsidR="00E01EED" w:rsidRPr="00D65354">
              <w:rPr>
                <w:color w:val="000000"/>
                <w:sz w:val="21"/>
                <w:szCs w:val="21"/>
                <w:lang w:eastAsia="en-GB"/>
              </w:rPr>
              <w:t xml:space="preserve"> </w:t>
            </w:r>
            <w:r w:rsidRPr="00D65354">
              <w:rPr>
                <w:color w:val="000000"/>
                <w:sz w:val="21"/>
                <w:szCs w:val="21"/>
                <w:lang w:eastAsia="en-GB"/>
              </w:rPr>
              <w:t xml:space="preserve">. </w:t>
            </w:r>
          </w:p>
        </w:tc>
      </w:tr>
      <w:tr w:rsidR="00BB6C2C" w:rsidRPr="00BB6C2C" w:rsidTr="005647E4">
        <w:trPr>
          <w:trHeight w:val="570"/>
        </w:trPr>
        <w:tc>
          <w:tcPr>
            <w:tcW w:w="10648" w:type="dxa"/>
            <w:gridSpan w:val="11"/>
            <w:tcBorders>
              <w:top w:val="nil"/>
              <w:left w:val="nil"/>
              <w:bottom w:val="nil"/>
              <w:right w:val="nil"/>
            </w:tcBorders>
            <w:shd w:val="clear" w:color="auto" w:fill="FFFFFF" w:themeFill="background1"/>
            <w:vAlign w:val="center"/>
            <w:hideMark/>
          </w:tcPr>
          <w:p w:rsidR="00BB6C2C" w:rsidRPr="00D65354" w:rsidRDefault="00BB6C2C" w:rsidP="00D75CC1">
            <w:pPr>
              <w:spacing w:before="0" w:after="0" w:line="240" w:lineRule="auto"/>
              <w:jc w:val="both"/>
              <w:rPr>
                <w:color w:val="000000"/>
                <w:sz w:val="21"/>
                <w:szCs w:val="21"/>
                <w:lang w:eastAsia="en-GB"/>
              </w:rPr>
            </w:pPr>
            <w:r w:rsidRPr="00D65354">
              <w:rPr>
                <w:color w:val="000000"/>
                <w:sz w:val="21"/>
                <w:szCs w:val="21"/>
                <w:vertAlign w:val="superscript"/>
                <w:lang w:eastAsia="en-GB"/>
              </w:rPr>
              <w:t xml:space="preserve">7 </w:t>
            </w:r>
            <w:r w:rsidRPr="00D65354">
              <w:rPr>
                <w:color w:val="000000"/>
                <w:sz w:val="21"/>
                <w:szCs w:val="21"/>
                <w:lang w:eastAsia="en-GB"/>
              </w:rPr>
              <w:t xml:space="preserve">These data refer to systems installed after the launch of the domestic RHI scheme on 9 April 2014 which gained accreditation to the scheme. </w:t>
            </w:r>
          </w:p>
        </w:tc>
      </w:tr>
      <w:tr w:rsidR="00BB6C2C" w:rsidRPr="00BB6C2C" w:rsidTr="005647E4">
        <w:trPr>
          <w:trHeight w:val="570"/>
        </w:trPr>
        <w:tc>
          <w:tcPr>
            <w:tcW w:w="10648" w:type="dxa"/>
            <w:gridSpan w:val="11"/>
            <w:tcBorders>
              <w:top w:val="nil"/>
              <w:left w:val="nil"/>
              <w:bottom w:val="nil"/>
              <w:right w:val="nil"/>
            </w:tcBorders>
            <w:shd w:val="clear" w:color="auto" w:fill="FFFFFF" w:themeFill="background1"/>
            <w:vAlign w:val="center"/>
            <w:hideMark/>
          </w:tcPr>
          <w:p w:rsidR="00BB6C2C" w:rsidRPr="00D65354" w:rsidRDefault="00BB6C2C" w:rsidP="00D75CC1">
            <w:pPr>
              <w:spacing w:before="0" w:after="0" w:line="240" w:lineRule="auto"/>
              <w:jc w:val="both"/>
              <w:rPr>
                <w:color w:val="000000"/>
                <w:sz w:val="21"/>
                <w:szCs w:val="21"/>
                <w:lang w:eastAsia="en-GB"/>
              </w:rPr>
            </w:pPr>
            <w:r w:rsidRPr="00D65354">
              <w:rPr>
                <w:color w:val="000000"/>
                <w:sz w:val="21"/>
                <w:szCs w:val="21"/>
                <w:vertAlign w:val="superscript"/>
                <w:lang w:eastAsia="en-GB"/>
              </w:rPr>
              <w:t>8</w:t>
            </w:r>
            <w:r w:rsidRPr="00D65354">
              <w:rPr>
                <w:color w:val="000000"/>
                <w:sz w:val="21"/>
                <w:szCs w:val="21"/>
                <w:lang w:eastAsia="en-GB"/>
              </w:rPr>
              <w:t xml:space="preserve"> </w:t>
            </w:r>
            <w:r w:rsidR="008A6D7F" w:rsidRPr="00D65354">
              <w:rPr>
                <w:color w:val="000000"/>
                <w:sz w:val="21"/>
                <w:szCs w:val="21"/>
                <w:lang w:eastAsia="en-GB"/>
              </w:rPr>
              <w:t xml:space="preserve">Some households may have had installations through more than one delivery mechanism and there is therefore likely to be some double counting. We aim to evaluate this through future analytical work. </w:t>
            </w:r>
            <w:r w:rsidR="008F7F9E" w:rsidRPr="00D65354">
              <w:rPr>
                <w:color w:val="000000"/>
                <w:sz w:val="21"/>
                <w:szCs w:val="21"/>
                <w:lang w:eastAsia="en-GB"/>
              </w:rPr>
              <w:t>In addition to this, 621,595 electricity and gas Smart Meters have been installed during the foundation stage of the roll-out programme.</w:t>
            </w:r>
          </w:p>
        </w:tc>
      </w:tr>
    </w:tbl>
    <w:p w:rsidR="00F2050F" w:rsidRPr="00F2050F" w:rsidRDefault="00F2050F" w:rsidP="00F2050F">
      <w:pPr>
        <w:spacing w:before="0" w:after="0"/>
        <w:jc w:val="both"/>
        <w:rPr>
          <w:sz w:val="50"/>
        </w:rPr>
        <w:sectPr w:rsidR="00F2050F" w:rsidRPr="00F2050F" w:rsidSect="00D65354">
          <w:headerReference w:type="even" r:id="rId99"/>
          <w:headerReference w:type="default" r:id="rId100"/>
          <w:headerReference w:type="first" r:id="rId101"/>
          <w:pgSz w:w="11906" w:h="16838" w:code="9"/>
          <w:pgMar w:top="1134" w:right="991" w:bottom="851" w:left="851" w:header="567" w:footer="567" w:gutter="0"/>
          <w:cols w:space="720"/>
          <w:formProt w:val="0"/>
          <w:titlePg/>
        </w:sectPr>
      </w:pPr>
    </w:p>
    <w:p w:rsidR="008A5812"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lastRenderedPageBreak/>
        <w:t xml:space="preserve">© Crown copyright </w:t>
      </w:r>
      <w:r w:rsidR="00AC4549">
        <w:rPr>
          <w:rFonts w:cs="Arial"/>
          <w:color w:val="FFFFFF"/>
          <w:sz w:val="28"/>
          <w:szCs w:val="28"/>
        </w:rPr>
        <w:t>2014</w:t>
      </w:r>
    </w:p>
    <w:p w:rsidR="00647603"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t>Department of Energy &amp; Climate Change</w:t>
      </w:r>
    </w:p>
    <w:p w:rsidR="00647603"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t>3 Whitehall Place</w:t>
      </w:r>
    </w:p>
    <w:p w:rsidR="00647603"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t>London SW1A 2AW</w:t>
      </w:r>
    </w:p>
    <w:p w:rsidR="00647603" w:rsidRPr="00300F50" w:rsidRDefault="00C34310" w:rsidP="00647603">
      <w:pPr>
        <w:pStyle w:val="Paragraphtext"/>
        <w:spacing w:line="240" w:lineRule="auto"/>
        <w:rPr>
          <w:rFonts w:cs="Arial"/>
          <w:color w:val="FFFFFF"/>
          <w:sz w:val="28"/>
          <w:szCs w:val="28"/>
        </w:rPr>
      </w:pPr>
      <w:hyperlink r:id="rId102" w:history="1">
        <w:r w:rsidR="00647603" w:rsidRPr="008A5812">
          <w:rPr>
            <w:rStyle w:val="Hyperlink"/>
            <w:rFonts w:ascii="Arial" w:hAnsi="Arial" w:cs="Arial"/>
            <w:sz w:val="28"/>
            <w:szCs w:val="28"/>
          </w:rPr>
          <w:t>www.gov.uk/decc</w:t>
        </w:r>
      </w:hyperlink>
      <w:r w:rsidR="00647603" w:rsidRPr="00300F50">
        <w:rPr>
          <w:rFonts w:cs="Arial"/>
          <w:color w:val="FFFFFF"/>
          <w:sz w:val="28"/>
          <w:szCs w:val="28"/>
        </w:rPr>
        <w:t xml:space="preserve"> </w:t>
      </w:r>
    </w:p>
    <w:p w:rsidR="00647603" w:rsidRPr="00300F50" w:rsidRDefault="00647603" w:rsidP="00647603">
      <w:pPr>
        <w:pStyle w:val="Paragraphtext"/>
        <w:spacing w:line="240" w:lineRule="auto"/>
        <w:rPr>
          <w:rFonts w:cs="Arial"/>
          <w:color w:val="FFFFFF"/>
          <w:sz w:val="28"/>
          <w:szCs w:val="28"/>
        </w:rPr>
      </w:pPr>
    </w:p>
    <w:sectPr w:rsidR="00647603" w:rsidRPr="00300F50" w:rsidSect="008F7F9E">
      <w:headerReference w:type="even" r:id="rId103"/>
      <w:headerReference w:type="default" r:id="rId104"/>
      <w:headerReference w:type="first" r:id="rId105"/>
      <w:footerReference w:type="first" r:id="rId106"/>
      <w:pgSz w:w="11906" w:h="16838" w:code="9"/>
      <w:pgMar w:top="12474" w:right="851" w:bottom="851" w:left="851" w:header="56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310" w:rsidRDefault="00C34310">
      <w:r>
        <w:separator/>
      </w:r>
    </w:p>
  </w:endnote>
  <w:endnote w:type="continuationSeparator" w:id="0">
    <w:p w:rsidR="00C34310" w:rsidRDefault="00C34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Default="00C34310" w:rsidP="00FB25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7778">
      <w:rPr>
        <w:rStyle w:val="PageNumber"/>
        <w:noProof/>
      </w:rPr>
      <w:t>50</w:t>
    </w:r>
    <w:r>
      <w:rPr>
        <w:rStyle w:val="PageNumber"/>
      </w:rPr>
      <w:fldChar w:fldCharType="end"/>
    </w:r>
  </w:p>
  <w:p w:rsidR="00C34310" w:rsidRDefault="00C34310">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Pr="008B74D5" w:rsidRDefault="00C34310" w:rsidP="008B74D5">
    <w:pPr>
      <w:pStyle w:val="Footer"/>
    </w:pPr>
    <w:r>
      <w:fldChar w:fldCharType="begin"/>
    </w:r>
    <w:r>
      <w:instrText xml:space="preserve"> PAGE </w:instrText>
    </w:r>
    <w:r>
      <w:fldChar w:fldCharType="separate"/>
    </w:r>
    <w:r w:rsidR="00BF7778">
      <w:rPr>
        <w:noProof/>
      </w:rPr>
      <w:t>51</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Default="00C343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Default="00C34310" w:rsidP="008B74D5">
    <w:pPr>
      <w:pStyle w:val="Footer"/>
    </w:pPr>
    <w:r>
      <w:fldChar w:fldCharType="begin"/>
    </w:r>
    <w:r>
      <w:instrText xml:space="preserve"> PAGE </w:instrText>
    </w:r>
    <w:r>
      <w:fldChar w:fldCharType="separate"/>
    </w:r>
    <w:r w:rsidR="00BF7778">
      <w:rPr>
        <w:noProof/>
      </w:rPr>
      <w:t>3</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Default="00C34310" w:rsidP="008B74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310" w:rsidRPr="00D85261" w:rsidRDefault="00C34310" w:rsidP="00D85261">
      <w:pPr>
        <w:pBdr>
          <w:top w:val="single" w:sz="6" w:space="1" w:color="auto"/>
        </w:pBdr>
        <w:spacing w:after="0" w:line="240" w:lineRule="auto"/>
        <w:rPr>
          <w:sz w:val="16"/>
          <w:szCs w:val="16"/>
        </w:rPr>
      </w:pPr>
    </w:p>
  </w:footnote>
  <w:footnote w:type="continuationSeparator" w:id="0">
    <w:p w:rsidR="00C34310" w:rsidRDefault="00C34310">
      <w:r>
        <w:continuationSeparator/>
      </w:r>
    </w:p>
  </w:footnote>
  <w:footnote w:id="1">
    <w:p w:rsidR="00C34310" w:rsidRPr="00AE5C27" w:rsidRDefault="00C34310" w:rsidP="00591351">
      <w:pPr>
        <w:pStyle w:val="NoSpacing"/>
        <w:jc w:val="both"/>
        <w:rPr>
          <w:rFonts w:ascii="Arial" w:hAnsi="Arial" w:cs="Arial"/>
          <w:sz w:val="20"/>
          <w:szCs w:val="20"/>
        </w:rPr>
      </w:pPr>
      <w:r w:rsidRPr="00AE5C27">
        <w:rPr>
          <w:rStyle w:val="FootnoteReference"/>
          <w:rFonts w:ascii="Arial" w:hAnsi="Arial" w:cs="Arial"/>
          <w:sz w:val="20"/>
          <w:szCs w:val="20"/>
        </w:rPr>
        <w:footnoteRef/>
      </w:r>
      <w:r w:rsidRPr="00AE5C27">
        <w:rPr>
          <w:rFonts w:ascii="Arial" w:hAnsi="Arial" w:cs="Arial"/>
          <w:sz w:val="20"/>
          <w:szCs w:val="20"/>
        </w:rPr>
        <w:t xml:space="preserve"> </w:t>
      </w:r>
      <w:hyperlink r:id="rId1" w:history="1">
        <w:r w:rsidRPr="002512ED">
          <w:rPr>
            <w:rStyle w:val="Hyperlink"/>
            <w:rFonts w:ascii="Arial" w:hAnsi="Arial" w:cs="Arial"/>
            <w:sz w:val="20"/>
            <w:szCs w:val="20"/>
          </w:rPr>
          <w:t>https://www.gov.uk/government/publications/decc-business-plan-quarterly-data-summary-indicators-and-other-data-sets</w:t>
        </w:r>
      </w:hyperlink>
      <w:r>
        <w:t xml:space="preserve"> </w:t>
      </w:r>
    </w:p>
  </w:footnote>
  <w:footnote w:id="2">
    <w:p w:rsidR="00C34310" w:rsidRDefault="00C34310" w:rsidP="0010080F">
      <w:pPr>
        <w:pStyle w:val="FootnoteText"/>
      </w:pPr>
      <w:r w:rsidRPr="00D50674">
        <w:rPr>
          <w:rStyle w:val="FootnoteReference"/>
        </w:rPr>
        <w:footnoteRef/>
      </w:r>
      <w:r w:rsidRPr="00D50674">
        <w:t xml:space="preserve"> </w:t>
      </w:r>
      <w:r>
        <w:t xml:space="preserve">The number of measures is made up of 964,000 ECO measures, 16,000 Cashback measures, 6,000 Green Deal Plan measures and 9,000 Green Deal Home Improvement Fund measures. </w:t>
      </w:r>
    </w:p>
    <w:p w:rsidR="00C34310" w:rsidRDefault="00C34310" w:rsidP="0010080F">
      <w:pPr>
        <w:pStyle w:val="FootnoteText"/>
      </w:pPr>
      <w:r w:rsidRPr="00D50674">
        <w:t xml:space="preserve">Source: </w:t>
      </w:r>
      <w:r>
        <w:t xml:space="preserve">Table 1 - </w:t>
      </w:r>
      <w:r w:rsidRPr="00D50674">
        <w:t>Green Deal and Energy Company Obligation (ECO</w:t>
      </w:r>
      <w:r>
        <w:t>): monthly statistics (November</w:t>
      </w:r>
      <w:r w:rsidRPr="00D50674">
        <w:t xml:space="preserve"> 2014): </w:t>
      </w:r>
      <w:hyperlink r:id="rId2" w:history="1">
        <w:r w:rsidRPr="009D38B2">
          <w:rPr>
            <w:rStyle w:val="Hyperlink"/>
            <w:rFonts w:ascii="Arial" w:hAnsi="Arial"/>
            <w:sz w:val="20"/>
          </w:rPr>
          <w:t>https://www.gov.uk/government/statistics/green-deal-and-energy-company-obligation-eco-monthly-statistics-november-2014</w:t>
        </w:r>
      </w:hyperlink>
      <w:r>
        <w:t xml:space="preserve"> </w:t>
      </w:r>
    </w:p>
  </w:footnote>
  <w:footnote w:id="3">
    <w:p w:rsidR="00C34310" w:rsidRDefault="00C34310" w:rsidP="0010080F">
      <w:pPr>
        <w:pStyle w:val="FootnoteText"/>
      </w:pPr>
      <w:r w:rsidRPr="00D50674">
        <w:rPr>
          <w:rStyle w:val="FootnoteReference"/>
        </w:rPr>
        <w:footnoteRef/>
      </w:r>
      <w:r w:rsidRPr="00D50674">
        <w:t xml:space="preserve"> </w:t>
      </w:r>
      <w:hyperlink w:anchor="AnnexC" w:history="1">
        <w:r w:rsidRPr="0010080F">
          <w:rPr>
            <w:rStyle w:val="Hyperlink"/>
            <w:rFonts w:ascii="Arial" w:hAnsi="Arial"/>
            <w:sz w:val="20"/>
            <w:lang w:eastAsia="en-GB"/>
          </w:rPr>
          <w:t>Annex C</w:t>
        </w:r>
      </w:hyperlink>
      <w:r>
        <w:t>,</w:t>
      </w:r>
      <w:r w:rsidRPr="0010080F">
        <w:t xml:space="preserve"> Table C1</w:t>
      </w:r>
      <w:r>
        <w:t xml:space="preserve">: </w:t>
      </w:r>
      <w:r w:rsidRPr="0010080F">
        <w:t>Provisional number of individual households that have had measures installed</w:t>
      </w:r>
      <w:r>
        <w:t>.</w:t>
      </w:r>
    </w:p>
  </w:footnote>
  <w:footnote w:id="4">
    <w:p w:rsidR="00C34310" w:rsidRDefault="00C34310">
      <w:pPr>
        <w:pStyle w:val="FootnoteText"/>
      </w:pPr>
      <w:r>
        <w:rPr>
          <w:rStyle w:val="FootnoteReference"/>
        </w:rPr>
        <w:footnoteRef/>
      </w:r>
      <w:r>
        <w:t xml:space="preserve"> </w:t>
      </w:r>
      <w:proofErr w:type="gramStart"/>
      <w:r>
        <w:t xml:space="preserve">Excludes </w:t>
      </w:r>
      <w:r w:rsidRPr="00C7003E">
        <w:t>measures eligible under the ECO amendment order</w:t>
      </w:r>
      <w:r>
        <w:t>.</w:t>
      </w:r>
      <w:proofErr w:type="gramEnd"/>
    </w:p>
  </w:footnote>
  <w:footnote w:id="5">
    <w:p w:rsidR="00C34310" w:rsidRDefault="00C34310" w:rsidP="00D75580">
      <w:pPr>
        <w:pStyle w:val="FootnoteText"/>
        <w:spacing w:after="0"/>
      </w:pPr>
      <w:r w:rsidRPr="00AF5FBD">
        <w:rPr>
          <w:rStyle w:val="FootnoteReference"/>
        </w:rPr>
        <w:footnoteRef/>
      </w:r>
      <w:r w:rsidRPr="00AF5FBD">
        <w:t xml:space="preserve"> </w:t>
      </w:r>
      <w:r w:rsidRPr="002D5425">
        <w:t xml:space="preserve">The equivalent </w:t>
      </w:r>
      <w:r w:rsidRPr="004322AD">
        <w:t>split is not available for Welsh and Scottish properties, which make up around 14 per cent of the housing stock in Great Britain.</w:t>
      </w:r>
    </w:p>
    <w:p w:rsidR="00C34310" w:rsidRPr="0017774D" w:rsidRDefault="00C34310" w:rsidP="00D75580">
      <w:pPr>
        <w:pStyle w:val="FootnoteText"/>
        <w:spacing w:after="0"/>
        <w:rPr>
          <w:sz w:val="18"/>
          <w:szCs w:val="18"/>
        </w:rPr>
      </w:pPr>
      <w:r w:rsidRPr="002D5425">
        <w:rPr>
          <w:sz w:val="19"/>
          <w:szCs w:val="19"/>
        </w:rPr>
        <w:t xml:space="preserve">DCLG, English Housing Survey, Headline Report 2012-13, Annex Table 20, Energy Efficiency rating bands, 2012, </w:t>
      </w:r>
      <w:hyperlink r:id="rId3" w:history="1">
        <w:r w:rsidRPr="00BB05E2">
          <w:rPr>
            <w:rStyle w:val="Hyperlink"/>
            <w:rFonts w:ascii="Arial" w:hAnsi="Arial"/>
            <w:sz w:val="20"/>
          </w:rPr>
          <w:t>https://www.gov.uk/government/uploads/system/uploads/attachment_data/file/284648/English_Housing_Survey_Headline_Report_2012-13.pdf</w:t>
        </w:r>
      </w:hyperlink>
    </w:p>
  </w:footnote>
  <w:footnote w:id="6">
    <w:p w:rsidR="00C34310" w:rsidRPr="00182F26" w:rsidRDefault="00C34310" w:rsidP="00750DF5">
      <w:pPr>
        <w:pStyle w:val="FootnoteText"/>
        <w:jc w:val="both"/>
        <w:rPr>
          <w:highlight w:val="yellow"/>
        </w:rPr>
      </w:pPr>
      <w:r w:rsidRPr="00D25BE6">
        <w:rPr>
          <w:rStyle w:val="FootnoteReference"/>
        </w:rPr>
        <w:footnoteRef/>
      </w:r>
      <w:r w:rsidRPr="00D25BE6">
        <w:t xml:space="preserve"> The equivalent split is not available for Welsh</w:t>
      </w:r>
      <w:r>
        <w:t xml:space="preserve"> and Scottish</w:t>
      </w:r>
      <w:r w:rsidRPr="00D25BE6">
        <w:t xml:space="preserve"> pr</w:t>
      </w:r>
      <w:r>
        <w:t>operties on a comparable basis. These make up around 14</w:t>
      </w:r>
      <w:r w:rsidRPr="00D25BE6">
        <w:t xml:space="preserve"> per cent of the housing stock in </w:t>
      </w:r>
      <w:r>
        <w:t>Great Britain.</w:t>
      </w:r>
    </w:p>
  </w:footnote>
  <w:footnote w:id="7">
    <w:p w:rsidR="00C34310" w:rsidRPr="00DB6E50" w:rsidRDefault="00C34310" w:rsidP="00C453CE">
      <w:pPr>
        <w:pStyle w:val="FootnoteText"/>
        <w:rPr>
          <w:sz w:val="18"/>
          <w:szCs w:val="18"/>
        </w:rPr>
      </w:pPr>
      <w:r w:rsidRPr="00AF5FBD">
        <w:rPr>
          <w:rStyle w:val="FootnoteReference"/>
        </w:rPr>
        <w:footnoteRef/>
      </w:r>
      <w:r w:rsidRPr="00AF5FBD">
        <w:t xml:space="preserve"> DCLG, English Housing Survey</w:t>
      </w:r>
      <w:r>
        <w:t xml:space="preserve"> (EHS)</w:t>
      </w:r>
      <w:r w:rsidRPr="00AF5FBD">
        <w:t>, Headline Report 2012-13, Table 11, Stock Profile, 2012,</w:t>
      </w:r>
      <w:r>
        <w:t xml:space="preserve"> </w:t>
      </w:r>
      <w:hyperlink r:id="rId4" w:history="1">
        <w:r w:rsidRPr="00DB6E50">
          <w:rPr>
            <w:rStyle w:val="Hyperlink"/>
            <w:rFonts w:ascii="Arial" w:hAnsi="Arial"/>
            <w:sz w:val="20"/>
          </w:rPr>
          <w:t>https://www.gov.uk/government/uploads/system/uploads/attachment_data/file/284648/English_Housing_Survey_Headline_Report_2012-13.pdf</w:t>
        </w:r>
      </w:hyperlink>
    </w:p>
  </w:footnote>
  <w:footnote w:id="8">
    <w:p w:rsidR="00C34310" w:rsidRPr="00AE5C27" w:rsidRDefault="00C34310" w:rsidP="00C453CE">
      <w:pPr>
        <w:pStyle w:val="FootnoteText"/>
      </w:pPr>
      <w:r w:rsidRPr="00DB6E50">
        <w:rPr>
          <w:rStyle w:val="FootnoteReference"/>
        </w:rPr>
        <w:footnoteRef/>
      </w:r>
      <w:r w:rsidRPr="00DB6E50">
        <w:t xml:space="preserve"> DCLG, Live tables on dwelling stock, by tenure, Great Britain Table 102 </w:t>
      </w:r>
      <w:hyperlink r:id="rId5" w:history="1">
        <w:r w:rsidRPr="00DB6E50">
          <w:rPr>
            <w:rStyle w:val="Hyperlink"/>
            <w:rFonts w:ascii="Arial" w:hAnsi="Arial"/>
            <w:sz w:val="20"/>
          </w:rPr>
          <w:t>https://www.gov.uk/government/statistical-data-sets/live-tables-on-dwelling-stock-including-vacants</w:t>
        </w:r>
      </w:hyperlink>
      <w:r>
        <w:t xml:space="preserve"> </w:t>
      </w:r>
    </w:p>
  </w:footnote>
  <w:footnote w:id="9">
    <w:p w:rsidR="00C34310" w:rsidRDefault="00C34310" w:rsidP="00054648">
      <w:pPr>
        <w:pStyle w:val="FootnoteText"/>
        <w:spacing w:after="0"/>
      </w:pPr>
      <w:r w:rsidRPr="00AE5C27">
        <w:rPr>
          <w:rStyle w:val="FootnoteReference"/>
        </w:rPr>
        <w:footnoteRef/>
      </w:r>
      <w:r w:rsidRPr="00AE5C27">
        <w:t xml:space="preserve"> </w:t>
      </w:r>
      <w:r>
        <w:t xml:space="preserve">DECC, </w:t>
      </w:r>
      <w:r>
        <w:rPr>
          <w:lang w:val="en"/>
        </w:rPr>
        <w:t>Sub-national estimates of households not connected to the gas network</w:t>
      </w:r>
      <w:r>
        <w:t xml:space="preserve">, 2012 </w:t>
      </w:r>
      <w:hyperlink r:id="rId6" w:history="1">
        <w:r w:rsidRPr="003A2503">
          <w:rPr>
            <w:rStyle w:val="Hyperlink"/>
            <w:rFonts w:ascii="Arial" w:hAnsi="Arial"/>
            <w:sz w:val="20"/>
          </w:rPr>
          <w:t>https://www.gov.uk/government/statistics/sub-national-estimates-of-households-not-connected-to-the-gas-network</w:t>
        </w:r>
      </w:hyperlink>
    </w:p>
    <w:p w:rsidR="00C34310" w:rsidRPr="00AE5C27" w:rsidRDefault="00C34310" w:rsidP="00054648">
      <w:pPr>
        <w:pStyle w:val="FootnoteText"/>
        <w:spacing w:after="0"/>
      </w:pPr>
    </w:p>
  </w:footnote>
  <w:footnote w:id="10">
    <w:p w:rsidR="00C34310" w:rsidRDefault="00C34310" w:rsidP="00E01370">
      <w:pPr>
        <w:pStyle w:val="FootnoteText"/>
        <w:spacing w:after="0"/>
        <w:jc w:val="both"/>
      </w:pPr>
      <w:r>
        <w:rPr>
          <w:rStyle w:val="FootnoteReference"/>
        </w:rPr>
        <w:footnoteRef/>
      </w:r>
      <w:r>
        <w:t xml:space="preserve"> </w:t>
      </w:r>
      <w:r w:rsidRPr="00382423">
        <w:t>This includes a number of measures which were also reported as ECO measures.</w:t>
      </w:r>
    </w:p>
  </w:footnote>
  <w:footnote w:id="11">
    <w:p w:rsidR="00C34310" w:rsidRDefault="00C34310" w:rsidP="001D741A">
      <w:pPr>
        <w:pStyle w:val="FootnoteText"/>
        <w:jc w:val="both"/>
      </w:pPr>
      <w:r w:rsidRPr="00411A58">
        <w:rPr>
          <w:rStyle w:val="FootnoteReference"/>
        </w:rPr>
        <w:footnoteRef/>
      </w:r>
      <w:r w:rsidRPr="00411A58">
        <w:t xml:space="preserve"> This includes a small number of properties where the Cashback payment was made in October 2014 but the measures were installed before the end of September</w:t>
      </w:r>
      <w:r>
        <w:t xml:space="preserve"> </w:t>
      </w:r>
      <w:r w:rsidRPr="00411A58">
        <w:t>2014.</w:t>
      </w:r>
    </w:p>
  </w:footnote>
  <w:footnote w:id="12">
    <w:p w:rsidR="00C34310" w:rsidRPr="00FE6485" w:rsidRDefault="00C34310" w:rsidP="00C412B1">
      <w:pPr>
        <w:pStyle w:val="FootnoteText"/>
        <w:jc w:val="both"/>
      </w:pPr>
      <w:r w:rsidRPr="00FE6485">
        <w:rPr>
          <w:rStyle w:val="FootnoteReference"/>
        </w:rPr>
        <w:footnoteRef/>
      </w:r>
      <w:r w:rsidRPr="00FE6485">
        <w:t xml:space="preserve"> These figures only present breakdowns for England and Wales. A</w:t>
      </w:r>
      <w:r w:rsidRPr="00FE6485">
        <w:rPr>
          <w:iCs/>
          <w:color w:val="000000"/>
        </w:rPr>
        <w:t xml:space="preserve"> separate Cashback scheme operates in Scotland (</w:t>
      </w:r>
      <w:r w:rsidRPr="00670C6B">
        <w:rPr>
          <w:iCs/>
          <w:color w:val="000000"/>
        </w:rPr>
        <w:t xml:space="preserve">see </w:t>
      </w:r>
      <w:hyperlink r:id="rId7" w:history="1">
        <w:r w:rsidRPr="00670C6B">
          <w:rPr>
            <w:rStyle w:val="Hyperlink"/>
            <w:rFonts w:ascii="Arial" w:hAnsi="Arial"/>
            <w:iCs/>
            <w:sz w:val="20"/>
          </w:rPr>
          <w:t>web</w:t>
        </w:r>
        <w:r w:rsidRPr="00670C6B">
          <w:rPr>
            <w:rStyle w:val="Hyperlink"/>
            <w:rFonts w:ascii="Arial" w:hAnsi="Arial"/>
            <w:iCs/>
            <w:sz w:val="20"/>
          </w:rPr>
          <w:t>s</w:t>
        </w:r>
        <w:r w:rsidRPr="00670C6B">
          <w:rPr>
            <w:rStyle w:val="Hyperlink"/>
            <w:rFonts w:ascii="Arial" w:hAnsi="Arial"/>
            <w:iCs/>
            <w:sz w:val="20"/>
          </w:rPr>
          <w:t>ite</w:t>
        </w:r>
      </w:hyperlink>
      <w:r w:rsidRPr="00670C6B">
        <w:rPr>
          <w:iCs/>
          <w:color w:val="000000"/>
        </w:rPr>
        <w:t xml:space="preserve"> and latest </w:t>
      </w:r>
      <w:hyperlink r:id="rId8" w:history="1">
        <w:r w:rsidRPr="00670C6B">
          <w:rPr>
            <w:rStyle w:val="Hyperlink"/>
            <w:rFonts w:ascii="Arial" w:hAnsi="Arial"/>
            <w:iCs/>
            <w:sz w:val="20"/>
          </w:rPr>
          <w:t>Scotland Green Homes Cashback scheme statistics</w:t>
        </w:r>
      </w:hyperlink>
      <w:r w:rsidRPr="00670C6B">
        <w:rPr>
          <w:iCs/>
          <w:color w:val="000000"/>
        </w:rPr>
        <w:t>).</w:t>
      </w:r>
    </w:p>
  </w:footnote>
  <w:footnote w:id="13">
    <w:p w:rsidR="00C34310" w:rsidRDefault="00C34310">
      <w:pPr>
        <w:pStyle w:val="FootnoteText"/>
      </w:pPr>
      <w:r>
        <w:rPr>
          <w:rStyle w:val="FootnoteReference"/>
        </w:rPr>
        <w:footnoteRef/>
      </w:r>
      <w:r>
        <w:t xml:space="preserve"> </w:t>
      </w:r>
      <w:r w:rsidRPr="00411A58">
        <w:t>This includes properties where the</w:t>
      </w:r>
      <w:r>
        <w:t xml:space="preserve"> GDHIF</w:t>
      </w:r>
      <w:r w:rsidRPr="00411A58">
        <w:t xml:space="preserve"> payment was made in October 2014 but the measures were installed before the end of September</w:t>
      </w:r>
      <w:r>
        <w:t xml:space="preserve"> </w:t>
      </w:r>
      <w:r w:rsidRPr="00411A58">
        <w:t>2014.</w:t>
      </w:r>
      <w:r>
        <w:t xml:space="preserve"> M</w:t>
      </w:r>
      <w:r w:rsidRPr="00EB27AA">
        <w:t xml:space="preserve">ore than one voucher </w:t>
      </w:r>
      <w:r>
        <w:t xml:space="preserve">can be </w:t>
      </w:r>
      <w:r w:rsidRPr="00EB27AA">
        <w:t>issued and payment made per household.</w:t>
      </w:r>
    </w:p>
  </w:footnote>
  <w:footnote w:id="14">
    <w:p w:rsidR="00C34310" w:rsidRPr="00FE6485" w:rsidRDefault="00C34310" w:rsidP="0095040F">
      <w:pPr>
        <w:pStyle w:val="FootnoteText"/>
        <w:jc w:val="both"/>
      </w:pPr>
      <w:r w:rsidRPr="00FE6485">
        <w:rPr>
          <w:rStyle w:val="FootnoteReference"/>
        </w:rPr>
        <w:footnoteRef/>
      </w:r>
      <w:r w:rsidRPr="00FE6485">
        <w:t xml:space="preserve"> These figures only present breakdowns for England and Wales. A</w:t>
      </w:r>
      <w:r w:rsidRPr="00FE6485">
        <w:rPr>
          <w:iCs/>
          <w:color w:val="000000"/>
        </w:rPr>
        <w:t xml:space="preserve"> separate Cashback scheme operates in Scotland (see </w:t>
      </w:r>
      <w:hyperlink r:id="rId9" w:history="1">
        <w:r w:rsidRPr="00FE6485">
          <w:rPr>
            <w:rStyle w:val="Hyperlink"/>
            <w:rFonts w:ascii="Arial" w:hAnsi="Arial"/>
            <w:iCs/>
            <w:sz w:val="20"/>
          </w:rPr>
          <w:t>we</w:t>
        </w:r>
        <w:r w:rsidRPr="00FE6485">
          <w:rPr>
            <w:rStyle w:val="Hyperlink"/>
            <w:rFonts w:ascii="Arial" w:hAnsi="Arial"/>
            <w:iCs/>
            <w:sz w:val="20"/>
          </w:rPr>
          <w:t>b</w:t>
        </w:r>
        <w:r w:rsidRPr="00FE6485">
          <w:rPr>
            <w:rStyle w:val="Hyperlink"/>
            <w:rFonts w:ascii="Arial" w:hAnsi="Arial"/>
            <w:iCs/>
            <w:sz w:val="20"/>
          </w:rPr>
          <w:t>site</w:t>
        </w:r>
      </w:hyperlink>
      <w:r>
        <w:rPr>
          <w:iCs/>
          <w:color w:val="000000"/>
        </w:rPr>
        <w:t xml:space="preserve"> and latest </w:t>
      </w:r>
      <w:r w:rsidRPr="000E07C4">
        <w:rPr>
          <w:iCs/>
        </w:rPr>
        <w:t>Scotland Green Homes Cashback scheme statistics</w:t>
      </w:r>
      <w:r>
        <w:rPr>
          <w:iCs/>
          <w:color w:val="000000"/>
        </w:rPr>
        <w:t>).</w:t>
      </w:r>
    </w:p>
  </w:footnote>
  <w:footnote w:id="15">
    <w:p w:rsidR="00C34310" w:rsidRDefault="00C34310">
      <w:pPr>
        <w:pStyle w:val="FootnoteText"/>
      </w:pPr>
      <w:r>
        <w:rPr>
          <w:rStyle w:val="FootnoteReference"/>
        </w:rPr>
        <w:footnoteRef/>
      </w:r>
      <w:r>
        <w:t xml:space="preserve"> </w:t>
      </w:r>
      <w:r w:rsidRPr="006A773B">
        <w:t>DCLG, Live tables on dwelling stock, by tenure, Engl</w:t>
      </w:r>
      <w:r>
        <w:t>and, Table 104, Wales Table 106</w:t>
      </w:r>
      <w:r w:rsidRPr="006A773B">
        <w:t xml:space="preserve"> </w:t>
      </w:r>
      <w:hyperlink r:id="rId10" w:history="1">
        <w:r w:rsidRPr="00FC04EA">
          <w:rPr>
            <w:rStyle w:val="Hyperlink"/>
            <w:rFonts w:ascii="Arial" w:hAnsi="Arial"/>
            <w:sz w:val="20"/>
          </w:rPr>
          <w:t>https://www.gov.uk/government/statistical-data-sets/live-tables-on-dwelling-stock-including-vacants</w:t>
        </w:r>
      </w:hyperlink>
      <w:r w:rsidRPr="006A773B">
        <w:t>.</w:t>
      </w:r>
    </w:p>
  </w:footnote>
  <w:footnote w:id="16">
    <w:p w:rsidR="00C34310" w:rsidRPr="007C5903" w:rsidRDefault="00C34310" w:rsidP="003B1120">
      <w:pPr>
        <w:pStyle w:val="FootnoteText"/>
        <w:spacing w:after="120"/>
        <w:jc w:val="both"/>
      </w:pPr>
      <w:r w:rsidRPr="00DD7C4F">
        <w:rPr>
          <w:rStyle w:val="FootnoteReference"/>
        </w:rPr>
        <w:footnoteRef/>
      </w:r>
      <w:r w:rsidRPr="00DD7C4F">
        <w:t xml:space="preserve"> The number of unique properties by ECO obligation does not tally to the total number of unique properties (</w:t>
      </w:r>
      <w:r w:rsidRPr="00AA2599">
        <w:rPr>
          <w:bCs/>
        </w:rPr>
        <w:t>785,</w:t>
      </w:r>
      <w:r>
        <w:rPr>
          <w:bCs/>
        </w:rPr>
        <w:t>394</w:t>
      </w:r>
      <w:r w:rsidRPr="00DD7C4F">
        <w:t>) as a property can have a number of different measures installed under different ECO obligations.</w:t>
      </w:r>
    </w:p>
  </w:footnote>
  <w:footnote w:id="17">
    <w:p w:rsidR="00C34310" w:rsidRDefault="00C34310" w:rsidP="007C5903">
      <w:pPr>
        <w:pStyle w:val="FootnoteText"/>
        <w:spacing w:after="120"/>
        <w:jc w:val="both"/>
      </w:pPr>
      <w:r w:rsidRPr="00535D8B">
        <w:rPr>
          <w:rStyle w:val="FootnoteReference"/>
        </w:rPr>
        <w:footnoteRef/>
      </w:r>
      <w:r w:rsidRPr="00535D8B">
        <w:t xml:space="preserve"> Table </w:t>
      </w:r>
      <w:r>
        <w:t>23, Fuel poverty statistics 2012</w:t>
      </w:r>
      <w:r w:rsidRPr="00535D8B">
        <w:t xml:space="preserve">, </w:t>
      </w:r>
      <w:hyperlink r:id="rId11" w:history="1">
        <w:r w:rsidRPr="003A2503">
          <w:rPr>
            <w:rStyle w:val="Hyperlink"/>
            <w:rFonts w:ascii="Arial" w:hAnsi="Arial"/>
            <w:sz w:val="20"/>
          </w:rPr>
          <w:t>https://w</w:t>
        </w:r>
        <w:r w:rsidRPr="003A2503">
          <w:rPr>
            <w:rStyle w:val="Hyperlink"/>
            <w:rFonts w:ascii="Arial" w:hAnsi="Arial"/>
            <w:sz w:val="20"/>
          </w:rPr>
          <w:t>w</w:t>
        </w:r>
        <w:r w:rsidRPr="003A2503">
          <w:rPr>
            <w:rStyle w:val="Hyperlink"/>
            <w:rFonts w:ascii="Arial" w:hAnsi="Arial"/>
            <w:sz w:val="20"/>
          </w:rPr>
          <w:t>w.gov.uk/government/statistics/fuel-poverty-detailed-tables-2012</w:t>
        </w:r>
      </w:hyperlink>
      <w:r>
        <w:t xml:space="preserve"> </w:t>
      </w:r>
    </w:p>
  </w:footnote>
  <w:footnote w:id="18">
    <w:p w:rsidR="00C34310" w:rsidRDefault="00C34310">
      <w:pPr>
        <w:pStyle w:val="FootnoteText"/>
      </w:pPr>
      <w:r>
        <w:rPr>
          <w:rStyle w:val="FootnoteReference"/>
        </w:rPr>
        <w:footnoteRef/>
      </w:r>
      <w:r>
        <w:t xml:space="preserve"> </w:t>
      </w:r>
      <w:r w:rsidRPr="00F57E12">
        <w:t xml:space="preserve">Source: England: </w:t>
      </w:r>
      <w:r>
        <w:t>DCLG</w:t>
      </w:r>
      <w:r w:rsidRPr="00F57E12">
        <w:t xml:space="preserve">, Household Projections. Wales: Welsh Government, Household estimates. Scotland: General Register Office for </w:t>
      </w:r>
      <w:proofErr w:type="gramStart"/>
      <w:r w:rsidRPr="00F57E12">
        <w:t>Scotland,</w:t>
      </w:r>
      <w:proofErr w:type="gramEnd"/>
      <w:r w:rsidRPr="00F57E12">
        <w:t xml:space="preserve"> Estimates of Households in Scotland.</w:t>
      </w:r>
    </w:p>
  </w:footnote>
  <w:footnote w:id="19">
    <w:p w:rsidR="00C34310" w:rsidRDefault="00C34310" w:rsidP="00625B11">
      <w:pPr>
        <w:pStyle w:val="FootnoteText"/>
        <w:jc w:val="both"/>
      </w:pPr>
      <w:r>
        <w:rPr>
          <w:rStyle w:val="FootnoteReference"/>
        </w:rPr>
        <w:footnoteRef/>
      </w:r>
      <w:r>
        <w:t xml:space="preserve"> </w:t>
      </w:r>
      <w:r w:rsidRPr="003A393B">
        <w:t xml:space="preserve">This is based on findings from </w:t>
      </w:r>
      <w:hyperlink r:id="rId12" w:history="1">
        <w:r w:rsidRPr="003A393B">
          <w:rPr>
            <w:rStyle w:val="Hyperlink"/>
            <w:rFonts w:ascii="Arial" w:hAnsi="Arial"/>
            <w:sz w:val="20"/>
          </w:rPr>
          <w:t>Waves 2 and 3 of t</w:t>
        </w:r>
        <w:r w:rsidRPr="003A393B">
          <w:rPr>
            <w:rStyle w:val="Hyperlink"/>
            <w:rFonts w:ascii="Arial" w:hAnsi="Arial"/>
            <w:sz w:val="20"/>
          </w:rPr>
          <w:t>h</w:t>
        </w:r>
        <w:r w:rsidRPr="003A393B">
          <w:rPr>
            <w:rStyle w:val="Hyperlink"/>
            <w:rFonts w:ascii="Arial" w:hAnsi="Arial"/>
            <w:sz w:val="20"/>
          </w:rPr>
          <w:t>e Assessments research</w:t>
        </w:r>
      </w:hyperlink>
      <w:r w:rsidRPr="003A393B">
        <w:t xml:space="preserve"> and therefore only representative of GD assessments and measures installed up to the end of September 2013.</w:t>
      </w:r>
    </w:p>
  </w:footnote>
  <w:footnote w:id="20">
    <w:p w:rsidR="00C34310" w:rsidRDefault="00C34310" w:rsidP="00A155B7">
      <w:pPr>
        <w:pStyle w:val="FootnoteText"/>
        <w:jc w:val="both"/>
      </w:pPr>
      <w:r>
        <w:rPr>
          <w:rStyle w:val="FootnoteReference"/>
        </w:rPr>
        <w:footnoteRef/>
      </w:r>
      <w:r>
        <w:t xml:space="preserve"> Individual Installers within an installer organisation</w:t>
      </w:r>
      <w:r w:rsidRPr="0045708B">
        <w:t xml:space="preserve"> do</w:t>
      </w:r>
      <w:r>
        <w:t xml:space="preserve"> not</w:t>
      </w:r>
      <w:r w:rsidRPr="0045708B">
        <w:t xml:space="preserve"> need to register</w:t>
      </w:r>
      <w:r>
        <w:t>.</w:t>
      </w:r>
    </w:p>
  </w:footnote>
  <w:footnote w:id="21">
    <w:p w:rsidR="00C34310" w:rsidRDefault="00C34310" w:rsidP="00A155B7">
      <w:pPr>
        <w:pStyle w:val="FootnoteText"/>
        <w:jc w:val="both"/>
      </w:pPr>
      <w:r>
        <w:rPr>
          <w:rStyle w:val="FootnoteReference"/>
        </w:rPr>
        <w:footnoteRef/>
      </w:r>
      <w:r>
        <w:t xml:space="preserve"> B</w:t>
      </w:r>
      <w:r w:rsidRPr="0033545B">
        <w:t>usinesses are flexible and may travel further to other areas as the market develops.</w:t>
      </w:r>
    </w:p>
  </w:footnote>
  <w:footnote w:id="22">
    <w:p w:rsidR="00C34310" w:rsidRDefault="00C34310" w:rsidP="00A155B7">
      <w:pPr>
        <w:pStyle w:val="FootnoteText"/>
        <w:jc w:val="both"/>
      </w:pPr>
      <w:r>
        <w:rPr>
          <w:rStyle w:val="FootnoteReference"/>
        </w:rPr>
        <w:footnoteRef/>
      </w:r>
      <w:r>
        <w:t xml:space="preserve"> GD accredited organisations are able to provide their operational coverage information onto the ORB consumer search tool on a voluntary basis. Some organisations have waited until they are ready to delivery GD services before providing their details. Separate entries have been submitted for each individual</w:t>
      </w:r>
      <w:r w:rsidRPr="00437345">
        <w:t xml:space="preserve"> sub-division </w:t>
      </w:r>
      <w:r>
        <w:t>of an organisation which has its own certification ID.</w:t>
      </w:r>
    </w:p>
  </w:footnote>
  <w:footnote w:id="23">
    <w:p w:rsidR="00C34310" w:rsidRPr="00BE4FDD" w:rsidRDefault="00C34310" w:rsidP="00080315">
      <w:pPr>
        <w:pStyle w:val="NoSpacing"/>
        <w:jc w:val="both"/>
        <w:rPr>
          <w:rFonts w:ascii="Arial" w:hAnsi="Arial" w:cs="Arial"/>
          <w:sz w:val="20"/>
          <w:szCs w:val="20"/>
        </w:rPr>
      </w:pPr>
      <w:r w:rsidRPr="00BE4FDD">
        <w:rPr>
          <w:rStyle w:val="FootnoteReference"/>
          <w:rFonts w:ascii="Arial" w:hAnsi="Arial" w:cs="Arial"/>
          <w:sz w:val="20"/>
          <w:szCs w:val="20"/>
        </w:rPr>
        <w:footnoteRef/>
      </w:r>
      <w:hyperlink r:id="rId13" w:history="1">
        <w:r w:rsidRPr="00BE4FDD">
          <w:rPr>
            <w:rStyle w:val="Hyperlink"/>
            <w:rFonts w:ascii="Arial" w:hAnsi="Arial" w:cs="Arial"/>
            <w:sz w:val="20"/>
          </w:rPr>
          <w:t>https://www.ofg</w:t>
        </w:r>
        <w:r w:rsidRPr="00BE4FDD">
          <w:rPr>
            <w:rStyle w:val="Hyperlink"/>
            <w:rFonts w:ascii="Arial" w:hAnsi="Arial" w:cs="Arial"/>
            <w:sz w:val="20"/>
          </w:rPr>
          <w:t>e</w:t>
        </w:r>
        <w:r w:rsidRPr="00BE4FDD">
          <w:rPr>
            <w:rStyle w:val="Hyperlink"/>
            <w:rFonts w:ascii="Arial" w:hAnsi="Arial" w:cs="Arial"/>
            <w:sz w:val="20"/>
          </w:rPr>
          <w:t>m.gov.uk/environmental-programmes/energy-companies-obligation-eco/previous-energy-efficiency-schemes</w:t>
        </w:r>
      </w:hyperlink>
      <w:r w:rsidRPr="00BE4FDD">
        <w:rPr>
          <w:rFonts w:ascii="Arial" w:hAnsi="Arial" w:cs="Arial"/>
          <w:sz w:val="20"/>
          <w:szCs w:val="20"/>
        </w:rPr>
        <w:t xml:space="preserve"> </w:t>
      </w:r>
    </w:p>
  </w:footnote>
  <w:footnote w:id="24">
    <w:p w:rsidR="00C34310" w:rsidRPr="00BE4FDD" w:rsidRDefault="00C34310" w:rsidP="00080315">
      <w:pPr>
        <w:pStyle w:val="NoSpacing"/>
        <w:jc w:val="both"/>
        <w:rPr>
          <w:rFonts w:ascii="Arial" w:hAnsi="Arial" w:cs="Arial"/>
          <w:sz w:val="20"/>
          <w:szCs w:val="20"/>
        </w:rPr>
      </w:pPr>
      <w:r w:rsidRPr="00BE4FDD">
        <w:rPr>
          <w:rStyle w:val="FootnoteReference"/>
          <w:rFonts w:ascii="Arial" w:hAnsi="Arial" w:cs="Arial"/>
          <w:sz w:val="20"/>
          <w:szCs w:val="20"/>
        </w:rPr>
        <w:footnoteRef/>
      </w:r>
      <w:hyperlink r:id="rId14" w:history="1">
        <w:r w:rsidRPr="00BE4FDD">
          <w:rPr>
            <w:rStyle w:val="Hyperlink"/>
            <w:rFonts w:ascii="Arial" w:hAnsi="Arial" w:cs="Arial"/>
            <w:sz w:val="20"/>
          </w:rPr>
          <w:t>https://www.ofg</w:t>
        </w:r>
        <w:r w:rsidRPr="00BE4FDD">
          <w:rPr>
            <w:rStyle w:val="Hyperlink"/>
            <w:rFonts w:ascii="Arial" w:hAnsi="Arial" w:cs="Arial"/>
            <w:sz w:val="20"/>
          </w:rPr>
          <w:t>e</w:t>
        </w:r>
        <w:r w:rsidRPr="00BE4FDD">
          <w:rPr>
            <w:rStyle w:val="Hyperlink"/>
            <w:rFonts w:ascii="Arial" w:hAnsi="Arial" w:cs="Arial"/>
            <w:sz w:val="20"/>
          </w:rPr>
          <w:t>m.gov.uk/environmental-programmes/energy-companies-obligation-eco/previous-energy-efficiency-schemes</w:t>
        </w:r>
      </w:hyperlink>
    </w:p>
  </w:footnote>
  <w:footnote w:id="25">
    <w:p w:rsidR="00C34310" w:rsidRPr="00BE4FDD" w:rsidRDefault="00C34310" w:rsidP="00080315">
      <w:pPr>
        <w:pStyle w:val="NoSpacing"/>
        <w:jc w:val="both"/>
        <w:rPr>
          <w:rStyle w:val="Hyperlink"/>
          <w:rFonts w:ascii="Arial" w:hAnsi="Arial" w:cs="Arial"/>
          <w:sz w:val="20"/>
        </w:rPr>
      </w:pPr>
      <w:r w:rsidRPr="00BE4FDD">
        <w:rPr>
          <w:rStyle w:val="FootnoteReference"/>
          <w:rFonts w:ascii="Arial" w:hAnsi="Arial" w:cs="Arial"/>
          <w:sz w:val="20"/>
          <w:szCs w:val="20"/>
        </w:rPr>
        <w:footnoteRef/>
      </w:r>
      <w:hyperlink r:id="rId15" w:history="1">
        <w:r w:rsidRPr="00BE4FDD">
          <w:rPr>
            <w:rStyle w:val="Hyperlink"/>
            <w:rFonts w:ascii="Arial" w:hAnsi="Arial" w:cs="Arial"/>
            <w:sz w:val="20"/>
          </w:rPr>
          <w:t>https://w</w:t>
        </w:r>
        <w:r w:rsidRPr="00BE4FDD">
          <w:rPr>
            <w:rStyle w:val="Hyperlink"/>
            <w:rFonts w:ascii="Arial" w:hAnsi="Arial" w:cs="Arial"/>
            <w:sz w:val="20"/>
          </w:rPr>
          <w:t>w</w:t>
        </w:r>
        <w:r w:rsidRPr="00BE4FDD">
          <w:rPr>
            <w:rStyle w:val="Hyperlink"/>
            <w:rFonts w:ascii="Arial" w:hAnsi="Arial" w:cs="Arial"/>
            <w:sz w:val="20"/>
          </w:rPr>
          <w:t>w.gov.uk/government/policies/helping-households-to-cut-their-energy-bills/supporting-pages/warm-front-scheme</w:t>
        </w:r>
      </w:hyperlink>
    </w:p>
  </w:footnote>
  <w:footnote w:id="26">
    <w:p w:rsidR="00C34310" w:rsidRPr="00BE4FDD" w:rsidRDefault="00C34310" w:rsidP="00080315">
      <w:pPr>
        <w:pStyle w:val="FootnoteText"/>
        <w:spacing w:after="0"/>
        <w:jc w:val="both"/>
      </w:pPr>
      <w:r w:rsidRPr="00BE4FDD">
        <w:rPr>
          <w:rStyle w:val="FootnoteReference"/>
        </w:rPr>
        <w:footnoteRef/>
      </w:r>
      <w:hyperlink r:id="rId16" w:history="1">
        <w:r w:rsidRPr="00BE4FDD">
          <w:rPr>
            <w:rStyle w:val="Hyperlink"/>
            <w:rFonts w:ascii="Arial" w:eastAsia="MS Mincho" w:hAnsi="Arial"/>
            <w:sz w:val="20"/>
          </w:rPr>
          <w:t>https://w</w:t>
        </w:r>
        <w:r w:rsidRPr="00BE4FDD">
          <w:rPr>
            <w:rStyle w:val="Hyperlink"/>
            <w:rFonts w:ascii="Arial" w:eastAsia="MS Mincho" w:hAnsi="Arial"/>
            <w:sz w:val="20"/>
          </w:rPr>
          <w:t>w</w:t>
        </w:r>
        <w:r w:rsidRPr="00BE4FDD">
          <w:rPr>
            <w:rStyle w:val="Hyperlink"/>
            <w:rFonts w:ascii="Arial" w:eastAsia="MS Mincho" w:hAnsi="Arial"/>
            <w:sz w:val="20"/>
          </w:rPr>
          <w:t>w.gov.uk/green-deal-energy-saving-measures</w:t>
        </w:r>
      </w:hyperlink>
    </w:p>
  </w:footnote>
  <w:footnote w:id="27">
    <w:p w:rsidR="00C34310" w:rsidRPr="00807482" w:rsidRDefault="00C34310" w:rsidP="00080315">
      <w:pPr>
        <w:pStyle w:val="FootnoteText"/>
        <w:jc w:val="both"/>
      </w:pPr>
      <w:r w:rsidRPr="00BE4FDD">
        <w:rPr>
          <w:rStyle w:val="FootnoteReference"/>
        </w:rPr>
        <w:footnoteRef/>
      </w:r>
      <w:hyperlink r:id="rId17" w:history="1">
        <w:r w:rsidRPr="00BE4FDD">
          <w:rPr>
            <w:rStyle w:val="Hyperlink"/>
            <w:rFonts w:ascii="Arial" w:eastAsia="MS Mincho" w:hAnsi="Arial"/>
            <w:sz w:val="20"/>
          </w:rPr>
          <w:t>https://www.gov.uk/government/policies/helping-households-to-cut-their-energy-bills/supporting-pages/energy-companies-obliga</w:t>
        </w:r>
        <w:r w:rsidRPr="00BE4FDD">
          <w:rPr>
            <w:rStyle w:val="Hyperlink"/>
            <w:rFonts w:ascii="Arial" w:eastAsia="MS Mincho" w:hAnsi="Arial"/>
            <w:sz w:val="20"/>
          </w:rPr>
          <w:t>t</w:t>
        </w:r>
        <w:r w:rsidRPr="00BE4FDD">
          <w:rPr>
            <w:rStyle w:val="Hyperlink"/>
            <w:rFonts w:ascii="Arial" w:eastAsia="MS Mincho" w:hAnsi="Arial"/>
            <w:sz w:val="20"/>
          </w:rPr>
          <w:t>ion-eco</w:t>
        </w:r>
      </w:hyperlink>
    </w:p>
  </w:footnote>
  <w:footnote w:id="28">
    <w:p w:rsidR="00C34310" w:rsidRDefault="00C34310">
      <w:pPr>
        <w:pStyle w:val="FootnoteText"/>
      </w:pPr>
      <w:r>
        <w:rPr>
          <w:rStyle w:val="FootnoteReference"/>
        </w:rPr>
        <w:footnoteRef/>
      </w:r>
      <w:r>
        <w:t xml:space="preserve"> This includes both occupied and unoccupied dwellings and therefore differs from household numbers included in Section 1 of this publication which refers to households that are occupied (one or more resident).</w:t>
      </w:r>
    </w:p>
  </w:footnote>
  <w:footnote w:id="29">
    <w:p w:rsidR="00C34310" w:rsidRDefault="00C34310">
      <w:pPr>
        <w:pStyle w:val="FootnoteText"/>
      </w:pPr>
      <w:r>
        <w:rPr>
          <w:rStyle w:val="FootnoteReference"/>
        </w:rPr>
        <w:footnoteRef/>
      </w:r>
      <w:r>
        <w:t xml:space="preserve"> </w:t>
      </w:r>
      <w:r w:rsidRPr="00464866">
        <w:t>Following the end of the CERT and CESP schemes, energy suppliers and generators who had not achieved their targets by 31st December 2012 were able to deliver energy efficiency measures as “mitigation action”.</w:t>
      </w:r>
    </w:p>
  </w:footnote>
  <w:footnote w:id="30">
    <w:p w:rsidR="00C34310" w:rsidRDefault="00C34310" w:rsidP="00080315">
      <w:pPr>
        <w:pStyle w:val="FootnoteText"/>
        <w:spacing w:after="0"/>
        <w:jc w:val="both"/>
      </w:pPr>
      <w:r>
        <w:rPr>
          <w:rStyle w:val="FootnoteReference"/>
        </w:rPr>
        <w:footnoteRef/>
      </w:r>
      <w:r>
        <w:t xml:space="preserve"> Information is not available on the wall construction of new homes. Typically building regulations would be met by insulated cavity walls but other construction types could be used. In this publication it is assumed that all new builds since April 2008 have cavity wall insulation.</w:t>
      </w:r>
    </w:p>
  </w:footnote>
  <w:footnote w:id="31">
    <w:p w:rsidR="00C34310" w:rsidRPr="00285C75" w:rsidRDefault="00C34310" w:rsidP="00422D97">
      <w:pPr>
        <w:pStyle w:val="NoSpacing"/>
        <w:jc w:val="both"/>
        <w:rPr>
          <w:rFonts w:ascii="Arial" w:hAnsi="Arial" w:cs="Arial"/>
        </w:rPr>
      </w:pPr>
      <w:r w:rsidRPr="00D52FFD">
        <w:rPr>
          <w:rStyle w:val="FootnoteReference"/>
          <w:rFonts w:ascii="Arial" w:hAnsi="Arial" w:cs="Arial"/>
          <w:sz w:val="20"/>
          <w:szCs w:val="20"/>
        </w:rPr>
        <w:footnoteRef/>
      </w:r>
      <w:r w:rsidRPr="00D52FFD">
        <w:rPr>
          <w:rFonts w:ascii="Arial" w:hAnsi="Arial" w:cs="Arial"/>
          <w:sz w:val="20"/>
          <w:szCs w:val="20"/>
        </w:rPr>
        <w:t xml:space="preserve"> Solid wall insulation has been defined throughout this report as internal or external wall insulation installed through Government schemes.</w:t>
      </w:r>
    </w:p>
  </w:footnote>
  <w:footnote w:id="32">
    <w:p w:rsidR="00C34310" w:rsidRDefault="00C34310" w:rsidP="00316BD6">
      <w:pPr>
        <w:pStyle w:val="NoSpacing"/>
        <w:jc w:val="both"/>
        <w:rPr>
          <w:rFonts w:ascii="Arial" w:hAnsi="Arial" w:cs="Arial"/>
          <w:sz w:val="20"/>
          <w:szCs w:val="20"/>
        </w:rPr>
      </w:pPr>
      <w:r>
        <w:rPr>
          <w:rStyle w:val="FootnoteReference"/>
          <w:rFonts w:cs="Arial"/>
          <w:sz w:val="20"/>
          <w:szCs w:val="20"/>
        </w:rPr>
        <w:footnoteRef/>
      </w:r>
      <w:r>
        <w:rPr>
          <w:rFonts w:ascii="Arial" w:hAnsi="Arial" w:cs="Arial"/>
          <w:sz w:val="20"/>
          <w:szCs w:val="20"/>
        </w:rPr>
        <w:t xml:space="preserve"> Information is not available on the wall construction of new homes. Typically building regulations would be met by insulated cavity walls but other construction types could be used. In this publication it is assumed that all new builds since April 2008 have cavity wall insulation.</w:t>
      </w:r>
    </w:p>
  </w:footnote>
  <w:footnote w:id="33">
    <w:p w:rsidR="00C34310" w:rsidRPr="007F2B6B" w:rsidRDefault="00C34310" w:rsidP="00291E07">
      <w:pPr>
        <w:pStyle w:val="FootnoteText"/>
        <w:spacing w:after="0"/>
      </w:pPr>
      <w:r w:rsidRPr="007F2B6B">
        <w:rPr>
          <w:rStyle w:val="FootnoteReference"/>
        </w:rPr>
        <w:footnoteRef/>
      </w:r>
      <w:r w:rsidRPr="007F2B6B">
        <w:t xml:space="preserve"> Estimates of solid wall insulation are based only on delivery of solid wall insulation through Government schemes (including the Energy Efficiency Commitment).</w:t>
      </w:r>
    </w:p>
  </w:footnote>
  <w:footnote w:id="34">
    <w:p w:rsidR="00C34310" w:rsidRDefault="00C34310" w:rsidP="000C72AB">
      <w:pPr>
        <w:pStyle w:val="FootnoteText"/>
        <w:spacing w:after="0" w:line="240" w:lineRule="auto"/>
        <w:jc w:val="both"/>
      </w:pPr>
      <w:r>
        <w:rPr>
          <w:rStyle w:val="FootnoteReference"/>
        </w:rPr>
        <w:footnoteRef/>
      </w:r>
      <w:r>
        <w:t xml:space="preserve"> Although these properties are not fully insulated it is likely that they already have a relatively good thermal performance which means savings from having cavity wall insulation installed would be lower than for older properties. Limited potential properties are those built between 1983 and 1995 for England and Wales, and between 1984 and 1991 for Scotland.</w:t>
      </w:r>
    </w:p>
  </w:footnote>
  <w:footnote w:id="35">
    <w:p w:rsidR="00C34310" w:rsidRDefault="00C34310" w:rsidP="000C72AB">
      <w:pPr>
        <w:spacing w:before="0" w:after="0" w:line="240" w:lineRule="auto"/>
        <w:jc w:val="both"/>
      </w:pPr>
      <w:r>
        <w:rPr>
          <w:rStyle w:val="FootnoteReference"/>
          <w:sz w:val="20"/>
        </w:rPr>
        <w:footnoteRef/>
      </w:r>
      <w:r>
        <w:rPr>
          <w:sz w:val="20"/>
        </w:rPr>
        <w:t xml:space="preserve"> </w:t>
      </w:r>
      <w:r w:rsidRPr="0027699B">
        <w:rPr>
          <w:sz w:val="20"/>
        </w:rPr>
        <w:t>Hard to treat cavities are ones that are more difficult or more expensive to fill than standard cavities. This can include properties with a narrow cavity, and properties of either concrete or metal frame construction. The definition of hard to treat used in this publication is based on a report commissioned by DECC using the 2008 Housing Surveys (</w:t>
      </w:r>
      <w:hyperlink r:id="rId18" w:history="1">
        <w:r w:rsidRPr="0027699B">
          <w:rPr>
            <w:rStyle w:val="Hyperlink"/>
            <w:rFonts w:ascii="Arial" w:eastAsia="MS Mincho" w:hAnsi="Arial"/>
            <w:sz w:val="20"/>
          </w:rPr>
          <w:t>https://www.gov.uk/government/uploa</w:t>
        </w:r>
        <w:r w:rsidRPr="0027699B">
          <w:rPr>
            <w:rStyle w:val="Hyperlink"/>
            <w:rFonts w:ascii="Arial" w:eastAsia="MS Mincho" w:hAnsi="Arial"/>
            <w:sz w:val="20"/>
          </w:rPr>
          <w:t>d</w:t>
        </w:r>
        <w:r w:rsidRPr="0027699B">
          <w:rPr>
            <w:rStyle w:val="Hyperlink"/>
            <w:rFonts w:ascii="Arial" w:eastAsia="MS Mincho" w:hAnsi="Arial"/>
            <w:sz w:val="20"/>
          </w:rPr>
          <w:t>s/system/uploads /attachment_data/file/48433/5620-review-of-the-number-of-cavity-walls-in-great-brit.pdf</w:t>
        </w:r>
      </w:hyperlink>
      <w:r w:rsidRPr="0027699B">
        <w:rPr>
          <w:sz w:val="20"/>
        </w:rPr>
        <w:t>), the ECO definition of hard treat differs from this definition slightly as it also includes partial fill cavities and cavity wall dwellings over three storeys (compared to over four in the Inbuilt definition) and excludes some cavities which assessors would not be able to identify as hard to treat, such as dwellings with high exposure to wind and rain.</w:t>
      </w:r>
      <w:r>
        <w:rPr>
          <w:sz w:val="20"/>
        </w:rPr>
        <w:t xml:space="preserve"> </w:t>
      </w:r>
    </w:p>
  </w:footnote>
  <w:footnote w:id="36">
    <w:p w:rsidR="00C34310" w:rsidRPr="008A5812" w:rsidRDefault="00C34310" w:rsidP="00D12323">
      <w:pPr>
        <w:pStyle w:val="FootnoteText"/>
        <w:spacing w:after="0"/>
        <w:jc w:val="both"/>
      </w:pPr>
      <w:r w:rsidRPr="008A5812">
        <w:rPr>
          <w:rStyle w:val="FootnoteReference"/>
        </w:rPr>
        <w:footnoteRef/>
      </w:r>
      <w:r w:rsidRPr="008A5812">
        <w:t xml:space="preserve"> The Plan is a contract between the owner/occupier and the Provider – it sets out the work that will be done and the repayments.</w:t>
      </w:r>
    </w:p>
  </w:footnote>
  <w:footnote w:id="37">
    <w:p w:rsidR="00C34310" w:rsidRDefault="00C34310" w:rsidP="00D12323">
      <w:pPr>
        <w:pStyle w:val="FootnoteText"/>
        <w:spacing w:after="0"/>
        <w:jc w:val="both"/>
      </w:pPr>
      <w:r w:rsidRPr="008A5812">
        <w:rPr>
          <w:rStyle w:val="FootnoteReference"/>
        </w:rPr>
        <w:footnoteRef/>
      </w:r>
      <w:r w:rsidRPr="008A5812">
        <w:t xml:space="preserve"> For example, in the case of a Green Deal Plan that is regulated by the Consumer Credit Act 1974, the consumer will have 14 days to withdraw from the part of the Green Deal Plan which provides credit.</w:t>
      </w:r>
    </w:p>
  </w:footnote>
  <w:footnote w:id="38">
    <w:p w:rsidR="00C34310" w:rsidRPr="00D76AE6" w:rsidRDefault="00C34310" w:rsidP="00D76AE6">
      <w:pPr>
        <w:pStyle w:val="FootnoteText"/>
        <w:spacing w:after="0"/>
        <w:jc w:val="both"/>
      </w:pPr>
      <w:r w:rsidRPr="00D76AE6">
        <w:rPr>
          <w:rStyle w:val="FootnoteReference"/>
        </w:rPr>
        <w:footnoteRef/>
      </w:r>
      <w:r w:rsidRPr="00D76AE6">
        <w:t xml:space="preserve"> Information on the Standard Assessment Procedure can be found here </w:t>
      </w:r>
    </w:p>
    <w:p w:rsidR="00C34310" w:rsidRDefault="00C34310" w:rsidP="00D76AE6">
      <w:pPr>
        <w:pStyle w:val="FootnoteText"/>
        <w:spacing w:after="0"/>
        <w:jc w:val="both"/>
      </w:pPr>
      <w:hyperlink r:id="rId19" w:history="1">
        <w:r w:rsidRPr="00D76AE6">
          <w:rPr>
            <w:rStyle w:val="Hyperlink"/>
            <w:rFonts w:ascii="Arial" w:hAnsi="Arial"/>
            <w:sz w:val="20"/>
          </w:rPr>
          <w:t>https://www.gov.uk/standard-assess</w:t>
        </w:r>
        <w:r w:rsidRPr="00D76AE6">
          <w:rPr>
            <w:rStyle w:val="Hyperlink"/>
            <w:rFonts w:ascii="Arial" w:hAnsi="Arial"/>
            <w:sz w:val="20"/>
          </w:rPr>
          <w:t>m</w:t>
        </w:r>
        <w:r w:rsidRPr="00D76AE6">
          <w:rPr>
            <w:rStyle w:val="Hyperlink"/>
            <w:rFonts w:ascii="Arial" w:hAnsi="Arial"/>
            <w:sz w:val="20"/>
          </w:rPr>
          <w:t>ent-procedure</w:t>
        </w:r>
      </w:hyperlink>
    </w:p>
  </w:footnote>
  <w:footnote w:id="39">
    <w:p w:rsidR="00C34310" w:rsidRDefault="00C34310" w:rsidP="009213D0">
      <w:pPr>
        <w:pStyle w:val="FootnoteText"/>
        <w:jc w:val="both"/>
      </w:pPr>
      <w:r>
        <w:rPr>
          <w:rStyle w:val="FootnoteReference"/>
        </w:rPr>
        <w:footnoteRef/>
      </w:r>
      <w:r>
        <w:t xml:space="preserve"> </w:t>
      </w:r>
      <w:r w:rsidRPr="00E01EED">
        <w:t xml:space="preserve">The definition of a ‘Smart Meter’ is an electricity or gas meter that is compliant with the </w:t>
      </w:r>
      <w:hyperlink r:id="rId20" w:history="1">
        <w:r w:rsidRPr="00E01EED">
          <w:rPr>
            <w:rStyle w:val="Hyperlink"/>
            <w:rFonts w:ascii="Arial" w:eastAsia="MS Mincho" w:hAnsi="Arial"/>
            <w:sz w:val="20"/>
          </w:rPr>
          <w:t>Smart Mete</w:t>
        </w:r>
        <w:r w:rsidRPr="00E01EED">
          <w:rPr>
            <w:rStyle w:val="Hyperlink"/>
            <w:rFonts w:ascii="Arial" w:eastAsia="MS Mincho" w:hAnsi="Arial"/>
            <w:sz w:val="20"/>
          </w:rPr>
          <w:t>r</w:t>
        </w:r>
        <w:r w:rsidRPr="00E01EED">
          <w:rPr>
            <w:rStyle w:val="Hyperlink"/>
            <w:rFonts w:ascii="Arial" w:eastAsia="MS Mincho" w:hAnsi="Arial"/>
            <w:sz w:val="20"/>
          </w:rPr>
          <w:t xml:space="preserve"> Equipment Technical Specification (SMETS)</w:t>
        </w:r>
      </w:hyperlink>
      <w:r w:rsidRPr="00E01EED">
        <w:t xml:space="preserve"> and has functionality such as being able to transmit meter readings to suppliers and receive data remotely. Suppliers currently report the number of smart meters they have installed and those they expect to upgrade to become SMETS compliant. </w:t>
      </w:r>
      <w:r>
        <w:t>Some</w:t>
      </w:r>
      <w:r w:rsidRPr="00E01EED">
        <w:t xml:space="preserve"> smart meters currently installed will need to receive updates, which are expected to be delivered remotely, before they are fully SMETS compliant.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Default="00C34310">
    <w:pPr>
      <w:pStyle w:val="Header"/>
    </w:pPr>
    <w:fldSimple w:instr=" STYLEREF &quot;Chapter Head&quot; \* MERGEFORMAT ">
      <w:r>
        <w:rPr>
          <w:noProof/>
        </w:rPr>
        <w:t>Executive summary</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Default="00C3431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Default="00C3431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Default="00C34310">
    <w:pPr>
      <w:pStyle w:val="Header"/>
    </w:pPr>
    <w:r>
      <w:rPr>
        <w:noProof/>
        <w:lang w:eastAsia="en-GB"/>
      </w:rPr>
      <w:drawing>
        <wp:anchor distT="0" distB="0" distL="114300" distR="114300" simplePos="0" relativeHeight="251658752" behindDoc="1" locked="0" layoutInCell="1" allowOverlap="1" wp14:anchorId="6E32FCFC" wp14:editId="35202EB5">
          <wp:simplePos x="0" y="0"/>
          <wp:positionH relativeFrom="column">
            <wp:posOffset>-539750</wp:posOffset>
          </wp:positionH>
          <wp:positionV relativeFrom="paragraph">
            <wp:posOffset>-357505</wp:posOffset>
          </wp:positionV>
          <wp:extent cx="7560310" cy="10680065"/>
          <wp:effectExtent l="0" t="0" r="2540" b="6985"/>
          <wp:wrapNone/>
          <wp:docPr id="3" name="Picture 1" descr="Decc-graphic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c-graphic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00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Default="00C343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Default="00C34310" w:rsidP="005F3625">
    <w:pPr>
      <w:pStyle w:val="Header"/>
      <w:jc w:val="center"/>
    </w:pPr>
    <w:r>
      <w:rPr>
        <w:noProof/>
        <w:lang w:eastAsia="en-GB"/>
      </w:rPr>
      <w:drawing>
        <wp:anchor distT="0" distB="0" distL="114300" distR="114300" simplePos="0" relativeHeight="251657728" behindDoc="1" locked="0" layoutInCell="1" allowOverlap="1" wp14:anchorId="377FEFC7" wp14:editId="421E685B">
          <wp:simplePos x="0" y="0"/>
          <wp:positionH relativeFrom="column">
            <wp:posOffset>-543560</wp:posOffset>
          </wp:positionH>
          <wp:positionV relativeFrom="paragraph">
            <wp:posOffset>-390525</wp:posOffset>
          </wp:positionV>
          <wp:extent cx="7560310" cy="10680065"/>
          <wp:effectExtent l="0" t="0" r="2540" b="6985"/>
          <wp:wrapNone/>
          <wp:docPr id="6" name="Picture 22" descr="Decc-graphic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cc-graphic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00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14:anchorId="23963457" wp14:editId="5462B9CE">
          <wp:simplePos x="0" y="0"/>
          <wp:positionH relativeFrom="column">
            <wp:posOffset>-187325</wp:posOffset>
          </wp:positionH>
          <wp:positionV relativeFrom="paragraph">
            <wp:posOffset>5080</wp:posOffset>
          </wp:positionV>
          <wp:extent cx="1356995" cy="899795"/>
          <wp:effectExtent l="0" t="0" r="0" b="0"/>
          <wp:wrapNone/>
          <wp:docPr id="4" name="Picture 18" descr="DE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C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6995" cy="8997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Default="00C3431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Default="00C3431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Default="00C3431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Default="00C3431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Default="00C3431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310" w:rsidRDefault="00C343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49DB"/>
    <w:multiLevelType w:val="hybridMultilevel"/>
    <w:tmpl w:val="C6345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F71A8F"/>
    <w:multiLevelType w:val="hybridMultilevel"/>
    <w:tmpl w:val="3716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9B762C"/>
    <w:multiLevelType w:val="hybridMultilevel"/>
    <w:tmpl w:val="791E0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BA7B8A"/>
    <w:multiLevelType w:val="hybridMultilevel"/>
    <w:tmpl w:val="5026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AB04A4"/>
    <w:multiLevelType w:val="hybridMultilevel"/>
    <w:tmpl w:val="64661D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91F1622"/>
    <w:multiLevelType w:val="hybridMultilevel"/>
    <w:tmpl w:val="C43A78CC"/>
    <w:lvl w:ilvl="0" w:tplc="902C7A9A">
      <w:start w:val="1"/>
      <w:numFmt w:val="decimal"/>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8E7EB7"/>
    <w:multiLevelType w:val="hybridMultilevel"/>
    <w:tmpl w:val="33CA4E2E"/>
    <w:lvl w:ilvl="0" w:tplc="8938A4C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C120E7"/>
    <w:multiLevelType w:val="hybridMultilevel"/>
    <w:tmpl w:val="0802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AF0A82"/>
    <w:multiLevelType w:val="hybridMultilevel"/>
    <w:tmpl w:val="7FE4E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CE1922"/>
    <w:multiLevelType w:val="hybridMultilevel"/>
    <w:tmpl w:val="D0E0A2E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18F36465"/>
    <w:multiLevelType w:val="hybridMultilevel"/>
    <w:tmpl w:val="6E680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446010"/>
    <w:multiLevelType w:val="hybridMultilevel"/>
    <w:tmpl w:val="A81AA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10692A"/>
    <w:multiLevelType w:val="hybridMultilevel"/>
    <w:tmpl w:val="6FFC8E8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2865723C"/>
    <w:multiLevelType w:val="hybridMultilevel"/>
    <w:tmpl w:val="89922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8E5880"/>
    <w:multiLevelType w:val="hybridMultilevel"/>
    <w:tmpl w:val="3822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053791"/>
    <w:multiLevelType w:val="multilevel"/>
    <w:tmpl w:val="2D8CE0CA"/>
    <w:lvl w:ilvl="0">
      <w:start w:val="1"/>
      <w:numFmt w:val="lowerRoman"/>
      <w:pStyle w:val="Listnumbered"/>
      <w:lvlText w:val="%1."/>
      <w:lvlJc w:val="left"/>
      <w:pPr>
        <w:tabs>
          <w:tab w:val="num" w:pos="360"/>
        </w:tabs>
        <w:ind w:left="360" w:hanging="360"/>
      </w:pPr>
      <w:rPr>
        <w:rFonts w:hint="default"/>
      </w:rPr>
    </w:lvl>
    <w:lvl w:ilvl="1">
      <w:start w:val="1"/>
      <w:numFmt w:val="lowerRoman"/>
      <w:lvlText w:val="%1.%2."/>
      <w:lvlJc w:val="left"/>
      <w:pPr>
        <w:tabs>
          <w:tab w:val="num" w:pos="792"/>
        </w:tabs>
        <w:ind w:left="792" w:hanging="432"/>
      </w:pPr>
      <w:rPr>
        <w:rFonts w:hint="default"/>
        <w:color w:val="auto"/>
      </w:rPr>
    </w:lvl>
    <w:lvl w:ilvl="2">
      <w:start w:val="1"/>
      <w:numFmt w:val="lowerRoman"/>
      <w:lvlText w:val="%1.%2.%3."/>
      <w:lvlJc w:val="left"/>
      <w:pPr>
        <w:tabs>
          <w:tab w:val="num" w:pos="1440"/>
        </w:tabs>
        <w:ind w:left="1224" w:hanging="504"/>
      </w:pPr>
      <w:rPr>
        <w:rFonts w:hint="default"/>
        <w:color w:val="auto"/>
      </w:rPr>
    </w:lvl>
    <w:lvl w:ilvl="3">
      <w:start w:val="1"/>
      <w:numFmt w:val="none"/>
      <w:lvlText w:val="%1.%2.%3.%4."/>
      <w:lvlJc w:val="left"/>
      <w:pPr>
        <w:tabs>
          <w:tab w:val="num" w:pos="2160"/>
        </w:tabs>
        <w:ind w:left="1728" w:hanging="648"/>
      </w:pPr>
      <w:rPr>
        <w:rFonts w:hint="default"/>
      </w:rPr>
    </w:lvl>
    <w:lvl w:ilvl="4">
      <w:start w:val="1"/>
      <w:numFmt w:val="none"/>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32A63D90"/>
    <w:multiLevelType w:val="hybridMultilevel"/>
    <w:tmpl w:val="DE10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AE011A"/>
    <w:multiLevelType w:val="hybridMultilevel"/>
    <w:tmpl w:val="F49C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9">
    <w:nsid w:val="383D3E44"/>
    <w:multiLevelType w:val="hybridMultilevel"/>
    <w:tmpl w:val="A924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936960"/>
    <w:multiLevelType w:val="hybridMultilevel"/>
    <w:tmpl w:val="5546BB46"/>
    <w:lvl w:ilvl="0" w:tplc="08090001">
      <w:start w:val="1"/>
      <w:numFmt w:val="bullet"/>
      <w:lvlText w:val=""/>
      <w:lvlJc w:val="left"/>
      <w:pPr>
        <w:ind w:left="720" w:hanging="360"/>
      </w:pPr>
      <w:rPr>
        <w:rFonts w:ascii="Symbol" w:hAnsi="Symbol" w:hint="default"/>
      </w:rPr>
    </w:lvl>
    <w:lvl w:ilvl="1" w:tplc="E146FFA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6E513D"/>
    <w:multiLevelType w:val="hybridMultilevel"/>
    <w:tmpl w:val="6276CA5A"/>
    <w:lvl w:ilvl="0" w:tplc="D26E7B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763BB3"/>
    <w:multiLevelType w:val="hybridMultilevel"/>
    <w:tmpl w:val="B6A0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E0E6647"/>
    <w:multiLevelType w:val="multilevel"/>
    <w:tmpl w:val="08E0FAD4"/>
    <w:lvl w:ilvl="0">
      <w:start w:val="1"/>
      <w:numFmt w:val="bullet"/>
      <w:pStyle w:val="Listbullet1"/>
      <w:lvlText w:val=""/>
      <w:lvlJc w:val="left"/>
      <w:pPr>
        <w:ind w:left="1211" w:hanging="360"/>
      </w:pPr>
      <w:rPr>
        <w:rFonts w:ascii="Symbol" w:hAnsi="Symbol" w:hint="default"/>
        <w:color w:val="00AEEF"/>
      </w:rPr>
    </w:lvl>
    <w:lvl w:ilvl="1">
      <w:start w:val="1"/>
      <w:numFmt w:val="bullet"/>
      <w:pStyle w:val="Listbullet2"/>
      <w:lvlText w:val=""/>
      <w:lvlJc w:val="left"/>
      <w:pPr>
        <w:tabs>
          <w:tab w:val="num" w:pos="720"/>
        </w:tabs>
        <w:ind w:left="720" w:hanging="360"/>
      </w:pPr>
      <w:rPr>
        <w:rFonts w:ascii="Symbol" w:hAnsi="Symbol" w:hint="default"/>
        <w:color w:val="auto"/>
      </w:rPr>
    </w:lvl>
    <w:lvl w:ilvl="2">
      <w:start w:val="1"/>
      <w:numFmt w:val="bullet"/>
      <w:pStyle w:val="Listbullet3"/>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3E377B27"/>
    <w:multiLevelType w:val="hybridMultilevel"/>
    <w:tmpl w:val="A1D290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39C0498"/>
    <w:multiLevelType w:val="hybridMultilevel"/>
    <w:tmpl w:val="FBE40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82D3149"/>
    <w:multiLevelType w:val="hybridMultilevel"/>
    <w:tmpl w:val="DDA4735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nsid w:val="4F6B7836"/>
    <w:multiLevelType w:val="singleLevel"/>
    <w:tmpl w:val="120217FE"/>
    <w:lvl w:ilvl="0">
      <w:start w:val="1"/>
      <w:numFmt w:val="decimal"/>
      <w:pStyle w:val="Subsnumberedparagraphs"/>
      <w:lvlText w:val="%1."/>
      <w:lvlJc w:val="left"/>
      <w:pPr>
        <w:ind w:left="357" w:hanging="357"/>
      </w:pPr>
      <w:rPr>
        <w:rFonts w:ascii="Arial" w:hAnsi="Arial" w:cs="Arial" w:hint="default"/>
        <w:b w:val="0"/>
        <w:color w:val="auto"/>
        <w:sz w:val="24"/>
        <w:szCs w:val="24"/>
      </w:rPr>
    </w:lvl>
  </w:abstractNum>
  <w:abstractNum w:abstractNumId="28">
    <w:nsid w:val="51A73192"/>
    <w:multiLevelType w:val="hybridMultilevel"/>
    <w:tmpl w:val="DDD2481A"/>
    <w:lvl w:ilvl="0" w:tplc="44F6DF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2F1209A"/>
    <w:multiLevelType w:val="hybridMultilevel"/>
    <w:tmpl w:val="EF8C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353FEF"/>
    <w:multiLevelType w:val="hybridMultilevel"/>
    <w:tmpl w:val="F56239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5AA33CF"/>
    <w:multiLevelType w:val="hybridMultilevel"/>
    <w:tmpl w:val="AC4C6EC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nsid w:val="58462C76"/>
    <w:multiLevelType w:val="hybridMultilevel"/>
    <w:tmpl w:val="DA7A2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09E5B38"/>
    <w:multiLevelType w:val="hybridMultilevel"/>
    <w:tmpl w:val="76064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CE026D8"/>
    <w:multiLevelType w:val="hybridMultilevel"/>
    <w:tmpl w:val="B3AC6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F362AFA"/>
    <w:multiLevelType w:val="hybridMultilevel"/>
    <w:tmpl w:val="FC64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1B4669F"/>
    <w:multiLevelType w:val="hybridMultilevel"/>
    <w:tmpl w:val="38B6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26C683D"/>
    <w:multiLevelType w:val="hybridMultilevel"/>
    <w:tmpl w:val="885C9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2B7440"/>
    <w:multiLevelType w:val="multilevel"/>
    <w:tmpl w:val="DA823368"/>
    <w:lvl w:ilvl="0">
      <w:start w:val="1"/>
      <w:numFmt w:val="decimal"/>
      <w:pStyle w:val="ChptHead"/>
      <w:lvlText w:val="%1."/>
      <w:lvlJc w:val="left"/>
      <w:pPr>
        <w:tabs>
          <w:tab w:val="num" w:pos="360"/>
        </w:tabs>
        <w:ind w:left="360" w:hanging="360"/>
      </w:pPr>
      <w:rPr>
        <w:rFonts w:hint="default"/>
      </w:rPr>
    </w:lvl>
    <w:lvl w:ilvl="1">
      <w:start w:val="1"/>
      <w:numFmt w:val="decimal"/>
      <w:pStyle w:val="Paragraphnumbered"/>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nsid w:val="770E3140"/>
    <w:multiLevelType w:val="hybridMultilevel"/>
    <w:tmpl w:val="4A6E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E0559D4"/>
    <w:multiLevelType w:val="hybridMultilevel"/>
    <w:tmpl w:val="DD68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F0731B"/>
    <w:multiLevelType w:val="hybridMultilevel"/>
    <w:tmpl w:val="2D4E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8"/>
  </w:num>
  <w:num w:numId="3">
    <w:abstractNumId w:val="15"/>
  </w:num>
  <w:num w:numId="4">
    <w:abstractNumId w:val="18"/>
  </w:num>
  <w:num w:numId="5">
    <w:abstractNumId w:val="31"/>
  </w:num>
  <w:num w:numId="6">
    <w:abstractNumId w:val="8"/>
  </w:num>
  <w:num w:numId="7">
    <w:abstractNumId w:val="6"/>
  </w:num>
  <w:num w:numId="8">
    <w:abstractNumId w:val="11"/>
  </w:num>
  <w:num w:numId="9">
    <w:abstractNumId w:val="22"/>
  </w:num>
  <w:num w:numId="10">
    <w:abstractNumId w:val="14"/>
  </w:num>
  <w:num w:numId="11">
    <w:abstractNumId w:val="37"/>
  </w:num>
  <w:num w:numId="12">
    <w:abstractNumId w:val="40"/>
  </w:num>
  <w:num w:numId="13">
    <w:abstractNumId w:val="7"/>
  </w:num>
  <w:num w:numId="14">
    <w:abstractNumId w:val="2"/>
  </w:num>
  <w:num w:numId="15">
    <w:abstractNumId w:val="28"/>
  </w:num>
  <w:num w:numId="16">
    <w:abstractNumId w:val="0"/>
  </w:num>
  <w:num w:numId="17">
    <w:abstractNumId w:val="4"/>
  </w:num>
  <w:num w:numId="18">
    <w:abstractNumId w:val="16"/>
  </w:num>
  <w:num w:numId="19">
    <w:abstractNumId w:val="17"/>
  </w:num>
  <w:num w:numId="20">
    <w:abstractNumId w:val="13"/>
  </w:num>
  <w:num w:numId="21">
    <w:abstractNumId w:val="35"/>
  </w:num>
  <w:num w:numId="22">
    <w:abstractNumId w:val="5"/>
  </w:num>
  <w:num w:numId="23">
    <w:abstractNumId w:val="34"/>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24"/>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num>
  <w:num w:numId="29">
    <w:abstractNumId w:val="32"/>
  </w:num>
  <w:num w:numId="30">
    <w:abstractNumId w:val="36"/>
  </w:num>
  <w:num w:numId="31">
    <w:abstractNumId w:val="29"/>
  </w:num>
  <w:num w:numId="32">
    <w:abstractNumId w:val="33"/>
  </w:num>
  <w:num w:numId="33">
    <w:abstractNumId w:val="25"/>
  </w:num>
  <w:num w:numId="34">
    <w:abstractNumId w:val="1"/>
  </w:num>
  <w:num w:numId="35">
    <w:abstractNumId w:val="3"/>
  </w:num>
  <w:num w:numId="36">
    <w:abstractNumId w:val="21"/>
  </w:num>
  <w:num w:numId="37">
    <w:abstractNumId w:val="21"/>
  </w:num>
  <w:num w:numId="38">
    <w:abstractNumId w:val="31"/>
  </w:num>
  <w:num w:numId="39">
    <w:abstractNumId w:val="27"/>
  </w:num>
  <w:num w:numId="40">
    <w:abstractNumId w:val="20"/>
  </w:num>
  <w:num w:numId="41">
    <w:abstractNumId w:val="10"/>
  </w:num>
  <w:num w:numId="42">
    <w:abstractNumId w:val="12"/>
  </w:num>
  <w:num w:numId="43">
    <w:abstractNumId w:val="39"/>
  </w:num>
  <w:num w:numId="4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GB" w:vendorID="64" w:dllVersion="131077" w:nlCheck="1" w:checkStyle="1"/>
  <w:activeWritingStyle w:appName="MSWord" w:lang="en-US" w:vendorID="64" w:dllVersion="131078" w:nlCheck="1" w:checkStyle="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6625">
      <o:colormru v:ext="edit" colors="#01d1ae"/>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F4E"/>
    <w:rsid w:val="00004A30"/>
    <w:rsid w:val="00004C7C"/>
    <w:rsid w:val="00007F0B"/>
    <w:rsid w:val="00010E69"/>
    <w:rsid w:val="00013C3B"/>
    <w:rsid w:val="00014925"/>
    <w:rsid w:val="000149B8"/>
    <w:rsid w:val="0001517E"/>
    <w:rsid w:val="00017256"/>
    <w:rsid w:val="0002006B"/>
    <w:rsid w:val="00020551"/>
    <w:rsid w:val="00022CDD"/>
    <w:rsid w:val="0002370D"/>
    <w:rsid w:val="00031926"/>
    <w:rsid w:val="0003252A"/>
    <w:rsid w:val="000330DE"/>
    <w:rsid w:val="000374A9"/>
    <w:rsid w:val="0003780D"/>
    <w:rsid w:val="00040C25"/>
    <w:rsid w:val="00040CF0"/>
    <w:rsid w:val="0004106F"/>
    <w:rsid w:val="00042A1C"/>
    <w:rsid w:val="00042CED"/>
    <w:rsid w:val="0004339F"/>
    <w:rsid w:val="00043E08"/>
    <w:rsid w:val="00043F34"/>
    <w:rsid w:val="00044310"/>
    <w:rsid w:val="0004479C"/>
    <w:rsid w:val="00044902"/>
    <w:rsid w:val="00046BDE"/>
    <w:rsid w:val="00051DE6"/>
    <w:rsid w:val="000532EE"/>
    <w:rsid w:val="00054648"/>
    <w:rsid w:val="00054D4E"/>
    <w:rsid w:val="000564B6"/>
    <w:rsid w:val="0006123D"/>
    <w:rsid w:val="00063A19"/>
    <w:rsid w:val="00071645"/>
    <w:rsid w:val="00072C53"/>
    <w:rsid w:val="0007309E"/>
    <w:rsid w:val="00073727"/>
    <w:rsid w:val="00074DFE"/>
    <w:rsid w:val="00076313"/>
    <w:rsid w:val="00076B6A"/>
    <w:rsid w:val="00080315"/>
    <w:rsid w:val="00081F3E"/>
    <w:rsid w:val="000842C4"/>
    <w:rsid w:val="00084CED"/>
    <w:rsid w:val="00090E71"/>
    <w:rsid w:val="00091754"/>
    <w:rsid w:val="000934E6"/>
    <w:rsid w:val="000948BE"/>
    <w:rsid w:val="00097E6F"/>
    <w:rsid w:val="00097F10"/>
    <w:rsid w:val="000A0384"/>
    <w:rsid w:val="000A37D1"/>
    <w:rsid w:val="000A58A7"/>
    <w:rsid w:val="000A6ADA"/>
    <w:rsid w:val="000A6FF0"/>
    <w:rsid w:val="000A7029"/>
    <w:rsid w:val="000A73D0"/>
    <w:rsid w:val="000A74DA"/>
    <w:rsid w:val="000B2F01"/>
    <w:rsid w:val="000B5CAF"/>
    <w:rsid w:val="000B674F"/>
    <w:rsid w:val="000B6CFB"/>
    <w:rsid w:val="000B6EFA"/>
    <w:rsid w:val="000C1027"/>
    <w:rsid w:val="000C15BD"/>
    <w:rsid w:val="000C1C3B"/>
    <w:rsid w:val="000C22B8"/>
    <w:rsid w:val="000C27CC"/>
    <w:rsid w:val="000C5549"/>
    <w:rsid w:val="000C6D7D"/>
    <w:rsid w:val="000C72AB"/>
    <w:rsid w:val="000D0170"/>
    <w:rsid w:val="000D0C4C"/>
    <w:rsid w:val="000D1C94"/>
    <w:rsid w:val="000D1F2E"/>
    <w:rsid w:val="000D229F"/>
    <w:rsid w:val="000D36F8"/>
    <w:rsid w:val="000D6958"/>
    <w:rsid w:val="000D6E25"/>
    <w:rsid w:val="000E07C4"/>
    <w:rsid w:val="000E08BD"/>
    <w:rsid w:val="000E1867"/>
    <w:rsid w:val="000E23EA"/>
    <w:rsid w:val="000E4CBB"/>
    <w:rsid w:val="000E5896"/>
    <w:rsid w:val="000E7A31"/>
    <w:rsid w:val="000F3D99"/>
    <w:rsid w:val="000F3E65"/>
    <w:rsid w:val="000F4B03"/>
    <w:rsid w:val="000F5BAA"/>
    <w:rsid w:val="000F5DE9"/>
    <w:rsid w:val="000F6A40"/>
    <w:rsid w:val="000F7468"/>
    <w:rsid w:val="0010080F"/>
    <w:rsid w:val="0010085D"/>
    <w:rsid w:val="00101615"/>
    <w:rsid w:val="0010186C"/>
    <w:rsid w:val="001048D3"/>
    <w:rsid w:val="00106DBE"/>
    <w:rsid w:val="00107353"/>
    <w:rsid w:val="00107D4C"/>
    <w:rsid w:val="00113349"/>
    <w:rsid w:val="001161E7"/>
    <w:rsid w:val="001165D9"/>
    <w:rsid w:val="001177EA"/>
    <w:rsid w:val="0012033E"/>
    <w:rsid w:val="00123110"/>
    <w:rsid w:val="001235EA"/>
    <w:rsid w:val="001236EF"/>
    <w:rsid w:val="00125140"/>
    <w:rsid w:val="001253DD"/>
    <w:rsid w:val="00127E85"/>
    <w:rsid w:val="001326AA"/>
    <w:rsid w:val="00134DD5"/>
    <w:rsid w:val="00136242"/>
    <w:rsid w:val="00137130"/>
    <w:rsid w:val="001371C6"/>
    <w:rsid w:val="001448FE"/>
    <w:rsid w:val="00144EE8"/>
    <w:rsid w:val="0014506F"/>
    <w:rsid w:val="00146E75"/>
    <w:rsid w:val="00152D00"/>
    <w:rsid w:val="001574BB"/>
    <w:rsid w:val="001632E7"/>
    <w:rsid w:val="00167BD2"/>
    <w:rsid w:val="001703A7"/>
    <w:rsid w:val="00170DD3"/>
    <w:rsid w:val="0017263F"/>
    <w:rsid w:val="001727AB"/>
    <w:rsid w:val="00174CFA"/>
    <w:rsid w:val="00175BD8"/>
    <w:rsid w:val="0017774D"/>
    <w:rsid w:val="00182875"/>
    <w:rsid w:val="001828F1"/>
    <w:rsid w:val="00182F26"/>
    <w:rsid w:val="00183230"/>
    <w:rsid w:val="001837BF"/>
    <w:rsid w:val="0018381A"/>
    <w:rsid w:val="00186DB5"/>
    <w:rsid w:val="00190CEA"/>
    <w:rsid w:val="0019131D"/>
    <w:rsid w:val="00193980"/>
    <w:rsid w:val="001946E3"/>
    <w:rsid w:val="00194F8A"/>
    <w:rsid w:val="0019698D"/>
    <w:rsid w:val="00197017"/>
    <w:rsid w:val="00197DFC"/>
    <w:rsid w:val="001A2F46"/>
    <w:rsid w:val="001A5DBB"/>
    <w:rsid w:val="001A7251"/>
    <w:rsid w:val="001B08CA"/>
    <w:rsid w:val="001B59B9"/>
    <w:rsid w:val="001B6F9E"/>
    <w:rsid w:val="001B7E76"/>
    <w:rsid w:val="001C0183"/>
    <w:rsid w:val="001C1519"/>
    <w:rsid w:val="001C6CD8"/>
    <w:rsid w:val="001C6F3E"/>
    <w:rsid w:val="001D0BAF"/>
    <w:rsid w:val="001D54FE"/>
    <w:rsid w:val="001D5B1A"/>
    <w:rsid w:val="001D62EA"/>
    <w:rsid w:val="001D741A"/>
    <w:rsid w:val="001E0E4A"/>
    <w:rsid w:val="001E100F"/>
    <w:rsid w:val="001E1146"/>
    <w:rsid w:val="001E226F"/>
    <w:rsid w:val="001E271D"/>
    <w:rsid w:val="001E7594"/>
    <w:rsid w:val="001F33AF"/>
    <w:rsid w:val="001F4A03"/>
    <w:rsid w:val="001F4BE7"/>
    <w:rsid w:val="001F5350"/>
    <w:rsid w:val="001F7746"/>
    <w:rsid w:val="002010BC"/>
    <w:rsid w:val="00201EFF"/>
    <w:rsid w:val="00202EFC"/>
    <w:rsid w:val="0020300F"/>
    <w:rsid w:val="002035D4"/>
    <w:rsid w:val="00205007"/>
    <w:rsid w:val="0021193E"/>
    <w:rsid w:val="00211C72"/>
    <w:rsid w:val="002155D4"/>
    <w:rsid w:val="00215650"/>
    <w:rsid w:val="00216867"/>
    <w:rsid w:val="00217A69"/>
    <w:rsid w:val="00217B13"/>
    <w:rsid w:val="002201C1"/>
    <w:rsid w:val="00222237"/>
    <w:rsid w:val="002241BF"/>
    <w:rsid w:val="002250D7"/>
    <w:rsid w:val="002254AF"/>
    <w:rsid w:val="002319DA"/>
    <w:rsid w:val="00231B9B"/>
    <w:rsid w:val="0023620D"/>
    <w:rsid w:val="002369BE"/>
    <w:rsid w:val="002404FA"/>
    <w:rsid w:val="00241F1B"/>
    <w:rsid w:val="00242098"/>
    <w:rsid w:val="0024448F"/>
    <w:rsid w:val="00245D53"/>
    <w:rsid w:val="00247639"/>
    <w:rsid w:val="00247DB2"/>
    <w:rsid w:val="002512ED"/>
    <w:rsid w:val="00251497"/>
    <w:rsid w:val="00253F81"/>
    <w:rsid w:val="00254D10"/>
    <w:rsid w:val="00257640"/>
    <w:rsid w:val="00261887"/>
    <w:rsid w:val="002619A1"/>
    <w:rsid w:val="00261E1D"/>
    <w:rsid w:val="00264A11"/>
    <w:rsid w:val="002662FE"/>
    <w:rsid w:val="00271295"/>
    <w:rsid w:val="002712B6"/>
    <w:rsid w:val="00273816"/>
    <w:rsid w:val="00274669"/>
    <w:rsid w:val="0027699B"/>
    <w:rsid w:val="00280A0E"/>
    <w:rsid w:val="002818E8"/>
    <w:rsid w:val="002843E1"/>
    <w:rsid w:val="002846E9"/>
    <w:rsid w:val="00284DD0"/>
    <w:rsid w:val="00285C75"/>
    <w:rsid w:val="00286217"/>
    <w:rsid w:val="002878E4"/>
    <w:rsid w:val="0029002A"/>
    <w:rsid w:val="0029152C"/>
    <w:rsid w:val="00291E07"/>
    <w:rsid w:val="00293344"/>
    <w:rsid w:val="0029629B"/>
    <w:rsid w:val="00297FDB"/>
    <w:rsid w:val="002A0494"/>
    <w:rsid w:val="002A0F5B"/>
    <w:rsid w:val="002A2F62"/>
    <w:rsid w:val="002A30A9"/>
    <w:rsid w:val="002A74D5"/>
    <w:rsid w:val="002B0545"/>
    <w:rsid w:val="002B1326"/>
    <w:rsid w:val="002B44E9"/>
    <w:rsid w:val="002B7674"/>
    <w:rsid w:val="002C3684"/>
    <w:rsid w:val="002C6612"/>
    <w:rsid w:val="002D15AF"/>
    <w:rsid w:val="002D353E"/>
    <w:rsid w:val="002D369C"/>
    <w:rsid w:val="002D53A2"/>
    <w:rsid w:val="002D5425"/>
    <w:rsid w:val="002E0548"/>
    <w:rsid w:val="002E3BF4"/>
    <w:rsid w:val="002E6C1F"/>
    <w:rsid w:val="002F1300"/>
    <w:rsid w:val="002F2904"/>
    <w:rsid w:val="002F38E8"/>
    <w:rsid w:val="002F6FC0"/>
    <w:rsid w:val="002F723B"/>
    <w:rsid w:val="002F7B1D"/>
    <w:rsid w:val="002F7C53"/>
    <w:rsid w:val="00300603"/>
    <w:rsid w:val="00300F50"/>
    <w:rsid w:val="003036C6"/>
    <w:rsid w:val="0030399C"/>
    <w:rsid w:val="00312A69"/>
    <w:rsid w:val="003147F6"/>
    <w:rsid w:val="00316BD6"/>
    <w:rsid w:val="00322A97"/>
    <w:rsid w:val="00324C3C"/>
    <w:rsid w:val="003269F2"/>
    <w:rsid w:val="00331FD0"/>
    <w:rsid w:val="00332B6D"/>
    <w:rsid w:val="0033422A"/>
    <w:rsid w:val="00335295"/>
    <w:rsid w:val="0033545B"/>
    <w:rsid w:val="00336FE6"/>
    <w:rsid w:val="003372F1"/>
    <w:rsid w:val="00337D92"/>
    <w:rsid w:val="00340197"/>
    <w:rsid w:val="003414DD"/>
    <w:rsid w:val="00343945"/>
    <w:rsid w:val="00345EE2"/>
    <w:rsid w:val="00346104"/>
    <w:rsid w:val="003479F1"/>
    <w:rsid w:val="00350D43"/>
    <w:rsid w:val="00351CFB"/>
    <w:rsid w:val="0035303E"/>
    <w:rsid w:val="003569AF"/>
    <w:rsid w:val="003612DE"/>
    <w:rsid w:val="003620BB"/>
    <w:rsid w:val="00363928"/>
    <w:rsid w:val="0036523A"/>
    <w:rsid w:val="00365B68"/>
    <w:rsid w:val="00367A43"/>
    <w:rsid w:val="00371261"/>
    <w:rsid w:val="00372AC8"/>
    <w:rsid w:val="00373B5C"/>
    <w:rsid w:val="00376EB0"/>
    <w:rsid w:val="003770D0"/>
    <w:rsid w:val="00377616"/>
    <w:rsid w:val="00382423"/>
    <w:rsid w:val="003839B4"/>
    <w:rsid w:val="00384D78"/>
    <w:rsid w:val="00385EFB"/>
    <w:rsid w:val="00387600"/>
    <w:rsid w:val="00393E75"/>
    <w:rsid w:val="003A01D0"/>
    <w:rsid w:val="003A2D3B"/>
    <w:rsid w:val="003A393B"/>
    <w:rsid w:val="003A428A"/>
    <w:rsid w:val="003A7106"/>
    <w:rsid w:val="003A7E86"/>
    <w:rsid w:val="003B1120"/>
    <w:rsid w:val="003B2919"/>
    <w:rsid w:val="003B2DFA"/>
    <w:rsid w:val="003B3E24"/>
    <w:rsid w:val="003B686D"/>
    <w:rsid w:val="003B7DB8"/>
    <w:rsid w:val="003C0B10"/>
    <w:rsid w:val="003C2E22"/>
    <w:rsid w:val="003C34A8"/>
    <w:rsid w:val="003C6A41"/>
    <w:rsid w:val="003C76A9"/>
    <w:rsid w:val="003C7CDB"/>
    <w:rsid w:val="003D1FDE"/>
    <w:rsid w:val="003D3CD9"/>
    <w:rsid w:val="003D40C9"/>
    <w:rsid w:val="003D4150"/>
    <w:rsid w:val="003D59C3"/>
    <w:rsid w:val="003D5BF3"/>
    <w:rsid w:val="003D6AAC"/>
    <w:rsid w:val="003E17F1"/>
    <w:rsid w:val="003E1942"/>
    <w:rsid w:val="003E23FC"/>
    <w:rsid w:val="003E394B"/>
    <w:rsid w:val="003E505D"/>
    <w:rsid w:val="003E6FF5"/>
    <w:rsid w:val="003F3860"/>
    <w:rsid w:val="003F5043"/>
    <w:rsid w:val="003F5A8E"/>
    <w:rsid w:val="003F64D6"/>
    <w:rsid w:val="00400C35"/>
    <w:rsid w:val="00401C89"/>
    <w:rsid w:val="00402FC7"/>
    <w:rsid w:val="0040395B"/>
    <w:rsid w:val="00410D20"/>
    <w:rsid w:val="00411A58"/>
    <w:rsid w:val="00411ABA"/>
    <w:rsid w:val="004137F7"/>
    <w:rsid w:val="00415EE4"/>
    <w:rsid w:val="004172EF"/>
    <w:rsid w:val="00422D97"/>
    <w:rsid w:val="00423B95"/>
    <w:rsid w:val="00423FF1"/>
    <w:rsid w:val="00426A8E"/>
    <w:rsid w:val="004317C5"/>
    <w:rsid w:val="004322AD"/>
    <w:rsid w:val="0043489A"/>
    <w:rsid w:val="00434962"/>
    <w:rsid w:val="0044043D"/>
    <w:rsid w:val="0044439B"/>
    <w:rsid w:val="004448E5"/>
    <w:rsid w:val="00444F2D"/>
    <w:rsid w:val="0044715C"/>
    <w:rsid w:val="00447D02"/>
    <w:rsid w:val="00450F4E"/>
    <w:rsid w:val="00452D19"/>
    <w:rsid w:val="00455015"/>
    <w:rsid w:val="00455D54"/>
    <w:rsid w:val="0045739E"/>
    <w:rsid w:val="00457C4A"/>
    <w:rsid w:val="00460740"/>
    <w:rsid w:val="00461888"/>
    <w:rsid w:val="00464866"/>
    <w:rsid w:val="004669C3"/>
    <w:rsid w:val="00466C75"/>
    <w:rsid w:val="00466DBE"/>
    <w:rsid w:val="00470BAE"/>
    <w:rsid w:val="0047642B"/>
    <w:rsid w:val="004765D2"/>
    <w:rsid w:val="00476A90"/>
    <w:rsid w:val="00484799"/>
    <w:rsid w:val="004860CF"/>
    <w:rsid w:val="00486E4E"/>
    <w:rsid w:val="00491465"/>
    <w:rsid w:val="0049412F"/>
    <w:rsid w:val="00494A42"/>
    <w:rsid w:val="004955B3"/>
    <w:rsid w:val="00495F3E"/>
    <w:rsid w:val="00496EA9"/>
    <w:rsid w:val="004A0E02"/>
    <w:rsid w:val="004A3223"/>
    <w:rsid w:val="004A472A"/>
    <w:rsid w:val="004A6290"/>
    <w:rsid w:val="004A66AB"/>
    <w:rsid w:val="004A7A6A"/>
    <w:rsid w:val="004B113E"/>
    <w:rsid w:val="004B42FB"/>
    <w:rsid w:val="004B4D3E"/>
    <w:rsid w:val="004B58EF"/>
    <w:rsid w:val="004B6419"/>
    <w:rsid w:val="004B6831"/>
    <w:rsid w:val="004C0373"/>
    <w:rsid w:val="004C2622"/>
    <w:rsid w:val="004C37F0"/>
    <w:rsid w:val="004C6A2E"/>
    <w:rsid w:val="004D285F"/>
    <w:rsid w:val="004D2C9E"/>
    <w:rsid w:val="004D5D49"/>
    <w:rsid w:val="004E035F"/>
    <w:rsid w:val="004E44B6"/>
    <w:rsid w:val="004E7D26"/>
    <w:rsid w:val="004F2454"/>
    <w:rsid w:val="004F30BB"/>
    <w:rsid w:val="004F4968"/>
    <w:rsid w:val="00501ED9"/>
    <w:rsid w:val="0050316A"/>
    <w:rsid w:val="00505442"/>
    <w:rsid w:val="0050659E"/>
    <w:rsid w:val="00506630"/>
    <w:rsid w:val="005070C8"/>
    <w:rsid w:val="00507BBC"/>
    <w:rsid w:val="00511A92"/>
    <w:rsid w:val="0051419A"/>
    <w:rsid w:val="00516843"/>
    <w:rsid w:val="0051760B"/>
    <w:rsid w:val="00520AF2"/>
    <w:rsid w:val="00521B67"/>
    <w:rsid w:val="00522088"/>
    <w:rsid w:val="00524CDA"/>
    <w:rsid w:val="005257A4"/>
    <w:rsid w:val="00527325"/>
    <w:rsid w:val="0053073E"/>
    <w:rsid w:val="00531234"/>
    <w:rsid w:val="00531A97"/>
    <w:rsid w:val="005328B1"/>
    <w:rsid w:val="00535D8B"/>
    <w:rsid w:val="005375F1"/>
    <w:rsid w:val="005407CF"/>
    <w:rsid w:val="00546E91"/>
    <w:rsid w:val="005504AC"/>
    <w:rsid w:val="0055369A"/>
    <w:rsid w:val="0055396C"/>
    <w:rsid w:val="00553B4A"/>
    <w:rsid w:val="00554BE5"/>
    <w:rsid w:val="00555DB7"/>
    <w:rsid w:val="00556BEC"/>
    <w:rsid w:val="005604CE"/>
    <w:rsid w:val="0056132C"/>
    <w:rsid w:val="00562EF8"/>
    <w:rsid w:val="0056369D"/>
    <w:rsid w:val="005647E4"/>
    <w:rsid w:val="005654B3"/>
    <w:rsid w:val="0056693D"/>
    <w:rsid w:val="0056715F"/>
    <w:rsid w:val="0056741B"/>
    <w:rsid w:val="00575ED4"/>
    <w:rsid w:val="00576C57"/>
    <w:rsid w:val="00576E8B"/>
    <w:rsid w:val="005806D6"/>
    <w:rsid w:val="00581174"/>
    <w:rsid w:val="0058241D"/>
    <w:rsid w:val="0058513A"/>
    <w:rsid w:val="00585D63"/>
    <w:rsid w:val="0058668E"/>
    <w:rsid w:val="00587CE7"/>
    <w:rsid w:val="00591351"/>
    <w:rsid w:val="005923D1"/>
    <w:rsid w:val="00593B7F"/>
    <w:rsid w:val="00595D27"/>
    <w:rsid w:val="00596CB9"/>
    <w:rsid w:val="00597E8F"/>
    <w:rsid w:val="005A25BC"/>
    <w:rsid w:val="005B35A9"/>
    <w:rsid w:val="005B7CB0"/>
    <w:rsid w:val="005C580D"/>
    <w:rsid w:val="005C70A5"/>
    <w:rsid w:val="005C7CA4"/>
    <w:rsid w:val="005D1B89"/>
    <w:rsid w:val="005D1BB8"/>
    <w:rsid w:val="005E28C7"/>
    <w:rsid w:val="005E5C0B"/>
    <w:rsid w:val="005E7FA7"/>
    <w:rsid w:val="005F2B90"/>
    <w:rsid w:val="005F3625"/>
    <w:rsid w:val="005F47CE"/>
    <w:rsid w:val="005F485C"/>
    <w:rsid w:val="005F59B6"/>
    <w:rsid w:val="005F5D2E"/>
    <w:rsid w:val="0060197E"/>
    <w:rsid w:val="0060295C"/>
    <w:rsid w:val="00605559"/>
    <w:rsid w:val="0060750C"/>
    <w:rsid w:val="00607637"/>
    <w:rsid w:val="00613666"/>
    <w:rsid w:val="00614FD5"/>
    <w:rsid w:val="00616187"/>
    <w:rsid w:val="00616D9D"/>
    <w:rsid w:val="006178FB"/>
    <w:rsid w:val="00620019"/>
    <w:rsid w:val="00623A22"/>
    <w:rsid w:val="00625B11"/>
    <w:rsid w:val="006305E7"/>
    <w:rsid w:val="006312D3"/>
    <w:rsid w:val="00631881"/>
    <w:rsid w:val="00631E39"/>
    <w:rsid w:val="006337F5"/>
    <w:rsid w:val="00634A60"/>
    <w:rsid w:val="00637A9C"/>
    <w:rsid w:val="00637C07"/>
    <w:rsid w:val="006434D6"/>
    <w:rsid w:val="00647603"/>
    <w:rsid w:val="006505B5"/>
    <w:rsid w:val="00652C9F"/>
    <w:rsid w:val="006530A9"/>
    <w:rsid w:val="00653354"/>
    <w:rsid w:val="00653830"/>
    <w:rsid w:val="00654AE1"/>
    <w:rsid w:val="00656651"/>
    <w:rsid w:val="00656CED"/>
    <w:rsid w:val="00660410"/>
    <w:rsid w:val="00665048"/>
    <w:rsid w:val="006653D2"/>
    <w:rsid w:val="00665A70"/>
    <w:rsid w:val="00670C6B"/>
    <w:rsid w:val="00671CCD"/>
    <w:rsid w:val="006731A4"/>
    <w:rsid w:val="00675700"/>
    <w:rsid w:val="006779EF"/>
    <w:rsid w:val="0068071D"/>
    <w:rsid w:val="00680B44"/>
    <w:rsid w:val="0069661B"/>
    <w:rsid w:val="006A0E80"/>
    <w:rsid w:val="006A4320"/>
    <w:rsid w:val="006A5E00"/>
    <w:rsid w:val="006A6CF7"/>
    <w:rsid w:val="006A7040"/>
    <w:rsid w:val="006A773B"/>
    <w:rsid w:val="006A7A57"/>
    <w:rsid w:val="006B37C5"/>
    <w:rsid w:val="006B5574"/>
    <w:rsid w:val="006B5BE6"/>
    <w:rsid w:val="006B5FDD"/>
    <w:rsid w:val="006B6108"/>
    <w:rsid w:val="006C0F27"/>
    <w:rsid w:val="006C4D39"/>
    <w:rsid w:val="006C530C"/>
    <w:rsid w:val="006C67BE"/>
    <w:rsid w:val="006C6AFF"/>
    <w:rsid w:val="006C7267"/>
    <w:rsid w:val="006C7C48"/>
    <w:rsid w:val="006D0CC6"/>
    <w:rsid w:val="006D1603"/>
    <w:rsid w:val="006D27C5"/>
    <w:rsid w:val="006D2B70"/>
    <w:rsid w:val="006D36CE"/>
    <w:rsid w:val="006D47B5"/>
    <w:rsid w:val="006D5897"/>
    <w:rsid w:val="006D5D73"/>
    <w:rsid w:val="006D62D1"/>
    <w:rsid w:val="006D693D"/>
    <w:rsid w:val="006D734E"/>
    <w:rsid w:val="006E034A"/>
    <w:rsid w:val="006E041B"/>
    <w:rsid w:val="006E0715"/>
    <w:rsid w:val="006E2B0D"/>
    <w:rsid w:val="006E309E"/>
    <w:rsid w:val="006E32CC"/>
    <w:rsid w:val="006E384C"/>
    <w:rsid w:val="006E45B3"/>
    <w:rsid w:val="006E664B"/>
    <w:rsid w:val="006E7B10"/>
    <w:rsid w:val="006F03B9"/>
    <w:rsid w:val="006F07CB"/>
    <w:rsid w:val="006F2415"/>
    <w:rsid w:val="006F3A59"/>
    <w:rsid w:val="006F4D88"/>
    <w:rsid w:val="007006DA"/>
    <w:rsid w:val="00702723"/>
    <w:rsid w:val="00703394"/>
    <w:rsid w:val="00703428"/>
    <w:rsid w:val="00703C47"/>
    <w:rsid w:val="00705534"/>
    <w:rsid w:val="00705A31"/>
    <w:rsid w:val="00706510"/>
    <w:rsid w:val="007068A7"/>
    <w:rsid w:val="00706B3F"/>
    <w:rsid w:val="007108E4"/>
    <w:rsid w:val="0071097F"/>
    <w:rsid w:val="00710CDA"/>
    <w:rsid w:val="0071453A"/>
    <w:rsid w:val="007146F4"/>
    <w:rsid w:val="007165CB"/>
    <w:rsid w:val="007172F4"/>
    <w:rsid w:val="007176B0"/>
    <w:rsid w:val="007178FA"/>
    <w:rsid w:val="00721C77"/>
    <w:rsid w:val="00722056"/>
    <w:rsid w:val="00723015"/>
    <w:rsid w:val="007236E3"/>
    <w:rsid w:val="00724F30"/>
    <w:rsid w:val="00725696"/>
    <w:rsid w:val="00725951"/>
    <w:rsid w:val="00725D44"/>
    <w:rsid w:val="00727288"/>
    <w:rsid w:val="00730CE9"/>
    <w:rsid w:val="00733647"/>
    <w:rsid w:val="00741805"/>
    <w:rsid w:val="00742CE7"/>
    <w:rsid w:val="00744824"/>
    <w:rsid w:val="00744830"/>
    <w:rsid w:val="00744AAE"/>
    <w:rsid w:val="007454FF"/>
    <w:rsid w:val="00745AAD"/>
    <w:rsid w:val="007460D4"/>
    <w:rsid w:val="007502AA"/>
    <w:rsid w:val="00750DF5"/>
    <w:rsid w:val="007563ED"/>
    <w:rsid w:val="00757743"/>
    <w:rsid w:val="00760043"/>
    <w:rsid w:val="00763B9C"/>
    <w:rsid w:val="0076616B"/>
    <w:rsid w:val="007719FF"/>
    <w:rsid w:val="0077452A"/>
    <w:rsid w:val="00774B61"/>
    <w:rsid w:val="00780A7E"/>
    <w:rsid w:val="00781E03"/>
    <w:rsid w:val="00784620"/>
    <w:rsid w:val="00792747"/>
    <w:rsid w:val="00792DFF"/>
    <w:rsid w:val="007955A0"/>
    <w:rsid w:val="0079586B"/>
    <w:rsid w:val="007A1369"/>
    <w:rsid w:val="007A21C2"/>
    <w:rsid w:val="007A25FE"/>
    <w:rsid w:val="007A2613"/>
    <w:rsid w:val="007A5606"/>
    <w:rsid w:val="007A6030"/>
    <w:rsid w:val="007B0FC9"/>
    <w:rsid w:val="007B131C"/>
    <w:rsid w:val="007B3A8B"/>
    <w:rsid w:val="007B588D"/>
    <w:rsid w:val="007B6F33"/>
    <w:rsid w:val="007C00FB"/>
    <w:rsid w:val="007C08B6"/>
    <w:rsid w:val="007C1A03"/>
    <w:rsid w:val="007C1E2D"/>
    <w:rsid w:val="007C5717"/>
    <w:rsid w:val="007C5903"/>
    <w:rsid w:val="007C7C83"/>
    <w:rsid w:val="007D318D"/>
    <w:rsid w:val="007D375F"/>
    <w:rsid w:val="007D479A"/>
    <w:rsid w:val="007E138E"/>
    <w:rsid w:val="007E1CB3"/>
    <w:rsid w:val="007F0E5B"/>
    <w:rsid w:val="007F2B6B"/>
    <w:rsid w:val="007F4A26"/>
    <w:rsid w:val="007F57B8"/>
    <w:rsid w:val="007F7015"/>
    <w:rsid w:val="00802ACB"/>
    <w:rsid w:val="00805647"/>
    <w:rsid w:val="00805CA0"/>
    <w:rsid w:val="00806F21"/>
    <w:rsid w:val="008070BE"/>
    <w:rsid w:val="008071E6"/>
    <w:rsid w:val="0080768E"/>
    <w:rsid w:val="00811B79"/>
    <w:rsid w:val="00812968"/>
    <w:rsid w:val="00812EFF"/>
    <w:rsid w:val="00812F13"/>
    <w:rsid w:val="008157B0"/>
    <w:rsid w:val="00817954"/>
    <w:rsid w:val="00822B74"/>
    <w:rsid w:val="00823BBA"/>
    <w:rsid w:val="0082660B"/>
    <w:rsid w:val="008312D7"/>
    <w:rsid w:val="00841034"/>
    <w:rsid w:val="00842619"/>
    <w:rsid w:val="00844743"/>
    <w:rsid w:val="00846A59"/>
    <w:rsid w:val="00847E66"/>
    <w:rsid w:val="0085228F"/>
    <w:rsid w:val="00853AA3"/>
    <w:rsid w:val="00855AC0"/>
    <w:rsid w:val="00857A3C"/>
    <w:rsid w:val="00860B8A"/>
    <w:rsid w:val="00862B46"/>
    <w:rsid w:val="00864351"/>
    <w:rsid w:val="00864D40"/>
    <w:rsid w:val="0086562C"/>
    <w:rsid w:val="008659F4"/>
    <w:rsid w:val="00872BC3"/>
    <w:rsid w:val="00875A91"/>
    <w:rsid w:val="0087707B"/>
    <w:rsid w:val="00877257"/>
    <w:rsid w:val="0087774E"/>
    <w:rsid w:val="00880E89"/>
    <w:rsid w:val="00884CED"/>
    <w:rsid w:val="008856DC"/>
    <w:rsid w:val="00885B51"/>
    <w:rsid w:val="00886EB3"/>
    <w:rsid w:val="00890B6C"/>
    <w:rsid w:val="00891374"/>
    <w:rsid w:val="00891689"/>
    <w:rsid w:val="0089209B"/>
    <w:rsid w:val="00892877"/>
    <w:rsid w:val="00892CB2"/>
    <w:rsid w:val="008950B9"/>
    <w:rsid w:val="00897897"/>
    <w:rsid w:val="008A0B43"/>
    <w:rsid w:val="008A1860"/>
    <w:rsid w:val="008A43E6"/>
    <w:rsid w:val="008A5812"/>
    <w:rsid w:val="008A6065"/>
    <w:rsid w:val="008A6D7F"/>
    <w:rsid w:val="008A71F1"/>
    <w:rsid w:val="008A739B"/>
    <w:rsid w:val="008A7D99"/>
    <w:rsid w:val="008B0421"/>
    <w:rsid w:val="008B1E85"/>
    <w:rsid w:val="008B2215"/>
    <w:rsid w:val="008B4089"/>
    <w:rsid w:val="008B4D9A"/>
    <w:rsid w:val="008B5480"/>
    <w:rsid w:val="008B592B"/>
    <w:rsid w:val="008B5DBC"/>
    <w:rsid w:val="008B74D5"/>
    <w:rsid w:val="008B798A"/>
    <w:rsid w:val="008C3541"/>
    <w:rsid w:val="008C4ABB"/>
    <w:rsid w:val="008D1101"/>
    <w:rsid w:val="008D25E5"/>
    <w:rsid w:val="008D2F8E"/>
    <w:rsid w:val="008E036B"/>
    <w:rsid w:val="008E2A1F"/>
    <w:rsid w:val="008E4688"/>
    <w:rsid w:val="008E6704"/>
    <w:rsid w:val="008E6CEA"/>
    <w:rsid w:val="008E730B"/>
    <w:rsid w:val="008E74B5"/>
    <w:rsid w:val="008F084B"/>
    <w:rsid w:val="008F0A90"/>
    <w:rsid w:val="008F136B"/>
    <w:rsid w:val="008F1AD2"/>
    <w:rsid w:val="008F4B52"/>
    <w:rsid w:val="008F5B41"/>
    <w:rsid w:val="008F5C6D"/>
    <w:rsid w:val="008F7F9E"/>
    <w:rsid w:val="0090137E"/>
    <w:rsid w:val="00901427"/>
    <w:rsid w:val="009023EE"/>
    <w:rsid w:val="009036D6"/>
    <w:rsid w:val="00903E5B"/>
    <w:rsid w:val="00905A0B"/>
    <w:rsid w:val="0090694C"/>
    <w:rsid w:val="009079D3"/>
    <w:rsid w:val="00911320"/>
    <w:rsid w:val="0091337B"/>
    <w:rsid w:val="009140F4"/>
    <w:rsid w:val="0091494C"/>
    <w:rsid w:val="00915452"/>
    <w:rsid w:val="00916A9F"/>
    <w:rsid w:val="0092001D"/>
    <w:rsid w:val="00920796"/>
    <w:rsid w:val="009213D0"/>
    <w:rsid w:val="00921445"/>
    <w:rsid w:val="00921BFD"/>
    <w:rsid w:val="00922CF6"/>
    <w:rsid w:val="00927623"/>
    <w:rsid w:val="009276AB"/>
    <w:rsid w:val="00931620"/>
    <w:rsid w:val="00933993"/>
    <w:rsid w:val="00935046"/>
    <w:rsid w:val="009357AB"/>
    <w:rsid w:val="00937CE8"/>
    <w:rsid w:val="00942C1F"/>
    <w:rsid w:val="00945559"/>
    <w:rsid w:val="00947692"/>
    <w:rsid w:val="00947EA2"/>
    <w:rsid w:val="0095040F"/>
    <w:rsid w:val="00950483"/>
    <w:rsid w:val="00950AE5"/>
    <w:rsid w:val="009522AA"/>
    <w:rsid w:val="00954093"/>
    <w:rsid w:val="00961105"/>
    <w:rsid w:val="00963E6D"/>
    <w:rsid w:val="00964D4D"/>
    <w:rsid w:val="00965265"/>
    <w:rsid w:val="0096797D"/>
    <w:rsid w:val="00967A6A"/>
    <w:rsid w:val="00967D7D"/>
    <w:rsid w:val="00970EA9"/>
    <w:rsid w:val="00975396"/>
    <w:rsid w:val="00975728"/>
    <w:rsid w:val="009758FE"/>
    <w:rsid w:val="00975E83"/>
    <w:rsid w:val="0097735E"/>
    <w:rsid w:val="00977BC7"/>
    <w:rsid w:val="00980730"/>
    <w:rsid w:val="00981C72"/>
    <w:rsid w:val="0098219C"/>
    <w:rsid w:val="009840D5"/>
    <w:rsid w:val="00984119"/>
    <w:rsid w:val="009877A4"/>
    <w:rsid w:val="00991057"/>
    <w:rsid w:val="0099252A"/>
    <w:rsid w:val="00992E9F"/>
    <w:rsid w:val="009A1803"/>
    <w:rsid w:val="009A2FE1"/>
    <w:rsid w:val="009A367B"/>
    <w:rsid w:val="009A48D7"/>
    <w:rsid w:val="009A7ECE"/>
    <w:rsid w:val="009B1568"/>
    <w:rsid w:val="009B1825"/>
    <w:rsid w:val="009B2972"/>
    <w:rsid w:val="009B37E8"/>
    <w:rsid w:val="009B522C"/>
    <w:rsid w:val="009B6095"/>
    <w:rsid w:val="009B6714"/>
    <w:rsid w:val="009C224B"/>
    <w:rsid w:val="009C2289"/>
    <w:rsid w:val="009C2CB6"/>
    <w:rsid w:val="009C58FF"/>
    <w:rsid w:val="009C70BB"/>
    <w:rsid w:val="009D56C9"/>
    <w:rsid w:val="009D5A40"/>
    <w:rsid w:val="009D6BFC"/>
    <w:rsid w:val="009E2CB7"/>
    <w:rsid w:val="009E6D3E"/>
    <w:rsid w:val="009E7605"/>
    <w:rsid w:val="009F01D4"/>
    <w:rsid w:val="009F23D6"/>
    <w:rsid w:val="009F2B59"/>
    <w:rsid w:val="009F3E9E"/>
    <w:rsid w:val="009F5B44"/>
    <w:rsid w:val="009F5CC2"/>
    <w:rsid w:val="009F5E67"/>
    <w:rsid w:val="009F626F"/>
    <w:rsid w:val="00A0128D"/>
    <w:rsid w:val="00A04888"/>
    <w:rsid w:val="00A0544F"/>
    <w:rsid w:val="00A0689C"/>
    <w:rsid w:val="00A06C53"/>
    <w:rsid w:val="00A071D2"/>
    <w:rsid w:val="00A10673"/>
    <w:rsid w:val="00A13B82"/>
    <w:rsid w:val="00A155B7"/>
    <w:rsid w:val="00A15D74"/>
    <w:rsid w:val="00A16536"/>
    <w:rsid w:val="00A1783D"/>
    <w:rsid w:val="00A21277"/>
    <w:rsid w:val="00A2214A"/>
    <w:rsid w:val="00A221DF"/>
    <w:rsid w:val="00A237F5"/>
    <w:rsid w:val="00A249C8"/>
    <w:rsid w:val="00A27D67"/>
    <w:rsid w:val="00A30224"/>
    <w:rsid w:val="00A3327B"/>
    <w:rsid w:val="00A3359E"/>
    <w:rsid w:val="00A3396D"/>
    <w:rsid w:val="00A3467E"/>
    <w:rsid w:val="00A35AB9"/>
    <w:rsid w:val="00A36D01"/>
    <w:rsid w:val="00A37BA6"/>
    <w:rsid w:val="00A51A54"/>
    <w:rsid w:val="00A523EC"/>
    <w:rsid w:val="00A55DC1"/>
    <w:rsid w:val="00A56350"/>
    <w:rsid w:val="00A56780"/>
    <w:rsid w:val="00A6297E"/>
    <w:rsid w:val="00A63E5C"/>
    <w:rsid w:val="00A6442F"/>
    <w:rsid w:val="00A73F13"/>
    <w:rsid w:val="00A7631E"/>
    <w:rsid w:val="00A83231"/>
    <w:rsid w:val="00A859E6"/>
    <w:rsid w:val="00A867B4"/>
    <w:rsid w:val="00A86E75"/>
    <w:rsid w:val="00A90BE2"/>
    <w:rsid w:val="00A914D8"/>
    <w:rsid w:val="00A937F4"/>
    <w:rsid w:val="00A94E15"/>
    <w:rsid w:val="00A96189"/>
    <w:rsid w:val="00A971DF"/>
    <w:rsid w:val="00A979BF"/>
    <w:rsid w:val="00A97DA9"/>
    <w:rsid w:val="00AA01BF"/>
    <w:rsid w:val="00AA0520"/>
    <w:rsid w:val="00AA0883"/>
    <w:rsid w:val="00AA24E7"/>
    <w:rsid w:val="00AA2599"/>
    <w:rsid w:val="00AA2D70"/>
    <w:rsid w:val="00AA4467"/>
    <w:rsid w:val="00AA7DF4"/>
    <w:rsid w:val="00AB1997"/>
    <w:rsid w:val="00AB2AF6"/>
    <w:rsid w:val="00AB3F8E"/>
    <w:rsid w:val="00AB4C54"/>
    <w:rsid w:val="00AB505A"/>
    <w:rsid w:val="00AB6445"/>
    <w:rsid w:val="00AB7802"/>
    <w:rsid w:val="00AC27B1"/>
    <w:rsid w:val="00AC2A11"/>
    <w:rsid w:val="00AC4549"/>
    <w:rsid w:val="00AC5646"/>
    <w:rsid w:val="00AC574C"/>
    <w:rsid w:val="00AC60C8"/>
    <w:rsid w:val="00AC78C5"/>
    <w:rsid w:val="00AD44B6"/>
    <w:rsid w:val="00AD4EFF"/>
    <w:rsid w:val="00AD7749"/>
    <w:rsid w:val="00AE0CB3"/>
    <w:rsid w:val="00AE5C27"/>
    <w:rsid w:val="00AE7202"/>
    <w:rsid w:val="00AF0271"/>
    <w:rsid w:val="00AF077E"/>
    <w:rsid w:val="00AF2024"/>
    <w:rsid w:val="00AF5779"/>
    <w:rsid w:val="00AF5FBD"/>
    <w:rsid w:val="00AF605E"/>
    <w:rsid w:val="00AF7FBF"/>
    <w:rsid w:val="00B05F65"/>
    <w:rsid w:val="00B11E08"/>
    <w:rsid w:val="00B12B83"/>
    <w:rsid w:val="00B13311"/>
    <w:rsid w:val="00B13BB7"/>
    <w:rsid w:val="00B14411"/>
    <w:rsid w:val="00B16B07"/>
    <w:rsid w:val="00B1732A"/>
    <w:rsid w:val="00B22929"/>
    <w:rsid w:val="00B241BF"/>
    <w:rsid w:val="00B26728"/>
    <w:rsid w:val="00B32C51"/>
    <w:rsid w:val="00B35CEF"/>
    <w:rsid w:val="00B36F62"/>
    <w:rsid w:val="00B410F0"/>
    <w:rsid w:val="00B42728"/>
    <w:rsid w:val="00B4382F"/>
    <w:rsid w:val="00B47113"/>
    <w:rsid w:val="00B47286"/>
    <w:rsid w:val="00B5121D"/>
    <w:rsid w:val="00B512F6"/>
    <w:rsid w:val="00B52F63"/>
    <w:rsid w:val="00B5320D"/>
    <w:rsid w:val="00B53271"/>
    <w:rsid w:val="00B53884"/>
    <w:rsid w:val="00B540A0"/>
    <w:rsid w:val="00B54922"/>
    <w:rsid w:val="00B55335"/>
    <w:rsid w:val="00B56A91"/>
    <w:rsid w:val="00B56B7D"/>
    <w:rsid w:val="00B6327B"/>
    <w:rsid w:val="00B64293"/>
    <w:rsid w:val="00B643AA"/>
    <w:rsid w:val="00B66943"/>
    <w:rsid w:val="00B669A5"/>
    <w:rsid w:val="00B67B7F"/>
    <w:rsid w:val="00B702C1"/>
    <w:rsid w:val="00B73955"/>
    <w:rsid w:val="00B752ED"/>
    <w:rsid w:val="00B83388"/>
    <w:rsid w:val="00B85237"/>
    <w:rsid w:val="00B85BC4"/>
    <w:rsid w:val="00B8753F"/>
    <w:rsid w:val="00B902C2"/>
    <w:rsid w:val="00B91E88"/>
    <w:rsid w:val="00B93178"/>
    <w:rsid w:val="00B95825"/>
    <w:rsid w:val="00B978DC"/>
    <w:rsid w:val="00BA1181"/>
    <w:rsid w:val="00BA6A48"/>
    <w:rsid w:val="00BB05E2"/>
    <w:rsid w:val="00BB1FB4"/>
    <w:rsid w:val="00BB3130"/>
    <w:rsid w:val="00BB31B3"/>
    <w:rsid w:val="00BB3C38"/>
    <w:rsid w:val="00BB6756"/>
    <w:rsid w:val="00BB6C2C"/>
    <w:rsid w:val="00BB74B5"/>
    <w:rsid w:val="00BC35E1"/>
    <w:rsid w:val="00BC3AC2"/>
    <w:rsid w:val="00BC4311"/>
    <w:rsid w:val="00BC5CAB"/>
    <w:rsid w:val="00BC718C"/>
    <w:rsid w:val="00BC7ED2"/>
    <w:rsid w:val="00BD3F5A"/>
    <w:rsid w:val="00BD5945"/>
    <w:rsid w:val="00BE0D83"/>
    <w:rsid w:val="00BE0EAA"/>
    <w:rsid w:val="00BE4FDD"/>
    <w:rsid w:val="00BE646A"/>
    <w:rsid w:val="00BF0D56"/>
    <w:rsid w:val="00BF2449"/>
    <w:rsid w:val="00BF5086"/>
    <w:rsid w:val="00BF6A17"/>
    <w:rsid w:val="00BF6EAA"/>
    <w:rsid w:val="00BF740F"/>
    <w:rsid w:val="00BF7778"/>
    <w:rsid w:val="00C0335C"/>
    <w:rsid w:val="00C06107"/>
    <w:rsid w:val="00C06BCD"/>
    <w:rsid w:val="00C139D8"/>
    <w:rsid w:val="00C1527D"/>
    <w:rsid w:val="00C152CB"/>
    <w:rsid w:val="00C1563A"/>
    <w:rsid w:val="00C207E7"/>
    <w:rsid w:val="00C21119"/>
    <w:rsid w:val="00C31D96"/>
    <w:rsid w:val="00C32763"/>
    <w:rsid w:val="00C32B92"/>
    <w:rsid w:val="00C32E60"/>
    <w:rsid w:val="00C333A1"/>
    <w:rsid w:val="00C34310"/>
    <w:rsid w:val="00C35042"/>
    <w:rsid w:val="00C3506F"/>
    <w:rsid w:val="00C351B2"/>
    <w:rsid w:val="00C412B1"/>
    <w:rsid w:val="00C4252B"/>
    <w:rsid w:val="00C43BE4"/>
    <w:rsid w:val="00C453CE"/>
    <w:rsid w:val="00C454B9"/>
    <w:rsid w:val="00C45775"/>
    <w:rsid w:val="00C45F94"/>
    <w:rsid w:val="00C466D3"/>
    <w:rsid w:val="00C50128"/>
    <w:rsid w:val="00C50FC5"/>
    <w:rsid w:val="00C52181"/>
    <w:rsid w:val="00C53668"/>
    <w:rsid w:val="00C56AEA"/>
    <w:rsid w:val="00C57F9D"/>
    <w:rsid w:val="00C6064C"/>
    <w:rsid w:val="00C60DF3"/>
    <w:rsid w:val="00C61853"/>
    <w:rsid w:val="00C61AFC"/>
    <w:rsid w:val="00C6274E"/>
    <w:rsid w:val="00C66EA5"/>
    <w:rsid w:val="00C7003E"/>
    <w:rsid w:val="00C702BD"/>
    <w:rsid w:val="00C724F6"/>
    <w:rsid w:val="00C73037"/>
    <w:rsid w:val="00C81928"/>
    <w:rsid w:val="00C8423E"/>
    <w:rsid w:val="00C8677B"/>
    <w:rsid w:val="00C877B7"/>
    <w:rsid w:val="00C878CF"/>
    <w:rsid w:val="00C905EB"/>
    <w:rsid w:val="00C91006"/>
    <w:rsid w:val="00C92340"/>
    <w:rsid w:val="00C92F38"/>
    <w:rsid w:val="00C92F4C"/>
    <w:rsid w:val="00C93928"/>
    <w:rsid w:val="00C95448"/>
    <w:rsid w:val="00C96A19"/>
    <w:rsid w:val="00CA28EB"/>
    <w:rsid w:val="00CA3DC6"/>
    <w:rsid w:val="00CA7000"/>
    <w:rsid w:val="00CB113B"/>
    <w:rsid w:val="00CB123C"/>
    <w:rsid w:val="00CB1716"/>
    <w:rsid w:val="00CB4106"/>
    <w:rsid w:val="00CB4CF1"/>
    <w:rsid w:val="00CB4F97"/>
    <w:rsid w:val="00CB5D52"/>
    <w:rsid w:val="00CC11E0"/>
    <w:rsid w:val="00CC14D8"/>
    <w:rsid w:val="00CC3A0C"/>
    <w:rsid w:val="00CC49F6"/>
    <w:rsid w:val="00CC5009"/>
    <w:rsid w:val="00CC67E0"/>
    <w:rsid w:val="00CD2312"/>
    <w:rsid w:val="00CD426F"/>
    <w:rsid w:val="00CD692B"/>
    <w:rsid w:val="00CE2665"/>
    <w:rsid w:val="00CE3EF6"/>
    <w:rsid w:val="00CE60C6"/>
    <w:rsid w:val="00CE6451"/>
    <w:rsid w:val="00CF10C9"/>
    <w:rsid w:val="00CF24D4"/>
    <w:rsid w:val="00CF3099"/>
    <w:rsid w:val="00CF39F4"/>
    <w:rsid w:val="00CF545B"/>
    <w:rsid w:val="00CF6621"/>
    <w:rsid w:val="00D00230"/>
    <w:rsid w:val="00D028EF"/>
    <w:rsid w:val="00D03891"/>
    <w:rsid w:val="00D054F7"/>
    <w:rsid w:val="00D10AB8"/>
    <w:rsid w:val="00D11CC7"/>
    <w:rsid w:val="00D12323"/>
    <w:rsid w:val="00D1378A"/>
    <w:rsid w:val="00D162DE"/>
    <w:rsid w:val="00D17B88"/>
    <w:rsid w:val="00D17D65"/>
    <w:rsid w:val="00D20033"/>
    <w:rsid w:val="00D2039D"/>
    <w:rsid w:val="00D2122D"/>
    <w:rsid w:val="00D21A76"/>
    <w:rsid w:val="00D21F92"/>
    <w:rsid w:val="00D2341D"/>
    <w:rsid w:val="00D25BE6"/>
    <w:rsid w:val="00D2633D"/>
    <w:rsid w:val="00D2797A"/>
    <w:rsid w:val="00D305EC"/>
    <w:rsid w:val="00D31987"/>
    <w:rsid w:val="00D31D2C"/>
    <w:rsid w:val="00D329D0"/>
    <w:rsid w:val="00D32D75"/>
    <w:rsid w:val="00D34A80"/>
    <w:rsid w:val="00D370C6"/>
    <w:rsid w:val="00D37124"/>
    <w:rsid w:val="00D41C29"/>
    <w:rsid w:val="00D43EF1"/>
    <w:rsid w:val="00D45232"/>
    <w:rsid w:val="00D45D10"/>
    <w:rsid w:val="00D46E4B"/>
    <w:rsid w:val="00D47324"/>
    <w:rsid w:val="00D47607"/>
    <w:rsid w:val="00D50674"/>
    <w:rsid w:val="00D52D61"/>
    <w:rsid w:val="00D52FFD"/>
    <w:rsid w:val="00D55041"/>
    <w:rsid w:val="00D55A0A"/>
    <w:rsid w:val="00D60C35"/>
    <w:rsid w:val="00D62847"/>
    <w:rsid w:val="00D62944"/>
    <w:rsid w:val="00D6533B"/>
    <w:rsid w:val="00D65354"/>
    <w:rsid w:val="00D7038A"/>
    <w:rsid w:val="00D703AF"/>
    <w:rsid w:val="00D71E9B"/>
    <w:rsid w:val="00D72894"/>
    <w:rsid w:val="00D73B3D"/>
    <w:rsid w:val="00D75580"/>
    <w:rsid w:val="00D75CC1"/>
    <w:rsid w:val="00D76AE6"/>
    <w:rsid w:val="00D801C2"/>
    <w:rsid w:val="00D84CF2"/>
    <w:rsid w:val="00D85261"/>
    <w:rsid w:val="00D912D5"/>
    <w:rsid w:val="00D92053"/>
    <w:rsid w:val="00D92110"/>
    <w:rsid w:val="00D92A01"/>
    <w:rsid w:val="00D93BBD"/>
    <w:rsid w:val="00D96F9F"/>
    <w:rsid w:val="00DA35DC"/>
    <w:rsid w:val="00DA54C0"/>
    <w:rsid w:val="00DA5DEE"/>
    <w:rsid w:val="00DA7331"/>
    <w:rsid w:val="00DA76D2"/>
    <w:rsid w:val="00DB06BF"/>
    <w:rsid w:val="00DB1D64"/>
    <w:rsid w:val="00DB47D0"/>
    <w:rsid w:val="00DB518B"/>
    <w:rsid w:val="00DB59F3"/>
    <w:rsid w:val="00DB6E50"/>
    <w:rsid w:val="00DB7A00"/>
    <w:rsid w:val="00DC00F2"/>
    <w:rsid w:val="00DC0FA1"/>
    <w:rsid w:val="00DC1055"/>
    <w:rsid w:val="00DC1A45"/>
    <w:rsid w:val="00DC34CA"/>
    <w:rsid w:val="00DC67FF"/>
    <w:rsid w:val="00DD0BE1"/>
    <w:rsid w:val="00DD2192"/>
    <w:rsid w:val="00DD57E4"/>
    <w:rsid w:val="00DD6CB3"/>
    <w:rsid w:val="00DD7C4F"/>
    <w:rsid w:val="00DE2CF9"/>
    <w:rsid w:val="00DE2E21"/>
    <w:rsid w:val="00DE3DCC"/>
    <w:rsid w:val="00DE6E2B"/>
    <w:rsid w:val="00DE7939"/>
    <w:rsid w:val="00DF27C9"/>
    <w:rsid w:val="00DF52C5"/>
    <w:rsid w:val="00DF5456"/>
    <w:rsid w:val="00DF5EBB"/>
    <w:rsid w:val="00DF6EF3"/>
    <w:rsid w:val="00E00129"/>
    <w:rsid w:val="00E0086A"/>
    <w:rsid w:val="00E00A55"/>
    <w:rsid w:val="00E01370"/>
    <w:rsid w:val="00E01497"/>
    <w:rsid w:val="00E01CDD"/>
    <w:rsid w:val="00E01EED"/>
    <w:rsid w:val="00E026B8"/>
    <w:rsid w:val="00E026E7"/>
    <w:rsid w:val="00E046FE"/>
    <w:rsid w:val="00E04C2A"/>
    <w:rsid w:val="00E13C26"/>
    <w:rsid w:val="00E14A29"/>
    <w:rsid w:val="00E20863"/>
    <w:rsid w:val="00E20E62"/>
    <w:rsid w:val="00E22027"/>
    <w:rsid w:val="00E244E6"/>
    <w:rsid w:val="00E2670A"/>
    <w:rsid w:val="00E31168"/>
    <w:rsid w:val="00E320F5"/>
    <w:rsid w:val="00E34FD7"/>
    <w:rsid w:val="00E37ADB"/>
    <w:rsid w:val="00E427F2"/>
    <w:rsid w:val="00E436B3"/>
    <w:rsid w:val="00E44CC5"/>
    <w:rsid w:val="00E46993"/>
    <w:rsid w:val="00E50CB3"/>
    <w:rsid w:val="00E5165C"/>
    <w:rsid w:val="00E52CE8"/>
    <w:rsid w:val="00E54EA2"/>
    <w:rsid w:val="00E55BC2"/>
    <w:rsid w:val="00E60A53"/>
    <w:rsid w:val="00E60EC7"/>
    <w:rsid w:val="00E62B6B"/>
    <w:rsid w:val="00E6442B"/>
    <w:rsid w:val="00E6498C"/>
    <w:rsid w:val="00E73771"/>
    <w:rsid w:val="00E80130"/>
    <w:rsid w:val="00E82B6F"/>
    <w:rsid w:val="00E82B77"/>
    <w:rsid w:val="00E831E2"/>
    <w:rsid w:val="00E83D26"/>
    <w:rsid w:val="00E90724"/>
    <w:rsid w:val="00E9209B"/>
    <w:rsid w:val="00E94612"/>
    <w:rsid w:val="00E95BCF"/>
    <w:rsid w:val="00E9747A"/>
    <w:rsid w:val="00EA185E"/>
    <w:rsid w:val="00EA1E7F"/>
    <w:rsid w:val="00EA455B"/>
    <w:rsid w:val="00EA5B06"/>
    <w:rsid w:val="00EA5D38"/>
    <w:rsid w:val="00EA66E6"/>
    <w:rsid w:val="00EB0A90"/>
    <w:rsid w:val="00EB27AA"/>
    <w:rsid w:val="00EB57B9"/>
    <w:rsid w:val="00EB6438"/>
    <w:rsid w:val="00EB6EAA"/>
    <w:rsid w:val="00EC1E86"/>
    <w:rsid w:val="00EC1F32"/>
    <w:rsid w:val="00EC252E"/>
    <w:rsid w:val="00EC30BB"/>
    <w:rsid w:val="00EC36F3"/>
    <w:rsid w:val="00EC4CC0"/>
    <w:rsid w:val="00EC5535"/>
    <w:rsid w:val="00EC7641"/>
    <w:rsid w:val="00ED1F55"/>
    <w:rsid w:val="00ED27D5"/>
    <w:rsid w:val="00ED2911"/>
    <w:rsid w:val="00ED403E"/>
    <w:rsid w:val="00ED4B22"/>
    <w:rsid w:val="00ED54B5"/>
    <w:rsid w:val="00ED695D"/>
    <w:rsid w:val="00EE0EE7"/>
    <w:rsid w:val="00EE105C"/>
    <w:rsid w:val="00EE22E3"/>
    <w:rsid w:val="00EE4805"/>
    <w:rsid w:val="00EE4AB9"/>
    <w:rsid w:val="00EE4B99"/>
    <w:rsid w:val="00EE5CD3"/>
    <w:rsid w:val="00EF1C26"/>
    <w:rsid w:val="00EF1F71"/>
    <w:rsid w:val="00EF278B"/>
    <w:rsid w:val="00EF3971"/>
    <w:rsid w:val="00EF5D0B"/>
    <w:rsid w:val="00F01AFF"/>
    <w:rsid w:val="00F0252C"/>
    <w:rsid w:val="00F052D3"/>
    <w:rsid w:val="00F1001A"/>
    <w:rsid w:val="00F12302"/>
    <w:rsid w:val="00F17AF9"/>
    <w:rsid w:val="00F2050F"/>
    <w:rsid w:val="00F21673"/>
    <w:rsid w:val="00F24696"/>
    <w:rsid w:val="00F25140"/>
    <w:rsid w:val="00F25CE9"/>
    <w:rsid w:val="00F307A2"/>
    <w:rsid w:val="00F30B87"/>
    <w:rsid w:val="00F31808"/>
    <w:rsid w:val="00F32673"/>
    <w:rsid w:val="00F3404A"/>
    <w:rsid w:val="00F40A8B"/>
    <w:rsid w:val="00F44F87"/>
    <w:rsid w:val="00F45B58"/>
    <w:rsid w:val="00F476E8"/>
    <w:rsid w:val="00F5051E"/>
    <w:rsid w:val="00F5166B"/>
    <w:rsid w:val="00F53F8B"/>
    <w:rsid w:val="00F541EA"/>
    <w:rsid w:val="00F542C0"/>
    <w:rsid w:val="00F57E12"/>
    <w:rsid w:val="00F7089E"/>
    <w:rsid w:val="00F71660"/>
    <w:rsid w:val="00F75181"/>
    <w:rsid w:val="00F7592E"/>
    <w:rsid w:val="00F76C6A"/>
    <w:rsid w:val="00F76E1C"/>
    <w:rsid w:val="00F770DF"/>
    <w:rsid w:val="00F77169"/>
    <w:rsid w:val="00F805AC"/>
    <w:rsid w:val="00F80A91"/>
    <w:rsid w:val="00F8119F"/>
    <w:rsid w:val="00F8461A"/>
    <w:rsid w:val="00F85F5A"/>
    <w:rsid w:val="00F933AB"/>
    <w:rsid w:val="00F9429E"/>
    <w:rsid w:val="00F95448"/>
    <w:rsid w:val="00F960CB"/>
    <w:rsid w:val="00F97ADF"/>
    <w:rsid w:val="00FA1053"/>
    <w:rsid w:val="00FA2627"/>
    <w:rsid w:val="00FA35AA"/>
    <w:rsid w:val="00FA35BF"/>
    <w:rsid w:val="00FA4A82"/>
    <w:rsid w:val="00FA5386"/>
    <w:rsid w:val="00FA55A3"/>
    <w:rsid w:val="00FB0B75"/>
    <w:rsid w:val="00FB0E7D"/>
    <w:rsid w:val="00FB1E83"/>
    <w:rsid w:val="00FB25A0"/>
    <w:rsid w:val="00FB26BA"/>
    <w:rsid w:val="00FB2738"/>
    <w:rsid w:val="00FB3E32"/>
    <w:rsid w:val="00FB488E"/>
    <w:rsid w:val="00FB4A95"/>
    <w:rsid w:val="00FB50DB"/>
    <w:rsid w:val="00FB6851"/>
    <w:rsid w:val="00FC2012"/>
    <w:rsid w:val="00FC3755"/>
    <w:rsid w:val="00FC419E"/>
    <w:rsid w:val="00FC65AB"/>
    <w:rsid w:val="00FC7841"/>
    <w:rsid w:val="00FD04C7"/>
    <w:rsid w:val="00FD0B61"/>
    <w:rsid w:val="00FD2A4E"/>
    <w:rsid w:val="00FD4270"/>
    <w:rsid w:val="00FD4646"/>
    <w:rsid w:val="00FD5072"/>
    <w:rsid w:val="00FD5BB3"/>
    <w:rsid w:val="00FD6952"/>
    <w:rsid w:val="00FE1A97"/>
    <w:rsid w:val="00FE30AA"/>
    <w:rsid w:val="00FE6485"/>
    <w:rsid w:val="00FE7493"/>
    <w:rsid w:val="00FF1A95"/>
    <w:rsid w:val="00FF4A08"/>
    <w:rsid w:val="00FF69A3"/>
    <w:rsid w:val="00FF7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colormru v:ext="edit" colors="#01d1ae"/>
      <o:colormenu v:ext="edit" strokecolor="none"/>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530A9"/>
    <w:pPr>
      <w:spacing w:before="120" w:after="120" w:line="280" w:lineRule="exact"/>
    </w:pPr>
    <w:rPr>
      <w:rFonts w:ascii="Arial" w:hAnsi="Arial" w:cs="Arial"/>
      <w:sz w:val="24"/>
      <w:lang w:eastAsia="en-US"/>
    </w:rPr>
  </w:style>
  <w:style w:type="paragraph" w:styleId="Heading1">
    <w:name w:val="heading 1"/>
    <w:basedOn w:val="Normal"/>
    <w:next w:val="Paragraphtext"/>
    <w:link w:val="Heading1Char"/>
    <w:qFormat/>
    <w:rsid w:val="000F7468"/>
    <w:pPr>
      <w:keepNext/>
      <w:spacing w:before="240" w:line="380" w:lineRule="exact"/>
      <w:outlineLvl w:val="0"/>
    </w:pPr>
    <w:rPr>
      <w:color w:val="00AEEF"/>
      <w:sz w:val="32"/>
    </w:rPr>
  </w:style>
  <w:style w:type="paragraph" w:styleId="Heading2">
    <w:name w:val="heading 2"/>
    <w:basedOn w:val="Normal"/>
    <w:next w:val="Normal"/>
    <w:qFormat/>
    <w:rsid w:val="00FA55A3"/>
    <w:pPr>
      <w:spacing w:before="240"/>
      <w:outlineLvl w:val="1"/>
    </w:pPr>
    <w:rPr>
      <w:b/>
      <w:color w:val="00AEEF"/>
    </w:rPr>
  </w:style>
  <w:style w:type="paragraph" w:styleId="Heading3">
    <w:name w:val="heading 3"/>
    <w:basedOn w:val="Normal"/>
    <w:next w:val="Normal"/>
    <w:qFormat/>
    <w:rsid w:val="00FA55A3"/>
    <w:pPr>
      <w:outlineLvl w:val="2"/>
    </w:pPr>
    <w:rPr>
      <w:b/>
    </w:rPr>
  </w:style>
  <w:style w:type="paragraph" w:styleId="Heading4">
    <w:name w:val="heading 4"/>
    <w:basedOn w:val="Normal"/>
    <w:next w:val="Normal"/>
    <w:link w:val="Heading4Char"/>
    <w:qFormat/>
    <w:rsid w:val="000F7468"/>
    <w:pPr>
      <w:outlineLvl w:val="3"/>
    </w:pPr>
    <w:rPr>
      <w:color w:val="00AEEF"/>
    </w:rPr>
  </w:style>
  <w:style w:type="paragraph" w:styleId="Heading5">
    <w:name w:val="heading 5"/>
    <w:basedOn w:val="Normal"/>
    <w:next w:val="Normal"/>
    <w:qFormat/>
    <w:rsid w:val="00FA55A3"/>
    <w:pPr>
      <w:spacing w:before="240" w:after="60"/>
      <w:outlineLvl w:val="4"/>
    </w:pPr>
    <w:rPr>
      <w:bCs/>
      <w:i/>
      <w:iCs/>
      <w:szCs w:val="26"/>
    </w:rPr>
  </w:style>
  <w:style w:type="paragraph" w:styleId="Heading6">
    <w:name w:val="heading 6"/>
    <w:basedOn w:val="Normal"/>
    <w:next w:val="Normal"/>
    <w:link w:val="Heading6Char"/>
    <w:uiPriority w:val="9"/>
    <w:qFormat/>
    <w:rsid w:val="00FA55A3"/>
    <w:pPr>
      <w:spacing w:before="240" w:after="60"/>
      <w:outlineLvl w:val="5"/>
    </w:pPr>
    <w:rPr>
      <w:rFonts w:eastAsia="MS Mincho" w:cs="Times New Roman"/>
      <w:b/>
      <w:bCs/>
      <w:sz w:val="22"/>
      <w:szCs w:val="22"/>
    </w:rPr>
  </w:style>
  <w:style w:type="paragraph" w:styleId="Heading7">
    <w:name w:val="heading 7"/>
    <w:basedOn w:val="Normal"/>
    <w:next w:val="Normal"/>
    <w:link w:val="Heading7Char"/>
    <w:uiPriority w:val="9"/>
    <w:qFormat/>
    <w:rsid w:val="00FA55A3"/>
    <w:pPr>
      <w:spacing w:before="240" w:after="60"/>
      <w:outlineLvl w:val="6"/>
    </w:pPr>
    <w:rPr>
      <w:rFonts w:eastAsia="MS Mincho" w:cs="Times New Roman"/>
      <w: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4D5D49"/>
    <w:rPr>
      <w:rFonts w:cs="Times New Roman"/>
    </w:rPr>
  </w:style>
  <w:style w:type="character" w:customStyle="1" w:styleId="Heading6Char">
    <w:name w:val="Heading 6 Char"/>
    <w:link w:val="Heading6"/>
    <w:uiPriority w:val="9"/>
    <w:rsid w:val="00FA55A3"/>
    <w:rPr>
      <w:rFonts w:ascii="Arial" w:eastAsia="MS Mincho" w:hAnsi="Arial"/>
      <w:b/>
      <w:bCs/>
      <w:sz w:val="22"/>
      <w:szCs w:val="22"/>
      <w:lang w:eastAsia="en-US"/>
    </w:rPr>
  </w:style>
  <w:style w:type="character" w:customStyle="1" w:styleId="Heading7Char">
    <w:name w:val="Heading 7 Char"/>
    <w:link w:val="Heading7"/>
    <w:uiPriority w:val="9"/>
    <w:rsid w:val="00FA55A3"/>
    <w:rPr>
      <w:rFonts w:ascii="Arial" w:eastAsia="MS Mincho" w:hAnsi="Arial"/>
      <w:i/>
      <w:sz w:val="22"/>
      <w:szCs w:val="24"/>
      <w:lang w:eastAsia="en-US"/>
    </w:rPr>
  </w:style>
  <w:style w:type="paragraph" w:customStyle="1" w:styleId="Listbullet2">
    <w:name w:val="List bullet2"/>
    <w:rsid w:val="00FA55A3"/>
    <w:pPr>
      <w:numPr>
        <w:ilvl w:val="1"/>
        <w:numId w:val="1"/>
      </w:numPr>
      <w:tabs>
        <w:tab w:val="clear" w:pos="720"/>
        <w:tab w:val="num" w:pos="1418"/>
      </w:tabs>
      <w:spacing w:before="120" w:after="120" w:line="320" w:lineRule="exact"/>
      <w:ind w:left="1418" w:hanging="567"/>
      <w:contextualSpacing/>
    </w:pPr>
    <w:rPr>
      <w:rFonts w:ascii="Arial" w:hAnsi="Arial"/>
      <w:sz w:val="24"/>
      <w:lang w:eastAsia="en-US"/>
    </w:rPr>
  </w:style>
  <w:style w:type="paragraph" w:customStyle="1" w:styleId="Figureschartstitle">
    <w:name w:val="Figures/charts title"/>
    <w:basedOn w:val="Introduction"/>
    <w:rsid w:val="005407CF"/>
    <w:pPr>
      <w:spacing w:before="120" w:after="60" w:line="240" w:lineRule="auto"/>
      <w:outlineLvl w:val="5"/>
    </w:pPr>
    <w:rPr>
      <w:b/>
      <w:sz w:val="22"/>
    </w:rPr>
  </w:style>
  <w:style w:type="paragraph" w:customStyle="1" w:styleId="Introduction">
    <w:name w:val="Introduction"/>
    <w:basedOn w:val="Normal"/>
    <w:next w:val="Paragraphtext"/>
    <w:rsid w:val="00EF1F71"/>
    <w:pPr>
      <w:spacing w:before="240" w:line="380" w:lineRule="exact"/>
    </w:pPr>
    <w:rPr>
      <w:rFonts w:cs="Times New Roman"/>
      <w:color w:val="00AEEF"/>
      <w:sz w:val="32"/>
    </w:rPr>
  </w:style>
  <w:style w:type="paragraph" w:customStyle="1" w:styleId="Titlepagetext">
    <w:name w:val="Title page text"/>
    <w:basedOn w:val="Normal"/>
    <w:next w:val="Paragraphtext"/>
    <w:rsid w:val="00FA55A3"/>
    <w:rPr>
      <w:b/>
    </w:rPr>
  </w:style>
  <w:style w:type="character" w:styleId="FollowedHyperlink">
    <w:name w:val="FollowedHyperlink"/>
    <w:uiPriority w:val="99"/>
    <w:semiHidden/>
    <w:rPr>
      <w:rFonts w:ascii="Arial" w:hAnsi="Arial"/>
      <w:color w:val="800080"/>
      <w:sz w:val="24"/>
      <w:u w:val="single"/>
    </w:rPr>
  </w:style>
  <w:style w:type="paragraph" w:customStyle="1" w:styleId="Listalpha">
    <w:name w:val="List alpha"/>
    <w:rsid w:val="00FA55A3"/>
    <w:pPr>
      <w:numPr>
        <w:numId w:val="4"/>
      </w:numPr>
      <w:spacing w:before="120" w:after="120" w:line="320" w:lineRule="exact"/>
      <w:ind w:left="357" w:hanging="357"/>
    </w:pPr>
    <w:rPr>
      <w:rFonts w:ascii="Arial" w:hAnsi="Arial"/>
      <w:sz w:val="24"/>
      <w:lang w:eastAsia="en-US"/>
    </w:rPr>
  </w:style>
  <w:style w:type="paragraph" w:customStyle="1" w:styleId="Listbullet1">
    <w:name w:val="List bullet1"/>
    <w:rsid w:val="00FA55A3"/>
    <w:pPr>
      <w:numPr>
        <w:numId w:val="1"/>
      </w:numPr>
      <w:tabs>
        <w:tab w:val="left" w:pos="851"/>
      </w:tabs>
      <w:spacing w:before="120" w:after="120" w:line="320" w:lineRule="exact"/>
      <w:ind w:left="885" w:hanging="397"/>
    </w:pPr>
    <w:rPr>
      <w:rFonts w:ascii="Arial" w:hAnsi="Arial" w:cs="Arial"/>
      <w:sz w:val="24"/>
      <w:lang w:eastAsia="en-US"/>
    </w:rPr>
  </w:style>
  <w:style w:type="paragraph" w:customStyle="1" w:styleId="ChapterHead">
    <w:name w:val="Chapter Head"/>
    <w:basedOn w:val="Normal"/>
    <w:next w:val="Introduction"/>
    <w:rsid w:val="00D52D61"/>
    <w:pPr>
      <w:keepNext/>
      <w:spacing w:before="1000" w:after="2000" w:line="540" w:lineRule="exact"/>
      <w:contextualSpacing/>
      <w:outlineLvl w:val="0"/>
    </w:pPr>
    <w:rPr>
      <w:rFonts w:cs="Times New Roman"/>
      <w:color w:val="00AEEF"/>
      <w:sz w:val="50"/>
    </w:rPr>
  </w:style>
  <w:style w:type="paragraph" w:customStyle="1" w:styleId="Footnote">
    <w:name w:val="Footnote"/>
    <w:basedOn w:val="Normal"/>
    <w:rsid w:val="00D37124"/>
    <w:pPr>
      <w:spacing w:after="60"/>
    </w:pPr>
    <w:rPr>
      <w:sz w:val="20"/>
    </w:rPr>
  </w:style>
  <w:style w:type="paragraph" w:customStyle="1" w:styleId="Listnumbered">
    <w:name w:val="List numbered"/>
    <w:rsid w:val="00FA55A3"/>
    <w:pPr>
      <w:numPr>
        <w:numId w:val="3"/>
      </w:numPr>
      <w:spacing w:before="120" w:after="120" w:line="320" w:lineRule="exact"/>
      <w:ind w:left="357" w:hanging="357"/>
    </w:pPr>
    <w:rPr>
      <w:rFonts w:ascii="Arial" w:hAnsi="Arial"/>
      <w:sz w:val="24"/>
      <w:lang w:eastAsia="en-US"/>
    </w:rPr>
  </w:style>
  <w:style w:type="paragraph" w:customStyle="1" w:styleId="Listbullet3">
    <w:name w:val="List bullet3"/>
    <w:rsid w:val="00FA55A3"/>
    <w:pPr>
      <w:numPr>
        <w:ilvl w:val="2"/>
        <w:numId w:val="1"/>
      </w:numPr>
      <w:spacing w:after="60"/>
      <w:ind w:left="1843" w:hanging="425"/>
      <w:contextualSpacing/>
    </w:pPr>
    <w:rPr>
      <w:rFonts w:ascii="Arial" w:hAnsi="Arial"/>
      <w:sz w:val="24"/>
      <w:lang w:eastAsia="en-US"/>
    </w:rPr>
  </w:style>
  <w:style w:type="paragraph" w:customStyle="1" w:styleId="Notesexample">
    <w:name w:val="Notes/example"/>
    <w:basedOn w:val="Caption"/>
    <w:next w:val="Paragraphtext"/>
    <w:rsid w:val="00E6498C"/>
    <w:pPr>
      <w:outlineLvl w:val="4"/>
    </w:pPr>
    <w:rPr>
      <w:color w:val="00AEEF"/>
      <w:sz w:val="22"/>
    </w:rPr>
  </w:style>
  <w:style w:type="paragraph" w:styleId="Caption">
    <w:name w:val="caption"/>
    <w:basedOn w:val="Normal"/>
    <w:next w:val="Normal"/>
    <w:qFormat/>
    <w:rsid w:val="005407CF"/>
    <w:rPr>
      <w:b/>
      <w:bCs/>
      <w:sz w:val="20"/>
    </w:rPr>
  </w:style>
  <w:style w:type="paragraph" w:customStyle="1" w:styleId="RunningHeads">
    <w:name w:val="Running Heads"/>
    <w:rsid w:val="00FA55A3"/>
    <w:pPr>
      <w:spacing w:line="240" w:lineRule="exact"/>
    </w:pPr>
    <w:rPr>
      <w:rFonts w:ascii="Arial" w:hAnsi="Arial" w:cs="Arial"/>
      <w:sz w:val="18"/>
      <w:lang w:eastAsia="en-US"/>
    </w:rPr>
  </w:style>
  <w:style w:type="paragraph" w:styleId="Footer">
    <w:name w:val="footer"/>
    <w:basedOn w:val="Normal"/>
    <w:link w:val="FooterChar"/>
    <w:uiPriority w:val="99"/>
    <w:rsid w:val="008B74D5"/>
    <w:pPr>
      <w:tabs>
        <w:tab w:val="center" w:pos="4153"/>
        <w:tab w:val="right" w:pos="8306"/>
      </w:tabs>
      <w:jc w:val="center"/>
    </w:pPr>
    <w:rPr>
      <w:sz w:val="22"/>
    </w:rPr>
  </w:style>
  <w:style w:type="character" w:customStyle="1" w:styleId="FooterChar">
    <w:name w:val="Footer Char"/>
    <w:link w:val="Footer"/>
    <w:uiPriority w:val="99"/>
    <w:rsid w:val="00D12323"/>
    <w:rPr>
      <w:rFonts w:ascii="Arial" w:hAnsi="Arial" w:cs="Arial"/>
      <w:sz w:val="22"/>
      <w:lang w:eastAsia="en-US"/>
    </w:rPr>
  </w:style>
  <w:style w:type="paragraph" w:styleId="Title">
    <w:name w:val="Title"/>
    <w:basedOn w:val="Normal"/>
    <w:qFormat/>
    <w:rsid w:val="006D62D1"/>
    <w:pPr>
      <w:spacing w:after="240" w:line="840" w:lineRule="exact"/>
      <w:outlineLvl w:val="0"/>
    </w:pPr>
    <w:rPr>
      <w:rFonts w:cs="Times New Roman"/>
      <w:color w:val="00AEEF"/>
      <w:sz w:val="76"/>
    </w:rPr>
  </w:style>
  <w:style w:type="character" w:styleId="Hyperlink">
    <w:name w:val="Hyperlink"/>
    <w:uiPriority w:val="99"/>
    <w:rsid w:val="008E6704"/>
    <w:rPr>
      <w:rFonts w:ascii="Helvetica Neue" w:hAnsi="Helvetica Neue"/>
      <w:color w:val="0000FF"/>
      <w:sz w:val="24"/>
      <w:u w:val="single"/>
    </w:rPr>
  </w:style>
  <w:style w:type="paragraph" w:styleId="TOC1">
    <w:name w:val="toc 1"/>
    <w:basedOn w:val="Normal"/>
    <w:next w:val="Normal"/>
    <w:autoRedefine/>
    <w:uiPriority w:val="39"/>
    <w:rsid w:val="007454FF"/>
    <w:pPr>
      <w:tabs>
        <w:tab w:val="right" w:leader="dot" w:pos="10082"/>
      </w:tabs>
      <w:ind w:right="142"/>
      <w:jc w:val="both"/>
    </w:pPr>
    <w:rPr>
      <w:color w:val="00AEEF"/>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Subtitle">
    <w:name w:val="Subtitle"/>
    <w:basedOn w:val="Normal"/>
    <w:qFormat/>
    <w:rsid w:val="00EC252E"/>
    <w:pPr>
      <w:spacing w:line="520" w:lineRule="exact"/>
      <w:outlineLvl w:val="1"/>
    </w:pPr>
    <w:rPr>
      <w:rFonts w:cs="Times New Roman"/>
      <w:sz w:val="44"/>
    </w:rPr>
  </w:style>
  <w:style w:type="paragraph" w:customStyle="1" w:styleId="Paragraphnumbered">
    <w:name w:val="Paragraph numbered"/>
    <w:basedOn w:val="Paragraphtext"/>
    <w:rsid w:val="00B26728"/>
    <w:pPr>
      <w:numPr>
        <w:ilvl w:val="1"/>
        <w:numId w:val="2"/>
      </w:numPr>
      <w:ind w:left="794" w:hanging="794"/>
    </w:pPr>
  </w:style>
  <w:style w:type="paragraph" w:styleId="Date">
    <w:name w:val="Date"/>
    <w:next w:val="Normal"/>
    <w:link w:val="DateChar"/>
    <w:uiPriority w:val="99"/>
    <w:unhideWhenUsed/>
    <w:rsid w:val="00721C77"/>
    <w:pPr>
      <w:spacing w:before="240"/>
      <w:ind w:right="284"/>
      <w:jc w:val="right"/>
    </w:pPr>
    <w:rPr>
      <w:rFonts w:ascii="Arial" w:hAnsi="Arial"/>
      <w:color w:val="FFFFFF"/>
      <w:sz w:val="28"/>
      <w:lang w:eastAsia="en-US"/>
    </w:rPr>
  </w:style>
  <w:style w:type="character" w:customStyle="1" w:styleId="DateChar">
    <w:name w:val="Date Char"/>
    <w:link w:val="Date"/>
    <w:uiPriority w:val="99"/>
    <w:rsid w:val="00721C77"/>
    <w:rPr>
      <w:rFonts w:ascii="Arial" w:hAnsi="Arial"/>
      <w:color w:val="FFFFFF"/>
      <w:sz w:val="28"/>
      <w:lang w:eastAsia="en-US"/>
    </w:rPr>
  </w:style>
  <w:style w:type="paragraph" w:customStyle="1" w:styleId="ChptHead">
    <w:name w:val="Chpt Head"/>
    <w:basedOn w:val="ChapterHead"/>
    <w:next w:val="Paragraphtext"/>
    <w:rsid w:val="006C530C"/>
    <w:pPr>
      <w:numPr>
        <w:numId w:val="2"/>
      </w:numPr>
      <w:ind w:left="357" w:hanging="357"/>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D12323"/>
    <w:rPr>
      <w:rFonts w:ascii="Tahoma" w:hAnsi="Tahoma" w:cs="Tahoma"/>
      <w:sz w:val="16"/>
      <w:szCs w:val="16"/>
      <w:lang w:eastAsia="en-US"/>
    </w:rPr>
  </w:style>
  <w:style w:type="paragraph" w:styleId="Header">
    <w:name w:val="header"/>
    <w:basedOn w:val="Normal"/>
    <w:link w:val="HeaderChar"/>
    <w:uiPriority w:val="99"/>
    <w:rsid w:val="00D62944"/>
    <w:pPr>
      <w:tabs>
        <w:tab w:val="center" w:pos="4153"/>
        <w:tab w:val="right" w:pos="8306"/>
      </w:tabs>
      <w:jc w:val="right"/>
    </w:pPr>
    <w:rPr>
      <w:color w:val="666666"/>
      <w:sz w:val="22"/>
    </w:rPr>
  </w:style>
  <w:style w:type="character" w:customStyle="1" w:styleId="HeaderChar">
    <w:name w:val="Header Char"/>
    <w:link w:val="Header"/>
    <w:uiPriority w:val="99"/>
    <w:rsid w:val="00D12323"/>
    <w:rPr>
      <w:rFonts w:ascii="Arial" w:hAnsi="Arial" w:cs="Arial"/>
      <w:color w:val="666666"/>
      <w:sz w:val="22"/>
      <w:lang w:eastAsia="en-US"/>
    </w:rPr>
  </w:style>
  <w:style w:type="paragraph" w:styleId="FootnoteText">
    <w:name w:val="footnote text"/>
    <w:basedOn w:val="Normal"/>
    <w:link w:val="FootnoteTextChar"/>
    <w:uiPriority w:val="99"/>
    <w:semiHidden/>
    <w:rsid w:val="00D85261"/>
    <w:pPr>
      <w:spacing w:before="0" w:after="60" w:line="240" w:lineRule="exact"/>
    </w:pPr>
    <w:rPr>
      <w:sz w:val="20"/>
    </w:rPr>
  </w:style>
  <w:style w:type="character" w:customStyle="1" w:styleId="FootnoteTextChar">
    <w:name w:val="Footnote Text Char"/>
    <w:link w:val="FootnoteText"/>
    <w:uiPriority w:val="99"/>
    <w:semiHidden/>
    <w:rsid w:val="00D12323"/>
    <w:rPr>
      <w:rFonts w:ascii="Arial" w:hAnsi="Arial" w:cs="Arial"/>
      <w:lang w:eastAsia="en-US"/>
    </w:rPr>
  </w:style>
  <w:style w:type="character" w:styleId="FootnoteReference">
    <w:name w:val="footnote reference"/>
    <w:uiPriority w:val="99"/>
    <w:semiHidden/>
    <w:rPr>
      <w:vertAlign w:val="superscript"/>
    </w:rPr>
  </w:style>
  <w:style w:type="character" w:styleId="PageNumber">
    <w:name w:val="page number"/>
    <w:basedOn w:val="DefaultParagraphFont"/>
    <w:semiHidden/>
  </w:style>
  <w:style w:type="character" w:customStyle="1" w:styleId="colour">
    <w:name w:val="colour"/>
    <w:uiPriority w:val="1"/>
    <w:qFormat/>
    <w:rsid w:val="00A7631E"/>
    <w:rPr>
      <w:color w:val="00AEEF"/>
    </w:rPr>
  </w:style>
  <w:style w:type="paragraph" w:styleId="TOCHeading">
    <w:name w:val="TOC Heading"/>
    <w:basedOn w:val="ChapterHead"/>
    <w:next w:val="Normal"/>
    <w:uiPriority w:val="71"/>
    <w:unhideWhenUsed/>
    <w:qFormat/>
    <w:rsid w:val="00B36F62"/>
    <w:pPr>
      <w:spacing w:after="1000"/>
    </w:pPr>
  </w:style>
  <w:style w:type="paragraph" w:customStyle="1" w:styleId="Boxtext">
    <w:name w:val="Box text"/>
    <w:basedOn w:val="Paragraphtext"/>
    <w:next w:val="Paragraphtext"/>
    <w:qFormat/>
    <w:rsid w:val="00A867B4"/>
    <w:pPr>
      <w:shd w:val="clear" w:color="auto" w:fill="CAEEFF"/>
      <w:ind w:left="567" w:right="567"/>
    </w:pPr>
  </w:style>
  <w:style w:type="character" w:customStyle="1" w:styleId="CommentTextChar">
    <w:name w:val="Comment Text Char"/>
    <w:link w:val="CommentText"/>
    <w:uiPriority w:val="99"/>
    <w:semiHidden/>
    <w:rsid w:val="00D12323"/>
    <w:rPr>
      <w:rFonts w:ascii="Calibri" w:eastAsia="Calibri" w:hAnsi="Calibri"/>
      <w:lang w:eastAsia="en-US"/>
    </w:rPr>
  </w:style>
  <w:style w:type="paragraph" w:styleId="CommentText">
    <w:name w:val="annotation text"/>
    <w:basedOn w:val="Normal"/>
    <w:link w:val="CommentTextChar"/>
    <w:uiPriority w:val="99"/>
    <w:semiHidden/>
    <w:unhideWhenUsed/>
    <w:rsid w:val="00D12323"/>
    <w:pPr>
      <w:spacing w:before="0" w:after="200" w:line="276" w:lineRule="auto"/>
    </w:pPr>
    <w:rPr>
      <w:rFonts w:ascii="Calibri" w:eastAsia="Calibri" w:hAnsi="Calibri" w:cs="Times New Roman"/>
      <w:sz w:val="20"/>
    </w:rPr>
  </w:style>
  <w:style w:type="character" w:customStyle="1" w:styleId="CommentSubjectChar">
    <w:name w:val="Comment Subject Char"/>
    <w:link w:val="CommentSubject"/>
    <w:uiPriority w:val="99"/>
    <w:semiHidden/>
    <w:rsid w:val="00D12323"/>
    <w:rPr>
      <w:rFonts w:ascii="Calibri" w:eastAsia="Calibri" w:hAnsi="Calibri"/>
      <w:b/>
      <w:bCs/>
      <w:lang w:eastAsia="en-US"/>
    </w:rPr>
  </w:style>
  <w:style w:type="paragraph" w:styleId="CommentSubject">
    <w:name w:val="annotation subject"/>
    <w:basedOn w:val="CommentText"/>
    <w:next w:val="CommentText"/>
    <w:link w:val="CommentSubjectChar"/>
    <w:uiPriority w:val="99"/>
    <w:semiHidden/>
    <w:unhideWhenUsed/>
    <w:rsid w:val="00D12323"/>
    <w:rPr>
      <w:b/>
      <w:bCs/>
    </w:rPr>
  </w:style>
  <w:style w:type="paragraph" w:customStyle="1" w:styleId="Default">
    <w:name w:val="Default"/>
    <w:rsid w:val="00D12323"/>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D12323"/>
    <w:rPr>
      <w:rFonts w:ascii="Calibri" w:eastAsia="Calibri" w:hAnsi="Calibri"/>
      <w:sz w:val="22"/>
      <w:szCs w:val="22"/>
      <w:lang w:eastAsia="en-US"/>
    </w:rPr>
  </w:style>
  <w:style w:type="paragraph" w:styleId="ListParagraph">
    <w:name w:val="List Paragraph"/>
    <w:basedOn w:val="Normal"/>
    <w:uiPriority w:val="34"/>
    <w:qFormat/>
    <w:rsid w:val="00D12323"/>
    <w:pPr>
      <w:spacing w:before="0" w:after="0" w:line="240" w:lineRule="auto"/>
      <w:ind w:left="720"/>
    </w:pPr>
    <w:rPr>
      <w:rFonts w:ascii="Calibri" w:hAnsi="Calibri" w:cs="Times New Roman"/>
      <w:sz w:val="22"/>
      <w:szCs w:val="22"/>
    </w:rPr>
  </w:style>
  <w:style w:type="paragraph" w:styleId="NormalWeb">
    <w:name w:val="Normal (Web)"/>
    <w:basedOn w:val="Normal"/>
    <w:uiPriority w:val="99"/>
    <w:unhideWhenUsed/>
    <w:rsid w:val="00D12323"/>
    <w:pPr>
      <w:spacing w:before="0" w:after="0" w:line="240" w:lineRule="auto"/>
    </w:pPr>
    <w:rPr>
      <w:rFonts w:ascii="Times New Roman" w:hAnsi="Times New Roman" w:cs="Times New Roman"/>
      <w:szCs w:val="24"/>
      <w:lang w:eastAsia="en-GB"/>
    </w:rPr>
  </w:style>
  <w:style w:type="paragraph" w:styleId="TableofFigures">
    <w:name w:val="table of figures"/>
    <w:basedOn w:val="Normal"/>
    <w:next w:val="Normal"/>
    <w:uiPriority w:val="99"/>
    <w:unhideWhenUsed/>
    <w:rsid w:val="000F4B03"/>
  </w:style>
  <w:style w:type="character" w:styleId="CommentReference">
    <w:name w:val="annotation reference"/>
    <w:uiPriority w:val="99"/>
    <w:semiHidden/>
    <w:unhideWhenUsed/>
    <w:rsid w:val="00B66943"/>
    <w:rPr>
      <w:sz w:val="16"/>
      <w:szCs w:val="16"/>
    </w:rPr>
  </w:style>
  <w:style w:type="table" w:styleId="TableGrid">
    <w:name w:val="Table Grid"/>
    <w:basedOn w:val="TableNormal"/>
    <w:uiPriority w:val="59"/>
    <w:rsid w:val="00415E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415EE4"/>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415EE4"/>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
    <w:name w:val="Heading 1 Char"/>
    <w:link w:val="Heading1"/>
    <w:rsid w:val="00C91006"/>
    <w:rPr>
      <w:rFonts w:ascii="Arial" w:hAnsi="Arial" w:cs="Arial"/>
      <w:color w:val="00AEEF"/>
      <w:sz w:val="32"/>
      <w:lang w:eastAsia="en-US"/>
    </w:rPr>
  </w:style>
  <w:style w:type="paragraph" w:customStyle="1" w:styleId="Subsnumberedparagraphs">
    <w:name w:val="Subs numbered paragraphs"/>
    <w:basedOn w:val="Normal"/>
    <w:qFormat/>
    <w:rsid w:val="00AD44B6"/>
    <w:pPr>
      <w:numPr>
        <w:numId w:val="39"/>
      </w:numPr>
      <w:spacing w:before="0" w:line="240" w:lineRule="auto"/>
      <w:ind w:left="-28" w:hanging="397"/>
    </w:pPr>
    <w:rPr>
      <w:rFonts w:eastAsia="Calibri"/>
      <w:szCs w:val="22"/>
    </w:rPr>
  </w:style>
  <w:style w:type="paragraph" w:styleId="Revision">
    <w:name w:val="Revision"/>
    <w:hidden/>
    <w:uiPriority w:val="71"/>
    <w:rsid w:val="005923D1"/>
    <w:rPr>
      <w:rFonts w:ascii="Arial" w:hAnsi="Arial" w:cs="Arial"/>
      <w:sz w:val="24"/>
      <w:lang w:eastAsia="en-US"/>
    </w:rPr>
  </w:style>
  <w:style w:type="character" w:customStyle="1" w:styleId="Heading4Char">
    <w:name w:val="Heading 4 Char"/>
    <w:basedOn w:val="DefaultParagraphFont"/>
    <w:link w:val="Heading4"/>
    <w:rsid w:val="00B13BB7"/>
    <w:rPr>
      <w:rFonts w:ascii="Arial" w:hAnsi="Arial" w:cs="Arial"/>
      <w:color w:val="00AEEF"/>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530A9"/>
    <w:pPr>
      <w:spacing w:before="120" w:after="120" w:line="280" w:lineRule="exact"/>
    </w:pPr>
    <w:rPr>
      <w:rFonts w:ascii="Arial" w:hAnsi="Arial" w:cs="Arial"/>
      <w:sz w:val="24"/>
      <w:lang w:eastAsia="en-US"/>
    </w:rPr>
  </w:style>
  <w:style w:type="paragraph" w:styleId="Heading1">
    <w:name w:val="heading 1"/>
    <w:basedOn w:val="Normal"/>
    <w:next w:val="Paragraphtext"/>
    <w:link w:val="Heading1Char"/>
    <w:qFormat/>
    <w:rsid w:val="000F7468"/>
    <w:pPr>
      <w:keepNext/>
      <w:spacing w:before="240" w:line="380" w:lineRule="exact"/>
      <w:outlineLvl w:val="0"/>
    </w:pPr>
    <w:rPr>
      <w:color w:val="00AEEF"/>
      <w:sz w:val="32"/>
    </w:rPr>
  </w:style>
  <w:style w:type="paragraph" w:styleId="Heading2">
    <w:name w:val="heading 2"/>
    <w:basedOn w:val="Normal"/>
    <w:next w:val="Normal"/>
    <w:qFormat/>
    <w:rsid w:val="00FA55A3"/>
    <w:pPr>
      <w:spacing w:before="240"/>
      <w:outlineLvl w:val="1"/>
    </w:pPr>
    <w:rPr>
      <w:b/>
      <w:color w:val="00AEEF"/>
    </w:rPr>
  </w:style>
  <w:style w:type="paragraph" w:styleId="Heading3">
    <w:name w:val="heading 3"/>
    <w:basedOn w:val="Normal"/>
    <w:next w:val="Normal"/>
    <w:qFormat/>
    <w:rsid w:val="00FA55A3"/>
    <w:pPr>
      <w:outlineLvl w:val="2"/>
    </w:pPr>
    <w:rPr>
      <w:b/>
    </w:rPr>
  </w:style>
  <w:style w:type="paragraph" w:styleId="Heading4">
    <w:name w:val="heading 4"/>
    <w:basedOn w:val="Normal"/>
    <w:next w:val="Normal"/>
    <w:link w:val="Heading4Char"/>
    <w:qFormat/>
    <w:rsid w:val="000F7468"/>
    <w:pPr>
      <w:outlineLvl w:val="3"/>
    </w:pPr>
    <w:rPr>
      <w:color w:val="00AEEF"/>
    </w:rPr>
  </w:style>
  <w:style w:type="paragraph" w:styleId="Heading5">
    <w:name w:val="heading 5"/>
    <w:basedOn w:val="Normal"/>
    <w:next w:val="Normal"/>
    <w:qFormat/>
    <w:rsid w:val="00FA55A3"/>
    <w:pPr>
      <w:spacing w:before="240" w:after="60"/>
      <w:outlineLvl w:val="4"/>
    </w:pPr>
    <w:rPr>
      <w:bCs/>
      <w:i/>
      <w:iCs/>
      <w:szCs w:val="26"/>
    </w:rPr>
  </w:style>
  <w:style w:type="paragraph" w:styleId="Heading6">
    <w:name w:val="heading 6"/>
    <w:basedOn w:val="Normal"/>
    <w:next w:val="Normal"/>
    <w:link w:val="Heading6Char"/>
    <w:uiPriority w:val="9"/>
    <w:qFormat/>
    <w:rsid w:val="00FA55A3"/>
    <w:pPr>
      <w:spacing w:before="240" w:after="60"/>
      <w:outlineLvl w:val="5"/>
    </w:pPr>
    <w:rPr>
      <w:rFonts w:eastAsia="MS Mincho" w:cs="Times New Roman"/>
      <w:b/>
      <w:bCs/>
      <w:sz w:val="22"/>
      <w:szCs w:val="22"/>
    </w:rPr>
  </w:style>
  <w:style w:type="paragraph" w:styleId="Heading7">
    <w:name w:val="heading 7"/>
    <w:basedOn w:val="Normal"/>
    <w:next w:val="Normal"/>
    <w:link w:val="Heading7Char"/>
    <w:uiPriority w:val="9"/>
    <w:qFormat/>
    <w:rsid w:val="00FA55A3"/>
    <w:pPr>
      <w:spacing w:before="240" w:after="60"/>
      <w:outlineLvl w:val="6"/>
    </w:pPr>
    <w:rPr>
      <w:rFonts w:eastAsia="MS Mincho" w:cs="Times New Roman"/>
      <w: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4D5D49"/>
    <w:rPr>
      <w:rFonts w:cs="Times New Roman"/>
    </w:rPr>
  </w:style>
  <w:style w:type="character" w:customStyle="1" w:styleId="Heading6Char">
    <w:name w:val="Heading 6 Char"/>
    <w:link w:val="Heading6"/>
    <w:uiPriority w:val="9"/>
    <w:rsid w:val="00FA55A3"/>
    <w:rPr>
      <w:rFonts w:ascii="Arial" w:eastAsia="MS Mincho" w:hAnsi="Arial"/>
      <w:b/>
      <w:bCs/>
      <w:sz w:val="22"/>
      <w:szCs w:val="22"/>
      <w:lang w:eastAsia="en-US"/>
    </w:rPr>
  </w:style>
  <w:style w:type="character" w:customStyle="1" w:styleId="Heading7Char">
    <w:name w:val="Heading 7 Char"/>
    <w:link w:val="Heading7"/>
    <w:uiPriority w:val="9"/>
    <w:rsid w:val="00FA55A3"/>
    <w:rPr>
      <w:rFonts w:ascii="Arial" w:eastAsia="MS Mincho" w:hAnsi="Arial"/>
      <w:i/>
      <w:sz w:val="22"/>
      <w:szCs w:val="24"/>
      <w:lang w:eastAsia="en-US"/>
    </w:rPr>
  </w:style>
  <w:style w:type="paragraph" w:customStyle="1" w:styleId="Listbullet2">
    <w:name w:val="List bullet2"/>
    <w:rsid w:val="00FA55A3"/>
    <w:pPr>
      <w:numPr>
        <w:ilvl w:val="1"/>
        <w:numId w:val="1"/>
      </w:numPr>
      <w:tabs>
        <w:tab w:val="clear" w:pos="720"/>
        <w:tab w:val="num" w:pos="1418"/>
      </w:tabs>
      <w:spacing w:before="120" w:after="120" w:line="320" w:lineRule="exact"/>
      <w:ind w:left="1418" w:hanging="567"/>
      <w:contextualSpacing/>
    </w:pPr>
    <w:rPr>
      <w:rFonts w:ascii="Arial" w:hAnsi="Arial"/>
      <w:sz w:val="24"/>
      <w:lang w:eastAsia="en-US"/>
    </w:rPr>
  </w:style>
  <w:style w:type="paragraph" w:customStyle="1" w:styleId="Figureschartstitle">
    <w:name w:val="Figures/charts title"/>
    <w:basedOn w:val="Introduction"/>
    <w:rsid w:val="005407CF"/>
    <w:pPr>
      <w:spacing w:before="120" w:after="60" w:line="240" w:lineRule="auto"/>
      <w:outlineLvl w:val="5"/>
    </w:pPr>
    <w:rPr>
      <w:b/>
      <w:sz w:val="22"/>
    </w:rPr>
  </w:style>
  <w:style w:type="paragraph" w:customStyle="1" w:styleId="Introduction">
    <w:name w:val="Introduction"/>
    <w:basedOn w:val="Normal"/>
    <w:next w:val="Paragraphtext"/>
    <w:rsid w:val="00EF1F71"/>
    <w:pPr>
      <w:spacing w:before="240" w:line="380" w:lineRule="exact"/>
    </w:pPr>
    <w:rPr>
      <w:rFonts w:cs="Times New Roman"/>
      <w:color w:val="00AEEF"/>
      <w:sz w:val="32"/>
    </w:rPr>
  </w:style>
  <w:style w:type="paragraph" w:customStyle="1" w:styleId="Titlepagetext">
    <w:name w:val="Title page text"/>
    <w:basedOn w:val="Normal"/>
    <w:next w:val="Paragraphtext"/>
    <w:rsid w:val="00FA55A3"/>
    <w:rPr>
      <w:b/>
    </w:rPr>
  </w:style>
  <w:style w:type="character" w:styleId="FollowedHyperlink">
    <w:name w:val="FollowedHyperlink"/>
    <w:uiPriority w:val="99"/>
    <w:semiHidden/>
    <w:rPr>
      <w:rFonts w:ascii="Arial" w:hAnsi="Arial"/>
      <w:color w:val="800080"/>
      <w:sz w:val="24"/>
      <w:u w:val="single"/>
    </w:rPr>
  </w:style>
  <w:style w:type="paragraph" w:customStyle="1" w:styleId="Listalpha">
    <w:name w:val="List alpha"/>
    <w:rsid w:val="00FA55A3"/>
    <w:pPr>
      <w:numPr>
        <w:numId w:val="4"/>
      </w:numPr>
      <w:spacing w:before="120" w:after="120" w:line="320" w:lineRule="exact"/>
      <w:ind w:left="357" w:hanging="357"/>
    </w:pPr>
    <w:rPr>
      <w:rFonts w:ascii="Arial" w:hAnsi="Arial"/>
      <w:sz w:val="24"/>
      <w:lang w:eastAsia="en-US"/>
    </w:rPr>
  </w:style>
  <w:style w:type="paragraph" w:customStyle="1" w:styleId="Listbullet1">
    <w:name w:val="List bullet1"/>
    <w:rsid w:val="00FA55A3"/>
    <w:pPr>
      <w:numPr>
        <w:numId w:val="1"/>
      </w:numPr>
      <w:tabs>
        <w:tab w:val="left" w:pos="851"/>
      </w:tabs>
      <w:spacing w:before="120" w:after="120" w:line="320" w:lineRule="exact"/>
      <w:ind w:left="885" w:hanging="397"/>
    </w:pPr>
    <w:rPr>
      <w:rFonts w:ascii="Arial" w:hAnsi="Arial" w:cs="Arial"/>
      <w:sz w:val="24"/>
      <w:lang w:eastAsia="en-US"/>
    </w:rPr>
  </w:style>
  <w:style w:type="paragraph" w:customStyle="1" w:styleId="ChapterHead">
    <w:name w:val="Chapter Head"/>
    <w:basedOn w:val="Normal"/>
    <w:next w:val="Introduction"/>
    <w:rsid w:val="00D52D61"/>
    <w:pPr>
      <w:keepNext/>
      <w:spacing w:before="1000" w:after="2000" w:line="540" w:lineRule="exact"/>
      <w:contextualSpacing/>
      <w:outlineLvl w:val="0"/>
    </w:pPr>
    <w:rPr>
      <w:rFonts w:cs="Times New Roman"/>
      <w:color w:val="00AEEF"/>
      <w:sz w:val="50"/>
    </w:rPr>
  </w:style>
  <w:style w:type="paragraph" w:customStyle="1" w:styleId="Footnote">
    <w:name w:val="Footnote"/>
    <w:basedOn w:val="Normal"/>
    <w:rsid w:val="00D37124"/>
    <w:pPr>
      <w:spacing w:after="60"/>
    </w:pPr>
    <w:rPr>
      <w:sz w:val="20"/>
    </w:rPr>
  </w:style>
  <w:style w:type="paragraph" w:customStyle="1" w:styleId="Listnumbered">
    <w:name w:val="List numbered"/>
    <w:rsid w:val="00FA55A3"/>
    <w:pPr>
      <w:numPr>
        <w:numId w:val="3"/>
      </w:numPr>
      <w:spacing w:before="120" w:after="120" w:line="320" w:lineRule="exact"/>
      <w:ind w:left="357" w:hanging="357"/>
    </w:pPr>
    <w:rPr>
      <w:rFonts w:ascii="Arial" w:hAnsi="Arial"/>
      <w:sz w:val="24"/>
      <w:lang w:eastAsia="en-US"/>
    </w:rPr>
  </w:style>
  <w:style w:type="paragraph" w:customStyle="1" w:styleId="Listbullet3">
    <w:name w:val="List bullet3"/>
    <w:rsid w:val="00FA55A3"/>
    <w:pPr>
      <w:numPr>
        <w:ilvl w:val="2"/>
        <w:numId w:val="1"/>
      </w:numPr>
      <w:spacing w:after="60"/>
      <w:ind w:left="1843" w:hanging="425"/>
      <w:contextualSpacing/>
    </w:pPr>
    <w:rPr>
      <w:rFonts w:ascii="Arial" w:hAnsi="Arial"/>
      <w:sz w:val="24"/>
      <w:lang w:eastAsia="en-US"/>
    </w:rPr>
  </w:style>
  <w:style w:type="paragraph" w:customStyle="1" w:styleId="Notesexample">
    <w:name w:val="Notes/example"/>
    <w:basedOn w:val="Caption"/>
    <w:next w:val="Paragraphtext"/>
    <w:rsid w:val="00E6498C"/>
    <w:pPr>
      <w:outlineLvl w:val="4"/>
    </w:pPr>
    <w:rPr>
      <w:color w:val="00AEEF"/>
      <w:sz w:val="22"/>
    </w:rPr>
  </w:style>
  <w:style w:type="paragraph" w:styleId="Caption">
    <w:name w:val="caption"/>
    <w:basedOn w:val="Normal"/>
    <w:next w:val="Normal"/>
    <w:qFormat/>
    <w:rsid w:val="005407CF"/>
    <w:rPr>
      <w:b/>
      <w:bCs/>
      <w:sz w:val="20"/>
    </w:rPr>
  </w:style>
  <w:style w:type="paragraph" w:customStyle="1" w:styleId="RunningHeads">
    <w:name w:val="Running Heads"/>
    <w:rsid w:val="00FA55A3"/>
    <w:pPr>
      <w:spacing w:line="240" w:lineRule="exact"/>
    </w:pPr>
    <w:rPr>
      <w:rFonts w:ascii="Arial" w:hAnsi="Arial" w:cs="Arial"/>
      <w:sz w:val="18"/>
      <w:lang w:eastAsia="en-US"/>
    </w:rPr>
  </w:style>
  <w:style w:type="paragraph" w:styleId="Footer">
    <w:name w:val="footer"/>
    <w:basedOn w:val="Normal"/>
    <w:link w:val="FooterChar"/>
    <w:uiPriority w:val="99"/>
    <w:rsid w:val="008B74D5"/>
    <w:pPr>
      <w:tabs>
        <w:tab w:val="center" w:pos="4153"/>
        <w:tab w:val="right" w:pos="8306"/>
      </w:tabs>
      <w:jc w:val="center"/>
    </w:pPr>
    <w:rPr>
      <w:sz w:val="22"/>
    </w:rPr>
  </w:style>
  <w:style w:type="character" w:customStyle="1" w:styleId="FooterChar">
    <w:name w:val="Footer Char"/>
    <w:link w:val="Footer"/>
    <w:uiPriority w:val="99"/>
    <w:rsid w:val="00D12323"/>
    <w:rPr>
      <w:rFonts w:ascii="Arial" w:hAnsi="Arial" w:cs="Arial"/>
      <w:sz w:val="22"/>
      <w:lang w:eastAsia="en-US"/>
    </w:rPr>
  </w:style>
  <w:style w:type="paragraph" w:styleId="Title">
    <w:name w:val="Title"/>
    <w:basedOn w:val="Normal"/>
    <w:qFormat/>
    <w:rsid w:val="006D62D1"/>
    <w:pPr>
      <w:spacing w:after="240" w:line="840" w:lineRule="exact"/>
      <w:outlineLvl w:val="0"/>
    </w:pPr>
    <w:rPr>
      <w:rFonts w:cs="Times New Roman"/>
      <w:color w:val="00AEEF"/>
      <w:sz w:val="76"/>
    </w:rPr>
  </w:style>
  <w:style w:type="character" w:styleId="Hyperlink">
    <w:name w:val="Hyperlink"/>
    <w:uiPriority w:val="99"/>
    <w:rsid w:val="008E6704"/>
    <w:rPr>
      <w:rFonts w:ascii="Helvetica Neue" w:hAnsi="Helvetica Neue"/>
      <w:color w:val="0000FF"/>
      <w:sz w:val="24"/>
      <w:u w:val="single"/>
    </w:rPr>
  </w:style>
  <w:style w:type="paragraph" w:styleId="TOC1">
    <w:name w:val="toc 1"/>
    <w:basedOn w:val="Normal"/>
    <w:next w:val="Normal"/>
    <w:autoRedefine/>
    <w:uiPriority w:val="39"/>
    <w:rsid w:val="007454FF"/>
    <w:pPr>
      <w:tabs>
        <w:tab w:val="right" w:leader="dot" w:pos="10082"/>
      </w:tabs>
      <w:ind w:right="142"/>
      <w:jc w:val="both"/>
    </w:pPr>
    <w:rPr>
      <w:color w:val="00AEEF"/>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Subtitle">
    <w:name w:val="Subtitle"/>
    <w:basedOn w:val="Normal"/>
    <w:qFormat/>
    <w:rsid w:val="00EC252E"/>
    <w:pPr>
      <w:spacing w:line="520" w:lineRule="exact"/>
      <w:outlineLvl w:val="1"/>
    </w:pPr>
    <w:rPr>
      <w:rFonts w:cs="Times New Roman"/>
      <w:sz w:val="44"/>
    </w:rPr>
  </w:style>
  <w:style w:type="paragraph" w:customStyle="1" w:styleId="Paragraphnumbered">
    <w:name w:val="Paragraph numbered"/>
    <w:basedOn w:val="Paragraphtext"/>
    <w:rsid w:val="00B26728"/>
    <w:pPr>
      <w:numPr>
        <w:ilvl w:val="1"/>
        <w:numId w:val="2"/>
      </w:numPr>
      <w:ind w:left="794" w:hanging="794"/>
    </w:pPr>
  </w:style>
  <w:style w:type="paragraph" w:styleId="Date">
    <w:name w:val="Date"/>
    <w:next w:val="Normal"/>
    <w:link w:val="DateChar"/>
    <w:uiPriority w:val="99"/>
    <w:unhideWhenUsed/>
    <w:rsid w:val="00721C77"/>
    <w:pPr>
      <w:spacing w:before="240"/>
      <w:ind w:right="284"/>
      <w:jc w:val="right"/>
    </w:pPr>
    <w:rPr>
      <w:rFonts w:ascii="Arial" w:hAnsi="Arial"/>
      <w:color w:val="FFFFFF"/>
      <w:sz w:val="28"/>
      <w:lang w:eastAsia="en-US"/>
    </w:rPr>
  </w:style>
  <w:style w:type="character" w:customStyle="1" w:styleId="DateChar">
    <w:name w:val="Date Char"/>
    <w:link w:val="Date"/>
    <w:uiPriority w:val="99"/>
    <w:rsid w:val="00721C77"/>
    <w:rPr>
      <w:rFonts w:ascii="Arial" w:hAnsi="Arial"/>
      <w:color w:val="FFFFFF"/>
      <w:sz w:val="28"/>
      <w:lang w:eastAsia="en-US"/>
    </w:rPr>
  </w:style>
  <w:style w:type="paragraph" w:customStyle="1" w:styleId="ChptHead">
    <w:name w:val="Chpt Head"/>
    <w:basedOn w:val="ChapterHead"/>
    <w:next w:val="Paragraphtext"/>
    <w:rsid w:val="006C530C"/>
    <w:pPr>
      <w:numPr>
        <w:numId w:val="2"/>
      </w:numPr>
      <w:ind w:left="357" w:hanging="357"/>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D12323"/>
    <w:rPr>
      <w:rFonts w:ascii="Tahoma" w:hAnsi="Tahoma" w:cs="Tahoma"/>
      <w:sz w:val="16"/>
      <w:szCs w:val="16"/>
      <w:lang w:eastAsia="en-US"/>
    </w:rPr>
  </w:style>
  <w:style w:type="paragraph" w:styleId="Header">
    <w:name w:val="header"/>
    <w:basedOn w:val="Normal"/>
    <w:link w:val="HeaderChar"/>
    <w:uiPriority w:val="99"/>
    <w:rsid w:val="00D62944"/>
    <w:pPr>
      <w:tabs>
        <w:tab w:val="center" w:pos="4153"/>
        <w:tab w:val="right" w:pos="8306"/>
      </w:tabs>
      <w:jc w:val="right"/>
    </w:pPr>
    <w:rPr>
      <w:color w:val="666666"/>
      <w:sz w:val="22"/>
    </w:rPr>
  </w:style>
  <w:style w:type="character" w:customStyle="1" w:styleId="HeaderChar">
    <w:name w:val="Header Char"/>
    <w:link w:val="Header"/>
    <w:uiPriority w:val="99"/>
    <w:rsid w:val="00D12323"/>
    <w:rPr>
      <w:rFonts w:ascii="Arial" w:hAnsi="Arial" w:cs="Arial"/>
      <w:color w:val="666666"/>
      <w:sz w:val="22"/>
      <w:lang w:eastAsia="en-US"/>
    </w:rPr>
  </w:style>
  <w:style w:type="paragraph" w:styleId="FootnoteText">
    <w:name w:val="footnote text"/>
    <w:basedOn w:val="Normal"/>
    <w:link w:val="FootnoteTextChar"/>
    <w:uiPriority w:val="99"/>
    <w:semiHidden/>
    <w:rsid w:val="00D85261"/>
    <w:pPr>
      <w:spacing w:before="0" w:after="60" w:line="240" w:lineRule="exact"/>
    </w:pPr>
    <w:rPr>
      <w:sz w:val="20"/>
    </w:rPr>
  </w:style>
  <w:style w:type="character" w:customStyle="1" w:styleId="FootnoteTextChar">
    <w:name w:val="Footnote Text Char"/>
    <w:link w:val="FootnoteText"/>
    <w:uiPriority w:val="99"/>
    <w:semiHidden/>
    <w:rsid w:val="00D12323"/>
    <w:rPr>
      <w:rFonts w:ascii="Arial" w:hAnsi="Arial" w:cs="Arial"/>
      <w:lang w:eastAsia="en-US"/>
    </w:rPr>
  </w:style>
  <w:style w:type="character" w:styleId="FootnoteReference">
    <w:name w:val="footnote reference"/>
    <w:uiPriority w:val="99"/>
    <w:semiHidden/>
    <w:rPr>
      <w:vertAlign w:val="superscript"/>
    </w:rPr>
  </w:style>
  <w:style w:type="character" w:styleId="PageNumber">
    <w:name w:val="page number"/>
    <w:basedOn w:val="DefaultParagraphFont"/>
    <w:semiHidden/>
  </w:style>
  <w:style w:type="character" w:customStyle="1" w:styleId="colour">
    <w:name w:val="colour"/>
    <w:uiPriority w:val="1"/>
    <w:qFormat/>
    <w:rsid w:val="00A7631E"/>
    <w:rPr>
      <w:color w:val="00AEEF"/>
    </w:rPr>
  </w:style>
  <w:style w:type="paragraph" w:styleId="TOCHeading">
    <w:name w:val="TOC Heading"/>
    <w:basedOn w:val="ChapterHead"/>
    <w:next w:val="Normal"/>
    <w:uiPriority w:val="71"/>
    <w:unhideWhenUsed/>
    <w:qFormat/>
    <w:rsid w:val="00B36F62"/>
    <w:pPr>
      <w:spacing w:after="1000"/>
    </w:pPr>
  </w:style>
  <w:style w:type="paragraph" w:customStyle="1" w:styleId="Boxtext">
    <w:name w:val="Box text"/>
    <w:basedOn w:val="Paragraphtext"/>
    <w:next w:val="Paragraphtext"/>
    <w:qFormat/>
    <w:rsid w:val="00A867B4"/>
    <w:pPr>
      <w:shd w:val="clear" w:color="auto" w:fill="CAEEFF"/>
      <w:ind w:left="567" w:right="567"/>
    </w:pPr>
  </w:style>
  <w:style w:type="character" w:customStyle="1" w:styleId="CommentTextChar">
    <w:name w:val="Comment Text Char"/>
    <w:link w:val="CommentText"/>
    <w:uiPriority w:val="99"/>
    <w:semiHidden/>
    <w:rsid w:val="00D12323"/>
    <w:rPr>
      <w:rFonts w:ascii="Calibri" w:eastAsia="Calibri" w:hAnsi="Calibri"/>
      <w:lang w:eastAsia="en-US"/>
    </w:rPr>
  </w:style>
  <w:style w:type="paragraph" w:styleId="CommentText">
    <w:name w:val="annotation text"/>
    <w:basedOn w:val="Normal"/>
    <w:link w:val="CommentTextChar"/>
    <w:uiPriority w:val="99"/>
    <w:semiHidden/>
    <w:unhideWhenUsed/>
    <w:rsid w:val="00D12323"/>
    <w:pPr>
      <w:spacing w:before="0" w:after="200" w:line="276" w:lineRule="auto"/>
    </w:pPr>
    <w:rPr>
      <w:rFonts w:ascii="Calibri" w:eastAsia="Calibri" w:hAnsi="Calibri" w:cs="Times New Roman"/>
      <w:sz w:val="20"/>
    </w:rPr>
  </w:style>
  <w:style w:type="character" w:customStyle="1" w:styleId="CommentSubjectChar">
    <w:name w:val="Comment Subject Char"/>
    <w:link w:val="CommentSubject"/>
    <w:uiPriority w:val="99"/>
    <w:semiHidden/>
    <w:rsid w:val="00D12323"/>
    <w:rPr>
      <w:rFonts w:ascii="Calibri" w:eastAsia="Calibri" w:hAnsi="Calibri"/>
      <w:b/>
      <w:bCs/>
      <w:lang w:eastAsia="en-US"/>
    </w:rPr>
  </w:style>
  <w:style w:type="paragraph" w:styleId="CommentSubject">
    <w:name w:val="annotation subject"/>
    <w:basedOn w:val="CommentText"/>
    <w:next w:val="CommentText"/>
    <w:link w:val="CommentSubjectChar"/>
    <w:uiPriority w:val="99"/>
    <w:semiHidden/>
    <w:unhideWhenUsed/>
    <w:rsid w:val="00D12323"/>
    <w:rPr>
      <w:b/>
      <w:bCs/>
    </w:rPr>
  </w:style>
  <w:style w:type="paragraph" w:customStyle="1" w:styleId="Default">
    <w:name w:val="Default"/>
    <w:rsid w:val="00D12323"/>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D12323"/>
    <w:rPr>
      <w:rFonts w:ascii="Calibri" w:eastAsia="Calibri" w:hAnsi="Calibri"/>
      <w:sz w:val="22"/>
      <w:szCs w:val="22"/>
      <w:lang w:eastAsia="en-US"/>
    </w:rPr>
  </w:style>
  <w:style w:type="paragraph" w:styleId="ListParagraph">
    <w:name w:val="List Paragraph"/>
    <w:basedOn w:val="Normal"/>
    <w:uiPriority w:val="34"/>
    <w:qFormat/>
    <w:rsid w:val="00D12323"/>
    <w:pPr>
      <w:spacing w:before="0" w:after="0" w:line="240" w:lineRule="auto"/>
      <w:ind w:left="720"/>
    </w:pPr>
    <w:rPr>
      <w:rFonts w:ascii="Calibri" w:hAnsi="Calibri" w:cs="Times New Roman"/>
      <w:sz w:val="22"/>
      <w:szCs w:val="22"/>
    </w:rPr>
  </w:style>
  <w:style w:type="paragraph" w:styleId="NormalWeb">
    <w:name w:val="Normal (Web)"/>
    <w:basedOn w:val="Normal"/>
    <w:uiPriority w:val="99"/>
    <w:unhideWhenUsed/>
    <w:rsid w:val="00D12323"/>
    <w:pPr>
      <w:spacing w:before="0" w:after="0" w:line="240" w:lineRule="auto"/>
    </w:pPr>
    <w:rPr>
      <w:rFonts w:ascii="Times New Roman" w:hAnsi="Times New Roman" w:cs="Times New Roman"/>
      <w:szCs w:val="24"/>
      <w:lang w:eastAsia="en-GB"/>
    </w:rPr>
  </w:style>
  <w:style w:type="paragraph" w:styleId="TableofFigures">
    <w:name w:val="table of figures"/>
    <w:basedOn w:val="Normal"/>
    <w:next w:val="Normal"/>
    <w:uiPriority w:val="99"/>
    <w:unhideWhenUsed/>
    <w:rsid w:val="000F4B03"/>
  </w:style>
  <w:style w:type="character" w:styleId="CommentReference">
    <w:name w:val="annotation reference"/>
    <w:uiPriority w:val="99"/>
    <w:semiHidden/>
    <w:unhideWhenUsed/>
    <w:rsid w:val="00B66943"/>
    <w:rPr>
      <w:sz w:val="16"/>
      <w:szCs w:val="16"/>
    </w:rPr>
  </w:style>
  <w:style w:type="table" w:styleId="TableGrid">
    <w:name w:val="Table Grid"/>
    <w:basedOn w:val="TableNormal"/>
    <w:uiPriority w:val="59"/>
    <w:rsid w:val="00415E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415EE4"/>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415EE4"/>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
    <w:name w:val="Heading 1 Char"/>
    <w:link w:val="Heading1"/>
    <w:rsid w:val="00C91006"/>
    <w:rPr>
      <w:rFonts w:ascii="Arial" w:hAnsi="Arial" w:cs="Arial"/>
      <w:color w:val="00AEEF"/>
      <w:sz w:val="32"/>
      <w:lang w:eastAsia="en-US"/>
    </w:rPr>
  </w:style>
  <w:style w:type="paragraph" w:customStyle="1" w:styleId="Subsnumberedparagraphs">
    <w:name w:val="Subs numbered paragraphs"/>
    <w:basedOn w:val="Normal"/>
    <w:qFormat/>
    <w:rsid w:val="00AD44B6"/>
    <w:pPr>
      <w:numPr>
        <w:numId w:val="39"/>
      </w:numPr>
      <w:spacing w:before="0" w:line="240" w:lineRule="auto"/>
      <w:ind w:left="-28" w:hanging="397"/>
    </w:pPr>
    <w:rPr>
      <w:rFonts w:eastAsia="Calibri"/>
      <w:szCs w:val="22"/>
    </w:rPr>
  </w:style>
  <w:style w:type="paragraph" w:styleId="Revision">
    <w:name w:val="Revision"/>
    <w:hidden/>
    <w:uiPriority w:val="71"/>
    <w:rsid w:val="005923D1"/>
    <w:rPr>
      <w:rFonts w:ascii="Arial" w:hAnsi="Arial" w:cs="Arial"/>
      <w:sz w:val="24"/>
      <w:lang w:eastAsia="en-US"/>
    </w:rPr>
  </w:style>
  <w:style w:type="character" w:customStyle="1" w:styleId="Heading4Char">
    <w:name w:val="Heading 4 Char"/>
    <w:basedOn w:val="DefaultParagraphFont"/>
    <w:link w:val="Heading4"/>
    <w:rsid w:val="00B13BB7"/>
    <w:rPr>
      <w:rFonts w:ascii="Arial" w:hAnsi="Arial" w:cs="Arial"/>
      <w:color w:val="00AEEF"/>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7">
      <w:bodyDiv w:val="1"/>
      <w:marLeft w:val="0"/>
      <w:marRight w:val="0"/>
      <w:marTop w:val="0"/>
      <w:marBottom w:val="0"/>
      <w:divBdr>
        <w:top w:val="none" w:sz="0" w:space="0" w:color="auto"/>
        <w:left w:val="none" w:sz="0" w:space="0" w:color="auto"/>
        <w:bottom w:val="none" w:sz="0" w:space="0" w:color="auto"/>
        <w:right w:val="none" w:sz="0" w:space="0" w:color="auto"/>
      </w:divBdr>
    </w:div>
    <w:div w:id="21711752">
      <w:bodyDiv w:val="1"/>
      <w:marLeft w:val="0"/>
      <w:marRight w:val="0"/>
      <w:marTop w:val="0"/>
      <w:marBottom w:val="0"/>
      <w:divBdr>
        <w:top w:val="none" w:sz="0" w:space="0" w:color="auto"/>
        <w:left w:val="none" w:sz="0" w:space="0" w:color="auto"/>
        <w:bottom w:val="none" w:sz="0" w:space="0" w:color="auto"/>
        <w:right w:val="none" w:sz="0" w:space="0" w:color="auto"/>
      </w:divBdr>
    </w:div>
    <w:div w:id="74597474">
      <w:bodyDiv w:val="1"/>
      <w:marLeft w:val="0"/>
      <w:marRight w:val="0"/>
      <w:marTop w:val="0"/>
      <w:marBottom w:val="0"/>
      <w:divBdr>
        <w:top w:val="none" w:sz="0" w:space="0" w:color="auto"/>
        <w:left w:val="none" w:sz="0" w:space="0" w:color="auto"/>
        <w:bottom w:val="none" w:sz="0" w:space="0" w:color="auto"/>
        <w:right w:val="none" w:sz="0" w:space="0" w:color="auto"/>
      </w:divBdr>
    </w:div>
    <w:div w:id="78871775">
      <w:bodyDiv w:val="1"/>
      <w:marLeft w:val="0"/>
      <w:marRight w:val="0"/>
      <w:marTop w:val="0"/>
      <w:marBottom w:val="0"/>
      <w:divBdr>
        <w:top w:val="none" w:sz="0" w:space="0" w:color="auto"/>
        <w:left w:val="none" w:sz="0" w:space="0" w:color="auto"/>
        <w:bottom w:val="none" w:sz="0" w:space="0" w:color="auto"/>
        <w:right w:val="none" w:sz="0" w:space="0" w:color="auto"/>
      </w:divBdr>
    </w:div>
    <w:div w:id="151920576">
      <w:bodyDiv w:val="1"/>
      <w:marLeft w:val="0"/>
      <w:marRight w:val="0"/>
      <w:marTop w:val="0"/>
      <w:marBottom w:val="0"/>
      <w:divBdr>
        <w:top w:val="none" w:sz="0" w:space="0" w:color="auto"/>
        <w:left w:val="none" w:sz="0" w:space="0" w:color="auto"/>
        <w:bottom w:val="none" w:sz="0" w:space="0" w:color="auto"/>
        <w:right w:val="none" w:sz="0" w:space="0" w:color="auto"/>
      </w:divBdr>
    </w:div>
    <w:div w:id="153448663">
      <w:bodyDiv w:val="1"/>
      <w:marLeft w:val="0"/>
      <w:marRight w:val="0"/>
      <w:marTop w:val="0"/>
      <w:marBottom w:val="0"/>
      <w:divBdr>
        <w:top w:val="none" w:sz="0" w:space="0" w:color="auto"/>
        <w:left w:val="none" w:sz="0" w:space="0" w:color="auto"/>
        <w:bottom w:val="none" w:sz="0" w:space="0" w:color="auto"/>
        <w:right w:val="none" w:sz="0" w:space="0" w:color="auto"/>
      </w:divBdr>
    </w:div>
    <w:div w:id="283268792">
      <w:bodyDiv w:val="1"/>
      <w:marLeft w:val="0"/>
      <w:marRight w:val="0"/>
      <w:marTop w:val="0"/>
      <w:marBottom w:val="0"/>
      <w:divBdr>
        <w:top w:val="none" w:sz="0" w:space="0" w:color="auto"/>
        <w:left w:val="none" w:sz="0" w:space="0" w:color="auto"/>
        <w:bottom w:val="none" w:sz="0" w:space="0" w:color="auto"/>
        <w:right w:val="none" w:sz="0" w:space="0" w:color="auto"/>
      </w:divBdr>
    </w:div>
    <w:div w:id="307134117">
      <w:bodyDiv w:val="1"/>
      <w:marLeft w:val="0"/>
      <w:marRight w:val="0"/>
      <w:marTop w:val="0"/>
      <w:marBottom w:val="0"/>
      <w:divBdr>
        <w:top w:val="none" w:sz="0" w:space="0" w:color="auto"/>
        <w:left w:val="none" w:sz="0" w:space="0" w:color="auto"/>
        <w:bottom w:val="none" w:sz="0" w:space="0" w:color="auto"/>
        <w:right w:val="none" w:sz="0" w:space="0" w:color="auto"/>
      </w:divBdr>
    </w:div>
    <w:div w:id="325864735">
      <w:bodyDiv w:val="1"/>
      <w:marLeft w:val="0"/>
      <w:marRight w:val="0"/>
      <w:marTop w:val="0"/>
      <w:marBottom w:val="0"/>
      <w:divBdr>
        <w:top w:val="none" w:sz="0" w:space="0" w:color="auto"/>
        <w:left w:val="none" w:sz="0" w:space="0" w:color="auto"/>
        <w:bottom w:val="none" w:sz="0" w:space="0" w:color="auto"/>
        <w:right w:val="none" w:sz="0" w:space="0" w:color="auto"/>
      </w:divBdr>
    </w:div>
    <w:div w:id="350762781">
      <w:bodyDiv w:val="1"/>
      <w:marLeft w:val="0"/>
      <w:marRight w:val="0"/>
      <w:marTop w:val="0"/>
      <w:marBottom w:val="0"/>
      <w:divBdr>
        <w:top w:val="none" w:sz="0" w:space="0" w:color="auto"/>
        <w:left w:val="none" w:sz="0" w:space="0" w:color="auto"/>
        <w:bottom w:val="none" w:sz="0" w:space="0" w:color="auto"/>
        <w:right w:val="none" w:sz="0" w:space="0" w:color="auto"/>
      </w:divBdr>
    </w:div>
    <w:div w:id="413742654">
      <w:bodyDiv w:val="1"/>
      <w:marLeft w:val="0"/>
      <w:marRight w:val="0"/>
      <w:marTop w:val="0"/>
      <w:marBottom w:val="0"/>
      <w:divBdr>
        <w:top w:val="none" w:sz="0" w:space="0" w:color="auto"/>
        <w:left w:val="none" w:sz="0" w:space="0" w:color="auto"/>
        <w:bottom w:val="none" w:sz="0" w:space="0" w:color="auto"/>
        <w:right w:val="none" w:sz="0" w:space="0" w:color="auto"/>
      </w:divBdr>
    </w:div>
    <w:div w:id="476455803">
      <w:bodyDiv w:val="1"/>
      <w:marLeft w:val="0"/>
      <w:marRight w:val="0"/>
      <w:marTop w:val="0"/>
      <w:marBottom w:val="0"/>
      <w:divBdr>
        <w:top w:val="none" w:sz="0" w:space="0" w:color="auto"/>
        <w:left w:val="none" w:sz="0" w:space="0" w:color="auto"/>
        <w:bottom w:val="none" w:sz="0" w:space="0" w:color="auto"/>
        <w:right w:val="none" w:sz="0" w:space="0" w:color="auto"/>
      </w:divBdr>
    </w:div>
    <w:div w:id="528446848">
      <w:bodyDiv w:val="1"/>
      <w:marLeft w:val="0"/>
      <w:marRight w:val="0"/>
      <w:marTop w:val="0"/>
      <w:marBottom w:val="0"/>
      <w:divBdr>
        <w:top w:val="none" w:sz="0" w:space="0" w:color="auto"/>
        <w:left w:val="none" w:sz="0" w:space="0" w:color="auto"/>
        <w:bottom w:val="none" w:sz="0" w:space="0" w:color="auto"/>
        <w:right w:val="none" w:sz="0" w:space="0" w:color="auto"/>
      </w:divBdr>
    </w:div>
    <w:div w:id="549150486">
      <w:bodyDiv w:val="1"/>
      <w:marLeft w:val="0"/>
      <w:marRight w:val="0"/>
      <w:marTop w:val="0"/>
      <w:marBottom w:val="0"/>
      <w:divBdr>
        <w:top w:val="none" w:sz="0" w:space="0" w:color="auto"/>
        <w:left w:val="none" w:sz="0" w:space="0" w:color="auto"/>
        <w:bottom w:val="none" w:sz="0" w:space="0" w:color="auto"/>
        <w:right w:val="none" w:sz="0" w:space="0" w:color="auto"/>
      </w:divBdr>
    </w:div>
    <w:div w:id="553539999">
      <w:bodyDiv w:val="1"/>
      <w:marLeft w:val="0"/>
      <w:marRight w:val="0"/>
      <w:marTop w:val="0"/>
      <w:marBottom w:val="0"/>
      <w:divBdr>
        <w:top w:val="none" w:sz="0" w:space="0" w:color="auto"/>
        <w:left w:val="none" w:sz="0" w:space="0" w:color="auto"/>
        <w:bottom w:val="none" w:sz="0" w:space="0" w:color="auto"/>
        <w:right w:val="none" w:sz="0" w:space="0" w:color="auto"/>
      </w:divBdr>
    </w:div>
    <w:div w:id="569315542">
      <w:bodyDiv w:val="1"/>
      <w:marLeft w:val="0"/>
      <w:marRight w:val="0"/>
      <w:marTop w:val="0"/>
      <w:marBottom w:val="0"/>
      <w:divBdr>
        <w:top w:val="none" w:sz="0" w:space="0" w:color="auto"/>
        <w:left w:val="none" w:sz="0" w:space="0" w:color="auto"/>
        <w:bottom w:val="none" w:sz="0" w:space="0" w:color="auto"/>
        <w:right w:val="none" w:sz="0" w:space="0" w:color="auto"/>
      </w:divBdr>
    </w:div>
    <w:div w:id="582641893">
      <w:bodyDiv w:val="1"/>
      <w:marLeft w:val="0"/>
      <w:marRight w:val="0"/>
      <w:marTop w:val="0"/>
      <w:marBottom w:val="0"/>
      <w:divBdr>
        <w:top w:val="none" w:sz="0" w:space="0" w:color="auto"/>
        <w:left w:val="none" w:sz="0" w:space="0" w:color="auto"/>
        <w:bottom w:val="none" w:sz="0" w:space="0" w:color="auto"/>
        <w:right w:val="none" w:sz="0" w:space="0" w:color="auto"/>
      </w:divBdr>
    </w:div>
    <w:div w:id="583803715">
      <w:bodyDiv w:val="1"/>
      <w:marLeft w:val="0"/>
      <w:marRight w:val="0"/>
      <w:marTop w:val="0"/>
      <w:marBottom w:val="0"/>
      <w:divBdr>
        <w:top w:val="none" w:sz="0" w:space="0" w:color="auto"/>
        <w:left w:val="none" w:sz="0" w:space="0" w:color="auto"/>
        <w:bottom w:val="none" w:sz="0" w:space="0" w:color="auto"/>
        <w:right w:val="none" w:sz="0" w:space="0" w:color="auto"/>
      </w:divBdr>
    </w:div>
    <w:div w:id="593170268">
      <w:bodyDiv w:val="1"/>
      <w:marLeft w:val="0"/>
      <w:marRight w:val="0"/>
      <w:marTop w:val="0"/>
      <w:marBottom w:val="0"/>
      <w:divBdr>
        <w:top w:val="none" w:sz="0" w:space="0" w:color="auto"/>
        <w:left w:val="none" w:sz="0" w:space="0" w:color="auto"/>
        <w:bottom w:val="none" w:sz="0" w:space="0" w:color="auto"/>
        <w:right w:val="none" w:sz="0" w:space="0" w:color="auto"/>
      </w:divBdr>
    </w:div>
    <w:div w:id="618220288">
      <w:bodyDiv w:val="1"/>
      <w:marLeft w:val="0"/>
      <w:marRight w:val="0"/>
      <w:marTop w:val="0"/>
      <w:marBottom w:val="0"/>
      <w:divBdr>
        <w:top w:val="none" w:sz="0" w:space="0" w:color="auto"/>
        <w:left w:val="none" w:sz="0" w:space="0" w:color="auto"/>
        <w:bottom w:val="none" w:sz="0" w:space="0" w:color="auto"/>
        <w:right w:val="none" w:sz="0" w:space="0" w:color="auto"/>
      </w:divBdr>
    </w:div>
    <w:div w:id="656761115">
      <w:bodyDiv w:val="1"/>
      <w:marLeft w:val="0"/>
      <w:marRight w:val="0"/>
      <w:marTop w:val="0"/>
      <w:marBottom w:val="0"/>
      <w:divBdr>
        <w:top w:val="none" w:sz="0" w:space="0" w:color="auto"/>
        <w:left w:val="none" w:sz="0" w:space="0" w:color="auto"/>
        <w:bottom w:val="none" w:sz="0" w:space="0" w:color="auto"/>
        <w:right w:val="none" w:sz="0" w:space="0" w:color="auto"/>
      </w:divBdr>
    </w:div>
    <w:div w:id="674303848">
      <w:bodyDiv w:val="1"/>
      <w:marLeft w:val="0"/>
      <w:marRight w:val="0"/>
      <w:marTop w:val="0"/>
      <w:marBottom w:val="0"/>
      <w:divBdr>
        <w:top w:val="none" w:sz="0" w:space="0" w:color="auto"/>
        <w:left w:val="none" w:sz="0" w:space="0" w:color="auto"/>
        <w:bottom w:val="none" w:sz="0" w:space="0" w:color="auto"/>
        <w:right w:val="none" w:sz="0" w:space="0" w:color="auto"/>
      </w:divBdr>
    </w:div>
    <w:div w:id="682324840">
      <w:bodyDiv w:val="1"/>
      <w:marLeft w:val="0"/>
      <w:marRight w:val="0"/>
      <w:marTop w:val="0"/>
      <w:marBottom w:val="0"/>
      <w:divBdr>
        <w:top w:val="none" w:sz="0" w:space="0" w:color="auto"/>
        <w:left w:val="none" w:sz="0" w:space="0" w:color="auto"/>
        <w:bottom w:val="none" w:sz="0" w:space="0" w:color="auto"/>
        <w:right w:val="none" w:sz="0" w:space="0" w:color="auto"/>
      </w:divBdr>
    </w:div>
    <w:div w:id="693578514">
      <w:bodyDiv w:val="1"/>
      <w:marLeft w:val="0"/>
      <w:marRight w:val="0"/>
      <w:marTop w:val="0"/>
      <w:marBottom w:val="0"/>
      <w:divBdr>
        <w:top w:val="none" w:sz="0" w:space="0" w:color="auto"/>
        <w:left w:val="none" w:sz="0" w:space="0" w:color="auto"/>
        <w:bottom w:val="none" w:sz="0" w:space="0" w:color="auto"/>
        <w:right w:val="none" w:sz="0" w:space="0" w:color="auto"/>
      </w:divBdr>
    </w:div>
    <w:div w:id="723869254">
      <w:bodyDiv w:val="1"/>
      <w:marLeft w:val="0"/>
      <w:marRight w:val="0"/>
      <w:marTop w:val="0"/>
      <w:marBottom w:val="0"/>
      <w:divBdr>
        <w:top w:val="none" w:sz="0" w:space="0" w:color="auto"/>
        <w:left w:val="none" w:sz="0" w:space="0" w:color="auto"/>
        <w:bottom w:val="none" w:sz="0" w:space="0" w:color="auto"/>
        <w:right w:val="none" w:sz="0" w:space="0" w:color="auto"/>
      </w:divBdr>
    </w:div>
    <w:div w:id="737634785">
      <w:bodyDiv w:val="1"/>
      <w:marLeft w:val="0"/>
      <w:marRight w:val="0"/>
      <w:marTop w:val="0"/>
      <w:marBottom w:val="0"/>
      <w:divBdr>
        <w:top w:val="none" w:sz="0" w:space="0" w:color="auto"/>
        <w:left w:val="none" w:sz="0" w:space="0" w:color="auto"/>
        <w:bottom w:val="none" w:sz="0" w:space="0" w:color="auto"/>
        <w:right w:val="none" w:sz="0" w:space="0" w:color="auto"/>
      </w:divBdr>
    </w:div>
    <w:div w:id="740179861">
      <w:bodyDiv w:val="1"/>
      <w:marLeft w:val="0"/>
      <w:marRight w:val="0"/>
      <w:marTop w:val="0"/>
      <w:marBottom w:val="0"/>
      <w:divBdr>
        <w:top w:val="none" w:sz="0" w:space="0" w:color="auto"/>
        <w:left w:val="none" w:sz="0" w:space="0" w:color="auto"/>
        <w:bottom w:val="none" w:sz="0" w:space="0" w:color="auto"/>
        <w:right w:val="none" w:sz="0" w:space="0" w:color="auto"/>
      </w:divBdr>
    </w:div>
    <w:div w:id="781075900">
      <w:bodyDiv w:val="1"/>
      <w:marLeft w:val="0"/>
      <w:marRight w:val="0"/>
      <w:marTop w:val="0"/>
      <w:marBottom w:val="0"/>
      <w:divBdr>
        <w:top w:val="none" w:sz="0" w:space="0" w:color="auto"/>
        <w:left w:val="none" w:sz="0" w:space="0" w:color="auto"/>
        <w:bottom w:val="none" w:sz="0" w:space="0" w:color="auto"/>
        <w:right w:val="none" w:sz="0" w:space="0" w:color="auto"/>
      </w:divBdr>
    </w:div>
    <w:div w:id="791827035">
      <w:bodyDiv w:val="1"/>
      <w:marLeft w:val="0"/>
      <w:marRight w:val="0"/>
      <w:marTop w:val="0"/>
      <w:marBottom w:val="0"/>
      <w:divBdr>
        <w:top w:val="none" w:sz="0" w:space="0" w:color="auto"/>
        <w:left w:val="none" w:sz="0" w:space="0" w:color="auto"/>
        <w:bottom w:val="none" w:sz="0" w:space="0" w:color="auto"/>
        <w:right w:val="none" w:sz="0" w:space="0" w:color="auto"/>
      </w:divBdr>
    </w:div>
    <w:div w:id="883785418">
      <w:bodyDiv w:val="1"/>
      <w:marLeft w:val="0"/>
      <w:marRight w:val="0"/>
      <w:marTop w:val="0"/>
      <w:marBottom w:val="0"/>
      <w:divBdr>
        <w:top w:val="none" w:sz="0" w:space="0" w:color="auto"/>
        <w:left w:val="none" w:sz="0" w:space="0" w:color="auto"/>
        <w:bottom w:val="none" w:sz="0" w:space="0" w:color="auto"/>
        <w:right w:val="none" w:sz="0" w:space="0" w:color="auto"/>
      </w:divBdr>
    </w:div>
    <w:div w:id="1065566918">
      <w:bodyDiv w:val="1"/>
      <w:marLeft w:val="0"/>
      <w:marRight w:val="0"/>
      <w:marTop w:val="0"/>
      <w:marBottom w:val="0"/>
      <w:divBdr>
        <w:top w:val="none" w:sz="0" w:space="0" w:color="auto"/>
        <w:left w:val="none" w:sz="0" w:space="0" w:color="auto"/>
        <w:bottom w:val="none" w:sz="0" w:space="0" w:color="auto"/>
        <w:right w:val="none" w:sz="0" w:space="0" w:color="auto"/>
      </w:divBdr>
    </w:div>
    <w:div w:id="1069233114">
      <w:bodyDiv w:val="1"/>
      <w:marLeft w:val="0"/>
      <w:marRight w:val="0"/>
      <w:marTop w:val="0"/>
      <w:marBottom w:val="0"/>
      <w:divBdr>
        <w:top w:val="none" w:sz="0" w:space="0" w:color="auto"/>
        <w:left w:val="none" w:sz="0" w:space="0" w:color="auto"/>
        <w:bottom w:val="none" w:sz="0" w:space="0" w:color="auto"/>
        <w:right w:val="none" w:sz="0" w:space="0" w:color="auto"/>
      </w:divBdr>
    </w:div>
    <w:div w:id="1123114414">
      <w:bodyDiv w:val="1"/>
      <w:marLeft w:val="0"/>
      <w:marRight w:val="0"/>
      <w:marTop w:val="0"/>
      <w:marBottom w:val="0"/>
      <w:divBdr>
        <w:top w:val="none" w:sz="0" w:space="0" w:color="auto"/>
        <w:left w:val="none" w:sz="0" w:space="0" w:color="auto"/>
        <w:bottom w:val="none" w:sz="0" w:space="0" w:color="auto"/>
        <w:right w:val="none" w:sz="0" w:space="0" w:color="auto"/>
      </w:divBdr>
    </w:div>
    <w:div w:id="1149980396">
      <w:bodyDiv w:val="1"/>
      <w:marLeft w:val="0"/>
      <w:marRight w:val="0"/>
      <w:marTop w:val="0"/>
      <w:marBottom w:val="0"/>
      <w:divBdr>
        <w:top w:val="none" w:sz="0" w:space="0" w:color="auto"/>
        <w:left w:val="none" w:sz="0" w:space="0" w:color="auto"/>
        <w:bottom w:val="none" w:sz="0" w:space="0" w:color="auto"/>
        <w:right w:val="none" w:sz="0" w:space="0" w:color="auto"/>
      </w:divBdr>
    </w:div>
    <w:div w:id="1150753930">
      <w:bodyDiv w:val="1"/>
      <w:marLeft w:val="0"/>
      <w:marRight w:val="0"/>
      <w:marTop w:val="0"/>
      <w:marBottom w:val="0"/>
      <w:divBdr>
        <w:top w:val="none" w:sz="0" w:space="0" w:color="auto"/>
        <w:left w:val="none" w:sz="0" w:space="0" w:color="auto"/>
        <w:bottom w:val="none" w:sz="0" w:space="0" w:color="auto"/>
        <w:right w:val="none" w:sz="0" w:space="0" w:color="auto"/>
      </w:divBdr>
    </w:div>
    <w:div w:id="1236432559">
      <w:bodyDiv w:val="1"/>
      <w:marLeft w:val="0"/>
      <w:marRight w:val="0"/>
      <w:marTop w:val="0"/>
      <w:marBottom w:val="0"/>
      <w:divBdr>
        <w:top w:val="none" w:sz="0" w:space="0" w:color="auto"/>
        <w:left w:val="none" w:sz="0" w:space="0" w:color="auto"/>
        <w:bottom w:val="none" w:sz="0" w:space="0" w:color="auto"/>
        <w:right w:val="none" w:sz="0" w:space="0" w:color="auto"/>
      </w:divBdr>
    </w:div>
    <w:div w:id="1239631852">
      <w:bodyDiv w:val="1"/>
      <w:marLeft w:val="0"/>
      <w:marRight w:val="0"/>
      <w:marTop w:val="0"/>
      <w:marBottom w:val="0"/>
      <w:divBdr>
        <w:top w:val="none" w:sz="0" w:space="0" w:color="auto"/>
        <w:left w:val="none" w:sz="0" w:space="0" w:color="auto"/>
        <w:bottom w:val="none" w:sz="0" w:space="0" w:color="auto"/>
        <w:right w:val="none" w:sz="0" w:space="0" w:color="auto"/>
      </w:divBdr>
    </w:div>
    <w:div w:id="1275790183">
      <w:bodyDiv w:val="1"/>
      <w:marLeft w:val="0"/>
      <w:marRight w:val="0"/>
      <w:marTop w:val="0"/>
      <w:marBottom w:val="0"/>
      <w:divBdr>
        <w:top w:val="none" w:sz="0" w:space="0" w:color="auto"/>
        <w:left w:val="none" w:sz="0" w:space="0" w:color="auto"/>
        <w:bottom w:val="none" w:sz="0" w:space="0" w:color="auto"/>
        <w:right w:val="none" w:sz="0" w:space="0" w:color="auto"/>
      </w:divBdr>
    </w:div>
    <w:div w:id="1286037407">
      <w:bodyDiv w:val="1"/>
      <w:marLeft w:val="0"/>
      <w:marRight w:val="0"/>
      <w:marTop w:val="0"/>
      <w:marBottom w:val="0"/>
      <w:divBdr>
        <w:top w:val="none" w:sz="0" w:space="0" w:color="auto"/>
        <w:left w:val="none" w:sz="0" w:space="0" w:color="auto"/>
        <w:bottom w:val="none" w:sz="0" w:space="0" w:color="auto"/>
        <w:right w:val="none" w:sz="0" w:space="0" w:color="auto"/>
      </w:divBdr>
    </w:div>
    <w:div w:id="1296521124">
      <w:bodyDiv w:val="1"/>
      <w:marLeft w:val="0"/>
      <w:marRight w:val="0"/>
      <w:marTop w:val="0"/>
      <w:marBottom w:val="0"/>
      <w:divBdr>
        <w:top w:val="none" w:sz="0" w:space="0" w:color="auto"/>
        <w:left w:val="none" w:sz="0" w:space="0" w:color="auto"/>
        <w:bottom w:val="none" w:sz="0" w:space="0" w:color="auto"/>
        <w:right w:val="none" w:sz="0" w:space="0" w:color="auto"/>
      </w:divBdr>
    </w:div>
    <w:div w:id="1334066727">
      <w:bodyDiv w:val="1"/>
      <w:marLeft w:val="0"/>
      <w:marRight w:val="0"/>
      <w:marTop w:val="0"/>
      <w:marBottom w:val="0"/>
      <w:divBdr>
        <w:top w:val="none" w:sz="0" w:space="0" w:color="auto"/>
        <w:left w:val="none" w:sz="0" w:space="0" w:color="auto"/>
        <w:bottom w:val="none" w:sz="0" w:space="0" w:color="auto"/>
        <w:right w:val="none" w:sz="0" w:space="0" w:color="auto"/>
      </w:divBdr>
    </w:div>
    <w:div w:id="1355884674">
      <w:bodyDiv w:val="1"/>
      <w:marLeft w:val="0"/>
      <w:marRight w:val="0"/>
      <w:marTop w:val="0"/>
      <w:marBottom w:val="0"/>
      <w:divBdr>
        <w:top w:val="none" w:sz="0" w:space="0" w:color="auto"/>
        <w:left w:val="none" w:sz="0" w:space="0" w:color="auto"/>
        <w:bottom w:val="none" w:sz="0" w:space="0" w:color="auto"/>
        <w:right w:val="none" w:sz="0" w:space="0" w:color="auto"/>
      </w:divBdr>
    </w:div>
    <w:div w:id="1454136234">
      <w:bodyDiv w:val="1"/>
      <w:marLeft w:val="0"/>
      <w:marRight w:val="0"/>
      <w:marTop w:val="0"/>
      <w:marBottom w:val="0"/>
      <w:divBdr>
        <w:top w:val="none" w:sz="0" w:space="0" w:color="auto"/>
        <w:left w:val="none" w:sz="0" w:space="0" w:color="auto"/>
        <w:bottom w:val="none" w:sz="0" w:space="0" w:color="auto"/>
        <w:right w:val="none" w:sz="0" w:space="0" w:color="auto"/>
      </w:divBdr>
    </w:div>
    <w:div w:id="1470589110">
      <w:bodyDiv w:val="1"/>
      <w:marLeft w:val="0"/>
      <w:marRight w:val="0"/>
      <w:marTop w:val="0"/>
      <w:marBottom w:val="0"/>
      <w:divBdr>
        <w:top w:val="none" w:sz="0" w:space="0" w:color="auto"/>
        <w:left w:val="none" w:sz="0" w:space="0" w:color="auto"/>
        <w:bottom w:val="none" w:sz="0" w:space="0" w:color="auto"/>
        <w:right w:val="none" w:sz="0" w:space="0" w:color="auto"/>
      </w:divBdr>
    </w:div>
    <w:div w:id="1604266473">
      <w:bodyDiv w:val="1"/>
      <w:marLeft w:val="0"/>
      <w:marRight w:val="0"/>
      <w:marTop w:val="0"/>
      <w:marBottom w:val="0"/>
      <w:divBdr>
        <w:top w:val="none" w:sz="0" w:space="0" w:color="auto"/>
        <w:left w:val="none" w:sz="0" w:space="0" w:color="auto"/>
        <w:bottom w:val="none" w:sz="0" w:space="0" w:color="auto"/>
        <w:right w:val="none" w:sz="0" w:space="0" w:color="auto"/>
      </w:divBdr>
    </w:div>
    <w:div w:id="1703824983">
      <w:bodyDiv w:val="1"/>
      <w:marLeft w:val="0"/>
      <w:marRight w:val="0"/>
      <w:marTop w:val="0"/>
      <w:marBottom w:val="0"/>
      <w:divBdr>
        <w:top w:val="none" w:sz="0" w:space="0" w:color="auto"/>
        <w:left w:val="none" w:sz="0" w:space="0" w:color="auto"/>
        <w:bottom w:val="none" w:sz="0" w:space="0" w:color="auto"/>
        <w:right w:val="none" w:sz="0" w:space="0" w:color="auto"/>
      </w:divBdr>
    </w:div>
    <w:div w:id="1750423447">
      <w:bodyDiv w:val="1"/>
      <w:marLeft w:val="0"/>
      <w:marRight w:val="0"/>
      <w:marTop w:val="0"/>
      <w:marBottom w:val="0"/>
      <w:divBdr>
        <w:top w:val="none" w:sz="0" w:space="0" w:color="auto"/>
        <w:left w:val="none" w:sz="0" w:space="0" w:color="auto"/>
        <w:bottom w:val="none" w:sz="0" w:space="0" w:color="auto"/>
        <w:right w:val="none" w:sz="0" w:space="0" w:color="auto"/>
      </w:divBdr>
    </w:div>
    <w:div w:id="1766264108">
      <w:bodyDiv w:val="1"/>
      <w:marLeft w:val="0"/>
      <w:marRight w:val="0"/>
      <w:marTop w:val="0"/>
      <w:marBottom w:val="0"/>
      <w:divBdr>
        <w:top w:val="none" w:sz="0" w:space="0" w:color="auto"/>
        <w:left w:val="none" w:sz="0" w:space="0" w:color="auto"/>
        <w:bottom w:val="none" w:sz="0" w:space="0" w:color="auto"/>
        <w:right w:val="none" w:sz="0" w:space="0" w:color="auto"/>
      </w:divBdr>
    </w:div>
    <w:div w:id="1782339621">
      <w:bodyDiv w:val="1"/>
      <w:marLeft w:val="0"/>
      <w:marRight w:val="0"/>
      <w:marTop w:val="0"/>
      <w:marBottom w:val="0"/>
      <w:divBdr>
        <w:top w:val="none" w:sz="0" w:space="0" w:color="auto"/>
        <w:left w:val="none" w:sz="0" w:space="0" w:color="auto"/>
        <w:bottom w:val="none" w:sz="0" w:space="0" w:color="auto"/>
        <w:right w:val="none" w:sz="0" w:space="0" w:color="auto"/>
      </w:divBdr>
    </w:div>
    <w:div w:id="1804425959">
      <w:bodyDiv w:val="1"/>
      <w:marLeft w:val="0"/>
      <w:marRight w:val="0"/>
      <w:marTop w:val="0"/>
      <w:marBottom w:val="0"/>
      <w:divBdr>
        <w:top w:val="none" w:sz="0" w:space="0" w:color="auto"/>
        <w:left w:val="none" w:sz="0" w:space="0" w:color="auto"/>
        <w:bottom w:val="none" w:sz="0" w:space="0" w:color="auto"/>
        <w:right w:val="none" w:sz="0" w:space="0" w:color="auto"/>
      </w:divBdr>
    </w:div>
    <w:div w:id="1859615996">
      <w:bodyDiv w:val="1"/>
      <w:marLeft w:val="0"/>
      <w:marRight w:val="0"/>
      <w:marTop w:val="0"/>
      <w:marBottom w:val="0"/>
      <w:divBdr>
        <w:top w:val="none" w:sz="0" w:space="0" w:color="auto"/>
        <w:left w:val="none" w:sz="0" w:space="0" w:color="auto"/>
        <w:bottom w:val="none" w:sz="0" w:space="0" w:color="auto"/>
        <w:right w:val="none" w:sz="0" w:space="0" w:color="auto"/>
      </w:divBdr>
    </w:div>
    <w:div w:id="1887913215">
      <w:bodyDiv w:val="1"/>
      <w:marLeft w:val="0"/>
      <w:marRight w:val="0"/>
      <w:marTop w:val="0"/>
      <w:marBottom w:val="0"/>
      <w:divBdr>
        <w:top w:val="none" w:sz="0" w:space="0" w:color="auto"/>
        <w:left w:val="none" w:sz="0" w:space="0" w:color="auto"/>
        <w:bottom w:val="none" w:sz="0" w:space="0" w:color="auto"/>
        <w:right w:val="none" w:sz="0" w:space="0" w:color="auto"/>
      </w:divBdr>
    </w:div>
    <w:div w:id="1907064032">
      <w:bodyDiv w:val="1"/>
      <w:marLeft w:val="0"/>
      <w:marRight w:val="0"/>
      <w:marTop w:val="0"/>
      <w:marBottom w:val="0"/>
      <w:divBdr>
        <w:top w:val="none" w:sz="0" w:space="0" w:color="auto"/>
        <w:left w:val="none" w:sz="0" w:space="0" w:color="auto"/>
        <w:bottom w:val="none" w:sz="0" w:space="0" w:color="auto"/>
        <w:right w:val="none" w:sz="0" w:space="0" w:color="auto"/>
      </w:divBdr>
    </w:div>
    <w:div w:id="1917278446">
      <w:bodyDiv w:val="1"/>
      <w:marLeft w:val="0"/>
      <w:marRight w:val="0"/>
      <w:marTop w:val="0"/>
      <w:marBottom w:val="0"/>
      <w:divBdr>
        <w:top w:val="none" w:sz="0" w:space="0" w:color="auto"/>
        <w:left w:val="none" w:sz="0" w:space="0" w:color="auto"/>
        <w:bottom w:val="none" w:sz="0" w:space="0" w:color="auto"/>
        <w:right w:val="none" w:sz="0" w:space="0" w:color="auto"/>
      </w:divBdr>
    </w:div>
    <w:div w:id="1971476506">
      <w:bodyDiv w:val="1"/>
      <w:marLeft w:val="0"/>
      <w:marRight w:val="0"/>
      <w:marTop w:val="0"/>
      <w:marBottom w:val="0"/>
      <w:divBdr>
        <w:top w:val="none" w:sz="0" w:space="0" w:color="auto"/>
        <w:left w:val="none" w:sz="0" w:space="0" w:color="auto"/>
        <w:bottom w:val="none" w:sz="0" w:space="0" w:color="auto"/>
        <w:right w:val="none" w:sz="0" w:space="0" w:color="auto"/>
      </w:divBdr>
    </w:div>
    <w:div w:id="2039968257">
      <w:bodyDiv w:val="1"/>
      <w:marLeft w:val="0"/>
      <w:marRight w:val="0"/>
      <w:marTop w:val="0"/>
      <w:marBottom w:val="0"/>
      <w:divBdr>
        <w:top w:val="none" w:sz="0" w:space="0" w:color="auto"/>
        <w:left w:val="none" w:sz="0" w:space="0" w:color="auto"/>
        <w:bottom w:val="none" w:sz="0" w:space="0" w:color="auto"/>
        <w:right w:val="none" w:sz="0" w:space="0" w:color="auto"/>
      </w:divBdr>
    </w:div>
    <w:div w:id="2059695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domestic-green-deal-and-eco-statistics-methodology-note" TargetMode="External"/><Relationship Id="rId21" Type="http://schemas.openxmlformats.org/officeDocument/2006/relationships/header" Target="header4.xml"/><Relationship Id="rId42" Type="http://schemas.openxmlformats.org/officeDocument/2006/relationships/hyperlink" Target="https://www.gov.uk/government/news/govt-action-to-help-hardworking-people-with-energy-bills" TargetMode="External"/><Relationship Id="rId47" Type="http://schemas.openxmlformats.org/officeDocument/2006/relationships/hyperlink" Target="https://www.gov.uk/government/publications/domestic-green-deal-and-eco-statistics-methodology-note" TargetMode="External"/><Relationship Id="rId63" Type="http://schemas.openxmlformats.org/officeDocument/2006/relationships/hyperlink" Target="https://www.gov.uk/government/statistics/green-deal-energy-company-obligation-eco-and-insulation-levels-in-great-britain-quarterly-report-to-september-2014" TargetMode="External"/><Relationship Id="rId68" Type="http://schemas.openxmlformats.org/officeDocument/2006/relationships/hyperlink" Target="https://www.gov.uk/government/publications/domestic-green-deal-and-eco-statistics-methodology-note" TargetMode="External"/><Relationship Id="rId84" Type="http://schemas.openxmlformats.org/officeDocument/2006/relationships/hyperlink" Target="https://www.gov.uk/green-deal-energy-saving-measures/get-money-back-from-the-green-deal-home-improvement-fund" TargetMode="External"/><Relationship Id="rId89" Type="http://schemas.openxmlformats.org/officeDocument/2006/relationships/hyperlink" Target="https://www.gov.uk/energy-companies-obligation-brokerage" TargetMode="External"/><Relationship Id="rId7" Type="http://schemas.microsoft.com/office/2007/relationships/stylesWithEffects" Target="stylesWithEffects.xml"/><Relationship Id="rId71" Type="http://schemas.openxmlformats.org/officeDocument/2006/relationships/image" Target="media/image11.png"/><Relationship Id="rId92" Type="http://schemas.openxmlformats.org/officeDocument/2006/relationships/hyperlink" Target="https://www.gov.uk/government/publications/domestic-green-deal-and-eco-statistics-methodology-note"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3.png"/><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6.jpeg"/><Relationship Id="rId37" Type="http://schemas.openxmlformats.org/officeDocument/2006/relationships/hyperlink" Target="https://www.gov.uk/government/uploads/system/uploads/attachment_data/file/42984/5533-final-stage-impact-assessment-for-the-green-deal-a.pdf" TargetMode="External"/><Relationship Id="rId40" Type="http://schemas.openxmlformats.org/officeDocument/2006/relationships/hyperlink" Target="https://www.gov.uk/government/uploads/system/uploads/attachment_data/file/335098/20140721_The_Future_of_ECO_consultation_Final_IA.pdf" TargetMode="External"/><Relationship Id="rId45" Type="http://schemas.openxmlformats.org/officeDocument/2006/relationships/hyperlink" Target="https://www.gov.uk/government/publications/domestic-green-deal-and-eco-statistics-methodology-note" TargetMode="External"/><Relationship Id="rId53" Type="http://schemas.openxmlformats.org/officeDocument/2006/relationships/hyperlink" Target="https://www.gov.uk/government/statistics/green-deal-energy-company-obligation-eco-and-insulation-levels-in-great-britain-quarterly-report-to-september-2014" TargetMode="External"/><Relationship Id="rId58" Type="http://schemas.openxmlformats.org/officeDocument/2006/relationships/hyperlink" Target="https://www.gov.uk/government/statistics/green-deal-energy-company-obligation-eco-and-insulation-levels-in-great-britain-quarterly-report-to-september-2014" TargetMode="External"/><Relationship Id="rId66" Type="http://schemas.openxmlformats.org/officeDocument/2006/relationships/hyperlink" Target="https://www.gov.uk/government/statistics/green-deal-energy-company-obligation-eco-and-insulation-levels-in-great-britain-quarterly-report-to-september-2014" TargetMode="External"/><Relationship Id="rId74" Type="http://schemas.openxmlformats.org/officeDocument/2006/relationships/hyperlink" Target="https://www.gov.uk/government/publications/green-deal-energy-company-obligation-eco-and-insulation-levels-in-great-britain-quarterly-report-to-september-2014" TargetMode="External"/><Relationship Id="rId79" Type="http://schemas.openxmlformats.org/officeDocument/2006/relationships/hyperlink" Target="https://www.gov.uk/green-deal-energy-saving-measures" TargetMode="External"/><Relationship Id="rId87" Type="http://schemas.openxmlformats.org/officeDocument/2006/relationships/hyperlink" Target="https://www.gov.uk/government/publications/energy-savings-advice-service-esas-calls-and-green-deal-webpage-views" TargetMode="External"/><Relationship Id="rId102" Type="http://schemas.openxmlformats.org/officeDocument/2006/relationships/hyperlink" Target="http://www.gov.uk/decc" TargetMode="External"/><Relationship Id="rId5" Type="http://schemas.openxmlformats.org/officeDocument/2006/relationships/numbering" Target="numbering.xml"/><Relationship Id="rId61" Type="http://schemas.openxmlformats.org/officeDocument/2006/relationships/hyperlink" Target="https://www.gov.uk/government/statistics/green-deal-energy-company-obligation-eco-and-insulation-levels-in-great-britain-quarterly-report-to-september-2014" TargetMode="External"/><Relationship Id="rId82" Type="http://schemas.openxmlformats.org/officeDocument/2006/relationships/hyperlink" Target="https://www.gov.uk/government/consultations/the-future-of-the-energy-company-obligation" TargetMode="External"/><Relationship Id="rId90" Type="http://schemas.openxmlformats.org/officeDocument/2006/relationships/hyperlink" Target="https://www.gov.uk/government/publications/domestic-green-deal-and-eco-statistics-methodology-note" TargetMode="External"/><Relationship Id="rId95" Type="http://schemas.openxmlformats.org/officeDocument/2006/relationships/hyperlink" Target="mailto:EnergyEfficiency.Stats@decc.gsi.gov.uk" TargetMode="External"/><Relationship Id="rId19" Type="http://schemas.openxmlformats.org/officeDocument/2006/relationships/hyperlink" Target="mailto:psi@nationalarchives.gsi.gov.uk"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www.gov.uk/government/statistics/green-deal-energy-company-obligation-eco-and-insulation-levels-in-great-britain-quarterly-report-to-september-2014" TargetMode="External"/><Relationship Id="rId30" Type="http://schemas.openxmlformats.org/officeDocument/2006/relationships/image" Target="media/image4.png"/><Relationship Id="rId35" Type="http://schemas.openxmlformats.org/officeDocument/2006/relationships/image" Target="media/image8.jpeg"/><Relationship Id="rId43" Type="http://schemas.openxmlformats.org/officeDocument/2006/relationships/hyperlink" Target="https://www.gov.uk/energy-companies-obligation-brokerage" TargetMode="External"/><Relationship Id="rId48" Type="http://schemas.openxmlformats.org/officeDocument/2006/relationships/hyperlink" Target="http://www.greendealorb.co.uk/" TargetMode="External"/><Relationship Id="rId56" Type="http://schemas.openxmlformats.org/officeDocument/2006/relationships/hyperlink" Target="https://www.gov.uk/government/statistics/green-deal-energy-company-obligation-eco-and-insulation-levels-in-great-britain-quarterly-report-to-september-2014" TargetMode="External"/><Relationship Id="rId64" Type="http://schemas.openxmlformats.org/officeDocument/2006/relationships/hyperlink" Target="https://www.gov.uk/government/statistics/green-deal-energy-company-obligation-eco-and-insulation-levels-in-great-britain-quarterly-report-to-september-2014" TargetMode="External"/><Relationship Id="rId69" Type="http://schemas.openxmlformats.org/officeDocument/2006/relationships/image" Target="media/image9.emf"/><Relationship Id="rId77" Type="http://schemas.openxmlformats.org/officeDocument/2006/relationships/hyperlink" Target="https://www.gov.uk/government/publications/green-deal-energy-company-obligation-eco-and-insulation-levels-in-great-britain-quarterly-report-to-september-2014" TargetMode="External"/><Relationship Id="rId100" Type="http://schemas.openxmlformats.org/officeDocument/2006/relationships/header" Target="header8.xml"/><Relationship Id="rId105" Type="http://schemas.openxmlformats.org/officeDocument/2006/relationships/header" Target="header12.xml"/><Relationship Id="rId8" Type="http://schemas.openxmlformats.org/officeDocument/2006/relationships/settings" Target="settings.xml"/><Relationship Id="rId51" Type="http://schemas.openxmlformats.org/officeDocument/2006/relationships/hyperlink" Target="https://www.gov.uk/government/statistics/green-deal-energy-company-obligation-eco-and-insulation-levels-in-great-britain-quarterly-report-to-september-2014" TargetMode="External"/><Relationship Id="rId72" Type="http://schemas.openxmlformats.org/officeDocument/2006/relationships/image" Target="media/image12.emf"/><Relationship Id="rId80" Type="http://schemas.openxmlformats.org/officeDocument/2006/relationships/hyperlink" Target="https://www.gov.uk/government/policies/helping-households-to-cut-their-energy-bills/supporting-pages/energy-companies-obligation-eco" TargetMode="External"/><Relationship Id="rId85" Type="http://schemas.openxmlformats.org/officeDocument/2006/relationships/hyperlink" Target="http://www.energysavingtrust.org.uk/scotland/Take-action/Find-a-grant/Green-Homes-Cashback-Scheme" TargetMode="External"/><Relationship Id="rId93" Type="http://schemas.openxmlformats.org/officeDocument/2006/relationships/hyperlink" Target="https://www.gov.uk/green-deal-energy-saving-measures/get-money-back-from-the-green-deal-home-improvement-fund" TargetMode="External"/><Relationship Id="rId98" Type="http://schemas.openxmlformats.org/officeDocument/2006/relationships/hyperlink" Target="https://www.gov.uk/government/collections/renewable-heat-incentive-renewable-heat-premium-payment-statistic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gov.uk/government/collections/green-deal-and-energy-company-obligation-eco-statistics" TargetMode="External"/><Relationship Id="rId33" Type="http://schemas.openxmlformats.org/officeDocument/2006/relationships/image" Target="media/image7.png"/><Relationship Id="rId38" Type="http://schemas.openxmlformats.org/officeDocument/2006/relationships/hyperlink" Target="https://www.gov.uk/government/news/govt-action-to-help-hardworking-people-with-energy-bills" TargetMode="External"/><Relationship Id="rId46" Type="http://schemas.openxmlformats.org/officeDocument/2006/relationships/hyperlink" Target="https://www.gov.uk/government/collections/green-deal-assessments-research" TargetMode="External"/><Relationship Id="rId59" Type="http://schemas.openxmlformats.org/officeDocument/2006/relationships/hyperlink" Target="https://www.gov.uk/government/statistics/green-deal-energy-company-obligation-eco-and-insulation-levels-in-great-britain-quarterly-report-to-september-2014" TargetMode="External"/><Relationship Id="rId67" Type="http://schemas.openxmlformats.org/officeDocument/2006/relationships/hyperlink" Target="https://www.gov.uk/government/statistics/green-deal-energy-company-obligation-eco-and-insulation-levels-in-great-britain-quarterly-report-to-september-2014" TargetMode="External"/><Relationship Id="rId103" Type="http://schemas.openxmlformats.org/officeDocument/2006/relationships/header" Target="header10.xml"/><Relationship Id="rId108" Type="http://schemas.openxmlformats.org/officeDocument/2006/relationships/theme" Target="theme/theme1.xml"/><Relationship Id="rId20" Type="http://schemas.openxmlformats.org/officeDocument/2006/relationships/hyperlink" Target="mailto:EnergyEfficiency.Stats@decc.gsi.gov.uk" TargetMode="External"/><Relationship Id="rId41" Type="http://schemas.openxmlformats.org/officeDocument/2006/relationships/hyperlink" Target="https://www.gov.uk/energy-companies-obligation-brokerage" TargetMode="External"/><Relationship Id="rId54" Type="http://schemas.openxmlformats.org/officeDocument/2006/relationships/hyperlink" Target="https://www.gov.uk/government/statistics/green-deal-energy-company-obligation-eco-and-insulation-levels-in-great-britain-quarterly-report-to-september-2014" TargetMode="External"/><Relationship Id="rId62" Type="http://schemas.openxmlformats.org/officeDocument/2006/relationships/hyperlink" Target="https://www.gov.uk/government/statistics/green-deal-energy-company-obligation-eco-and-insulation-levels-in-great-britain-quarterly-report-to-september-2014" TargetMode="External"/><Relationship Id="rId70" Type="http://schemas.openxmlformats.org/officeDocument/2006/relationships/image" Target="media/image10.png"/><Relationship Id="rId75" Type="http://schemas.openxmlformats.org/officeDocument/2006/relationships/image" Target="media/image14.emf"/><Relationship Id="rId83" Type="http://schemas.openxmlformats.org/officeDocument/2006/relationships/hyperlink" Target="http://www.energysavingtrust.org.uk/scotland/Take-action/Find-a-grant/Green-Homes-Cashback-Scheme" TargetMode="External"/><Relationship Id="rId88" Type="http://schemas.openxmlformats.org/officeDocument/2006/relationships/hyperlink" Target="https://www.gov.uk/government/publications/domestic-green-deal-and-eco-statistics-methodology-note" TargetMode="External"/><Relationship Id="rId91" Type="http://schemas.openxmlformats.org/officeDocument/2006/relationships/hyperlink" Target="https://www.gov.uk/local-authorities-and-the-green-deal" TargetMode="External"/><Relationship Id="rId96" Type="http://schemas.openxmlformats.org/officeDocument/2006/relationships/hyperlink" Target="https://www.gov.uk/government/organisations/department-of-energy-climate-change/about/statistic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s://www.gov.uk/getting-a-green-deal-information-for-householders-and-landlords" TargetMode="External"/><Relationship Id="rId36" Type="http://schemas.openxmlformats.org/officeDocument/2006/relationships/hyperlink" Target="https://www.gov.uk/government/publications/domestic-green-deal-and-eco-statistics-methodology-note" TargetMode="External"/><Relationship Id="rId49" Type="http://schemas.openxmlformats.org/officeDocument/2006/relationships/hyperlink" Target="http://www.greendealorb.co.uk/consumersearch" TargetMode="External"/><Relationship Id="rId57" Type="http://schemas.openxmlformats.org/officeDocument/2006/relationships/hyperlink" Target="https://www.gov.uk/government/statistics/green-deal-energy-company-obligation-eco-and-insulation-levels-in-great-britain-quarterly-report-to-september-2014" TargetMode="External"/><Relationship Id="rId106" Type="http://schemas.openxmlformats.org/officeDocument/2006/relationships/footer" Target="footer5.xml"/><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yperlink" Target="https://www.gov.uk/government/uploads/system/uploads/attachment_data/file/42984/5533-final-stage-impact-assessment-for-the-green-deal-a.pdf" TargetMode="External"/><Relationship Id="rId52" Type="http://schemas.openxmlformats.org/officeDocument/2006/relationships/hyperlink" Target="https://www.gov.uk/government/statistics/green-deal-energy-company-obligation-eco-and-insulation-levels-in-great-britain-quarterly-report-to-september-2014" TargetMode="External"/><Relationship Id="rId60" Type="http://schemas.openxmlformats.org/officeDocument/2006/relationships/hyperlink" Target="https://www.gov.uk/government/statistics/green-deal-energy-company-obligation-eco-and-insulation-levels-in-great-britain-quarterly-report-to-september-2014" TargetMode="External"/><Relationship Id="rId65" Type="http://schemas.openxmlformats.org/officeDocument/2006/relationships/hyperlink" Target="https://www.gov.uk/government/statistics/green-deal-energy-company-obligation-eco-and-insulation-levels-in-great-britain-quarterly-report-to-september-2014" TargetMode="External"/><Relationship Id="rId73" Type="http://schemas.openxmlformats.org/officeDocument/2006/relationships/image" Target="media/image13.emf"/><Relationship Id="rId78" Type="http://schemas.openxmlformats.org/officeDocument/2006/relationships/hyperlink" Target="https://www.gov.uk/government/publications/green-deal-energy-company-obligation-eco-and-insulation-levels-in-great-britain-quarterly-report-to-september-2014" TargetMode="External"/><Relationship Id="rId81" Type="http://schemas.openxmlformats.org/officeDocument/2006/relationships/hyperlink" Target="https://www.gov.uk/government/news/govt-action-to-help-hardworking-people-with-energy-bills" TargetMode="External"/><Relationship Id="rId86" Type="http://schemas.openxmlformats.org/officeDocument/2006/relationships/hyperlink" Target="http://www.energysavingtrust.org.uk/green-homes-cashback-summary" TargetMode="External"/><Relationship Id="rId94" Type="http://schemas.openxmlformats.org/officeDocument/2006/relationships/hyperlink" Target="https://www.gov.uk/government/publications/domestic-green-deal-and-eco-statistics-methodology-note" TargetMode="External"/><Relationship Id="rId99" Type="http://schemas.openxmlformats.org/officeDocument/2006/relationships/header" Target="header7.xml"/><Relationship Id="rId10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nationalarchives.gov.uk/doc/open-government-licence/" TargetMode="External"/><Relationship Id="rId39" Type="http://schemas.openxmlformats.org/officeDocument/2006/relationships/hyperlink" Target="https://www.gov.uk/government/uploads/system/uploads/attachment_data/file/342178/The_Future_of_the_Energy_Company_Obligation_Government_Response.pdf" TargetMode="External"/><Relationship Id="rId34" Type="http://schemas.openxmlformats.org/officeDocument/2006/relationships/hyperlink" Target="https://www.gov.uk/government/policies/helping-households-to-cut-their-energy-bills/supporting-pages/energy-companies-obligation-eco" TargetMode="External"/><Relationship Id="rId50" Type="http://schemas.openxmlformats.org/officeDocument/2006/relationships/hyperlink" Target="https://www.gov.uk/government/statistics/green-deal-energy-company-obligation-eco-and-insulation-levels-in-great-britain-quarterly-report-to-september-2014" TargetMode="External"/><Relationship Id="rId55" Type="http://schemas.openxmlformats.org/officeDocument/2006/relationships/hyperlink" Target="https://www.gov.uk/government/statistics/green-deal-energy-company-obligation-eco-and-insulation-levels-in-great-britain-quarterly-report-to-september-2014" TargetMode="External"/><Relationship Id="rId76" Type="http://schemas.openxmlformats.org/officeDocument/2006/relationships/hyperlink" Target="https://www.gov.uk/government/publications/green-deal-energy-company-obligation-eco-and-insulation-levels-in-great-britain-quarterly-report-to-september-2014" TargetMode="External"/><Relationship Id="rId97" Type="http://schemas.openxmlformats.org/officeDocument/2006/relationships/hyperlink" Target="https://www.gov.uk/government/statistical-data-sets/sub-regional-feed-in-tariffs-confirmed-on-the-cfr-statistics" TargetMode="External"/><Relationship Id="rId104" Type="http://schemas.openxmlformats.org/officeDocument/2006/relationships/header" Target="header11.xml"/></Relationships>
</file>

<file path=word/_rels/footnotes.xml.rels><?xml version="1.0" encoding="UTF-8" standalone="yes"?>
<Relationships xmlns="http://schemas.openxmlformats.org/package/2006/relationships"><Relationship Id="rId8" Type="http://schemas.openxmlformats.org/officeDocument/2006/relationships/hyperlink" Target="http://www.energysavingtrust.org.uk/green-homes-cashback-statistics" TargetMode="External"/><Relationship Id="rId13" Type="http://schemas.openxmlformats.org/officeDocument/2006/relationships/hyperlink" Target="https://www.ofgem.gov.uk/environmental-programmes/energy-companies-obligation-eco/previous-energy-efficiency-schemes" TargetMode="External"/><Relationship Id="rId18" Type="http://schemas.openxmlformats.org/officeDocument/2006/relationships/hyperlink" Target="https://www.gov.uk/government/uploads/system/uploads/attachment_data/file/48433/5620-review-of-the-number-of-cavity-walls-in-great-brit.pdf" TargetMode="External"/><Relationship Id="rId3" Type="http://schemas.openxmlformats.org/officeDocument/2006/relationships/hyperlink" Target="https://www.gov.uk/government/uploads/system/uploads/attachment_data/file/284648/English_Housing_Survey_Headline_Report_2012-13.pdf" TargetMode="External"/><Relationship Id="rId7" Type="http://schemas.openxmlformats.org/officeDocument/2006/relationships/hyperlink" Target="http://www.energysavingtrust.org.uk/scotland/domestic/improving-my-home/green-homes-cashback-scheme" TargetMode="External"/><Relationship Id="rId12" Type="http://schemas.openxmlformats.org/officeDocument/2006/relationships/hyperlink" Target="https://www.gov.uk/government/collections/green-deal-assessments-research" TargetMode="External"/><Relationship Id="rId17" Type="http://schemas.openxmlformats.org/officeDocument/2006/relationships/hyperlink" Target="https://www.gov.uk/government/policies/helping-households-to-cut-their-energy-bills/supporting-pages/energy-companies-obligation-eco" TargetMode="External"/><Relationship Id="rId2" Type="http://schemas.openxmlformats.org/officeDocument/2006/relationships/hyperlink" Target="https://www.gov.uk/government/statistics/green-deal-and-energy-company-obligation-eco-monthly-statistics-november-2014" TargetMode="External"/><Relationship Id="rId16" Type="http://schemas.openxmlformats.org/officeDocument/2006/relationships/hyperlink" Target="https://www.gov.uk/green-deal-energy-saving-measures" TargetMode="External"/><Relationship Id="rId20" Type="http://schemas.openxmlformats.org/officeDocument/2006/relationships/hyperlink" Target="https://www.gov.uk/government/uploads/system/uploads/attachment_data/file/43087/6425-smart-metering-equipment-technical-specifications-.pdf" TargetMode="External"/><Relationship Id="rId1" Type="http://schemas.openxmlformats.org/officeDocument/2006/relationships/hyperlink" Target="https://www.gov.uk/government/publications/decc-business-plan-quarterly-data-summary-indicators-and-other-data-sets" TargetMode="External"/><Relationship Id="rId6" Type="http://schemas.openxmlformats.org/officeDocument/2006/relationships/hyperlink" Target="https://www.gov.uk/government/statistics/sub-national-estimates-of-households-not-connected-to-the-gas-network" TargetMode="External"/><Relationship Id="rId11" Type="http://schemas.openxmlformats.org/officeDocument/2006/relationships/hyperlink" Target="https://www.gov.uk/government/statistics/fuel-poverty-detailed-tables-2012" TargetMode="External"/><Relationship Id="rId5" Type="http://schemas.openxmlformats.org/officeDocument/2006/relationships/hyperlink" Target="https://www.gov.uk/government/statistical-data-sets/live-tables-on-dwelling-stock-including-vacants" TargetMode="External"/><Relationship Id="rId15" Type="http://schemas.openxmlformats.org/officeDocument/2006/relationships/hyperlink" Target="https://www.gov.uk/government/policies/helping-households-to-cut-their-energy-bills/supporting-pages/warm-front-scheme" TargetMode="External"/><Relationship Id="rId10" Type="http://schemas.openxmlformats.org/officeDocument/2006/relationships/hyperlink" Target="https://www.gov.uk/government/statistical-data-sets/live-tables-on-dwelling-stock-including-vacants" TargetMode="External"/><Relationship Id="rId19" Type="http://schemas.openxmlformats.org/officeDocument/2006/relationships/hyperlink" Target="https://www.gov.uk/standard-assessment-procedure" TargetMode="External"/><Relationship Id="rId4" Type="http://schemas.openxmlformats.org/officeDocument/2006/relationships/hyperlink" Target="https://www.gov.uk/government/uploads/system/uploads/attachment_data/file/284648/English_Housing_Survey_Headline_Report_2012-13.pdf" TargetMode="External"/><Relationship Id="rId9" Type="http://schemas.openxmlformats.org/officeDocument/2006/relationships/hyperlink" Target="http://www.energysavingtrust.org.uk/scotland/Take-action/Find-a-grant/Green-Homes-Cashback-Scheme" TargetMode="External"/><Relationship Id="rId14" Type="http://schemas.openxmlformats.org/officeDocument/2006/relationships/hyperlink" Target="https://www.ofgem.gov.uk/environmental-programmes/energy-companies-obligation-eco/previous-energy-efficiency-schemes"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42F145830E9C4DA7DD0FA0AD8C4B35" ma:contentTypeVersion="1" ma:contentTypeDescription="Create a new document." ma:contentTypeScope="" ma:versionID="d70ea42bf5a6953fb7cdec4cf43ec2f2">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560B3-DB9E-43B5-A901-DA1F5C8CA3C3}">
  <ds:schemaRefs>
    <ds:schemaRef ds:uri="http://schemas.microsoft.com/sharepoint/v3/contenttype/forms"/>
  </ds:schemaRefs>
</ds:datastoreItem>
</file>

<file path=customXml/itemProps2.xml><?xml version="1.0" encoding="utf-8"?>
<ds:datastoreItem xmlns:ds="http://schemas.openxmlformats.org/officeDocument/2006/customXml" ds:itemID="{8E7E9D1A-EB46-48E7-B018-66C0D6352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B8C34A-7716-437F-B286-13A6525065DB}">
  <ds:schemaRefs>
    <ds:schemaRef ds:uri="http://purl.org/dc/terms/"/>
    <ds:schemaRef ds:uri="http://schemas.microsoft.com/office/2006/documentManagement/types"/>
    <ds:schemaRef ds:uri="http://schemas.microsoft.com/office/2006/metadata/properties"/>
    <ds:schemaRef ds:uri="http://www.w3.org/XML/1998/namespace"/>
    <ds:schemaRef ds:uri="http://purl.org/dc/elements/1.1/"/>
    <ds:schemaRef ds:uri="http://schemas.microsoft.com/sharepoint/v3"/>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96171186-88A0-42A1-92B8-BC8EB0989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52</Pages>
  <Words>15291</Words>
  <Characters>95839</Characters>
  <Application>Microsoft Office Word</Application>
  <DocSecurity>0</DocSecurity>
  <Lines>798</Lines>
  <Paragraphs>221</Paragraphs>
  <ScaleCrop>false</ScaleCrop>
  <HeadingPairs>
    <vt:vector size="2" baseType="variant">
      <vt:variant>
        <vt:lpstr>Title</vt:lpstr>
      </vt:variant>
      <vt:variant>
        <vt:i4>1</vt:i4>
      </vt:variant>
    </vt:vector>
  </HeadingPairs>
  <TitlesOfParts>
    <vt:vector size="1" baseType="lpstr">
      <vt:lpstr>DECC Title</vt:lpstr>
    </vt:vector>
  </TitlesOfParts>
  <Company>Department of Energy &amp; Climate Change</Company>
  <LinksUpToDate>false</LinksUpToDate>
  <CharactersWithSpaces>110909</CharactersWithSpaces>
  <SharedDoc>false</SharedDoc>
  <HyperlinkBase/>
  <HLinks>
    <vt:vector size="234" baseType="variant">
      <vt:variant>
        <vt:i4>6684797</vt:i4>
      </vt:variant>
      <vt:variant>
        <vt:i4>252</vt:i4>
      </vt:variant>
      <vt:variant>
        <vt:i4>0</vt:i4>
      </vt:variant>
      <vt:variant>
        <vt:i4>5</vt:i4>
      </vt:variant>
      <vt:variant>
        <vt:lpwstr>http://www.gov.uk/decc</vt:lpwstr>
      </vt:variant>
      <vt:variant>
        <vt:lpwstr/>
      </vt:variant>
      <vt:variant>
        <vt:i4>5046346</vt:i4>
      </vt:variant>
      <vt:variant>
        <vt:i4>249</vt:i4>
      </vt:variant>
      <vt:variant>
        <vt:i4>0</vt:i4>
      </vt:variant>
      <vt:variant>
        <vt:i4>5</vt:i4>
      </vt:variant>
      <vt:variant>
        <vt:lpwstr>https://www.gov.uk/government/organisations/department-of-energy-climate-change/about/statistics</vt:lpwstr>
      </vt:variant>
      <vt:variant>
        <vt:lpwstr/>
      </vt:variant>
      <vt:variant>
        <vt:i4>6357002</vt:i4>
      </vt:variant>
      <vt:variant>
        <vt:i4>246</vt:i4>
      </vt:variant>
      <vt:variant>
        <vt:i4>0</vt:i4>
      </vt:variant>
      <vt:variant>
        <vt:i4>5</vt:i4>
      </vt:variant>
      <vt:variant>
        <vt:lpwstr>mailto:EnergyEfficiency.Stats@decc.gsi.gov.uk</vt:lpwstr>
      </vt:variant>
      <vt:variant>
        <vt:lpwstr/>
      </vt:variant>
      <vt:variant>
        <vt:i4>3735652</vt:i4>
      </vt:variant>
      <vt:variant>
        <vt:i4>243</vt:i4>
      </vt:variant>
      <vt:variant>
        <vt:i4>0</vt:i4>
      </vt:variant>
      <vt:variant>
        <vt:i4>5</vt:i4>
      </vt:variant>
      <vt:variant>
        <vt:lpwstr>https://www.gov.uk/government/publications/domestic-green-deal-and-eco-statistics-methodology-note</vt:lpwstr>
      </vt:variant>
      <vt:variant>
        <vt:lpwstr/>
      </vt:variant>
      <vt:variant>
        <vt:i4>7667834</vt:i4>
      </vt:variant>
      <vt:variant>
        <vt:i4>240</vt:i4>
      </vt:variant>
      <vt:variant>
        <vt:i4>0</vt:i4>
      </vt:variant>
      <vt:variant>
        <vt:i4>5</vt:i4>
      </vt:variant>
      <vt:variant>
        <vt:lpwstr>https://gdcashback.decc.gov.uk/</vt:lpwstr>
      </vt:variant>
      <vt:variant>
        <vt:lpwstr/>
      </vt:variant>
      <vt:variant>
        <vt:i4>1048645</vt:i4>
      </vt:variant>
      <vt:variant>
        <vt:i4>237</vt:i4>
      </vt:variant>
      <vt:variant>
        <vt:i4>0</vt:i4>
      </vt:variant>
      <vt:variant>
        <vt:i4>5</vt:i4>
      </vt:variant>
      <vt:variant>
        <vt:lpwstr>https://www.gov.uk/energy-companies-obligation-brokerage</vt:lpwstr>
      </vt:variant>
      <vt:variant>
        <vt:lpwstr/>
      </vt:variant>
      <vt:variant>
        <vt:i4>1507356</vt:i4>
      </vt:variant>
      <vt:variant>
        <vt:i4>234</vt:i4>
      </vt:variant>
      <vt:variant>
        <vt:i4>0</vt:i4>
      </vt:variant>
      <vt:variant>
        <vt:i4>5</vt:i4>
      </vt:variant>
      <vt:variant>
        <vt:lpwstr>http://www.energysavingtrust.org.uk/scotland/Take-action/Find-a-grant/Green-Homes-Cashback-Scheme</vt:lpwstr>
      </vt:variant>
      <vt:variant>
        <vt:lpwstr/>
      </vt:variant>
      <vt:variant>
        <vt:i4>6488183</vt:i4>
      </vt:variant>
      <vt:variant>
        <vt:i4>231</vt:i4>
      </vt:variant>
      <vt:variant>
        <vt:i4>0</vt:i4>
      </vt:variant>
      <vt:variant>
        <vt:i4>5</vt:i4>
      </vt:variant>
      <vt:variant>
        <vt:lpwstr>http://www.gov.uk/greendealcashback</vt:lpwstr>
      </vt:variant>
      <vt:variant>
        <vt:lpwstr/>
      </vt:variant>
      <vt:variant>
        <vt:i4>1507346</vt:i4>
      </vt:variant>
      <vt:variant>
        <vt:i4>228</vt:i4>
      </vt:variant>
      <vt:variant>
        <vt:i4>0</vt:i4>
      </vt:variant>
      <vt:variant>
        <vt:i4>5</vt:i4>
      </vt:variant>
      <vt:variant>
        <vt:lpwstr>https://www.gov.uk/government/policies/helping-households-to-cut-their-energy-bills/supporting-pages/energy-companies-obligation-eco</vt:lpwstr>
      </vt:variant>
      <vt:variant>
        <vt:lpwstr/>
      </vt:variant>
      <vt:variant>
        <vt:i4>1179649</vt:i4>
      </vt:variant>
      <vt:variant>
        <vt:i4>225</vt:i4>
      </vt:variant>
      <vt:variant>
        <vt:i4>0</vt:i4>
      </vt:variant>
      <vt:variant>
        <vt:i4>5</vt:i4>
      </vt:variant>
      <vt:variant>
        <vt:lpwstr>https://www.gov.uk/green-deal-energy-saving-measures</vt:lpwstr>
      </vt:variant>
      <vt:variant>
        <vt:lpwstr/>
      </vt:variant>
      <vt:variant>
        <vt:i4>3473513</vt:i4>
      </vt:variant>
      <vt:variant>
        <vt:i4>222</vt:i4>
      </vt:variant>
      <vt:variant>
        <vt:i4>0</vt:i4>
      </vt:variant>
      <vt:variant>
        <vt:i4>5</vt:i4>
      </vt:variant>
      <vt:variant>
        <vt:lpwstr>http://www.ofgem.gov.uk/Sustainability/Environment/ECO/Info-for-suppliers/Pages/index.aspx</vt:lpwstr>
      </vt:variant>
      <vt:variant>
        <vt:lpwstr/>
      </vt:variant>
      <vt:variant>
        <vt:i4>3735652</vt:i4>
      </vt:variant>
      <vt:variant>
        <vt:i4>219</vt:i4>
      </vt:variant>
      <vt:variant>
        <vt:i4>0</vt:i4>
      </vt:variant>
      <vt:variant>
        <vt:i4>5</vt:i4>
      </vt:variant>
      <vt:variant>
        <vt:lpwstr>https://www.gov.uk/government/publications/domestic-green-deal-and-eco-statistics-methodology-note</vt:lpwstr>
      </vt:variant>
      <vt:variant>
        <vt:lpwstr/>
      </vt:variant>
      <vt:variant>
        <vt:i4>5963781</vt:i4>
      </vt:variant>
      <vt:variant>
        <vt:i4>216</vt:i4>
      </vt:variant>
      <vt:variant>
        <vt:i4>0</vt:i4>
      </vt:variant>
      <vt:variant>
        <vt:i4>5</vt:i4>
      </vt:variant>
      <vt:variant>
        <vt:lpwstr>http://www.greendealorb.co.uk/consumersearch</vt:lpwstr>
      </vt:variant>
      <vt:variant>
        <vt:lpwstr/>
      </vt:variant>
      <vt:variant>
        <vt:i4>2556009</vt:i4>
      </vt:variant>
      <vt:variant>
        <vt:i4>213</vt:i4>
      </vt:variant>
      <vt:variant>
        <vt:i4>0</vt:i4>
      </vt:variant>
      <vt:variant>
        <vt:i4>5</vt:i4>
      </vt:variant>
      <vt:variant>
        <vt:lpwstr>http://www.greendealorb.co.uk/</vt:lpwstr>
      </vt:variant>
      <vt:variant>
        <vt:lpwstr/>
      </vt:variant>
      <vt:variant>
        <vt:i4>4915281</vt:i4>
      </vt:variant>
      <vt:variant>
        <vt:i4>210</vt:i4>
      </vt:variant>
      <vt:variant>
        <vt:i4>0</vt:i4>
      </vt:variant>
      <vt:variant>
        <vt:i4>5</vt:i4>
      </vt:variant>
      <vt:variant>
        <vt:lpwstr>https://www.gov.uk/government/publications/green-deal-and-energy-company-obligation-eco-january-june-2013-statistics</vt:lpwstr>
      </vt:variant>
      <vt:variant>
        <vt:lpwstr/>
      </vt:variant>
      <vt:variant>
        <vt:i4>1048645</vt:i4>
      </vt:variant>
      <vt:variant>
        <vt:i4>201</vt:i4>
      </vt:variant>
      <vt:variant>
        <vt:i4>0</vt:i4>
      </vt:variant>
      <vt:variant>
        <vt:i4>5</vt:i4>
      </vt:variant>
      <vt:variant>
        <vt:lpwstr>https://www.gov.uk/energy-companies-obligation-brokerage</vt:lpwstr>
      </vt:variant>
      <vt:variant>
        <vt:lpwstr/>
      </vt:variant>
      <vt:variant>
        <vt:i4>1048645</vt:i4>
      </vt:variant>
      <vt:variant>
        <vt:i4>192</vt:i4>
      </vt:variant>
      <vt:variant>
        <vt:i4>0</vt:i4>
      </vt:variant>
      <vt:variant>
        <vt:i4>5</vt:i4>
      </vt:variant>
      <vt:variant>
        <vt:lpwstr>https://www.gov.uk/energy-companies-obligation-brokerage</vt:lpwstr>
      </vt:variant>
      <vt:variant>
        <vt:lpwstr/>
      </vt:variant>
      <vt:variant>
        <vt:i4>393222</vt:i4>
      </vt:variant>
      <vt:variant>
        <vt:i4>189</vt:i4>
      </vt:variant>
      <vt:variant>
        <vt:i4>0</vt:i4>
      </vt:variant>
      <vt:variant>
        <vt:i4>5</vt:i4>
      </vt:variant>
      <vt:variant>
        <vt:lpwstr>https://www.gov.uk/government/publications/green-deal-assessment-survey-wave-2-summary-report</vt:lpwstr>
      </vt:variant>
      <vt:variant>
        <vt:lpwstr/>
      </vt:variant>
      <vt:variant>
        <vt:i4>7471231</vt:i4>
      </vt:variant>
      <vt:variant>
        <vt:i4>180</vt:i4>
      </vt:variant>
      <vt:variant>
        <vt:i4>0</vt:i4>
      </vt:variant>
      <vt:variant>
        <vt:i4>5</vt:i4>
      </vt:variant>
      <vt:variant>
        <vt:lpwstr/>
      </vt:variant>
      <vt:variant>
        <vt:lpwstr>ECOSUB</vt:lpwstr>
      </vt:variant>
      <vt:variant>
        <vt:i4>7471231</vt:i4>
      </vt:variant>
      <vt:variant>
        <vt:i4>171</vt:i4>
      </vt:variant>
      <vt:variant>
        <vt:i4>0</vt:i4>
      </vt:variant>
      <vt:variant>
        <vt:i4>5</vt:i4>
      </vt:variant>
      <vt:variant>
        <vt:lpwstr/>
      </vt:variant>
      <vt:variant>
        <vt:lpwstr>ECOSUB</vt:lpwstr>
      </vt:variant>
      <vt:variant>
        <vt:i4>1507346</vt:i4>
      </vt:variant>
      <vt:variant>
        <vt:i4>168</vt:i4>
      </vt:variant>
      <vt:variant>
        <vt:i4>0</vt:i4>
      </vt:variant>
      <vt:variant>
        <vt:i4>5</vt:i4>
      </vt:variant>
      <vt:variant>
        <vt:lpwstr>https://www.gov.uk/government/policies/helping-households-to-cut-their-energy-bills/supporting-pages/energy-companies-obligation-eco</vt:lpwstr>
      </vt:variant>
      <vt:variant>
        <vt:lpwstr/>
      </vt:variant>
      <vt:variant>
        <vt:i4>6488183</vt:i4>
      </vt:variant>
      <vt:variant>
        <vt:i4>159</vt:i4>
      </vt:variant>
      <vt:variant>
        <vt:i4>0</vt:i4>
      </vt:variant>
      <vt:variant>
        <vt:i4>5</vt:i4>
      </vt:variant>
      <vt:variant>
        <vt:lpwstr>http://www.gov.uk/greendealcashback</vt:lpwstr>
      </vt:variant>
      <vt:variant>
        <vt:lpwstr/>
      </vt:variant>
      <vt:variant>
        <vt:i4>2818166</vt:i4>
      </vt:variant>
      <vt:variant>
        <vt:i4>144</vt:i4>
      </vt:variant>
      <vt:variant>
        <vt:i4>0</vt:i4>
      </vt:variant>
      <vt:variant>
        <vt:i4>5</vt:i4>
      </vt:variant>
      <vt:variant>
        <vt:lpwstr/>
      </vt:variant>
      <vt:variant>
        <vt:lpwstr>Chart1</vt:lpwstr>
      </vt:variant>
      <vt:variant>
        <vt:i4>4194331</vt:i4>
      </vt:variant>
      <vt:variant>
        <vt:i4>141</vt:i4>
      </vt:variant>
      <vt:variant>
        <vt:i4>0</vt:i4>
      </vt:variant>
      <vt:variant>
        <vt:i4>5</vt:i4>
      </vt:variant>
      <vt:variant>
        <vt:lpwstr>https://www.gov.uk/getting-a-green-deal-information-for-householders-and-landlords</vt:lpwstr>
      </vt:variant>
      <vt:variant>
        <vt:lpwstr>getting-your-home-assessed</vt:lpwstr>
      </vt:variant>
      <vt:variant>
        <vt:i4>4915281</vt:i4>
      </vt:variant>
      <vt:variant>
        <vt:i4>138</vt:i4>
      </vt:variant>
      <vt:variant>
        <vt:i4>0</vt:i4>
      </vt:variant>
      <vt:variant>
        <vt:i4>5</vt:i4>
      </vt:variant>
      <vt:variant>
        <vt:lpwstr>https://www.gov.uk/government/publications/green-deal-and-energy-company-obligation-eco-january-june-2013-statistics</vt:lpwstr>
      </vt:variant>
      <vt:variant>
        <vt:lpwstr/>
      </vt:variant>
      <vt:variant>
        <vt:i4>4915281</vt:i4>
      </vt:variant>
      <vt:variant>
        <vt:i4>135</vt:i4>
      </vt:variant>
      <vt:variant>
        <vt:i4>0</vt:i4>
      </vt:variant>
      <vt:variant>
        <vt:i4>5</vt:i4>
      </vt:variant>
      <vt:variant>
        <vt:lpwstr>https://www.gov.uk/government/publications/green-deal-and-energy-company-obligation-eco-january-june-2013-statistics</vt:lpwstr>
      </vt:variant>
      <vt:variant>
        <vt:lpwstr/>
      </vt:variant>
      <vt:variant>
        <vt:i4>6881399</vt:i4>
      </vt:variant>
      <vt:variant>
        <vt:i4>132</vt:i4>
      </vt:variant>
      <vt:variant>
        <vt:i4>0</vt:i4>
      </vt:variant>
      <vt:variant>
        <vt:i4>5</vt:i4>
      </vt:variant>
      <vt:variant>
        <vt:lpwstr/>
      </vt:variant>
      <vt:variant>
        <vt:lpwstr>AnnexB</vt:lpwstr>
      </vt:variant>
      <vt:variant>
        <vt:i4>1441849</vt:i4>
      </vt:variant>
      <vt:variant>
        <vt:i4>125</vt:i4>
      </vt:variant>
      <vt:variant>
        <vt:i4>0</vt:i4>
      </vt:variant>
      <vt:variant>
        <vt:i4>5</vt:i4>
      </vt:variant>
      <vt:variant>
        <vt:lpwstr/>
      </vt:variant>
      <vt:variant>
        <vt:lpwstr>_Toc372290145</vt:lpwstr>
      </vt:variant>
      <vt:variant>
        <vt:i4>1441849</vt:i4>
      </vt:variant>
      <vt:variant>
        <vt:i4>119</vt:i4>
      </vt:variant>
      <vt:variant>
        <vt:i4>0</vt:i4>
      </vt:variant>
      <vt:variant>
        <vt:i4>5</vt:i4>
      </vt:variant>
      <vt:variant>
        <vt:lpwstr/>
      </vt:variant>
      <vt:variant>
        <vt:lpwstr>_Toc372290144</vt:lpwstr>
      </vt:variant>
      <vt:variant>
        <vt:i4>1441849</vt:i4>
      </vt:variant>
      <vt:variant>
        <vt:i4>113</vt:i4>
      </vt:variant>
      <vt:variant>
        <vt:i4>0</vt:i4>
      </vt:variant>
      <vt:variant>
        <vt:i4>5</vt:i4>
      </vt:variant>
      <vt:variant>
        <vt:lpwstr/>
      </vt:variant>
      <vt:variant>
        <vt:lpwstr>_Toc372290143</vt:lpwstr>
      </vt:variant>
      <vt:variant>
        <vt:i4>1441849</vt:i4>
      </vt:variant>
      <vt:variant>
        <vt:i4>107</vt:i4>
      </vt:variant>
      <vt:variant>
        <vt:i4>0</vt:i4>
      </vt:variant>
      <vt:variant>
        <vt:i4>5</vt:i4>
      </vt:variant>
      <vt:variant>
        <vt:lpwstr/>
      </vt:variant>
      <vt:variant>
        <vt:lpwstr>_Toc372290142</vt:lpwstr>
      </vt:variant>
      <vt:variant>
        <vt:i4>1441849</vt:i4>
      </vt:variant>
      <vt:variant>
        <vt:i4>101</vt:i4>
      </vt:variant>
      <vt:variant>
        <vt:i4>0</vt:i4>
      </vt:variant>
      <vt:variant>
        <vt:i4>5</vt:i4>
      </vt:variant>
      <vt:variant>
        <vt:lpwstr/>
      </vt:variant>
      <vt:variant>
        <vt:lpwstr>_Toc372290141</vt:lpwstr>
      </vt:variant>
      <vt:variant>
        <vt:i4>1441849</vt:i4>
      </vt:variant>
      <vt:variant>
        <vt:i4>95</vt:i4>
      </vt:variant>
      <vt:variant>
        <vt:i4>0</vt:i4>
      </vt:variant>
      <vt:variant>
        <vt:i4>5</vt:i4>
      </vt:variant>
      <vt:variant>
        <vt:lpwstr/>
      </vt:variant>
      <vt:variant>
        <vt:lpwstr>_Toc372290140</vt:lpwstr>
      </vt:variant>
      <vt:variant>
        <vt:i4>1114169</vt:i4>
      </vt:variant>
      <vt:variant>
        <vt:i4>89</vt:i4>
      </vt:variant>
      <vt:variant>
        <vt:i4>0</vt:i4>
      </vt:variant>
      <vt:variant>
        <vt:i4>5</vt:i4>
      </vt:variant>
      <vt:variant>
        <vt:lpwstr/>
      </vt:variant>
      <vt:variant>
        <vt:lpwstr>_Toc372290139</vt:lpwstr>
      </vt:variant>
      <vt:variant>
        <vt:i4>5111822</vt:i4>
      </vt:variant>
      <vt:variant>
        <vt:i4>9</vt:i4>
      </vt:variant>
      <vt:variant>
        <vt:i4>0</vt:i4>
      </vt:variant>
      <vt:variant>
        <vt:i4>5</vt:i4>
      </vt:variant>
      <vt:variant>
        <vt:lpwstr>https://www.gov.uk/government/collections/green-deal-and-energy-company-obligation-eco-statistics</vt:lpwstr>
      </vt:variant>
      <vt:variant>
        <vt:lpwstr/>
      </vt:variant>
      <vt:variant>
        <vt:i4>6357002</vt:i4>
      </vt:variant>
      <vt:variant>
        <vt:i4>6</vt:i4>
      </vt:variant>
      <vt:variant>
        <vt:i4>0</vt:i4>
      </vt:variant>
      <vt:variant>
        <vt:i4>5</vt:i4>
      </vt:variant>
      <vt:variant>
        <vt:lpwstr>mailto:EnergyEfficiency.Stats@decc.gsi.gov.uk</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6553714</vt:i4>
      </vt:variant>
      <vt:variant>
        <vt:i4>0</vt:i4>
      </vt:variant>
      <vt:variant>
        <vt:i4>0</vt:i4>
      </vt:variant>
      <vt:variant>
        <vt:i4>5</vt:i4>
      </vt:variant>
      <vt:variant>
        <vt:lpwstr>http://www.nationalarchives.gov.uk/doc/open-government-licence/</vt:lpwstr>
      </vt:variant>
      <vt:variant>
        <vt:lpwstr/>
      </vt:variant>
      <vt:variant>
        <vt:i4>3407925</vt:i4>
      </vt:variant>
      <vt:variant>
        <vt:i4>0</vt:i4>
      </vt:variant>
      <vt:variant>
        <vt:i4>0</vt:i4>
      </vt:variant>
      <vt:variant>
        <vt:i4>5</vt:i4>
      </vt:variant>
      <vt:variant>
        <vt:lpwstr>https://www.ofgem.gov.uk/ofgem-publications/59029/energy-companies-obligation-eco-list-measures-and-additional-information.pdf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DECC Title</dc:title>
  <dc:creator>Antoniades Peter (Green Deal)</dc:creator>
  <cp:lastModifiedBy>Pini Claire (Statistics)</cp:lastModifiedBy>
  <cp:revision>15</cp:revision>
  <cp:lastPrinted>2014-12-16T11:49:00Z</cp:lastPrinted>
  <dcterms:created xsi:type="dcterms:W3CDTF">2014-12-16T11:43:00Z</dcterms:created>
  <dcterms:modified xsi:type="dcterms:W3CDTF">2014-12-16T18:08:00Z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0x010100DA42F145830E9C4DA7DD0FA0AD8C4B35</vt:lpwstr>
  </property>
</Properties>
</file>