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01" w:rsidRPr="00F23B01" w:rsidRDefault="00F23B01" w:rsidP="00F23B01">
      <w:pPr>
        <w:spacing w:after="0" w:line="240" w:lineRule="auto"/>
      </w:pPr>
    </w:p>
    <w:p w:rsidR="00122C12" w:rsidRPr="00122C12" w:rsidRDefault="00122C12" w:rsidP="00122C12">
      <w:pPr>
        <w:spacing w:after="0" w:line="240" w:lineRule="auto"/>
        <w:jc w:val="center"/>
        <w:rPr>
          <w:b/>
        </w:rPr>
      </w:pPr>
      <w:r w:rsidRPr="00122C12">
        <w:rPr>
          <w:b/>
        </w:rPr>
        <w:t xml:space="preserve">FCO SPF </w:t>
      </w:r>
      <w:r>
        <w:rPr>
          <w:b/>
        </w:rPr>
        <w:t>PROJECT EVALUATION</w:t>
      </w:r>
    </w:p>
    <w:p w:rsidR="007C118F" w:rsidRPr="004404F0" w:rsidRDefault="007C118F" w:rsidP="001C4482">
      <w:pPr>
        <w:spacing w:after="0" w:line="240" w:lineRule="auto"/>
        <w:rPr>
          <w:b/>
          <w:sz w:val="14"/>
          <w:u w:val="single"/>
        </w:rPr>
      </w:pPr>
    </w:p>
    <w:p w:rsidR="00BE4167" w:rsidRPr="004404F0" w:rsidRDefault="00BE4167" w:rsidP="001C4482">
      <w:pPr>
        <w:spacing w:after="0" w:line="240" w:lineRule="auto"/>
        <w:rPr>
          <w:sz w:val="14"/>
        </w:rPr>
      </w:pPr>
    </w:p>
    <w:p w:rsidR="00BE4167" w:rsidRPr="00CA1C1C" w:rsidRDefault="00824B59" w:rsidP="00EB7746">
      <w:pPr>
        <w:pStyle w:val="ListParagraph"/>
        <w:numPr>
          <w:ilvl w:val="0"/>
          <w:numId w:val="1"/>
        </w:numPr>
        <w:spacing w:after="0" w:line="240" w:lineRule="auto"/>
        <w:ind w:left="426" w:hanging="426"/>
        <w:rPr>
          <w:b/>
        </w:rPr>
      </w:pPr>
      <w:r w:rsidRPr="00CA1C1C">
        <w:rPr>
          <w:b/>
        </w:rPr>
        <w:t>Project Details</w:t>
      </w:r>
      <w:r w:rsidR="007C118F" w:rsidRPr="00CA1C1C">
        <w:rPr>
          <w:b/>
        </w:rPr>
        <w:t xml:space="preserve"> </w:t>
      </w:r>
    </w:p>
    <w:tbl>
      <w:tblPr>
        <w:tblStyle w:val="TableGrid"/>
        <w:tblW w:w="0" w:type="auto"/>
        <w:tblLook w:val="04A0"/>
      </w:tblPr>
      <w:tblGrid>
        <w:gridCol w:w="3510"/>
        <w:gridCol w:w="5732"/>
      </w:tblGrid>
      <w:tr w:rsidR="00C6015B" w:rsidTr="0043665C">
        <w:tc>
          <w:tcPr>
            <w:tcW w:w="3510" w:type="dxa"/>
          </w:tcPr>
          <w:p w:rsidR="009A2B69" w:rsidRDefault="00C6015B" w:rsidP="00CA1C1C">
            <w:r>
              <w:t xml:space="preserve">Project Number </w:t>
            </w:r>
          </w:p>
        </w:tc>
        <w:tc>
          <w:tcPr>
            <w:tcW w:w="5732" w:type="dxa"/>
          </w:tcPr>
          <w:p w:rsidR="00C6015B" w:rsidRDefault="00CA1C1C" w:rsidP="00CA1C1C">
            <w:r>
              <w:t>GB-3-</w:t>
            </w:r>
            <w:r w:rsidR="00C82E29">
              <w:t>PHR 331301</w:t>
            </w:r>
            <w:r>
              <w:t xml:space="preserve"> BUR</w:t>
            </w:r>
          </w:p>
        </w:tc>
      </w:tr>
      <w:tr w:rsidR="00C6015B" w:rsidTr="0043665C">
        <w:tc>
          <w:tcPr>
            <w:tcW w:w="3510" w:type="dxa"/>
          </w:tcPr>
          <w:p w:rsidR="00C6015B" w:rsidRDefault="00C6015B" w:rsidP="00C82E29">
            <w:pPr>
              <w:spacing w:before="60" w:after="60"/>
            </w:pPr>
            <w:r>
              <w:t>Project Title</w:t>
            </w:r>
          </w:p>
          <w:p w:rsidR="00C6015B" w:rsidRDefault="00C6015B" w:rsidP="00C82E29">
            <w:pPr>
              <w:spacing w:before="60" w:after="60"/>
            </w:pPr>
          </w:p>
        </w:tc>
        <w:tc>
          <w:tcPr>
            <w:tcW w:w="5732" w:type="dxa"/>
          </w:tcPr>
          <w:p w:rsidR="00C6015B" w:rsidRDefault="00CA22A5" w:rsidP="00C82E29">
            <w:pPr>
              <w:spacing w:before="60" w:after="60"/>
            </w:pPr>
            <w:r>
              <w:t>RE-ACTIVATE – reintegration and skills development for political prisoners</w:t>
            </w:r>
          </w:p>
        </w:tc>
      </w:tr>
      <w:tr w:rsidR="00C6015B" w:rsidTr="0043665C">
        <w:tc>
          <w:tcPr>
            <w:tcW w:w="3510" w:type="dxa"/>
          </w:tcPr>
          <w:p w:rsidR="00C6015B" w:rsidRDefault="00F23B01" w:rsidP="00C82E29">
            <w:pPr>
              <w:spacing w:before="60" w:after="60"/>
            </w:pPr>
            <w:r>
              <w:t>Project Cost (total cost / cost to FCO if different)</w:t>
            </w:r>
          </w:p>
        </w:tc>
        <w:tc>
          <w:tcPr>
            <w:tcW w:w="5732" w:type="dxa"/>
          </w:tcPr>
          <w:p w:rsidR="00C6015B" w:rsidRDefault="00C82E29" w:rsidP="00C82E29">
            <w:pPr>
              <w:spacing w:before="60" w:after="60"/>
            </w:pPr>
            <w:r>
              <w:t>£ 29,970</w:t>
            </w:r>
          </w:p>
        </w:tc>
      </w:tr>
      <w:tr w:rsidR="00C82E29" w:rsidTr="00C82E29">
        <w:trPr>
          <w:trHeight w:val="454"/>
        </w:trPr>
        <w:tc>
          <w:tcPr>
            <w:tcW w:w="3510" w:type="dxa"/>
            <w:vAlign w:val="center"/>
          </w:tcPr>
          <w:p w:rsidR="00C82E29" w:rsidRDefault="00C82E29" w:rsidP="00C82E29">
            <w:pPr>
              <w:spacing w:before="60" w:after="60"/>
            </w:pPr>
            <w:r>
              <w:t>Project Start/End Dates</w:t>
            </w:r>
          </w:p>
        </w:tc>
        <w:tc>
          <w:tcPr>
            <w:tcW w:w="5732" w:type="dxa"/>
            <w:vAlign w:val="center"/>
          </w:tcPr>
          <w:p w:rsidR="00C82E29" w:rsidRPr="00267262" w:rsidRDefault="00C82E29" w:rsidP="00C82E29">
            <w:pPr>
              <w:spacing w:before="60" w:after="60"/>
            </w:pPr>
            <w:r w:rsidRPr="00267262">
              <w:t>June 12 – February 13</w:t>
            </w:r>
          </w:p>
        </w:tc>
      </w:tr>
      <w:tr w:rsidR="00C82E29" w:rsidTr="00C82E29">
        <w:trPr>
          <w:trHeight w:val="454"/>
        </w:trPr>
        <w:tc>
          <w:tcPr>
            <w:tcW w:w="3510" w:type="dxa"/>
            <w:vAlign w:val="center"/>
          </w:tcPr>
          <w:p w:rsidR="00C82E29" w:rsidRDefault="00C82E29" w:rsidP="00C82E29">
            <w:pPr>
              <w:spacing w:before="60" w:after="60"/>
            </w:pPr>
            <w:r>
              <w:t>Programme</w:t>
            </w:r>
          </w:p>
        </w:tc>
        <w:tc>
          <w:tcPr>
            <w:tcW w:w="5732" w:type="dxa"/>
            <w:vAlign w:val="center"/>
          </w:tcPr>
          <w:p w:rsidR="00C82E29" w:rsidRPr="00267262" w:rsidRDefault="00C82E29" w:rsidP="00C82E29">
            <w:pPr>
              <w:spacing w:before="60" w:after="60"/>
            </w:pPr>
            <w:r w:rsidRPr="00267262">
              <w:t>Human Rights and Democracy</w:t>
            </w:r>
            <w:r>
              <w:t xml:space="preserve"> Programme Fund</w:t>
            </w:r>
          </w:p>
        </w:tc>
      </w:tr>
      <w:tr w:rsidR="00C82E29" w:rsidTr="00C82E29">
        <w:trPr>
          <w:trHeight w:val="454"/>
        </w:trPr>
        <w:tc>
          <w:tcPr>
            <w:tcW w:w="3510" w:type="dxa"/>
            <w:vAlign w:val="center"/>
          </w:tcPr>
          <w:p w:rsidR="00C82E29" w:rsidRDefault="00C82E29" w:rsidP="00C82E29">
            <w:pPr>
              <w:spacing w:before="60" w:after="60"/>
            </w:pPr>
            <w:r>
              <w:t>Country/Countries</w:t>
            </w:r>
          </w:p>
        </w:tc>
        <w:tc>
          <w:tcPr>
            <w:tcW w:w="5732" w:type="dxa"/>
            <w:vAlign w:val="center"/>
          </w:tcPr>
          <w:p w:rsidR="00C82E29" w:rsidRPr="00267262" w:rsidRDefault="00C82E29" w:rsidP="00C82E29">
            <w:pPr>
              <w:spacing w:before="60" w:after="60"/>
            </w:pPr>
            <w:r w:rsidRPr="00267262">
              <w:t>Burma</w:t>
            </w:r>
          </w:p>
        </w:tc>
      </w:tr>
      <w:tr w:rsidR="00C82E29" w:rsidTr="0043665C">
        <w:tc>
          <w:tcPr>
            <w:tcW w:w="3510" w:type="dxa"/>
          </w:tcPr>
          <w:p w:rsidR="00C82E29" w:rsidRDefault="00C82E29" w:rsidP="00C82E29">
            <w:pPr>
              <w:spacing w:before="60" w:after="60"/>
            </w:pPr>
            <w:r>
              <w:t>Official Development Assistance    Y/N</w:t>
            </w:r>
          </w:p>
        </w:tc>
        <w:tc>
          <w:tcPr>
            <w:tcW w:w="5732" w:type="dxa"/>
          </w:tcPr>
          <w:p w:rsidR="00C82E29" w:rsidRPr="00267262" w:rsidRDefault="00C82E29" w:rsidP="00C82E29">
            <w:pPr>
              <w:spacing w:before="60" w:after="60"/>
            </w:pPr>
            <w:r w:rsidRPr="00267262">
              <w:t>Y</w:t>
            </w:r>
          </w:p>
        </w:tc>
      </w:tr>
    </w:tbl>
    <w:p w:rsidR="00C6015B" w:rsidRDefault="00C6015B" w:rsidP="001C4482">
      <w:pPr>
        <w:spacing w:after="0" w:line="240" w:lineRule="auto"/>
      </w:pPr>
    </w:p>
    <w:p w:rsidR="00982CF6" w:rsidRDefault="00982CF6" w:rsidP="007C118F">
      <w:pPr>
        <w:pStyle w:val="ListParagraph"/>
        <w:numPr>
          <w:ilvl w:val="0"/>
          <w:numId w:val="1"/>
        </w:numPr>
        <w:spacing w:after="0" w:line="240" w:lineRule="auto"/>
      </w:pPr>
      <w:r w:rsidRPr="007C118F">
        <w:rPr>
          <w:b/>
        </w:rPr>
        <w:t>Project Purpose</w:t>
      </w:r>
      <w:r w:rsidR="00C6015B">
        <w:t xml:space="preserve"> </w:t>
      </w:r>
      <w:r w:rsidR="0043665C">
        <w:t>(from proposal form)</w:t>
      </w:r>
    </w:p>
    <w:tbl>
      <w:tblPr>
        <w:tblStyle w:val="TableGrid"/>
        <w:tblW w:w="0" w:type="auto"/>
        <w:tblLook w:val="04A0"/>
      </w:tblPr>
      <w:tblGrid>
        <w:gridCol w:w="9242"/>
      </w:tblGrid>
      <w:tr w:rsidR="00C6015B" w:rsidTr="00C6015B">
        <w:tc>
          <w:tcPr>
            <w:tcW w:w="9242" w:type="dxa"/>
          </w:tcPr>
          <w:p w:rsidR="007D4E54" w:rsidRDefault="00583C39" w:rsidP="00B1271A">
            <w:r>
              <w:t>To assist in the reintegration and reactivation of former political prisoners so that they have the necessary skills, knowledge and confidence to take an active and effective role in the electoral democratic processes moving towards elections in 2015.</w:t>
            </w:r>
          </w:p>
        </w:tc>
      </w:tr>
    </w:tbl>
    <w:p w:rsidR="00C6015B" w:rsidRDefault="00C6015B" w:rsidP="00982CF6">
      <w:pPr>
        <w:spacing w:after="0" w:line="240" w:lineRule="auto"/>
      </w:pPr>
    </w:p>
    <w:p w:rsidR="001C4482" w:rsidRPr="00CA1C1C" w:rsidRDefault="001C4482" w:rsidP="00EB7746">
      <w:pPr>
        <w:pStyle w:val="ListParagraph"/>
        <w:numPr>
          <w:ilvl w:val="0"/>
          <w:numId w:val="1"/>
        </w:numPr>
        <w:spacing w:after="0" w:line="240" w:lineRule="auto"/>
        <w:ind w:left="426" w:hanging="426"/>
      </w:pPr>
      <w:r w:rsidRPr="00CA1C1C">
        <w:rPr>
          <w:b/>
        </w:rPr>
        <w:t>Project Background</w:t>
      </w:r>
      <w:r w:rsidR="00E50276" w:rsidRPr="00CA1C1C">
        <w:rPr>
          <w:b/>
        </w:rPr>
        <w:t xml:space="preserve"> / Context</w:t>
      </w:r>
      <w:r w:rsidR="00C6015B" w:rsidRPr="00CA1C1C">
        <w:t xml:space="preserve"> including what the project set out to achieve</w:t>
      </w:r>
      <w:r w:rsidR="007D4E54" w:rsidRPr="00CA1C1C">
        <w:t xml:space="preserve"> (150 words max)</w:t>
      </w:r>
    </w:p>
    <w:tbl>
      <w:tblPr>
        <w:tblStyle w:val="TableGrid"/>
        <w:tblW w:w="0" w:type="auto"/>
        <w:tblLook w:val="04A0"/>
      </w:tblPr>
      <w:tblGrid>
        <w:gridCol w:w="9242"/>
      </w:tblGrid>
      <w:tr w:rsidR="00C6015B" w:rsidTr="00C6015B">
        <w:tc>
          <w:tcPr>
            <w:tcW w:w="9242" w:type="dxa"/>
          </w:tcPr>
          <w:p w:rsidR="00EB7746" w:rsidRPr="00EB7746" w:rsidRDefault="00EB7746" w:rsidP="00EB7746">
            <w:pPr>
              <w:spacing w:after="120"/>
            </w:pPr>
            <w:r w:rsidRPr="00EB7746">
              <w:t>On</w:t>
            </w:r>
            <w:r w:rsidR="00CB6A6D" w:rsidRPr="00EB7746">
              <w:t xml:space="preserve"> 13 </w:t>
            </w:r>
            <w:r w:rsidRPr="00EB7746">
              <w:t>January</w:t>
            </w:r>
            <w:r w:rsidR="00CB6A6D">
              <w:t xml:space="preserve"> </w:t>
            </w:r>
            <w:r w:rsidRPr="00EB7746">
              <w:t>2012</w:t>
            </w:r>
            <w:r w:rsidR="00CB6A6D">
              <w:t>,</w:t>
            </w:r>
            <w:r w:rsidR="00530F2D">
              <w:t xml:space="preserve"> the Burmese</w:t>
            </w:r>
            <w:r w:rsidRPr="00EB7746">
              <w:t xml:space="preserve"> government released 65</w:t>
            </w:r>
            <w:r w:rsidR="00CB6A6D">
              <w:t>1 political prisoners, including “88 G</w:t>
            </w:r>
            <w:r w:rsidRPr="00EB7746">
              <w:t>eneration</w:t>
            </w:r>
            <w:r w:rsidR="00CB6A6D">
              <w:t>”</w:t>
            </w:r>
            <w:r w:rsidRPr="00EB7746">
              <w:t xml:space="preserve"> leaders, monks</w:t>
            </w:r>
            <w:r w:rsidR="00CB6A6D">
              <w:t>,</w:t>
            </w:r>
            <w:r w:rsidRPr="00EB7746">
              <w:t xml:space="preserve"> and </w:t>
            </w:r>
            <w:r w:rsidR="00CB6A6D">
              <w:t>others</w:t>
            </w:r>
            <w:r w:rsidRPr="00EB7746">
              <w:t xml:space="preserve"> </w:t>
            </w:r>
            <w:r w:rsidR="00CB6A6D">
              <w:t>involved in the 2007 Saffron R</w:t>
            </w:r>
            <w:r w:rsidRPr="00EB7746">
              <w:t xml:space="preserve">evolution. Many </w:t>
            </w:r>
            <w:r w:rsidR="00CB6A6D">
              <w:t>had</w:t>
            </w:r>
            <w:r w:rsidRPr="00EB7746">
              <w:t xml:space="preserve"> been in prison for decades</w:t>
            </w:r>
            <w:r w:rsidR="00CB6A6D">
              <w:t xml:space="preserve">, and often </w:t>
            </w:r>
            <w:r w:rsidRPr="00EB7746">
              <w:t xml:space="preserve">lack the confidence and skills to take part </w:t>
            </w:r>
            <w:r w:rsidR="00CB6A6D" w:rsidRPr="00EB7746">
              <w:t xml:space="preserve">once again </w:t>
            </w:r>
            <w:r w:rsidRPr="00EB7746">
              <w:t>in Burma’s political process.</w:t>
            </w:r>
          </w:p>
          <w:p w:rsidR="00EB7746" w:rsidRPr="00EB7746" w:rsidRDefault="00CB6A6D" w:rsidP="00EB7746">
            <w:pPr>
              <w:spacing w:after="120"/>
            </w:pPr>
            <w:r>
              <w:t>I</w:t>
            </w:r>
            <w:r w:rsidRPr="00EB7746">
              <w:t>n F</w:t>
            </w:r>
            <w:r>
              <w:t>ebruary 2012, t</w:t>
            </w:r>
            <w:r w:rsidR="00EB7746" w:rsidRPr="00EB7746">
              <w:t xml:space="preserve">he British Council </w:t>
            </w:r>
            <w:r>
              <w:t>began two capacity-</w:t>
            </w:r>
            <w:r w:rsidR="00EB7746" w:rsidRPr="00EB7746">
              <w:t>building courses aimed a</w:t>
            </w:r>
            <w:r>
              <w:t>t increasing the knowledge base and</w:t>
            </w:r>
            <w:r w:rsidR="00EB7746" w:rsidRPr="00EB7746">
              <w:t xml:space="preserve"> confidence</w:t>
            </w:r>
            <w:r>
              <w:t xml:space="preserve"> of</w:t>
            </w:r>
            <w:r w:rsidR="00EB7746" w:rsidRPr="00EB7746">
              <w:t xml:space="preserve"> </w:t>
            </w:r>
            <w:r w:rsidRPr="00EB7746">
              <w:t>recently released prisoners</w:t>
            </w:r>
            <w:r>
              <w:t>,</w:t>
            </w:r>
            <w:r w:rsidRPr="00EB7746">
              <w:t xml:space="preserve"> </w:t>
            </w:r>
            <w:r w:rsidR="00EB7746" w:rsidRPr="00EB7746">
              <w:t>and strengthening the networks between</w:t>
            </w:r>
            <w:r>
              <w:t xml:space="preserve"> them</w:t>
            </w:r>
            <w:r w:rsidR="00EB7746" w:rsidRPr="00EB7746">
              <w:t>.  This was just the beginning of what will be a long road towards reintegration and building up the skills of individuals who have demonstrated their commitment to the democratisation of Burma and wish to continue working towards it.</w:t>
            </w:r>
          </w:p>
          <w:p w:rsidR="007D4E54" w:rsidRDefault="00EB7746" w:rsidP="00CB6A6D">
            <w:pPr>
              <w:spacing w:after="120"/>
            </w:pPr>
            <w:r w:rsidRPr="00EB7746">
              <w:t>The 88 leadership have</w:t>
            </w:r>
            <w:r w:rsidR="00CB6A6D">
              <w:t xml:space="preserve"> often</w:t>
            </w:r>
            <w:r w:rsidRPr="00EB7746">
              <w:t xml:space="preserve"> expressed their desire to take part in the political process</w:t>
            </w:r>
            <w:r w:rsidR="00CB6A6D">
              <w:t>,</w:t>
            </w:r>
            <w:r w:rsidRPr="00EB7746">
              <w:t xml:space="preserve"> whether it </w:t>
            </w:r>
            <w:proofErr w:type="gramStart"/>
            <w:r w:rsidRPr="00EB7746">
              <w:t>be</w:t>
            </w:r>
            <w:proofErr w:type="gramEnd"/>
            <w:r w:rsidRPr="00EB7746">
              <w:t xml:space="preserve"> as a political party itself or supporting other pro</w:t>
            </w:r>
            <w:r w:rsidR="00CB6A6D">
              <w:t>-</w:t>
            </w:r>
            <w:r w:rsidRPr="00EB7746">
              <w:t>democracy parties.  This project aims to support them in this process.</w:t>
            </w:r>
          </w:p>
        </w:tc>
      </w:tr>
    </w:tbl>
    <w:p w:rsidR="001C4482" w:rsidRDefault="001C4482" w:rsidP="001C4482">
      <w:pPr>
        <w:spacing w:after="0" w:line="240" w:lineRule="auto"/>
      </w:pPr>
    </w:p>
    <w:p w:rsidR="00C94678" w:rsidRPr="00C94678" w:rsidRDefault="00C94678" w:rsidP="001C4482">
      <w:pPr>
        <w:pStyle w:val="ListParagraph"/>
        <w:numPr>
          <w:ilvl w:val="0"/>
          <w:numId w:val="1"/>
        </w:numPr>
        <w:spacing w:after="0" w:line="240" w:lineRule="auto"/>
      </w:pPr>
      <w:r w:rsidRPr="007C3AB5">
        <w:rPr>
          <w:b/>
        </w:rPr>
        <w:t>Evaluation summary</w:t>
      </w:r>
      <w:r>
        <w:t xml:space="preserve"> (150 words max)</w:t>
      </w:r>
    </w:p>
    <w:tbl>
      <w:tblPr>
        <w:tblStyle w:val="TableGrid"/>
        <w:tblW w:w="0" w:type="auto"/>
        <w:tblLook w:val="04A0"/>
      </w:tblPr>
      <w:tblGrid>
        <w:gridCol w:w="9242"/>
      </w:tblGrid>
      <w:tr w:rsidR="00C6015B" w:rsidTr="00C6015B">
        <w:tc>
          <w:tcPr>
            <w:tcW w:w="9242" w:type="dxa"/>
          </w:tcPr>
          <w:p w:rsidR="00C6015B" w:rsidRDefault="00E91B08" w:rsidP="00CB6A6D">
            <w:r w:rsidRPr="00E91B08">
              <w:t>The projec</w:t>
            </w:r>
            <w:r w:rsidR="00CB6A6D">
              <w:t>t aimed to provide training to “reactivate”</w:t>
            </w:r>
            <w:r w:rsidRPr="00E91B08">
              <w:t xml:space="preserve"> former political prisoners so they could have an active role in </w:t>
            </w:r>
            <w:r w:rsidR="00CC4C38">
              <w:t>politics leading up to the 2015 election</w:t>
            </w:r>
            <w:r w:rsidRPr="00E91B08">
              <w:t xml:space="preserve">. It was originally targeted at </w:t>
            </w:r>
            <w:r w:rsidR="00CB6A6D">
              <w:t>“</w:t>
            </w:r>
            <w:r w:rsidRPr="00E91B08">
              <w:t>88 Generation</w:t>
            </w:r>
            <w:r w:rsidR="00CB6A6D">
              <w:t>” leaders and a “younger generation”</w:t>
            </w:r>
            <w:r w:rsidRPr="00E91B08">
              <w:t xml:space="preserve"> of political prisoners.</w:t>
            </w:r>
            <w:r w:rsidR="00CB6A6D">
              <w:t xml:space="preserve"> </w:t>
            </w:r>
            <w:r w:rsidRPr="00E91B08">
              <w:t xml:space="preserve"> </w:t>
            </w:r>
            <w:r w:rsidR="002C71BC">
              <w:t>I</w:t>
            </w:r>
            <w:r w:rsidR="00B1271A">
              <w:t>t took place at a time of great change, and this proved a dis</w:t>
            </w:r>
            <w:r w:rsidR="00BD4D02">
              <w:t xml:space="preserve">traction for some participants; </w:t>
            </w:r>
            <w:r w:rsidR="00B1271A">
              <w:t>they had just been freed from prison</w:t>
            </w:r>
            <w:r w:rsidR="00BD4D02">
              <w:t xml:space="preserve"> with personal and political demands on their time</w:t>
            </w:r>
            <w:r w:rsidR="00B1271A">
              <w:t xml:space="preserve">. From those interviewed it was clear that the course </w:t>
            </w:r>
            <w:r w:rsidR="002C71BC">
              <w:t xml:space="preserve">was high quality, and </w:t>
            </w:r>
            <w:r w:rsidR="00B1271A">
              <w:t>had grea</w:t>
            </w:r>
            <w:r w:rsidR="00CB6A6D">
              <w:t xml:space="preserve">t impact on some participants: </w:t>
            </w:r>
            <w:r w:rsidR="00B1271A">
              <w:t xml:space="preserve">“it changed my life”. </w:t>
            </w:r>
            <w:r w:rsidR="002C71BC">
              <w:t xml:space="preserve">The project was worthwhile and generally delivered well, although </w:t>
            </w:r>
            <w:r w:rsidR="00B1271A">
              <w:t>the indicators were over-ambitious</w:t>
            </w:r>
            <w:r w:rsidR="002C71BC">
              <w:t xml:space="preserve">. However, ultimately the project was pitched by implementer and Post as able to influence Burmese opposition politics at a high level, but it did not do this, </w:t>
            </w:r>
            <w:r w:rsidR="00CB6A6D">
              <w:t xml:space="preserve">since </w:t>
            </w:r>
            <w:r w:rsidR="00CB6A6D" w:rsidRPr="00E91B08">
              <w:t>the 88 Generation leaders did not participate</w:t>
            </w:r>
            <w:r w:rsidR="00CB6A6D">
              <w:t xml:space="preserve">, </w:t>
            </w:r>
            <w:r w:rsidR="002C71BC">
              <w:t>which was a lost opportunity.</w:t>
            </w:r>
          </w:p>
        </w:tc>
      </w:tr>
    </w:tbl>
    <w:p w:rsidR="00B8106D" w:rsidRDefault="00B8106D" w:rsidP="00B8106D">
      <w:pPr>
        <w:pStyle w:val="ListParagraph"/>
        <w:spacing w:after="0" w:line="240" w:lineRule="auto"/>
        <w:rPr>
          <w:b/>
        </w:rPr>
      </w:pPr>
    </w:p>
    <w:p w:rsidR="00B8106D" w:rsidRPr="007C118F" w:rsidRDefault="00B8106D" w:rsidP="00B8106D">
      <w:pPr>
        <w:pStyle w:val="ListParagraph"/>
        <w:numPr>
          <w:ilvl w:val="0"/>
          <w:numId w:val="1"/>
        </w:numPr>
        <w:spacing w:after="0" w:line="240" w:lineRule="auto"/>
        <w:rPr>
          <w:b/>
        </w:rPr>
      </w:pPr>
      <w:r>
        <w:rPr>
          <w:b/>
        </w:rPr>
        <w:lastRenderedPageBreak/>
        <w:t>Q</w:t>
      </w:r>
      <w:r w:rsidRPr="007C118F">
        <w:rPr>
          <w:b/>
        </w:rPr>
        <w:t>uestions</w:t>
      </w:r>
    </w:p>
    <w:tbl>
      <w:tblPr>
        <w:tblStyle w:val="TableGrid"/>
        <w:tblW w:w="0" w:type="auto"/>
        <w:tblLook w:val="04A0"/>
      </w:tblPr>
      <w:tblGrid>
        <w:gridCol w:w="4644"/>
        <w:gridCol w:w="4598"/>
      </w:tblGrid>
      <w:tr w:rsidR="00B8106D" w:rsidTr="00B8106D">
        <w:tc>
          <w:tcPr>
            <w:tcW w:w="4644" w:type="dxa"/>
          </w:tcPr>
          <w:p w:rsidR="00B8106D" w:rsidRDefault="00B8106D" w:rsidP="00B8106D">
            <w:r>
              <w:t xml:space="preserve">Did the project achieve the project purpose? </w:t>
            </w:r>
          </w:p>
        </w:tc>
        <w:tc>
          <w:tcPr>
            <w:tcW w:w="4598" w:type="dxa"/>
          </w:tcPr>
          <w:p w:rsidR="00B8106D" w:rsidRDefault="00E91B08" w:rsidP="00B8106D">
            <w:r>
              <w:t>Partly</w:t>
            </w:r>
            <w:r w:rsidR="00583C39">
              <w:t>.</w:t>
            </w:r>
          </w:p>
        </w:tc>
      </w:tr>
      <w:tr w:rsidR="00B8106D" w:rsidTr="00B8106D">
        <w:tc>
          <w:tcPr>
            <w:tcW w:w="4644" w:type="dxa"/>
          </w:tcPr>
          <w:p w:rsidR="00B8106D" w:rsidRDefault="00B8106D" w:rsidP="00B8106D">
            <w:r>
              <w:t>Did the project come in on budget? (Y/N)</w:t>
            </w:r>
          </w:p>
          <w:p w:rsidR="00B8106D" w:rsidRDefault="00B8106D" w:rsidP="00B8106D">
            <w:r>
              <w:t xml:space="preserve">If no, why and what was the difference in cost? </w:t>
            </w:r>
          </w:p>
          <w:p w:rsidR="00B8106D" w:rsidRDefault="00B8106D" w:rsidP="00B8106D"/>
        </w:tc>
        <w:tc>
          <w:tcPr>
            <w:tcW w:w="4598" w:type="dxa"/>
          </w:tcPr>
          <w:p w:rsidR="00B8106D" w:rsidRDefault="00B8106D" w:rsidP="00B8106D"/>
          <w:p w:rsidR="00B8106D" w:rsidRDefault="00583C39" w:rsidP="00B8106D">
            <w:r>
              <w:t>Yes.</w:t>
            </w:r>
          </w:p>
        </w:tc>
      </w:tr>
      <w:tr w:rsidR="00B8106D" w:rsidTr="00B8106D">
        <w:tc>
          <w:tcPr>
            <w:tcW w:w="4644" w:type="dxa"/>
          </w:tcPr>
          <w:p w:rsidR="00B8106D" w:rsidRDefault="00B8106D" w:rsidP="00B8106D">
            <w:r>
              <w:t>Was the project completed on time? (Y/N)</w:t>
            </w:r>
          </w:p>
          <w:p w:rsidR="00B8106D" w:rsidRDefault="00B8106D" w:rsidP="00B8106D">
            <w:r>
              <w:t>If not, why not?</w:t>
            </w:r>
          </w:p>
        </w:tc>
        <w:tc>
          <w:tcPr>
            <w:tcW w:w="4598" w:type="dxa"/>
          </w:tcPr>
          <w:p w:rsidR="00B8106D" w:rsidRDefault="00583C39" w:rsidP="00B8106D">
            <w:r>
              <w:t>Yes.</w:t>
            </w:r>
          </w:p>
        </w:tc>
      </w:tr>
      <w:tr w:rsidR="00B8106D" w:rsidTr="00B8106D">
        <w:tc>
          <w:tcPr>
            <w:tcW w:w="4644" w:type="dxa"/>
          </w:tcPr>
          <w:p w:rsidR="00B8106D" w:rsidRDefault="00B8106D" w:rsidP="00B8106D">
            <w:r>
              <w:t xml:space="preserve">Were the Project benefits sustained after project completion? </w:t>
            </w:r>
          </w:p>
        </w:tc>
        <w:tc>
          <w:tcPr>
            <w:tcW w:w="4598" w:type="dxa"/>
          </w:tcPr>
          <w:p w:rsidR="00B8106D" w:rsidRDefault="00E91B08" w:rsidP="00B8106D">
            <w:r>
              <w:t>Partly</w:t>
            </w:r>
            <w:r w:rsidR="00583C39">
              <w:t>.</w:t>
            </w:r>
          </w:p>
        </w:tc>
      </w:tr>
    </w:tbl>
    <w:p w:rsidR="00C6015B" w:rsidRDefault="00C6015B" w:rsidP="001C4482">
      <w:pPr>
        <w:spacing w:after="0" w:line="240" w:lineRule="auto"/>
      </w:pPr>
    </w:p>
    <w:p w:rsidR="0025010F" w:rsidRDefault="00C94678" w:rsidP="0025010F">
      <w:pPr>
        <w:pStyle w:val="ListParagraph"/>
        <w:numPr>
          <w:ilvl w:val="0"/>
          <w:numId w:val="1"/>
        </w:numPr>
        <w:spacing w:after="0" w:line="240" w:lineRule="auto"/>
      </w:pPr>
      <w:r w:rsidRPr="007C3AB5">
        <w:rPr>
          <w:b/>
        </w:rPr>
        <w:t>Overall Red / Amber / Green rating</w:t>
      </w:r>
      <w:r w:rsidR="0025010F">
        <w:t xml:space="preserve"> for project </w:t>
      </w:r>
    </w:p>
    <w:p w:rsidR="00597D40" w:rsidRDefault="00597D40" w:rsidP="001C4482">
      <w:pPr>
        <w:spacing w:after="0" w:line="240" w:lineRule="auto"/>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990"/>
        <w:gridCol w:w="450"/>
      </w:tblGrid>
      <w:tr w:rsidR="00597D40" w:rsidTr="00597D40">
        <w:trPr>
          <w:trHeight w:val="113"/>
        </w:trPr>
        <w:tc>
          <w:tcPr>
            <w:tcW w:w="2798" w:type="dxa"/>
            <w:gridSpan w:val="3"/>
            <w:shd w:val="clear" w:color="auto" w:fill="FFFFFF" w:themeFill="background1"/>
          </w:tcPr>
          <w:p w:rsidR="00597D40" w:rsidRPr="00597D40" w:rsidRDefault="00597D40" w:rsidP="00597D40">
            <w:pPr>
              <w:rPr>
                <w:sz w:val="20"/>
                <w:szCs w:val="20"/>
              </w:rPr>
            </w:pPr>
            <w:r w:rsidRPr="00597D40">
              <w:rPr>
                <w:sz w:val="20"/>
                <w:szCs w:val="20"/>
              </w:rPr>
              <w:t xml:space="preserve">Overall Rating for project (put </w:t>
            </w:r>
            <w:r w:rsidRPr="00597D40">
              <w:rPr>
                <w:b/>
                <w:sz w:val="20"/>
                <w:szCs w:val="20"/>
              </w:rPr>
              <w:t xml:space="preserve">X </w:t>
            </w:r>
            <w:r w:rsidRPr="00597D40">
              <w:rPr>
                <w:sz w:val="20"/>
                <w:szCs w:val="20"/>
              </w:rPr>
              <w:t xml:space="preserve">in relevant </w:t>
            </w:r>
            <w:r>
              <w:rPr>
                <w:sz w:val="20"/>
                <w:szCs w:val="20"/>
              </w:rPr>
              <w:t>box</w:t>
            </w:r>
            <w:r w:rsidRPr="00597D40">
              <w:rPr>
                <w:sz w:val="20"/>
                <w:szCs w:val="20"/>
              </w:rPr>
              <w:t>)</w:t>
            </w:r>
          </w:p>
        </w:tc>
      </w:tr>
      <w:tr w:rsidR="00597D40" w:rsidTr="00597D40">
        <w:trPr>
          <w:trHeight w:val="113"/>
        </w:trPr>
        <w:tc>
          <w:tcPr>
            <w:tcW w:w="2348" w:type="dxa"/>
            <w:gridSpan w:val="2"/>
            <w:shd w:val="clear" w:color="auto" w:fill="FF0000"/>
          </w:tcPr>
          <w:p w:rsidR="00597D40" w:rsidRPr="00597D40" w:rsidRDefault="00597D40" w:rsidP="00B8106D">
            <w:pPr>
              <w:ind w:left="747" w:hanging="747"/>
              <w:rPr>
                <w:rFonts w:ascii="Arial" w:hAnsi="Arial"/>
                <w:sz w:val="20"/>
                <w:szCs w:val="20"/>
              </w:rPr>
            </w:pPr>
            <w:r w:rsidRPr="00597D40">
              <w:rPr>
                <w:rFonts w:ascii="Arial" w:hAnsi="Arial"/>
                <w:sz w:val="20"/>
                <w:szCs w:val="20"/>
              </w:rPr>
              <w:t>Red</w:t>
            </w:r>
          </w:p>
        </w:tc>
        <w:tc>
          <w:tcPr>
            <w:tcW w:w="450" w:type="dxa"/>
          </w:tcPr>
          <w:p w:rsidR="00597D40" w:rsidRDefault="00597D40" w:rsidP="00B8106D">
            <w:pPr>
              <w:rPr>
                <w:rFonts w:ascii="Arial" w:hAnsi="Arial"/>
                <w:b/>
              </w:rPr>
            </w:pPr>
          </w:p>
        </w:tc>
      </w:tr>
      <w:tr w:rsidR="00597D40" w:rsidTr="00597D40">
        <w:trPr>
          <w:trHeight w:val="113"/>
        </w:trPr>
        <w:tc>
          <w:tcPr>
            <w:tcW w:w="1358" w:type="dxa"/>
            <w:shd w:val="clear" w:color="auto" w:fill="FF0000"/>
          </w:tcPr>
          <w:p w:rsidR="00597D40" w:rsidRPr="00597D40" w:rsidRDefault="00597D40" w:rsidP="00B8106D">
            <w:pPr>
              <w:rPr>
                <w:rFonts w:ascii="Arial" w:hAnsi="Arial"/>
                <w:sz w:val="20"/>
                <w:szCs w:val="20"/>
              </w:rPr>
            </w:pPr>
            <w:r w:rsidRPr="00597D40">
              <w:rPr>
                <w:rFonts w:ascii="Arial" w:hAnsi="Arial"/>
                <w:sz w:val="20"/>
                <w:szCs w:val="20"/>
              </w:rPr>
              <w:t>Red</w:t>
            </w:r>
          </w:p>
        </w:tc>
        <w:tc>
          <w:tcPr>
            <w:tcW w:w="990" w:type="dxa"/>
            <w:tcBorders>
              <w:bottom w:val="nil"/>
            </w:tcBorders>
            <w:shd w:val="clear" w:color="auto" w:fill="FFFF00"/>
          </w:tcPr>
          <w:p w:rsidR="00597D40" w:rsidRPr="00597D40" w:rsidRDefault="00597D40" w:rsidP="00B8106D">
            <w:pPr>
              <w:rPr>
                <w:rFonts w:ascii="Arial" w:hAnsi="Arial"/>
                <w:sz w:val="20"/>
                <w:szCs w:val="20"/>
              </w:rPr>
            </w:pPr>
            <w:r w:rsidRPr="00597D40">
              <w:rPr>
                <w:rFonts w:ascii="Arial" w:hAnsi="Arial"/>
                <w:sz w:val="20"/>
                <w:szCs w:val="20"/>
              </w:rPr>
              <w:t>Amber</w:t>
            </w:r>
          </w:p>
        </w:tc>
        <w:tc>
          <w:tcPr>
            <w:tcW w:w="450" w:type="dxa"/>
          </w:tcPr>
          <w:p w:rsidR="00597D40" w:rsidRDefault="00C84361" w:rsidP="00B8106D">
            <w:pPr>
              <w:rPr>
                <w:rFonts w:ascii="Arial" w:hAnsi="Arial"/>
                <w:b/>
              </w:rPr>
            </w:pPr>
            <w:r>
              <w:rPr>
                <w:rFonts w:ascii="Arial" w:hAnsi="Arial"/>
                <w:b/>
              </w:rPr>
              <w:t>X</w:t>
            </w:r>
          </w:p>
        </w:tc>
      </w:tr>
      <w:tr w:rsidR="00597D40" w:rsidTr="00597D40">
        <w:trPr>
          <w:trHeight w:val="113"/>
        </w:trPr>
        <w:tc>
          <w:tcPr>
            <w:tcW w:w="1358" w:type="dxa"/>
            <w:shd w:val="clear" w:color="auto" w:fill="FFFF00"/>
          </w:tcPr>
          <w:p w:rsidR="00597D40" w:rsidRPr="00597D40" w:rsidRDefault="00597D40" w:rsidP="00B8106D">
            <w:pPr>
              <w:rPr>
                <w:rFonts w:ascii="Arial" w:hAnsi="Arial"/>
                <w:sz w:val="20"/>
                <w:szCs w:val="20"/>
              </w:rPr>
            </w:pPr>
            <w:r w:rsidRPr="00597D40">
              <w:rPr>
                <w:rFonts w:ascii="Arial" w:hAnsi="Arial"/>
                <w:sz w:val="20"/>
                <w:szCs w:val="20"/>
              </w:rPr>
              <w:t>Amber</w:t>
            </w:r>
          </w:p>
        </w:tc>
        <w:tc>
          <w:tcPr>
            <w:tcW w:w="990" w:type="dxa"/>
            <w:shd w:val="clear" w:color="auto" w:fill="00FF00"/>
          </w:tcPr>
          <w:p w:rsidR="00597D40" w:rsidRPr="00597D40" w:rsidRDefault="00597D40" w:rsidP="00B8106D">
            <w:pPr>
              <w:rPr>
                <w:rFonts w:ascii="Arial" w:hAnsi="Arial"/>
                <w:sz w:val="20"/>
                <w:szCs w:val="20"/>
              </w:rPr>
            </w:pPr>
            <w:r w:rsidRPr="00597D40">
              <w:rPr>
                <w:rFonts w:ascii="Arial" w:hAnsi="Arial"/>
                <w:sz w:val="20"/>
                <w:szCs w:val="20"/>
              </w:rPr>
              <w:t>Green</w:t>
            </w:r>
          </w:p>
        </w:tc>
        <w:tc>
          <w:tcPr>
            <w:tcW w:w="450" w:type="dxa"/>
          </w:tcPr>
          <w:p w:rsidR="00597D40" w:rsidRDefault="00597D40" w:rsidP="00B8106D">
            <w:pPr>
              <w:rPr>
                <w:rFonts w:ascii="Arial" w:hAnsi="Arial"/>
                <w:b/>
              </w:rPr>
            </w:pPr>
          </w:p>
        </w:tc>
      </w:tr>
      <w:tr w:rsidR="00597D40" w:rsidTr="00597D40">
        <w:trPr>
          <w:trHeight w:val="113"/>
        </w:trPr>
        <w:tc>
          <w:tcPr>
            <w:tcW w:w="2348" w:type="dxa"/>
            <w:gridSpan w:val="2"/>
            <w:shd w:val="clear" w:color="auto" w:fill="00FF00"/>
          </w:tcPr>
          <w:p w:rsidR="00597D40" w:rsidRPr="00597D40" w:rsidRDefault="00597D40" w:rsidP="00B8106D">
            <w:pPr>
              <w:rPr>
                <w:rFonts w:ascii="Arial" w:hAnsi="Arial"/>
                <w:sz w:val="20"/>
                <w:szCs w:val="20"/>
              </w:rPr>
            </w:pPr>
            <w:r w:rsidRPr="00597D40">
              <w:rPr>
                <w:rFonts w:ascii="Arial" w:hAnsi="Arial"/>
                <w:sz w:val="20"/>
                <w:szCs w:val="20"/>
              </w:rPr>
              <w:t>Green</w:t>
            </w:r>
          </w:p>
        </w:tc>
        <w:tc>
          <w:tcPr>
            <w:tcW w:w="450" w:type="dxa"/>
          </w:tcPr>
          <w:p w:rsidR="00597D40" w:rsidRDefault="00597D40" w:rsidP="00B8106D">
            <w:pPr>
              <w:rPr>
                <w:rFonts w:ascii="Arial" w:hAnsi="Arial"/>
                <w:b/>
              </w:rPr>
            </w:pPr>
          </w:p>
        </w:tc>
      </w:tr>
    </w:tbl>
    <w:p w:rsidR="00597D40" w:rsidRDefault="00597D40" w:rsidP="001C4482">
      <w:pPr>
        <w:spacing w:after="0" w:line="240" w:lineRule="auto"/>
      </w:pPr>
    </w:p>
    <w:p w:rsidR="00597D40" w:rsidRPr="00597D40" w:rsidRDefault="00597D40" w:rsidP="00597D40">
      <w:pPr>
        <w:pStyle w:val="ListParagraph"/>
        <w:spacing w:after="0" w:line="240" w:lineRule="auto"/>
        <w:rPr>
          <w:u w:val="single"/>
        </w:rPr>
      </w:pPr>
      <w:r w:rsidRPr="00597D40">
        <w:rPr>
          <w:u w:val="single"/>
        </w:rPr>
        <w:t>Guide to overall rating:</w:t>
      </w:r>
    </w:p>
    <w:p w:rsidR="00597D40" w:rsidRDefault="00597D40" w:rsidP="00597D40">
      <w:pPr>
        <w:pStyle w:val="ListParagraph"/>
        <w:spacing w:after="0" w:line="240" w:lineRule="auto"/>
      </w:pPr>
      <w:r>
        <w:t>Green</w:t>
      </w:r>
      <w:proofErr w:type="gramStart"/>
      <w:r>
        <w:t>-  project</w:t>
      </w:r>
      <w:proofErr w:type="gramEnd"/>
      <w:r>
        <w:t xml:space="preserve"> </w:t>
      </w:r>
      <w:r w:rsidR="00B8106D">
        <w:t xml:space="preserve">performed well </w:t>
      </w:r>
      <w:r w:rsidR="001E4ADB">
        <w:t xml:space="preserve">under each of the </w:t>
      </w:r>
      <w:r w:rsidR="00B8106D">
        <w:t>evaluation criteria: relevance, efficiency, effectiveness, sustainability, impact and management</w:t>
      </w:r>
    </w:p>
    <w:p w:rsidR="00597D40" w:rsidRDefault="00B8106D" w:rsidP="00597D40">
      <w:pPr>
        <w:pStyle w:val="ListParagraph"/>
        <w:spacing w:after="0" w:line="240" w:lineRule="auto"/>
      </w:pPr>
      <w:r>
        <w:t xml:space="preserve">Green/Amber – project performed well </w:t>
      </w:r>
      <w:r w:rsidR="001E4ADB">
        <w:t>under</w:t>
      </w:r>
      <w:r>
        <w:t xml:space="preserve"> most criteria</w:t>
      </w:r>
      <w:r w:rsidR="001E4ADB">
        <w:t xml:space="preserve"> and adequately in others</w:t>
      </w:r>
    </w:p>
    <w:p w:rsidR="00597D40" w:rsidRDefault="00597D40" w:rsidP="00597D40">
      <w:pPr>
        <w:pStyle w:val="ListParagraph"/>
        <w:spacing w:after="0" w:line="240" w:lineRule="auto"/>
      </w:pPr>
      <w:r>
        <w:t xml:space="preserve">Amber/Red – project </w:t>
      </w:r>
      <w:r w:rsidR="00B8106D">
        <w:t xml:space="preserve">performed </w:t>
      </w:r>
      <w:r w:rsidR="001E4ADB">
        <w:t>adequately</w:t>
      </w:r>
      <w:r w:rsidR="00B8106D">
        <w:t xml:space="preserve"> </w:t>
      </w:r>
      <w:r w:rsidR="001E4ADB">
        <w:t>under</w:t>
      </w:r>
      <w:r w:rsidR="00B8106D">
        <w:t xml:space="preserve"> some criteria</w:t>
      </w:r>
      <w:r>
        <w:t xml:space="preserve"> </w:t>
      </w:r>
      <w:r w:rsidR="001E4ADB">
        <w:t>but poorly in others</w:t>
      </w:r>
    </w:p>
    <w:p w:rsidR="00597D40" w:rsidRPr="0025010F" w:rsidRDefault="00597D40" w:rsidP="00597D40">
      <w:pPr>
        <w:pStyle w:val="ListParagraph"/>
        <w:spacing w:after="0" w:line="240" w:lineRule="auto"/>
      </w:pPr>
      <w:r>
        <w:t xml:space="preserve">Red – </w:t>
      </w:r>
      <w:r w:rsidR="00B8106D">
        <w:t xml:space="preserve">project </w:t>
      </w:r>
      <w:r w:rsidR="001E4ADB">
        <w:t>performed poorly under most</w:t>
      </w:r>
      <w:r w:rsidR="00B8106D">
        <w:t xml:space="preserve"> criteria</w:t>
      </w:r>
    </w:p>
    <w:p w:rsidR="00F23B01" w:rsidRDefault="00F23B01" w:rsidP="001C4482">
      <w:pPr>
        <w:spacing w:after="0" w:line="240" w:lineRule="auto"/>
      </w:pPr>
    </w:p>
    <w:p w:rsidR="0043665C" w:rsidRPr="0025010F" w:rsidRDefault="00E50276" w:rsidP="001C4482">
      <w:pPr>
        <w:pStyle w:val="ListParagraph"/>
        <w:numPr>
          <w:ilvl w:val="0"/>
          <w:numId w:val="1"/>
        </w:numPr>
        <w:spacing w:after="0" w:line="240" w:lineRule="auto"/>
        <w:rPr>
          <w:b/>
        </w:rPr>
      </w:pPr>
      <w:r w:rsidRPr="0025010F">
        <w:rPr>
          <w:b/>
        </w:rPr>
        <w:t xml:space="preserve">Top 5 </w:t>
      </w:r>
      <w:r w:rsidR="001C4482" w:rsidRPr="0025010F">
        <w:rPr>
          <w:b/>
        </w:rPr>
        <w:t xml:space="preserve">Lessons learned </w:t>
      </w:r>
    </w:p>
    <w:tbl>
      <w:tblPr>
        <w:tblStyle w:val="TableGrid"/>
        <w:tblW w:w="0" w:type="auto"/>
        <w:tblLook w:val="04A0"/>
      </w:tblPr>
      <w:tblGrid>
        <w:gridCol w:w="9242"/>
      </w:tblGrid>
      <w:tr w:rsidR="0043665C" w:rsidTr="0043665C">
        <w:tc>
          <w:tcPr>
            <w:tcW w:w="9242" w:type="dxa"/>
          </w:tcPr>
          <w:p w:rsidR="00A82A75" w:rsidRDefault="00A82A75" w:rsidP="00A82A75">
            <w:r>
              <w:t xml:space="preserve">The main </w:t>
            </w:r>
            <w:r w:rsidR="00CC4C38">
              <w:t>lessons for this project relate</w:t>
            </w:r>
            <w:r>
              <w:t xml:space="preserve"> to taking great</w:t>
            </w:r>
            <w:r w:rsidR="00CC4C38">
              <w:t>er</w:t>
            </w:r>
            <w:r>
              <w:t xml:space="preserve"> care over the </w:t>
            </w:r>
            <w:r w:rsidR="00795F3B">
              <w:t xml:space="preserve">requirements of participants and project </w:t>
            </w:r>
            <w:r w:rsidR="00E91B08">
              <w:t>reporting</w:t>
            </w:r>
            <w:r w:rsidR="00795F3B">
              <w:t>:</w:t>
            </w:r>
            <w:r>
              <w:t xml:space="preserve"> </w:t>
            </w:r>
          </w:p>
          <w:p w:rsidR="00A82A75" w:rsidRPr="004404F0" w:rsidRDefault="00A82A75" w:rsidP="00A82A75">
            <w:pPr>
              <w:rPr>
                <w:sz w:val="12"/>
                <w:szCs w:val="12"/>
              </w:rPr>
            </w:pPr>
          </w:p>
          <w:p w:rsidR="00E91B08" w:rsidRDefault="002A364D" w:rsidP="00E91B08">
            <w:pPr>
              <w:pStyle w:val="ListParagraph"/>
              <w:numPr>
                <w:ilvl w:val="0"/>
                <w:numId w:val="5"/>
              </w:numPr>
              <w:ind w:left="360"/>
            </w:pPr>
            <w:r>
              <w:t>For projects involving training courses the risk of non-attendance by key stakeholders should always be addressed.</w:t>
            </w:r>
            <w:r w:rsidR="00E91B08">
              <w:t xml:space="preserve"> Courses need to be held at the right times and locations for participants, and some may need financial support if they are foregoing work or they are not ordinarily resident where the course is located.</w:t>
            </w:r>
          </w:p>
          <w:p w:rsidR="00600D65" w:rsidRPr="004404F0" w:rsidRDefault="00600D65" w:rsidP="00600D65">
            <w:pPr>
              <w:pStyle w:val="ListParagraph"/>
              <w:ind w:left="360"/>
              <w:rPr>
                <w:sz w:val="12"/>
                <w:szCs w:val="12"/>
              </w:rPr>
            </w:pPr>
          </w:p>
          <w:p w:rsidR="00600D65" w:rsidRDefault="00600D65" w:rsidP="00227523">
            <w:pPr>
              <w:pStyle w:val="ListParagraph"/>
              <w:numPr>
                <w:ilvl w:val="0"/>
                <w:numId w:val="5"/>
              </w:numPr>
              <w:ind w:left="360"/>
            </w:pPr>
            <w:r>
              <w:t>Where training is aimed at p</w:t>
            </w:r>
            <w:r w:rsidR="00CB6A6D">
              <w:t>olitical leaders, or other high-</w:t>
            </w:r>
            <w:r>
              <w:t xml:space="preserve">level individuals, </w:t>
            </w:r>
            <w:r w:rsidR="00A82A75">
              <w:t>careful</w:t>
            </w:r>
            <w:r>
              <w:t xml:space="preserve"> thought and flexibility </w:t>
            </w:r>
            <w:r w:rsidR="00E91B08">
              <w:t>is</w:t>
            </w:r>
            <w:r>
              <w:t xml:space="preserve"> needed for </w:t>
            </w:r>
            <w:r w:rsidR="00E91B08">
              <w:t xml:space="preserve">design and </w:t>
            </w:r>
            <w:r w:rsidR="00CB6A6D">
              <w:t>delivery,</w:t>
            </w:r>
            <w:r>
              <w:t xml:space="preserve"> bearing in mind their busy schedules. </w:t>
            </w:r>
          </w:p>
          <w:p w:rsidR="00122C12" w:rsidRPr="004404F0" w:rsidRDefault="00122C12" w:rsidP="00227523">
            <w:pPr>
              <w:rPr>
                <w:sz w:val="12"/>
                <w:szCs w:val="12"/>
              </w:rPr>
            </w:pPr>
          </w:p>
          <w:p w:rsidR="00227523" w:rsidRDefault="00227523" w:rsidP="00227523">
            <w:pPr>
              <w:pStyle w:val="ListParagraph"/>
              <w:numPr>
                <w:ilvl w:val="0"/>
                <w:numId w:val="5"/>
              </w:numPr>
              <w:ind w:left="360"/>
            </w:pPr>
            <w:r>
              <w:t>When working with socially vulnerable groups, in this case young</w:t>
            </w:r>
            <w:r w:rsidR="00CB6A6D">
              <w:t xml:space="preserve"> former political prisoners, it i</w:t>
            </w:r>
            <w:r>
              <w:t>s important that implementers show sensitivity and awareness of the welfare of individuals and group</w:t>
            </w:r>
            <w:r w:rsidR="00E91B08">
              <w:t xml:space="preserve"> (as was done in this case)</w:t>
            </w:r>
            <w:r>
              <w:t>.</w:t>
            </w:r>
          </w:p>
          <w:p w:rsidR="00600D65" w:rsidRPr="004404F0" w:rsidRDefault="00600D65" w:rsidP="00600D65">
            <w:pPr>
              <w:pStyle w:val="ListParagraph"/>
              <w:rPr>
                <w:sz w:val="12"/>
                <w:szCs w:val="12"/>
              </w:rPr>
            </w:pPr>
          </w:p>
          <w:p w:rsidR="0043665C" w:rsidRDefault="00A82A75" w:rsidP="00A82A75">
            <w:pPr>
              <w:pStyle w:val="ListParagraph"/>
              <w:numPr>
                <w:ilvl w:val="0"/>
                <w:numId w:val="5"/>
              </w:numPr>
              <w:ind w:left="360"/>
            </w:pPr>
            <w:r>
              <w:t>Even where a project does not deliver</w:t>
            </w:r>
            <w:r w:rsidR="00B1271A">
              <w:t xml:space="preserve"> exactly</w:t>
            </w:r>
            <w:r>
              <w:t xml:space="preserve"> as planned it ca</w:t>
            </w:r>
            <w:r w:rsidR="00E91B08">
              <w:t xml:space="preserve">n still have </w:t>
            </w:r>
            <w:r w:rsidR="00B1271A">
              <w:t xml:space="preserve">an </w:t>
            </w:r>
            <w:r w:rsidR="00E91B08">
              <w:t>important impact on individuals.</w:t>
            </w:r>
          </w:p>
          <w:p w:rsidR="00795F3B" w:rsidRPr="004404F0" w:rsidRDefault="00795F3B" w:rsidP="00795F3B">
            <w:pPr>
              <w:pStyle w:val="ListParagraph"/>
              <w:rPr>
                <w:sz w:val="12"/>
                <w:szCs w:val="12"/>
              </w:rPr>
            </w:pPr>
          </w:p>
          <w:p w:rsidR="00795F3B" w:rsidRDefault="00B1271A" w:rsidP="00A82A75">
            <w:pPr>
              <w:pStyle w:val="ListParagraph"/>
              <w:numPr>
                <w:ilvl w:val="0"/>
                <w:numId w:val="5"/>
              </w:numPr>
              <w:ind w:left="360"/>
            </w:pPr>
            <w:r>
              <w:t>Implementers need to submit project reporting on time and report against the indicators in the original bid. Post needs to make sure this happens.</w:t>
            </w:r>
          </w:p>
        </w:tc>
      </w:tr>
    </w:tbl>
    <w:p w:rsidR="0043665C" w:rsidRDefault="0043665C" w:rsidP="001C4482">
      <w:pPr>
        <w:spacing w:after="0" w:line="240" w:lineRule="auto"/>
      </w:pPr>
    </w:p>
    <w:p w:rsidR="00122C12" w:rsidRPr="0025010F" w:rsidRDefault="00A366DB" w:rsidP="001C4482">
      <w:pPr>
        <w:pStyle w:val="ListParagraph"/>
        <w:numPr>
          <w:ilvl w:val="0"/>
          <w:numId w:val="1"/>
        </w:numPr>
        <w:spacing w:after="0" w:line="240" w:lineRule="auto"/>
        <w:rPr>
          <w:b/>
        </w:rPr>
      </w:pPr>
      <w:r w:rsidRPr="0025010F">
        <w:rPr>
          <w:b/>
        </w:rPr>
        <w:t xml:space="preserve">Recommendations for future projects </w:t>
      </w:r>
    </w:p>
    <w:tbl>
      <w:tblPr>
        <w:tblStyle w:val="TableGrid"/>
        <w:tblW w:w="0" w:type="auto"/>
        <w:tblLook w:val="04A0"/>
      </w:tblPr>
      <w:tblGrid>
        <w:gridCol w:w="9242"/>
      </w:tblGrid>
      <w:tr w:rsidR="00A366DB" w:rsidTr="00A366DB">
        <w:tc>
          <w:tcPr>
            <w:tcW w:w="9242" w:type="dxa"/>
          </w:tcPr>
          <w:p w:rsidR="00FC67FB" w:rsidRDefault="00E91B08" w:rsidP="00FC67FB">
            <w:pPr>
              <w:pStyle w:val="ListParagraph"/>
              <w:numPr>
                <w:ilvl w:val="0"/>
                <w:numId w:val="10"/>
              </w:numPr>
            </w:pPr>
            <w:r>
              <w:lastRenderedPageBreak/>
              <w:t>Post needs to ensure that the quality of project reporting is acceptable before submitting reports to London and to make sure implementers deliver reports at the appropriate time. (</w:t>
            </w:r>
            <w:r w:rsidR="00FC67FB">
              <w:t>The Evaluators invited the British Council to resubmit the P</w:t>
            </w:r>
            <w:r w:rsidR="00CB6A6D">
              <w:t xml:space="preserve">roject </w:t>
            </w:r>
            <w:r w:rsidR="00FC67FB">
              <w:t>C</w:t>
            </w:r>
            <w:r w:rsidR="00CB6A6D">
              <w:t xml:space="preserve">ompletion </w:t>
            </w:r>
            <w:r w:rsidR="00FC67FB">
              <w:t>R</w:t>
            </w:r>
            <w:r w:rsidR="00CB6A6D">
              <w:t>eport (PCR)</w:t>
            </w:r>
            <w:r w:rsidR="00FC67FB">
              <w:t xml:space="preserve"> so that it properly reflected this evidence. Post should make sure this happens and that the revised PCR is submitted to the Programme Team in London.</w:t>
            </w:r>
            <w:r>
              <w:t>)</w:t>
            </w:r>
          </w:p>
          <w:p w:rsidR="00CC4C38" w:rsidRPr="004404F0" w:rsidRDefault="00CC4C38" w:rsidP="00CC4C38">
            <w:pPr>
              <w:pStyle w:val="ListParagraph"/>
              <w:ind w:left="360"/>
              <w:rPr>
                <w:sz w:val="12"/>
                <w:szCs w:val="12"/>
              </w:rPr>
            </w:pPr>
          </w:p>
          <w:p w:rsidR="00A366DB" w:rsidRDefault="003E7871" w:rsidP="00FC67FB">
            <w:pPr>
              <w:pStyle w:val="ListParagraph"/>
              <w:numPr>
                <w:ilvl w:val="0"/>
                <w:numId w:val="10"/>
              </w:numPr>
            </w:pPr>
            <w:r>
              <w:t>There appears to still be a demand for this type of training. Generation 88 said they were open to bespoke training of their members on their premises. Generally there appears to be a strong appetite for training on human rights and democracy related issues</w:t>
            </w:r>
            <w:r w:rsidR="005832B4">
              <w:t>; provided they are targeted at the right issues for the right audienc</w:t>
            </w:r>
            <w:r w:rsidR="009B47B7">
              <w:t>e at the right time, and with financial support for those not resident in Rangoon.</w:t>
            </w:r>
          </w:p>
        </w:tc>
      </w:tr>
    </w:tbl>
    <w:p w:rsidR="00122C12" w:rsidRDefault="00122C12" w:rsidP="001C4482">
      <w:pPr>
        <w:spacing w:after="0" w:line="240" w:lineRule="auto"/>
      </w:pPr>
    </w:p>
    <w:p w:rsidR="00597D40" w:rsidRDefault="00597D40"/>
    <w:sectPr w:rsidR="00597D40" w:rsidSect="00A1299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21" w:rsidRDefault="00510A21" w:rsidP="003B3259">
      <w:pPr>
        <w:spacing w:after="0" w:line="240" w:lineRule="auto"/>
      </w:pPr>
      <w:r>
        <w:separator/>
      </w:r>
    </w:p>
  </w:endnote>
  <w:endnote w:type="continuationSeparator" w:id="0">
    <w:p w:rsidR="00510A21" w:rsidRDefault="00510A21" w:rsidP="003B3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62" w:rsidRDefault="00343562">
    <w:pPr>
      <w:pStyle w:val="Footer"/>
    </w:pPr>
  </w:p>
  <w:p w:rsidR="00343562" w:rsidRPr="003B3259" w:rsidRDefault="00DB64AE" w:rsidP="003B3259">
    <w:pPr>
      <w:pStyle w:val="Footer"/>
      <w:spacing w:before="120"/>
      <w:jc w:val="right"/>
      <w:rPr>
        <w:rFonts w:ascii="Arial" w:hAnsi="Arial" w:cs="Arial"/>
        <w:sz w:val="12"/>
      </w:rPr>
    </w:pPr>
    <w:fldSimple w:instr=" FILENAME \p \* MERGEFORMAT ">
      <w:r w:rsidR="00530F2D" w:rsidRPr="00530F2D">
        <w:rPr>
          <w:rFonts w:ascii="Arial" w:hAnsi="Arial" w:cs="Arial"/>
          <w:noProof/>
          <w:sz w:val="12"/>
        </w:rPr>
        <w:t>C</w:t>
      </w:r>
      <w:r w:rsidR="00530F2D">
        <w:rPr>
          <w:noProof/>
        </w:rPr>
        <w:t>:\Users\kathomson\AppData\Local\Microsoft\Windows\Temporary Internet Files\Outlook Temp\2013 Burma Evaluation - BC- Reactivate - BE Rangoon return (2).docx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62" w:rsidRDefault="00343562">
    <w:pPr>
      <w:pStyle w:val="Footer"/>
    </w:pPr>
  </w:p>
  <w:p w:rsidR="00343562" w:rsidRPr="003B3259" w:rsidRDefault="00343562" w:rsidP="003B3259">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62" w:rsidRDefault="00343562">
    <w:pPr>
      <w:pStyle w:val="Footer"/>
    </w:pPr>
  </w:p>
  <w:p w:rsidR="00343562" w:rsidRPr="003B3259" w:rsidRDefault="00DB64AE" w:rsidP="003B3259">
    <w:pPr>
      <w:pStyle w:val="Footer"/>
      <w:spacing w:before="120"/>
      <w:jc w:val="right"/>
      <w:rPr>
        <w:rFonts w:ascii="Arial" w:hAnsi="Arial" w:cs="Arial"/>
        <w:sz w:val="12"/>
      </w:rPr>
    </w:pPr>
    <w:fldSimple w:instr=" FILENAME \p \* MERGEFORMAT ">
      <w:r w:rsidR="00530F2D" w:rsidRPr="00530F2D">
        <w:rPr>
          <w:rFonts w:ascii="Arial" w:hAnsi="Arial" w:cs="Arial"/>
          <w:noProof/>
          <w:sz w:val="12"/>
        </w:rPr>
        <w:t>C</w:t>
      </w:r>
      <w:r w:rsidR="00530F2D">
        <w:rPr>
          <w:noProof/>
        </w:rPr>
        <w:t>:\Users\kathomson\AppData\Local\Microsoft\Windows\Temporary Internet Files\Outlook Temp\2013 Burma Evaluation - BC- Reactivate - BE Rangoon return (2).docx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21" w:rsidRDefault="00510A21" w:rsidP="003B3259">
      <w:pPr>
        <w:spacing w:after="0" w:line="240" w:lineRule="auto"/>
      </w:pPr>
      <w:r>
        <w:separator/>
      </w:r>
    </w:p>
  </w:footnote>
  <w:footnote w:type="continuationSeparator" w:id="0">
    <w:p w:rsidR="00510A21" w:rsidRDefault="00510A21" w:rsidP="003B3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62" w:rsidRDefault="003435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62" w:rsidRDefault="003435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62" w:rsidRDefault="003435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0E23"/>
    <w:multiLevelType w:val="hybridMultilevel"/>
    <w:tmpl w:val="FAB48AD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0BF732A"/>
    <w:multiLevelType w:val="hybridMultilevel"/>
    <w:tmpl w:val="34B45D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A72FA6"/>
    <w:multiLevelType w:val="hybridMultilevel"/>
    <w:tmpl w:val="7A32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2D08AE"/>
    <w:multiLevelType w:val="hybridMultilevel"/>
    <w:tmpl w:val="C5D04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A4498E"/>
    <w:multiLevelType w:val="hybridMultilevel"/>
    <w:tmpl w:val="43AA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697059"/>
    <w:multiLevelType w:val="hybridMultilevel"/>
    <w:tmpl w:val="28F6B1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2F1129B"/>
    <w:multiLevelType w:val="hybridMultilevel"/>
    <w:tmpl w:val="32E25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DE0528"/>
    <w:multiLevelType w:val="hybridMultilevel"/>
    <w:tmpl w:val="32460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0347F9"/>
    <w:multiLevelType w:val="hybridMultilevel"/>
    <w:tmpl w:val="C3FC0B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93D6EF5"/>
    <w:multiLevelType w:val="hybridMultilevel"/>
    <w:tmpl w:val="F1B8CCB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7"/>
  </w:num>
  <w:num w:numId="7">
    <w:abstractNumId w:val="0"/>
  </w:num>
  <w:num w:numId="8">
    <w:abstractNumId w:val="8"/>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3B3259"/>
    <w:rsid w:val="000023F5"/>
    <w:rsid w:val="000163EA"/>
    <w:rsid w:val="0002184B"/>
    <w:rsid w:val="00027F14"/>
    <w:rsid w:val="00045BE9"/>
    <w:rsid w:val="00050ACA"/>
    <w:rsid w:val="0006138E"/>
    <w:rsid w:val="00061BFC"/>
    <w:rsid w:val="00074326"/>
    <w:rsid w:val="00093CC0"/>
    <w:rsid w:val="000B33B6"/>
    <w:rsid w:val="000D4E24"/>
    <w:rsid w:val="00101982"/>
    <w:rsid w:val="00113F70"/>
    <w:rsid w:val="001219A7"/>
    <w:rsid w:val="00122C12"/>
    <w:rsid w:val="001263CE"/>
    <w:rsid w:val="00131B30"/>
    <w:rsid w:val="001439FA"/>
    <w:rsid w:val="00182607"/>
    <w:rsid w:val="001A7307"/>
    <w:rsid w:val="001C4482"/>
    <w:rsid w:val="001D6699"/>
    <w:rsid w:val="001E4ADB"/>
    <w:rsid w:val="00201E3C"/>
    <w:rsid w:val="002262C4"/>
    <w:rsid w:val="00227523"/>
    <w:rsid w:val="00243DFC"/>
    <w:rsid w:val="002452D0"/>
    <w:rsid w:val="0025010F"/>
    <w:rsid w:val="00261A77"/>
    <w:rsid w:val="002A364D"/>
    <w:rsid w:val="002C71BC"/>
    <w:rsid w:val="002D514A"/>
    <w:rsid w:val="002E5DF9"/>
    <w:rsid w:val="002E608E"/>
    <w:rsid w:val="00310067"/>
    <w:rsid w:val="00317B13"/>
    <w:rsid w:val="003203B4"/>
    <w:rsid w:val="003341D8"/>
    <w:rsid w:val="00343562"/>
    <w:rsid w:val="003445CE"/>
    <w:rsid w:val="0036741A"/>
    <w:rsid w:val="00382EB1"/>
    <w:rsid w:val="00386C85"/>
    <w:rsid w:val="00386D09"/>
    <w:rsid w:val="00391520"/>
    <w:rsid w:val="00396FE1"/>
    <w:rsid w:val="003B156B"/>
    <w:rsid w:val="003B3259"/>
    <w:rsid w:val="003E088C"/>
    <w:rsid w:val="003E15BA"/>
    <w:rsid w:val="003E4ACB"/>
    <w:rsid w:val="003E7871"/>
    <w:rsid w:val="003F180D"/>
    <w:rsid w:val="0043665C"/>
    <w:rsid w:val="004404F0"/>
    <w:rsid w:val="00440949"/>
    <w:rsid w:val="00492926"/>
    <w:rsid w:val="004A3292"/>
    <w:rsid w:val="00510A21"/>
    <w:rsid w:val="00511D57"/>
    <w:rsid w:val="00530F2D"/>
    <w:rsid w:val="00531631"/>
    <w:rsid w:val="0053208B"/>
    <w:rsid w:val="00561636"/>
    <w:rsid w:val="00565869"/>
    <w:rsid w:val="005832B4"/>
    <w:rsid w:val="00583C39"/>
    <w:rsid w:val="00591E34"/>
    <w:rsid w:val="00597D40"/>
    <w:rsid w:val="00600D65"/>
    <w:rsid w:val="006034E1"/>
    <w:rsid w:val="0061754E"/>
    <w:rsid w:val="006176CA"/>
    <w:rsid w:val="00622BD4"/>
    <w:rsid w:val="00651B9B"/>
    <w:rsid w:val="00665EB8"/>
    <w:rsid w:val="00701CF9"/>
    <w:rsid w:val="00780C83"/>
    <w:rsid w:val="00795F3B"/>
    <w:rsid w:val="007B5DF1"/>
    <w:rsid w:val="007C118F"/>
    <w:rsid w:val="007C3AB5"/>
    <w:rsid w:val="007C4DA0"/>
    <w:rsid w:val="007D4E54"/>
    <w:rsid w:val="007F2D01"/>
    <w:rsid w:val="007F73DD"/>
    <w:rsid w:val="00822E15"/>
    <w:rsid w:val="00824B59"/>
    <w:rsid w:val="0082533A"/>
    <w:rsid w:val="00834DD4"/>
    <w:rsid w:val="008778D0"/>
    <w:rsid w:val="00896871"/>
    <w:rsid w:val="008D67C0"/>
    <w:rsid w:val="008F71F6"/>
    <w:rsid w:val="00946785"/>
    <w:rsid w:val="00982CF6"/>
    <w:rsid w:val="00995E6C"/>
    <w:rsid w:val="00996819"/>
    <w:rsid w:val="009A2B69"/>
    <w:rsid w:val="009B47B7"/>
    <w:rsid w:val="009D16D3"/>
    <w:rsid w:val="009D7A0B"/>
    <w:rsid w:val="00A002ED"/>
    <w:rsid w:val="00A12997"/>
    <w:rsid w:val="00A1408A"/>
    <w:rsid w:val="00A366DB"/>
    <w:rsid w:val="00A606E8"/>
    <w:rsid w:val="00A770A4"/>
    <w:rsid w:val="00A82A75"/>
    <w:rsid w:val="00AB6C44"/>
    <w:rsid w:val="00AD1D17"/>
    <w:rsid w:val="00AF4BE6"/>
    <w:rsid w:val="00B0310D"/>
    <w:rsid w:val="00B04889"/>
    <w:rsid w:val="00B1271A"/>
    <w:rsid w:val="00B5266D"/>
    <w:rsid w:val="00B63EA3"/>
    <w:rsid w:val="00B66439"/>
    <w:rsid w:val="00B8106D"/>
    <w:rsid w:val="00B96617"/>
    <w:rsid w:val="00BA02C0"/>
    <w:rsid w:val="00BA6B3F"/>
    <w:rsid w:val="00BB2D1B"/>
    <w:rsid w:val="00BB31F3"/>
    <w:rsid w:val="00BD4D02"/>
    <w:rsid w:val="00BE4167"/>
    <w:rsid w:val="00BF4A17"/>
    <w:rsid w:val="00C16CB3"/>
    <w:rsid w:val="00C437F1"/>
    <w:rsid w:val="00C4656F"/>
    <w:rsid w:val="00C46653"/>
    <w:rsid w:val="00C5117A"/>
    <w:rsid w:val="00C6015B"/>
    <w:rsid w:val="00C82335"/>
    <w:rsid w:val="00C82E29"/>
    <w:rsid w:val="00C84361"/>
    <w:rsid w:val="00C94678"/>
    <w:rsid w:val="00CA1C1C"/>
    <w:rsid w:val="00CA22A5"/>
    <w:rsid w:val="00CB4994"/>
    <w:rsid w:val="00CB6A6D"/>
    <w:rsid w:val="00CC4C38"/>
    <w:rsid w:val="00CD17D6"/>
    <w:rsid w:val="00CE6676"/>
    <w:rsid w:val="00CF7391"/>
    <w:rsid w:val="00D114F8"/>
    <w:rsid w:val="00D35D26"/>
    <w:rsid w:val="00D37320"/>
    <w:rsid w:val="00D44969"/>
    <w:rsid w:val="00D50EA2"/>
    <w:rsid w:val="00D52718"/>
    <w:rsid w:val="00D57C76"/>
    <w:rsid w:val="00D607CF"/>
    <w:rsid w:val="00D63BC6"/>
    <w:rsid w:val="00D849A6"/>
    <w:rsid w:val="00DA3ABD"/>
    <w:rsid w:val="00DB64AE"/>
    <w:rsid w:val="00DC5FDA"/>
    <w:rsid w:val="00DF5320"/>
    <w:rsid w:val="00E262B8"/>
    <w:rsid w:val="00E50276"/>
    <w:rsid w:val="00E6484B"/>
    <w:rsid w:val="00E91B08"/>
    <w:rsid w:val="00EA78FD"/>
    <w:rsid w:val="00EB7746"/>
    <w:rsid w:val="00F14777"/>
    <w:rsid w:val="00F215C4"/>
    <w:rsid w:val="00F23759"/>
    <w:rsid w:val="00F23B01"/>
    <w:rsid w:val="00F54FF1"/>
    <w:rsid w:val="00F847A2"/>
    <w:rsid w:val="00FB5965"/>
    <w:rsid w:val="00FC67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97"/>
  </w:style>
  <w:style w:type="paragraph" w:styleId="Heading2">
    <w:name w:val="heading 2"/>
    <w:basedOn w:val="Normal"/>
    <w:next w:val="Normal"/>
    <w:link w:val="Heading2Char"/>
    <w:qFormat/>
    <w:rsid w:val="00597D40"/>
    <w:pPr>
      <w:keepNext/>
      <w:spacing w:after="0" w:line="240" w:lineRule="auto"/>
      <w:ind w:left="747" w:hanging="747"/>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2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259"/>
  </w:style>
  <w:style w:type="paragraph" w:styleId="Footer">
    <w:name w:val="footer"/>
    <w:basedOn w:val="Normal"/>
    <w:link w:val="FooterChar"/>
    <w:uiPriority w:val="99"/>
    <w:semiHidden/>
    <w:unhideWhenUsed/>
    <w:rsid w:val="003B32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259"/>
  </w:style>
  <w:style w:type="paragraph" w:styleId="BalloonText">
    <w:name w:val="Balloon Text"/>
    <w:basedOn w:val="Normal"/>
    <w:link w:val="BalloonTextChar"/>
    <w:uiPriority w:val="99"/>
    <w:semiHidden/>
    <w:unhideWhenUsed/>
    <w:rsid w:val="00C6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5B"/>
    <w:rPr>
      <w:rFonts w:ascii="Tahoma" w:hAnsi="Tahoma" w:cs="Tahoma"/>
      <w:sz w:val="16"/>
      <w:szCs w:val="16"/>
    </w:rPr>
  </w:style>
  <w:style w:type="table" w:styleId="TableGrid">
    <w:name w:val="Table Grid"/>
    <w:basedOn w:val="TableNormal"/>
    <w:uiPriority w:val="59"/>
    <w:rsid w:val="00C6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B69"/>
    <w:rPr>
      <w:color w:val="0000FF" w:themeColor="hyperlink"/>
      <w:u w:val="single"/>
    </w:rPr>
  </w:style>
  <w:style w:type="character" w:styleId="FollowedHyperlink">
    <w:name w:val="FollowedHyperlink"/>
    <w:basedOn w:val="DefaultParagraphFont"/>
    <w:uiPriority w:val="99"/>
    <w:semiHidden/>
    <w:unhideWhenUsed/>
    <w:rsid w:val="009A2B69"/>
    <w:rPr>
      <w:color w:val="800080" w:themeColor="followedHyperlink"/>
      <w:u w:val="single"/>
    </w:rPr>
  </w:style>
  <w:style w:type="paragraph" w:styleId="ListParagraph">
    <w:name w:val="List Paragraph"/>
    <w:basedOn w:val="Normal"/>
    <w:uiPriority w:val="34"/>
    <w:qFormat/>
    <w:rsid w:val="007C118F"/>
    <w:pPr>
      <w:ind w:left="720"/>
      <w:contextualSpacing/>
    </w:pPr>
  </w:style>
  <w:style w:type="character" w:customStyle="1" w:styleId="Heading2Char">
    <w:name w:val="Heading 2 Char"/>
    <w:basedOn w:val="DefaultParagraphFont"/>
    <w:link w:val="Heading2"/>
    <w:rsid w:val="00597D40"/>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83651955">
      <w:bodyDiv w:val="1"/>
      <w:marLeft w:val="0"/>
      <w:marRight w:val="0"/>
      <w:marTop w:val="0"/>
      <w:marBottom w:val="0"/>
      <w:divBdr>
        <w:top w:val="none" w:sz="0" w:space="0" w:color="auto"/>
        <w:left w:val="none" w:sz="0" w:space="0" w:color="auto"/>
        <w:bottom w:val="none" w:sz="0" w:space="0" w:color="auto"/>
        <w:right w:val="none" w:sz="0" w:space="0" w:color="auto"/>
      </w:divBdr>
    </w:div>
    <w:div w:id="560094877">
      <w:bodyDiv w:val="1"/>
      <w:marLeft w:val="0"/>
      <w:marRight w:val="0"/>
      <w:marTop w:val="0"/>
      <w:marBottom w:val="0"/>
      <w:divBdr>
        <w:top w:val="none" w:sz="0" w:space="0" w:color="auto"/>
        <w:left w:val="none" w:sz="0" w:space="0" w:color="auto"/>
        <w:bottom w:val="none" w:sz="0" w:space="0" w:color="auto"/>
        <w:right w:val="none" w:sz="0" w:space="0" w:color="auto"/>
      </w:divBdr>
    </w:div>
    <w:div w:id="712386555">
      <w:bodyDiv w:val="1"/>
      <w:marLeft w:val="0"/>
      <w:marRight w:val="0"/>
      <w:marTop w:val="0"/>
      <w:marBottom w:val="0"/>
      <w:divBdr>
        <w:top w:val="none" w:sz="0" w:space="0" w:color="auto"/>
        <w:left w:val="none" w:sz="0" w:space="0" w:color="auto"/>
        <w:bottom w:val="none" w:sz="0" w:space="0" w:color="auto"/>
        <w:right w:val="none" w:sz="0" w:space="0" w:color="auto"/>
      </w:divBdr>
    </w:div>
    <w:div w:id="1206059886">
      <w:bodyDiv w:val="1"/>
      <w:marLeft w:val="0"/>
      <w:marRight w:val="0"/>
      <w:marTop w:val="0"/>
      <w:marBottom w:val="0"/>
      <w:divBdr>
        <w:top w:val="none" w:sz="0" w:space="0" w:color="auto"/>
        <w:left w:val="none" w:sz="0" w:space="0" w:color="auto"/>
        <w:bottom w:val="none" w:sz="0" w:space="0" w:color="auto"/>
        <w:right w:val="none" w:sz="0" w:space="0" w:color="auto"/>
      </w:divBdr>
    </w:div>
    <w:div w:id="1920403223">
      <w:bodyDiv w:val="1"/>
      <w:marLeft w:val="0"/>
      <w:marRight w:val="0"/>
      <w:marTop w:val="0"/>
      <w:marBottom w:val="0"/>
      <w:divBdr>
        <w:top w:val="none" w:sz="0" w:space="0" w:color="auto"/>
        <w:left w:val="none" w:sz="0" w:space="0" w:color="auto"/>
        <w:bottom w:val="none" w:sz="0" w:space="0" w:color="auto"/>
        <w:right w:val="none" w:sz="0" w:space="0" w:color="auto"/>
      </w:divBdr>
    </w:div>
    <w:div w:id="1987778817">
      <w:bodyDiv w:val="1"/>
      <w:marLeft w:val="0"/>
      <w:marRight w:val="0"/>
      <w:marTop w:val="0"/>
      <w:marBottom w:val="0"/>
      <w:divBdr>
        <w:top w:val="none" w:sz="0" w:space="0" w:color="auto"/>
        <w:left w:val="none" w:sz="0" w:space="0" w:color="auto"/>
        <w:bottom w:val="none" w:sz="0" w:space="0" w:color="auto"/>
        <w:right w:val="none" w:sz="0" w:space="0" w:color="auto"/>
      </w:divBdr>
    </w:div>
    <w:div w:id="20975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119D0-7BB4-4FC6-BEDA-AF62D53E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evaluation form</vt:lpstr>
    </vt:vector>
  </TitlesOfParts>
  <Company>FCO</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creator>acowan</dc:creator>
  <cp:lastModifiedBy>mbyrd</cp:lastModifiedBy>
  <cp:revision>2</cp:revision>
  <cp:lastPrinted>2013-09-04T14:08:00Z</cp:lastPrinted>
  <dcterms:created xsi:type="dcterms:W3CDTF">2014-06-25T13:44:00Z</dcterms:created>
  <dcterms:modified xsi:type="dcterms:W3CDTF">2014-06-25T13:44:00Z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2013-07-04T23:00:00Z</vt:filetime>
  </property>
</Properties>
</file>