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C07AC3"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proofErr w:type="gramStart"/>
      <w:r w:rsidRPr="00E932CA">
        <w:t>and</w:t>
      </w:r>
      <w:proofErr w:type="gramEnd"/>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Pr="00E932CA" w:rsidRDefault="00634626"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55060" w:rsidRPr="00E932CA" w:rsidRDefault="00B55060" w:rsidP="00B55060">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55060" w:rsidRPr="00E932CA" w:rsidRDefault="00B55060" w:rsidP="00B55060"/>
    <w:p w:rsidR="00634626" w:rsidRPr="00E932CA" w:rsidRDefault="00B55060" w:rsidP="00634626">
      <w:pPr>
        <w:ind w:left="1080"/>
      </w:pPr>
      <w:r w:rsidRPr="00E932CA">
        <w:rPr>
          <w:b/>
        </w:rPr>
        <w:t xml:space="preserve">‘Project </w:t>
      </w:r>
      <w:proofErr w:type="gramStart"/>
      <w:r w:rsidRPr="00E932CA">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634626" w:rsidRPr="00E932CA" w:rsidRDefault="00634626" w:rsidP="00634626">
      <w:pPr>
        <w:pStyle w:val="ListParagraph"/>
        <w:numPr>
          <w:ilvl w:val="1"/>
          <w:numId w:val="33"/>
        </w:numPr>
        <w:rPr>
          <w:rFonts w:cs="Arial"/>
        </w:rPr>
      </w:pPr>
      <w:r w:rsidRPr="00E932CA">
        <w:rPr>
          <w:b/>
        </w:rPr>
        <w:lastRenderedPageBreak/>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1D1F30" w:rsidRPr="00E932CA"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Pr="00E932CA" w:rsidRDefault="001D1F30"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r>
      <w:proofErr w:type="gramStart"/>
      <w:r w:rsidRPr="00E932CA">
        <w:rPr>
          <w:rFonts w:cs="Arial"/>
        </w:rPr>
        <w:t>signed</w:t>
      </w:r>
      <w:proofErr w:type="gramEnd"/>
      <w:r w:rsidRPr="00E932CA">
        <w:rPr>
          <w:rFonts w:cs="Arial"/>
        </w:rPr>
        <w:t xml:space="preserve">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r>
      <w:proofErr w:type="gramStart"/>
      <w:r w:rsidRPr="00E932CA">
        <w:rPr>
          <w:rFonts w:cs="Arial"/>
        </w:rPr>
        <w:t>complied</w:t>
      </w:r>
      <w:proofErr w:type="gramEnd"/>
      <w:r w:rsidRPr="00E932CA">
        <w:rPr>
          <w:rFonts w:cs="Arial"/>
        </w:rPr>
        <w:t xml:space="preserve">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Pr="00E932CA" w:rsidRDefault="001D1F30" w:rsidP="001D1F30">
      <w:pPr>
        <w:rPr>
          <w:rFonts w:cs="Arial"/>
        </w:rPr>
      </w:pPr>
      <w:r w:rsidRPr="00E932CA">
        <w:rPr>
          <w:rFonts w:cs="Arial"/>
        </w:rPr>
        <w:t xml:space="preserve"> </w:t>
      </w: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r>
      <w:proofErr w:type="gramStart"/>
      <w:r w:rsidRPr="00E932CA">
        <w:t>contain</w:t>
      </w:r>
      <w:proofErr w:type="gramEnd"/>
      <w:r w:rsidRPr="00E932CA">
        <w:t xml:space="preserve">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r>
      <w:proofErr w:type="gramStart"/>
      <w:r w:rsidRPr="00E932CA">
        <w:t>refer</w:t>
      </w:r>
      <w:proofErr w:type="gramEnd"/>
      <w:r w:rsidRPr="00E932CA">
        <w:t xml:space="preserve"> to the indicators of success in Annex A (the Final Bid Form).</w:t>
      </w:r>
    </w:p>
    <w:p w:rsidR="001D1F30" w:rsidRPr="00E932CA" w:rsidRDefault="001D1F30" w:rsidP="001D1F30"/>
    <w:p w:rsidR="001D1F30" w:rsidRPr="00E932CA" w:rsidRDefault="001D1F30" w:rsidP="001D1F30">
      <w:r w:rsidRPr="00E932CA">
        <w:t>7.1.2</w:t>
      </w:r>
      <w:r w:rsidRPr="00E932CA">
        <w:tab/>
        <w:t xml:space="preserve">The </w:t>
      </w:r>
      <w:r w:rsidRPr="00E932CA">
        <w:rPr>
          <w:b/>
        </w:rPr>
        <w:t>financial reports</w:t>
      </w:r>
      <w:r w:rsidRPr="00E932CA">
        <w:t xml:space="preserve"> shall state: </w:t>
      </w:r>
    </w:p>
    <w:p w:rsidR="001D1F30" w:rsidRPr="00E932CA" w:rsidRDefault="001D1F30" w:rsidP="001D1F30">
      <w:r w:rsidRPr="00E932CA">
        <w:tab/>
        <w:t>(a)</w:t>
      </w:r>
      <w:r w:rsidRPr="00E932CA">
        <w:tab/>
      </w:r>
      <w:proofErr w:type="gramStart"/>
      <w:r w:rsidRPr="00E932CA">
        <w:t>how</w:t>
      </w:r>
      <w:proofErr w:type="gramEnd"/>
      <w:r w:rsidRPr="00E932CA">
        <w:t xml:space="preserve"> much funding was spent</w:t>
      </w:r>
    </w:p>
    <w:p w:rsidR="001D1F30" w:rsidRPr="00E932CA" w:rsidRDefault="001D1F30" w:rsidP="001D1F30">
      <w:r w:rsidRPr="00E932CA">
        <w:tab/>
        <w:t>(b)</w:t>
      </w:r>
      <w:r w:rsidRPr="00E932CA">
        <w:tab/>
      </w:r>
      <w:proofErr w:type="gramStart"/>
      <w:r w:rsidRPr="00E932CA">
        <w:t>the</w:t>
      </w:r>
      <w:proofErr w:type="gramEnd"/>
      <w:r w:rsidRPr="00E932CA">
        <w:t xml:space="preserve"> purpose of the expenditure in (a) above</w:t>
      </w:r>
    </w:p>
    <w:p w:rsidR="001D1F30" w:rsidRPr="00E932CA" w:rsidRDefault="001D1F30" w:rsidP="001D1F30">
      <w:r w:rsidRPr="00E932CA">
        <w:tab/>
        <w:t>(c)</w:t>
      </w:r>
      <w:r w:rsidRPr="00E932CA">
        <w:tab/>
      </w:r>
      <w:proofErr w:type="gramStart"/>
      <w:r w:rsidRPr="00E932CA">
        <w:t>whether</w:t>
      </w:r>
      <w:proofErr w:type="gramEnd"/>
      <w:r w:rsidRPr="00E932CA">
        <w:t xml:space="preserve"> any funding was used for consultant’s fees or travel expenses. </w:t>
      </w:r>
    </w:p>
    <w:p w:rsidR="001D1F30" w:rsidRPr="00E932CA" w:rsidRDefault="001D1F30" w:rsidP="001D1F30">
      <w:pPr>
        <w:pStyle w:val="Heading1"/>
        <w:spacing w:before="0" w:after="0"/>
        <w:ind w:left="851" w:hanging="851"/>
        <w:rPr>
          <w:rFonts w:cs="Arial"/>
          <w:b w:val="0"/>
          <w:sz w:val="22"/>
          <w:szCs w:val="22"/>
        </w:rPr>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7.2</w:t>
      </w:r>
      <w:r w:rsidRPr="00E932CA">
        <w:rPr>
          <w:rFonts w:cs="Arial"/>
          <w:b w:val="0"/>
          <w:sz w:val="22"/>
          <w:szCs w:val="22"/>
        </w:rPr>
        <w:tab/>
        <w:t xml:space="preserve">When the Project has been completed the Grantee shall prepare and send a final report (“the </w:t>
      </w:r>
      <w:r w:rsidRPr="00E932CA">
        <w:rPr>
          <w:rFonts w:cs="Arial"/>
          <w:sz w:val="22"/>
          <w:szCs w:val="22"/>
        </w:rPr>
        <w:t>Project Completion Report</w:t>
      </w:r>
      <w:r w:rsidRPr="00E932CA">
        <w:rPr>
          <w:rFonts w:cs="Arial"/>
          <w:b w:val="0"/>
          <w:sz w:val="22"/>
          <w:szCs w:val="22"/>
        </w:rPr>
        <w:t xml:space="preserve">”) to the Authority within the period that the Authority requests. This report shall contain a detailed breakdown of all expenditure for the </w:t>
      </w:r>
      <w:r w:rsidR="00FC69C7" w:rsidRPr="00E932CA">
        <w:rPr>
          <w:rFonts w:cs="Arial"/>
          <w:b w:val="0"/>
          <w:sz w:val="22"/>
          <w:szCs w:val="22"/>
        </w:rPr>
        <w:t>grant funding period</w:t>
      </w:r>
      <w:r w:rsidRPr="00E932CA">
        <w:rPr>
          <w:rFonts w:cs="Arial"/>
          <w:b w:val="0"/>
          <w:sz w:val="22"/>
          <w:szCs w:val="22"/>
        </w:rPr>
        <w:t xml:space="preserve">. The Authority will only make a final grant payment when the Project Completion Report has been submitted to the relevant representative of the Authority, in the format requested and with all of the information that is required. </w:t>
      </w:r>
    </w:p>
    <w:p w:rsidR="001D1F30" w:rsidRPr="00E932CA" w:rsidRDefault="001D1F30" w:rsidP="001D1F30"/>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proofErr w:type="gramStart"/>
      <w:r w:rsidRPr="00E932CA">
        <w:t>to</w:t>
      </w:r>
      <w:proofErr w:type="gramEnd"/>
      <w:r w:rsidRPr="00E932CA">
        <w:t xml:space="preserve">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r>
      <w:proofErr w:type="gramStart"/>
      <w:r w:rsidRPr="00E932CA">
        <w:t>make</w:t>
      </w:r>
      <w:proofErr w:type="gramEnd"/>
      <w:r w:rsidRPr="00E932CA">
        <w:t xml:space="preserv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r>
      <w:proofErr w:type="gramStart"/>
      <w:r w:rsidRPr="00E932CA">
        <w:t>commission</w:t>
      </w:r>
      <w:proofErr w:type="gramEnd"/>
      <w:r w:rsidRPr="00E932CA">
        <w:t xml:space="preserve">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w:t>
      </w:r>
      <w:proofErr w:type="gramStart"/>
      <w:r w:rsidRPr="00E932CA">
        <w:rPr>
          <w:rFonts w:cs="Arial"/>
        </w:rPr>
        <w:t>this</w:t>
      </w:r>
      <w:proofErr w:type="gramEnd"/>
      <w:r w:rsidRPr="00E932CA">
        <w:rPr>
          <w:rFonts w:cs="Arial"/>
        </w:rPr>
        <w:t xml:space="preserve">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u w:val="single"/>
        </w:rPr>
      </w:pPr>
      <w:r w:rsidRPr="00E932CA">
        <w:rPr>
          <w:rFonts w:cs="Arial"/>
          <w:u w:val="single"/>
        </w:rPr>
        <w:t>Equipment – Purchase and disposal</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lastRenderedPageBreak/>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w:t>
      </w:r>
      <w:proofErr w:type="gramStart"/>
      <w:r w:rsidRPr="00E932CA">
        <w:rPr>
          <w:rFonts w:cs="Arial"/>
          <w:b w:val="0"/>
          <w:sz w:val="22"/>
          <w:szCs w:val="22"/>
        </w:rPr>
        <w:t>a</w:t>
      </w:r>
      <w:proofErr w:type="gramEnd"/>
      <w:r w:rsidRPr="00E932CA">
        <w:rPr>
          <w:rFonts w:cs="Arial"/>
          <w:b w:val="0"/>
          <w:sz w:val="22"/>
          <w:szCs w:val="22"/>
        </w:rPr>
        <w:t>)</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Pr="00E932CA" w:rsidRDefault="001D1F30"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lastRenderedPageBreak/>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Default"/>
        <w:rPr>
          <w:sz w:val="23"/>
          <w:szCs w:val="23"/>
        </w:rPr>
      </w:pPr>
      <w:r w:rsidRPr="00E932CA">
        <w:rPr>
          <w:sz w:val="23"/>
          <w:szCs w:val="23"/>
        </w:rPr>
        <w:t>11</w:t>
      </w:r>
      <w:r w:rsidR="001D1F30" w:rsidRPr="00E932CA">
        <w:rPr>
          <w:sz w:val="23"/>
          <w:szCs w:val="23"/>
        </w:rPr>
        <w:t>.1</w:t>
      </w:r>
      <w:r w:rsidR="001D1F30" w:rsidRPr="00E932CA">
        <w:rPr>
          <w:sz w:val="23"/>
          <w:szCs w:val="23"/>
        </w:rPr>
        <w:tab/>
        <w:t xml:space="preserve">The Grantee acknowledges that the Authority shall disclose payments made </w:t>
      </w:r>
      <w:r w:rsidR="001D1F30" w:rsidRPr="00E932CA">
        <w:rPr>
          <w:sz w:val="23"/>
          <w:szCs w:val="23"/>
        </w:rPr>
        <w:tab/>
        <w:t xml:space="preserve">under this Grant Contract with a value of twenty five thousand pounds </w:t>
      </w:r>
    </w:p>
    <w:p w:rsidR="001D1F30" w:rsidRPr="00E932CA" w:rsidRDefault="001D1F30" w:rsidP="001D1F30">
      <w:pPr>
        <w:pStyle w:val="Default"/>
        <w:rPr>
          <w:rFonts w:ascii="Times New Roman" w:hAnsi="Times New Roman" w:cs="Times New Roman"/>
          <w:sz w:val="16"/>
          <w:szCs w:val="16"/>
        </w:rPr>
      </w:pPr>
      <w:r w:rsidRPr="00E932CA">
        <w:rPr>
          <w:sz w:val="23"/>
          <w:szCs w:val="23"/>
        </w:rPr>
        <w:tab/>
      </w:r>
      <w:proofErr w:type="gramStart"/>
      <w:r w:rsidRPr="00E932CA">
        <w:rPr>
          <w:sz w:val="23"/>
          <w:szCs w:val="23"/>
        </w:rPr>
        <w:t xml:space="preserve">(£25, 000) or more in accordance with the UK Government’s transparency </w:t>
      </w:r>
      <w:r w:rsidRPr="00E932CA">
        <w:rPr>
          <w:sz w:val="23"/>
          <w:szCs w:val="23"/>
        </w:rPr>
        <w:tab/>
        <w:t>agenda.</w:t>
      </w:r>
      <w:proofErr w:type="gramEnd"/>
      <w:r w:rsidRPr="00E932CA">
        <w:rPr>
          <w:sz w:val="23"/>
          <w:szCs w:val="23"/>
        </w:rPr>
        <w:t xml:space="preserve">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r>
      <w:proofErr w:type="gramStart"/>
      <w:r w:rsidR="001D1F30" w:rsidRPr="00E932CA">
        <w:rPr>
          <w:rFonts w:cs="Arial"/>
        </w:rPr>
        <w:t>its</w:t>
      </w:r>
      <w:proofErr w:type="gramEnd"/>
      <w:r w:rsidR="001D1F30" w:rsidRPr="00E932CA">
        <w:rPr>
          <w:rFonts w:cs="Arial"/>
        </w:rPr>
        <w:t xml:space="preserve">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Pr="00E932CA" w:rsidRDefault="001D1F30"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Authority’s  position and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Pr="00E932CA" w:rsidRDefault="001D1F30" w:rsidP="001D1F30">
      <w:pPr>
        <w:pStyle w:val="Heading1"/>
        <w:spacing w:before="0" w:after="0"/>
        <w:rPr>
          <w:rFonts w:cs="Arial"/>
          <w:sz w:val="22"/>
          <w:szCs w:val="22"/>
        </w:rPr>
      </w:pPr>
    </w:p>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proofErr w:type="gramStart"/>
      <w:r w:rsidRPr="00E932CA">
        <w:t>the</w:t>
      </w:r>
      <w:proofErr w:type="gramEnd"/>
      <w:r w:rsidRPr="00E932CA">
        <w:t xml:space="preserv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tab/>
        <w:t>(a)</w:t>
      </w:r>
      <w:r w:rsidRPr="00E932CA">
        <w:rPr>
          <w:rFonts w:cs="Arial"/>
        </w:rPr>
        <w:tab/>
      </w:r>
      <w:proofErr w:type="gramStart"/>
      <w:r w:rsidRPr="00E932CA">
        <w:rPr>
          <w:rFonts w:cs="Arial"/>
        </w:rPr>
        <w:t>any</w:t>
      </w:r>
      <w:proofErr w:type="gramEnd"/>
      <w:r w:rsidRPr="00E932CA">
        <w:rPr>
          <w:rFonts w:cs="Arial"/>
        </w:rPr>
        <w:t xml:space="preserve">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lastRenderedPageBreak/>
        <w:t>15.4</w:t>
      </w:r>
      <w:r w:rsidR="001D1F30" w:rsidRPr="00E932CA">
        <w:rPr>
          <w:rFonts w:cs="Arial"/>
        </w:rPr>
        <w:tab/>
        <w:t>On termination of this Grant Contract the Grantee shall provide financial and narrative reports (including invoices and receipts) up to the date of such termination.</w:t>
      </w:r>
    </w:p>
    <w:p w:rsidR="001D1F30" w:rsidRPr="00E932CA" w:rsidRDefault="001D1F30" w:rsidP="001D1F30">
      <w:pPr>
        <w:ind w:left="851" w:hanging="851"/>
        <w:rPr>
          <w:rFonts w:cs="Arial"/>
        </w:rPr>
      </w:pPr>
      <w:r w:rsidRPr="00E932CA">
        <w:rPr>
          <w:rFonts w:cs="Arial"/>
        </w:rPr>
        <w:t xml:space="preserve"> </w:t>
      </w: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Pr="00E932CA" w:rsidRDefault="001D1F30"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lastRenderedPageBreak/>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w:t>
      </w:r>
      <w:proofErr w:type="gramStart"/>
      <w:r w:rsidR="00194ADC" w:rsidRPr="00E932CA">
        <w:rPr>
          <w:rFonts w:cs="Arial"/>
        </w:rPr>
        <w:t>to carry</w:t>
      </w:r>
      <w:proofErr w:type="gramEnd"/>
      <w:r w:rsidR="00194ADC" w:rsidRPr="00E932CA">
        <w:rPr>
          <w:rFonts w:cs="Arial"/>
        </w:rPr>
        <w:t xml:space="preserve">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w:t>
      </w:r>
      <w:proofErr w:type="gramStart"/>
      <w:r w:rsidRPr="00E932CA">
        <w:rPr>
          <w:rFonts w:cs="Arial"/>
        </w:rPr>
        <w:t>the</w:t>
      </w:r>
      <w:proofErr w:type="gramEnd"/>
      <w:r w:rsidRPr="00E932CA">
        <w:rPr>
          <w:rFonts w:cs="Arial"/>
        </w:rPr>
        <w:t xml:space="preserv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r>
      <w:proofErr w:type="gramStart"/>
      <w:r w:rsidRPr="00E932CA">
        <w:rPr>
          <w:rFonts w:cs="Arial"/>
        </w:rPr>
        <w:t>the</w:t>
      </w:r>
      <w:proofErr w:type="gramEnd"/>
      <w:r w:rsidRPr="00E932CA">
        <w:rPr>
          <w:rFonts w:cs="Arial"/>
        </w:rPr>
        <w:t xml:space="preserve"> principles of transparency, legitimate purpose and proportionality; or </w:t>
      </w:r>
    </w:p>
    <w:p w:rsidR="001D1F30" w:rsidRPr="00E932CA" w:rsidRDefault="00194ADC" w:rsidP="001D1F30">
      <w:pPr>
        <w:ind w:left="851" w:hanging="851"/>
        <w:rPr>
          <w:rFonts w:cs="Arial"/>
        </w:rPr>
      </w:pPr>
      <w:r w:rsidRPr="00E932CA">
        <w:rPr>
          <w:rFonts w:cs="Arial"/>
        </w:rPr>
        <w:tab/>
        <w:t>(c)</w:t>
      </w:r>
      <w:r w:rsidRPr="00E932CA">
        <w:rPr>
          <w:rFonts w:cs="Arial"/>
        </w:rPr>
        <w:tab/>
      </w:r>
      <w:proofErr w:type="gramStart"/>
      <w:r w:rsidRPr="00E932CA">
        <w:rPr>
          <w:rFonts w:cs="Arial"/>
        </w:rPr>
        <w:t>any</w:t>
      </w:r>
      <w:proofErr w:type="gramEnd"/>
      <w:r w:rsidRPr="00E932CA">
        <w:rPr>
          <w:rFonts w:cs="Arial"/>
        </w:rPr>
        <w:t xml:space="preserve">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lastRenderedPageBreak/>
        <w:t>2</w:t>
      </w:r>
      <w:r w:rsidR="00F82CB7">
        <w:rPr>
          <w:rFonts w:cs="Arial"/>
        </w:rPr>
        <w:t>1</w:t>
      </w:r>
      <w:r w:rsidRPr="00E932CA">
        <w:rPr>
          <w:rFonts w:cs="Arial"/>
        </w:rPr>
        <w:t>.3</w:t>
      </w:r>
      <w:r w:rsidRPr="00E932CA">
        <w:rPr>
          <w:rFonts w:cs="Arial"/>
        </w:rPr>
        <w:tab/>
      </w:r>
      <w:proofErr w:type="gramStart"/>
      <w:r w:rsidRPr="00E932CA">
        <w:rPr>
          <w:rFonts w:cs="Arial"/>
        </w:rPr>
        <w:t>If  the</w:t>
      </w:r>
      <w:proofErr w:type="gramEnd"/>
      <w:r w:rsidRPr="00E932CA">
        <w:rPr>
          <w:rFonts w:cs="Arial"/>
        </w:rPr>
        <w:t xml:space="preserv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p>
    <w:p w:rsidR="001D1F30" w:rsidRPr="00E932CA" w:rsidRDefault="001D1F30" w:rsidP="001D1F30">
      <w:pPr>
        <w:ind w:left="720" w:hanging="720"/>
        <w:rPr>
          <w:rFonts w:cs="Arial"/>
          <w:i/>
        </w:rPr>
      </w:pPr>
    </w:p>
    <w:p w:rsidR="00535EE6" w:rsidRPr="00E932CA" w:rsidRDefault="00535EE6" w:rsidP="00D5135A">
      <w:pPr>
        <w:ind w:left="720" w:hanging="720"/>
        <w:rPr>
          <w:rFonts w:cs="Arial"/>
        </w:rPr>
      </w:pPr>
    </w:p>
    <w:p w:rsidR="00535EE6" w:rsidRPr="00E932CA" w:rsidRDefault="001D1F30" w:rsidP="00D5135A">
      <w:pPr>
        <w:ind w:left="720" w:hanging="720"/>
        <w:rPr>
          <w:rFonts w:cs="Arial"/>
        </w:rPr>
      </w:pPr>
      <w:r w:rsidRPr="00E932CA">
        <w:rPr>
          <w:rFonts w:cs="Arial"/>
        </w:rPr>
        <w:t xml:space="preserve"> </w:t>
      </w:r>
    </w:p>
    <w:p w:rsidR="00103FF4" w:rsidRPr="00E932CA" w:rsidRDefault="001D1F30">
      <w:pPr>
        <w:ind w:left="720"/>
        <w:rPr>
          <w:rFonts w:cs="Arial"/>
        </w:rPr>
      </w:pPr>
      <w:r w:rsidRPr="00E932CA">
        <w:rPr>
          <w:rFonts w:cs="Arial"/>
        </w:rPr>
        <w:t xml:space="preserve"> </w:t>
      </w:r>
    </w:p>
    <w:p w:rsidR="00AC56ED" w:rsidRPr="00E932CA" w:rsidRDefault="001D1F30" w:rsidP="001D1F30">
      <w:pPr>
        <w:ind w:left="720" w:hanging="720"/>
        <w:rPr>
          <w:rFonts w:cs="Arial"/>
        </w:rPr>
      </w:pPr>
      <w:r w:rsidRPr="00E932CA">
        <w:rPr>
          <w:rFonts w:cs="Arial"/>
        </w:rPr>
        <w:t xml:space="preserve"> </w:t>
      </w:r>
      <w:r w:rsidR="00056900" w:rsidRPr="00E932CA">
        <w:rPr>
          <w:rFonts w:cs="Arial"/>
        </w:rPr>
        <w:t xml:space="preserve"> </w:t>
      </w:r>
      <w:bookmarkStart w:id="0" w:name="_Toc190686704"/>
      <w:bookmarkStart w:id="1" w:name="_Ref137612395"/>
      <w:bookmarkStart w:id="2" w:name="_Ref137611790"/>
      <w:bookmarkStart w:id="3" w:name="_Ref172375764"/>
      <w:bookmarkEnd w:id="0"/>
      <w:bookmarkEnd w:id="1"/>
      <w:bookmarkEnd w:id="2"/>
      <w:bookmarkEnd w:id="3"/>
      <w:r w:rsidRPr="00E932CA">
        <w:rPr>
          <w:rFonts w:cs="Arial"/>
        </w:rPr>
        <w:t xml:space="preserve"> </w:t>
      </w:r>
    </w:p>
    <w:p w:rsidR="00DC7FA3" w:rsidRPr="00E932CA" w:rsidRDefault="00DC7FA3" w:rsidP="00DC7FA3">
      <w:pPr>
        <w:ind w:left="720" w:hanging="720"/>
        <w:rPr>
          <w:rFonts w:cs="Arial"/>
        </w:rPr>
      </w:pP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r>
      <w:proofErr w:type="gramStart"/>
      <w:r w:rsidRPr="00E932CA">
        <w:rPr>
          <w:b w:val="0"/>
        </w:rPr>
        <w:t>The</w:t>
      </w:r>
      <w:proofErr w:type="gramEnd"/>
      <w:r w:rsidRPr="00E932CA">
        <w:rPr>
          <w:b w:val="0"/>
        </w:rPr>
        <w:t xml:space="preserv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 xml:space="preserve">Annex </w:t>
      </w:r>
      <w:proofErr w:type="gramStart"/>
      <w:r w:rsidR="00064BE8" w:rsidRPr="00E932CA">
        <w:rPr>
          <w:sz w:val="28"/>
          <w:szCs w:val="28"/>
        </w:rPr>
        <w:t>B  The</w:t>
      </w:r>
      <w:proofErr w:type="gramEnd"/>
      <w:r w:rsidR="00064BE8" w:rsidRPr="00E932CA">
        <w:rPr>
          <w:sz w:val="28"/>
          <w:szCs w:val="28"/>
        </w:rPr>
        <w:t xml:space="preserv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1D1F30">
      <w:pPr>
        <w:pStyle w:val="ListParagraph"/>
        <w:numPr>
          <w:ilvl w:val="0"/>
          <w:numId w:val="22"/>
        </w:numPr>
        <w:spacing w:line="240" w:lineRule="auto"/>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1D1F30">
      <w:pPr>
        <w:pStyle w:val="ListParagraph"/>
        <w:numPr>
          <w:ilvl w:val="0"/>
          <w:numId w:val="22"/>
        </w:numPr>
        <w:spacing w:line="240" w:lineRule="auto"/>
      </w:pPr>
    </w:p>
    <w:sectPr w:rsidR="00060113" w:rsidRPr="00E932CA" w:rsidSect="00751AA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23AAA" w:rsidP="00BA64C2">
    <w:pPr>
      <w:pStyle w:val="Footer"/>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Default="00C07AC3" w:rsidP="00BA64C2">
    <w:pPr>
      <w:pStyle w:val="Footer"/>
      <w:jc w:val="center"/>
      <w:rPr>
        <w:b/>
      </w:rPr>
    </w:pPr>
    <w:fldSimple w:instr=" DOCPROPERTY CLASSIFICATION \* MERGEFORMAT ">
      <w:r w:rsidR="001043A6" w:rsidRPr="001043A6">
        <w:rPr>
          <w:b/>
        </w:rPr>
        <w:t>UNCLASSIFIED</w:t>
      </w:r>
    </w:fldSimple>
    <w:r w:rsidR="00C23AAA" w:rsidRPr="00BA64C2">
      <w:rPr>
        <w:b/>
      </w:rPr>
      <w:t xml:space="preserve"> </w:t>
    </w:r>
  </w:p>
  <w:p w:rsidR="00C23AAA" w:rsidRPr="00BA64C2" w:rsidRDefault="00C07AC3" w:rsidP="00BA64C2">
    <w:pPr>
      <w:pStyle w:val="Footer"/>
      <w:spacing w:before="120"/>
      <w:jc w:val="right"/>
      <w:rPr>
        <w:rFonts w:cs="Arial"/>
        <w:sz w:val="12"/>
      </w:rPr>
    </w:pPr>
    <w:fldSimple w:instr=" FILENAME \p \* MERGEFORMAT ">
      <w:r w:rsidR="001043A6" w:rsidRPr="001043A6">
        <w:rPr>
          <w:rFonts w:cs="Arial"/>
          <w:noProof/>
          <w:sz w:val="12"/>
        </w:rPr>
        <w:t xml:space="preserve">http://ubs.sharepoint.fco.gov.uk/sites/mp/HRDD/hrdp/FY201415 Bidding Round/2014 05 </w:t>
      </w:r>
      <w:r w:rsidR="001043A6">
        <w:rPr>
          <w:noProof/>
        </w:rPr>
        <w:t>07 Grant Contract Short Form.docx</w:t>
      </w:r>
    </w:fldSimple>
    <w:r>
      <w:fldChar w:fldCharType="begin"/>
    </w:r>
    <w:r w:rsidR="00194ADC">
      <w:instrText xml:space="preserve"> DOCPROPERTY PRIVACY  \* MERGEFORMAT </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F5B" w:rsidRDefault="00C40F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BA64C2" w:rsidRDefault="00C07AC3" w:rsidP="00BA64C2">
    <w:pPr>
      <w:pStyle w:val="Header"/>
      <w:jc w:val="center"/>
      <w:rPr>
        <w:b/>
      </w:rPr>
    </w:pPr>
    <w:fldSimple w:instr=" DOCPROPERTY CLASSIFICATION \* MERGEFORMAT ">
      <w:r w:rsidR="001043A6" w:rsidRPr="001043A6">
        <w:rPr>
          <w:b/>
        </w:rPr>
        <w:t>UNCLASSIFIED</w:t>
      </w:r>
    </w:fldSimple>
    <w:r w:rsidR="00C23AAA" w:rsidRPr="00BA64C2">
      <w:rPr>
        <w:b/>
      </w:rPr>
      <w:t xml:space="preserve"> </w:t>
    </w:r>
    <w:r>
      <w:fldChar w:fldCharType="begin"/>
    </w:r>
    <w:r w:rsidR="00194ADC">
      <w:instrText xml:space="preserve"> DOCPROPERTY PRIVACY  \* MERGEFORMAT </w:instrText>
    </w:r>
    <w:r>
      <w:fldChar w:fldCharType="end"/>
    </w:r>
  </w:p>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r w:rsidRPr="006F688E">
      <w:rPr>
        <w:sz w:val="16"/>
      </w:rPr>
      <w:t>Not protectively marked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305D4"/>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043A6"/>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0317"/>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0289D"/>
    <w:rsid w:val="0031011D"/>
    <w:rsid w:val="00323E72"/>
    <w:rsid w:val="00325822"/>
    <w:rsid w:val="0034293F"/>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37D9C"/>
    <w:rsid w:val="00444796"/>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76AAC"/>
    <w:rsid w:val="00695702"/>
    <w:rsid w:val="006B009A"/>
    <w:rsid w:val="006B17E4"/>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7539"/>
    <w:rsid w:val="00A13FE0"/>
    <w:rsid w:val="00A23F7B"/>
    <w:rsid w:val="00A30491"/>
    <w:rsid w:val="00A32D9D"/>
    <w:rsid w:val="00A34659"/>
    <w:rsid w:val="00A42381"/>
    <w:rsid w:val="00A751EE"/>
    <w:rsid w:val="00A950C2"/>
    <w:rsid w:val="00A9641B"/>
    <w:rsid w:val="00A96641"/>
    <w:rsid w:val="00A97ED5"/>
    <w:rsid w:val="00AB03C0"/>
    <w:rsid w:val="00AB05F4"/>
    <w:rsid w:val="00AB579E"/>
    <w:rsid w:val="00AC448A"/>
    <w:rsid w:val="00AC45E1"/>
    <w:rsid w:val="00AC56ED"/>
    <w:rsid w:val="00AD230E"/>
    <w:rsid w:val="00AD4815"/>
    <w:rsid w:val="00AF5925"/>
    <w:rsid w:val="00AF6C41"/>
    <w:rsid w:val="00B05C41"/>
    <w:rsid w:val="00B2215E"/>
    <w:rsid w:val="00B226A4"/>
    <w:rsid w:val="00B25089"/>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26E5"/>
    <w:rsid w:val="00C04310"/>
    <w:rsid w:val="00C07AC3"/>
    <w:rsid w:val="00C16212"/>
    <w:rsid w:val="00C16461"/>
    <w:rsid w:val="00C23A10"/>
    <w:rsid w:val="00C23AAA"/>
    <w:rsid w:val="00C3184C"/>
    <w:rsid w:val="00C324EE"/>
    <w:rsid w:val="00C40F5B"/>
    <w:rsid w:val="00C42189"/>
    <w:rsid w:val="00C43B70"/>
    <w:rsid w:val="00C45D16"/>
    <w:rsid w:val="00C47759"/>
    <w:rsid w:val="00C51CF5"/>
    <w:rsid w:val="00C57B26"/>
    <w:rsid w:val="00C64E6D"/>
    <w:rsid w:val="00C71E82"/>
    <w:rsid w:val="00C77B68"/>
    <w:rsid w:val="00C86195"/>
    <w:rsid w:val="00C87306"/>
    <w:rsid w:val="00C94AD4"/>
    <w:rsid w:val="00CA7EF4"/>
    <w:rsid w:val="00CB1731"/>
    <w:rsid w:val="00CB682F"/>
    <w:rsid w:val="00CC1F2D"/>
    <w:rsid w:val="00CE2403"/>
    <w:rsid w:val="00CE42F1"/>
    <w:rsid w:val="00CE7BD2"/>
    <w:rsid w:val="00CF5A7D"/>
    <w:rsid w:val="00D01164"/>
    <w:rsid w:val="00D03D36"/>
    <w:rsid w:val="00D133DB"/>
    <w:rsid w:val="00D46017"/>
    <w:rsid w:val="00D5135A"/>
    <w:rsid w:val="00D52913"/>
    <w:rsid w:val="00D567E3"/>
    <w:rsid w:val="00D6067B"/>
    <w:rsid w:val="00D6632A"/>
    <w:rsid w:val="00D767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301"/>
    <w:rsid w:val="00E734E9"/>
    <w:rsid w:val="00E83EC6"/>
    <w:rsid w:val="00E932CA"/>
    <w:rsid w:val="00E94D67"/>
    <w:rsid w:val="00E95086"/>
    <w:rsid w:val="00E96535"/>
    <w:rsid w:val="00EB2E3D"/>
    <w:rsid w:val="00EB44EC"/>
    <w:rsid w:val="00EB5B57"/>
    <w:rsid w:val="00EC0840"/>
    <w:rsid w:val="00EC3CB5"/>
    <w:rsid w:val="00ED2463"/>
    <w:rsid w:val="00EF3C60"/>
    <w:rsid w:val="00F1005A"/>
    <w:rsid w:val="00F147FE"/>
    <w:rsid w:val="00F30365"/>
    <w:rsid w:val="00F505E5"/>
    <w:rsid w:val="00F522A6"/>
    <w:rsid w:val="00F54D3E"/>
    <w:rsid w:val="00F5593E"/>
    <w:rsid w:val="00F74F32"/>
    <w:rsid w:val="00F771A8"/>
    <w:rsid w:val="00F82CB7"/>
    <w:rsid w:val="00F9593A"/>
    <w:rsid w:val="00FA2FA7"/>
    <w:rsid w:val="00FB0950"/>
    <w:rsid w:val="00FB3A65"/>
    <w:rsid w:val="00FC0131"/>
    <w:rsid w:val="00FC523B"/>
    <w:rsid w:val="00FC69C7"/>
    <w:rsid w:val="00FD22C5"/>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BusinessUnit>
    <AlternativeTitle xmlns="http://schemas.microsoft.com/sharepoint/v3" xsi:nil="true"/>
    <Classification xmlns="http://schemas.microsoft.com/sharepoint/v3">UNCLASSIFIED</Classification>
  </documentManagement>
</p:properties>
</file>

<file path=customXml/itemProps1.xml><?xml version="1.0" encoding="utf-8"?>
<ds:datastoreItem xmlns:ds="http://schemas.openxmlformats.org/officeDocument/2006/customXml" ds:itemID="{26F1942D-92C8-4914-AC1C-886CD4B5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C3C430E-8964-484C-A889-DC5E36701823}">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3796</Words>
  <Characters>21638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idezaneti</cp:lastModifiedBy>
  <cp:revision>2</cp:revision>
  <cp:lastPrinted>2014-05-07T11:18:00Z</cp:lastPrinted>
  <dcterms:created xsi:type="dcterms:W3CDTF">2014-11-05T20:08:00Z</dcterms:created>
  <dcterms:modified xsi:type="dcterms:W3CDTF">2014-11-05T20:08:00Z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0x010100E71A2716C18B4E96A9B0461156806FFA00D603A772A505714D8FDABB422B40E0D6001C1214CB5C104E48A0083934020649A5</vt:lpwstr>
  </property>
</Properties>
</file>