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7E" w:rsidRDefault="006D747E" w:rsidP="006D747E">
      <w:pPr>
        <w:rPr>
          <w:b/>
        </w:rPr>
      </w:pPr>
      <w:r w:rsidRPr="00B55182">
        <w:rPr>
          <w:b/>
        </w:rPr>
        <w:t xml:space="preserve">Annex D </w:t>
      </w:r>
      <w:r w:rsidR="007F6E7F">
        <w:rPr>
          <w:b/>
        </w:rPr>
        <w:t xml:space="preserve">MLX 388: </w:t>
      </w:r>
      <w:r w:rsidRPr="00B55182">
        <w:rPr>
          <w:b/>
        </w:rPr>
        <w:t>PROPOSALS FOR AMENDMENTS TO HUMAN MEDICINES REGULATIONS 2012</w:t>
      </w:r>
    </w:p>
    <w:p w:rsidR="007F6E7F" w:rsidRPr="007F6E7F" w:rsidRDefault="007F6E7F" w:rsidP="007F6E7F">
      <w:pPr>
        <w:spacing w:after="0"/>
        <w:jc w:val="both"/>
        <w:rPr>
          <w:rFonts w:cs="Arial"/>
          <w:sz w:val="24"/>
          <w:szCs w:val="24"/>
        </w:rPr>
      </w:pPr>
      <w:r w:rsidRPr="007F6E7F">
        <w:rPr>
          <w:sz w:val="24"/>
          <w:szCs w:val="24"/>
        </w:rPr>
        <w:t>To:</w:t>
      </w:r>
      <w:r w:rsidRPr="007F6E7F">
        <w:rPr>
          <w:sz w:val="24"/>
          <w:szCs w:val="24"/>
        </w:rPr>
        <w:tab/>
      </w:r>
      <w:r w:rsidRPr="007F6E7F">
        <w:rPr>
          <w:rFonts w:cs="Arial"/>
          <w:sz w:val="24"/>
          <w:szCs w:val="24"/>
        </w:rPr>
        <w:t>Paul Jenkins</w:t>
      </w:r>
    </w:p>
    <w:p w:rsidR="007F6E7F" w:rsidRPr="007F6E7F" w:rsidRDefault="007F6E7F" w:rsidP="007F6E7F">
      <w:pPr>
        <w:spacing w:after="0"/>
        <w:jc w:val="both"/>
        <w:rPr>
          <w:rFonts w:cs="Arial"/>
          <w:sz w:val="24"/>
          <w:szCs w:val="24"/>
        </w:rPr>
      </w:pPr>
      <w:r w:rsidRPr="007F6E7F">
        <w:rPr>
          <w:rFonts w:cs="Arial"/>
          <w:sz w:val="24"/>
          <w:szCs w:val="24"/>
        </w:rPr>
        <w:t xml:space="preserve">Public Health </w:t>
      </w:r>
    </w:p>
    <w:p w:rsidR="007F6E7F" w:rsidRPr="007F6E7F" w:rsidRDefault="007F6E7F" w:rsidP="007F6E7F">
      <w:pPr>
        <w:spacing w:after="0"/>
        <w:jc w:val="both"/>
        <w:rPr>
          <w:rFonts w:cs="Arial"/>
          <w:sz w:val="24"/>
          <w:szCs w:val="24"/>
        </w:rPr>
      </w:pPr>
      <w:r w:rsidRPr="007F6E7F">
        <w:rPr>
          <w:rFonts w:cs="Arial"/>
          <w:sz w:val="24"/>
          <w:szCs w:val="24"/>
        </w:rPr>
        <w:t xml:space="preserve">Policy and Strategy Unit </w:t>
      </w:r>
    </w:p>
    <w:p w:rsidR="007F6E7F" w:rsidRPr="007F6E7F" w:rsidRDefault="007F6E7F" w:rsidP="007F6E7F">
      <w:pPr>
        <w:spacing w:after="0"/>
        <w:jc w:val="both"/>
        <w:rPr>
          <w:rFonts w:cs="Arial"/>
          <w:sz w:val="24"/>
          <w:szCs w:val="24"/>
        </w:rPr>
      </w:pPr>
      <w:r w:rsidRPr="007F6E7F">
        <w:rPr>
          <w:rFonts w:cs="Arial"/>
          <w:sz w:val="24"/>
          <w:szCs w:val="24"/>
        </w:rPr>
        <w:t xml:space="preserve">Department of Health </w:t>
      </w:r>
    </w:p>
    <w:p w:rsidR="007F6E7F" w:rsidRPr="007F6E7F" w:rsidRDefault="007F6E7F" w:rsidP="007F6E7F">
      <w:pPr>
        <w:spacing w:after="0"/>
        <w:jc w:val="both"/>
        <w:rPr>
          <w:rFonts w:cs="Arial"/>
          <w:sz w:val="24"/>
          <w:szCs w:val="24"/>
        </w:rPr>
      </w:pPr>
      <w:r w:rsidRPr="007F6E7F">
        <w:rPr>
          <w:rFonts w:cs="Arial"/>
          <w:sz w:val="24"/>
          <w:szCs w:val="24"/>
        </w:rPr>
        <w:t xml:space="preserve">79 Whitehall </w:t>
      </w:r>
    </w:p>
    <w:p w:rsidR="00457177" w:rsidRDefault="007F6E7F" w:rsidP="007F6E7F">
      <w:pPr>
        <w:spacing w:after="0"/>
        <w:jc w:val="both"/>
        <w:rPr>
          <w:rFonts w:cs="Arial"/>
          <w:sz w:val="24"/>
          <w:szCs w:val="24"/>
        </w:rPr>
      </w:pPr>
      <w:r w:rsidRPr="007F6E7F">
        <w:rPr>
          <w:rFonts w:cs="Arial"/>
          <w:sz w:val="24"/>
          <w:szCs w:val="24"/>
        </w:rPr>
        <w:t xml:space="preserve">LONDON </w:t>
      </w:r>
    </w:p>
    <w:p w:rsidR="007F6E7F" w:rsidRPr="007F6E7F" w:rsidRDefault="007F6E7F" w:rsidP="007F6E7F">
      <w:pPr>
        <w:spacing w:after="0"/>
        <w:jc w:val="both"/>
        <w:rPr>
          <w:rFonts w:cs="Arial"/>
          <w:bCs/>
          <w:sz w:val="24"/>
          <w:szCs w:val="24"/>
        </w:rPr>
      </w:pPr>
      <w:proofErr w:type="gramStart"/>
      <w:r w:rsidRPr="007F6E7F">
        <w:rPr>
          <w:rFonts w:cs="Arial"/>
          <w:sz w:val="24"/>
          <w:szCs w:val="24"/>
        </w:rPr>
        <w:t>SW1A 2NS</w:t>
      </w:r>
      <w:r w:rsidRPr="007F6E7F">
        <w:rPr>
          <w:rFonts w:cs="Arial"/>
          <w:bCs/>
          <w:sz w:val="24"/>
          <w:szCs w:val="24"/>
        </w:rPr>
        <w:t>.</w:t>
      </w:r>
      <w:proofErr w:type="gramEnd"/>
      <w:r w:rsidRPr="007F6E7F">
        <w:rPr>
          <w:rFonts w:cs="Arial"/>
          <w:bCs/>
          <w:sz w:val="24"/>
          <w:szCs w:val="24"/>
        </w:rPr>
        <w:t xml:space="preserve"> </w:t>
      </w:r>
    </w:p>
    <w:p w:rsidR="007F6E7F" w:rsidRPr="0021683F" w:rsidRDefault="007F6E7F" w:rsidP="007F6E7F">
      <w:pPr>
        <w:spacing w:line="240" w:lineRule="atLeast"/>
        <w:jc w:val="both"/>
      </w:pPr>
    </w:p>
    <w:p w:rsidR="007F6E7F" w:rsidRPr="0021683F" w:rsidRDefault="007F6E7F" w:rsidP="007F6E7F">
      <w:pPr>
        <w:spacing w:line="360" w:lineRule="atLeast"/>
        <w:jc w:val="both"/>
      </w:pPr>
      <w:r w:rsidRPr="0021683F">
        <w:t>From:</w:t>
      </w:r>
      <w:r w:rsidRPr="0021683F">
        <w:tab/>
        <w:t>______________________________</w:t>
      </w:r>
    </w:p>
    <w:p w:rsidR="007F6E7F" w:rsidRPr="0021683F" w:rsidRDefault="007F6E7F" w:rsidP="007F6E7F">
      <w:pPr>
        <w:spacing w:line="360" w:lineRule="atLeast"/>
        <w:jc w:val="both"/>
      </w:pPr>
      <w:r w:rsidRPr="0021683F">
        <w:t>______________________________</w:t>
      </w:r>
    </w:p>
    <w:p w:rsidR="007F6E7F" w:rsidRPr="0021683F" w:rsidRDefault="007F6E7F" w:rsidP="007F6E7F">
      <w:pPr>
        <w:spacing w:line="360" w:lineRule="atLeast"/>
        <w:jc w:val="both"/>
      </w:pPr>
      <w:r w:rsidRPr="0021683F">
        <w:t>______________________________</w:t>
      </w:r>
    </w:p>
    <w:p w:rsidR="007F6E7F" w:rsidRPr="0021683F" w:rsidRDefault="007F6E7F" w:rsidP="007F6E7F">
      <w:pPr>
        <w:spacing w:line="360" w:lineRule="atLeast"/>
        <w:jc w:val="both"/>
      </w:pPr>
      <w:r>
        <w:t>______________________________</w:t>
      </w:r>
    </w:p>
    <w:p w:rsidR="007F6E7F" w:rsidRDefault="007F6E7F" w:rsidP="007F6E7F">
      <w:pPr>
        <w:rPr>
          <w:b/>
        </w:rPr>
      </w:pPr>
      <w:r w:rsidRPr="0021683F">
        <w:rPr>
          <w:b/>
        </w:rPr>
        <w:t xml:space="preserve">CONSULTATION LETTER MLX </w:t>
      </w:r>
      <w:r>
        <w:rPr>
          <w:b/>
        </w:rPr>
        <w:t>388</w:t>
      </w:r>
      <w:r w:rsidRPr="0021683F">
        <w:rPr>
          <w:b/>
        </w:rPr>
        <w:t xml:space="preserve">: </w:t>
      </w:r>
      <w:r w:rsidRPr="008038FA">
        <w:rPr>
          <w:rFonts w:cs="Arial"/>
          <w:b/>
          <w:sz w:val="24"/>
          <w:szCs w:val="24"/>
        </w:rPr>
        <w:t>PROPOSALS FOR AMENDMENTS TO</w:t>
      </w:r>
      <w:r>
        <w:rPr>
          <w:rFonts w:cs="Arial"/>
          <w:b/>
          <w:sz w:val="24"/>
          <w:szCs w:val="24"/>
        </w:rPr>
        <w:t xml:space="preserve"> HUMAN MEDICINES REGULATIONS 2012 TO ENABLE PUBLIC HEALTH ENGLAND TO DEVELOP AND AUTHORISE</w:t>
      </w:r>
      <w:r w:rsidRPr="008038FA">
        <w:rPr>
          <w:rFonts w:cs="Arial"/>
          <w:b/>
          <w:sz w:val="24"/>
          <w:szCs w:val="24"/>
        </w:rPr>
        <w:t xml:space="preserve"> PATIENT GROUP DIRECTIONS  </w:t>
      </w:r>
    </w:p>
    <w:p w:rsidR="007F6E7F" w:rsidRPr="007F6E7F" w:rsidRDefault="007F6E7F" w:rsidP="007F6E7F">
      <w:pPr>
        <w:rPr>
          <w:b/>
        </w:rPr>
      </w:pPr>
      <w:r w:rsidRPr="00216A6D">
        <w:rPr>
          <w:b/>
        </w:rPr>
        <w:t>A.</w:t>
      </w:r>
      <w:r>
        <w:rPr>
          <w:b/>
        </w:rPr>
        <w:t xml:space="preserve"> Your response to the proposals</w:t>
      </w:r>
    </w:p>
    <w:p w:rsidR="007F6E7F" w:rsidRPr="0021683F" w:rsidRDefault="007F6E7F" w:rsidP="007F6E7F">
      <w:pPr>
        <w:rPr>
          <w:snapToGrid w:val="0"/>
        </w:rPr>
      </w:pPr>
      <w:r w:rsidRPr="0021683F">
        <w:rPr>
          <w:snapToGrid w:val="0"/>
        </w:rPr>
        <w:t xml:space="preserve">* 1. </w:t>
      </w:r>
      <w:r w:rsidRPr="0021683F">
        <w:rPr>
          <w:snapToGrid w:val="0"/>
        </w:rPr>
        <w:tab/>
        <w:t>I support the</w:t>
      </w:r>
      <w:r>
        <w:rPr>
          <w:snapToGrid w:val="0"/>
        </w:rPr>
        <w:t xml:space="preserve"> proposals contained in the MLX</w:t>
      </w:r>
    </w:p>
    <w:p w:rsidR="007F6E7F" w:rsidRPr="0021683F" w:rsidRDefault="007F6E7F" w:rsidP="007F6E7F">
      <w:pPr>
        <w:rPr>
          <w:snapToGrid w:val="0"/>
        </w:rPr>
      </w:pPr>
      <w:r w:rsidRPr="0021683F">
        <w:rPr>
          <w:snapToGrid w:val="0"/>
        </w:rPr>
        <w:t xml:space="preserve">* 2. </w:t>
      </w:r>
      <w:r w:rsidRPr="0021683F">
        <w:rPr>
          <w:snapToGrid w:val="0"/>
        </w:rPr>
        <w:tab/>
        <w:t>I have no comment to ma</w:t>
      </w:r>
      <w:r>
        <w:rPr>
          <w:snapToGrid w:val="0"/>
        </w:rPr>
        <w:t xml:space="preserve">ke on the proposals in the MLX </w:t>
      </w:r>
    </w:p>
    <w:p w:rsidR="007F6E7F" w:rsidRDefault="007F6E7F" w:rsidP="007F6E7F">
      <w:pPr>
        <w:rPr>
          <w:snapToGrid w:val="0"/>
        </w:rPr>
      </w:pPr>
      <w:r w:rsidRPr="0021683F">
        <w:rPr>
          <w:snapToGrid w:val="0"/>
        </w:rPr>
        <w:t>*</w:t>
      </w:r>
      <w:r>
        <w:rPr>
          <w:snapToGrid w:val="0"/>
        </w:rPr>
        <w:t xml:space="preserve"> </w:t>
      </w:r>
      <w:r w:rsidRPr="0021683F">
        <w:rPr>
          <w:snapToGrid w:val="0"/>
        </w:rPr>
        <w:t xml:space="preserve">3. </w:t>
      </w:r>
      <w:r w:rsidRPr="0021683F">
        <w:rPr>
          <w:snapToGrid w:val="0"/>
        </w:rPr>
        <w:tab/>
        <w:t xml:space="preserve">My comments on the proposals in the MLX are </w:t>
      </w:r>
      <w:proofErr w:type="gramStart"/>
      <w:r w:rsidRPr="0021683F">
        <w:rPr>
          <w:snapToGrid w:val="0"/>
        </w:rPr>
        <w:t>below/attached</w:t>
      </w:r>
      <w:proofErr w:type="gramEnd"/>
      <w:r w:rsidRPr="0021683F">
        <w:rPr>
          <w:snapToGrid w:val="0"/>
        </w:rPr>
        <w:t>.</w:t>
      </w:r>
    </w:p>
    <w:p w:rsidR="007F6E7F" w:rsidRPr="00216A6D" w:rsidRDefault="007F6E7F" w:rsidP="007F6E7F">
      <w:pPr>
        <w:rPr>
          <w:b/>
          <w:snapToGrid w:val="0"/>
        </w:rPr>
      </w:pPr>
      <w:r w:rsidRPr="00216A6D">
        <w:rPr>
          <w:b/>
          <w:snapToGrid w:val="0"/>
        </w:rPr>
        <w:t>B. The relevance and impact of the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747E" w:rsidTr="006D747E">
        <w:tc>
          <w:tcPr>
            <w:tcW w:w="9242" w:type="dxa"/>
          </w:tcPr>
          <w:p w:rsidR="00B55182" w:rsidRPr="00B55182" w:rsidRDefault="00B55182" w:rsidP="00B55182">
            <w:r>
              <w:t xml:space="preserve">Q1: </w:t>
            </w:r>
            <w:r w:rsidRPr="00B55182">
              <w:t>Do you agree with the proposal to include PHE and PHA in the list of authorising bodies under the provisions in medicines legislation</w:t>
            </w:r>
            <w:r w:rsidR="00140D4F">
              <w:t xml:space="preserve"> to develop, authorise and administer</w:t>
            </w:r>
            <w:r w:rsidR="006E52E5">
              <w:t xml:space="preserve"> </w:t>
            </w:r>
            <w:r w:rsidRPr="00B55182">
              <w:t>Patient Group Directions?  If not, why not?</w:t>
            </w:r>
          </w:p>
          <w:p w:rsidR="006D747E" w:rsidRDefault="006D747E" w:rsidP="00B55182">
            <w:pPr>
              <w:pStyle w:val="ListParagraph"/>
            </w:pPr>
          </w:p>
        </w:tc>
      </w:tr>
      <w:tr w:rsidR="00B55182" w:rsidTr="006D747E">
        <w:tc>
          <w:tcPr>
            <w:tcW w:w="9242" w:type="dxa"/>
          </w:tcPr>
          <w:p w:rsidR="00B55182" w:rsidRDefault="00B55182" w:rsidP="006D747E">
            <w:r>
              <w:t>A:</w:t>
            </w:r>
          </w:p>
        </w:tc>
      </w:tr>
      <w:tr w:rsidR="00B55182" w:rsidTr="006D747E">
        <w:tc>
          <w:tcPr>
            <w:tcW w:w="9242" w:type="dxa"/>
          </w:tcPr>
          <w:p w:rsidR="00B55182" w:rsidRDefault="00B55182" w:rsidP="00B55182">
            <w:r>
              <w:t>Q2: We would welcome information on any instances where you believe that there wi</w:t>
            </w:r>
            <w:r w:rsidR="00B647E5">
              <w:t>ll - or could be - any adverse e</w:t>
            </w:r>
            <w:r>
              <w:t xml:space="preserve">ffect on equality issues under any of the following: </w:t>
            </w:r>
          </w:p>
          <w:p w:rsidR="00B55182" w:rsidRDefault="00B55182" w:rsidP="00B55182">
            <w:r>
              <w:t>•</w:t>
            </w:r>
            <w:r>
              <w:tab/>
              <w:t>competition assessment;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small firms impact test;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legal aid;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sustainable development;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carbon assessment;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other environment;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health impact assessment;</w:t>
            </w:r>
            <w:r>
              <w:tab/>
            </w:r>
          </w:p>
          <w:p w:rsidR="00B55182" w:rsidRDefault="00B55182" w:rsidP="00B55182">
            <w:r>
              <w:lastRenderedPageBreak/>
              <w:t>•</w:t>
            </w:r>
            <w:r>
              <w:tab/>
              <w:t>race equality;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disability equality;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gender equality;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  <w:t>human rights;</w:t>
            </w:r>
            <w:r>
              <w:tab/>
            </w:r>
          </w:p>
          <w:p w:rsidR="00B55182" w:rsidRDefault="00B55182" w:rsidP="00B55182">
            <w:r>
              <w:t>•</w:t>
            </w:r>
            <w:r>
              <w:tab/>
            </w:r>
            <w:proofErr w:type="gramStart"/>
            <w:r>
              <w:t>rural</w:t>
            </w:r>
            <w:proofErr w:type="gramEnd"/>
            <w:r>
              <w:t xml:space="preserve"> proofing.</w:t>
            </w:r>
          </w:p>
        </w:tc>
      </w:tr>
      <w:tr w:rsidR="00B55182" w:rsidTr="006D747E">
        <w:tc>
          <w:tcPr>
            <w:tcW w:w="9242" w:type="dxa"/>
          </w:tcPr>
          <w:p w:rsidR="00B55182" w:rsidRDefault="00B55182" w:rsidP="006D747E">
            <w:r>
              <w:lastRenderedPageBreak/>
              <w:t>A:</w:t>
            </w:r>
          </w:p>
        </w:tc>
      </w:tr>
      <w:tr w:rsidR="00B55182" w:rsidTr="006D747E">
        <w:tc>
          <w:tcPr>
            <w:tcW w:w="9242" w:type="dxa"/>
          </w:tcPr>
          <w:p w:rsidR="00B55182" w:rsidRDefault="00B55182" w:rsidP="006D747E">
            <w:r>
              <w:t xml:space="preserve">Q3: </w:t>
            </w:r>
            <w:r w:rsidRPr="00B55182">
              <w:t xml:space="preserve">You are invited to comment on the proposed changes to medicines regulations governing the use of PGDs.  </w:t>
            </w:r>
          </w:p>
        </w:tc>
      </w:tr>
      <w:tr w:rsidR="00B55182" w:rsidTr="006D747E">
        <w:tc>
          <w:tcPr>
            <w:tcW w:w="9242" w:type="dxa"/>
          </w:tcPr>
          <w:p w:rsidR="00B55182" w:rsidRDefault="00B55182" w:rsidP="006D747E">
            <w:r>
              <w:t>A:</w:t>
            </w:r>
          </w:p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  <w:tr w:rsidR="00B55182" w:rsidTr="006D747E">
        <w:tc>
          <w:tcPr>
            <w:tcW w:w="9242" w:type="dxa"/>
          </w:tcPr>
          <w:p w:rsidR="00B55182" w:rsidRDefault="00B55182" w:rsidP="006D747E"/>
        </w:tc>
      </w:tr>
    </w:tbl>
    <w:p w:rsidR="006D747E" w:rsidRDefault="006D747E" w:rsidP="006D747E"/>
    <w:p w:rsidR="007F6E7F" w:rsidRPr="0021683F" w:rsidRDefault="007F6E7F" w:rsidP="007F6E7F">
      <w:pPr>
        <w:rPr>
          <w:snapToGrid w:val="0"/>
        </w:rPr>
      </w:pPr>
      <w:r>
        <w:rPr>
          <w:b/>
          <w:snapToGrid w:val="0"/>
        </w:rPr>
        <w:t>C</w:t>
      </w:r>
      <w:r w:rsidRPr="00216A6D">
        <w:rPr>
          <w:b/>
          <w:snapToGrid w:val="0"/>
        </w:rPr>
        <w:t>. How we treat your response</w:t>
      </w:r>
    </w:p>
    <w:p w:rsidR="007F6E7F" w:rsidRPr="0021683F" w:rsidRDefault="007F6E7F" w:rsidP="007F6E7F">
      <w:pPr>
        <w:rPr>
          <w:snapToGrid w:val="0"/>
        </w:rPr>
      </w:pPr>
      <w:r w:rsidRPr="0021683F">
        <w:rPr>
          <w:snapToGrid w:val="0"/>
        </w:rPr>
        <w:t>* My reply may be made freely available.</w:t>
      </w:r>
    </w:p>
    <w:p w:rsidR="007F6E7F" w:rsidRPr="0021683F" w:rsidRDefault="007F6E7F" w:rsidP="007F6E7F">
      <w:pPr>
        <w:rPr>
          <w:snapToGrid w:val="0"/>
        </w:rPr>
      </w:pPr>
      <w:r w:rsidRPr="0021683F">
        <w:rPr>
          <w:snapToGrid w:val="0"/>
        </w:rPr>
        <w:t>* My reply is confidential.</w:t>
      </w:r>
    </w:p>
    <w:p w:rsidR="007F6E7F" w:rsidRPr="0021683F" w:rsidRDefault="007F6E7F" w:rsidP="007F6E7F">
      <w:pPr>
        <w:rPr>
          <w:snapToGrid w:val="0"/>
        </w:rPr>
      </w:pPr>
      <w:r w:rsidRPr="0021683F">
        <w:rPr>
          <w:snapToGrid w:val="0"/>
        </w:rPr>
        <w:t>* My reply is partially confidential (indicate clearly in the text any confidential elements)</w:t>
      </w:r>
    </w:p>
    <w:p w:rsidR="007F6E7F" w:rsidRPr="0021683F" w:rsidRDefault="007F6E7F" w:rsidP="007F6E7F">
      <w:pPr>
        <w:rPr>
          <w:snapToGrid w:val="0"/>
        </w:rPr>
      </w:pPr>
    </w:p>
    <w:p w:rsidR="007F6E7F" w:rsidRPr="0021683F" w:rsidRDefault="007F6E7F" w:rsidP="007F6E7F">
      <w:pPr>
        <w:rPr>
          <w:snapToGrid w:val="0"/>
        </w:rPr>
      </w:pPr>
    </w:p>
    <w:p w:rsidR="007F6E7F" w:rsidRPr="0021683F" w:rsidRDefault="007F6E7F" w:rsidP="007F6E7F">
      <w:pPr>
        <w:rPr>
          <w:snapToGrid w:val="0"/>
        </w:rPr>
      </w:pPr>
      <w:r w:rsidRPr="0021683F">
        <w:rPr>
          <w:snapToGrid w:val="0"/>
        </w:rPr>
        <w:t>Signed: _____________________________________________</w:t>
      </w:r>
    </w:p>
    <w:p w:rsidR="007F6E7F" w:rsidRPr="0021683F" w:rsidRDefault="007F6E7F" w:rsidP="007F6E7F">
      <w:pPr>
        <w:jc w:val="both"/>
        <w:rPr>
          <w:snapToGrid w:val="0"/>
        </w:rPr>
      </w:pPr>
    </w:p>
    <w:p w:rsidR="007F6E7F" w:rsidRPr="0021683F" w:rsidRDefault="007F6E7F" w:rsidP="007F6E7F">
      <w:pPr>
        <w:jc w:val="both"/>
        <w:rPr>
          <w:snapToGrid w:val="0"/>
        </w:rPr>
      </w:pPr>
    </w:p>
    <w:p w:rsidR="007F6E7F" w:rsidRPr="0021683F" w:rsidRDefault="007F6E7F" w:rsidP="007F6E7F">
      <w:pPr>
        <w:jc w:val="both"/>
        <w:rPr>
          <w:snapToGrid w:val="0"/>
        </w:rPr>
      </w:pPr>
      <w:r w:rsidRPr="0021683F">
        <w:rPr>
          <w:snapToGrid w:val="0"/>
        </w:rPr>
        <w:t>* Delete as appropriate</w:t>
      </w:r>
    </w:p>
    <w:p w:rsidR="006D747E" w:rsidRDefault="006D747E" w:rsidP="006D747E"/>
    <w:p w:rsidR="006D747E" w:rsidRDefault="006D747E" w:rsidP="006D747E"/>
    <w:p w:rsidR="00073455" w:rsidRDefault="00073455"/>
    <w:sectPr w:rsidR="00073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CE" w:rsidRDefault="00A56ACE" w:rsidP="00A56ACE">
      <w:pPr>
        <w:spacing w:after="0" w:line="240" w:lineRule="auto"/>
      </w:pPr>
      <w:r>
        <w:separator/>
      </w:r>
    </w:p>
  </w:endnote>
  <w:endnote w:type="continuationSeparator" w:id="0">
    <w:p w:rsidR="00A56ACE" w:rsidRDefault="00A56ACE" w:rsidP="00A5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E" w:rsidRDefault="00A56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E" w:rsidRDefault="00A56ACE" w:rsidP="00A56A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6ACE" w:rsidRDefault="00A56ACE" w:rsidP="00A56ACE">
    <w:pPr>
      <w:pStyle w:val="Footer"/>
      <w:ind w:right="360"/>
    </w:pPr>
  </w:p>
  <w:p w:rsidR="00A56ACE" w:rsidRDefault="00A56ACE" w:rsidP="00A56ACE">
    <w:bookmarkStart w:id="0" w:name="_GoBack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F53B999" wp14:editId="0A03F874">
          <wp:simplePos x="0" y="0"/>
          <wp:positionH relativeFrom="column">
            <wp:posOffset>-1131570</wp:posOffset>
          </wp:positionH>
          <wp:positionV relativeFrom="paragraph">
            <wp:posOffset>445770</wp:posOffset>
          </wp:positionV>
          <wp:extent cx="5479415" cy="758825"/>
          <wp:effectExtent l="0" t="0" r="698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A56ACE" w:rsidRDefault="00A56ACE">
    <w:pPr>
      <w:pStyle w:val="Footer"/>
    </w:pPr>
  </w:p>
  <w:p w:rsidR="00A56ACE" w:rsidRDefault="00A56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E" w:rsidRDefault="00A56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CE" w:rsidRDefault="00A56ACE" w:rsidP="00A56ACE">
      <w:pPr>
        <w:spacing w:after="0" w:line="240" w:lineRule="auto"/>
      </w:pPr>
      <w:r>
        <w:separator/>
      </w:r>
    </w:p>
  </w:footnote>
  <w:footnote w:type="continuationSeparator" w:id="0">
    <w:p w:rsidR="00A56ACE" w:rsidRDefault="00A56ACE" w:rsidP="00A5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E" w:rsidRDefault="00A5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E" w:rsidRDefault="00A56A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288EBD" wp14:editId="64F8C0A0">
          <wp:simplePos x="0" y="0"/>
          <wp:positionH relativeFrom="column">
            <wp:posOffset>1169670</wp:posOffset>
          </wp:positionH>
          <wp:positionV relativeFrom="paragraph">
            <wp:posOffset>-445770</wp:posOffset>
          </wp:positionV>
          <wp:extent cx="5479415" cy="82740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ACE" w:rsidRDefault="00A56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E" w:rsidRDefault="00A5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3B0"/>
    <w:multiLevelType w:val="hybridMultilevel"/>
    <w:tmpl w:val="31C2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07E2"/>
    <w:multiLevelType w:val="hybridMultilevel"/>
    <w:tmpl w:val="34B2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7E"/>
    <w:rsid w:val="00073455"/>
    <w:rsid w:val="00113721"/>
    <w:rsid w:val="00140D4F"/>
    <w:rsid w:val="00424D72"/>
    <w:rsid w:val="00457177"/>
    <w:rsid w:val="006D747E"/>
    <w:rsid w:val="006E52E5"/>
    <w:rsid w:val="007F6E7F"/>
    <w:rsid w:val="00A56ACE"/>
    <w:rsid w:val="00B55182"/>
    <w:rsid w:val="00B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182"/>
    <w:pPr>
      <w:ind w:left="720"/>
      <w:contextualSpacing/>
    </w:pPr>
  </w:style>
  <w:style w:type="paragraph" w:styleId="BodyText">
    <w:name w:val="Body Text"/>
    <w:basedOn w:val="Normal"/>
    <w:link w:val="BodyTextChar"/>
    <w:rsid w:val="007F6E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6E7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CE"/>
  </w:style>
  <w:style w:type="paragraph" w:styleId="Footer">
    <w:name w:val="footer"/>
    <w:basedOn w:val="Normal"/>
    <w:link w:val="FooterChar"/>
    <w:uiPriority w:val="99"/>
    <w:unhideWhenUsed/>
    <w:rsid w:val="00A5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CE"/>
  </w:style>
  <w:style w:type="paragraph" w:styleId="BalloonText">
    <w:name w:val="Balloon Text"/>
    <w:basedOn w:val="Normal"/>
    <w:link w:val="BalloonTextChar"/>
    <w:uiPriority w:val="99"/>
    <w:semiHidden/>
    <w:unhideWhenUsed/>
    <w:rsid w:val="00A5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182"/>
    <w:pPr>
      <w:ind w:left="720"/>
      <w:contextualSpacing/>
    </w:pPr>
  </w:style>
  <w:style w:type="paragraph" w:styleId="BodyText">
    <w:name w:val="Body Text"/>
    <w:basedOn w:val="Normal"/>
    <w:link w:val="BodyTextChar"/>
    <w:rsid w:val="007F6E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6E7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CE"/>
  </w:style>
  <w:style w:type="paragraph" w:styleId="Footer">
    <w:name w:val="footer"/>
    <w:basedOn w:val="Normal"/>
    <w:link w:val="FooterChar"/>
    <w:uiPriority w:val="99"/>
    <w:unhideWhenUsed/>
    <w:rsid w:val="00A5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CE"/>
  </w:style>
  <w:style w:type="paragraph" w:styleId="BalloonText">
    <w:name w:val="Balloon Text"/>
    <w:basedOn w:val="Normal"/>
    <w:link w:val="BalloonTextChar"/>
    <w:uiPriority w:val="99"/>
    <w:semiHidden/>
    <w:unhideWhenUsed/>
    <w:rsid w:val="00A5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Paul</dc:creator>
  <cp:lastModifiedBy>Moran, Kelly</cp:lastModifiedBy>
  <cp:revision>6</cp:revision>
  <cp:lastPrinted>2014-09-16T09:31:00Z</cp:lastPrinted>
  <dcterms:created xsi:type="dcterms:W3CDTF">2014-09-18T15:07:00Z</dcterms:created>
  <dcterms:modified xsi:type="dcterms:W3CDTF">2014-09-22T16:03:00Z</dcterms:modified>
</cp:coreProperties>
</file>