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B0E6" w14:textId="77777777" w:rsidR="00435158" w:rsidRDefault="00435158" w:rsidP="00435158">
      <w:pPr>
        <w:pStyle w:val="CoverSubTitle"/>
      </w:pPr>
      <w:bookmarkStart w:id="0" w:name="_GoBack"/>
      <w:bookmarkEnd w:id="0"/>
    </w:p>
    <w:p w14:paraId="081DB0E7"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081DB1B4" wp14:editId="081DB1B5">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DB0E8" w14:textId="77777777" w:rsidR="00435158" w:rsidRDefault="00435158" w:rsidP="00435158">
      <w:pPr>
        <w:pStyle w:val="BodyText"/>
      </w:pPr>
    </w:p>
    <w:p w14:paraId="081DB0E9" w14:textId="77777777" w:rsidR="00435158" w:rsidRDefault="00435158" w:rsidP="00435158">
      <w:pPr>
        <w:pStyle w:val="BodyText"/>
      </w:pPr>
    </w:p>
    <w:p w14:paraId="081DB0EA" w14:textId="77777777" w:rsidR="00435158" w:rsidRDefault="00435158" w:rsidP="00435158">
      <w:pPr>
        <w:pStyle w:val="BodyText"/>
      </w:pPr>
    </w:p>
    <w:p w14:paraId="081DB0EB" w14:textId="77777777" w:rsidR="005D3906" w:rsidRDefault="005D3906" w:rsidP="00435158">
      <w:pPr>
        <w:pStyle w:val="BodyText"/>
      </w:pPr>
    </w:p>
    <w:p w14:paraId="081DB0EC" w14:textId="77777777" w:rsidR="001369EA" w:rsidRDefault="001369EA" w:rsidP="00435158">
      <w:pPr>
        <w:pStyle w:val="BodyText"/>
      </w:pPr>
    </w:p>
    <w:p w14:paraId="081DB0ED" w14:textId="77777777" w:rsidR="005D3906" w:rsidRDefault="005D3906" w:rsidP="005D3906"/>
    <w:p w14:paraId="081DB0EE" w14:textId="77777777" w:rsidR="005D3906" w:rsidRDefault="005D3906" w:rsidP="005D3906"/>
    <w:p w14:paraId="081DB0EF" w14:textId="77777777" w:rsidR="00435158" w:rsidRDefault="00435158" w:rsidP="005D3906"/>
    <w:p w14:paraId="081DB0F0" w14:textId="0CCB7CD4" w:rsidR="005D3906" w:rsidRDefault="004E5F60" w:rsidP="005D3906">
      <w:r>
        <w:rPr>
          <w:noProof/>
        </w:rPr>
        <mc:AlternateContent>
          <mc:Choice Requires="wps">
            <w:drawing>
              <wp:anchor distT="0" distB="0" distL="114300" distR="114300" simplePos="0" relativeHeight="251656704" behindDoc="0" locked="0" layoutInCell="1" allowOverlap="1" wp14:anchorId="081DB1B6" wp14:editId="60C62C28">
                <wp:simplePos x="0" y="0"/>
                <wp:positionH relativeFrom="column">
                  <wp:posOffset>-342900</wp:posOffset>
                </wp:positionH>
                <wp:positionV relativeFrom="paragraph">
                  <wp:posOffset>45085</wp:posOffset>
                </wp:positionV>
                <wp:extent cx="6983730" cy="6983730"/>
                <wp:effectExtent l="0" t="0" r="26670" b="266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081DB201" w14:textId="77777777" w:rsidR="00EF4A0F" w:rsidRDefault="00EF4A0F" w:rsidP="00EF55CC"/>
                          <w:p w14:paraId="19FD0A67" w14:textId="3D892414" w:rsidR="002108C7" w:rsidRPr="002108C7" w:rsidRDefault="002108C7" w:rsidP="002108C7">
                            <w:pPr>
                              <w:spacing w:before="0" w:after="360"/>
                              <w:ind w:left="454"/>
                              <w:rPr>
                                <w:sz w:val="56"/>
                                <w:lang w:eastAsia="en-US"/>
                              </w:rPr>
                            </w:pPr>
                            <w:r w:rsidRPr="002108C7">
                              <w:rPr>
                                <w:sz w:val="56"/>
                                <w:lang w:eastAsia="en-US"/>
                              </w:rPr>
                              <w:t>C</w:t>
                            </w:r>
                            <w:r w:rsidR="005E0A41">
                              <w:rPr>
                                <w:sz w:val="56"/>
                                <w:lang w:eastAsia="en-US"/>
                              </w:rPr>
                              <w:t>haritable Giving Indicators 2013</w:t>
                            </w:r>
                            <w:r w:rsidRPr="002108C7">
                              <w:rPr>
                                <w:sz w:val="56"/>
                                <w:lang w:eastAsia="en-US"/>
                              </w:rPr>
                              <w:t>/1</w:t>
                            </w:r>
                            <w:r w:rsidR="005E0A41">
                              <w:rPr>
                                <w:sz w:val="56"/>
                                <w:lang w:eastAsia="en-US"/>
                              </w:rPr>
                              <w:t>4</w:t>
                            </w:r>
                            <w:r w:rsidRPr="002108C7">
                              <w:rPr>
                                <w:sz w:val="56"/>
                                <w:lang w:eastAsia="en-US"/>
                              </w:rPr>
                              <w:t xml:space="preserve">   </w:t>
                            </w:r>
                          </w:p>
                          <w:p w14:paraId="1B84C439" w14:textId="77777777" w:rsidR="002108C7" w:rsidRPr="002108C7" w:rsidRDefault="002108C7" w:rsidP="002108C7">
                            <w:pPr>
                              <w:ind w:left="454"/>
                              <w:rPr>
                                <w:lang w:eastAsia="en-US"/>
                              </w:rPr>
                            </w:pPr>
                            <w:r w:rsidRPr="002108C7">
                              <w:rPr>
                                <w:lang w:eastAsia="en-US"/>
                              </w:rPr>
                              <w:t>Statistical Release</w:t>
                            </w:r>
                          </w:p>
                          <w:p w14:paraId="4F687807" w14:textId="77777777" w:rsidR="002108C7" w:rsidRPr="002108C7" w:rsidRDefault="002108C7" w:rsidP="002108C7">
                            <w:pPr>
                              <w:ind w:left="454"/>
                              <w:rPr>
                                <w:lang w:eastAsia="en-US"/>
                              </w:rPr>
                            </w:pPr>
                          </w:p>
                          <w:p w14:paraId="75D17CA8" w14:textId="35BE8CCB" w:rsidR="002108C7" w:rsidRPr="002108C7" w:rsidRDefault="002108C7" w:rsidP="002108C7">
                            <w:pPr>
                              <w:ind w:left="454"/>
                              <w:rPr>
                                <w:lang w:eastAsia="en-US"/>
                              </w:rPr>
                            </w:pPr>
                            <w:r w:rsidRPr="002108C7">
                              <w:rPr>
                                <w:lang w:eastAsia="en-US"/>
                              </w:rPr>
                              <w:t>November 201</w:t>
                            </w:r>
                            <w:r w:rsidR="005E0A41">
                              <w:rPr>
                                <w:lang w:eastAsia="en-US"/>
                              </w:rPr>
                              <w:t>4</w:t>
                            </w:r>
                            <w:r w:rsidRPr="002108C7">
                              <w:rPr>
                                <w:lang w:eastAsia="en-US"/>
                              </w:rPr>
                              <w:t xml:space="preserve">   </w:t>
                            </w:r>
                          </w:p>
                          <w:p w14:paraId="081DB205" w14:textId="77777777"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5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">
                <v:textbox>
                  <w:txbxContent>
                    <w:p w14:paraId="081DB201" w14:textId="77777777" w:rsidR="00EF4A0F" w:rsidRDefault="00EF4A0F" w:rsidP="00EF55CC"/>
                    <w:p w14:paraId="19FD0A67" w14:textId="3D892414" w:rsidR="002108C7" w:rsidRPr="002108C7" w:rsidRDefault="002108C7" w:rsidP="002108C7">
                      <w:pPr>
                        <w:spacing w:before="0" w:after="360"/>
                        <w:ind w:left="454"/>
                        <w:rPr>
                          <w:sz w:val="56"/>
                          <w:lang w:eastAsia="en-US"/>
                        </w:rPr>
                      </w:pPr>
                      <w:r w:rsidRPr="002108C7">
                        <w:rPr>
                          <w:sz w:val="56"/>
                          <w:lang w:eastAsia="en-US"/>
                        </w:rPr>
                        <w:t>C</w:t>
                      </w:r>
                      <w:r w:rsidR="005E0A41">
                        <w:rPr>
                          <w:sz w:val="56"/>
                          <w:lang w:eastAsia="en-US"/>
                        </w:rPr>
                        <w:t>haritable Giving Indicators 2013</w:t>
                      </w:r>
                      <w:r w:rsidRPr="002108C7">
                        <w:rPr>
                          <w:sz w:val="56"/>
                          <w:lang w:eastAsia="en-US"/>
                        </w:rPr>
                        <w:t>/1</w:t>
                      </w:r>
                      <w:r w:rsidR="005E0A41">
                        <w:rPr>
                          <w:sz w:val="56"/>
                          <w:lang w:eastAsia="en-US"/>
                        </w:rPr>
                        <w:t>4</w:t>
                      </w:r>
                      <w:r w:rsidRPr="002108C7">
                        <w:rPr>
                          <w:sz w:val="56"/>
                          <w:lang w:eastAsia="en-US"/>
                        </w:rPr>
                        <w:t xml:space="preserve">   </w:t>
                      </w:r>
                    </w:p>
                    <w:p w14:paraId="1B84C439" w14:textId="77777777" w:rsidR="002108C7" w:rsidRPr="002108C7" w:rsidRDefault="002108C7" w:rsidP="002108C7">
                      <w:pPr>
                        <w:ind w:left="454"/>
                        <w:rPr>
                          <w:lang w:eastAsia="en-US"/>
                        </w:rPr>
                      </w:pPr>
                      <w:r w:rsidRPr="002108C7">
                        <w:rPr>
                          <w:lang w:eastAsia="en-US"/>
                        </w:rPr>
                        <w:t>Statistical Release</w:t>
                      </w:r>
                    </w:p>
                    <w:p w14:paraId="4F687807" w14:textId="77777777" w:rsidR="002108C7" w:rsidRPr="002108C7" w:rsidRDefault="002108C7" w:rsidP="002108C7">
                      <w:pPr>
                        <w:ind w:left="454"/>
                        <w:rPr>
                          <w:lang w:eastAsia="en-US"/>
                        </w:rPr>
                      </w:pPr>
                    </w:p>
                    <w:p w14:paraId="75D17CA8" w14:textId="35BE8CCB" w:rsidR="002108C7" w:rsidRPr="002108C7" w:rsidRDefault="002108C7" w:rsidP="002108C7">
                      <w:pPr>
                        <w:ind w:left="454"/>
                        <w:rPr>
                          <w:lang w:eastAsia="en-US"/>
                        </w:rPr>
                      </w:pPr>
                      <w:r w:rsidRPr="002108C7">
                        <w:rPr>
                          <w:lang w:eastAsia="en-US"/>
                        </w:rPr>
                        <w:t>November 201</w:t>
                      </w:r>
                      <w:r w:rsidR="005E0A41">
                        <w:rPr>
                          <w:lang w:eastAsia="en-US"/>
                        </w:rPr>
                        <w:t>4</w:t>
                      </w:r>
                      <w:r w:rsidRPr="002108C7">
                        <w:rPr>
                          <w:lang w:eastAsia="en-US"/>
                        </w:rPr>
                        <w:t xml:space="preserve">   </w:t>
                      </w:r>
                    </w:p>
                    <w:p w14:paraId="081DB205" w14:textId="77777777" w:rsidR="00EF4A0F" w:rsidRDefault="00EF4A0F" w:rsidP="00C95C8D">
                      <w:pPr>
                        <w:pStyle w:val="CoverDate"/>
                      </w:pPr>
                    </w:p>
                  </w:txbxContent>
                </v:textbox>
              </v:shape>
            </w:pict>
          </mc:Fallback>
        </mc:AlternateContent>
      </w:r>
    </w:p>
    <w:p w14:paraId="081DB0F1" w14:textId="560EB1E5" w:rsidR="005D3906" w:rsidRDefault="005D3906" w:rsidP="005D3906"/>
    <w:p w14:paraId="081DB0F2" w14:textId="77777777" w:rsidR="005D3906" w:rsidRDefault="005D3906" w:rsidP="005D3906"/>
    <w:p w14:paraId="081DB0F3" w14:textId="77777777" w:rsidR="00FD27B8" w:rsidRDefault="00FD27B8" w:rsidP="005D3906"/>
    <w:p w14:paraId="081DB0F4" w14:textId="77777777" w:rsidR="005D3906" w:rsidRDefault="005D3906" w:rsidP="005D3906"/>
    <w:p w14:paraId="081DB0F5" w14:textId="77777777" w:rsidR="005D3906" w:rsidRDefault="005D3906" w:rsidP="005D3906"/>
    <w:p w14:paraId="081DB0F6" w14:textId="77777777" w:rsidR="005D3906" w:rsidRDefault="005D3906" w:rsidP="005D3906"/>
    <w:p w14:paraId="081DB0F7" w14:textId="77777777" w:rsidR="005D3906" w:rsidRDefault="005D3906" w:rsidP="005D3906"/>
    <w:p w14:paraId="081DB0F8" w14:textId="77777777" w:rsidR="005D3906" w:rsidRDefault="005D3906" w:rsidP="005D3906"/>
    <w:p w14:paraId="081DB0F9" w14:textId="77777777" w:rsidR="005D3906" w:rsidRDefault="005D3906" w:rsidP="005D3906"/>
    <w:p w14:paraId="081DB0FA" w14:textId="77777777" w:rsidR="005D3906" w:rsidRDefault="005D3906" w:rsidP="005D3906"/>
    <w:p w14:paraId="081DB0FB" w14:textId="77777777" w:rsidR="005D3906" w:rsidRDefault="005D3906" w:rsidP="005D3906"/>
    <w:p w14:paraId="081DB0FC" w14:textId="77777777" w:rsidR="005D3906" w:rsidRDefault="005D3906" w:rsidP="005D3906"/>
    <w:p w14:paraId="081DB0FD" w14:textId="77777777" w:rsidR="005D3906" w:rsidRDefault="005D3906" w:rsidP="005D3906"/>
    <w:p w14:paraId="081DB0FE" w14:textId="77777777" w:rsidR="005D3906" w:rsidRDefault="005D3906" w:rsidP="005D3906"/>
    <w:p w14:paraId="081DB0FF" w14:textId="77777777" w:rsidR="00841BC2" w:rsidRDefault="00841BC2" w:rsidP="005D3906"/>
    <w:p w14:paraId="081DB100" w14:textId="77777777" w:rsidR="00841BC2" w:rsidRDefault="00841BC2" w:rsidP="005D3906"/>
    <w:p w14:paraId="081DB101" w14:textId="77777777" w:rsidR="00841BC2" w:rsidRDefault="00841BC2" w:rsidP="005D3906"/>
    <w:p w14:paraId="081DB102" w14:textId="77777777" w:rsidR="00841BC2" w:rsidRDefault="00841BC2" w:rsidP="005D3906"/>
    <w:p w14:paraId="081DB103" w14:textId="77777777" w:rsidR="00841BC2" w:rsidRDefault="00841BC2" w:rsidP="005D3906"/>
    <w:p w14:paraId="081DB104" w14:textId="77777777" w:rsidR="00841BC2" w:rsidRDefault="00841BC2" w:rsidP="005D3906"/>
    <w:p w14:paraId="081DB105" w14:textId="77777777" w:rsidR="00841BC2" w:rsidRDefault="00841BC2" w:rsidP="005D3906">
      <w:pPr>
        <w:sectPr w:rsidR="00841BC2" w:rsidSect="004E5F60">
          <w:headerReference w:type="even" r:id="rId10"/>
          <w:headerReference w:type="default" r:id="rId11"/>
          <w:footerReference w:type="default" r:id="rId12"/>
          <w:headerReference w:type="first" r:id="rId13"/>
          <w:type w:val="oddPage"/>
          <w:pgSz w:w="11906" w:h="16838" w:code="9"/>
          <w:pgMar w:top="794" w:right="1021" w:bottom="1134" w:left="1021" w:header="709" w:footer="709" w:gutter="0"/>
          <w:cols w:space="708"/>
          <w:titlePg/>
          <w:docGrid w:linePitch="360"/>
        </w:sectPr>
      </w:pPr>
    </w:p>
    <w:p w14:paraId="081DB10A" w14:textId="77777777" w:rsidR="00A20198" w:rsidRPr="00A20198" w:rsidRDefault="00A20198" w:rsidP="00A20198">
      <w:pPr>
        <w:keepNext/>
        <w:pageBreakBefore/>
        <w:pBdr>
          <w:bottom w:val="single" w:sz="4" w:space="6" w:color="auto"/>
        </w:pBdr>
        <w:spacing w:before="1200" w:after="480"/>
        <w:ind w:left="0"/>
        <w:rPr>
          <w:sz w:val="56"/>
          <w:szCs w:val="20"/>
          <w:lang w:eastAsia="en-US"/>
        </w:rPr>
      </w:pPr>
      <w:r w:rsidRPr="00A20198">
        <w:rPr>
          <w:sz w:val="56"/>
          <w:szCs w:val="20"/>
          <w:lang w:eastAsia="en-US"/>
        </w:rPr>
        <w:lastRenderedPageBreak/>
        <w:t>Contents</w:t>
      </w:r>
    </w:p>
    <w:p w14:paraId="081DB10B" w14:textId="77777777" w:rsidR="00A20198" w:rsidRPr="00A20198" w:rsidRDefault="00A20198" w:rsidP="00A20198">
      <w:pPr>
        <w:tabs>
          <w:tab w:val="right" w:pos="9854"/>
        </w:tabs>
        <w:spacing w:after="120"/>
        <w:rPr>
          <w:rFonts w:ascii="Calibri" w:hAnsi="Calibri"/>
          <w:noProof/>
          <w:sz w:val="22"/>
          <w:szCs w:val="22"/>
        </w:rPr>
      </w:pPr>
      <w:r w:rsidRPr="00A20198">
        <w:rPr>
          <w:sz w:val="22"/>
          <w:lang w:eastAsia="en-US"/>
        </w:rPr>
        <w:fldChar w:fldCharType="begin"/>
      </w:r>
      <w:r w:rsidRPr="00A20198">
        <w:rPr>
          <w:sz w:val="22"/>
          <w:lang w:eastAsia="en-US"/>
        </w:rPr>
        <w:instrText xml:space="preserve"> TOC \o "1-2" </w:instrText>
      </w:r>
      <w:r w:rsidRPr="00A20198">
        <w:rPr>
          <w:sz w:val="22"/>
          <w:lang w:eastAsia="en-US"/>
        </w:rPr>
        <w:fldChar w:fldCharType="separate"/>
      </w:r>
      <w:r w:rsidRPr="00A20198">
        <w:rPr>
          <w:noProof/>
          <w:sz w:val="22"/>
          <w:lang w:eastAsia="en-US"/>
        </w:rPr>
        <w:t>Section 1: Indicators…………………………………………………………………….</w:t>
      </w:r>
      <w:r w:rsidRPr="00A20198">
        <w:rPr>
          <w:noProof/>
          <w:sz w:val="22"/>
          <w:lang w:eastAsia="en-US"/>
        </w:rPr>
        <w:tab/>
      </w:r>
      <w:r w:rsidRPr="00A20198">
        <w:rPr>
          <w:noProof/>
          <w:sz w:val="22"/>
          <w:lang w:eastAsia="en-US"/>
        </w:rPr>
        <w:fldChar w:fldCharType="begin"/>
      </w:r>
      <w:r w:rsidRPr="00A20198">
        <w:rPr>
          <w:noProof/>
          <w:sz w:val="22"/>
          <w:lang w:eastAsia="en-US"/>
        </w:rPr>
        <w:instrText xml:space="preserve"> PAGEREF _Toc351365163 \h </w:instrText>
      </w:r>
      <w:r w:rsidRPr="00A20198">
        <w:rPr>
          <w:noProof/>
          <w:sz w:val="22"/>
          <w:lang w:eastAsia="en-US"/>
        </w:rPr>
      </w:r>
      <w:r w:rsidRPr="00A20198">
        <w:rPr>
          <w:noProof/>
          <w:sz w:val="22"/>
          <w:lang w:eastAsia="en-US"/>
        </w:rPr>
        <w:fldChar w:fldCharType="separate"/>
      </w:r>
      <w:r w:rsidR="0003722F">
        <w:rPr>
          <w:noProof/>
          <w:sz w:val="22"/>
          <w:lang w:eastAsia="en-US"/>
        </w:rPr>
        <w:t>4</w:t>
      </w:r>
      <w:r w:rsidRPr="00A20198">
        <w:rPr>
          <w:noProof/>
          <w:sz w:val="22"/>
          <w:lang w:eastAsia="en-US"/>
        </w:rPr>
        <w:fldChar w:fldCharType="end"/>
      </w:r>
    </w:p>
    <w:p w14:paraId="081DB10C" w14:textId="77777777" w:rsidR="00A20198" w:rsidRPr="00A20198" w:rsidRDefault="00A20198" w:rsidP="00A20198">
      <w:pPr>
        <w:tabs>
          <w:tab w:val="right" w:pos="9854"/>
        </w:tabs>
        <w:spacing w:after="120"/>
        <w:rPr>
          <w:rFonts w:ascii="Calibri" w:hAnsi="Calibri"/>
          <w:noProof/>
          <w:sz w:val="22"/>
          <w:szCs w:val="22"/>
        </w:rPr>
      </w:pPr>
      <w:r w:rsidRPr="00A20198">
        <w:rPr>
          <w:noProof/>
          <w:sz w:val="22"/>
          <w:lang w:eastAsia="en-US"/>
        </w:rPr>
        <w:t>Annex A: Technical Note……………………………………………………………….</w:t>
      </w:r>
      <w:r w:rsidRPr="00A20198">
        <w:rPr>
          <w:noProof/>
          <w:sz w:val="22"/>
          <w:lang w:eastAsia="en-US"/>
        </w:rPr>
        <w:tab/>
      </w:r>
      <w:r w:rsidRPr="00A20198">
        <w:rPr>
          <w:noProof/>
          <w:sz w:val="22"/>
          <w:lang w:eastAsia="en-US"/>
        </w:rPr>
        <w:fldChar w:fldCharType="begin"/>
      </w:r>
      <w:r w:rsidRPr="00A20198">
        <w:rPr>
          <w:noProof/>
          <w:sz w:val="22"/>
          <w:lang w:eastAsia="en-US"/>
        </w:rPr>
        <w:instrText xml:space="preserve"> PAGEREF _Toc351365164 \h </w:instrText>
      </w:r>
      <w:r w:rsidRPr="00A20198">
        <w:rPr>
          <w:noProof/>
          <w:sz w:val="22"/>
          <w:lang w:eastAsia="en-US"/>
        </w:rPr>
      </w:r>
      <w:r w:rsidRPr="00A20198">
        <w:rPr>
          <w:noProof/>
          <w:sz w:val="22"/>
          <w:lang w:eastAsia="en-US"/>
        </w:rPr>
        <w:fldChar w:fldCharType="separate"/>
      </w:r>
      <w:r w:rsidR="0003722F">
        <w:rPr>
          <w:noProof/>
          <w:sz w:val="22"/>
          <w:lang w:eastAsia="en-US"/>
        </w:rPr>
        <w:t>8</w:t>
      </w:r>
      <w:r w:rsidRPr="00A20198">
        <w:rPr>
          <w:noProof/>
          <w:sz w:val="22"/>
          <w:lang w:eastAsia="en-US"/>
        </w:rPr>
        <w:fldChar w:fldCharType="end"/>
      </w:r>
    </w:p>
    <w:p w14:paraId="081DB10D" w14:textId="77777777" w:rsidR="00A20198" w:rsidRPr="00A20198" w:rsidRDefault="00A20198" w:rsidP="00A20198">
      <w:pPr>
        <w:rPr>
          <w:sz w:val="22"/>
          <w:lang w:eastAsia="en-US"/>
        </w:rPr>
      </w:pPr>
      <w:r w:rsidRPr="00A20198">
        <w:rPr>
          <w:sz w:val="22"/>
          <w:lang w:eastAsia="en-US"/>
        </w:rPr>
        <w:fldChar w:fldCharType="end"/>
      </w:r>
    </w:p>
    <w:p w14:paraId="081DB10E" w14:textId="77777777" w:rsidR="00A20198" w:rsidRPr="00A20198" w:rsidRDefault="00A20198" w:rsidP="00A20198">
      <w:pPr>
        <w:rPr>
          <w:sz w:val="22"/>
          <w:lang w:eastAsia="en-US"/>
        </w:rPr>
      </w:pPr>
    </w:p>
    <w:p w14:paraId="081DB10F" w14:textId="77777777" w:rsidR="00A20198" w:rsidRDefault="00A20198" w:rsidP="00A20198">
      <w:pPr>
        <w:rPr>
          <w:sz w:val="22"/>
          <w:lang w:eastAsia="en-US"/>
        </w:rPr>
      </w:pPr>
    </w:p>
    <w:p w14:paraId="16AB750F" w14:textId="77777777" w:rsidR="00FE52FD" w:rsidRDefault="00FE52FD" w:rsidP="00A20198">
      <w:pPr>
        <w:rPr>
          <w:sz w:val="22"/>
          <w:lang w:eastAsia="en-US"/>
        </w:rPr>
      </w:pPr>
    </w:p>
    <w:p w14:paraId="5398A7A2" w14:textId="77777777" w:rsidR="00FE52FD" w:rsidRDefault="00FE52FD" w:rsidP="00A20198">
      <w:pPr>
        <w:rPr>
          <w:sz w:val="22"/>
          <w:lang w:eastAsia="en-US"/>
        </w:rPr>
      </w:pPr>
    </w:p>
    <w:p w14:paraId="3BEF5F46" w14:textId="77777777" w:rsidR="00FE52FD" w:rsidRDefault="00FE52FD" w:rsidP="00FE52FD">
      <w:pPr>
        <w:ind w:left="142"/>
        <w:rPr>
          <w:i/>
          <w:sz w:val="28"/>
          <w:lang w:eastAsia="en-US"/>
        </w:rPr>
      </w:pPr>
    </w:p>
    <w:p w14:paraId="6926DD6A" w14:textId="77777777" w:rsidR="00FE52FD" w:rsidRDefault="00FE52FD" w:rsidP="00FE52FD">
      <w:pPr>
        <w:ind w:left="142"/>
        <w:rPr>
          <w:i/>
          <w:sz w:val="28"/>
          <w:lang w:eastAsia="en-US"/>
        </w:rPr>
      </w:pPr>
    </w:p>
    <w:p w14:paraId="1309154F" w14:textId="77777777" w:rsidR="00FE52FD" w:rsidRDefault="00FE52FD" w:rsidP="00FE52FD">
      <w:pPr>
        <w:ind w:left="142"/>
        <w:rPr>
          <w:i/>
          <w:sz w:val="28"/>
          <w:lang w:eastAsia="en-US"/>
        </w:rPr>
      </w:pPr>
    </w:p>
    <w:p w14:paraId="5E833D75" w14:textId="77777777" w:rsidR="00FE52FD" w:rsidRDefault="00FE52FD" w:rsidP="00FE52FD">
      <w:pPr>
        <w:ind w:left="142"/>
        <w:rPr>
          <w:i/>
          <w:sz w:val="28"/>
          <w:lang w:eastAsia="en-US"/>
        </w:rPr>
      </w:pPr>
    </w:p>
    <w:p w14:paraId="6BD98F76" w14:textId="77777777" w:rsidR="00FE52FD" w:rsidRDefault="00FE52FD" w:rsidP="00FE52FD">
      <w:pPr>
        <w:ind w:left="142"/>
        <w:rPr>
          <w:i/>
          <w:sz w:val="28"/>
          <w:lang w:eastAsia="en-US"/>
        </w:rPr>
      </w:pPr>
    </w:p>
    <w:p w14:paraId="14619988" w14:textId="77777777" w:rsidR="00FE52FD" w:rsidRDefault="00FE52FD" w:rsidP="00FE52FD">
      <w:pPr>
        <w:ind w:left="142"/>
        <w:rPr>
          <w:i/>
          <w:sz w:val="28"/>
          <w:lang w:eastAsia="en-US"/>
        </w:rPr>
      </w:pPr>
    </w:p>
    <w:p w14:paraId="7F4BAD07" w14:textId="77777777" w:rsidR="00FE52FD" w:rsidRDefault="00FE52FD" w:rsidP="00FE52FD">
      <w:pPr>
        <w:ind w:left="142"/>
        <w:rPr>
          <w:i/>
          <w:sz w:val="28"/>
          <w:lang w:eastAsia="en-US"/>
        </w:rPr>
      </w:pPr>
    </w:p>
    <w:p w14:paraId="1539CF58" w14:textId="77777777" w:rsidR="00FE52FD" w:rsidRDefault="00FE52FD" w:rsidP="00FE52FD">
      <w:pPr>
        <w:ind w:left="142"/>
        <w:rPr>
          <w:i/>
          <w:sz w:val="28"/>
          <w:lang w:eastAsia="en-US"/>
        </w:rPr>
      </w:pPr>
    </w:p>
    <w:p w14:paraId="65D428BA" w14:textId="77777777" w:rsidR="00FE52FD" w:rsidRDefault="00FE52FD" w:rsidP="00FE52FD">
      <w:pPr>
        <w:ind w:left="142"/>
        <w:rPr>
          <w:i/>
          <w:sz w:val="28"/>
          <w:lang w:eastAsia="en-US"/>
        </w:rPr>
      </w:pPr>
    </w:p>
    <w:p w14:paraId="172B4589" w14:textId="77777777" w:rsidR="00FE52FD" w:rsidRDefault="00FE52FD" w:rsidP="00FE52FD">
      <w:pPr>
        <w:ind w:left="142"/>
        <w:rPr>
          <w:i/>
          <w:sz w:val="28"/>
          <w:lang w:eastAsia="en-US"/>
        </w:rPr>
      </w:pPr>
    </w:p>
    <w:p w14:paraId="721743B3" w14:textId="77777777" w:rsidR="00FE52FD" w:rsidRDefault="00FE52FD" w:rsidP="00FE52FD">
      <w:pPr>
        <w:ind w:left="142"/>
        <w:rPr>
          <w:i/>
          <w:sz w:val="28"/>
          <w:lang w:eastAsia="en-US"/>
        </w:rPr>
      </w:pPr>
    </w:p>
    <w:p w14:paraId="018D2D4E" w14:textId="77777777" w:rsidR="00FE52FD" w:rsidRDefault="00FE52FD" w:rsidP="00FE52FD">
      <w:pPr>
        <w:ind w:left="142"/>
        <w:rPr>
          <w:i/>
          <w:sz w:val="28"/>
          <w:lang w:eastAsia="en-US"/>
        </w:rPr>
      </w:pPr>
    </w:p>
    <w:p w14:paraId="200FC5CE" w14:textId="77777777" w:rsidR="00FE52FD" w:rsidRDefault="00FE52FD" w:rsidP="00FE52FD">
      <w:pPr>
        <w:ind w:left="142"/>
        <w:rPr>
          <w:i/>
          <w:sz w:val="28"/>
          <w:lang w:eastAsia="en-US"/>
        </w:rPr>
      </w:pPr>
    </w:p>
    <w:p w14:paraId="182439B8" w14:textId="77777777" w:rsidR="00FE52FD" w:rsidRDefault="00FE52FD" w:rsidP="00FE52FD">
      <w:pPr>
        <w:ind w:left="142"/>
        <w:rPr>
          <w:i/>
          <w:sz w:val="28"/>
          <w:lang w:eastAsia="en-US"/>
        </w:rPr>
      </w:pPr>
    </w:p>
    <w:p w14:paraId="40C70A91" w14:textId="77777777" w:rsidR="00FE52FD" w:rsidRDefault="00FE52FD" w:rsidP="00FE52FD">
      <w:pPr>
        <w:ind w:left="142"/>
        <w:rPr>
          <w:i/>
          <w:sz w:val="28"/>
          <w:lang w:eastAsia="en-US"/>
        </w:rPr>
      </w:pPr>
    </w:p>
    <w:p w14:paraId="2EED4025" w14:textId="77777777" w:rsidR="00FE52FD" w:rsidRDefault="00FE52FD" w:rsidP="00FE52FD">
      <w:pPr>
        <w:ind w:left="142"/>
        <w:rPr>
          <w:i/>
          <w:sz w:val="28"/>
          <w:lang w:eastAsia="en-US"/>
        </w:rPr>
      </w:pPr>
    </w:p>
    <w:p w14:paraId="5EC2970B" w14:textId="77777777" w:rsidR="00FE52FD" w:rsidRDefault="00FE52FD" w:rsidP="00FE52FD">
      <w:pPr>
        <w:ind w:left="142"/>
        <w:rPr>
          <w:i/>
          <w:sz w:val="28"/>
          <w:lang w:eastAsia="en-US"/>
        </w:rPr>
      </w:pPr>
    </w:p>
    <w:p w14:paraId="6A296566" w14:textId="77777777" w:rsidR="00FE52FD" w:rsidRDefault="00FE52FD" w:rsidP="00FE52FD">
      <w:pPr>
        <w:ind w:left="142"/>
        <w:rPr>
          <w:i/>
          <w:sz w:val="28"/>
          <w:lang w:eastAsia="en-US"/>
        </w:rPr>
      </w:pPr>
    </w:p>
    <w:p w14:paraId="5123E32E" w14:textId="480E7A22" w:rsidR="00FE52FD" w:rsidRDefault="00250178" w:rsidP="00FE52FD">
      <w:pPr>
        <w:ind w:left="142"/>
        <w:rPr>
          <w:i/>
          <w:sz w:val="28"/>
          <w:lang w:eastAsia="en-US"/>
        </w:rPr>
      </w:pPr>
      <w:r>
        <w:rPr>
          <w:i/>
          <w:sz w:val="28"/>
          <w:lang w:eastAsia="en-US"/>
        </w:rPr>
        <w:t>Charitable Giving Indicators is an Official Statistic and has been produced to the standards set out in the Code of Practice for Official Statistics.</w:t>
      </w:r>
    </w:p>
    <w:p w14:paraId="081DB110" w14:textId="77777777" w:rsidR="00A20198" w:rsidRPr="00A20198" w:rsidRDefault="00A20198" w:rsidP="00A20198">
      <w:pPr>
        <w:keepNext/>
        <w:pageBreakBefore/>
        <w:numPr>
          <w:ilvl w:val="0"/>
          <w:numId w:val="1"/>
        </w:numPr>
        <w:pBdr>
          <w:bottom w:val="single" w:sz="4" w:space="6" w:color="auto"/>
        </w:pBdr>
        <w:spacing w:before="1200" w:after="480"/>
        <w:outlineLvl w:val="0"/>
        <w:rPr>
          <w:sz w:val="56"/>
          <w:lang w:eastAsia="en-US"/>
        </w:rPr>
      </w:pPr>
      <w:bookmarkStart w:id="1" w:name="_Toc351365163"/>
      <w:bookmarkStart w:id="2" w:name="indicator"/>
      <w:r w:rsidRPr="00A20198">
        <w:rPr>
          <w:sz w:val="56"/>
          <w:lang w:eastAsia="en-US"/>
        </w:rPr>
        <w:lastRenderedPageBreak/>
        <w:t>Indicators</w:t>
      </w:r>
      <w:bookmarkEnd w:id="1"/>
      <w:r w:rsidRPr="00A20198">
        <w:rPr>
          <w:sz w:val="56"/>
          <w:lang w:eastAsia="en-US"/>
        </w:rPr>
        <w:t xml:space="preserve"> </w:t>
      </w:r>
    </w:p>
    <w:bookmarkEnd w:id="2"/>
    <w:p w14:paraId="081DB111" w14:textId="77777777" w:rsidR="00A20198" w:rsidRPr="00A20198" w:rsidRDefault="00A20198" w:rsidP="00A20198">
      <w:pPr>
        <w:spacing w:before="0" w:after="200"/>
        <w:ind w:left="0" w:firstLine="720"/>
        <w:rPr>
          <w:b/>
          <w:lang w:eastAsia="en-US"/>
        </w:rPr>
      </w:pPr>
      <w:r w:rsidRPr="00A20198">
        <w:rPr>
          <w:b/>
          <w:lang w:eastAsia="en-US"/>
        </w:rPr>
        <w:t>Background</w:t>
      </w:r>
    </w:p>
    <w:p w14:paraId="081DB112" w14:textId="056CDAA5" w:rsidR="00A20198" w:rsidRDefault="00A20198" w:rsidP="00A20198">
      <w:pPr>
        <w:ind w:left="720"/>
        <w:rPr>
          <w:sz w:val="22"/>
          <w:szCs w:val="22"/>
          <w:lang w:eastAsia="en-US"/>
        </w:rPr>
      </w:pPr>
      <w:r w:rsidRPr="00A20198">
        <w:rPr>
          <w:sz w:val="22"/>
          <w:szCs w:val="22"/>
          <w:lang w:eastAsia="en-US"/>
        </w:rPr>
        <w:t>This release presents both the DCMS impact indicator “Total amount of charitable giving</w:t>
      </w:r>
      <w:r w:rsidRPr="00A20198">
        <w:rPr>
          <w:sz w:val="22"/>
          <w:szCs w:val="22"/>
          <w:vertAlign w:val="superscript"/>
          <w:lang w:eastAsia="en-US"/>
        </w:rPr>
        <w:footnoteReference w:id="2"/>
      </w:r>
      <w:r w:rsidRPr="00A20198">
        <w:rPr>
          <w:sz w:val="22"/>
          <w:szCs w:val="22"/>
          <w:lang w:eastAsia="en-US"/>
        </w:rPr>
        <w:t xml:space="preserve"> to DCMS funded cultural institutions” and the input indicator of </w:t>
      </w:r>
      <w:r w:rsidR="00415C68">
        <w:rPr>
          <w:sz w:val="22"/>
          <w:szCs w:val="22"/>
          <w:lang w:eastAsia="en-US"/>
        </w:rPr>
        <w:t xml:space="preserve">the </w:t>
      </w:r>
      <w:r w:rsidRPr="00A20198">
        <w:rPr>
          <w:sz w:val="22"/>
          <w:szCs w:val="22"/>
          <w:lang w:eastAsia="en-US"/>
        </w:rPr>
        <w:t>“ratio of charitable giving to Grant-in-Aid received by DCMS funded institutions”. The cultural institutions included in this measure are, Arts Council England and their National Portfolio Organisations, British Film Institute, British Library, English Heritage, and the National Museums and Galleries</w:t>
      </w:r>
      <w:r w:rsidRPr="00A20198">
        <w:rPr>
          <w:sz w:val="22"/>
          <w:szCs w:val="22"/>
          <w:vertAlign w:val="superscript"/>
          <w:lang w:eastAsia="en-US"/>
        </w:rPr>
        <w:footnoteReference w:id="3"/>
      </w:r>
      <w:r w:rsidRPr="00A20198">
        <w:rPr>
          <w:sz w:val="22"/>
          <w:szCs w:val="22"/>
          <w:lang w:eastAsia="en-US"/>
        </w:rPr>
        <w:t xml:space="preserve">. </w:t>
      </w:r>
    </w:p>
    <w:p w14:paraId="46AD283B" w14:textId="77777777" w:rsidR="00794254" w:rsidRDefault="00794254" w:rsidP="00A20198">
      <w:pPr>
        <w:ind w:left="720"/>
        <w:rPr>
          <w:sz w:val="22"/>
          <w:szCs w:val="22"/>
          <w:lang w:eastAsia="en-US"/>
        </w:rPr>
      </w:pPr>
    </w:p>
    <w:p w14:paraId="15D98D8A" w14:textId="5617B6A1" w:rsidR="00794254" w:rsidRDefault="00794254" w:rsidP="00A20198">
      <w:pPr>
        <w:ind w:left="720"/>
        <w:rPr>
          <w:b/>
          <w:sz w:val="22"/>
          <w:szCs w:val="22"/>
          <w:lang w:eastAsia="en-US"/>
        </w:rPr>
      </w:pPr>
      <w:r w:rsidRPr="00794254">
        <w:rPr>
          <w:b/>
          <w:sz w:val="22"/>
          <w:szCs w:val="22"/>
          <w:lang w:eastAsia="en-US"/>
        </w:rPr>
        <w:t xml:space="preserve">Key Findings </w:t>
      </w:r>
    </w:p>
    <w:p w14:paraId="351C9B3F" w14:textId="162E7A85" w:rsidR="00794254" w:rsidRDefault="005E0A41" w:rsidP="00794254">
      <w:pPr>
        <w:pStyle w:val="ListParagraph"/>
        <w:numPr>
          <w:ilvl w:val="0"/>
          <w:numId w:val="14"/>
        </w:numPr>
        <w:spacing w:after="120"/>
        <w:rPr>
          <w:sz w:val="22"/>
          <w:szCs w:val="22"/>
          <w:lang w:eastAsia="en-US"/>
        </w:rPr>
      </w:pPr>
      <w:r>
        <w:rPr>
          <w:sz w:val="22"/>
          <w:szCs w:val="22"/>
          <w:lang w:eastAsia="en-US"/>
        </w:rPr>
        <w:t>The impact indicator in 2013</w:t>
      </w:r>
      <w:r w:rsidR="00794254">
        <w:rPr>
          <w:sz w:val="22"/>
          <w:szCs w:val="22"/>
          <w:lang w:eastAsia="en-US"/>
        </w:rPr>
        <w:t>/1</w:t>
      </w:r>
      <w:r>
        <w:rPr>
          <w:sz w:val="22"/>
          <w:szCs w:val="22"/>
          <w:lang w:eastAsia="en-US"/>
        </w:rPr>
        <w:t>4</w:t>
      </w:r>
      <w:r w:rsidR="00794254">
        <w:rPr>
          <w:sz w:val="22"/>
          <w:szCs w:val="22"/>
          <w:lang w:eastAsia="en-US"/>
        </w:rPr>
        <w:t>, which measures</w:t>
      </w:r>
      <w:r>
        <w:rPr>
          <w:sz w:val="22"/>
          <w:szCs w:val="22"/>
          <w:lang w:eastAsia="en-US"/>
        </w:rPr>
        <w:t xml:space="preserve"> total fundraising, was £476</w:t>
      </w:r>
      <w:r w:rsidR="00794254">
        <w:rPr>
          <w:sz w:val="22"/>
          <w:szCs w:val="22"/>
          <w:lang w:eastAsia="en-US"/>
        </w:rPr>
        <w:t>m, a</w:t>
      </w:r>
      <w:r>
        <w:rPr>
          <w:sz w:val="22"/>
          <w:szCs w:val="22"/>
          <w:lang w:eastAsia="en-US"/>
        </w:rPr>
        <w:t>n</w:t>
      </w:r>
      <w:r w:rsidR="00794254">
        <w:rPr>
          <w:sz w:val="22"/>
          <w:szCs w:val="22"/>
          <w:lang w:eastAsia="en-US"/>
        </w:rPr>
        <w:t xml:space="preserve"> </w:t>
      </w:r>
      <w:r>
        <w:rPr>
          <w:sz w:val="22"/>
          <w:szCs w:val="22"/>
          <w:lang w:eastAsia="en-US"/>
        </w:rPr>
        <w:t>increase</w:t>
      </w:r>
      <w:r w:rsidR="00266831">
        <w:rPr>
          <w:sz w:val="22"/>
          <w:szCs w:val="22"/>
          <w:lang w:eastAsia="en-US"/>
        </w:rPr>
        <w:t xml:space="preserve"> of £</w:t>
      </w:r>
      <w:r>
        <w:rPr>
          <w:sz w:val="22"/>
          <w:szCs w:val="22"/>
          <w:lang w:eastAsia="en-US"/>
        </w:rPr>
        <w:t>128</w:t>
      </w:r>
      <w:r w:rsidR="00266831">
        <w:rPr>
          <w:sz w:val="22"/>
          <w:szCs w:val="22"/>
          <w:lang w:eastAsia="en-US"/>
        </w:rPr>
        <w:t>m from £3</w:t>
      </w:r>
      <w:r>
        <w:rPr>
          <w:sz w:val="22"/>
          <w:szCs w:val="22"/>
          <w:lang w:eastAsia="en-US"/>
        </w:rPr>
        <w:t>48</w:t>
      </w:r>
      <w:r w:rsidR="00266831">
        <w:rPr>
          <w:sz w:val="22"/>
          <w:szCs w:val="22"/>
          <w:lang w:eastAsia="en-US"/>
        </w:rPr>
        <w:t>m</w:t>
      </w:r>
      <w:r w:rsidR="00794254">
        <w:rPr>
          <w:sz w:val="22"/>
          <w:szCs w:val="22"/>
          <w:lang w:eastAsia="en-US"/>
        </w:rPr>
        <w:t xml:space="preserve"> in 201</w:t>
      </w:r>
      <w:r>
        <w:rPr>
          <w:sz w:val="22"/>
          <w:szCs w:val="22"/>
          <w:lang w:eastAsia="en-US"/>
        </w:rPr>
        <w:t>2</w:t>
      </w:r>
      <w:r w:rsidR="00794254">
        <w:rPr>
          <w:sz w:val="22"/>
          <w:szCs w:val="22"/>
          <w:lang w:eastAsia="en-US"/>
        </w:rPr>
        <w:t>/1</w:t>
      </w:r>
      <w:r>
        <w:rPr>
          <w:sz w:val="22"/>
          <w:szCs w:val="22"/>
          <w:lang w:eastAsia="en-US"/>
        </w:rPr>
        <w:t>3</w:t>
      </w:r>
      <w:r w:rsidR="00794254">
        <w:rPr>
          <w:sz w:val="22"/>
          <w:szCs w:val="22"/>
          <w:lang w:eastAsia="en-US"/>
        </w:rPr>
        <w:t xml:space="preserve">. </w:t>
      </w:r>
    </w:p>
    <w:p w14:paraId="3DB501DE" w14:textId="77777777" w:rsidR="00794254" w:rsidRDefault="00794254" w:rsidP="00794254">
      <w:pPr>
        <w:pStyle w:val="ListParagraph"/>
        <w:spacing w:after="120"/>
        <w:ind w:left="1440"/>
        <w:rPr>
          <w:sz w:val="22"/>
          <w:szCs w:val="22"/>
          <w:lang w:eastAsia="en-US"/>
        </w:rPr>
      </w:pPr>
    </w:p>
    <w:p w14:paraId="245D447B" w14:textId="358660AF" w:rsidR="00794254" w:rsidRDefault="00794254" w:rsidP="00794254">
      <w:pPr>
        <w:pStyle w:val="ListParagraph"/>
        <w:numPr>
          <w:ilvl w:val="0"/>
          <w:numId w:val="14"/>
        </w:numPr>
        <w:spacing w:after="120"/>
        <w:rPr>
          <w:sz w:val="22"/>
          <w:szCs w:val="22"/>
          <w:lang w:eastAsia="en-US"/>
        </w:rPr>
      </w:pPr>
      <w:r>
        <w:rPr>
          <w:sz w:val="22"/>
          <w:szCs w:val="22"/>
          <w:lang w:eastAsia="en-US"/>
        </w:rPr>
        <w:t>When donated objects are excluded from the impact indicator</w:t>
      </w:r>
      <w:r w:rsidR="00344E64">
        <w:rPr>
          <w:sz w:val="22"/>
          <w:szCs w:val="22"/>
          <w:lang w:eastAsia="en-US"/>
        </w:rPr>
        <w:t>, the total fundraising was £455</w:t>
      </w:r>
      <w:r>
        <w:rPr>
          <w:sz w:val="22"/>
          <w:szCs w:val="22"/>
          <w:lang w:eastAsia="en-US"/>
        </w:rPr>
        <w:t>m in 201</w:t>
      </w:r>
      <w:r w:rsidR="00344E64">
        <w:rPr>
          <w:sz w:val="22"/>
          <w:szCs w:val="22"/>
          <w:lang w:eastAsia="en-US"/>
        </w:rPr>
        <w:t>3</w:t>
      </w:r>
      <w:r>
        <w:rPr>
          <w:sz w:val="22"/>
          <w:szCs w:val="22"/>
          <w:lang w:eastAsia="en-US"/>
        </w:rPr>
        <w:t>/</w:t>
      </w:r>
      <w:r w:rsidR="00266831">
        <w:rPr>
          <w:sz w:val="22"/>
          <w:szCs w:val="22"/>
          <w:lang w:eastAsia="en-US"/>
        </w:rPr>
        <w:t>1</w:t>
      </w:r>
      <w:r w:rsidR="00344E64">
        <w:rPr>
          <w:sz w:val="22"/>
          <w:szCs w:val="22"/>
          <w:lang w:eastAsia="en-US"/>
        </w:rPr>
        <w:t>4</w:t>
      </w:r>
      <w:r w:rsidR="00266831">
        <w:rPr>
          <w:sz w:val="22"/>
          <w:szCs w:val="22"/>
          <w:lang w:eastAsia="en-US"/>
        </w:rPr>
        <w:t>, an increase of £1</w:t>
      </w:r>
      <w:r w:rsidR="00344E64">
        <w:rPr>
          <w:sz w:val="22"/>
          <w:szCs w:val="22"/>
          <w:lang w:eastAsia="en-US"/>
        </w:rPr>
        <w:t>62</w:t>
      </w:r>
      <w:r w:rsidR="00266831">
        <w:rPr>
          <w:sz w:val="22"/>
          <w:szCs w:val="22"/>
          <w:lang w:eastAsia="en-US"/>
        </w:rPr>
        <w:t>m from £</w:t>
      </w:r>
      <w:r w:rsidR="00344E64">
        <w:rPr>
          <w:sz w:val="22"/>
          <w:szCs w:val="22"/>
          <w:lang w:eastAsia="en-US"/>
        </w:rPr>
        <w:t>293</w:t>
      </w:r>
      <w:r w:rsidR="00266831">
        <w:rPr>
          <w:sz w:val="22"/>
          <w:szCs w:val="22"/>
          <w:lang w:eastAsia="en-US"/>
        </w:rPr>
        <w:t>m</w:t>
      </w:r>
      <w:r>
        <w:rPr>
          <w:sz w:val="22"/>
          <w:szCs w:val="22"/>
          <w:lang w:eastAsia="en-US"/>
        </w:rPr>
        <w:t xml:space="preserve"> in 201</w:t>
      </w:r>
      <w:r w:rsidR="00344E64">
        <w:rPr>
          <w:sz w:val="22"/>
          <w:szCs w:val="22"/>
          <w:lang w:eastAsia="en-US"/>
        </w:rPr>
        <w:t>2</w:t>
      </w:r>
      <w:r>
        <w:rPr>
          <w:sz w:val="22"/>
          <w:szCs w:val="22"/>
          <w:lang w:eastAsia="en-US"/>
        </w:rPr>
        <w:t>/1</w:t>
      </w:r>
      <w:r w:rsidR="00344E64">
        <w:rPr>
          <w:sz w:val="22"/>
          <w:szCs w:val="22"/>
          <w:lang w:eastAsia="en-US"/>
        </w:rPr>
        <w:t>3</w:t>
      </w:r>
      <w:r>
        <w:rPr>
          <w:sz w:val="22"/>
          <w:szCs w:val="22"/>
          <w:lang w:eastAsia="en-US"/>
        </w:rPr>
        <w:t xml:space="preserve">. </w:t>
      </w:r>
    </w:p>
    <w:p w14:paraId="0278688C" w14:textId="77777777" w:rsidR="00794254" w:rsidRPr="00794254" w:rsidRDefault="00794254" w:rsidP="00794254">
      <w:pPr>
        <w:pStyle w:val="ListParagraph"/>
        <w:rPr>
          <w:sz w:val="22"/>
          <w:szCs w:val="22"/>
          <w:lang w:eastAsia="en-US"/>
        </w:rPr>
      </w:pPr>
    </w:p>
    <w:p w14:paraId="0A4CAB02" w14:textId="65A9F0B5" w:rsidR="00794254" w:rsidRDefault="00794254" w:rsidP="00794254">
      <w:pPr>
        <w:pStyle w:val="ListParagraph"/>
        <w:numPr>
          <w:ilvl w:val="0"/>
          <w:numId w:val="14"/>
        </w:numPr>
        <w:spacing w:after="120"/>
        <w:rPr>
          <w:sz w:val="22"/>
          <w:szCs w:val="22"/>
          <w:lang w:eastAsia="en-US"/>
        </w:rPr>
      </w:pPr>
      <w:r>
        <w:rPr>
          <w:sz w:val="22"/>
          <w:szCs w:val="22"/>
          <w:lang w:eastAsia="en-US"/>
        </w:rPr>
        <w:t>The input indicator in 201</w:t>
      </w:r>
      <w:r w:rsidR="00344E64">
        <w:rPr>
          <w:sz w:val="22"/>
          <w:szCs w:val="22"/>
          <w:lang w:eastAsia="en-US"/>
        </w:rPr>
        <w:t>3</w:t>
      </w:r>
      <w:r>
        <w:rPr>
          <w:sz w:val="22"/>
          <w:szCs w:val="22"/>
          <w:lang w:eastAsia="en-US"/>
        </w:rPr>
        <w:t>/1</w:t>
      </w:r>
      <w:r w:rsidR="00344E64">
        <w:rPr>
          <w:sz w:val="22"/>
          <w:szCs w:val="22"/>
          <w:lang w:eastAsia="en-US"/>
        </w:rPr>
        <w:t>4</w:t>
      </w:r>
      <w:r>
        <w:rPr>
          <w:sz w:val="22"/>
          <w:szCs w:val="22"/>
          <w:lang w:eastAsia="en-US"/>
        </w:rPr>
        <w:t>, which measures the ratio of fundraising to Grant-in-Aid</w:t>
      </w:r>
      <w:r w:rsidR="001A1203">
        <w:rPr>
          <w:sz w:val="22"/>
          <w:szCs w:val="22"/>
          <w:lang w:eastAsia="en-US"/>
        </w:rPr>
        <w:t xml:space="preserve">, was </w:t>
      </w:r>
      <w:r w:rsidR="00344E64">
        <w:rPr>
          <w:sz w:val="22"/>
          <w:szCs w:val="22"/>
          <w:lang w:eastAsia="en-US"/>
        </w:rPr>
        <w:t>48.8</w:t>
      </w:r>
      <w:r w:rsidR="00266831">
        <w:rPr>
          <w:sz w:val="22"/>
          <w:szCs w:val="22"/>
          <w:lang w:eastAsia="en-US"/>
        </w:rPr>
        <w:t>%, a</w:t>
      </w:r>
      <w:r w:rsidR="00344E64">
        <w:rPr>
          <w:sz w:val="22"/>
          <w:szCs w:val="22"/>
          <w:lang w:eastAsia="en-US"/>
        </w:rPr>
        <w:t>n</w:t>
      </w:r>
      <w:r w:rsidR="00266831">
        <w:rPr>
          <w:sz w:val="22"/>
          <w:szCs w:val="22"/>
          <w:lang w:eastAsia="en-US"/>
        </w:rPr>
        <w:t xml:space="preserve"> </w:t>
      </w:r>
      <w:r w:rsidR="00344E64">
        <w:rPr>
          <w:sz w:val="22"/>
          <w:szCs w:val="22"/>
          <w:lang w:eastAsia="en-US"/>
        </w:rPr>
        <w:t>increase</w:t>
      </w:r>
      <w:r w:rsidR="00266831">
        <w:rPr>
          <w:sz w:val="22"/>
          <w:szCs w:val="22"/>
          <w:lang w:eastAsia="en-US"/>
        </w:rPr>
        <w:t xml:space="preserve"> from</w:t>
      </w:r>
      <w:r>
        <w:rPr>
          <w:sz w:val="22"/>
          <w:szCs w:val="22"/>
          <w:lang w:eastAsia="en-US"/>
        </w:rPr>
        <w:t xml:space="preserve"> </w:t>
      </w:r>
      <w:r w:rsidR="00344E64">
        <w:rPr>
          <w:sz w:val="22"/>
          <w:szCs w:val="22"/>
          <w:lang w:eastAsia="en-US"/>
        </w:rPr>
        <w:t>33.7</w:t>
      </w:r>
      <w:r w:rsidR="00266831">
        <w:rPr>
          <w:sz w:val="22"/>
          <w:szCs w:val="22"/>
          <w:lang w:eastAsia="en-US"/>
        </w:rPr>
        <w:t>%</w:t>
      </w:r>
      <w:r>
        <w:rPr>
          <w:sz w:val="22"/>
          <w:szCs w:val="22"/>
          <w:lang w:eastAsia="en-US"/>
        </w:rPr>
        <w:t xml:space="preserve"> in 201</w:t>
      </w:r>
      <w:r w:rsidR="00344E64">
        <w:rPr>
          <w:sz w:val="22"/>
          <w:szCs w:val="22"/>
          <w:lang w:eastAsia="en-US"/>
        </w:rPr>
        <w:t>2</w:t>
      </w:r>
      <w:r>
        <w:rPr>
          <w:sz w:val="22"/>
          <w:szCs w:val="22"/>
          <w:lang w:eastAsia="en-US"/>
        </w:rPr>
        <w:t>/1</w:t>
      </w:r>
      <w:r w:rsidR="00344E64">
        <w:rPr>
          <w:sz w:val="22"/>
          <w:szCs w:val="22"/>
          <w:lang w:eastAsia="en-US"/>
        </w:rPr>
        <w:t>3</w:t>
      </w:r>
      <w:r>
        <w:rPr>
          <w:sz w:val="22"/>
          <w:szCs w:val="22"/>
          <w:lang w:eastAsia="en-US"/>
        </w:rPr>
        <w:t xml:space="preserve">. </w:t>
      </w:r>
    </w:p>
    <w:p w14:paraId="3B798869" w14:textId="77777777" w:rsidR="00794254" w:rsidRPr="00794254" w:rsidRDefault="00794254" w:rsidP="00794254">
      <w:pPr>
        <w:pStyle w:val="ListParagraph"/>
        <w:rPr>
          <w:sz w:val="22"/>
          <w:szCs w:val="22"/>
          <w:lang w:eastAsia="en-US"/>
        </w:rPr>
      </w:pPr>
    </w:p>
    <w:p w14:paraId="0A27FF4B" w14:textId="4B02CC5A" w:rsidR="00794254" w:rsidRDefault="00794254" w:rsidP="00794254">
      <w:pPr>
        <w:pStyle w:val="ListParagraph"/>
        <w:numPr>
          <w:ilvl w:val="0"/>
          <w:numId w:val="14"/>
        </w:numPr>
        <w:spacing w:after="120"/>
        <w:rPr>
          <w:sz w:val="22"/>
          <w:szCs w:val="22"/>
          <w:lang w:eastAsia="en-US"/>
        </w:rPr>
      </w:pPr>
      <w:r>
        <w:rPr>
          <w:sz w:val="22"/>
          <w:szCs w:val="22"/>
          <w:lang w:eastAsia="en-US"/>
        </w:rPr>
        <w:t xml:space="preserve">When donated objects are excluded from the input indicator, </w:t>
      </w:r>
      <w:r w:rsidR="00935AC8">
        <w:rPr>
          <w:sz w:val="22"/>
          <w:szCs w:val="22"/>
          <w:lang w:eastAsia="en-US"/>
        </w:rPr>
        <w:t xml:space="preserve">the ratio of fundraising to Grant-in-Aid was </w:t>
      </w:r>
      <w:r w:rsidR="00344E64">
        <w:rPr>
          <w:sz w:val="22"/>
          <w:szCs w:val="22"/>
          <w:lang w:eastAsia="en-US"/>
        </w:rPr>
        <w:t>46.7</w:t>
      </w:r>
      <w:r w:rsidR="00266831">
        <w:rPr>
          <w:sz w:val="22"/>
          <w:szCs w:val="22"/>
          <w:lang w:eastAsia="en-US"/>
        </w:rPr>
        <w:t>%, an increase from</w:t>
      </w:r>
      <w:r w:rsidR="001A1203">
        <w:rPr>
          <w:sz w:val="22"/>
          <w:szCs w:val="22"/>
          <w:lang w:eastAsia="en-US"/>
        </w:rPr>
        <w:t xml:space="preserve"> </w:t>
      </w:r>
      <w:r w:rsidR="00344E64">
        <w:rPr>
          <w:sz w:val="22"/>
          <w:szCs w:val="22"/>
          <w:lang w:eastAsia="en-US"/>
        </w:rPr>
        <w:t>28.4</w:t>
      </w:r>
      <w:r w:rsidR="00266831">
        <w:rPr>
          <w:sz w:val="22"/>
          <w:szCs w:val="22"/>
          <w:lang w:eastAsia="en-US"/>
        </w:rPr>
        <w:t>%</w:t>
      </w:r>
      <w:r w:rsidR="00935AC8">
        <w:rPr>
          <w:sz w:val="22"/>
          <w:szCs w:val="22"/>
          <w:lang w:eastAsia="en-US"/>
        </w:rPr>
        <w:t xml:space="preserve"> in 201</w:t>
      </w:r>
      <w:r w:rsidR="00344E64">
        <w:rPr>
          <w:sz w:val="22"/>
          <w:szCs w:val="22"/>
          <w:lang w:eastAsia="en-US"/>
        </w:rPr>
        <w:t>2</w:t>
      </w:r>
      <w:r w:rsidR="00935AC8">
        <w:rPr>
          <w:sz w:val="22"/>
          <w:szCs w:val="22"/>
          <w:lang w:eastAsia="en-US"/>
        </w:rPr>
        <w:t>/1</w:t>
      </w:r>
      <w:r w:rsidR="00344E64">
        <w:rPr>
          <w:sz w:val="22"/>
          <w:szCs w:val="22"/>
          <w:lang w:eastAsia="en-US"/>
        </w:rPr>
        <w:t>3</w:t>
      </w:r>
      <w:r w:rsidR="00935AC8">
        <w:rPr>
          <w:sz w:val="22"/>
          <w:szCs w:val="22"/>
          <w:lang w:eastAsia="en-US"/>
        </w:rPr>
        <w:t xml:space="preserve">. </w:t>
      </w:r>
    </w:p>
    <w:p w14:paraId="78BFBB6B" w14:textId="77777777" w:rsidR="00266831" w:rsidRDefault="00266831">
      <w:pPr>
        <w:spacing w:before="0"/>
        <w:ind w:left="0"/>
        <w:rPr>
          <w:rFonts w:cs="Arial"/>
          <w:sz w:val="22"/>
          <w:szCs w:val="22"/>
          <w:lang w:eastAsia="en-US"/>
        </w:rPr>
      </w:pPr>
    </w:p>
    <w:p w14:paraId="081DB113" w14:textId="13FC2E7F" w:rsidR="00794254" w:rsidRDefault="00266831" w:rsidP="00266831">
      <w:pPr>
        <w:spacing w:before="0"/>
        <w:ind w:left="720"/>
        <w:rPr>
          <w:rFonts w:cs="Arial"/>
          <w:sz w:val="22"/>
          <w:szCs w:val="22"/>
          <w:lang w:eastAsia="en-US"/>
        </w:rPr>
      </w:pPr>
      <w:r>
        <w:rPr>
          <w:rFonts w:cs="Arial"/>
          <w:sz w:val="22"/>
          <w:lang w:eastAsia="en-US"/>
        </w:rPr>
        <w:t>To note, t</w:t>
      </w:r>
      <w:r w:rsidRPr="00A20198">
        <w:rPr>
          <w:rFonts w:cs="Arial"/>
          <w:sz w:val="22"/>
          <w:lang w:eastAsia="en-US"/>
        </w:rPr>
        <w:t xml:space="preserve">he value of donated objects </w:t>
      </w:r>
      <w:r>
        <w:rPr>
          <w:rFonts w:cs="Arial"/>
          <w:sz w:val="22"/>
          <w:lang w:eastAsia="en-US"/>
        </w:rPr>
        <w:t xml:space="preserve">is usually dependent on a small number of high value objects and </w:t>
      </w:r>
      <w:r w:rsidR="00415C68">
        <w:rPr>
          <w:rFonts w:cs="Arial"/>
          <w:sz w:val="22"/>
          <w:lang w:eastAsia="en-US"/>
        </w:rPr>
        <w:t>can vary</w:t>
      </w:r>
      <w:r>
        <w:rPr>
          <w:rFonts w:cs="Arial"/>
          <w:sz w:val="22"/>
          <w:lang w:eastAsia="en-US"/>
        </w:rPr>
        <w:t xml:space="preserve"> substantially between years.</w:t>
      </w:r>
      <w:r w:rsidR="009F7F64">
        <w:rPr>
          <w:rFonts w:cs="Arial"/>
          <w:sz w:val="22"/>
          <w:lang w:eastAsia="en-US"/>
        </w:rPr>
        <w:t xml:space="preserve"> Figures excluding donated objects show the more stable underlying trend in fundraising.</w:t>
      </w:r>
      <w:r w:rsidR="00794254">
        <w:rPr>
          <w:rFonts w:cs="Arial"/>
          <w:sz w:val="22"/>
          <w:szCs w:val="22"/>
          <w:lang w:eastAsia="en-US"/>
        </w:rPr>
        <w:br w:type="page"/>
      </w:r>
    </w:p>
    <w:p w14:paraId="081DB114" w14:textId="4A517100" w:rsidR="00A20198" w:rsidRPr="00A20198" w:rsidRDefault="00A20198" w:rsidP="00A20198">
      <w:pPr>
        <w:numPr>
          <w:ilvl w:val="0"/>
          <w:numId w:val="11"/>
        </w:numPr>
        <w:spacing w:before="0" w:after="200" w:line="276" w:lineRule="auto"/>
        <w:contextualSpacing/>
        <w:rPr>
          <w:rFonts w:cs="Arial"/>
          <w:b/>
        </w:rPr>
      </w:pPr>
      <w:r w:rsidRPr="00A20198">
        <w:rPr>
          <w:rFonts w:cs="Arial"/>
          <w:b/>
        </w:rPr>
        <w:lastRenderedPageBreak/>
        <w:t>Impact Indicator 201</w:t>
      </w:r>
      <w:r w:rsidR="00FE52FD">
        <w:rPr>
          <w:rFonts w:cs="Arial"/>
          <w:b/>
        </w:rPr>
        <w:t>3</w:t>
      </w:r>
      <w:r w:rsidRPr="00A20198">
        <w:rPr>
          <w:rFonts w:cs="Arial"/>
          <w:b/>
        </w:rPr>
        <w:t>/1</w:t>
      </w:r>
      <w:r w:rsidR="00FE52FD">
        <w:rPr>
          <w:rFonts w:cs="Arial"/>
          <w:b/>
        </w:rPr>
        <w:t>4</w:t>
      </w:r>
    </w:p>
    <w:p w14:paraId="081DB115" w14:textId="237FEDD0" w:rsidR="00A20198" w:rsidRPr="00A20198" w:rsidRDefault="00B77E1F" w:rsidP="00A20198">
      <w:pPr>
        <w:ind w:left="720"/>
        <w:rPr>
          <w:rFonts w:cs="Arial"/>
          <w:sz w:val="22"/>
          <w:szCs w:val="22"/>
          <w:lang w:eastAsia="en-US"/>
        </w:rPr>
      </w:pPr>
      <w:r>
        <w:rPr>
          <w:rFonts w:cs="Arial"/>
          <w:sz w:val="22"/>
          <w:szCs w:val="22"/>
          <w:lang w:eastAsia="en-US"/>
        </w:rPr>
        <w:t>In 2013</w:t>
      </w:r>
      <w:r w:rsidR="00A20198" w:rsidRPr="00A20198">
        <w:rPr>
          <w:rFonts w:cs="Arial"/>
          <w:sz w:val="22"/>
          <w:szCs w:val="22"/>
          <w:lang w:eastAsia="en-US"/>
        </w:rPr>
        <w:t>/1</w:t>
      </w:r>
      <w:r>
        <w:rPr>
          <w:rFonts w:cs="Arial"/>
          <w:sz w:val="22"/>
          <w:szCs w:val="22"/>
          <w:lang w:eastAsia="en-US"/>
        </w:rPr>
        <w:t>4</w:t>
      </w:r>
      <w:r w:rsidR="00A20198" w:rsidRPr="00A20198">
        <w:rPr>
          <w:rFonts w:cs="Arial"/>
          <w:sz w:val="22"/>
          <w:szCs w:val="22"/>
          <w:lang w:eastAsia="en-US"/>
        </w:rPr>
        <w:t xml:space="preserve">, the cultural institutions </w:t>
      </w:r>
      <w:r w:rsidR="00415C68">
        <w:rPr>
          <w:rFonts w:cs="Arial"/>
          <w:sz w:val="22"/>
          <w:szCs w:val="22"/>
          <w:lang w:eastAsia="en-US"/>
        </w:rPr>
        <w:t xml:space="preserve">funded by DCMS </w:t>
      </w:r>
      <w:r w:rsidR="00A20198" w:rsidRPr="00A20198">
        <w:rPr>
          <w:rFonts w:cs="Arial"/>
          <w:sz w:val="22"/>
          <w:szCs w:val="22"/>
          <w:lang w:eastAsia="en-US"/>
        </w:rPr>
        <w:t xml:space="preserve">collectively raised </w:t>
      </w:r>
      <w:r>
        <w:rPr>
          <w:rFonts w:cs="Arial"/>
          <w:sz w:val="22"/>
          <w:szCs w:val="22"/>
          <w:lang w:eastAsia="en-US"/>
        </w:rPr>
        <w:t>£476</w:t>
      </w:r>
      <w:r w:rsidR="00A20198" w:rsidRPr="00415C68">
        <w:rPr>
          <w:rFonts w:cs="Arial"/>
          <w:sz w:val="22"/>
          <w:szCs w:val="22"/>
          <w:lang w:eastAsia="en-US"/>
        </w:rPr>
        <w:t>m</w:t>
      </w:r>
      <w:r w:rsidR="00A20198" w:rsidRPr="00A20198">
        <w:rPr>
          <w:rFonts w:cs="Arial"/>
          <w:sz w:val="22"/>
          <w:szCs w:val="22"/>
          <w:lang w:eastAsia="en-US"/>
        </w:rPr>
        <w:t xml:space="preserve"> in contributed inc</w:t>
      </w:r>
      <w:r>
        <w:rPr>
          <w:rFonts w:cs="Arial"/>
          <w:sz w:val="22"/>
          <w:szCs w:val="22"/>
          <w:lang w:eastAsia="en-US"/>
        </w:rPr>
        <w:t>ome (as defined in annex A). £21</w:t>
      </w:r>
      <w:r w:rsidR="00A20198" w:rsidRPr="00A20198">
        <w:rPr>
          <w:rFonts w:cs="Arial"/>
          <w:sz w:val="22"/>
          <w:szCs w:val="22"/>
          <w:lang w:eastAsia="en-US"/>
        </w:rPr>
        <w:t>m of t</w:t>
      </w:r>
      <w:r>
        <w:rPr>
          <w:rFonts w:cs="Arial"/>
          <w:sz w:val="22"/>
          <w:szCs w:val="22"/>
          <w:lang w:eastAsia="en-US"/>
        </w:rPr>
        <w:t>his was from donated objects (4</w:t>
      </w:r>
      <w:r w:rsidR="00A20198" w:rsidRPr="00A20198">
        <w:rPr>
          <w:rFonts w:cs="Arial"/>
          <w:sz w:val="22"/>
          <w:szCs w:val="22"/>
          <w:lang w:eastAsia="en-US"/>
        </w:rPr>
        <w:t>% of all contributed income). A breakdown of this in the context of</w:t>
      </w:r>
      <w:r w:rsidR="00415C68">
        <w:rPr>
          <w:rFonts w:cs="Arial"/>
          <w:sz w:val="22"/>
          <w:szCs w:val="22"/>
          <w:lang w:eastAsia="en-US"/>
        </w:rPr>
        <w:t xml:space="preserve"> the</w:t>
      </w:r>
      <w:r w:rsidR="00A20198" w:rsidRPr="00A20198">
        <w:rPr>
          <w:rFonts w:cs="Arial"/>
          <w:sz w:val="22"/>
          <w:szCs w:val="22"/>
          <w:lang w:eastAsia="en-US"/>
        </w:rPr>
        <w:t xml:space="preserve"> total income of these cultural institu</w:t>
      </w:r>
      <w:r w:rsidR="00415C68">
        <w:rPr>
          <w:rFonts w:cs="Arial"/>
          <w:sz w:val="22"/>
          <w:szCs w:val="22"/>
          <w:lang w:eastAsia="en-US"/>
        </w:rPr>
        <w:t>tions is shown in the</w:t>
      </w:r>
      <w:r w:rsidR="00A20198" w:rsidRPr="00A20198">
        <w:rPr>
          <w:rFonts w:cs="Arial"/>
          <w:sz w:val="22"/>
          <w:szCs w:val="22"/>
          <w:lang w:eastAsia="en-US"/>
        </w:rPr>
        <w:t xml:space="preserve"> chart below. The total income of these bodies in 201</w:t>
      </w:r>
      <w:r w:rsidR="00B15674">
        <w:rPr>
          <w:rFonts w:cs="Arial"/>
          <w:sz w:val="22"/>
          <w:szCs w:val="22"/>
          <w:lang w:eastAsia="en-US"/>
        </w:rPr>
        <w:t>3</w:t>
      </w:r>
      <w:r w:rsidR="00A20198" w:rsidRPr="00A20198">
        <w:rPr>
          <w:rFonts w:cs="Arial"/>
          <w:sz w:val="22"/>
          <w:szCs w:val="22"/>
          <w:lang w:eastAsia="en-US"/>
        </w:rPr>
        <w:t>/1</w:t>
      </w:r>
      <w:r w:rsidR="00B15674">
        <w:rPr>
          <w:rFonts w:cs="Arial"/>
          <w:sz w:val="22"/>
          <w:szCs w:val="22"/>
          <w:lang w:eastAsia="en-US"/>
        </w:rPr>
        <w:t>4</w:t>
      </w:r>
      <w:r w:rsidR="00A20198" w:rsidRPr="00A20198">
        <w:rPr>
          <w:rFonts w:cs="Arial"/>
          <w:sz w:val="22"/>
          <w:szCs w:val="22"/>
          <w:lang w:eastAsia="en-US"/>
        </w:rPr>
        <w:t xml:space="preserve"> was £</w:t>
      </w:r>
      <w:r w:rsidR="002D74F0">
        <w:rPr>
          <w:rFonts w:cs="Arial"/>
          <w:sz w:val="22"/>
          <w:szCs w:val="22"/>
          <w:lang w:eastAsia="en-US"/>
        </w:rPr>
        <w:t>3</w:t>
      </w:r>
      <w:r w:rsidR="00FE52FD">
        <w:rPr>
          <w:rFonts w:cs="Arial"/>
          <w:sz w:val="22"/>
          <w:szCs w:val="22"/>
          <w:lang w:eastAsia="en-US"/>
        </w:rPr>
        <w:t>,</w:t>
      </w:r>
      <w:r w:rsidR="002D74F0">
        <w:rPr>
          <w:rFonts w:cs="Arial"/>
          <w:sz w:val="22"/>
          <w:szCs w:val="22"/>
          <w:lang w:eastAsia="en-US"/>
        </w:rPr>
        <w:t>038m</w:t>
      </w:r>
      <w:r w:rsidR="00CB7570" w:rsidRPr="00A20198">
        <w:rPr>
          <w:rFonts w:cs="Arial"/>
          <w:sz w:val="22"/>
          <w:szCs w:val="22"/>
          <w:lang w:eastAsia="en-US"/>
        </w:rPr>
        <w:t xml:space="preserve"> </w:t>
      </w:r>
      <w:r w:rsidR="00A20198" w:rsidRPr="00A20198">
        <w:rPr>
          <w:rFonts w:cs="Arial"/>
          <w:sz w:val="22"/>
          <w:szCs w:val="22"/>
          <w:lang w:eastAsia="en-US"/>
        </w:rPr>
        <w:t>(see Figure 1).</w:t>
      </w:r>
      <w:r w:rsidR="00A20198" w:rsidRPr="00A20198">
        <w:rPr>
          <w:rFonts w:cs="Arial"/>
          <w:sz w:val="22"/>
          <w:szCs w:val="22"/>
          <w:lang w:eastAsia="en-US"/>
        </w:rPr>
        <w:tab/>
      </w:r>
    </w:p>
    <w:p w14:paraId="081DB116" w14:textId="77777777" w:rsidR="00A20198" w:rsidRPr="00A20198" w:rsidRDefault="00A20198" w:rsidP="00A20198">
      <w:pPr>
        <w:ind w:left="720"/>
        <w:rPr>
          <w:sz w:val="22"/>
          <w:lang w:eastAsia="en-US"/>
        </w:rPr>
      </w:pPr>
    </w:p>
    <w:p w14:paraId="081DB117" w14:textId="13191968" w:rsidR="00A20198" w:rsidRDefault="00A20198" w:rsidP="00A20198">
      <w:pPr>
        <w:spacing w:before="0" w:after="200"/>
        <w:ind w:left="0" w:firstLine="720"/>
        <w:rPr>
          <w:b/>
          <w:sz w:val="22"/>
          <w:lang w:eastAsia="en-US"/>
        </w:rPr>
      </w:pPr>
      <w:r w:rsidRPr="00A20198">
        <w:rPr>
          <w:b/>
          <w:sz w:val="22"/>
          <w:lang w:eastAsia="en-US"/>
        </w:rPr>
        <w:t>Figure 1: Total income breakdown for DCMS-funded cultural institutions, 201</w:t>
      </w:r>
      <w:r w:rsidR="0061111F">
        <w:rPr>
          <w:b/>
          <w:sz w:val="22"/>
          <w:lang w:eastAsia="en-US"/>
        </w:rPr>
        <w:t>3</w:t>
      </w:r>
      <w:r w:rsidRPr="00A20198">
        <w:rPr>
          <w:b/>
          <w:sz w:val="22"/>
          <w:lang w:eastAsia="en-US"/>
        </w:rPr>
        <w:t>/1</w:t>
      </w:r>
      <w:r w:rsidR="0061111F">
        <w:rPr>
          <w:b/>
          <w:sz w:val="22"/>
          <w:lang w:eastAsia="en-US"/>
        </w:rPr>
        <w:t>4</w:t>
      </w:r>
    </w:p>
    <w:p w14:paraId="081DB118" w14:textId="2CEBA6F3" w:rsidR="00A20198" w:rsidRPr="00A20198" w:rsidRDefault="0061111F" w:rsidP="00A20198">
      <w:pPr>
        <w:spacing w:before="0" w:after="200"/>
        <w:ind w:left="0" w:firstLine="720"/>
        <w:rPr>
          <w:b/>
          <w:sz w:val="22"/>
          <w:lang w:eastAsia="en-US"/>
        </w:rPr>
      </w:pPr>
      <w:r>
        <w:rPr>
          <w:noProof/>
        </w:rPr>
        <w:drawing>
          <wp:inline distT="0" distB="0" distL="0" distR="0" wp14:anchorId="67708839" wp14:editId="6326EBA4">
            <wp:extent cx="5638792" cy="3937000"/>
            <wp:effectExtent l="0" t="0" r="1968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4CC40D" w14:textId="5767CFC4" w:rsidR="00BC15A7" w:rsidRDefault="00BC15A7">
      <w:pPr>
        <w:spacing w:before="0"/>
        <w:ind w:left="0"/>
        <w:rPr>
          <w:rFonts w:cs="Arial"/>
          <w:b/>
        </w:rPr>
      </w:pPr>
    </w:p>
    <w:p w14:paraId="081DB119" w14:textId="21F66610" w:rsidR="00A20198" w:rsidRPr="00A20198" w:rsidRDefault="00A20198" w:rsidP="00A20198">
      <w:pPr>
        <w:numPr>
          <w:ilvl w:val="0"/>
          <w:numId w:val="11"/>
        </w:numPr>
        <w:spacing w:before="0" w:after="200" w:line="276" w:lineRule="auto"/>
        <w:contextualSpacing/>
        <w:rPr>
          <w:rFonts w:cs="Arial"/>
          <w:b/>
        </w:rPr>
      </w:pPr>
      <w:r w:rsidRPr="00A20198">
        <w:rPr>
          <w:rFonts w:cs="Arial"/>
          <w:b/>
        </w:rPr>
        <w:t>Input Indicator 201</w:t>
      </w:r>
      <w:r w:rsidR="00FE52FD">
        <w:rPr>
          <w:rFonts w:cs="Arial"/>
          <w:b/>
        </w:rPr>
        <w:t>3</w:t>
      </w:r>
      <w:r w:rsidRPr="00A20198">
        <w:rPr>
          <w:rFonts w:cs="Arial"/>
          <w:b/>
        </w:rPr>
        <w:t>/1</w:t>
      </w:r>
      <w:r w:rsidR="00FE52FD">
        <w:rPr>
          <w:rFonts w:cs="Arial"/>
          <w:b/>
        </w:rPr>
        <w:t>4</w:t>
      </w:r>
    </w:p>
    <w:p w14:paraId="081DB11A" w14:textId="04B631B5" w:rsidR="00A20198" w:rsidRPr="00A20198" w:rsidRDefault="00A20198" w:rsidP="00A20198">
      <w:pPr>
        <w:ind w:left="720"/>
        <w:rPr>
          <w:rFonts w:cs="Arial"/>
          <w:sz w:val="22"/>
          <w:lang w:eastAsia="en-US"/>
        </w:rPr>
      </w:pPr>
      <w:r w:rsidRPr="00A20198">
        <w:rPr>
          <w:rFonts w:cs="Arial"/>
          <w:sz w:val="22"/>
          <w:lang w:eastAsia="en-US"/>
        </w:rPr>
        <w:t xml:space="preserve">The percentage of charitable giving to Grant-in-Aid (input indicator) was </w:t>
      </w:r>
      <w:r w:rsidR="0052374B">
        <w:rPr>
          <w:rFonts w:cs="Arial"/>
          <w:sz w:val="22"/>
          <w:lang w:eastAsia="en-US"/>
        </w:rPr>
        <w:t>49</w:t>
      </w:r>
      <w:r w:rsidRPr="00415C68">
        <w:rPr>
          <w:rFonts w:cs="Arial"/>
          <w:sz w:val="22"/>
          <w:lang w:eastAsia="en-US"/>
        </w:rPr>
        <w:t>%.</w:t>
      </w:r>
      <w:r w:rsidRPr="00A20198">
        <w:rPr>
          <w:rFonts w:cs="Arial"/>
          <w:sz w:val="22"/>
          <w:lang w:eastAsia="en-US"/>
        </w:rPr>
        <w:t xml:space="preserve"> This means for every £1 of Grant-in-Aid received by cultural institutions DCMS fund, these </w:t>
      </w:r>
      <w:r w:rsidR="0052374B">
        <w:rPr>
          <w:rFonts w:cs="Arial"/>
          <w:sz w:val="22"/>
          <w:lang w:eastAsia="en-US"/>
        </w:rPr>
        <w:t>institutions generated around 49</w:t>
      </w:r>
      <w:r w:rsidRPr="00A20198">
        <w:rPr>
          <w:rFonts w:cs="Arial"/>
          <w:sz w:val="22"/>
          <w:lang w:eastAsia="en-US"/>
        </w:rPr>
        <w:t xml:space="preserve"> pence in fundraising/contributed income.</w:t>
      </w:r>
      <w:r w:rsidRPr="00A20198">
        <w:rPr>
          <w:rFonts w:cs="Arial"/>
          <w:szCs w:val="20"/>
          <w:lang w:eastAsia="en-US"/>
        </w:rPr>
        <w:t xml:space="preserve"> </w:t>
      </w:r>
      <w:r w:rsidRPr="00A20198">
        <w:rPr>
          <w:rFonts w:cs="Arial"/>
          <w:sz w:val="22"/>
          <w:lang w:eastAsia="en-US"/>
        </w:rPr>
        <w:t xml:space="preserve">The </w:t>
      </w:r>
      <w:r w:rsidR="007F197E">
        <w:rPr>
          <w:rFonts w:cs="Arial"/>
          <w:sz w:val="22"/>
          <w:lang w:eastAsia="en-US"/>
        </w:rPr>
        <w:t xml:space="preserve">significant </w:t>
      </w:r>
      <w:r w:rsidR="0052374B">
        <w:rPr>
          <w:rFonts w:cs="Arial"/>
          <w:sz w:val="22"/>
          <w:lang w:eastAsia="en-US"/>
        </w:rPr>
        <w:t>increase</w:t>
      </w:r>
      <w:r w:rsidRPr="00A20198">
        <w:rPr>
          <w:rFonts w:cs="Arial"/>
          <w:sz w:val="22"/>
          <w:lang w:eastAsia="en-US"/>
        </w:rPr>
        <w:t xml:space="preserve"> in the inp</w:t>
      </w:r>
      <w:r w:rsidR="00BC15A7">
        <w:rPr>
          <w:rFonts w:cs="Arial"/>
          <w:sz w:val="22"/>
          <w:lang w:eastAsia="en-US"/>
        </w:rPr>
        <w:t>ut indicator is due to</w:t>
      </w:r>
      <w:r w:rsidR="007F197E">
        <w:rPr>
          <w:rFonts w:cs="Arial"/>
          <w:sz w:val="22"/>
          <w:lang w:eastAsia="en-US"/>
        </w:rPr>
        <w:t xml:space="preserve"> a </w:t>
      </w:r>
      <w:r w:rsidR="00FE52FD">
        <w:rPr>
          <w:rFonts w:cs="Arial"/>
          <w:sz w:val="22"/>
          <w:lang w:eastAsia="en-US"/>
        </w:rPr>
        <w:t xml:space="preserve">significant </w:t>
      </w:r>
      <w:r w:rsidR="007F197E">
        <w:rPr>
          <w:rFonts w:cs="Arial"/>
          <w:sz w:val="22"/>
          <w:lang w:eastAsia="en-US"/>
        </w:rPr>
        <w:t xml:space="preserve">rise in fundraising /contributed income in 2013/14.This may be due to a number of cultural institutions </w:t>
      </w:r>
      <w:r w:rsidR="00E93F3A">
        <w:rPr>
          <w:rFonts w:cs="Arial"/>
          <w:sz w:val="22"/>
          <w:lang w:eastAsia="en-US"/>
        </w:rPr>
        <w:t>running major fundraising campaigns such as for the British Museums’ new World Conservation and Exhibition Centre or the redevelopment of Tate Modern’s Bankside Power Station redevelopment.</w:t>
      </w:r>
      <w:r w:rsidR="007F197E">
        <w:rPr>
          <w:rFonts w:cs="Arial"/>
          <w:sz w:val="22"/>
          <w:lang w:eastAsia="en-US"/>
        </w:rPr>
        <w:t xml:space="preserve"> </w:t>
      </w:r>
      <w:r w:rsidRPr="00A20198">
        <w:rPr>
          <w:rFonts w:cs="Arial"/>
          <w:sz w:val="22"/>
          <w:lang w:eastAsia="en-US"/>
        </w:rPr>
        <w:t>Excluding donated objects, the percentage of charitable giving to</w:t>
      </w:r>
      <w:r w:rsidR="0052374B">
        <w:rPr>
          <w:rFonts w:cs="Arial"/>
          <w:sz w:val="22"/>
          <w:lang w:eastAsia="en-US"/>
        </w:rPr>
        <w:t xml:space="preserve"> Grant-in-Aid was 47</w:t>
      </w:r>
      <w:r w:rsidRPr="00A20198">
        <w:rPr>
          <w:rFonts w:cs="Arial"/>
          <w:sz w:val="22"/>
          <w:lang w:eastAsia="en-US"/>
        </w:rPr>
        <w:t xml:space="preserve">% (i.e. </w:t>
      </w:r>
      <w:r w:rsidR="00B223C1">
        <w:rPr>
          <w:rFonts w:cs="Arial"/>
          <w:sz w:val="22"/>
          <w:lang w:eastAsia="en-US"/>
        </w:rPr>
        <w:t xml:space="preserve">around </w:t>
      </w:r>
      <w:r w:rsidR="0052374B">
        <w:rPr>
          <w:rFonts w:cs="Arial"/>
          <w:sz w:val="22"/>
          <w:lang w:eastAsia="en-US"/>
        </w:rPr>
        <w:t>47</w:t>
      </w:r>
      <w:r w:rsidRPr="00A20198">
        <w:rPr>
          <w:rFonts w:cs="Arial"/>
          <w:sz w:val="22"/>
          <w:lang w:eastAsia="en-US"/>
        </w:rPr>
        <w:t xml:space="preserve"> pence) in 201</w:t>
      </w:r>
      <w:r w:rsidR="0052374B">
        <w:rPr>
          <w:rFonts w:cs="Arial"/>
          <w:sz w:val="22"/>
          <w:lang w:eastAsia="en-US"/>
        </w:rPr>
        <w:t>3</w:t>
      </w:r>
      <w:r w:rsidRPr="00A20198">
        <w:rPr>
          <w:rFonts w:cs="Arial"/>
          <w:sz w:val="22"/>
          <w:lang w:eastAsia="en-US"/>
        </w:rPr>
        <w:t>/1</w:t>
      </w:r>
      <w:r w:rsidR="0052374B">
        <w:rPr>
          <w:rFonts w:cs="Arial"/>
          <w:sz w:val="22"/>
          <w:lang w:eastAsia="en-US"/>
        </w:rPr>
        <w:t>4</w:t>
      </w:r>
      <w:r w:rsidRPr="00A20198">
        <w:rPr>
          <w:rFonts w:cs="Arial"/>
          <w:sz w:val="22"/>
          <w:lang w:eastAsia="en-US"/>
        </w:rPr>
        <w:t>.</w:t>
      </w:r>
    </w:p>
    <w:p w14:paraId="081DB11B" w14:textId="77777777" w:rsidR="00A20198" w:rsidRPr="00A20198" w:rsidRDefault="00A20198" w:rsidP="00A20198">
      <w:pPr>
        <w:ind w:left="720"/>
        <w:rPr>
          <w:rFonts w:cs="Arial"/>
          <w:sz w:val="22"/>
          <w:lang w:eastAsia="en-US"/>
        </w:rPr>
      </w:pPr>
    </w:p>
    <w:p w14:paraId="081DB11C" w14:textId="77777777" w:rsidR="00A20198" w:rsidRPr="00A20198" w:rsidRDefault="00A20198" w:rsidP="00A20198">
      <w:pPr>
        <w:spacing w:before="0" w:after="200"/>
        <w:ind w:left="0" w:firstLine="720"/>
        <w:rPr>
          <w:rFonts w:cs="Arial"/>
          <w:b/>
          <w:lang w:eastAsia="en-US"/>
        </w:rPr>
      </w:pPr>
      <w:r w:rsidRPr="00A20198">
        <w:rPr>
          <w:rFonts w:cs="Arial"/>
          <w:b/>
          <w:lang w:eastAsia="en-US"/>
        </w:rPr>
        <w:t xml:space="preserve">Use of Independent Trusts </w:t>
      </w:r>
    </w:p>
    <w:p w14:paraId="081DB11D" w14:textId="77777777" w:rsidR="00A20198" w:rsidRPr="00A20198" w:rsidRDefault="00A20198" w:rsidP="00A20198">
      <w:pPr>
        <w:ind w:left="720"/>
        <w:rPr>
          <w:rFonts w:cs="Arial"/>
          <w:sz w:val="22"/>
          <w:lang w:eastAsia="en-US"/>
        </w:rPr>
      </w:pPr>
      <w:r w:rsidRPr="00A20198">
        <w:rPr>
          <w:rFonts w:cs="Arial"/>
          <w:sz w:val="22"/>
          <w:lang w:eastAsia="en-US"/>
        </w:rPr>
        <w:t>For some institutions included in this indicator a percentage of donations will be gifted by donors directly into Independent Trusts. Some Trusts then donate to institutions upon receiving a successful grant application. In these cases the indicator captures the donation when a Trust donates to an institution.</w:t>
      </w:r>
    </w:p>
    <w:p w14:paraId="081DB11E" w14:textId="77777777" w:rsidR="00A20198" w:rsidRDefault="00A20198" w:rsidP="00A20198">
      <w:pPr>
        <w:ind w:left="720"/>
        <w:rPr>
          <w:rFonts w:cs="Arial"/>
          <w:sz w:val="22"/>
          <w:lang w:eastAsia="en-US"/>
        </w:rPr>
      </w:pPr>
    </w:p>
    <w:p w14:paraId="449A866B" w14:textId="4E62A871" w:rsidR="003E1818" w:rsidRDefault="003E1818">
      <w:pPr>
        <w:spacing w:before="0"/>
        <w:ind w:left="0"/>
        <w:rPr>
          <w:rFonts w:cs="Arial"/>
          <w:b/>
          <w:lang w:eastAsia="en-US"/>
        </w:rPr>
      </w:pPr>
      <w:r>
        <w:rPr>
          <w:rFonts w:cs="Arial"/>
          <w:b/>
          <w:lang w:eastAsia="en-US"/>
        </w:rPr>
        <w:br w:type="page"/>
      </w:r>
    </w:p>
    <w:p w14:paraId="39E4E07A" w14:textId="77777777" w:rsidR="004E5F60" w:rsidRDefault="004E5F60" w:rsidP="00BC15A7">
      <w:pPr>
        <w:spacing w:before="0"/>
        <w:ind w:left="0" w:firstLine="720"/>
        <w:rPr>
          <w:rFonts w:cs="Arial"/>
          <w:b/>
          <w:lang w:eastAsia="en-US"/>
        </w:rPr>
      </w:pPr>
    </w:p>
    <w:p w14:paraId="081DB11F" w14:textId="759899E2" w:rsidR="00A20198" w:rsidRDefault="00A20198" w:rsidP="00BC15A7">
      <w:pPr>
        <w:spacing w:before="0"/>
        <w:ind w:left="0" w:firstLine="720"/>
        <w:rPr>
          <w:rFonts w:cs="Arial"/>
          <w:b/>
          <w:lang w:eastAsia="en-US"/>
        </w:rPr>
      </w:pPr>
      <w:r w:rsidRPr="00A20198">
        <w:rPr>
          <w:rFonts w:cs="Arial"/>
          <w:b/>
          <w:lang w:eastAsia="en-US"/>
        </w:rPr>
        <w:t>Change since 2008/09</w:t>
      </w:r>
    </w:p>
    <w:p w14:paraId="7A545AA6" w14:textId="77777777" w:rsidR="00BC15A7" w:rsidRPr="00BC15A7" w:rsidRDefault="00BC15A7" w:rsidP="00BC15A7">
      <w:pPr>
        <w:spacing w:before="0"/>
        <w:ind w:left="0" w:firstLine="720"/>
        <w:rPr>
          <w:rFonts w:cs="Arial"/>
          <w:sz w:val="22"/>
          <w:lang w:eastAsia="en-US"/>
        </w:rPr>
      </w:pPr>
    </w:p>
    <w:p w14:paraId="081DB120" w14:textId="3B35F2CF" w:rsidR="00A20198" w:rsidRPr="00A20198" w:rsidRDefault="00A20198" w:rsidP="00B22C87">
      <w:pPr>
        <w:spacing w:before="0" w:after="200"/>
        <w:ind w:left="0" w:firstLine="426"/>
        <w:rPr>
          <w:rFonts w:cs="Arial"/>
          <w:b/>
          <w:sz w:val="22"/>
          <w:szCs w:val="22"/>
          <w:lang w:eastAsia="en-US"/>
        </w:rPr>
      </w:pPr>
      <w:r w:rsidRPr="00A20198">
        <w:rPr>
          <w:rFonts w:cs="Arial"/>
          <w:b/>
          <w:sz w:val="22"/>
          <w:szCs w:val="22"/>
          <w:lang w:eastAsia="en-US"/>
        </w:rPr>
        <w:t>Table 1: Charitable Giving Input and Impact indicators 2008/09 to 201</w:t>
      </w:r>
      <w:r w:rsidR="0052374B">
        <w:rPr>
          <w:rFonts w:cs="Arial"/>
          <w:b/>
          <w:sz w:val="22"/>
          <w:szCs w:val="22"/>
          <w:lang w:eastAsia="en-US"/>
        </w:rPr>
        <w:t>3</w:t>
      </w:r>
      <w:r w:rsidRPr="00A20198">
        <w:rPr>
          <w:rFonts w:cs="Arial"/>
          <w:b/>
          <w:sz w:val="22"/>
          <w:szCs w:val="22"/>
          <w:lang w:eastAsia="en-US"/>
        </w:rPr>
        <w:t>/1</w:t>
      </w:r>
      <w:r w:rsidR="0052374B">
        <w:rPr>
          <w:rFonts w:cs="Arial"/>
          <w:b/>
          <w:sz w:val="22"/>
          <w:szCs w:val="22"/>
          <w:lang w:eastAsia="en-US"/>
        </w:rPr>
        <w:t>4</w:t>
      </w:r>
    </w:p>
    <w:tbl>
      <w:tblPr>
        <w:tblW w:w="10631" w:type="dxa"/>
        <w:tblLayout w:type="fixed"/>
        <w:tblLook w:val="04A0" w:firstRow="1" w:lastRow="0" w:firstColumn="1" w:lastColumn="0" w:noHBand="0" w:noVBand="1"/>
      </w:tblPr>
      <w:tblGrid>
        <w:gridCol w:w="4536"/>
        <w:gridCol w:w="992"/>
        <w:gridCol w:w="1134"/>
        <w:gridCol w:w="993"/>
        <w:gridCol w:w="992"/>
        <w:gridCol w:w="992"/>
        <w:gridCol w:w="992"/>
      </w:tblGrid>
      <w:tr w:rsidR="00A47B88" w:rsidRPr="00A20198" w14:paraId="081DB127" w14:textId="74FDB244" w:rsidTr="00B22C87">
        <w:trPr>
          <w:trHeight w:val="285"/>
        </w:trPr>
        <w:tc>
          <w:tcPr>
            <w:tcW w:w="4536" w:type="dxa"/>
            <w:tcBorders>
              <w:top w:val="nil"/>
              <w:left w:val="nil"/>
              <w:bottom w:val="nil"/>
              <w:right w:val="nil"/>
            </w:tcBorders>
            <w:shd w:val="clear" w:color="auto" w:fill="auto"/>
            <w:noWrap/>
            <w:vAlign w:val="bottom"/>
            <w:hideMark/>
          </w:tcPr>
          <w:p w14:paraId="081DB121" w14:textId="77777777" w:rsidR="00A47B88" w:rsidRPr="00CB7570" w:rsidRDefault="00A47B88" w:rsidP="00A20198">
            <w:pPr>
              <w:spacing w:before="0"/>
              <w:ind w:left="0"/>
              <w:rPr>
                <w:rFonts w:cs="Arial"/>
                <w:color w:val="000000"/>
                <w:sz w:val="18"/>
                <w:szCs w:val="18"/>
              </w:rPr>
            </w:pPr>
          </w:p>
        </w:tc>
        <w:tc>
          <w:tcPr>
            <w:tcW w:w="992" w:type="dxa"/>
            <w:tcBorders>
              <w:top w:val="nil"/>
              <w:left w:val="nil"/>
              <w:bottom w:val="single" w:sz="4" w:space="0" w:color="auto"/>
              <w:right w:val="nil"/>
            </w:tcBorders>
            <w:shd w:val="clear" w:color="auto" w:fill="auto"/>
            <w:noWrap/>
            <w:vAlign w:val="bottom"/>
            <w:hideMark/>
          </w:tcPr>
          <w:p w14:paraId="081DB122"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2008/09</w:t>
            </w:r>
          </w:p>
        </w:tc>
        <w:tc>
          <w:tcPr>
            <w:tcW w:w="1134" w:type="dxa"/>
            <w:tcBorders>
              <w:top w:val="nil"/>
              <w:left w:val="nil"/>
              <w:bottom w:val="single" w:sz="4" w:space="0" w:color="auto"/>
              <w:right w:val="nil"/>
            </w:tcBorders>
            <w:shd w:val="clear" w:color="auto" w:fill="auto"/>
            <w:noWrap/>
            <w:vAlign w:val="bottom"/>
            <w:hideMark/>
          </w:tcPr>
          <w:p w14:paraId="081DB123"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2009/10</w:t>
            </w:r>
          </w:p>
        </w:tc>
        <w:tc>
          <w:tcPr>
            <w:tcW w:w="993" w:type="dxa"/>
            <w:tcBorders>
              <w:top w:val="nil"/>
              <w:left w:val="nil"/>
              <w:bottom w:val="single" w:sz="4" w:space="0" w:color="auto"/>
              <w:right w:val="nil"/>
            </w:tcBorders>
            <w:shd w:val="clear" w:color="auto" w:fill="auto"/>
            <w:noWrap/>
            <w:vAlign w:val="bottom"/>
            <w:hideMark/>
          </w:tcPr>
          <w:p w14:paraId="081DB124"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2010/11</w:t>
            </w:r>
          </w:p>
        </w:tc>
        <w:tc>
          <w:tcPr>
            <w:tcW w:w="992" w:type="dxa"/>
            <w:tcBorders>
              <w:top w:val="nil"/>
              <w:left w:val="nil"/>
              <w:bottom w:val="single" w:sz="4" w:space="0" w:color="auto"/>
              <w:right w:val="nil"/>
            </w:tcBorders>
            <w:shd w:val="clear" w:color="auto" w:fill="auto"/>
            <w:noWrap/>
            <w:vAlign w:val="bottom"/>
            <w:hideMark/>
          </w:tcPr>
          <w:p w14:paraId="081DB125"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2011/12</w:t>
            </w:r>
          </w:p>
        </w:tc>
        <w:tc>
          <w:tcPr>
            <w:tcW w:w="992" w:type="dxa"/>
            <w:tcBorders>
              <w:top w:val="nil"/>
              <w:left w:val="nil"/>
              <w:bottom w:val="single" w:sz="4" w:space="0" w:color="auto"/>
              <w:right w:val="nil"/>
            </w:tcBorders>
            <w:vAlign w:val="bottom"/>
          </w:tcPr>
          <w:p w14:paraId="081DB126"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2012/13</w:t>
            </w:r>
          </w:p>
        </w:tc>
        <w:tc>
          <w:tcPr>
            <w:tcW w:w="992" w:type="dxa"/>
            <w:tcBorders>
              <w:top w:val="nil"/>
              <w:left w:val="nil"/>
              <w:bottom w:val="single" w:sz="4" w:space="0" w:color="auto"/>
              <w:right w:val="nil"/>
            </w:tcBorders>
            <w:vAlign w:val="bottom"/>
          </w:tcPr>
          <w:p w14:paraId="43ACCA1F" w14:textId="7EE1B2AE" w:rsidR="00A47B88" w:rsidRPr="00CB7570" w:rsidRDefault="00B22C87" w:rsidP="00B22C87">
            <w:pPr>
              <w:spacing w:before="0"/>
              <w:ind w:left="0"/>
              <w:jc w:val="center"/>
              <w:rPr>
                <w:rFonts w:cs="Arial"/>
                <w:b/>
                <w:bCs/>
                <w:color w:val="000000"/>
                <w:sz w:val="18"/>
                <w:szCs w:val="18"/>
              </w:rPr>
            </w:pPr>
            <w:r>
              <w:rPr>
                <w:rFonts w:cs="Arial"/>
                <w:b/>
                <w:bCs/>
                <w:color w:val="000000"/>
                <w:sz w:val="18"/>
                <w:szCs w:val="18"/>
              </w:rPr>
              <w:t>2013/14</w:t>
            </w:r>
          </w:p>
        </w:tc>
      </w:tr>
      <w:tr w:rsidR="00A47B88" w:rsidRPr="00A20198" w14:paraId="081DB12E" w14:textId="56D2E4FF" w:rsidTr="00B22C87">
        <w:trPr>
          <w:trHeight w:val="285"/>
        </w:trPr>
        <w:tc>
          <w:tcPr>
            <w:tcW w:w="4536" w:type="dxa"/>
            <w:tcBorders>
              <w:top w:val="nil"/>
              <w:left w:val="nil"/>
              <w:bottom w:val="nil"/>
              <w:right w:val="nil"/>
            </w:tcBorders>
            <w:shd w:val="clear" w:color="auto" w:fill="auto"/>
            <w:noWrap/>
            <w:vAlign w:val="bottom"/>
            <w:hideMark/>
          </w:tcPr>
          <w:p w14:paraId="081DB128" w14:textId="77777777" w:rsidR="00A47B88" w:rsidRPr="00CB7570" w:rsidRDefault="00A47B88" w:rsidP="00A20198">
            <w:pPr>
              <w:spacing w:before="0"/>
              <w:ind w:left="333"/>
              <w:rPr>
                <w:rFonts w:cs="Arial"/>
                <w:b/>
                <w:bCs/>
                <w:color w:val="000000"/>
                <w:sz w:val="18"/>
                <w:szCs w:val="18"/>
              </w:rPr>
            </w:pPr>
            <w:r w:rsidRPr="00CB7570">
              <w:rPr>
                <w:rFonts w:cs="Arial"/>
                <w:b/>
                <w:bCs/>
                <w:color w:val="000000"/>
                <w:sz w:val="18"/>
                <w:szCs w:val="18"/>
              </w:rPr>
              <w:t>Total Fundraising (Impact indicator)</w:t>
            </w:r>
          </w:p>
        </w:tc>
        <w:tc>
          <w:tcPr>
            <w:tcW w:w="992" w:type="dxa"/>
            <w:tcBorders>
              <w:top w:val="nil"/>
              <w:left w:val="nil"/>
              <w:bottom w:val="nil"/>
              <w:right w:val="nil"/>
            </w:tcBorders>
            <w:shd w:val="clear" w:color="auto" w:fill="auto"/>
            <w:noWrap/>
            <w:vAlign w:val="bottom"/>
            <w:hideMark/>
          </w:tcPr>
          <w:p w14:paraId="081DB129"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£304m</w:t>
            </w:r>
          </w:p>
        </w:tc>
        <w:tc>
          <w:tcPr>
            <w:tcW w:w="1134" w:type="dxa"/>
            <w:tcBorders>
              <w:top w:val="nil"/>
              <w:left w:val="nil"/>
              <w:bottom w:val="nil"/>
              <w:right w:val="nil"/>
            </w:tcBorders>
            <w:shd w:val="clear" w:color="auto" w:fill="auto"/>
            <w:noWrap/>
            <w:vAlign w:val="bottom"/>
            <w:hideMark/>
          </w:tcPr>
          <w:p w14:paraId="081DB12A"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£236m</w:t>
            </w:r>
          </w:p>
        </w:tc>
        <w:tc>
          <w:tcPr>
            <w:tcW w:w="993" w:type="dxa"/>
            <w:tcBorders>
              <w:top w:val="nil"/>
              <w:left w:val="nil"/>
              <w:bottom w:val="nil"/>
              <w:right w:val="nil"/>
            </w:tcBorders>
            <w:shd w:val="clear" w:color="auto" w:fill="auto"/>
            <w:noWrap/>
            <w:vAlign w:val="bottom"/>
            <w:hideMark/>
          </w:tcPr>
          <w:p w14:paraId="081DB12B"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£250m</w:t>
            </w:r>
          </w:p>
        </w:tc>
        <w:tc>
          <w:tcPr>
            <w:tcW w:w="992" w:type="dxa"/>
            <w:tcBorders>
              <w:top w:val="nil"/>
              <w:left w:val="nil"/>
              <w:bottom w:val="nil"/>
              <w:right w:val="nil"/>
            </w:tcBorders>
            <w:shd w:val="clear" w:color="auto" w:fill="auto"/>
            <w:noWrap/>
            <w:vAlign w:val="bottom"/>
            <w:hideMark/>
          </w:tcPr>
          <w:p w14:paraId="081DB12C"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£357m</w:t>
            </w:r>
          </w:p>
        </w:tc>
        <w:tc>
          <w:tcPr>
            <w:tcW w:w="992" w:type="dxa"/>
            <w:tcBorders>
              <w:top w:val="nil"/>
              <w:left w:val="nil"/>
              <w:bottom w:val="nil"/>
              <w:right w:val="nil"/>
            </w:tcBorders>
            <w:vAlign w:val="bottom"/>
          </w:tcPr>
          <w:p w14:paraId="081DB12D"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£348m</w:t>
            </w:r>
          </w:p>
        </w:tc>
        <w:tc>
          <w:tcPr>
            <w:tcW w:w="992" w:type="dxa"/>
            <w:tcBorders>
              <w:top w:val="nil"/>
              <w:left w:val="nil"/>
              <w:bottom w:val="nil"/>
              <w:right w:val="nil"/>
            </w:tcBorders>
            <w:vAlign w:val="bottom"/>
          </w:tcPr>
          <w:p w14:paraId="73A7ED64" w14:textId="3C88C7E5" w:rsidR="00A47B88" w:rsidRPr="00CB7570" w:rsidRDefault="0052374B" w:rsidP="00B22C87">
            <w:pPr>
              <w:spacing w:before="0"/>
              <w:ind w:left="0"/>
              <w:jc w:val="center"/>
              <w:rPr>
                <w:rFonts w:cs="Arial"/>
                <w:b/>
                <w:bCs/>
                <w:color w:val="000000"/>
                <w:sz w:val="18"/>
                <w:szCs w:val="18"/>
              </w:rPr>
            </w:pPr>
            <w:r>
              <w:rPr>
                <w:rFonts w:cs="Arial"/>
                <w:b/>
                <w:bCs/>
                <w:color w:val="000000"/>
                <w:sz w:val="18"/>
                <w:szCs w:val="18"/>
              </w:rPr>
              <w:t>£476m</w:t>
            </w:r>
          </w:p>
        </w:tc>
      </w:tr>
      <w:tr w:rsidR="00A47B88" w:rsidRPr="00A20198" w14:paraId="081DB135" w14:textId="0C4AFE9B" w:rsidTr="00B22C87">
        <w:trPr>
          <w:trHeight w:val="285"/>
        </w:trPr>
        <w:tc>
          <w:tcPr>
            <w:tcW w:w="4536" w:type="dxa"/>
            <w:tcBorders>
              <w:top w:val="nil"/>
              <w:left w:val="nil"/>
              <w:bottom w:val="nil"/>
              <w:right w:val="nil"/>
            </w:tcBorders>
            <w:shd w:val="clear" w:color="auto" w:fill="auto"/>
            <w:noWrap/>
            <w:vAlign w:val="bottom"/>
            <w:hideMark/>
          </w:tcPr>
          <w:p w14:paraId="081DB12F" w14:textId="77777777" w:rsidR="00A47B88" w:rsidRPr="00CB7570" w:rsidRDefault="00A47B88" w:rsidP="00A20198">
            <w:pPr>
              <w:spacing w:before="0"/>
              <w:ind w:left="333"/>
              <w:rPr>
                <w:rFonts w:cs="Arial"/>
                <w:color w:val="000000"/>
                <w:sz w:val="18"/>
                <w:szCs w:val="18"/>
              </w:rPr>
            </w:pPr>
            <w:r w:rsidRPr="00CB7570">
              <w:rPr>
                <w:rFonts w:cs="Arial"/>
                <w:color w:val="000000"/>
                <w:sz w:val="18"/>
                <w:szCs w:val="18"/>
              </w:rPr>
              <w:t>Total Fundraising (Excluding donated objects)</w:t>
            </w:r>
          </w:p>
        </w:tc>
        <w:tc>
          <w:tcPr>
            <w:tcW w:w="992" w:type="dxa"/>
            <w:tcBorders>
              <w:top w:val="nil"/>
              <w:left w:val="nil"/>
              <w:bottom w:val="nil"/>
              <w:right w:val="nil"/>
            </w:tcBorders>
            <w:shd w:val="clear" w:color="auto" w:fill="auto"/>
            <w:noWrap/>
            <w:vAlign w:val="bottom"/>
            <w:hideMark/>
          </w:tcPr>
          <w:p w14:paraId="081DB130"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£204m</w:t>
            </w:r>
          </w:p>
        </w:tc>
        <w:tc>
          <w:tcPr>
            <w:tcW w:w="1134" w:type="dxa"/>
            <w:tcBorders>
              <w:top w:val="nil"/>
              <w:left w:val="nil"/>
              <w:bottom w:val="nil"/>
              <w:right w:val="nil"/>
            </w:tcBorders>
            <w:shd w:val="clear" w:color="auto" w:fill="auto"/>
            <w:noWrap/>
            <w:vAlign w:val="bottom"/>
            <w:hideMark/>
          </w:tcPr>
          <w:p w14:paraId="081DB131"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£218m</w:t>
            </w:r>
          </w:p>
        </w:tc>
        <w:tc>
          <w:tcPr>
            <w:tcW w:w="993" w:type="dxa"/>
            <w:tcBorders>
              <w:top w:val="nil"/>
              <w:left w:val="nil"/>
              <w:bottom w:val="nil"/>
              <w:right w:val="nil"/>
            </w:tcBorders>
            <w:shd w:val="clear" w:color="auto" w:fill="auto"/>
            <w:noWrap/>
            <w:vAlign w:val="bottom"/>
            <w:hideMark/>
          </w:tcPr>
          <w:p w14:paraId="081DB132"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£234m</w:t>
            </w:r>
          </w:p>
        </w:tc>
        <w:tc>
          <w:tcPr>
            <w:tcW w:w="992" w:type="dxa"/>
            <w:tcBorders>
              <w:top w:val="nil"/>
              <w:left w:val="nil"/>
              <w:bottom w:val="nil"/>
              <w:right w:val="nil"/>
            </w:tcBorders>
            <w:shd w:val="clear" w:color="auto" w:fill="auto"/>
            <w:noWrap/>
            <w:vAlign w:val="bottom"/>
            <w:hideMark/>
          </w:tcPr>
          <w:p w14:paraId="081DB133"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£274m</w:t>
            </w:r>
          </w:p>
        </w:tc>
        <w:tc>
          <w:tcPr>
            <w:tcW w:w="992" w:type="dxa"/>
            <w:tcBorders>
              <w:top w:val="nil"/>
              <w:left w:val="nil"/>
              <w:bottom w:val="nil"/>
              <w:right w:val="nil"/>
            </w:tcBorders>
            <w:vAlign w:val="bottom"/>
          </w:tcPr>
          <w:p w14:paraId="081DB134"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£293m</w:t>
            </w:r>
          </w:p>
        </w:tc>
        <w:tc>
          <w:tcPr>
            <w:tcW w:w="992" w:type="dxa"/>
            <w:tcBorders>
              <w:top w:val="nil"/>
              <w:left w:val="nil"/>
              <w:bottom w:val="nil"/>
              <w:right w:val="nil"/>
            </w:tcBorders>
            <w:vAlign w:val="bottom"/>
          </w:tcPr>
          <w:p w14:paraId="34163BBA" w14:textId="66696325" w:rsidR="00A47B88" w:rsidRPr="00CB7570" w:rsidRDefault="0052374B" w:rsidP="00B22C87">
            <w:pPr>
              <w:spacing w:before="0"/>
              <w:ind w:left="0"/>
              <w:jc w:val="center"/>
              <w:rPr>
                <w:rFonts w:cs="Arial"/>
                <w:color w:val="000000"/>
                <w:sz w:val="18"/>
                <w:szCs w:val="18"/>
              </w:rPr>
            </w:pPr>
            <w:r>
              <w:rPr>
                <w:rFonts w:cs="Arial"/>
                <w:color w:val="000000"/>
                <w:sz w:val="18"/>
                <w:szCs w:val="18"/>
              </w:rPr>
              <w:t>£455m</w:t>
            </w:r>
          </w:p>
        </w:tc>
      </w:tr>
      <w:tr w:rsidR="00A47B88" w:rsidRPr="00A20198" w14:paraId="081DB13C" w14:textId="53FE29FB" w:rsidTr="00B22C87">
        <w:trPr>
          <w:trHeight w:val="285"/>
        </w:trPr>
        <w:tc>
          <w:tcPr>
            <w:tcW w:w="4536" w:type="dxa"/>
            <w:tcBorders>
              <w:top w:val="nil"/>
              <w:left w:val="nil"/>
              <w:bottom w:val="nil"/>
              <w:right w:val="nil"/>
            </w:tcBorders>
            <w:shd w:val="clear" w:color="auto" w:fill="auto"/>
            <w:noWrap/>
            <w:vAlign w:val="bottom"/>
            <w:hideMark/>
          </w:tcPr>
          <w:p w14:paraId="081DB136" w14:textId="77777777" w:rsidR="00A47B88" w:rsidRPr="00CB7570" w:rsidRDefault="00A47B88" w:rsidP="00A20198">
            <w:pPr>
              <w:spacing w:before="0"/>
              <w:ind w:left="333"/>
              <w:rPr>
                <w:rFonts w:cs="Arial"/>
                <w:color w:val="000000"/>
                <w:sz w:val="18"/>
                <w:szCs w:val="18"/>
              </w:rPr>
            </w:pPr>
            <w:r w:rsidRPr="00CB7570">
              <w:rPr>
                <w:rFonts w:cs="Arial"/>
                <w:color w:val="000000"/>
                <w:sz w:val="18"/>
                <w:szCs w:val="18"/>
              </w:rPr>
              <w:t>Total DCMS Grant-in-Aid</w:t>
            </w:r>
          </w:p>
        </w:tc>
        <w:tc>
          <w:tcPr>
            <w:tcW w:w="992" w:type="dxa"/>
            <w:tcBorders>
              <w:top w:val="nil"/>
              <w:left w:val="nil"/>
              <w:bottom w:val="nil"/>
              <w:right w:val="nil"/>
            </w:tcBorders>
            <w:shd w:val="clear" w:color="auto" w:fill="auto"/>
            <w:noWrap/>
            <w:vAlign w:val="bottom"/>
            <w:hideMark/>
          </w:tcPr>
          <w:p w14:paraId="081DB137"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£1,064m</w:t>
            </w:r>
          </w:p>
        </w:tc>
        <w:tc>
          <w:tcPr>
            <w:tcW w:w="1134" w:type="dxa"/>
            <w:tcBorders>
              <w:top w:val="nil"/>
              <w:left w:val="nil"/>
              <w:bottom w:val="nil"/>
              <w:right w:val="nil"/>
            </w:tcBorders>
            <w:shd w:val="clear" w:color="auto" w:fill="auto"/>
            <w:noWrap/>
            <w:vAlign w:val="bottom"/>
            <w:hideMark/>
          </w:tcPr>
          <w:p w14:paraId="081DB138"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£1,077m</w:t>
            </w:r>
          </w:p>
        </w:tc>
        <w:tc>
          <w:tcPr>
            <w:tcW w:w="993" w:type="dxa"/>
            <w:tcBorders>
              <w:top w:val="nil"/>
              <w:left w:val="nil"/>
              <w:bottom w:val="nil"/>
              <w:right w:val="nil"/>
            </w:tcBorders>
            <w:shd w:val="clear" w:color="auto" w:fill="auto"/>
            <w:noWrap/>
            <w:vAlign w:val="bottom"/>
            <w:hideMark/>
          </w:tcPr>
          <w:p w14:paraId="081DB139"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£1,047m</w:t>
            </w:r>
          </w:p>
        </w:tc>
        <w:tc>
          <w:tcPr>
            <w:tcW w:w="992" w:type="dxa"/>
            <w:tcBorders>
              <w:top w:val="nil"/>
              <w:left w:val="nil"/>
              <w:bottom w:val="nil"/>
              <w:right w:val="nil"/>
            </w:tcBorders>
            <w:shd w:val="clear" w:color="auto" w:fill="auto"/>
            <w:noWrap/>
            <w:vAlign w:val="bottom"/>
            <w:hideMark/>
          </w:tcPr>
          <w:p w14:paraId="081DB13A"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£994m</w:t>
            </w:r>
          </w:p>
        </w:tc>
        <w:tc>
          <w:tcPr>
            <w:tcW w:w="992" w:type="dxa"/>
            <w:tcBorders>
              <w:top w:val="nil"/>
              <w:left w:val="nil"/>
              <w:bottom w:val="nil"/>
              <w:right w:val="nil"/>
            </w:tcBorders>
            <w:vAlign w:val="bottom"/>
          </w:tcPr>
          <w:p w14:paraId="081DB13B" w14:textId="3FBEC60F"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£1,032m</w:t>
            </w:r>
          </w:p>
        </w:tc>
        <w:tc>
          <w:tcPr>
            <w:tcW w:w="992" w:type="dxa"/>
            <w:tcBorders>
              <w:top w:val="nil"/>
              <w:left w:val="nil"/>
              <w:bottom w:val="nil"/>
              <w:right w:val="nil"/>
            </w:tcBorders>
            <w:vAlign w:val="bottom"/>
          </w:tcPr>
          <w:p w14:paraId="589D7319" w14:textId="740D832A" w:rsidR="00A47B88" w:rsidRPr="00CB7570" w:rsidRDefault="0052374B" w:rsidP="00B22C87">
            <w:pPr>
              <w:spacing w:before="0"/>
              <w:ind w:left="0"/>
              <w:jc w:val="center"/>
              <w:rPr>
                <w:rFonts w:cs="Arial"/>
                <w:color w:val="000000"/>
                <w:sz w:val="18"/>
                <w:szCs w:val="18"/>
              </w:rPr>
            </w:pPr>
            <w:r>
              <w:rPr>
                <w:rFonts w:cs="Arial"/>
                <w:color w:val="000000"/>
                <w:sz w:val="18"/>
                <w:szCs w:val="18"/>
              </w:rPr>
              <w:t>£974m</w:t>
            </w:r>
          </w:p>
        </w:tc>
      </w:tr>
      <w:tr w:rsidR="00A47B88" w:rsidRPr="00A20198" w14:paraId="081DB143" w14:textId="2B557C05" w:rsidTr="00B22C87">
        <w:trPr>
          <w:trHeight w:val="285"/>
        </w:trPr>
        <w:tc>
          <w:tcPr>
            <w:tcW w:w="4536" w:type="dxa"/>
            <w:tcBorders>
              <w:top w:val="nil"/>
              <w:left w:val="nil"/>
              <w:bottom w:val="nil"/>
              <w:right w:val="nil"/>
            </w:tcBorders>
            <w:shd w:val="clear" w:color="auto" w:fill="auto"/>
            <w:noWrap/>
            <w:vAlign w:val="bottom"/>
            <w:hideMark/>
          </w:tcPr>
          <w:p w14:paraId="081DB13D" w14:textId="77777777" w:rsidR="00A47B88" w:rsidRPr="00CB7570" w:rsidRDefault="00A47B88" w:rsidP="00A20198">
            <w:pPr>
              <w:spacing w:before="0"/>
              <w:ind w:left="333"/>
              <w:rPr>
                <w:rFonts w:cs="Arial"/>
                <w:b/>
                <w:bCs/>
                <w:color w:val="000000"/>
                <w:sz w:val="18"/>
                <w:szCs w:val="18"/>
              </w:rPr>
            </w:pPr>
            <w:r w:rsidRPr="00CB7570">
              <w:rPr>
                <w:rFonts w:cs="Arial"/>
                <w:b/>
                <w:bCs/>
                <w:color w:val="000000"/>
                <w:sz w:val="18"/>
                <w:szCs w:val="18"/>
              </w:rPr>
              <w:t>Ratio of Fundraising to Grant-in-Aid (Input indicator)</w:t>
            </w:r>
          </w:p>
        </w:tc>
        <w:tc>
          <w:tcPr>
            <w:tcW w:w="992" w:type="dxa"/>
            <w:tcBorders>
              <w:top w:val="nil"/>
              <w:left w:val="nil"/>
              <w:bottom w:val="nil"/>
              <w:right w:val="nil"/>
            </w:tcBorders>
            <w:shd w:val="clear" w:color="auto" w:fill="auto"/>
            <w:noWrap/>
            <w:vAlign w:val="bottom"/>
            <w:hideMark/>
          </w:tcPr>
          <w:p w14:paraId="081DB13E"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28.6%</w:t>
            </w:r>
          </w:p>
        </w:tc>
        <w:tc>
          <w:tcPr>
            <w:tcW w:w="1134" w:type="dxa"/>
            <w:tcBorders>
              <w:top w:val="nil"/>
              <w:left w:val="nil"/>
              <w:bottom w:val="nil"/>
              <w:right w:val="nil"/>
            </w:tcBorders>
            <w:shd w:val="clear" w:color="auto" w:fill="auto"/>
            <w:noWrap/>
            <w:vAlign w:val="bottom"/>
            <w:hideMark/>
          </w:tcPr>
          <w:p w14:paraId="081DB13F"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21.9%</w:t>
            </w:r>
          </w:p>
        </w:tc>
        <w:tc>
          <w:tcPr>
            <w:tcW w:w="993" w:type="dxa"/>
            <w:tcBorders>
              <w:top w:val="nil"/>
              <w:left w:val="nil"/>
              <w:bottom w:val="nil"/>
              <w:right w:val="nil"/>
            </w:tcBorders>
            <w:shd w:val="clear" w:color="auto" w:fill="auto"/>
            <w:noWrap/>
            <w:vAlign w:val="bottom"/>
            <w:hideMark/>
          </w:tcPr>
          <w:p w14:paraId="081DB140"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23.9%</w:t>
            </w:r>
          </w:p>
        </w:tc>
        <w:tc>
          <w:tcPr>
            <w:tcW w:w="992" w:type="dxa"/>
            <w:tcBorders>
              <w:top w:val="nil"/>
              <w:left w:val="nil"/>
              <w:bottom w:val="nil"/>
              <w:right w:val="nil"/>
            </w:tcBorders>
            <w:shd w:val="clear" w:color="auto" w:fill="auto"/>
            <w:noWrap/>
            <w:vAlign w:val="bottom"/>
            <w:hideMark/>
          </w:tcPr>
          <w:p w14:paraId="081DB141" w14:textId="77777777"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35.9%</w:t>
            </w:r>
          </w:p>
        </w:tc>
        <w:tc>
          <w:tcPr>
            <w:tcW w:w="992" w:type="dxa"/>
            <w:tcBorders>
              <w:top w:val="nil"/>
              <w:left w:val="nil"/>
              <w:bottom w:val="nil"/>
              <w:right w:val="nil"/>
            </w:tcBorders>
            <w:vAlign w:val="bottom"/>
          </w:tcPr>
          <w:p w14:paraId="081DB142" w14:textId="5844ABC8" w:rsidR="00A47B88" w:rsidRPr="00CB7570" w:rsidRDefault="00A47B88" w:rsidP="00CB7570">
            <w:pPr>
              <w:spacing w:before="0"/>
              <w:ind w:left="0"/>
              <w:jc w:val="center"/>
              <w:rPr>
                <w:rFonts w:cs="Arial"/>
                <w:b/>
                <w:bCs/>
                <w:color w:val="000000"/>
                <w:sz w:val="18"/>
                <w:szCs w:val="18"/>
              </w:rPr>
            </w:pPr>
            <w:r w:rsidRPr="00CB7570">
              <w:rPr>
                <w:rFonts w:cs="Arial"/>
                <w:b/>
                <w:bCs/>
                <w:color w:val="000000"/>
                <w:sz w:val="18"/>
                <w:szCs w:val="18"/>
              </w:rPr>
              <w:t>33.7%</w:t>
            </w:r>
          </w:p>
        </w:tc>
        <w:tc>
          <w:tcPr>
            <w:tcW w:w="992" w:type="dxa"/>
            <w:tcBorders>
              <w:top w:val="nil"/>
              <w:left w:val="nil"/>
              <w:bottom w:val="nil"/>
              <w:right w:val="nil"/>
            </w:tcBorders>
            <w:vAlign w:val="bottom"/>
          </w:tcPr>
          <w:p w14:paraId="0983A1EA" w14:textId="456DE4B5" w:rsidR="00A47B88" w:rsidRPr="00CB7570" w:rsidRDefault="0052374B" w:rsidP="00B22C87">
            <w:pPr>
              <w:spacing w:before="0"/>
              <w:ind w:left="0"/>
              <w:jc w:val="center"/>
              <w:rPr>
                <w:rFonts w:cs="Arial"/>
                <w:b/>
                <w:bCs/>
                <w:color w:val="000000"/>
                <w:sz w:val="18"/>
                <w:szCs w:val="18"/>
              </w:rPr>
            </w:pPr>
            <w:r>
              <w:rPr>
                <w:rFonts w:cs="Arial"/>
                <w:b/>
                <w:bCs/>
                <w:color w:val="000000"/>
                <w:sz w:val="18"/>
                <w:szCs w:val="18"/>
              </w:rPr>
              <w:t>48.8%</w:t>
            </w:r>
          </w:p>
        </w:tc>
      </w:tr>
      <w:tr w:rsidR="00A47B88" w:rsidRPr="00A20198" w14:paraId="081DB14A" w14:textId="19E7362C" w:rsidTr="00B22C87">
        <w:trPr>
          <w:trHeight w:val="285"/>
        </w:trPr>
        <w:tc>
          <w:tcPr>
            <w:tcW w:w="4536" w:type="dxa"/>
            <w:tcBorders>
              <w:top w:val="nil"/>
              <w:left w:val="nil"/>
              <w:bottom w:val="nil"/>
              <w:right w:val="nil"/>
            </w:tcBorders>
            <w:shd w:val="clear" w:color="auto" w:fill="auto"/>
            <w:noWrap/>
            <w:vAlign w:val="bottom"/>
            <w:hideMark/>
          </w:tcPr>
          <w:p w14:paraId="081DB144" w14:textId="77777777" w:rsidR="00A47B88" w:rsidRPr="00CB7570" w:rsidRDefault="00A47B88" w:rsidP="00A20198">
            <w:pPr>
              <w:spacing w:before="0"/>
              <w:ind w:left="333"/>
              <w:rPr>
                <w:rFonts w:cs="Arial"/>
                <w:color w:val="000000"/>
                <w:sz w:val="18"/>
                <w:szCs w:val="18"/>
              </w:rPr>
            </w:pPr>
            <w:r w:rsidRPr="00CB7570">
              <w:rPr>
                <w:rFonts w:cs="Arial"/>
                <w:color w:val="000000"/>
                <w:sz w:val="18"/>
                <w:szCs w:val="18"/>
              </w:rPr>
              <w:t>Ratio of Fundraising to Grant-in-Aid (Excl. donated objects)</w:t>
            </w:r>
          </w:p>
        </w:tc>
        <w:tc>
          <w:tcPr>
            <w:tcW w:w="992" w:type="dxa"/>
            <w:tcBorders>
              <w:top w:val="nil"/>
              <w:left w:val="nil"/>
              <w:bottom w:val="nil"/>
              <w:right w:val="nil"/>
            </w:tcBorders>
            <w:shd w:val="clear" w:color="auto" w:fill="auto"/>
            <w:noWrap/>
            <w:vAlign w:val="bottom"/>
            <w:hideMark/>
          </w:tcPr>
          <w:p w14:paraId="081DB145"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19.1%</w:t>
            </w:r>
          </w:p>
        </w:tc>
        <w:tc>
          <w:tcPr>
            <w:tcW w:w="1134" w:type="dxa"/>
            <w:tcBorders>
              <w:top w:val="nil"/>
              <w:left w:val="nil"/>
              <w:bottom w:val="nil"/>
              <w:right w:val="nil"/>
            </w:tcBorders>
            <w:shd w:val="clear" w:color="auto" w:fill="auto"/>
            <w:noWrap/>
            <w:vAlign w:val="bottom"/>
            <w:hideMark/>
          </w:tcPr>
          <w:p w14:paraId="081DB146"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20.2%</w:t>
            </w:r>
          </w:p>
        </w:tc>
        <w:tc>
          <w:tcPr>
            <w:tcW w:w="993" w:type="dxa"/>
            <w:tcBorders>
              <w:top w:val="nil"/>
              <w:left w:val="nil"/>
              <w:bottom w:val="nil"/>
              <w:right w:val="nil"/>
            </w:tcBorders>
            <w:shd w:val="clear" w:color="auto" w:fill="auto"/>
            <w:noWrap/>
            <w:vAlign w:val="bottom"/>
            <w:hideMark/>
          </w:tcPr>
          <w:p w14:paraId="081DB147"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22.3%</w:t>
            </w:r>
          </w:p>
        </w:tc>
        <w:tc>
          <w:tcPr>
            <w:tcW w:w="992" w:type="dxa"/>
            <w:tcBorders>
              <w:top w:val="nil"/>
              <w:left w:val="nil"/>
              <w:bottom w:val="nil"/>
              <w:right w:val="nil"/>
            </w:tcBorders>
            <w:shd w:val="clear" w:color="auto" w:fill="auto"/>
            <w:noWrap/>
            <w:vAlign w:val="bottom"/>
            <w:hideMark/>
          </w:tcPr>
          <w:p w14:paraId="081DB148"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27.6%</w:t>
            </w:r>
          </w:p>
        </w:tc>
        <w:tc>
          <w:tcPr>
            <w:tcW w:w="992" w:type="dxa"/>
            <w:tcBorders>
              <w:top w:val="nil"/>
              <w:left w:val="nil"/>
              <w:bottom w:val="nil"/>
              <w:right w:val="nil"/>
            </w:tcBorders>
            <w:vAlign w:val="bottom"/>
          </w:tcPr>
          <w:p w14:paraId="081DB149" w14:textId="77777777" w:rsidR="00A47B88" w:rsidRPr="00CB7570" w:rsidRDefault="00A47B88" w:rsidP="00CB7570">
            <w:pPr>
              <w:spacing w:before="0"/>
              <w:ind w:left="0"/>
              <w:jc w:val="center"/>
              <w:rPr>
                <w:rFonts w:cs="Arial"/>
                <w:color w:val="000000"/>
                <w:sz w:val="18"/>
                <w:szCs w:val="18"/>
              </w:rPr>
            </w:pPr>
            <w:r w:rsidRPr="00CB7570">
              <w:rPr>
                <w:rFonts w:cs="Arial"/>
                <w:color w:val="000000"/>
                <w:sz w:val="18"/>
                <w:szCs w:val="18"/>
              </w:rPr>
              <w:t>28.4%</w:t>
            </w:r>
          </w:p>
        </w:tc>
        <w:tc>
          <w:tcPr>
            <w:tcW w:w="992" w:type="dxa"/>
            <w:tcBorders>
              <w:top w:val="nil"/>
              <w:left w:val="nil"/>
              <w:bottom w:val="nil"/>
              <w:right w:val="nil"/>
            </w:tcBorders>
            <w:vAlign w:val="bottom"/>
          </w:tcPr>
          <w:p w14:paraId="5615F73F" w14:textId="23EBD6BC" w:rsidR="00A47B88" w:rsidRPr="00CB7570" w:rsidRDefault="0052374B" w:rsidP="00B22C87">
            <w:pPr>
              <w:spacing w:before="0"/>
              <w:ind w:left="0"/>
              <w:jc w:val="center"/>
              <w:rPr>
                <w:rFonts w:cs="Arial"/>
                <w:color w:val="000000"/>
                <w:sz w:val="18"/>
                <w:szCs w:val="18"/>
              </w:rPr>
            </w:pPr>
            <w:r>
              <w:rPr>
                <w:rFonts w:cs="Arial"/>
                <w:color w:val="000000"/>
                <w:sz w:val="18"/>
                <w:szCs w:val="18"/>
              </w:rPr>
              <w:t>46.7%</w:t>
            </w:r>
          </w:p>
        </w:tc>
      </w:tr>
    </w:tbl>
    <w:p w14:paraId="081DB14B" w14:textId="77777777" w:rsidR="00A20198" w:rsidRPr="00A20198" w:rsidRDefault="00A20198" w:rsidP="00A20198">
      <w:pPr>
        <w:spacing w:before="0" w:after="200"/>
        <w:ind w:left="0" w:firstLine="720"/>
        <w:rPr>
          <w:rFonts w:cs="Arial"/>
          <w:b/>
          <w:lang w:eastAsia="en-US"/>
        </w:rPr>
      </w:pPr>
    </w:p>
    <w:p w14:paraId="081DB14C" w14:textId="77777777" w:rsidR="00A20198" w:rsidRPr="00A20198" w:rsidRDefault="00A20198" w:rsidP="00A20198">
      <w:pPr>
        <w:spacing w:before="0" w:after="200"/>
        <w:ind w:left="709" w:firstLine="11"/>
        <w:rPr>
          <w:rFonts w:cs="Arial"/>
          <w:sz w:val="22"/>
          <w:lang w:eastAsia="en-US"/>
        </w:rPr>
      </w:pPr>
      <w:r w:rsidRPr="00A20198">
        <w:rPr>
          <w:rFonts w:cs="Arial"/>
          <w:sz w:val="22"/>
          <w:lang w:eastAsia="en-US"/>
        </w:rPr>
        <w:t xml:space="preserve">To note, data are in current prices and have not been adjusted for inflation. </w:t>
      </w:r>
    </w:p>
    <w:p w14:paraId="081DB14D" w14:textId="6EEAAFDC" w:rsidR="00A20198" w:rsidRPr="00A20198" w:rsidRDefault="00A20198" w:rsidP="00A20198">
      <w:pPr>
        <w:ind w:left="720"/>
        <w:rPr>
          <w:rFonts w:cs="Arial"/>
          <w:sz w:val="22"/>
          <w:lang w:eastAsia="en-US"/>
        </w:rPr>
      </w:pPr>
      <w:r w:rsidRPr="00A20198">
        <w:rPr>
          <w:rFonts w:cs="Arial"/>
          <w:sz w:val="22"/>
          <w:lang w:eastAsia="en-US"/>
        </w:rPr>
        <w:t xml:space="preserve">The value of donated objects has had a substantial variation over time. </w:t>
      </w:r>
      <w:r w:rsidR="00E416E8">
        <w:rPr>
          <w:rFonts w:cs="Arial"/>
          <w:sz w:val="22"/>
          <w:lang w:eastAsia="en-US"/>
        </w:rPr>
        <w:t>Previously, i</w:t>
      </w:r>
      <w:r w:rsidRPr="00A20198">
        <w:rPr>
          <w:rFonts w:cs="Arial"/>
          <w:sz w:val="22"/>
          <w:lang w:eastAsia="en-US"/>
        </w:rPr>
        <w:t>t contributed up to almost a third</w:t>
      </w:r>
      <w:r w:rsidR="00FE52FD">
        <w:rPr>
          <w:rFonts w:cs="Arial"/>
          <w:sz w:val="22"/>
          <w:lang w:eastAsia="en-US"/>
        </w:rPr>
        <w:t xml:space="preserve"> of total fundraising</w:t>
      </w:r>
      <w:r w:rsidRPr="00A20198">
        <w:rPr>
          <w:rFonts w:cs="Arial"/>
          <w:sz w:val="22"/>
          <w:lang w:eastAsia="en-US"/>
        </w:rPr>
        <w:t xml:space="preserve"> in 2008/09</w:t>
      </w:r>
      <w:r w:rsidR="00FE52FD">
        <w:rPr>
          <w:rFonts w:cs="Arial"/>
          <w:sz w:val="22"/>
          <w:lang w:eastAsia="en-US"/>
        </w:rPr>
        <w:t xml:space="preserve">, but in 2013/14 </w:t>
      </w:r>
      <w:r w:rsidR="00B8453E">
        <w:rPr>
          <w:rFonts w:cs="Arial"/>
          <w:sz w:val="22"/>
          <w:lang w:eastAsia="en-US"/>
        </w:rPr>
        <w:t xml:space="preserve"> contributed 4</w:t>
      </w:r>
      <w:r w:rsidRPr="00A20198">
        <w:rPr>
          <w:rFonts w:cs="Arial"/>
          <w:sz w:val="22"/>
          <w:lang w:eastAsia="en-US"/>
        </w:rPr>
        <w:t>%</w:t>
      </w:r>
      <w:r w:rsidR="00FE52FD">
        <w:rPr>
          <w:rFonts w:cs="Arial"/>
          <w:sz w:val="22"/>
          <w:lang w:eastAsia="en-US"/>
        </w:rPr>
        <w:t>, the lowest proportion since 2008/09.</w:t>
      </w:r>
      <w:r w:rsidRPr="00A20198">
        <w:rPr>
          <w:rFonts w:cs="Arial"/>
          <w:sz w:val="22"/>
          <w:lang w:eastAsia="en-US"/>
        </w:rPr>
        <w:t xml:space="preserve">  This variation is largely due to a small number of high value donations (see figures 2 &amp; 3 below).</w:t>
      </w:r>
    </w:p>
    <w:p w14:paraId="081DB14E" w14:textId="3C6979E4" w:rsidR="00A20198" w:rsidRPr="00A20198" w:rsidRDefault="00A20198" w:rsidP="00A20198">
      <w:pPr>
        <w:ind w:left="720"/>
        <w:rPr>
          <w:rFonts w:cs="Arial"/>
          <w:sz w:val="22"/>
          <w:lang w:eastAsia="en-US"/>
        </w:rPr>
      </w:pPr>
      <w:r w:rsidRPr="00913186">
        <w:rPr>
          <w:rFonts w:cs="Arial"/>
          <w:sz w:val="22"/>
          <w:lang w:eastAsia="en-US"/>
        </w:rPr>
        <w:t>Therefore the percentage of funding to Grant-in-Aid (Impact indicator) has fluctuated over time.</w:t>
      </w:r>
      <w:r w:rsidRPr="00A20198">
        <w:rPr>
          <w:rFonts w:cs="Arial"/>
          <w:sz w:val="22"/>
          <w:lang w:eastAsia="en-US"/>
        </w:rPr>
        <w:t xml:space="preserve"> </w:t>
      </w:r>
      <w:r w:rsidR="00B8453E">
        <w:rPr>
          <w:rFonts w:cs="Arial"/>
          <w:sz w:val="22"/>
          <w:lang w:eastAsia="en-US"/>
        </w:rPr>
        <w:t>T</w:t>
      </w:r>
      <w:r w:rsidRPr="00A20198">
        <w:rPr>
          <w:rFonts w:cs="Arial"/>
          <w:sz w:val="22"/>
          <w:lang w:eastAsia="en-US"/>
        </w:rPr>
        <w:t>he percentage of Fundraising to Grant-in-Aid</w:t>
      </w:r>
      <w:r w:rsidRPr="00A20198">
        <w:rPr>
          <w:rFonts w:cs="Arial"/>
          <w:i/>
          <w:sz w:val="22"/>
          <w:lang w:eastAsia="en-US"/>
        </w:rPr>
        <w:t xml:space="preserve"> excluding </w:t>
      </w:r>
      <w:r w:rsidR="00702853">
        <w:rPr>
          <w:rFonts w:cs="Arial"/>
          <w:sz w:val="22"/>
          <w:lang w:eastAsia="en-US"/>
        </w:rPr>
        <w:t>donated objects ha</w:t>
      </w:r>
      <w:r w:rsidR="00FE52FD">
        <w:rPr>
          <w:rFonts w:cs="Arial"/>
          <w:sz w:val="22"/>
          <w:lang w:eastAsia="en-US"/>
        </w:rPr>
        <w:t>s</w:t>
      </w:r>
      <w:r w:rsidRPr="00A20198">
        <w:rPr>
          <w:rFonts w:cs="Arial"/>
          <w:sz w:val="22"/>
          <w:lang w:eastAsia="en-US"/>
        </w:rPr>
        <w:t xml:space="preserve"> increased steadily over time</w:t>
      </w:r>
      <w:r w:rsidR="00702853">
        <w:rPr>
          <w:rFonts w:cs="Arial"/>
          <w:sz w:val="22"/>
          <w:lang w:eastAsia="en-US"/>
        </w:rPr>
        <w:t xml:space="preserve"> but this year has seen a sharp increase</w:t>
      </w:r>
      <w:r w:rsidRPr="00A20198">
        <w:rPr>
          <w:rFonts w:cs="Arial"/>
          <w:sz w:val="22"/>
          <w:lang w:eastAsia="en-US"/>
        </w:rPr>
        <w:t xml:space="preserve">, </w:t>
      </w:r>
      <w:r w:rsidR="00BC15A7">
        <w:rPr>
          <w:rFonts w:cs="Arial"/>
          <w:sz w:val="22"/>
          <w:lang w:eastAsia="en-US"/>
        </w:rPr>
        <w:t xml:space="preserve">and is </w:t>
      </w:r>
      <w:r w:rsidRPr="00A20198">
        <w:rPr>
          <w:rFonts w:cs="Arial"/>
          <w:sz w:val="22"/>
          <w:lang w:eastAsia="en-US"/>
        </w:rPr>
        <w:t>currently at its highest level (</w:t>
      </w:r>
      <w:r w:rsidR="00702853">
        <w:rPr>
          <w:rFonts w:cs="Arial"/>
          <w:sz w:val="22"/>
          <w:lang w:eastAsia="en-US"/>
        </w:rPr>
        <w:t>46.7</w:t>
      </w:r>
      <w:r w:rsidRPr="00A20198">
        <w:rPr>
          <w:rFonts w:cs="Arial"/>
          <w:sz w:val="22"/>
          <w:lang w:eastAsia="en-US"/>
        </w:rPr>
        <w:t>%) (see table 1 above).</w:t>
      </w:r>
    </w:p>
    <w:p w14:paraId="081DB14F" w14:textId="77777777" w:rsidR="00A20198" w:rsidRPr="00A20198" w:rsidRDefault="00A20198" w:rsidP="00A20198">
      <w:pPr>
        <w:ind w:left="720"/>
        <w:rPr>
          <w:rFonts w:cs="Arial"/>
          <w:sz w:val="22"/>
          <w:lang w:eastAsia="en-US"/>
        </w:rPr>
      </w:pPr>
    </w:p>
    <w:p w14:paraId="081DB150" w14:textId="77777777" w:rsidR="00A20198" w:rsidRPr="00A20198" w:rsidRDefault="00A20198" w:rsidP="00A20198">
      <w:pPr>
        <w:spacing w:before="0" w:after="200"/>
        <w:ind w:left="0" w:firstLine="720"/>
        <w:rPr>
          <w:b/>
          <w:lang w:eastAsia="en-US"/>
        </w:rPr>
      </w:pPr>
      <w:r w:rsidRPr="00A20198">
        <w:rPr>
          <w:b/>
          <w:lang w:eastAsia="en-US"/>
        </w:rPr>
        <w:t>Further Detail</w:t>
      </w:r>
    </w:p>
    <w:p w14:paraId="081DB151" w14:textId="77777777" w:rsidR="00A20198" w:rsidRPr="00A20198" w:rsidRDefault="00A20198" w:rsidP="00A20198">
      <w:pPr>
        <w:ind w:left="720"/>
        <w:rPr>
          <w:sz w:val="22"/>
          <w:lang w:eastAsia="en-US"/>
        </w:rPr>
      </w:pPr>
      <w:r w:rsidRPr="00A20198">
        <w:rPr>
          <w:sz w:val="22"/>
          <w:lang w:eastAsia="en-US"/>
        </w:rPr>
        <w:t>A published table</w:t>
      </w:r>
      <w:r w:rsidRPr="00A20198">
        <w:rPr>
          <w:sz w:val="22"/>
          <w:vertAlign w:val="superscript"/>
          <w:lang w:eastAsia="en-US"/>
        </w:rPr>
        <w:footnoteReference w:id="4"/>
      </w:r>
      <w:r w:rsidRPr="00A20198">
        <w:rPr>
          <w:sz w:val="22"/>
          <w:lang w:eastAsia="en-US"/>
        </w:rPr>
        <w:t xml:space="preserve"> with individual breakdowns by cultural institutions accompanies this report. Individual breakdowns have been included for transparency purposes, to show how the totals were calculated, and are </w:t>
      </w:r>
      <w:r w:rsidRPr="00A20198">
        <w:rPr>
          <w:b/>
          <w:i/>
          <w:sz w:val="22"/>
          <w:lang w:eastAsia="en-US"/>
        </w:rPr>
        <w:t xml:space="preserve">not </w:t>
      </w:r>
      <w:r w:rsidRPr="00A20198">
        <w:rPr>
          <w:sz w:val="22"/>
          <w:lang w:eastAsia="en-US"/>
        </w:rPr>
        <w:t>reported for comparisons between cultural institutions.</w:t>
      </w:r>
    </w:p>
    <w:p w14:paraId="77238624" w14:textId="77777777" w:rsidR="004E5F60" w:rsidRDefault="004E5F60" w:rsidP="00A20198">
      <w:pPr>
        <w:spacing w:before="0" w:after="200"/>
        <w:ind w:left="709" w:firstLine="11"/>
        <w:rPr>
          <w:b/>
          <w:sz w:val="22"/>
          <w:lang w:eastAsia="en-US"/>
        </w:rPr>
      </w:pPr>
    </w:p>
    <w:p w14:paraId="6B993743" w14:textId="77777777" w:rsidR="004E5F60" w:rsidRDefault="004E5F60">
      <w:pPr>
        <w:spacing w:before="0"/>
        <w:ind w:left="0"/>
        <w:rPr>
          <w:b/>
          <w:sz w:val="22"/>
          <w:lang w:eastAsia="en-US"/>
        </w:rPr>
      </w:pPr>
      <w:r>
        <w:rPr>
          <w:b/>
          <w:sz w:val="22"/>
          <w:lang w:eastAsia="en-US"/>
        </w:rPr>
        <w:br w:type="page"/>
      </w:r>
    </w:p>
    <w:p w14:paraId="4C252D7D" w14:textId="28DE1A07" w:rsidR="00702853" w:rsidRPr="00A20198" w:rsidRDefault="00A20198" w:rsidP="00A20198">
      <w:pPr>
        <w:spacing w:before="0" w:after="200"/>
        <w:ind w:left="709" w:firstLine="11"/>
        <w:rPr>
          <w:b/>
          <w:sz w:val="22"/>
          <w:lang w:eastAsia="en-US"/>
        </w:rPr>
      </w:pPr>
      <w:r w:rsidRPr="00A20198">
        <w:rPr>
          <w:b/>
          <w:sz w:val="22"/>
          <w:lang w:eastAsia="en-US"/>
        </w:rPr>
        <w:lastRenderedPageBreak/>
        <w:t>Figure 2: Total income breakdown for DCMS-funded cultural institutions over time (current prices)</w:t>
      </w:r>
    </w:p>
    <w:p w14:paraId="081DB153" w14:textId="728504A9" w:rsidR="00A20198" w:rsidRPr="00A20198" w:rsidRDefault="00702853" w:rsidP="00702853">
      <w:pPr>
        <w:ind w:left="0"/>
        <w:rPr>
          <w:rFonts w:cs="Arial"/>
          <w:sz w:val="22"/>
          <w:lang w:eastAsia="en-US"/>
        </w:rPr>
      </w:pPr>
      <w:r>
        <w:rPr>
          <w:noProof/>
        </w:rPr>
        <w:drawing>
          <wp:inline distT="0" distB="0" distL="0" distR="0" wp14:anchorId="7410C8CB" wp14:editId="035093C7">
            <wp:extent cx="6368902" cy="3689498"/>
            <wp:effectExtent l="0" t="0" r="13335"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DB154" w14:textId="77777777" w:rsidR="00A20198" w:rsidRPr="00A20198" w:rsidRDefault="00A20198" w:rsidP="00A20198">
      <w:pPr>
        <w:ind w:left="720"/>
        <w:rPr>
          <w:rFonts w:cs="Arial"/>
          <w:sz w:val="22"/>
          <w:lang w:eastAsia="en-US"/>
        </w:rPr>
      </w:pPr>
    </w:p>
    <w:p w14:paraId="081DB155" w14:textId="49172A28" w:rsidR="00A20198" w:rsidRPr="00A20198" w:rsidRDefault="00A20198" w:rsidP="00A20198">
      <w:pPr>
        <w:spacing w:before="0" w:after="200"/>
        <w:ind w:left="709"/>
        <w:rPr>
          <w:b/>
          <w:sz w:val="22"/>
          <w:lang w:eastAsia="en-US"/>
        </w:rPr>
      </w:pPr>
      <w:r w:rsidRPr="00A20198">
        <w:rPr>
          <w:b/>
          <w:sz w:val="22"/>
          <w:lang w:eastAsia="en-US"/>
        </w:rPr>
        <w:t>Figure 3: Total charitable giving for DCMS-funded cultural institutions 2008/09 - 201</w:t>
      </w:r>
      <w:r w:rsidR="00702853">
        <w:rPr>
          <w:b/>
          <w:sz w:val="22"/>
          <w:lang w:eastAsia="en-US"/>
        </w:rPr>
        <w:t>3</w:t>
      </w:r>
      <w:r w:rsidRPr="00A20198">
        <w:rPr>
          <w:b/>
          <w:sz w:val="22"/>
          <w:lang w:eastAsia="en-US"/>
        </w:rPr>
        <w:t>/1</w:t>
      </w:r>
      <w:r w:rsidR="00702853">
        <w:rPr>
          <w:b/>
          <w:sz w:val="22"/>
          <w:lang w:eastAsia="en-US"/>
        </w:rPr>
        <w:t>4</w:t>
      </w:r>
      <w:r w:rsidRPr="00A20198">
        <w:rPr>
          <w:b/>
          <w:sz w:val="22"/>
          <w:lang w:eastAsia="en-US"/>
        </w:rPr>
        <w:t xml:space="preserve"> (current prices)</w:t>
      </w:r>
    </w:p>
    <w:p w14:paraId="10FEDB09" w14:textId="77777777" w:rsidR="003B6835" w:rsidRDefault="00702853" w:rsidP="003B6835">
      <w:pPr>
        <w:ind w:left="0"/>
        <w:rPr>
          <w:sz w:val="22"/>
          <w:lang w:eastAsia="en-US"/>
        </w:rPr>
      </w:pPr>
      <w:r>
        <w:rPr>
          <w:noProof/>
        </w:rPr>
        <w:drawing>
          <wp:inline distT="0" distB="0" distL="0" distR="0" wp14:anchorId="57F385E1" wp14:editId="1A717DFB">
            <wp:extent cx="6368902" cy="3551274"/>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1DB157" w14:textId="1C25A616" w:rsidR="00A20198" w:rsidRPr="00A20198" w:rsidRDefault="00A20198" w:rsidP="003B6835">
      <w:pPr>
        <w:ind w:left="0"/>
        <w:rPr>
          <w:sz w:val="22"/>
          <w:lang w:eastAsia="en-US"/>
        </w:rPr>
      </w:pPr>
      <w:r w:rsidRPr="00A20198">
        <w:rPr>
          <w:sz w:val="22"/>
          <w:lang w:eastAsia="en-US"/>
        </w:rPr>
        <w:t>Since 2008/09 to 201</w:t>
      </w:r>
      <w:r w:rsidR="00702853">
        <w:rPr>
          <w:sz w:val="22"/>
          <w:lang w:eastAsia="en-US"/>
        </w:rPr>
        <w:t>3</w:t>
      </w:r>
      <w:r w:rsidRPr="00A20198">
        <w:rPr>
          <w:sz w:val="22"/>
          <w:lang w:eastAsia="en-US"/>
        </w:rPr>
        <w:t>/1</w:t>
      </w:r>
      <w:r w:rsidR="00702853">
        <w:rPr>
          <w:sz w:val="22"/>
          <w:lang w:eastAsia="en-US"/>
        </w:rPr>
        <w:t>4</w:t>
      </w:r>
      <w:r w:rsidRPr="00A20198">
        <w:rPr>
          <w:sz w:val="22"/>
          <w:lang w:eastAsia="en-US"/>
        </w:rPr>
        <w:t>, cultural institutions DCMS fund have collectively raised £1</w:t>
      </w:r>
      <w:r w:rsidR="00CB7570">
        <w:rPr>
          <w:sz w:val="22"/>
          <w:lang w:eastAsia="en-US"/>
        </w:rPr>
        <w:t>,</w:t>
      </w:r>
      <w:r w:rsidRPr="00A20198">
        <w:rPr>
          <w:sz w:val="22"/>
          <w:lang w:eastAsia="en-US"/>
        </w:rPr>
        <w:t>49</w:t>
      </w:r>
      <w:r w:rsidR="00CB7570">
        <w:rPr>
          <w:sz w:val="22"/>
          <w:lang w:eastAsia="en-US"/>
        </w:rPr>
        <w:t>4</w:t>
      </w:r>
      <w:r w:rsidRPr="00A20198">
        <w:rPr>
          <w:sz w:val="22"/>
          <w:lang w:eastAsia="en-US"/>
        </w:rPr>
        <w:t xml:space="preserve">m in fundraising/contributed income. </w:t>
      </w:r>
      <w:r w:rsidRPr="00A20198">
        <w:rPr>
          <w:sz w:val="22"/>
          <w:lang w:eastAsia="en-US"/>
        </w:rPr>
        <w:br/>
        <w:t xml:space="preserve"> </w:t>
      </w:r>
    </w:p>
    <w:p w14:paraId="081DB158" w14:textId="77777777" w:rsidR="00A20198" w:rsidRPr="00A20198" w:rsidRDefault="00A20198" w:rsidP="00A20198">
      <w:pPr>
        <w:keepNext/>
        <w:pageBreakBefore/>
        <w:pBdr>
          <w:bottom w:val="single" w:sz="4" w:space="6" w:color="auto"/>
        </w:pBdr>
        <w:spacing w:before="1200" w:after="480"/>
        <w:ind w:left="0"/>
        <w:outlineLvl w:val="0"/>
        <w:rPr>
          <w:sz w:val="56"/>
          <w:lang w:eastAsia="en-US"/>
        </w:rPr>
      </w:pPr>
      <w:bookmarkStart w:id="3" w:name="_Toc351365164"/>
      <w:r w:rsidRPr="00A20198">
        <w:rPr>
          <w:sz w:val="56"/>
          <w:lang w:eastAsia="en-US"/>
        </w:rPr>
        <w:lastRenderedPageBreak/>
        <w:t xml:space="preserve">Annex A: </w:t>
      </w:r>
      <w:bookmarkStart w:id="4" w:name="annex"/>
      <w:r w:rsidRPr="00A20198">
        <w:rPr>
          <w:sz w:val="56"/>
          <w:lang w:eastAsia="en-US"/>
        </w:rPr>
        <w:t xml:space="preserve">Technical </w:t>
      </w:r>
      <w:bookmarkEnd w:id="4"/>
      <w:r w:rsidRPr="00A20198">
        <w:rPr>
          <w:sz w:val="56"/>
          <w:lang w:eastAsia="en-US"/>
        </w:rPr>
        <w:t>Note</w:t>
      </w:r>
      <w:bookmarkEnd w:id="3"/>
      <w:r w:rsidRPr="00A20198">
        <w:rPr>
          <w:sz w:val="56"/>
          <w:lang w:eastAsia="en-US"/>
        </w:rPr>
        <w:t xml:space="preserve"> </w:t>
      </w:r>
    </w:p>
    <w:p w14:paraId="081DB159" w14:textId="4AEDFAFA" w:rsidR="00A20198" w:rsidRPr="00A20198" w:rsidRDefault="00A20198" w:rsidP="00A20198">
      <w:pPr>
        <w:numPr>
          <w:ilvl w:val="0"/>
          <w:numId w:val="12"/>
        </w:numPr>
        <w:spacing w:before="0"/>
        <w:ind w:left="1080"/>
        <w:contextualSpacing/>
        <w:rPr>
          <w:rFonts w:cs="Arial"/>
          <w:sz w:val="22"/>
          <w:szCs w:val="22"/>
        </w:rPr>
      </w:pPr>
      <w:r w:rsidRPr="00A20198">
        <w:rPr>
          <w:rFonts w:cs="Arial"/>
          <w:sz w:val="22"/>
          <w:szCs w:val="22"/>
        </w:rPr>
        <w:t>Charitable Giving Indicators is a</w:t>
      </w:r>
      <w:r w:rsidR="00BC15A7">
        <w:rPr>
          <w:rFonts w:cs="Arial"/>
          <w:sz w:val="22"/>
          <w:szCs w:val="22"/>
        </w:rPr>
        <w:t>n Official Statistic and</w:t>
      </w:r>
      <w:r w:rsidRPr="00A20198">
        <w:rPr>
          <w:rFonts w:cs="Arial"/>
          <w:sz w:val="22"/>
          <w:szCs w:val="22"/>
        </w:rPr>
        <w:t xml:space="preserve"> has been produced to the high professional standards set out in the Code of Practice for Official Statistics. For more information, see </w:t>
      </w:r>
      <w:hyperlink r:id="rId17" w:history="1">
        <w:r w:rsidRPr="00A20198">
          <w:rPr>
            <w:rFonts w:cs="Arial"/>
            <w:color w:val="0000FF"/>
            <w:sz w:val="22"/>
            <w:szCs w:val="22"/>
            <w:u w:val="single"/>
          </w:rPr>
          <w:t>http://www.statisticsauthority.gov.uk/assessment/code-of-practice/code-of-practice-for-official-statistics.pdf</w:t>
        </w:r>
      </w:hyperlink>
      <w:r w:rsidRPr="00A20198">
        <w:rPr>
          <w:rFonts w:cs="Arial"/>
          <w:sz w:val="22"/>
          <w:szCs w:val="22"/>
        </w:rPr>
        <w:t xml:space="preserve">. </w:t>
      </w:r>
    </w:p>
    <w:p w14:paraId="081DB15A" w14:textId="77777777" w:rsidR="00A20198" w:rsidRPr="00A20198" w:rsidRDefault="00A20198" w:rsidP="00A20198">
      <w:pPr>
        <w:spacing w:before="0"/>
        <w:ind w:left="1080"/>
        <w:contextualSpacing/>
        <w:rPr>
          <w:rFonts w:cs="Arial"/>
          <w:sz w:val="22"/>
          <w:szCs w:val="22"/>
        </w:rPr>
      </w:pPr>
    </w:p>
    <w:p w14:paraId="081DB15B" w14:textId="77777777" w:rsidR="00A20198" w:rsidRPr="00A20198" w:rsidRDefault="00A20198" w:rsidP="00A20198">
      <w:pPr>
        <w:numPr>
          <w:ilvl w:val="0"/>
          <w:numId w:val="12"/>
        </w:numPr>
        <w:spacing w:before="0"/>
        <w:ind w:left="1080"/>
        <w:contextualSpacing/>
        <w:rPr>
          <w:rFonts w:cs="Arial"/>
          <w:sz w:val="22"/>
          <w:szCs w:val="22"/>
        </w:rPr>
      </w:pPr>
      <w:r w:rsidRPr="00A20198">
        <w:rPr>
          <w:rFonts w:cs="Arial"/>
          <w:sz w:val="22"/>
          <w:szCs w:val="22"/>
        </w:rPr>
        <w:t xml:space="preserve">Charitable Giving Indicators are part of a series of DCMS Performance Indicators. These are split into input and impact indicators. Impact indicators give information on the outcomes of our work. </w:t>
      </w:r>
    </w:p>
    <w:p w14:paraId="081DB15C" w14:textId="77777777" w:rsidR="00A20198" w:rsidRPr="00A20198" w:rsidRDefault="00A20198" w:rsidP="00A20198">
      <w:pPr>
        <w:spacing w:before="0"/>
        <w:ind w:left="1080"/>
        <w:contextualSpacing/>
        <w:rPr>
          <w:rFonts w:cs="Arial"/>
          <w:sz w:val="22"/>
          <w:szCs w:val="22"/>
        </w:rPr>
      </w:pPr>
    </w:p>
    <w:p w14:paraId="081DB15D" w14:textId="14B91FB0" w:rsidR="00A20198" w:rsidRPr="00A20198" w:rsidRDefault="00A20198" w:rsidP="00A20198">
      <w:pPr>
        <w:spacing w:before="0"/>
        <w:ind w:left="1080"/>
        <w:contextualSpacing/>
        <w:rPr>
          <w:rFonts w:cs="Arial"/>
          <w:sz w:val="22"/>
          <w:szCs w:val="22"/>
        </w:rPr>
      </w:pPr>
      <w:r w:rsidRPr="00A20198">
        <w:rPr>
          <w:rFonts w:cs="Arial"/>
          <w:sz w:val="22"/>
          <w:szCs w:val="22"/>
        </w:rPr>
        <w:t>Input indicators show what is being ‘bought’ with public money, ie the resources being invested into delivering the results that we and our partners are aiming to achieve.</w:t>
      </w:r>
      <w:r w:rsidR="0086509D">
        <w:rPr>
          <w:rFonts w:cs="Arial"/>
          <w:sz w:val="22"/>
          <w:szCs w:val="22"/>
        </w:rPr>
        <w:t xml:space="preserve"> </w:t>
      </w:r>
      <w:r w:rsidRPr="00A20198">
        <w:rPr>
          <w:rFonts w:cs="Arial"/>
          <w:sz w:val="22"/>
          <w:szCs w:val="22"/>
        </w:rPr>
        <w:t xml:space="preserve">They reflect the quality and effectiveness of the programmes and priorities set out in our business plan see </w:t>
      </w:r>
      <w:hyperlink r:id="rId18" w:history="1">
        <w:r w:rsidRPr="00A20198">
          <w:rPr>
            <w:color w:val="0000FF"/>
            <w:sz w:val="22"/>
            <w:szCs w:val="22"/>
            <w:u w:val="single"/>
          </w:rPr>
          <w:t>https://www.gov.uk/government/organisations/department-for-culture-media-sport/series/performance-indicators</w:t>
        </w:r>
      </w:hyperlink>
    </w:p>
    <w:p w14:paraId="081DB15E" w14:textId="77777777" w:rsidR="00A20198" w:rsidRPr="00A20198" w:rsidRDefault="00A20198" w:rsidP="00A20198">
      <w:pPr>
        <w:spacing w:before="0" w:after="200"/>
        <w:ind w:left="1080"/>
        <w:rPr>
          <w:sz w:val="22"/>
          <w:szCs w:val="22"/>
          <w:lang w:eastAsia="en-US"/>
        </w:rPr>
      </w:pPr>
    </w:p>
    <w:p w14:paraId="081DB15F" w14:textId="77777777" w:rsidR="00A20198" w:rsidRPr="00A20198" w:rsidRDefault="00A20198" w:rsidP="00A20198">
      <w:pPr>
        <w:spacing w:before="0" w:after="200"/>
        <w:ind w:left="720"/>
        <w:rPr>
          <w:sz w:val="22"/>
          <w:lang w:eastAsia="en-US"/>
        </w:rPr>
      </w:pPr>
      <w:r w:rsidRPr="00A20198">
        <w:rPr>
          <w:b/>
          <w:lang w:eastAsia="en-US"/>
        </w:rPr>
        <w:t>3. Definition</w:t>
      </w:r>
    </w:p>
    <w:p w14:paraId="081DB160" w14:textId="77777777" w:rsidR="00A20198" w:rsidRPr="00A20198" w:rsidRDefault="00A20198" w:rsidP="00A20198">
      <w:pPr>
        <w:spacing w:before="0"/>
        <w:ind w:left="720"/>
        <w:rPr>
          <w:sz w:val="22"/>
          <w:szCs w:val="22"/>
          <w:lang w:eastAsia="en-US"/>
        </w:rPr>
      </w:pPr>
      <w:r w:rsidRPr="00A20198">
        <w:rPr>
          <w:sz w:val="22"/>
          <w:lang w:eastAsia="en-US"/>
        </w:rPr>
        <w:t>Fundraising/contributed income is defined as any money or gift received from an individual, charity or private company in one of the following forms: bequests, legacies, donations and capital grants from individuals, charities, foundations, trusts and private companies; income raised through sponsorship and income from membership schemes. This does not include any money received from a publicly funded organisation, central government grants, investment income or lottery grant funding</w:t>
      </w:r>
      <w:r w:rsidRPr="00A20198">
        <w:rPr>
          <w:sz w:val="22"/>
          <w:szCs w:val="22"/>
          <w:lang w:eastAsia="en-US"/>
        </w:rPr>
        <w:t>.</w:t>
      </w:r>
    </w:p>
    <w:p w14:paraId="081DB161" w14:textId="77777777" w:rsidR="00A20198" w:rsidRPr="00A20198" w:rsidRDefault="00A20198" w:rsidP="00A20198">
      <w:pPr>
        <w:ind w:left="0" w:firstLine="720"/>
        <w:rPr>
          <w:color w:val="000000"/>
          <w:sz w:val="22"/>
          <w:szCs w:val="22"/>
          <w:lang w:eastAsia="en-US"/>
        </w:rPr>
      </w:pPr>
      <w:r w:rsidRPr="00A20198">
        <w:rPr>
          <w:color w:val="000000"/>
          <w:sz w:val="22"/>
          <w:szCs w:val="22"/>
          <w:lang w:eastAsia="en-US"/>
        </w:rPr>
        <w:t>We have summarised this in the table below:</w:t>
      </w:r>
    </w:p>
    <w:tbl>
      <w:tblPr>
        <w:tblW w:w="0" w:type="auto"/>
        <w:tblInd w:w="817" w:type="dxa"/>
        <w:tblCellMar>
          <w:left w:w="0" w:type="dxa"/>
          <w:right w:w="0" w:type="dxa"/>
        </w:tblCellMar>
        <w:tblLook w:val="04A0" w:firstRow="1" w:lastRow="0" w:firstColumn="1" w:lastColumn="0" w:noHBand="0" w:noVBand="1"/>
      </w:tblPr>
      <w:tblGrid>
        <w:gridCol w:w="5670"/>
        <w:gridCol w:w="3260"/>
      </w:tblGrid>
      <w:tr w:rsidR="00A20198" w:rsidRPr="00A20198" w14:paraId="081DB164" w14:textId="77777777" w:rsidTr="00FA37B1">
        <w:trPr>
          <w:trHeight w:val="294"/>
        </w:trPr>
        <w:tc>
          <w:tcPr>
            <w:tcW w:w="567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2"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Donations, legacies, bequests and similar income</w:t>
            </w:r>
          </w:p>
        </w:tc>
        <w:tc>
          <w:tcPr>
            <w:tcW w:w="3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1DB163"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67"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5"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Donated objects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6"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  but identified separately</w:t>
            </w:r>
          </w:p>
        </w:tc>
      </w:tr>
      <w:tr w:rsidR="00A20198" w:rsidRPr="00A20198" w14:paraId="081DB16A"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8"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Trading income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9"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Not Included*</w:t>
            </w:r>
          </w:p>
        </w:tc>
      </w:tr>
      <w:tr w:rsidR="00A20198" w:rsidRPr="00A20198" w14:paraId="081DB16D"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B"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Sponsorship</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C"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70"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E"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Investment income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F"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3"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1"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Admissions &amp; exhibition fees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2"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6"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4"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Other income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5"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9"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7"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Development funds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8"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C"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A"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Donations from connected charities + Other donations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B"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7F"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D"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Capital grants and donations (not from public bodies)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E"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82"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80"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Membership schemes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81"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85" w14:textId="77777777" w:rsidTr="00FA37B1">
        <w:trPr>
          <w:trHeight w:val="311"/>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83"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Activities for generating funds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84"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Not Included*</w:t>
            </w:r>
          </w:p>
        </w:tc>
      </w:tr>
    </w:tbl>
    <w:p w14:paraId="081DB186" w14:textId="77777777" w:rsidR="00A20198" w:rsidRPr="00A20198" w:rsidRDefault="00A20198" w:rsidP="00A20198">
      <w:pPr>
        <w:ind w:left="0" w:firstLine="720"/>
        <w:rPr>
          <w:sz w:val="22"/>
          <w:lang w:eastAsia="en-US"/>
        </w:rPr>
      </w:pPr>
      <w:r w:rsidRPr="00A20198">
        <w:rPr>
          <w:sz w:val="22"/>
          <w:lang w:eastAsia="en-US"/>
        </w:rPr>
        <w:lastRenderedPageBreak/>
        <w:t>*All “not included” would be categorised as other income in Figure 1.</w:t>
      </w:r>
    </w:p>
    <w:p w14:paraId="081DB188" w14:textId="77777777" w:rsidR="00A20198" w:rsidRPr="00A20198" w:rsidRDefault="00A20198" w:rsidP="00A20198">
      <w:pPr>
        <w:ind w:left="720"/>
        <w:rPr>
          <w:b/>
          <w:lang w:eastAsia="en-US"/>
        </w:rPr>
      </w:pPr>
      <w:r w:rsidRPr="00A20198">
        <w:rPr>
          <w:b/>
          <w:lang w:eastAsia="en-US"/>
        </w:rPr>
        <w:t xml:space="preserve">Cultural Institutions Included in the Indicator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A20198" w:rsidRPr="00A20198" w14:paraId="081DB18C" w14:textId="77777777" w:rsidTr="00FA37B1">
        <w:trPr>
          <w:trHeight w:val="402"/>
        </w:trPr>
        <w:tc>
          <w:tcPr>
            <w:tcW w:w="4536" w:type="dxa"/>
            <w:shd w:val="clear" w:color="auto" w:fill="auto"/>
            <w:vAlign w:val="center"/>
            <w:hideMark/>
          </w:tcPr>
          <w:p w14:paraId="081DB18A" w14:textId="77777777" w:rsidR="00A20198" w:rsidRPr="00A20198" w:rsidRDefault="00A20198" w:rsidP="00A20198">
            <w:pPr>
              <w:spacing w:before="0"/>
              <w:ind w:left="0"/>
              <w:rPr>
                <w:rFonts w:cs="Arial"/>
                <w:sz w:val="22"/>
                <w:szCs w:val="22"/>
              </w:rPr>
            </w:pPr>
            <w:r w:rsidRPr="00A20198">
              <w:rPr>
                <w:rFonts w:cs="Arial"/>
                <w:sz w:val="22"/>
                <w:szCs w:val="22"/>
              </w:rPr>
              <w:t>British Museum</w:t>
            </w:r>
          </w:p>
        </w:tc>
        <w:tc>
          <w:tcPr>
            <w:tcW w:w="4394" w:type="dxa"/>
            <w:vAlign w:val="center"/>
          </w:tcPr>
          <w:p w14:paraId="081DB18B" w14:textId="77777777" w:rsidR="00A20198" w:rsidRPr="00A20198" w:rsidRDefault="00A20198" w:rsidP="00A20198">
            <w:pPr>
              <w:spacing w:before="0"/>
              <w:ind w:left="0"/>
              <w:rPr>
                <w:rFonts w:cs="Arial"/>
                <w:sz w:val="22"/>
                <w:szCs w:val="22"/>
              </w:rPr>
            </w:pPr>
            <w:r w:rsidRPr="00A20198">
              <w:rPr>
                <w:rFonts w:cs="Arial"/>
                <w:sz w:val="22"/>
                <w:szCs w:val="22"/>
              </w:rPr>
              <w:t>Royal Armouries</w:t>
            </w:r>
          </w:p>
        </w:tc>
      </w:tr>
      <w:tr w:rsidR="00A20198" w:rsidRPr="00A20198" w14:paraId="081DB18F" w14:textId="77777777" w:rsidTr="00FA37B1">
        <w:trPr>
          <w:trHeight w:val="442"/>
        </w:trPr>
        <w:tc>
          <w:tcPr>
            <w:tcW w:w="4536" w:type="dxa"/>
            <w:shd w:val="clear" w:color="auto" w:fill="auto"/>
            <w:vAlign w:val="center"/>
            <w:hideMark/>
          </w:tcPr>
          <w:p w14:paraId="081DB18D" w14:textId="77777777" w:rsidR="00A20198" w:rsidRPr="00A20198" w:rsidRDefault="00A20198" w:rsidP="00A20198">
            <w:pPr>
              <w:spacing w:before="0"/>
              <w:ind w:left="0"/>
              <w:rPr>
                <w:rFonts w:cs="Arial"/>
                <w:sz w:val="22"/>
                <w:szCs w:val="22"/>
              </w:rPr>
            </w:pPr>
            <w:r w:rsidRPr="00A20198">
              <w:rPr>
                <w:rFonts w:cs="Arial"/>
                <w:sz w:val="22"/>
                <w:szCs w:val="22"/>
              </w:rPr>
              <w:t>Geffrye Museum</w:t>
            </w:r>
          </w:p>
        </w:tc>
        <w:tc>
          <w:tcPr>
            <w:tcW w:w="4394" w:type="dxa"/>
            <w:vAlign w:val="center"/>
          </w:tcPr>
          <w:p w14:paraId="081DB18E" w14:textId="77777777" w:rsidR="00A20198" w:rsidRPr="00A20198" w:rsidRDefault="00A20198" w:rsidP="00A20198">
            <w:pPr>
              <w:spacing w:before="0"/>
              <w:ind w:left="0"/>
              <w:rPr>
                <w:rFonts w:cs="Arial"/>
                <w:sz w:val="22"/>
                <w:szCs w:val="22"/>
              </w:rPr>
            </w:pPr>
            <w:r w:rsidRPr="00A20198">
              <w:rPr>
                <w:rFonts w:cs="Arial"/>
                <w:sz w:val="22"/>
                <w:szCs w:val="22"/>
              </w:rPr>
              <w:t>Sir John Soane's Museum</w:t>
            </w:r>
          </w:p>
        </w:tc>
      </w:tr>
      <w:tr w:rsidR="00A20198" w:rsidRPr="00A20198" w14:paraId="081DB192" w14:textId="77777777" w:rsidTr="00FA37B1">
        <w:trPr>
          <w:trHeight w:val="402"/>
        </w:trPr>
        <w:tc>
          <w:tcPr>
            <w:tcW w:w="4536" w:type="dxa"/>
            <w:shd w:val="clear" w:color="auto" w:fill="auto"/>
            <w:vAlign w:val="center"/>
            <w:hideMark/>
          </w:tcPr>
          <w:p w14:paraId="081DB190" w14:textId="77777777" w:rsidR="00A20198" w:rsidRPr="00A20198" w:rsidRDefault="00A20198" w:rsidP="00A20198">
            <w:pPr>
              <w:spacing w:before="0"/>
              <w:ind w:left="0"/>
              <w:rPr>
                <w:rFonts w:cs="Arial"/>
                <w:sz w:val="22"/>
                <w:szCs w:val="22"/>
              </w:rPr>
            </w:pPr>
            <w:r w:rsidRPr="00A20198">
              <w:rPr>
                <w:rFonts w:cs="Arial"/>
                <w:sz w:val="22"/>
                <w:szCs w:val="22"/>
              </w:rPr>
              <w:t>Horniman Museum</w:t>
            </w:r>
          </w:p>
        </w:tc>
        <w:tc>
          <w:tcPr>
            <w:tcW w:w="4394" w:type="dxa"/>
            <w:vAlign w:val="center"/>
          </w:tcPr>
          <w:p w14:paraId="081DB191" w14:textId="77777777" w:rsidR="00A20198" w:rsidRPr="00A20198" w:rsidRDefault="00A20198" w:rsidP="00A20198">
            <w:pPr>
              <w:spacing w:before="0"/>
              <w:ind w:left="0"/>
              <w:rPr>
                <w:rFonts w:cs="Arial"/>
                <w:sz w:val="22"/>
                <w:szCs w:val="22"/>
              </w:rPr>
            </w:pPr>
            <w:r w:rsidRPr="00A20198">
              <w:rPr>
                <w:rFonts w:cs="Arial"/>
                <w:sz w:val="22"/>
                <w:szCs w:val="22"/>
              </w:rPr>
              <w:t>Tate Gallery</w:t>
            </w:r>
          </w:p>
        </w:tc>
      </w:tr>
      <w:tr w:rsidR="00A20198" w:rsidRPr="00A20198" w14:paraId="081DB195" w14:textId="77777777" w:rsidTr="00FA37B1">
        <w:trPr>
          <w:trHeight w:val="402"/>
        </w:trPr>
        <w:tc>
          <w:tcPr>
            <w:tcW w:w="4536" w:type="dxa"/>
            <w:shd w:val="clear" w:color="auto" w:fill="auto"/>
            <w:vAlign w:val="center"/>
            <w:hideMark/>
          </w:tcPr>
          <w:p w14:paraId="081DB193" w14:textId="77777777" w:rsidR="00A20198" w:rsidRPr="00A20198" w:rsidRDefault="00A20198" w:rsidP="00A20198">
            <w:pPr>
              <w:spacing w:before="0"/>
              <w:ind w:left="0"/>
              <w:rPr>
                <w:rFonts w:cs="Arial"/>
                <w:sz w:val="22"/>
                <w:szCs w:val="22"/>
              </w:rPr>
            </w:pPr>
            <w:r w:rsidRPr="00A20198">
              <w:rPr>
                <w:rFonts w:cs="Arial"/>
                <w:sz w:val="22"/>
                <w:szCs w:val="22"/>
              </w:rPr>
              <w:t xml:space="preserve">Imperial War Museum </w:t>
            </w:r>
          </w:p>
        </w:tc>
        <w:tc>
          <w:tcPr>
            <w:tcW w:w="4394" w:type="dxa"/>
            <w:vAlign w:val="center"/>
          </w:tcPr>
          <w:p w14:paraId="081DB194" w14:textId="77777777" w:rsidR="00A20198" w:rsidRPr="00A20198" w:rsidRDefault="00A20198" w:rsidP="00A20198">
            <w:pPr>
              <w:spacing w:before="0"/>
              <w:ind w:left="0"/>
              <w:rPr>
                <w:rFonts w:cs="Arial"/>
                <w:sz w:val="22"/>
                <w:szCs w:val="22"/>
              </w:rPr>
            </w:pPr>
            <w:r w:rsidRPr="00A20198">
              <w:rPr>
                <w:rFonts w:cs="Arial"/>
                <w:sz w:val="22"/>
                <w:szCs w:val="22"/>
              </w:rPr>
              <w:t xml:space="preserve">Victoria and Albert Museum </w:t>
            </w:r>
          </w:p>
        </w:tc>
      </w:tr>
      <w:tr w:rsidR="00A20198" w:rsidRPr="00A20198" w14:paraId="081DB198" w14:textId="77777777" w:rsidTr="00FA37B1">
        <w:trPr>
          <w:trHeight w:val="402"/>
        </w:trPr>
        <w:tc>
          <w:tcPr>
            <w:tcW w:w="4536" w:type="dxa"/>
            <w:shd w:val="clear" w:color="auto" w:fill="auto"/>
            <w:vAlign w:val="center"/>
            <w:hideMark/>
          </w:tcPr>
          <w:p w14:paraId="081DB196" w14:textId="77777777" w:rsidR="00A20198" w:rsidRPr="00A20198" w:rsidRDefault="00A20198" w:rsidP="00A20198">
            <w:pPr>
              <w:spacing w:before="0"/>
              <w:ind w:left="0"/>
              <w:rPr>
                <w:rFonts w:cs="Arial"/>
                <w:sz w:val="22"/>
                <w:szCs w:val="22"/>
              </w:rPr>
            </w:pPr>
            <w:r w:rsidRPr="00A20198">
              <w:rPr>
                <w:rFonts w:cs="Arial"/>
                <w:sz w:val="22"/>
                <w:szCs w:val="22"/>
              </w:rPr>
              <w:t xml:space="preserve">National Gallery </w:t>
            </w:r>
          </w:p>
        </w:tc>
        <w:tc>
          <w:tcPr>
            <w:tcW w:w="4394" w:type="dxa"/>
            <w:vAlign w:val="center"/>
          </w:tcPr>
          <w:p w14:paraId="081DB197" w14:textId="77777777" w:rsidR="00A20198" w:rsidRPr="00A20198" w:rsidRDefault="00A20198" w:rsidP="00A20198">
            <w:pPr>
              <w:spacing w:before="0"/>
              <w:ind w:left="0"/>
              <w:rPr>
                <w:rFonts w:cs="Arial"/>
                <w:sz w:val="22"/>
                <w:szCs w:val="22"/>
              </w:rPr>
            </w:pPr>
            <w:r w:rsidRPr="00A20198">
              <w:rPr>
                <w:rFonts w:cs="Arial"/>
                <w:sz w:val="22"/>
                <w:szCs w:val="22"/>
              </w:rPr>
              <w:t>Wallace Collection</w:t>
            </w:r>
          </w:p>
        </w:tc>
      </w:tr>
      <w:tr w:rsidR="00A20198" w:rsidRPr="00A20198" w14:paraId="081DB19B" w14:textId="77777777" w:rsidTr="00FA37B1">
        <w:trPr>
          <w:trHeight w:val="402"/>
        </w:trPr>
        <w:tc>
          <w:tcPr>
            <w:tcW w:w="4536" w:type="dxa"/>
            <w:shd w:val="clear" w:color="auto" w:fill="auto"/>
            <w:vAlign w:val="center"/>
            <w:hideMark/>
          </w:tcPr>
          <w:p w14:paraId="081DB199" w14:textId="77777777" w:rsidR="00A20198" w:rsidRPr="00A20198" w:rsidRDefault="00A20198" w:rsidP="00A20198">
            <w:pPr>
              <w:spacing w:before="0"/>
              <w:ind w:left="0"/>
              <w:rPr>
                <w:rFonts w:cs="Arial"/>
                <w:sz w:val="22"/>
                <w:szCs w:val="22"/>
              </w:rPr>
            </w:pPr>
            <w:r w:rsidRPr="00A20198">
              <w:rPr>
                <w:rFonts w:cs="Arial"/>
                <w:sz w:val="22"/>
                <w:szCs w:val="22"/>
              </w:rPr>
              <w:t xml:space="preserve">National Maritime Museum </w:t>
            </w:r>
          </w:p>
        </w:tc>
        <w:tc>
          <w:tcPr>
            <w:tcW w:w="4394" w:type="dxa"/>
            <w:vAlign w:val="center"/>
          </w:tcPr>
          <w:p w14:paraId="081DB19A" w14:textId="77777777" w:rsidR="00A20198" w:rsidRPr="00A20198" w:rsidRDefault="00A20198" w:rsidP="00A20198">
            <w:pPr>
              <w:spacing w:before="0"/>
              <w:ind w:left="0"/>
              <w:rPr>
                <w:rFonts w:cs="Arial"/>
                <w:sz w:val="22"/>
                <w:szCs w:val="22"/>
              </w:rPr>
            </w:pPr>
            <w:r w:rsidRPr="00A20198">
              <w:rPr>
                <w:rFonts w:cs="Arial"/>
                <w:sz w:val="22"/>
                <w:szCs w:val="22"/>
              </w:rPr>
              <w:t>English Heritage</w:t>
            </w:r>
          </w:p>
        </w:tc>
      </w:tr>
      <w:tr w:rsidR="00A20198" w:rsidRPr="00A20198" w14:paraId="081DB19E" w14:textId="77777777" w:rsidTr="00FA37B1">
        <w:trPr>
          <w:trHeight w:val="402"/>
        </w:trPr>
        <w:tc>
          <w:tcPr>
            <w:tcW w:w="4536" w:type="dxa"/>
            <w:shd w:val="clear" w:color="auto" w:fill="auto"/>
            <w:vAlign w:val="center"/>
            <w:hideMark/>
          </w:tcPr>
          <w:p w14:paraId="081DB19C" w14:textId="77777777" w:rsidR="00A20198" w:rsidRPr="00A20198" w:rsidRDefault="00A20198" w:rsidP="00A20198">
            <w:pPr>
              <w:spacing w:before="0"/>
              <w:ind w:left="0"/>
              <w:rPr>
                <w:rFonts w:cs="Arial"/>
                <w:sz w:val="22"/>
                <w:szCs w:val="22"/>
              </w:rPr>
            </w:pPr>
            <w:r w:rsidRPr="00A20198">
              <w:rPr>
                <w:rFonts w:cs="Arial"/>
                <w:sz w:val="22"/>
                <w:szCs w:val="22"/>
              </w:rPr>
              <w:t>National Museums Liverpool</w:t>
            </w:r>
          </w:p>
        </w:tc>
        <w:tc>
          <w:tcPr>
            <w:tcW w:w="4394" w:type="dxa"/>
            <w:vAlign w:val="center"/>
          </w:tcPr>
          <w:p w14:paraId="081DB19D" w14:textId="77777777" w:rsidR="00A20198" w:rsidRPr="00A20198" w:rsidRDefault="00A20198" w:rsidP="00A20198">
            <w:pPr>
              <w:spacing w:before="0"/>
              <w:ind w:left="0"/>
              <w:rPr>
                <w:rFonts w:cs="Arial"/>
                <w:sz w:val="22"/>
                <w:szCs w:val="22"/>
              </w:rPr>
            </w:pPr>
            <w:r w:rsidRPr="00A20198">
              <w:rPr>
                <w:rFonts w:cs="Arial"/>
                <w:sz w:val="22"/>
                <w:szCs w:val="22"/>
              </w:rPr>
              <w:t>British Library</w:t>
            </w:r>
          </w:p>
        </w:tc>
      </w:tr>
      <w:tr w:rsidR="00A20198" w:rsidRPr="00A20198" w14:paraId="081DB1A1" w14:textId="77777777" w:rsidTr="00FA37B1">
        <w:trPr>
          <w:trHeight w:val="605"/>
        </w:trPr>
        <w:tc>
          <w:tcPr>
            <w:tcW w:w="4536" w:type="dxa"/>
            <w:shd w:val="clear" w:color="auto" w:fill="auto"/>
            <w:vAlign w:val="center"/>
            <w:hideMark/>
          </w:tcPr>
          <w:p w14:paraId="081DB19F" w14:textId="77777777" w:rsidR="00A20198" w:rsidRPr="00A20198" w:rsidRDefault="00A20198" w:rsidP="00A20198">
            <w:pPr>
              <w:spacing w:before="0"/>
              <w:ind w:left="0"/>
              <w:rPr>
                <w:rFonts w:cs="Arial"/>
                <w:sz w:val="22"/>
                <w:szCs w:val="22"/>
              </w:rPr>
            </w:pPr>
            <w:r w:rsidRPr="00A20198">
              <w:rPr>
                <w:rFonts w:cs="Arial"/>
                <w:sz w:val="22"/>
                <w:szCs w:val="22"/>
              </w:rPr>
              <w:t>Science Museum Group</w:t>
            </w:r>
          </w:p>
        </w:tc>
        <w:tc>
          <w:tcPr>
            <w:tcW w:w="4394" w:type="dxa"/>
            <w:vAlign w:val="center"/>
          </w:tcPr>
          <w:p w14:paraId="081DB1A0" w14:textId="77777777" w:rsidR="00A20198" w:rsidRPr="00A20198" w:rsidRDefault="00A20198" w:rsidP="00A20198">
            <w:pPr>
              <w:spacing w:before="0"/>
              <w:ind w:left="0"/>
              <w:rPr>
                <w:rFonts w:cs="Arial"/>
                <w:sz w:val="22"/>
                <w:szCs w:val="22"/>
              </w:rPr>
            </w:pPr>
            <w:r w:rsidRPr="00A20198">
              <w:rPr>
                <w:rFonts w:cs="Arial"/>
                <w:sz w:val="22"/>
                <w:szCs w:val="22"/>
              </w:rPr>
              <w:t>Arts Council England Regularly Funded Organisations</w:t>
            </w:r>
          </w:p>
        </w:tc>
      </w:tr>
      <w:tr w:rsidR="00A20198" w:rsidRPr="00A20198" w14:paraId="081DB1A4" w14:textId="77777777" w:rsidTr="00FA37B1">
        <w:trPr>
          <w:trHeight w:val="402"/>
        </w:trPr>
        <w:tc>
          <w:tcPr>
            <w:tcW w:w="4536" w:type="dxa"/>
            <w:shd w:val="clear" w:color="auto" w:fill="auto"/>
            <w:vAlign w:val="center"/>
          </w:tcPr>
          <w:p w14:paraId="081DB1A2" w14:textId="77777777" w:rsidR="00A20198" w:rsidRPr="00A20198" w:rsidRDefault="00A20198" w:rsidP="00A20198">
            <w:pPr>
              <w:spacing w:before="0"/>
              <w:ind w:left="0"/>
              <w:rPr>
                <w:rFonts w:cs="Arial"/>
                <w:sz w:val="22"/>
                <w:szCs w:val="22"/>
              </w:rPr>
            </w:pPr>
            <w:r w:rsidRPr="00A20198">
              <w:rPr>
                <w:rFonts w:cs="Arial"/>
                <w:sz w:val="22"/>
                <w:szCs w:val="22"/>
              </w:rPr>
              <w:t>National Portrait Gallery</w:t>
            </w:r>
          </w:p>
        </w:tc>
        <w:tc>
          <w:tcPr>
            <w:tcW w:w="4394" w:type="dxa"/>
            <w:vAlign w:val="center"/>
          </w:tcPr>
          <w:p w14:paraId="081DB1A3" w14:textId="77777777" w:rsidR="00A20198" w:rsidRPr="00A20198" w:rsidRDefault="00A20198" w:rsidP="00A20198">
            <w:pPr>
              <w:spacing w:before="0"/>
              <w:ind w:left="0"/>
              <w:rPr>
                <w:rFonts w:cs="Arial"/>
                <w:sz w:val="22"/>
                <w:szCs w:val="22"/>
              </w:rPr>
            </w:pPr>
            <w:r w:rsidRPr="00A20198">
              <w:rPr>
                <w:rFonts w:cs="Arial"/>
                <w:sz w:val="22"/>
                <w:szCs w:val="22"/>
              </w:rPr>
              <w:t>Arts Council England</w:t>
            </w:r>
          </w:p>
        </w:tc>
      </w:tr>
      <w:tr w:rsidR="00A20198" w:rsidRPr="00A20198" w14:paraId="081DB1A7" w14:textId="77777777" w:rsidTr="00FA37B1">
        <w:trPr>
          <w:trHeight w:val="402"/>
        </w:trPr>
        <w:tc>
          <w:tcPr>
            <w:tcW w:w="4536" w:type="dxa"/>
            <w:shd w:val="clear" w:color="auto" w:fill="auto"/>
            <w:vAlign w:val="center"/>
          </w:tcPr>
          <w:p w14:paraId="081DB1A5" w14:textId="77777777" w:rsidR="00A20198" w:rsidRPr="00A20198" w:rsidRDefault="00A20198" w:rsidP="00A20198">
            <w:pPr>
              <w:spacing w:before="0"/>
              <w:ind w:left="0"/>
              <w:rPr>
                <w:rFonts w:cs="Arial"/>
                <w:sz w:val="22"/>
                <w:szCs w:val="22"/>
              </w:rPr>
            </w:pPr>
            <w:r w:rsidRPr="00A20198">
              <w:rPr>
                <w:rFonts w:cs="Arial"/>
                <w:sz w:val="22"/>
                <w:szCs w:val="22"/>
              </w:rPr>
              <w:t>Natural History Museum</w:t>
            </w:r>
          </w:p>
        </w:tc>
        <w:tc>
          <w:tcPr>
            <w:tcW w:w="4394" w:type="dxa"/>
            <w:vAlign w:val="center"/>
          </w:tcPr>
          <w:p w14:paraId="081DB1A6" w14:textId="77777777" w:rsidR="00A20198" w:rsidRPr="00A20198" w:rsidRDefault="00A20198" w:rsidP="00A20198">
            <w:pPr>
              <w:spacing w:before="0"/>
              <w:ind w:left="0"/>
              <w:rPr>
                <w:rFonts w:cs="Arial"/>
                <w:sz w:val="22"/>
                <w:szCs w:val="22"/>
              </w:rPr>
            </w:pPr>
            <w:r w:rsidRPr="00A20198">
              <w:rPr>
                <w:rFonts w:cs="Arial"/>
                <w:sz w:val="22"/>
                <w:szCs w:val="22"/>
              </w:rPr>
              <w:t>British Film Institute</w:t>
            </w:r>
          </w:p>
        </w:tc>
      </w:tr>
    </w:tbl>
    <w:p w14:paraId="081DB1A8" w14:textId="77777777" w:rsidR="00A20198" w:rsidRPr="00A20198" w:rsidRDefault="00A20198" w:rsidP="00B223C1">
      <w:pPr>
        <w:spacing w:before="0"/>
        <w:ind w:left="720"/>
        <w:rPr>
          <w:rFonts w:cs="Arial"/>
          <w:b/>
          <w:lang w:eastAsia="en-US"/>
        </w:rPr>
      </w:pPr>
    </w:p>
    <w:p w14:paraId="081DB1A9" w14:textId="77777777" w:rsidR="00A20198" w:rsidRPr="00A20198" w:rsidRDefault="00A20198" w:rsidP="00A20198">
      <w:pPr>
        <w:spacing w:before="0" w:after="200"/>
        <w:ind w:left="720"/>
        <w:rPr>
          <w:b/>
          <w:lang w:eastAsia="en-US"/>
        </w:rPr>
      </w:pPr>
      <w:r w:rsidRPr="00A20198">
        <w:rPr>
          <w:b/>
          <w:lang w:eastAsia="en-US"/>
        </w:rPr>
        <w:t>4. Sources</w:t>
      </w:r>
    </w:p>
    <w:p w14:paraId="081DB1AA" w14:textId="77777777" w:rsidR="00A20198" w:rsidRPr="00A20198" w:rsidRDefault="00A20198" w:rsidP="00A20198">
      <w:pPr>
        <w:ind w:left="720"/>
        <w:rPr>
          <w:sz w:val="22"/>
          <w:lang w:eastAsia="en-US"/>
        </w:rPr>
      </w:pPr>
      <w:r w:rsidRPr="00A20198">
        <w:rPr>
          <w:sz w:val="22"/>
          <w:lang w:eastAsia="en-US"/>
        </w:rPr>
        <w:t xml:space="preserve">The data used to calculate these indicators are from submissions made by relevant cultural institutions and individual statutory accounts. </w:t>
      </w:r>
      <w:r w:rsidRPr="003B2198">
        <w:rPr>
          <w:sz w:val="22"/>
          <w:lang w:eastAsia="en-US"/>
        </w:rPr>
        <w:t>DCMS Annual Report and Accounts is used for figures relating to Grant-in-Aid funding.</w:t>
      </w:r>
      <w:r w:rsidRPr="00A20198">
        <w:rPr>
          <w:sz w:val="22"/>
          <w:lang w:eastAsia="en-US"/>
        </w:rPr>
        <w:t xml:space="preserve"> </w:t>
      </w:r>
      <w:r w:rsidRPr="00A20198">
        <w:rPr>
          <w:sz w:val="22"/>
          <w:szCs w:val="22"/>
          <w:lang w:eastAsia="en-US"/>
        </w:rPr>
        <w:t xml:space="preserve">This excludes other public funding such as Strategic Commissioning, the Wolfson Foundation fund, and grants to the National Historic Ships Committee. </w:t>
      </w:r>
      <w:r w:rsidRPr="00A20198">
        <w:rPr>
          <w:sz w:val="22"/>
          <w:szCs w:val="22"/>
          <w:lang w:eastAsia="en-US"/>
        </w:rPr>
        <w:tab/>
      </w:r>
    </w:p>
    <w:p w14:paraId="081DB1AB" w14:textId="46AF4C84" w:rsidR="00A20198" w:rsidRPr="00A20198" w:rsidRDefault="00A20198" w:rsidP="00A20198">
      <w:pPr>
        <w:ind w:left="720"/>
        <w:rPr>
          <w:sz w:val="22"/>
          <w:lang w:eastAsia="en-US"/>
        </w:rPr>
      </w:pPr>
      <w:r w:rsidRPr="00A20198">
        <w:rPr>
          <w:sz w:val="22"/>
          <w:lang w:eastAsia="en-US"/>
        </w:rPr>
        <w:t>The data source used for the Arts Council England’s National Portfolio Organisations</w:t>
      </w:r>
      <w:r w:rsidR="00B223C1">
        <w:rPr>
          <w:sz w:val="22"/>
          <w:lang w:eastAsia="en-US"/>
        </w:rPr>
        <w:t xml:space="preserve"> (NPO)</w:t>
      </w:r>
      <w:r w:rsidRPr="00A20198">
        <w:rPr>
          <w:sz w:val="22"/>
          <w:lang w:eastAsia="en-US"/>
        </w:rPr>
        <w:t xml:space="preserve"> (formerly known as Regularly Funded Organisations) is </w:t>
      </w:r>
      <w:r w:rsidR="00BB481C">
        <w:rPr>
          <w:sz w:val="22"/>
          <w:lang w:eastAsia="en-US"/>
        </w:rPr>
        <w:t xml:space="preserve">based on </w:t>
      </w:r>
      <w:r w:rsidRPr="00A20198">
        <w:rPr>
          <w:sz w:val="22"/>
          <w:lang w:eastAsia="en-US"/>
        </w:rPr>
        <w:t>the NPO annual submission. The figures reported are from the full sample in 2008/09</w:t>
      </w:r>
      <w:r w:rsidRPr="00A20198">
        <w:rPr>
          <w:sz w:val="22"/>
          <w:szCs w:val="22"/>
          <w:vertAlign w:val="superscript"/>
          <w:lang w:eastAsia="en-US"/>
        </w:rPr>
        <w:footnoteReference w:id="5"/>
      </w:r>
      <w:r w:rsidRPr="00A20198">
        <w:rPr>
          <w:sz w:val="22"/>
          <w:lang w:eastAsia="en-US"/>
        </w:rPr>
        <w:t xml:space="preserve"> (850 </w:t>
      </w:r>
      <w:r w:rsidR="005D4722">
        <w:rPr>
          <w:sz w:val="22"/>
          <w:lang w:eastAsia="en-US"/>
        </w:rPr>
        <w:t>RFOs</w:t>
      </w:r>
      <w:r w:rsidRPr="00A20198">
        <w:rPr>
          <w:sz w:val="22"/>
          <w:lang w:eastAsia="en-US"/>
        </w:rPr>
        <w:t>), 2009/10</w:t>
      </w:r>
      <w:r w:rsidRPr="00A20198">
        <w:rPr>
          <w:sz w:val="22"/>
          <w:szCs w:val="22"/>
          <w:vertAlign w:val="superscript"/>
          <w:lang w:eastAsia="en-US"/>
        </w:rPr>
        <w:footnoteReference w:id="6"/>
      </w:r>
      <w:r w:rsidRPr="00A20198">
        <w:rPr>
          <w:sz w:val="22"/>
          <w:lang w:eastAsia="en-US"/>
        </w:rPr>
        <w:t xml:space="preserve"> (836 RFOs) 2010/11</w:t>
      </w:r>
      <w:r w:rsidRPr="00A20198">
        <w:rPr>
          <w:sz w:val="22"/>
          <w:szCs w:val="22"/>
          <w:vertAlign w:val="superscript"/>
          <w:lang w:eastAsia="en-US"/>
        </w:rPr>
        <w:footnoteReference w:id="7"/>
      </w:r>
      <w:r w:rsidRPr="00A20198">
        <w:rPr>
          <w:sz w:val="22"/>
          <w:lang w:eastAsia="en-US"/>
        </w:rPr>
        <w:t xml:space="preserve"> (829 RFOs), 2011/12</w:t>
      </w:r>
      <w:r w:rsidRPr="00A20198">
        <w:rPr>
          <w:sz w:val="22"/>
          <w:szCs w:val="22"/>
          <w:vertAlign w:val="superscript"/>
          <w:lang w:eastAsia="en-US"/>
        </w:rPr>
        <w:footnoteReference w:id="8"/>
      </w:r>
      <w:r w:rsidRPr="00A20198">
        <w:rPr>
          <w:sz w:val="22"/>
          <w:lang w:eastAsia="en-US"/>
        </w:rPr>
        <w:t xml:space="preserve"> (832 RFOs)</w:t>
      </w:r>
      <w:r w:rsidR="00A31BDE">
        <w:rPr>
          <w:sz w:val="22"/>
          <w:lang w:eastAsia="en-US"/>
        </w:rPr>
        <w:t>,</w:t>
      </w:r>
      <w:r w:rsidRPr="00A20198">
        <w:rPr>
          <w:sz w:val="22"/>
          <w:lang w:eastAsia="en-US"/>
        </w:rPr>
        <w:t xml:space="preserve"> 2012/13</w:t>
      </w:r>
      <w:r w:rsidRPr="00A20198">
        <w:rPr>
          <w:sz w:val="22"/>
          <w:vertAlign w:val="superscript"/>
          <w:lang w:eastAsia="en-US"/>
        </w:rPr>
        <w:footnoteReference w:id="9"/>
      </w:r>
      <w:r w:rsidRPr="00A20198">
        <w:rPr>
          <w:sz w:val="22"/>
          <w:lang w:eastAsia="en-US"/>
        </w:rPr>
        <w:t xml:space="preserve"> (696 NPOs)</w:t>
      </w:r>
      <w:r w:rsidR="00A31BDE">
        <w:rPr>
          <w:sz w:val="22"/>
          <w:lang w:eastAsia="en-US"/>
        </w:rPr>
        <w:t xml:space="preserve"> and 2013/14</w:t>
      </w:r>
      <w:r w:rsidR="00A31BDE">
        <w:rPr>
          <w:rStyle w:val="FootnoteReference"/>
          <w:sz w:val="22"/>
          <w:lang w:eastAsia="en-US"/>
        </w:rPr>
        <w:footnoteReference w:id="10"/>
      </w:r>
      <w:r w:rsidRPr="00A20198">
        <w:rPr>
          <w:sz w:val="22"/>
          <w:lang w:eastAsia="en-US"/>
        </w:rPr>
        <w:t xml:space="preserve"> </w:t>
      </w:r>
      <w:r w:rsidR="00A830B2">
        <w:rPr>
          <w:sz w:val="22"/>
          <w:lang w:eastAsia="en-US"/>
        </w:rPr>
        <w:t xml:space="preserve">(701 NPOs) </w:t>
      </w:r>
      <w:r w:rsidRPr="00A20198">
        <w:rPr>
          <w:sz w:val="22"/>
          <w:lang w:eastAsia="en-US"/>
        </w:rPr>
        <w:t>for "Contributed income, which includes sponsorship, trusts and donations".</w:t>
      </w:r>
    </w:p>
    <w:p w14:paraId="081DB1AC" w14:textId="77777777" w:rsidR="00A20198" w:rsidRPr="00A20198" w:rsidRDefault="00A20198" w:rsidP="00B223C1">
      <w:pPr>
        <w:spacing w:before="0"/>
        <w:ind w:left="720"/>
        <w:rPr>
          <w:b/>
          <w:lang w:eastAsia="en-US"/>
        </w:rPr>
      </w:pPr>
    </w:p>
    <w:p w14:paraId="081DB1AD" w14:textId="77777777" w:rsidR="00A20198" w:rsidRPr="00A20198" w:rsidRDefault="00A20198" w:rsidP="00A20198">
      <w:pPr>
        <w:spacing w:before="0" w:after="200"/>
        <w:ind w:left="720"/>
        <w:rPr>
          <w:b/>
          <w:lang w:eastAsia="en-US"/>
        </w:rPr>
      </w:pPr>
      <w:r w:rsidRPr="00A20198">
        <w:rPr>
          <w:b/>
          <w:lang w:eastAsia="en-US"/>
        </w:rPr>
        <w:t>5. Caveats</w:t>
      </w:r>
    </w:p>
    <w:p w14:paraId="081DB1AE" w14:textId="77777777" w:rsidR="00A20198" w:rsidRPr="00A20198" w:rsidRDefault="00A20198" w:rsidP="00A20198">
      <w:pPr>
        <w:spacing w:before="0" w:after="200"/>
        <w:ind w:left="720"/>
        <w:rPr>
          <w:sz w:val="22"/>
          <w:szCs w:val="22"/>
          <w:lang w:eastAsia="en-US"/>
        </w:rPr>
      </w:pPr>
      <w:r w:rsidRPr="00A20198">
        <w:rPr>
          <w:sz w:val="22"/>
          <w:szCs w:val="22"/>
          <w:lang w:eastAsia="en-US"/>
        </w:rPr>
        <w:t xml:space="preserve">For a full list of caveats please see the notes under the published data table that accompanies this release. </w:t>
      </w:r>
    </w:p>
    <w:p w14:paraId="081DB1AF" w14:textId="485A2D9D" w:rsidR="00A20198" w:rsidRDefault="00A20198" w:rsidP="00F11886">
      <w:pPr>
        <w:numPr>
          <w:ilvl w:val="0"/>
          <w:numId w:val="13"/>
        </w:numPr>
        <w:spacing w:before="0"/>
        <w:contextualSpacing/>
        <w:rPr>
          <w:rFonts w:cs="Arial"/>
          <w:sz w:val="22"/>
          <w:szCs w:val="22"/>
        </w:rPr>
      </w:pPr>
      <w:r w:rsidRPr="00A20198">
        <w:rPr>
          <w:rFonts w:cs="Arial"/>
          <w:sz w:val="22"/>
          <w:szCs w:val="22"/>
        </w:rPr>
        <w:t xml:space="preserve">The responsible </w:t>
      </w:r>
      <w:r w:rsidR="00B223C1">
        <w:rPr>
          <w:rFonts w:cs="Arial"/>
          <w:sz w:val="22"/>
          <w:szCs w:val="22"/>
        </w:rPr>
        <w:t>policy officer</w:t>
      </w:r>
      <w:r w:rsidRPr="00A20198">
        <w:rPr>
          <w:rFonts w:cs="Arial"/>
          <w:sz w:val="22"/>
          <w:szCs w:val="22"/>
        </w:rPr>
        <w:t xml:space="preserve"> for this release is </w:t>
      </w:r>
      <w:r w:rsidR="00B223C1">
        <w:rPr>
          <w:rFonts w:cs="Arial"/>
          <w:sz w:val="22"/>
          <w:szCs w:val="22"/>
        </w:rPr>
        <w:t>Catherine Mardell</w:t>
      </w:r>
      <w:r w:rsidR="00453D86">
        <w:rPr>
          <w:rFonts w:cs="Arial"/>
          <w:sz w:val="22"/>
          <w:szCs w:val="22"/>
        </w:rPr>
        <w:t>,</w:t>
      </w:r>
      <w:r w:rsidR="00B223C1">
        <w:rPr>
          <w:rFonts w:cs="Arial"/>
          <w:sz w:val="22"/>
          <w:szCs w:val="22"/>
        </w:rPr>
        <w:t xml:space="preserve"> </w:t>
      </w:r>
      <w:hyperlink r:id="rId19" w:history="1">
        <w:r w:rsidR="00B223C1" w:rsidRPr="001A7B08">
          <w:rPr>
            <w:rStyle w:val="Hyperlink"/>
            <w:rFonts w:cs="Arial"/>
            <w:szCs w:val="22"/>
          </w:rPr>
          <w:t>catherine.mardell@culture.gsi.gov.uk</w:t>
        </w:r>
      </w:hyperlink>
      <w:r w:rsidR="00B223C1">
        <w:rPr>
          <w:rFonts w:cs="Arial"/>
          <w:sz w:val="22"/>
          <w:szCs w:val="22"/>
        </w:rPr>
        <w:t xml:space="preserve"> </w:t>
      </w:r>
      <w:r w:rsidR="00453D86">
        <w:rPr>
          <w:rFonts w:cs="Arial"/>
          <w:sz w:val="22"/>
          <w:szCs w:val="22"/>
        </w:rPr>
        <w:t xml:space="preserve"> and the responsible statistician is </w:t>
      </w:r>
      <w:r w:rsidR="00B2573E">
        <w:rPr>
          <w:rFonts w:cs="Arial"/>
          <w:sz w:val="22"/>
          <w:szCs w:val="22"/>
        </w:rPr>
        <w:t>Madeleine May</w:t>
      </w:r>
      <w:r w:rsidR="00453D86">
        <w:rPr>
          <w:rFonts w:cs="Arial"/>
          <w:sz w:val="22"/>
          <w:szCs w:val="22"/>
        </w:rPr>
        <w:t xml:space="preserve">, </w:t>
      </w:r>
      <w:hyperlink r:id="rId20" w:history="1">
        <w:r w:rsidR="00A31BDE" w:rsidRPr="00B20CC8">
          <w:rPr>
            <w:rStyle w:val="Hyperlink"/>
            <w:rFonts w:cs="Arial"/>
            <w:szCs w:val="22"/>
          </w:rPr>
          <w:t>madeleine.may@culture.gsi.gov.uk</w:t>
        </w:r>
      </w:hyperlink>
      <w:r w:rsidR="00453D86">
        <w:rPr>
          <w:rFonts w:cs="Arial"/>
          <w:sz w:val="22"/>
          <w:szCs w:val="22"/>
        </w:rPr>
        <w:t xml:space="preserve"> .</w:t>
      </w:r>
    </w:p>
    <w:p w14:paraId="7EAEC751" w14:textId="016B914D" w:rsidR="00EA708B" w:rsidRDefault="00EA708B" w:rsidP="00F11886">
      <w:pPr>
        <w:numPr>
          <w:ilvl w:val="0"/>
          <w:numId w:val="13"/>
        </w:numPr>
        <w:spacing w:before="0"/>
        <w:contextualSpacing/>
        <w:rPr>
          <w:rFonts w:cs="Arial"/>
          <w:sz w:val="22"/>
          <w:szCs w:val="22"/>
        </w:rPr>
      </w:pPr>
      <w:r>
        <w:rPr>
          <w:rFonts w:cs="Arial"/>
          <w:sz w:val="22"/>
          <w:szCs w:val="22"/>
        </w:rPr>
        <w:t xml:space="preserve">Next </w:t>
      </w:r>
      <w:r w:rsidRPr="00EA708B">
        <w:rPr>
          <w:rFonts w:cs="Arial"/>
          <w:sz w:val="22"/>
          <w:szCs w:val="22"/>
        </w:rPr>
        <w:t>Release: the next release is scheduled for Autumn 201</w:t>
      </w:r>
      <w:r>
        <w:rPr>
          <w:rFonts w:cs="Arial"/>
          <w:sz w:val="22"/>
          <w:szCs w:val="22"/>
        </w:rPr>
        <w:t>5</w:t>
      </w:r>
      <w:r w:rsidRPr="00EA708B">
        <w:rPr>
          <w:rFonts w:cs="Arial"/>
          <w:sz w:val="22"/>
          <w:szCs w:val="22"/>
        </w:rPr>
        <w:t xml:space="preserve"> and will present the annual estimates for 201</w:t>
      </w:r>
      <w:r>
        <w:rPr>
          <w:rFonts w:cs="Arial"/>
          <w:sz w:val="22"/>
          <w:szCs w:val="22"/>
        </w:rPr>
        <w:t>4</w:t>
      </w:r>
      <w:r w:rsidRPr="00EA708B">
        <w:rPr>
          <w:rFonts w:cs="Arial"/>
          <w:sz w:val="22"/>
          <w:szCs w:val="22"/>
        </w:rPr>
        <w:t>/1</w:t>
      </w:r>
      <w:r>
        <w:rPr>
          <w:rFonts w:cs="Arial"/>
          <w:sz w:val="22"/>
          <w:szCs w:val="22"/>
        </w:rPr>
        <w:t>5</w:t>
      </w:r>
      <w:r w:rsidRPr="00EA708B">
        <w:rPr>
          <w:rFonts w:cs="Arial"/>
          <w:sz w:val="22"/>
          <w:szCs w:val="22"/>
        </w:rPr>
        <w:t>.</w:t>
      </w:r>
    </w:p>
    <w:p w14:paraId="1290DF61" w14:textId="77777777" w:rsidR="00F11886" w:rsidRDefault="00F11886" w:rsidP="00F11886">
      <w:pPr>
        <w:spacing w:before="0"/>
        <w:ind w:left="1080"/>
        <w:contextualSpacing/>
        <w:rPr>
          <w:rFonts w:cs="Arial"/>
          <w:sz w:val="22"/>
          <w:szCs w:val="22"/>
        </w:rPr>
      </w:pPr>
    </w:p>
    <w:p w14:paraId="309C7E9C" w14:textId="77777777" w:rsidR="004E5F60" w:rsidRDefault="004E5F60">
      <w:pPr>
        <w:spacing w:before="0"/>
        <w:ind w:left="0"/>
        <w:rPr>
          <w:rFonts w:cs="Arial"/>
        </w:rPr>
      </w:pPr>
      <w:r>
        <w:rPr>
          <w:rFonts w:cs="Arial"/>
        </w:rPr>
        <w:lastRenderedPageBreak/>
        <w:br w:type="page"/>
      </w:r>
    </w:p>
    <w:p w14:paraId="081DB1B3" w14:textId="53AD0B6F"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081DB1BE" wp14:editId="081DB1BF">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081DB1C0" wp14:editId="081DB1C1">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DB206" w14:textId="77777777" w:rsidR="00E97289" w:rsidRPr="00E97289" w:rsidRDefault="00E97289" w:rsidP="00E97289">
                            <w:pPr>
                              <w:pStyle w:val="WebAddress"/>
                              <w:rPr>
                                <w:b w:val="0"/>
                              </w:rPr>
                            </w:pPr>
                            <w:r w:rsidRPr="00E97289">
                              <w:rPr>
                                <w:b w:val="0"/>
                              </w:rPr>
                              <w:t>4th Floor, 100 Parliament Street</w:t>
                            </w:r>
                          </w:p>
                          <w:p w14:paraId="081DB207" w14:textId="77777777" w:rsidR="00AF50C8" w:rsidRDefault="00E97289" w:rsidP="00E97289">
                            <w:pPr>
                              <w:pStyle w:val="WebAddress"/>
                              <w:rPr>
                                <w:b w:val="0"/>
                              </w:rPr>
                            </w:pPr>
                            <w:r w:rsidRPr="00E97289">
                              <w:rPr>
                                <w:b w:val="0"/>
                              </w:rPr>
                              <w:t>London SW1A 2BQ</w:t>
                            </w:r>
                          </w:p>
                          <w:p w14:paraId="081DB208" w14:textId="77777777"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14:paraId="081DB206" w14:textId="77777777" w:rsidR="00E97289" w:rsidRPr="00E97289" w:rsidRDefault="00E97289" w:rsidP="00E97289">
                      <w:pPr>
                        <w:pStyle w:val="WebAddress"/>
                        <w:rPr>
                          <w:b w:val="0"/>
                        </w:rPr>
                      </w:pPr>
                      <w:r w:rsidRPr="00E97289">
                        <w:rPr>
                          <w:b w:val="0"/>
                        </w:rPr>
                        <w:t>4th Floor, 100 Parliament Street</w:t>
                      </w:r>
                    </w:p>
                    <w:p w14:paraId="081DB207" w14:textId="77777777" w:rsidR="00AF50C8" w:rsidRDefault="00E97289" w:rsidP="00E97289">
                      <w:pPr>
                        <w:pStyle w:val="WebAddress"/>
                        <w:rPr>
                          <w:b w:val="0"/>
                        </w:rPr>
                      </w:pPr>
                      <w:r w:rsidRPr="00E97289">
                        <w:rPr>
                          <w:b w:val="0"/>
                        </w:rPr>
                        <w:t>London SW1A 2BQ</w:t>
                      </w:r>
                    </w:p>
                    <w:p w14:paraId="081DB208" w14:textId="77777777" w:rsidR="00EF4A0F" w:rsidRDefault="00E97289" w:rsidP="00E97289">
                      <w:pPr>
                        <w:pStyle w:val="WebAddress"/>
                      </w:pPr>
                      <w:r w:rsidRPr="00E97289">
                        <w:t>www.gov.uk/dcms</w:t>
                      </w:r>
                    </w:p>
                  </w:txbxContent>
                </v:textbox>
              </v:shape>
            </w:pict>
          </mc:Fallback>
        </mc:AlternateContent>
      </w:r>
    </w:p>
    <w:sectPr w:rsidR="00125909" w:rsidRPr="00D04FA6" w:rsidSect="004E5F60">
      <w:headerReference w:type="even" r:id="rId21"/>
      <w:type w:val="evenPage"/>
      <w:pgSz w:w="11906" w:h="16838" w:code="9"/>
      <w:pgMar w:top="1418"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1BF8" w14:textId="77777777" w:rsidR="00A7040D" w:rsidRDefault="00A7040D" w:rsidP="00FD27B8">
      <w:pPr>
        <w:pStyle w:val="Header"/>
      </w:pPr>
      <w:r>
        <w:separator/>
      </w:r>
    </w:p>
    <w:p w14:paraId="49DCBFD3" w14:textId="77777777" w:rsidR="00A7040D" w:rsidRDefault="00A7040D"/>
  </w:endnote>
  <w:endnote w:type="continuationSeparator" w:id="0">
    <w:p w14:paraId="0F1E2369" w14:textId="77777777" w:rsidR="00A7040D" w:rsidRDefault="00A7040D" w:rsidP="00FD27B8">
      <w:pPr>
        <w:pStyle w:val="Header"/>
      </w:pPr>
      <w:r>
        <w:continuationSeparator/>
      </w:r>
    </w:p>
    <w:p w14:paraId="12412E91" w14:textId="77777777" w:rsidR="00A7040D" w:rsidRDefault="00A7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C141BF" w:rsidRPr="007C3806" w14:paraId="70C31873" w14:textId="77777777" w:rsidTr="00C6674F">
      <w:tc>
        <w:tcPr>
          <w:tcW w:w="8618" w:type="dxa"/>
          <w:shd w:val="clear" w:color="auto" w:fill="auto"/>
        </w:tcPr>
        <w:p w14:paraId="3E2D3980" w14:textId="47DF720D" w:rsidR="00C141BF" w:rsidRDefault="00C141BF" w:rsidP="00C6674F">
          <w:pPr>
            <w:pStyle w:val="Header"/>
            <w:jc w:val="right"/>
          </w:pPr>
        </w:p>
      </w:tc>
      <w:tc>
        <w:tcPr>
          <w:tcW w:w="720" w:type="dxa"/>
          <w:shd w:val="clear" w:color="auto" w:fill="auto"/>
        </w:tcPr>
        <w:p w14:paraId="6803B1A6" w14:textId="133B37B7" w:rsidR="00C141BF" w:rsidRDefault="00C141BF" w:rsidP="00C6674F">
          <w:pPr>
            <w:pStyle w:val="Header"/>
          </w:pPr>
        </w:p>
      </w:tc>
    </w:tr>
    <w:tr w:rsidR="00C141BF" w:rsidRPr="007C3806" w14:paraId="00EF8609" w14:textId="77777777" w:rsidTr="00C6674F">
      <w:tc>
        <w:tcPr>
          <w:tcW w:w="8618" w:type="dxa"/>
          <w:shd w:val="clear" w:color="auto" w:fill="auto"/>
        </w:tcPr>
        <w:p w14:paraId="078DEA3E" w14:textId="62272733" w:rsidR="00C141BF" w:rsidRDefault="00C141BF" w:rsidP="00C6674F">
          <w:pPr>
            <w:pStyle w:val="HeaderBold"/>
            <w:jc w:val="right"/>
          </w:pPr>
        </w:p>
      </w:tc>
      <w:tc>
        <w:tcPr>
          <w:tcW w:w="720" w:type="dxa"/>
          <w:shd w:val="clear" w:color="auto" w:fill="auto"/>
        </w:tcPr>
        <w:p w14:paraId="6A6006BE" w14:textId="77777777" w:rsidR="00C141BF" w:rsidRDefault="00C141BF" w:rsidP="00C6674F">
          <w:pPr>
            <w:pStyle w:val="HeaderBold"/>
          </w:pPr>
        </w:p>
      </w:tc>
    </w:tr>
  </w:tbl>
  <w:p w14:paraId="6F0A2060" w14:textId="77777777" w:rsidR="00C141BF" w:rsidRDefault="00C141BF" w:rsidP="00C14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27A4C" w14:textId="77777777" w:rsidR="00A7040D" w:rsidRDefault="00A7040D"/>
  </w:footnote>
  <w:footnote w:type="continuationSeparator" w:id="0">
    <w:p w14:paraId="4FCD8A39" w14:textId="77777777" w:rsidR="00A7040D" w:rsidRPr="00362BD3" w:rsidRDefault="00A7040D" w:rsidP="00362BD3">
      <w:pPr>
        <w:pStyle w:val="Footer"/>
      </w:pPr>
    </w:p>
  </w:footnote>
  <w:footnote w:type="continuationNotice" w:id="1">
    <w:p w14:paraId="7A368F38" w14:textId="77777777" w:rsidR="00A7040D" w:rsidRDefault="00A7040D">
      <w:pPr>
        <w:spacing w:before="0"/>
      </w:pPr>
    </w:p>
  </w:footnote>
  <w:footnote w:id="2">
    <w:p w14:paraId="081DB1F9" w14:textId="7723A559" w:rsidR="00A20198" w:rsidRDefault="00A20198" w:rsidP="00A20198">
      <w:pPr>
        <w:pStyle w:val="FootnoteText"/>
        <w:ind w:left="720"/>
      </w:pPr>
      <w:r>
        <w:rPr>
          <w:rStyle w:val="FootnoteReference"/>
        </w:rPr>
        <w:footnoteRef/>
      </w:r>
      <w:r>
        <w:t xml:space="preserve"> For the purposes of this paper the term “charitable giving” is synonymous with fundraising and/or contributed income. This includes donations, sponsorships, memberships and do</w:t>
      </w:r>
      <w:r w:rsidR="00BC15A7">
        <w:t xml:space="preserve">nated objects as defined in </w:t>
      </w:r>
      <w:r>
        <w:t>Annex A.</w:t>
      </w:r>
    </w:p>
  </w:footnote>
  <w:footnote w:id="3">
    <w:p w14:paraId="081DB1FA" w14:textId="77777777" w:rsidR="00A20198" w:rsidRDefault="00A20198" w:rsidP="00A20198">
      <w:pPr>
        <w:pStyle w:val="FootnoteText"/>
        <w:ind w:left="720"/>
      </w:pPr>
      <w:r>
        <w:rPr>
          <w:rStyle w:val="FootnoteReference"/>
        </w:rPr>
        <w:footnoteRef/>
      </w:r>
      <w:r>
        <w:t xml:space="preserve"> For a complete list of cultural institutions included in the indicator see Annex A. </w:t>
      </w:r>
    </w:p>
  </w:footnote>
  <w:footnote w:id="4">
    <w:p w14:paraId="081DB1FB" w14:textId="77777777" w:rsidR="00A20198" w:rsidRDefault="00A20198" w:rsidP="00A20198">
      <w:pPr>
        <w:pStyle w:val="FootnoteText"/>
        <w:ind w:left="720"/>
      </w:pPr>
      <w:r>
        <w:rPr>
          <w:rStyle w:val="FootnoteReference"/>
        </w:rPr>
        <w:footnoteRef/>
      </w:r>
      <w:r>
        <w:t xml:space="preserve"> </w:t>
      </w:r>
      <w:hyperlink r:id="rId1" w:history="1">
        <w:r w:rsidRPr="008F4C6C">
          <w:rPr>
            <w:rStyle w:val="Hyperlink"/>
            <w:sz w:val="20"/>
          </w:rPr>
          <w:t>https://www.gov.uk/government/publications?departments%5B%5D=department-for-culture-media-sport&amp;publication_filter_option=statistics</w:t>
        </w:r>
      </w:hyperlink>
      <w:r>
        <w:t xml:space="preserve"> </w:t>
      </w:r>
    </w:p>
  </w:footnote>
  <w:footnote w:id="5">
    <w:p w14:paraId="081DB1FC" w14:textId="77777777" w:rsidR="00A20198" w:rsidRDefault="00A20198" w:rsidP="004E5F60">
      <w:pPr>
        <w:pStyle w:val="FootnoteText"/>
        <w:pBdr>
          <w:top w:val="single" w:sz="4" w:space="0" w:color="auto"/>
        </w:pBdr>
        <w:ind w:left="720"/>
      </w:pPr>
      <w:r>
        <w:rPr>
          <w:rStyle w:val="FootnoteReference"/>
        </w:rPr>
        <w:footnoteRef/>
      </w:r>
      <w:r>
        <w:t xml:space="preserve"> </w:t>
      </w:r>
      <w:hyperlink r:id="rId2" w:history="1">
        <w:r w:rsidRPr="005E0501">
          <w:rPr>
            <w:rStyle w:val="Hyperlink"/>
            <w:sz w:val="20"/>
          </w:rPr>
          <w:t>http://www.artscouncil.org.uk/media/uploads/annual_sub_stat0809/Allorgs_0809.xls</w:t>
        </w:r>
      </w:hyperlink>
      <w:r>
        <w:t xml:space="preserve"> </w:t>
      </w:r>
    </w:p>
  </w:footnote>
  <w:footnote w:id="6">
    <w:p w14:paraId="081DB1FD" w14:textId="77777777" w:rsidR="00A20198" w:rsidRDefault="00A20198" w:rsidP="004E5F60">
      <w:pPr>
        <w:pStyle w:val="FootnoteText"/>
        <w:pBdr>
          <w:top w:val="single" w:sz="4" w:space="0" w:color="auto"/>
        </w:pBdr>
        <w:ind w:left="720"/>
      </w:pPr>
      <w:r>
        <w:rPr>
          <w:rStyle w:val="FootnoteReference"/>
        </w:rPr>
        <w:footnoteRef/>
      </w:r>
      <w:hyperlink r:id="rId3" w:history="1">
        <w:r w:rsidRPr="005E0501">
          <w:rPr>
            <w:rStyle w:val="Hyperlink"/>
            <w:sz w:val="20"/>
          </w:rPr>
          <w:t>http://www.artscouncil.org.uk/media/uploads/transparency/TopLineTables_200910_v3_Excel_2007.xls</w:t>
        </w:r>
      </w:hyperlink>
      <w:r>
        <w:t xml:space="preserve"> </w:t>
      </w:r>
    </w:p>
  </w:footnote>
  <w:footnote w:id="7">
    <w:p w14:paraId="081DB1FE" w14:textId="77777777" w:rsidR="00A20198" w:rsidRDefault="00A20198" w:rsidP="004E5F60">
      <w:pPr>
        <w:pStyle w:val="FootnoteText"/>
        <w:pBdr>
          <w:top w:val="single" w:sz="4" w:space="0" w:color="auto"/>
        </w:pBdr>
        <w:ind w:left="720"/>
      </w:pPr>
      <w:r>
        <w:rPr>
          <w:rStyle w:val="FootnoteReference"/>
        </w:rPr>
        <w:footnoteRef/>
      </w:r>
      <w:r>
        <w:t xml:space="preserve"> </w:t>
      </w:r>
      <w:hyperlink r:id="rId4" w:history="1">
        <w:r w:rsidRPr="005E0501">
          <w:rPr>
            <w:rStyle w:val="Hyperlink"/>
            <w:sz w:val="20"/>
          </w:rPr>
          <w:t>http://www.artscouncil.org.uk/media/uploads/xls/2011-09-20_TopLineTables_201011_RFO_ONS.xls</w:t>
        </w:r>
      </w:hyperlink>
      <w:r>
        <w:t xml:space="preserve"> </w:t>
      </w:r>
    </w:p>
  </w:footnote>
  <w:footnote w:id="8">
    <w:p w14:paraId="081DB1FF" w14:textId="77777777" w:rsidR="00A20198" w:rsidRDefault="00A20198" w:rsidP="004E5F60">
      <w:pPr>
        <w:pStyle w:val="FootnoteText"/>
        <w:pBdr>
          <w:top w:val="single" w:sz="4" w:space="0" w:color="auto"/>
        </w:pBdr>
        <w:ind w:left="720"/>
      </w:pPr>
      <w:r>
        <w:rPr>
          <w:rStyle w:val="FootnoteReference"/>
        </w:rPr>
        <w:footnoteRef/>
      </w:r>
      <w:r>
        <w:t xml:space="preserve"> </w:t>
      </w:r>
      <w:hyperlink r:id="rId5" w:history="1">
        <w:r w:rsidRPr="005E0501">
          <w:rPr>
            <w:rStyle w:val="Hyperlink"/>
            <w:sz w:val="20"/>
          </w:rPr>
          <w:t>http://www.artscouncil.org.uk/media/uploads/pdf/RFO_report2012.pdf</w:t>
        </w:r>
      </w:hyperlink>
      <w:r>
        <w:t xml:space="preserve"> </w:t>
      </w:r>
    </w:p>
  </w:footnote>
  <w:footnote w:id="9">
    <w:p w14:paraId="10182B0F" w14:textId="1386120C" w:rsidR="00A31BDE" w:rsidRDefault="00A20198" w:rsidP="004E5F60">
      <w:pPr>
        <w:pStyle w:val="FootnoteText"/>
        <w:pBdr>
          <w:top w:val="single" w:sz="4" w:space="0" w:color="auto"/>
        </w:pBdr>
        <w:ind w:left="720"/>
      </w:pPr>
      <w:r>
        <w:rPr>
          <w:rStyle w:val="FootnoteReference"/>
        </w:rPr>
        <w:footnoteRef/>
      </w:r>
      <w:r>
        <w:t xml:space="preserve"> </w:t>
      </w:r>
      <w:hyperlink r:id="rId6" w:history="1">
        <w:r w:rsidRPr="008E285A">
          <w:rPr>
            <w:rStyle w:val="Hyperlink"/>
            <w:sz w:val="20"/>
          </w:rPr>
          <w:t>http://www.artscouncil.org.uk/funding/our-investment/funding-programmes/regular-funding-for-organisations/outcomes-and-evaluations/regularly-funded-organisations-statistics-201213/</w:t>
        </w:r>
      </w:hyperlink>
      <w:r>
        <w:t xml:space="preserve"> </w:t>
      </w:r>
    </w:p>
  </w:footnote>
  <w:footnote w:id="10">
    <w:p w14:paraId="19535631" w14:textId="4AD16F1D" w:rsidR="00A31BDE" w:rsidRDefault="00A31BDE" w:rsidP="004E5F60">
      <w:pPr>
        <w:pStyle w:val="FootnoteText"/>
        <w:ind w:left="709"/>
      </w:pPr>
      <w:r>
        <w:rPr>
          <w:rStyle w:val="FootnoteReference"/>
        </w:rPr>
        <w:footnoteRef/>
      </w:r>
      <w:r>
        <w:t xml:space="preserve"> </w:t>
      </w:r>
      <w:hyperlink r:id="rId7" w:history="1">
        <w:r w:rsidRPr="00A31BDE">
          <w:rPr>
            <w:rStyle w:val="Hyperlink"/>
            <w:sz w:val="20"/>
          </w:rPr>
          <w:t>http://www.artscouncil.org.uk/funding/apply-funding/funding-programmes/regular-funding-for-organisations/outcomes-and-evaluations/national-portfolio-statistics-201314/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081DB1CB" w14:textId="77777777" w:rsidTr="00A35E9E">
      <w:tc>
        <w:tcPr>
          <w:tcW w:w="10080" w:type="dxa"/>
        </w:tcPr>
        <w:p w14:paraId="081DB1CA" w14:textId="77777777" w:rsidR="00EF4A0F" w:rsidRDefault="00EF4A0F">
          <w:pPr>
            <w:pStyle w:val="Header"/>
          </w:pPr>
          <w:r>
            <w:t>Department for Culture, Media and Sport</w:t>
          </w:r>
        </w:p>
      </w:tc>
    </w:tr>
    <w:tr w:rsidR="00EF4A0F" w14:paraId="081DB1CD" w14:textId="77777777" w:rsidTr="00A35E9E">
      <w:tc>
        <w:tcPr>
          <w:tcW w:w="10080" w:type="dxa"/>
        </w:tcPr>
        <w:p w14:paraId="081DB1CC" w14:textId="77777777" w:rsidR="00EF4A0F" w:rsidRDefault="00EF4A0F" w:rsidP="00F51926">
          <w:pPr>
            <w:pStyle w:val="HeaderBold"/>
          </w:pPr>
          <w:r>
            <w:t>DocumentTitle</w:t>
          </w:r>
        </w:p>
      </w:tc>
    </w:tr>
  </w:tbl>
  <w:p w14:paraId="081DB1CE" w14:textId="77777777"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4E5F60" w:rsidRPr="007C3806" w14:paraId="14ED8A57" w14:textId="77777777" w:rsidTr="00C6674F">
      <w:tc>
        <w:tcPr>
          <w:tcW w:w="8618" w:type="dxa"/>
          <w:shd w:val="clear" w:color="auto" w:fill="auto"/>
        </w:tcPr>
        <w:p w14:paraId="27ABFAA1" w14:textId="77777777" w:rsidR="004E5F60" w:rsidRDefault="004E5F60" w:rsidP="00C6674F">
          <w:pPr>
            <w:pStyle w:val="Header"/>
            <w:jc w:val="right"/>
          </w:pPr>
          <w:r>
            <w:t>Department for Culture, Media and Sport</w:t>
          </w:r>
        </w:p>
      </w:tc>
      <w:tc>
        <w:tcPr>
          <w:tcW w:w="720" w:type="dxa"/>
          <w:shd w:val="clear" w:color="auto" w:fill="auto"/>
        </w:tcPr>
        <w:p w14:paraId="0BBAB63A" w14:textId="77777777" w:rsidR="004E5F60" w:rsidRDefault="004E5F60" w:rsidP="00C6674F">
          <w:pPr>
            <w:pStyle w:val="Header"/>
          </w:pPr>
          <w:r>
            <w:rPr>
              <w:noProof/>
            </w:rPr>
            <mc:AlternateContent>
              <mc:Choice Requires="wps">
                <w:drawing>
                  <wp:anchor distT="0" distB="0" distL="114300" distR="114300" simplePos="0" relativeHeight="251667456" behindDoc="0" locked="0" layoutInCell="1" allowOverlap="1" wp14:anchorId="2E9C953E" wp14:editId="481638C6">
                    <wp:simplePos x="0" y="0"/>
                    <wp:positionH relativeFrom="column">
                      <wp:posOffset>45720</wp:posOffset>
                    </wp:positionH>
                    <wp:positionV relativeFrom="paragraph">
                      <wp:posOffset>-11430</wp:posOffset>
                    </wp:positionV>
                    <wp:extent cx="288290" cy="288290"/>
                    <wp:effectExtent l="12700" t="10160"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6A9B5B0" w14:textId="77777777" w:rsidR="004E5F60" w:rsidRDefault="004E5F60" w:rsidP="004E5F60">
                                <w:pPr>
                                  <w:pStyle w:val="HeaderBold"/>
                                  <w:jc w:val="center"/>
                                </w:pPr>
                                <w:r>
                                  <w:fldChar w:fldCharType="begin"/>
                                </w:r>
                                <w:r>
                                  <w:instrText xml:space="preserve"> PAGE  \* Arabic  \* MERGEFORMAT </w:instrText>
                                </w:r>
                                <w:r>
                                  <w:fldChar w:fldCharType="separate"/>
                                </w:r>
                                <w:r w:rsidR="003E14F1">
                                  <w:rPr>
                                    <w:noProof/>
                                  </w:rPr>
                                  <w:t>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6pt;margin-top:-.9pt;width:22.7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" strokeweight=".5pt">
                    <v:textbox inset="1mm,.5mm,1mm">
                      <w:txbxContent>
                        <w:p w14:paraId="36A9B5B0" w14:textId="77777777" w:rsidR="004E5F60" w:rsidRDefault="004E5F60" w:rsidP="004E5F60">
                          <w:pPr>
                            <w:pStyle w:val="HeaderBold"/>
                            <w:jc w:val="center"/>
                          </w:pPr>
                          <w:r>
                            <w:fldChar w:fldCharType="begin"/>
                          </w:r>
                          <w:r>
                            <w:instrText xml:space="preserve"> PAGE  \* Arabic  \* MERGEFORMAT </w:instrText>
                          </w:r>
                          <w:r>
                            <w:fldChar w:fldCharType="separate"/>
                          </w:r>
                          <w:r w:rsidR="003E14F1">
                            <w:rPr>
                              <w:noProof/>
                            </w:rPr>
                            <w:t>9</w:t>
                          </w:r>
                          <w:r>
                            <w:fldChar w:fldCharType="end"/>
                          </w:r>
                        </w:p>
                      </w:txbxContent>
                    </v:textbox>
                  </v:shape>
                </w:pict>
              </mc:Fallback>
            </mc:AlternateContent>
          </w:r>
        </w:p>
      </w:tc>
    </w:tr>
    <w:tr w:rsidR="004E5F60" w:rsidRPr="007C3806" w14:paraId="4D32BD7F" w14:textId="77777777" w:rsidTr="00C6674F">
      <w:tc>
        <w:tcPr>
          <w:tcW w:w="8618" w:type="dxa"/>
          <w:shd w:val="clear" w:color="auto" w:fill="auto"/>
        </w:tcPr>
        <w:p w14:paraId="77E0F914" w14:textId="77777777" w:rsidR="004E5F60" w:rsidRDefault="004E5F60" w:rsidP="00C6674F">
          <w:pPr>
            <w:pStyle w:val="HeaderBold"/>
            <w:jc w:val="right"/>
          </w:pPr>
          <w:r>
            <w:t>Charitable Giving Indicators</w:t>
          </w:r>
        </w:p>
      </w:tc>
      <w:tc>
        <w:tcPr>
          <w:tcW w:w="720" w:type="dxa"/>
          <w:shd w:val="clear" w:color="auto" w:fill="auto"/>
        </w:tcPr>
        <w:p w14:paraId="0CC06D6E" w14:textId="77777777" w:rsidR="004E5F60" w:rsidRDefault="004E5F60" w:rsidP="00C6674F">
          <w:pPr>
            <w:pStyle w:val="HeaderBold"/>
          </w:pPr>
        </w:p>
      </w:tc>
    </w:tr>
  </w:tbl>
  <w:p w14:paraId="784AD3CB" w14:textId="77777777" w:rsidR="004E5F60" w:rsidRDefault="004E5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10260"/>
    </w:tblGrid>
    <w:tr w:rsidR="00C141BF" w14:paraId="6DD61F25" w14:textId="77777777" w:rsidTr="00C6674F">
      <w:tc>
        <w:tcPr>
          <w:tcW w:w="8618" w:type="dxa"/>
          <w:shd w:val="clear" w:color="auto" w:fill="auto"/>
        </w:tcPr>
        <w:p w14:paraId="290988E9" w14:textId="39AFB76C" w:rsidR="00C141BF" w:rsidRDefault="00C141BF" w:rsidP="00C6674F">
          <w:pPr>
            <w:pStyle w:val="Header"/>
          </w:pPr>
        </w:p>
      </w:tc>
    </w:tr>
    <w:tr w:rsidR="00C141BF" w14:paraId="216365B3" w14:textId="77777777" w:rsidTr="00C6674F">
      <w:tc>
        <w:tcPr>
          <w:tcW w:w="8618" w:type="dxa"/>
          <w:shd w:val="clear" w:color="auto" w:fill="auto"/>
        </w:tcPr>
        <w:p w14:paraId="4A75B9BD" w14:textId="251C8F2A" w:rsidR="00C141BF" w:rsidRDefault="00C141BF" w:rsidP="00C6674F">
          <w:pPr>
            <w:pStyle w:val="HeaderBold"/>
          </w:pPr>
        </w:p>
      </w:tc>
    </w:tr>
  </w:tbl>
  <w:p w14:paraId="0B6D9D48" w14:textId="77777777" w:rsidR="00C141BF" w:rsidRDefault="00C141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C141BF" w:rsidRPr="007C3806" w14:paraId="2093991D" w14:textId="77777777" w:rsidTr="00C6674F">
      <w:tc>
        <w:tcPr>
          <w:tcW w:w="8618" w:type="dxa"/>
          <w:shd w:val="clear" w:color="auto" w:fill="auto"/>
        </w:tcPr>
        <w:p w14:paraId="44D637E1" w14:textId="30620A50" w:rsidR="00C141BF" w:rsidRDefault="004E5F60" w:rsidP="004E5F60">
          <w:pPr>
            <w:pStyle w:val="Header"/>
          </w:pPr>
          <w:r>
            <w:rPr>
              <w:noProof/>
            </w:rPr>
            <mc:AlternateContent>
              <mc:Choice Requires="wps">
                <w:drawing>
                  <wp:anchor distT="0" distB="0" distL="114300" distR="114300" simplePos="0" relativeHeight="251663360" behindDoc="0" locked="0" layoutInCell="1" allowOverlap="1" wp14:anchorId="30C57E56" wp14:editId="7504E23A">
                    <wp:simplePos x="0" y="0"/>
                    <wp:positionH relativeFrom="column">
                      <wp:posOffset>-332105</wp:posOffset>
                    </wp:positionH>
                    <wp:positionV relativeFrom="paragraph">
                      <wp:posOffset>-11430</wp:posOffset>
                    </wp:positionV>
                    <wp:extent cx="288290" cy="288290"/>
                    <wp:effectExtent l="0" t="0" r="1651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21CF5860" w14:textId="77777777" w:rsidR="00C141BF" w:rsidRDefault="00C141BF" w:rsidP="00C141BF">
                                <w:pPr>
                                  <w:pStyle w:val="HeaderBold"/>
                                  <w:jc w:val="center"/>
                                </w:pPr>
                                <w:r>
                                  <w:fldChar w:fldCharType="begin"/>
                                </w:r>
                                <w:r>
                                  <w:instrText xml:space="preserve"> PAGE  \* Arabic  \* MERGEFORMAT </w:instrText>
                                </w:r>
                                <w:r>
                                  <w:fldChar w:fldCharType="separate"/>
                                </w:r>
                                <w:r w:rsidR="003E14F1">
                                  <w:rPr>
                                    <w:noProof/>
                                  </w:rPr>
                                  <w:t>10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15pt;margin-top:-.9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" strokeweight=".5pt">
                    <v:textbox inset="1mm,.5mm,1mm">
                      <w:txbxContent>
                        <w:p w14:paraId="21CF5860" w14:textId="77777777" w:rsidR="00C141BF" w:rsidRDefault="00C141BF" w:rsidP="00C141BF">
                          <w:pPr>
                            <w:pStyle w:val="HeaderBold"/>
                            <w:jc w:val="center"/>
                          </w:pPr>
                          <w:r>
                            <w:fldChar w:fldCharType="begin"/>
                          </w:r>
                          <w:r>
                            <w:instrText xml:space="preserve"> PAGE  \* Arabic  \* MERGEFORMAT </w:instrText>
                          </w:r>
                          <w:r>
                            <w:fldChar w:fldCharType="separate"/>
                          </w:r>
                          <w:r w:rsidR="003E14F1">
                            <w:rPr>
                              <w:noProof/>
                            </w:rPr>
                            <w:t>10</w:t>
                          </w:r>
                          <w:r>
                            <w:fldChar w:fldCharType="end"/>
                          </w:r>
                        </w:p>
                      </w:txbxContent>
                    </v:textbox>
                  </v:shape>
                </w:pict>
              </mc:Fallback>
            </mc:AlternateContent>
          </w:r>
          <w:r w:rsidR="00C141BF">
            <w:t>Department for Culture, Media and Sport</w:t>
          </w:r>
        </w:p>
      </w:tc>
      <w:tc>
        <w:tcPr>
          <w:tcW w:w="720" w:type="dxa"/>
          <w:shd w:val="clear" w:color="auto" w:fill="auto"/>
        </w:tcPr>
        <w:p w14:paraId="692A8DEC" w14:textId="77D48E3F" w:rsidR="00C141BF" w:rsidRDefault="00C141BF" w:rsidP="004E5F60">
          <w:pPr>
            <w:pStyle w:val="Header"/>
          </w:pPr>
        </w:p>
      </w:tc>
    </w:tr>
    <w:tr w:rsidR="00C141BF" w:rsidRPr="007C3806" w14:paraId="4E6FC42B" w14:textId="77777777" w:rsidTr="00C6674F">
      <w:tc>
        <w:tcPr>
          <w:tcW w:w="8618" w:type="dxa"/>
          <w:shd w:val="clear" w:color="auto" w:fill="auto"/>
        </w:tcPr>
        <w:p w14:paraId="5965A31C" w14:textId="77777777" w:rsidR="00C141BF" w:rsidRDefault="00C141BF" w:rsidP="004E5F60">
          <w:pPr>
            <w:pStyle w:val="HeaderBold"/>
          </w:pPr>
          <w:r>
            <w:t>Charitable Giving Indicators</w:t>
          </w:r>
        </w:p>
      </w:tc>
      <w:tc>
        <w:tcPr>
          <w:tcW w:w="720" w:type="dxa"/>
          <w:shd w:val="clear" w:color="auto" w:fill="auto"/>
        </w:tcPr>
        <w:p w14:paraId="2B2F3E24" w14:textId="77777777" w:rsidR="00C141BF" w:rsidRDefault="00C141BF" w:rsidP="004E5F60">
          <w:pPr>
            <w:pStyle w:val="HeaderBold"/>
          </w:pPr>
        </w:p>
      </w:tc>
    </w:tr>
  </w:tbl>
  <w:p w14:paraId="081DB1F0" w14:textId="77777777"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57C3949"/>
    <w:multiLevelType w:val="hybridMultilevel"/>
    <w:tmpl w:val="E882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8">
    <w:nsid w:val="39082609"/>
    <w:multiLevelType w:val="hybridMultilevel"/>
    <w:tmpl w:val="51C8B6A8"/>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3C348D"/>
    <w:multiLevelType w:val="hybridMultilevel"/>
    <w:tmpl w:val="79042A50"/>
    <w:lvl w:ilvl="0" w:tplc="FCF03960">
      <w:start w:val="1"/>
      <w:numFmt w:val="decimal"/>
      <w:lvlText w:val="%1."/>
      <w:lvlJc w:val="left"/>
      <w:pPr>
        <w:ind w:left="1778" w:hanging="360"/>
      </w:pPr>
      <w:rPr>
        <w:rFonts w:cs="Times New Roman" w:hint="default"/>
      </w:rPr>
    </w:lvl>
    <w:lvl w:ilvl="1" w:tplc="08090019">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0">
    <w:nsid w:val="5D793864"/>
    <w:multiLevelType w:val="hybridMultilevel"/>
    <w:tmpl w:val="7870E5AE"/>
    <w:lvl w:ilvl="0" w:tplc="0BC49E8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7"/>
  </w:num>
  <w:num w:numId="2">
    <w:abstractNumId w:val="6"/>
  </w:num>
  <w:num w:numId="3">
    <w:abstractNumId w:val="11"/>
  </w:num>
  <w:num w:numId="4">
    <w:abstractNumId w:val="0"/>
  </w:num>
  <w:num w:numId="5">
    <w:abstractNumId w:val="3"/>
  </w:num>
  <w:num w:numId="6">
    <w:abstractNumId w:val="4"/>
  </w:num>
  <w:num w:numId="7">
    <w:abstractNumId w:val="1"/>
  </w:num>
  <w:num w:numId="8">
    <w:abstractNumId w:val="2"/>
  </w:num>
  <w:num w:numId="9">
    <w:abstractNumId w:val="11"/>
  </w:num>
  <w:num w:numId="10">
    <w:abstractNumId w:val="7"/>
  </w:num>
  <w:num w:numId="11">
    <w:abstractNumId w:val="8"/>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98"/>
    <w:rsid w:val="00015B61"/>
    <w:rsid w:val="000272A7"/>
    <w:rsid w:val="0003722F"/>
    <w:rsid w:val="00041739"/>
    <w:rsid w:val="00042868"/>
    <w:rsid w:val="0004306B"/>
    <w:rsid w:val="00043947"/>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4683D"/>
    <w:rsid w:val="00155080"/>
    <w:rsid w:val="00157A69"/>
    <w:rsid w:val="00157C15"/>
    <w:rsid w:val="001663B0"/>
    <w:rsid w:val="00187DF4"/>
    <w:rsid w:val="001A1203"/>
    <w:rsid w:val="001B13C9"/>
    <w:rsid w:val="001D187C"/>
    <w:rsid w:val="001E1826"/>
    <w:rsid w:val="001E2003"/>
    <w:rsid w:val="001E4EE9"/>
    <w:rsid w:val="001F0A37"/>
    <w:rsid w:val="001F4ACA"/>
    <w:rsid w:val="002108C7"/>
    <w:rsid w:val="00220892"/>
    <w:rsid w:val="00223F10"/>
    <w:rsid w:val="0023155C"/>
    <w:rsid w:val="0024027B"/>
    <w:rsid w:val="002436C4"/>
    <w:rsid w:val="00245AA5"/>
    <w:rsid w:val="00246FC5"/>
    <w:rsid w:val="00247145"/>
    <w:rsid w:val="00250178"/>
    <w:rsid w:val="00253104"/>
    <w:rsid w:val="00255C4F"/>
    <w:rsid w:val="00266831"/>
    <w:rsid w:val="00267D9A"/>
    <w:rsid w:val="002803C8"/>
    <w:rsid w:val="00283206"/>
    <w:rsid w:val="002941A0"/>
    <w:rsid w:val="002A2D0A"/>
    <w:rsid w:val="002B19A2"/>
    <w:rsid w:val="002B1B33"/>
    <w:rsid w:val="002B5C17"/>
    <w:rsid w:val="002C1B99"/>
    <w:rsid w:val="002C5DF6"/>
    <w:rsid w:val="002D2A86"/>
    <w:rsid w:val="002D3E77"/>
    <w:rsid w:val="002D74F0"/>
    <w:rsid w:val="002D772A"/>
    <w:rsid w:val="002E2379"/>
    <w:rsid w:val="002E391C"/>
    <w:rsid w:val="002E512C"/>
    <w:rsid w:val="002E649F"/>
    <w:rsid w:val="002F2EBC"/>
    <w:rsid w:val="002F69CC"/>
    <w:rsid w:val="00344E64"/>
    <w:rsid w:val="00362BD3"/>
    <w:rsid w:val="003774A1"/>
    <w:rsid w:val="003A11CC"/>
    <w:rsid w:val="003B01BF"/>
    <w:rsid w:val="003B2198"/>
    <w:rsid w:val="003B6835"/>
    <w:rsid w:val="003C5C92"/>
    <w:rsid w:val="003D7B62"/>
    <w:rsid w:val="003E14F1"/>
    <w:rsid w:val="003E1818"/>
    <w:rsid w:val="003E2C43"/>
    <w:rsid w:val="003E5929"/>
    <w:rsid w:val="003F0099"/>
    <w:rsid w:val="003F720D"/>
    <w:rsid w:val="00401173"/>
    <w:rsid w:val="00401C56"/>
    <w:rsid w:val="00404E0B"/>
    <w:rsid w:val="004075A3"/>
    <w:rsid w:val="00415C68"/>
    <w:rsid w:val="004247E4"/>
    <w:rsid w:val="00435158"/>
    <w:rsid w:val="00453D86"/>
    <w:rsid w:val="004563B9"/>
    <w:rsid w:val="00462F9F"/>
    <w:rsid w:val="00477478"/>
    <w:rsid w:val="00492820"/>
    <w:rsid w:val="00493B5C"/>
    <w:rsid w:val="00494FE2"/>
    <w:rsid w:val="00497E55"/>
    <w:rsid w:val="004A627C"/>
    <w:rsid w:val="004B7EBD"/>
    <w:rsid w:val="004C2265"/>
    <w:rsid w:val="004D6E11"/>
    <w:rsid w:val="004E584F"/>
    <w:rsid w:val="004E5986"/>
    <w:rsid w:val="004E5F60"/>
    <w:rsid w:val="0051143B"/>
    <w:rsid w:val="00520321"/>
    <w:rsid w:val="0052374B"/>
    <w:rsid w:val="00525BB3"/>
    <w:rsid w:val="00542840"/>
    <w:rsid w:val="00550F5A"/>
    <w:rsid w:val="00577B52"/>
    <w:rsid w:val="00583CF2"/>
    <w:rsid w:val="005A51C7"/>
    <w:rsid w:val="005A5D21"/>
    <w:rsid w:val="005A76B6"/>
    <w:rsid w:val="005B04B7"/>
    <w:rsid w:val="005B39EB"/>
    <w:rsid w:val="005B3AFA"/>
    <w:rsid w:val="005C0743"/>
    <w:rsid w:val="005C4984"/>
    <w:rsid w:val="005D1207"/>
    <w:rsid w:val="005D2F1A"/>
    <w:rsid w:val="005D3906"/>
    <w:rsid w:val="005D4722"/>
    <w:rsid w:val="005E09C7"/>
    <w:rsid w:val="005E0A41"/>
    <w:rsid w:val="005E2EFA"/>
    <w:rsid w:val="005E332B"/>
    <w:rsid w:val="005F4204"/>
    <w:rsid w:val="00606109"/>
    <w:rsid w:val="0061111F"/>
    <w:rsid w:val="00631751"/>
    <w:rsid w:val="006325DC"/>
    <w:rsid w:val="006351E3"/>
    <w:rsid w:val="00642D1B"/>
    <w:rsid w:val="00645DC4"/>
    <w:rsid w:val="00650B64"/>
    <w:rsid w:val="006702A6"/>
    <w:rsid w:val="0067034A"/>
    <w:rsid w:val="00671E89"/>
    <w:rsid w:val="0068195C"/>
    <w:rsid w:val="0069013D"/>
    <w:rsid w:val="006A5E7F"/>
    <w:rsid w:val="006B7645"/>
    <w:rsid w:val="006C1D0C"/>
    <w:rsid w:val="006C33E3"/>
    <w:rsid w:val="00702421"/>
    <w:rsid w:val="00702853"/>
    <w:rsid w:val="007065AC"/>
    <w:rsid w:val="00710B0E"/>
    <w:rsid w:val="007161D5"/>
    <w:rsid w:val="00720ECD"/>
    <w:rsid w:val="00722543"/>
    <w:rsid w:val="00724E7C"/>
    <w:rsid w:val="00726EC3"/>
    <w:rsid w:val="00746AE3"/>
    <w:rsid w:val="00760628"/>
    <w:rsid w:val="00761E9A"/>
    <w:rsid w:val="00767F75"/>
    <w:rsid w:val="00780329"/>
    <w:rsid w:val="00794254"/>
    <w:rsid w:val="007A182D"/>
    <w:rsid w:val="007A4A49"/>
    <w:rsid w:val="007B1027"/>
    <w:rsid w:val="007C12E9"/>
    <w:rsid w:val="007D12BA"/>
    <w:rsid w:val="007D2BEF"/>
    <w:rsid w:val="007D35B7"/>
    <w:rsid w:val="007D38A0"/>
    <w:rsid w:val="007D67A2"/>
    <w:rsid w:val="007F197E"/>
    <w:rsid w:val="007F6D81"/>
    <w:rsid w:val="007F75E6"/>
    <w:rsid w:val="00812DA1"/>
    <w:rsid w:val="0084105C"/>
    <w:rsid w:val="00841BC2"/>
    <w:rsid w:val="008500BD"/>
    <w:rsid w:val="00861A6B"/>
    <w:rsid w:val="0086509D"/>
    <w:rsid w:val="00870449"/>
    <w:rsid w:val="00886253"/>
    <w:rsid w:val="008A4F4F"/>
    <w:rsid w:val="008D1852"/>
    <w:rsid w:val="008D3B91"/>
    <w:rsid w:val="008D7B48"/>
    <w:rsid w:val="009042D3"/>
    <w:rsid w:val="00911BF5"/>
    <w:rsid w:val="00913186"/>
    <w:rsid w:val="00920EAC"/>
    <w:rsid w:val="0092196E"/>
    <w:rsid w:val="00921ECE"/>
    <w:rsid w:val="009253DB"/>
    <w:rsid w:val="00933613"/>
    <w:rsid w:val="00935AC8"/>
    <w:rsid w:val="00942EA8"/>
    <w:rsid w:val="009456CE"/>
    <w:rsid w:val="00950AEB"/>
    <w:rsid w:val="00962D11"/>
    <w:rsid w:val="0097556C"/>
    <w:rsid w:val="00987BD5"/>
    <w:rsid w:val="00996262"/>
    <w:rsid w:val="009B069B"/>
    <w:rsid w:val="009B3D14"/>
    <w:rsid w:val="009C05C9"/>
    <w:rsid w:val="009C1B73"/>
    <w:rsid w:val="009C4DEC"/>
    <w:rsid w:val="009E1A86"/>
    <w:rsid w:val="009E78C9"/>
    <w:rsid w:val="009F7F64"/>
    <w:rsid w:val="00A20198"/>
    <w:rsid w:val="00A31BDE"/>
    <w:rsid w:val="00A35E9E"/>
    <w:rsid w:val="00A47B88"/>
    <w:rsid w:val="00A56E1C"/>
    <w:rsid w:val="00A677F3"/>
    <w:rsid w:val="00A7040D"/>
    <w:rsid w:val="00A71451"/>
    <w:rsid w:val="00A830B2"/>
    <w:rsid w:val="00A9448C"/>
    <w:rsid w:val="00AA0178"/>
    <w:rsid w:val="00AB2AB1"/>
    <w:rsid w:val="00AE2A0A"/>
    <w:rsid w:val="00AE7933"/>
    <w:rsid w:val="00AF150D"/>
    <w:rsid w:val="00AF50C8"/>
    <w:rsid w:val="00AF775C"/>
    <w:rsid w:val="00B11880"/>
    <w:rsid w:val="00B15674"/>
    <w:rsid w:val="00B15705"/>
    <w:rsid w:val="00B16196"/>
    <w:rsid w:val="00B223C1"/>
    <w:rsid w:val="00B22C87"/>
    <w:rsid w:val="00B2573E"/>
    <w:rsid w:val="00B36397"/>
    <w:rsid w:val="00B52CB1"/>
    <w:rsid w:val="00B5482B"/>
    <w:rsid w:val="00B77E1F"/>
    <w:rsid w:val="00B8453E"/>
    <w:rsid w:val="00B91E98"/>
    <w:rsid w:val="00B928E4"/>
    <w:rsid w:val="00BA715A"/>
    <w:rsid w:val="00BB481C"/>
    <w:rsid w:val="00BC15A7"/>
    <w:rsid w:val="00BC770A"/>
    <w:rsid w:val="00BD3C7C"/>
    <w:rsid w:val="00BD3D34"/>
    <w:rsid w:val="00BD592B"/>
    <w:rsid w:val="00BE4A27"/>
    <w:rsid w:val="00BF5395"/>
    <w:rsid w:val="00C01BDF"/>
    <w:rsid w:val="00C03131"/>
    <w:rsid w:val="00C07DC1"/>
    <w:rsid w:val="00C141BF"/>
    <w:rsid w:val="00C17844"/>
    <w:rsid w:val="00C31346"/>
    <w:rsid w:val="00C52E8C"/>
    <w:rsid w:val="00C6497E"/>
    <w:rsid w:val="00C713C3"/>
    <w:rsid w:val="00C748D0"/>
    <w:rsid w:val="00C767AD"/>
    <w:rsid w:val="00C95C8D"/>
    <w:rsid w:val="00CB7570"/>
    <w:rsid w:val="00CC02EF"/>
    <w:rsid w:val="00CC1B2D"/>
    <w:rsid w:val="00CE0A8D"/>
    <w:rsid w:val="00CE51DC"/>
    <w:rsid w:val="00CF0597"/>
    <w:rsid w:val="00CF096A"/>
    <w:rsid w:val="00D03D99"/>
    <w:rsid w:val="00D04FA6"/>
    <w:rsid w:val="00D05FBF"/>
    <w:rsid w:val="00D1194B"/>
    <w:rsid w:val="00D134B1"/>
    <w:rsid w:val="00D255EF"/>
    <w:rsid w:val="00D2732F"/>
    <w:rsid w:val="00D315E2"/>
    <w:rsid w:val="00D4258B"/>
    <w:rsid w:val="00D6339E"/>
    <w:rsid w:val="00D64443"/>
    <w:rsid w:val="00D73CC1"/>
    <w:rsid w:val="00D804E9"/>
    <w:rsid w:val="00D8513B"/>
    <w:rsid w:val="00D9354D"/>
    <w:rsid w:val="00D9489F"/>
    <w:rsid w:val="00DA248B"/>
    <w:rsid w:val="00DA7BB4"/>
    <w:rsid w:val="00DB69E8"/>
    <w:rsid w:val="00DD4B6B"/>
    <w:rsid w:val="00DE0B98"/>
    <w:rsid w:val="00DE4BD9"/>
    <w:rsid w:val="00DE5CAA"/>
    <w:rsid w:val="00E033EA"/>
    <w:rsid w:val="00E06BD7"/>
    <w:rsid w:val="00E1082D"/>
    <w:rsid w:val="00E15968"/>
    <w:rsid w:val="00E27C51"/>
    <w:rsid w:val="00E416E8"/>
    <w:rsid w:val="00E41EE6"/>
    <w:rsid w:val="00E62E9B"/>
    <w:rsid w:val="00E7796B"/>
    <w:rsid w:val="00E916EB"/>
    <w:rsid w:val="00E92CC8"/>
    <w:rsid w:val="00E93F3A"/>
    <w:rsid w:val="00E94D71"/>
    <w:rsid w:val="00E97289"/>
    <w:rsid w:val="00EA708B"/>
    <w:rsid w:val="00EB35BA"/>
    <w:rsid w:val="00EC0841"/>
    <w:rsid w:val="00EC6521"/>
    <w:rsid w:val="00EF4A0F"/>
    <w:rsid w:val="00EF55CC"/>
    <w:rsid w:val="00F02588"/>
    <w:rsid w:val="00F05B3D"/>
    <w:rsid w:val="00F066E3"/>
    <w:rsid w:val="00F11886"/>
    <w:rsid w:val="00F21E39"/>
    <w:rsid w:val="00F22819"/>
    <w:rsid w:val="00F234B1"/>
    <w:rsid w:val="00F51926"/>
    <w:rsid w:val="00F545C4"/>
    <w:rsid w:val="00F56D3E"/>
    <w:rsid w:val="00F666D9"/>
    <w:rsid w:val="00F80452"/>
    <w:rsid w:val="00F878CE"/>
    <w:rsid w:val="00F9791D"/>
    <w:rsid w:val="00FA396B"/>
    <w:rsid w:val="00FA3AF7"/>
    <w:rsid w:val="00FA526F"/>
    <w:rsid w:val="00FA57BC"/>
    <w:rsid w:val="00FA5A08"/>
    <w:rsid w:val="00FB4543"/>
    <w:rsid w:val="00FB6410"/>
    <w:rsid w:val="00FB74E7"/>
    <w:rsid w:val="00FD125B"/>
    <w:rsid w:val="00FD27B8"/>
    <w:rsid w:val="00FD50E3"/>
    <w:rsid w:val="00FD63D7"/>
    <w:rsid w:val="00FD7232"/>
    <w:rsid w:val="00FE10BB"/>
    <w:rsid w:val="00FE52FD"/>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FollowedHyperlink">
    <w:name w:val="FollowedHyperlink"/>
    <w:basedOn w:val="DefaultParagraphFont"/>
    <w:rsid w:val="00A20198"/>
    <w:rPr>
      <w:color w:val="800080" w:themeColor="followedHyperlink"/>
      <w:u w:val="single"/>
    </w:rPr>
  </w:style>
  <w:style w:type="character" w:styleId="CommentReference">
    <w:name w:val="annotation reference"/>
    <w:basedOn w:val="DefaultParagraphFont"/>
    <w:rsid w:val="003B2198"/>
    <w:rPr>
      <w:sz w:val="16"/>
      <w:szCs w:val="16"/>
    </w:rPr>
  </w:style>
  <w:style w:type="paragraph" w:styleId="CommentText">
    <w:name w:val="annotation text"/>
    <w:basedOn w:val="Normal"/>
    <w:link w:val="CommentTextChar"/>
    <w:rsid w:val="003B2198"/>
    <w:rPr>
      <w:sz w:val="20"/>
      <w:szCs w:val="20"/>
    </w:rPr>
  </w:style>
  <w:style w:type="character" w:customStyle="1" w:styleId="CommentTextChar">
    <w:name w:val="Comment Text Char"/>
    <w:basedOn w:val="DefaultParagraphFont"/>
    <w:link w:val="CommentText"/>
    <w:rsid w:val="003B2198"/>
    <w:rPr>
      <w:sz w:val="20"/>
      <w:szCs w:val="20"/>
    </w:rPr>
  </w:style>
  <w:style w:type="paragraph" w:styleId="CommentSubject">
    <w:name w:val="annotation subject"/>
    <w:basedOn w:val="CommentText"/>
    <w:next w:val="CommentText"/>
    <w:link w:val="CommentSubjectChar"/>
    <w:rsid w:val="003B2198"/>
    <w:rPr>
      <w:b/>
      <w:bCs/>
    </w:rPr>
  </w:style>
  <w:style w:type="character" w:customStyle="1" w:styleId="CommentSubjectChar">
    <w:name w:val="Comment Subject Char"/>
    <w:basedOn w:val="CommentTextChar"/>
    <w:link w:val="CommentSubject"/>
    <w:rsid w:val="003B2198"/>
    <w:rPr>
      <w:b/>
      <w:bCs/>
      <w:sz w:val="20"/>
      <w:szCs w:val="20"/>
    </w:rPr>
  </w:style>
  <w:style w:type="paragraph" w:styleId="ListParagraph">
    <w:name w:val="List Paragraph"/>
    <w:basedOn w:val="Normal"/>
    <w:uiPriority w:val="34"/>
    <w:qFormat/>
    <w:rsid w:val="00794254"/>
    <w:pPr>
      <w:ind w:left="720"/>
      <w:contextualSpacing/>
    </w:pPr>
  </w:style>
  <w:style w:type="paragraph" w:styleId="EndnoteText">
    <w:name w:val="endnote text"/>
    <w:basedOn w:val="Normal"/>
    <w:link w:val="EndnoteTextChar"/>
    <w:rsid w:val="003B6835"/>
    <w:pPr>
      <w:spacing w:before="0"/>
    </w:pPr>
    <w:rPr>
      <w:sz w:val="20"/>
      <w:szCs w:val="20"/>
    </w:rPr>
  </w:style>
  <w:style w:type="character" w:customStyle="1" w:styleId="EndnoteTextChar">
    <w:name w:val="Endnote Text Char"/>
    <w:basedOn w:val="DefaultParagraphFont"/>
    <w:link w:val="EndnoteText"/>
    <w:rsid w:val="003B6835"/>
    <w:rPr>
      <w:sz w:val="20"/>
      <w:szCs w:val="20"/>
    </w:rPr>
  </w:style>
  <w:style w:type="character" w:styleId="EndnoteReference">
    <w:name w:val="endnote reference"/>
    <w:basedOn w:val="DefaultParagraphFont"/>
    <w:rsid w:val="003B6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FollowedHyperlink">
    <w:name w:val="FollowedHyperlink"/>
    <w:basedOn w:val="DefaultParagraphFont"/>
    <w:rsid w:val="00A20198"/>
    <w:rPr>
      <w:color w:val="800080" w:themeColor="followedHyperlink"/>
      <w:u w:val="single"/>
    </w:rPr>
  </w:style>
  <w:style w:type="character" w:styleId="CommentReference">
    <w:name w:val="annotation reference"/>
    <w:basedOn w:val="DefaultParagraphFont"/>
    <w:rsid w:val="003B2198"/>
    <w:rPr>
      <w:sz w:val="16"/>
      <w:szCs w:val="16"/>
    </w:rPr>
  </w:style>
  <w:style w:type="paragraph" w:styleId="CommentText">
    <w:name w:val="annotation text"/>
    <w:basedOn w:val="Normal"/>
    <w:link w:val="CommentTextChar"/>
    <w:rsid w:val="003B2198"/>
    <w:rPr>
      <w:sz w:val="20"/>
      <w:szCs w:val="20"/>
    </w:rPr>
  </w:style>
  <w:style w:type="character" w:customStyle="1" w:styleId="CommentTextChar">
    <w:name w:val="Comment Text Char"/>
    <w:basedOn w:val="DefaultParagraphFont"/>
    <w:link w:val="CommentText"/>
    <w:rsid w:val="003B2198"/>
    <w:rPr>
      <w:sz w:val="20"/>
      <w:szCs w:val="20"/>
    </w:rPr>
  </w:style>
  <w:style w:type="paragraph" w:styleId="CommentSubject">
    <w:name w:val="annotation subject"/>
    <w:basedOn w:val="CommentText"/>
    <w:next w:val="CommentText"/>
    <w:link w:val="CommentSubjectChar"/>
    <w:rsid w:val="003B2198"/>
    <w:rPr>
      <w:b/>
      <w:bCs/>
    </w:rPr>
  </w:style>
  <w:style w:type="character" w:customStyle="1" w:styleId="CommentSubjectChar">
    <w:name w:val="Comment Subject Char"/>
    <w:basedOn w:val="CommentTextChar"/>
    <w:link w:val="CommentSubject"/>
    <w:rsid w:val="003B2198"/>
    <w:rPr>
      <w:b/>
      <w:bCs/>
      <w:sz w:val="20"/>
      <w:szCs w:val="20"/>
    </w:rPr>
  </w:style>
  <w:style w:type="paragraph" w:styleId="ListParagraph">
    <w:name w:val="List Paragraph"/>
    <w:basedOn w:val="Normal"/>
    <w:uiPriority w:val="34"/>
    <w:qFormat/>
    <w:rsid w:val="00794254"/>
    <w:pPr>
      <w:ind w:left="720"/>
      <w:contextualSpacing/>
    </w:pPr>
  </w:style>
  <w:style w:type="paragraph" w:styleId="EndnoteText">
    <w:name w:val="endnote text"/>
    <w:basedOn w:val="Normal"/>
    <w:link w:val="EndnoteTextChar"/>
    <w:rsid w:val="003B6835"/>
    <w:pPr>
      <w:spacing w:before="0"/>
    </w:pPr>
    <w:rPr>
      <w:sz w:val="20"/>
      <w:szCs w:val="20"/>
    </w:rPr>
  </w:style>
  <w:style w:type="character" w:customStyle="1" w:styleId="EndnoteTextChar">
    <w:name w:val="Endnote Text Char"/>
    <w:basedOn w:val="DefaultParagraphFont"/>
    <w:link w:val="EndnoteText"/>
    <w:rsid w:val="003B6835"/>
    <w:rPr>
      <w:sz w:val="20"/>
      <w:szCs w:val="20"/>
    </w:rPr>
  </w:style>
  <w:style w:type="character" w:styleId="EndnoteReference">
    <w:name w:val="endnote reference"/>
    <w:basedOn w:val="DefaultParagraphFont"/>
    <w:rsid w:val="003B6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government/organisations/department-for-culture-media-sport/series/performance-indicator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tatisticsauthority.gov.uk/assessment/code-of-practice/code-of-practice-for-official-statistics.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madeleine.may@culture.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atherine.mardell@culture.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tscouncil.org.uk/media/uploads/transparency/TopLineTables_200910_v3_Excel_2007.xls" TargetMode="External"/><Relationship Id="rId7" Type="http://schemas.openxmlformats.org/officeDocument/2006/relationships/hyperlink" Target="http://www.artscouncil.org.uk/funding/apply-funding/funding-programmes/regular-funding-for-organisations/outcomes-and-evaluations/national-portfolio-statistics-201314/" TargetMode="External"/><Relationship Id="rId2" Type="http://schemas.openxmlformats.org/officeDocument/2006/relationships/hyperlink" Target="http://www.artscouncil.org.uk/media/uploads/annual_sub_stat0809/Allorgs_0809.xls" TargetMode="External"/><Relationship Id="rId1" Type="http://schemas.openxmlformats.org/officeDocument/2006/relationships/hyperlink" Target="https://www.gov.uk/government/publications?departments%5B%5D=department-for-culture-media-sport&amp;publication_filter_option=statistics" TargetMode="External"/><Relationship Id="rId6" Type="http://schemas.openxmlformats.org/officeDocument/2006/relationships/hyperlink" Target="http://www.artscouncil.org.uk/funding/our-investment/funding-programmes/regular-funding-for-organisations/outcomes-and-evaluations/regularly-funded-organisations-statistics-201213/" TargetMode="External"/><Relationship Id="rId5" Type="http://schemas.openxmlformats.org/officeDocument/2006/relationships/hyperlink" Target="http://www.artscouncil.org.uk/media/uploads/pdf/RFO_report2012.pdf" TargetMode="External"/><Relationship Id="rId4" Type="http://schemas.openxmlformats.org/officeDocument/2006/relationships/hyperlink" Target="http://www.artscouncil.org.uk/media/uploads/xls/2011-09-20_TopLineTables_201011_RFO_ON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'[Charitable_Giving_Table_2013-14 with Charts 2.xlsx]Sheet1'!$C$77</c:f>
              <c:strCache>
                <c:ptCount val="1"/>
                <c:pt idx="0">
                  <c:v>2013/14</c:v>
                </c:pt>
              </c:strCache>
            </c:strRef>
          </c:tx>
          <c:dLbls>
            <c:showLegendKey val="0"/>
            <c:showVal val="1"/>
            <c:showCatName val="0"/>
            <c:showSerName val="0"/>
            <c:showPercent val="1"/>
            <c:showBubbleSize val="0"/>
            <c:showLeaderLines val="1"/>
          </c:dLbls>
          <c:cat>
            <c:strRef>
              <c:f>'[Charitable_Giving_Table_2013-14 with Charts 2.xlsx]Sheet1'!$A$78:$A$81</c:f>
              <c:strCache>
                <c:ptCount val="4"/>
                <c:pt idx="0">
                  <c:v>DONATIONS, SPONSORSHIP AND MEMBERSHIPS</c:v>
                </c:pt>
                <c:pt idx="1">
                  <c:v>DONATED OBJECTS </c:v>
                </c:pt>
                <c:pt idx="2">
                  <c:v>GRANT-IN-AID</c:v>
                </c:pt>
                <c:pt idx="3">
                  <c:v>OTHER INCOME </c:v>
                </c:pt>
              </c:strCache>
            </c:strRef>
          </c:cat>
          <c:val>
            <c:numRef>
              <c:f>'[Charitable_Giving_Table_2013-14 with Charts 2.xlsx]Sheet1'!$C$78:$C$81</c:f>
              <c:numCache>
                <c:formatCode>"£"#,##0"m"</c:formatCode>
                <c:ptCount val="4"/>
                <c:pt idx="0">
                  <c:v>455</c:v>
                </c:pt>
                <c:pt idx="1">
                  <c:v>21</c:v>
                </c:pt>
                <c:pt idx="2">
                  <c:v>974</c:v>
                </c:pt>
                <c:pt idx="3">
                  <c:v>1588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3"/>
          <c:order val="0"/>
          <c:tx>
            <c:strRef>
              <c:f>'[Charitable_Giving_Table_2013-14 with Charts 2.xlsx]Sheet1'!$A$102</c:f>
              <c:strCache>
                <c:ptCount val="1"/>
                <c:pt idx="0">
                  <c:v>OTHER INCOME </c:v>
                </c:pt>
              </c:strCache>
            </c:strRef>
          </c:tx>
          <c:invertIfNegative val="0"/>
          <c:dLbls>
            <c:showLegendKey val="0"/>
            <c:showVal val="1"/>
            <c:showCatName val="0"/>
            <c:showSerName val="0"/>
            <c:showPercent val="0"/>
            <c:showBubbleSize val="0"/>
            <c:showLeaderLines val="0"/>
          </c:dLbls>
          <c:cat>
            <c:strRef>
              <c:f>'[Charitable_Giving_Table_2013-14 with Charts 2.xlsx]Sheet1'!$B$98:$G$98</c:f>
              <c:strCache>
                <c:ptCount val="6"/>
                <c:pt idx="0">
                  <c:v>2008/09</c:v>
                </c:pt>
                <c:pt idx="1">
                  <c:v>2009/10</c:v>
                </c:pt>
                <c:pt idx="2">
                  <c:v>2010/11</c:v>
                </c:pt>
                <c:pt idx="3">
                  <c:v>2011/12</c:v>
                </c:pt>
                <c:pt idx="4">
                  <c:v>2012/13</c:v>
                </c:pt>
                <c:pt idx="5">
                  <c:v>2013/14</c:v>
                </c:pt>
              </c:strCache>
            </c:strRef>
          </c:cat>
          <c:val>
            <c:numRef>
              <c:f>'[Charitable_Giving_Table_2013-14 with Charts 2.xlsx]Sheet1'!$B$102:$G$102</c:f>
              <c:numCache>
                <c:formatCode>"£"#,##0"m"</c:formatCode>
                <c:ptCount val="6"/>
                <c:pt idx="0">
                  <c:v>1453</c:v>
                </c:pt>
                <c:pt idx="1">
                  <c:v>1402</c:v>
                </c:pt>
                <c:pt idx="2">
                  <c:v>1509</c:v>
                </c:pt>
                <c:pt idx="3">
                  <c:v>1241</c:v>
                </c:pt>
                <c:pt idx="4">
                  <c:v>1409</c:v>
                </c:pt>
                <c:pt idx="5">
                  <c:v>1588</c:v>
                </c:pt>
              </c:numCache>
            </c:numRef>
          </c:val>
        </c:ser>
        <c:ser>
          <c:idx val="2"/>
          <c:order val="1"/>
          <c:tx>
            <c:strRef>
              <c:f>'[Charitable_Giving_Table_2013-14 with Charts 2.xlsx]Sheet1'!$A$101</c:f>
              <c:strCache>
                <c:ptCount val="1"/>
                <c:pt idx="0">
                  <c:v>GRANT-IN-AID</c:v>
                </c:pt>
              </c:strCache>
            </c:strRef>
          </c:tx>
          <c:invertIfNegative val="0"/>
          <c:dLbls>
            <c:showLegendKey val="0"/>
            <c:showVal val="1"/>
            <c:showCatName val="0"/>
            <c:showSerName val="0"/>
            <c:showPercent val="0"/>
            <c:showBubbleSize val="0"/>
            <c:showLeaderLines val="0"/>
          </c:dLbls>
          <c:cat>
            <c:strRef>
              <c:f>'[Charitable_Giving_Table_2013-14 with Charts 2.xlsx]Sheet1'!$B$98:$G$98</c:f>
              <c:strCache>
                <c:ptCount val="6"/>
                <c:pt idx="0">
                  <c:v>2008/09</c:v>
                </c:pt>
                <c:pt idx="1">
                  <c:v>2009/10</c:v>
                </c:pt>
                <c:pt idx="2">
                  <c:v>2010/11</c:v>
                </c:pt>
                <c:pt idx="3">
                  <c:v>2011/12</c:v>
                </c:pt>
                <c:pt idx="4">
                  <c:v>2012/13</c:v>
                </c:pt>
                <c:pt idx="5">
                  <c:v>2013/14</c:v>
                </c:pt>
              </c:strCache>
            </c:strRef>
          </c:cat>
          <c:val>
            <c:numRef>
              <c:f>'[Charitable_Giving_Table_2013-14 with Charts 2.xlsx]Sheet1'!$B$101:$G$101</c:f>
              <c:numCache>
                <c:formatCode>"£"#,##0"m"</c:formatCode>
                <c:ptCount val="6"/>
                <c:pt idx="0">
                  <c:v>1064</c:v>
                </c:pt>
                <c:pt idx="1">
                  <c:v>1077</c:v>
                </c:pt>
                <c:pt idx="2">
                  <c:v>1047</c:v>
                </c:pt>
                <c:pt idx="3">
                  <c:v>994</c:v>
                </c:pt>
                <c:pt idx="4">
                  <c:v>1032</c:v>
                </c:pt>
                <c:pt idx="5">
                  <c:v>974</c:v>
                </c:pt>
              </c:numCache>
            </c:numRef>
          </c:val>
        </c:ser>
        <c:ser>
          <c:idx val="0"/>
          <c:order val="2"/>
          <c:tx>
            <c:strRef>
              <c:f>'[Charitable_Giving_Table_2013-14 with Charts 2.xlsx]Sheet1'!$A$99</c:f>
              <c:strCache>
                <c:ptCount val="1"/>
                <c:pt idx="0">
                  <c:v>DONATIONS, SPONSORSHIP AND MEMBERSHIPS</c:v>
                </c:pt>
              </c:strCache>
            </c:strRef>
          </c:tx>
          <c:invertIfNegative val="0"/>
          <c:dLbls>
            <c:showLegendKey val="0"/>
            <c:showVal val="1"/>
            <c:showCatName val="0"/>
            <c:showSerName val="0"/>
            <c:showPercent val="0"/>
            <c:showBubbleSize val="0"/>
            <c:showLeaderLines val="0"/>
          </c:dLbls>
          <c:cat>
            <c:strRef>
              <c:f>'[Charitable_Giving_Table_2013-14 with Charts 2.xlsx]Sheet1'!$B$98:$G$98</c:f>
              <c:strCache>
                <c:ptCount val="6"/>
                <c:pt idx="0">
                  <c:v>2008/09</c:v>
                </c:pt>
                <c:pt idx="1">
                  <c:v>2009/10</c:v>
                </c:pt>
                <c:pt idx="2">
                  <c:v>2010/11</c:v>
                </c:pt>
                <c:pt idx="3">
                  <c:v>2011/12</c:v>
                </c:pt>
                <c:pt idx="4">
                  <c:v>2012/13</c:v>
                </c:pt>
                <c:pt idx="5">
                  <c:v>2013/14</c:v>
                </c:pt>
              </c:strCache>
            </c:strRef>
          </c:cat>
          <c:val>
            <c:numRef>
              <c:f>'[Charitable_Giving_Table_2013-14 with Charts 2.xlsx]Sheet1'!$B$99:$G$99</c:f>
              <c:numCache>
                <c:formatCode>"£"#,##0"m"</c:formatCode>
                <c:ptCount val="6"/>
                <c:pt idx="0">
                  <c:v>204</c:v>
                </c:pt>
                <c:pt idx="1">
                  <c:v>218</c:v>
                </c:pt>
                <c:pt idx="2">
                  <c:v>234</c:v>
                </c:pt>
                <c:pt idx="3">
                  <c:v>274</c:v>
                </c:pt>
                <c:pt idx="4">
                  <c:v>293</c:v>
                </c:pt>
                <c:pt idx="5">
                  <c:v>455</c:v>
                </c:pt>
              </c:numCache>
            </c:numRef>
          </c:val>
        </c:ser>
        <c:ser>
          <c:idx val="1"/>
          <c:order val="3"/>
          <c:tx>
            <c:strRef>
              <c:f>'[Charitable_Giving_Table_2013-14 with Charts 2.xlsx]Sheet1'!$A$100</c:f>
              <c:strCache>
                <c:ptCount val="1"/>
                <c:pt idx="0">
                  <c:v>DONATED OBJECTS </c:v>
                </c:pt>
              </c:strCache>
            </c:strRef>
          </c:tx>
          <c:invertIfNegative val="0"/>
          <c:dLbls>
            <c:dLblPos val="inBase"/>
            <c:showLegendKey val="0"/>
            <c:showVal val="1"/>
            <c:showCatName val="0"/>
            <c:showSerName val="0"/>
            <c:showPercent val="0"/>
            <c:showBubbleSize val="0"/>
            <c:showLeaderLines val="0"/>
          </c:dLbls>
          <c:cat>
            <c:strRef>
              <c:f>'[Charitable_Giving_Table_2013-14 with Charts 2.xlsx]Sheet1'!$B$98:$G$98</c:f>
              <c:strCache>
                <c:ptCount val="6"/>
                <c:pt idx="0">
                  <c:v>2008/09</c:v>
                </c:pt>
                <c:pt idx="1">
                  <c:v>2009/10</c:v>
                </c:pt>
                <c:pt idx="2">
                  <c:v>2010/11</c:v>
                </c:pt>
                <c:pt idx="3">
                  <c:v>2011/12</c:v>
                </c:pt>
                <c:pt idx="4">
                  <c:v>2012/13</c:v>
                </c:pt>
                <c:pt idx="5">
                  <c:v>2013/14</c:v>
                </c:pt>
              </c:strCache>
            </c:strRef>
          </c:cat>
          <c:val>
            <c:numRef>
              <c:f>'[Charitable_Giving_Table_2013-14 with Charts 2.xlsx]Sheet1'!$B$100:$G$100</c:f>
              <c:numCache>
                <c:formatCode>"£"#,##0"m"</c:formatCode>
                <c:ptCount val="6"/>
                <c:pt idx="0">
                  <c:v>100</c:v>
                </c:pt>
                <c:pt idx="1">
                  <c:v>18</c:v>
                </c:pt>
                <c:pt idx="2">
                  <c:v>17</c:v>
                </c:pt>
                <c:pt idx="3">
                  <c:v>83</c:v>
                </c:pt>
                <c:pt idx="4">
                  <c:v>55</c:v>
                </c:pt>
                <c:pt idx="5">
                  <c:v>21</c:v>
                </c:pt>
              </c:numCache>
            </c:numRef>
          </c:val>
        </c:ser>
        <c:dLbls>
          <c:showLegendKey val="0"/>
          <c:showVal val="0"/>
          <c:showCatName val="0"/>
          <c:showSerName val="0"/>
          <c:showPercent val="0"/>
          <c:showBubbleSize val="0"/>
        </c:dLbls>
        <c:gapWidth val="39"/>
        <c:overlap val="100"/>
        <c:axId val="124186624"/>
        <c:axId val="124188160"/>
      </c:barChart>
      <c:catAx>
        <c:axId val="124186624"/>
        <c:scaling>
          <c:orientation val="minMax"/>
        </c:scaling>
        <c:delete val="0"/>
        <c:axPos val="b"/>
        <c:majorTickMark val="out"/>
        <c:minorTickMark val="none"/>
        <c:tickLblPos val="nextTo"/>
        <c:crossAx val="124188160"/>
        <c:crosses val="autoZero"/>
        <c:auto val="1"/>
        <c:lblAlgn val="ctr"/>
        <c:lblOffset val="100"/>
        <c:noMultiLvlLbl val="0"/>
      </c:catAx>
      <c:valAx>
        <c:axId val="124188160"/>
        <c:scaling>
          <c:orientation val="minMax"/>
        </c:scaling>
        <c:delete val="0"/>
        <c:axPos val="l"/>
        <c:majorGridlines/>
        <c:numFmt formatCode="0%" sourceLinked="1"/>
        <c:majorTickMark val="out"/>
        <c:minorTickMark val="none"/>
        <c:tickLblPos val="nextTo"/>
        <c:crossAx val="12418662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'[Charitable_Giving_Table_2013-14 with Charts 2.xlsx]Sheet1'!$A$109</c:f>
              <c:strCache>
                <c:ptCount val="1"/>
                <c:pt idx="0">
                  <c:v>2008/09</c:v>
                </c:pt>
              </c:strCache>
            </c:strRef>
          </c:tx>
          <c:invertIfNegative val="0"/>
          <c:dLbls>
            <c:showLegendKey val="0"/>
            <c:showVal val="1"/>
            <c:showCatName val="0"/>
            <c:showSerName val="0"/>
            <c:showPercent val="0"/>
            <c:showBubbleSize val="0"/>
            <c:showLeaderLines val="0"/>
          </c:dLbls>
          <c:cat>
            <c:strRef>
              <c:f>'[Charitable_Giving_Table_2013-14 with Charts 2.xlsx]Sheet1'!$B$108:$C$108</c:f>
              <c:strCache>
                <c:ptCount val="2"/>
                <c:pt idx="0">
                  <c:v>DONATIONS, SPONSORSHIP &amp; MEMBERSHIPS </c:v>
                </c:pt>
                <c:pt idx="1">
                  <c:v>DONATED OBJECTS </c:v>
                </c:pt>
              </c:strCache>
            </c:strRef>
          </c:cat>
          <c:val>
            <c:numRef>
              <c:f>'[Charitable_Giving_Table_2013-14 with Charts 2.xlsx]Sheet1'!$B$109:$C$109</c:f>
              <c:numCache>
                <c:formatCode>"£"#,##0"m"</c:formatCode>
                <c:ptCount val="2"/>
                <c:pt idx="0">
                  <c:v>204</c:v>
                </c:pt>
                <c:pt idx="1">
                  <c:v>100</c:v>
                </c:pt>
              </c:numCache>
            </c:numRef>
          </c:val>
        </c:ser>
        <c:ser>
          <c:idx val="1"/>
          <c:order val="1"/>
          <c:tx>
            <c:strRef>
              <c:f>'[Charitable_Giving_Table_2013-14 with Charts 2.xlsx]Sheet1'!$A$110</c:f>
              <c:strCache>
                <c:ptCount val="1"/>
                <c:pt idx="0">
                  <c:v>2009/10</c:v>
                </c:pt>
              </c:strCache>
            </c:strRef>
          </c:tx>
          <c:invertIfNegative val="0"/>
          <c:dLbls>
            <c:showLegendKey val="0"/>
            <c:showVal val="1"/>
            <c:showCatName val="0"/>
            <c:showSerName val="0"/>
            <c:showPercent val="0"/>
            <c:showBubbleSize val="0"/>
            <c:showLeaderLines val="0"/>
          </c:dLbls>
          <c:cat>
            <c:strRef>
              <c:f>'[Charitable_Giving_Table_2013-14 with Charts 2.xlsx]Sheet1'!$B$108:$C$108</c:f>
              <c:strCache>
                <c:ptCount val="2"/>
                <c:pt idx="0">
                  <c:v>DONATIONS, SPONSORSHIP &amp; MEMBERSHIPS </c:v>
                </c:pt>
                <c:pt idx="1">
                  <c:v>DONATED OBJECTS </c:v>
                </c:pt>
              </c:strCache>
            </c:strRef>
          </c:cat>
          <c:val>
            <c:numRef>
              <c:f>'[Charitable_Giving_Table_2013-14 with Charts 2.xlsx]Sheet1'!$B$110:$C$110</c:f>
              <c:numCache>
                <c:formatCode>"£"#,##0"m"</c:formatCode>
                <c:ptCount val="2"/>
                <c:pt idx="0">
                  <c:v>218</c:v>
                </c:pt>
                <c:pt idx="1">
                  <c:v>18</c:v>
                </c:pt>
              </c:numCache>
            </c:numRef>
          </c:val>
        </c:ser>
        <c:ser>
          <c:idx val="2"/>
          <c:order val="2"/>
          <c:tx>
            <c:strRef>
              <c:f>'[Charitable_Giving_Table_2013-14 with Charts 2.xlsx]Sheet1'!$A$111</c:f>
              <c:strCache>
                <c:ptCount val="1"/>
                <c:pt idx="0">
                  <c:v>2010/11</c:v>
                </c:pt>
              </c:strCache>
            </c:strRef>
          </c:tx>
          <c:invertIfNegative val="0"/>
          <c:dLbls>
            <c:showLegendKey val="0"/>
            <c:showVal val="1"/>
            <c:showCatName val="0"/>
            <c:showSerName val="0"/>
            <c:showPercent val="0"/>
            <c:showBubbleSize val="0"/>
            <c:showLeaderLines val="0"/>
          </c:dLbls>
          <c:cat>
            <c:strRef>
              <c:f>'[Charitable_Giving_Table_2013-14 with Charts 2.xlsx]Sheet1'!$B$108:$C$108</c:f>
              <c:strCache>
                <c:ptCount val="2"/>
                <c:pt idx="0">
                  <c:v>DONATIONS, SPONSORSHIP &amp; MEMBERSHIPS </c:v>
                </c:pt>
                <c:pt idx="1">
                  <c:v>DONATED OBJECTS </c:v>
                </c:pt>
              </c:strCache>
            </c:strRef>
          </c:cat>
          <c:val>
            <c:numRef>
              <c:f>'[Charitable_Giving_Table_2013-14 with Charts 2.xlsx]Sheet1'!$B$111:$C$111</c:f>
              <c:numCache>
                <c:formatCode>"£"#,##0"m"</c:formatCode>
                <c:ptCount val="2"/>
                <c:pt idx="0">
                  <c:v>234</c:v>
                </c:pt>
                <c:pt idx="1">
                  <c:v>17</c:v>
                </c:pt>
              </c:numCache>
            </c:numRef>
          </c:val>
        </c:ser>
        <c:ser>
          <c:idx val="3"/>
          <c:order val="3"/>
          <c:tx>
            <c:strRef>
              <c:f>'[Charitable_Giving_Table_2013-14 with Charts 2.xlsx]Sheet1'!$A$112</c:f>
              <c:strCache>
                <c:ptCount val="1"/>
                <c:pt idx="0">
                  <c:v>2011/12</c:v>
                </c:pt>
              </c:strCache>
            </c:strRef>
          </c:tx>
          <c:invertIfNegative val="0"/>
          <c:dLbls>
            <c:showLegendKey val="0"/>
            <c:showVal val="1"/>
            <c:showCatName val="0"/>
            <c:showSerName val="0"/>
            <c:showPercent val="0"/>
            <c:showBubbleSize val="0"/>
            <c:showLeaderLines val="0"/>
          </c:dLbls>
          <c:cat>
            <c:strRef>
              <c:f>'[Charitable_Giving_Table_2013-14 with Charts 2.xlsx]Sheet1'!$B$108:$C$108</c:f>
              <c:strCache>
                <c:ptCount val="2"/>
                <c:pt idx="0">
                  <c:v>DONATIONS, SPONSORSHIP &amp; MEMBERSHIPS </c:v>
                </c:pt>
                <c:pt idx="1">
                  <c:v>DONATED OBJECTS </c:v>
                </c:pt>
              </c:strCache>
            </c:strRef>
          </c:cat>
          <c:val>
            <c:numRef>
              <c:f>'[Charitable_Giving_Table_2013-14 with Charts 2.xlsx]Sheet1'!$B$112:$C$112</c:f>
              <c:numCache>
                <c:formatCode>"£"#,##0"m"</c:formatCode>
                <c:ptCount val="2"/>
                <c:pt idx="0">
                  <c:v>274</c:v>
                </c:pt>
                <c:pt idx="1">
                  <c:v>83</c:v>
                </c:pt>
              </c:numCache>
            </c:numRef>
          </c:val>
        </c:ser>
        <c:ser>
          <c:idx val="4"/>
          <c:order val="4"/>
          <c:tx>
            <c:strRef>
              <c:f>'[Charitable_Giving_Table_2013-14 with Charts 2.xlsx]Sheet1'!$A$113</c:f>
              <c:strCache>
                <c:ptCount val="1"/>
                <c:pt idx="0">
                  <c:v>2012/13</c:v>
                </c:pt>
              </c:strCache>
            </c:strRef>
          </c:tx>
          <c:invertIfNegative val="0"/>
          <c:dLbls>
            <c:showLegendKey val="0"/>
            <c:showVal val="1"/>
            <c:showCatName val="0"/>
            <c:showSerName val="0"/>
            <c:showPercent val="0"/>
            <c:showBubbleSize val="0"/>
            <c:showLeaderLines val="0"/>
          </c:dLbls>
          <c:cat>
            <c:strRef>
              <c:f>'[Charitable_Giving_Table_2013-14 with Charts 2.xlsx]Sheet1'!$B$108:$C$108</c:f>
              <c:strCache>
                <c:ptCount val="2"/>
                <c:pt idx="0">
                  <c:v>DONATIONS, SPONSORSHIP &amp; MEMBERSHIPS </c:v>
                </c:pt>
                <c:pt idx="1">
                  <c:v>DONATED OBJECTS </c:v>
                </c:pt>
              </c:strCache>
            </c:strRef>
          </c:cat>
          <c:val>
            <c:numRef>
              <c:f>'[Charitable_Giving_Table_2013-14 with Charts 2.xlsx]Sheet1'!$B$113:$C$113</c:f>
              <c:numCache>
                <c:formatCode>"£"#,##0"m"</c:formatCode>
                <c:ptCount val="2"/>
                <c:pt idx="0">
                  <c:v>293</c:v>
                </c:pt>
                <c:pt idx="1">
                  <c:v>55</c:v>
                </c:pt>
              </c:numCache>
            </c:numRef>
          </c:val>
        </c:ser>
        <c:ser>
          <c:idx val="5"/>
          <c:order val="5"/>
          <c:tx>
            <c:strRef>
              <c:f>'[Charitable_Giving_Table_2013-14 with Charts 2.xlsx]Sheet1'!$A$114</c:f>
              <c:strCache>
                <c:ptCount val="1"/>
                <c:pt idx="0">
                  <c:v>2013/14</c:v>
                </c:pt>
              </c:strCache>
            </c:strRef>
          </c:tx>
          <c:invertIfNegative val="0"/>
          <c:dLbls>
            <c:showLegendKey val="0"/>
            <c:showVal val="1"/>
            <c:showCatName val="0"/>
            <c:showSerName val="0"/>
            <c:showPercent val="0"/>
            <c:showBubbleSize val="0"/>
            <c:showLeaderLines val="0"/>
          </c:dLbls>
          <c:cat>
            <c:strRef>
              <c:f>'[Charitable_Giving_Table_2013-14 with Charts 2.xlsx]Sheet1'!$B$108:$C$108</c:f>
              <c:strCache>
                <c:ptCount val="2"/>
                <c:pt idx="0">
                  <c:v>DONATIONS, SPONSORSHIP &amp; MEMBERSHIPS </c:v>
                </c:pt>
                <c:pt idx="1">
                  <c:v>DONATED OBJECTS </c:v>
                </c:pt>
              </c:strCache>
            </c:strRef>
          </c:cat>
          <c:val>
            <c:numRef>
              <c:f>'[Charitable_Giving_Table_2013-14 with Charts 2.xlsx]Sheet1'!$B$114:$C$114</c:f>
              <c:numCache>
                <c:formatCode>"£"#,##0"m"</c:formatCode>
                <c:ptCount val="2"/>
                <c:pt idx="0">
                  <c:v>455</c:v>
                </c:pt>
                <c:pt idx="1">
                  <c:v>21</c:v>
                </c:pt>
              </c:numCache>
            </c:numRef>
          </c:val>
        </c:ser>
        <c:dLbls>
          <c:showLegendKey val="0"/>
          <c:showVal val="0"/>
          <c:showCatName val="0"/>
          <c:showSerName val="0"/>
          <c:showPercent val="0"/>
          <c:showBubbleSize val="0"/>
        </c:dLbls>
        <c:gapWidth val="101"/>
        <c:axId val="97946624"/>
        <c:axId val="97960704"/>
      </c:barChart>
      <c:catAx>
        <c:axId val="97946624"/>
        <c:scaling>
          <c:orientation val="minMax"/>
        </c:scaling>
        <c:delete val="0"/>
        <c:axPos val="b"/>
        <c:majorTickMark val="out"/>
        <c:minorTickMark val="none"/>
        <c:tickLblPos val="nextTo"/>
        <c:crossAx val="97960704"/>
        <c:crosses val="autoZero"/>
        <c:auto val="1"/>
        <c:lblAlgn val="ctr"/>
        <c:lblOffset val="100"/>
        <c:noMultiLvlLbl val="0"/>
      </c:catAx>
      <c:valAx>
        <c:axId val="97960704"/>
        <c:scaling>
          <c:orientation val="minMax"/>
        </c:scaling>
        <c:delete val="0"/>
        <c:axPos val="l"/>
        <c:majorGridlines/>
        <c:numFmt formatCode="&quot;£&quot;#,##0&quot;m&quot;" sourceLinked="1"/>
        <c:majorTickMark val="out"/>
        <c:minorTickMark val="none"/>
        <c:tickLblPos val="nextTo"/>
        <c:crossAx val="979466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4E6C-5678-4BF7-BA2F-E58B47AD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10</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CATHERINE</dc:creator>
  <cp:lastModifiedBy>HALL, Madeleine</cp:lastModifiedBy>
  <cp:revision>2</cp:revision>
  <cp:lastPrinted>2013-11-14T10:22:00Z</cp:lastPrinted>
  <dcterms:created xsi:type="dcterms:W3CDTF">2014-11-26T10:31:00Z</dcterms:created>
  <dcterms:modified xsi:type="dcterms:W3CDTF">2014-11-26T10:31:00Z</dcterms:modified>
</cp:coreProperties>
</file>