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1" w:rsidRPr="00F23B01" w:rsidRDefault="00F23B01" w:rsidP="00F23B01">
      <w:pPr>
        <w:spacing w:after="0" w:line="240" w:lineRule="auto"/>
      </w:pPr>
    </w:p>
    <w:p w:rsidR="00122C12" w:rsidRPr="00122C12" w:rsidRDefault="00122C12" w:rsidP="00122C12">
      <w:pPr>
        <w:spacing w:after="0" w:line="240" w:lineRule="auto"/>
        <w:jc w:val="center"/>
        <w:rPr>
          <w:b/>
        </w:rPr>
      </w:pPr>
      <w:r w:rsidRPr="00122C12">
        <w:rPr>
          <w:b/>
        </w:rPr>
        <w:t xml:space="preserve">FCO SPF </w:t>
      </w:r>
      <w:r>
        <w:rPr>
          <w:b/>
        </w:rPr>
        <w:t>PROJECT EVALUATION</w:t>
      </w:r>
    </w:p>
    <w:p w:rsidR="007C118F" w:rsidRDefault="007C118F" w:rsidP="001C4482">
      <w:pPr>
        <w:spacing w:after="0" w:line="240" w:lineRule="auto"/>
        <w:rPr>
          <w:b/>
          <w:u w:val="single"/>
        </w:rPr>
      </w:pPr>
    </w:p>
    <w:p w:rsidR="007C118F" w:rsidRPr="007C118F" w:rsidRDefault="007C118F" w:rsidP="001C4482">
      <w:pPr>
        <w:spacing w:after="0" w:line="240" w:lineRule="auto"/>
      </w:pPr>
      <w:r>
        <w:t>Sections 1-3</w:t>
      </w:r>
      <w:r w:rsidRPr="007C118F">
        <w:t xml:space="preserve"> to be filled out by Programme Teams</w:t>
      </w:r>
      <w:r>
        <w:t xml:space="preserve"> / Post</w:t>
      </w:r>
    </w:p>
    <w:p w:rsidR="00BE4167" w:rsidRDefault="00BE4167" w:rsidP="001C4482">
      <w:pPr>
        <w:spacing w:after="0" w:line="240" w:lineRule="auto"/>
      </w:pPr>
    </w:p>
    <w:p w:rsidR="00BE4167" w:rsidRPr="007C118F" w:rsidRDefault="00824B59" w:rsidP="007C1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C118F">
        <w:rPr>
          <w:b/>
        </w:rPr>
        <w:t>Project Details</w:t>
      </w:r>
      <w:r w:rsidR="007C118F" w:rsidRPr="007C118F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C6015B" w:rsidTr="0043665C">
        <w:tc>
          <w:tcPr>
            <w:tcW w:w="3510" w:type="dxa"/>
          </w:tcPr>
          <w:p w:rsidR="00C6015B" w:rsidRDefault="00C6015B" w:rsidP="00C6015B">
            <w:r>
              <w:t xml:space="preserve">Project Number </w:t>
            </w:r>
          </w:p>
          <w:p w:rsidR="009A2B69" w:rsidRDefault="009A2B69" w:rsidP="009A2B69"/>
        </w:tc>
        <w:tc>
          <w:tcPr>
            <w:tcW w:w="5732" w:type="dxa"/>
          </w:tcPr>
          <w:p w:rsidR="00C6015B" w:rsidRPr="003F2D74" w:rsidRDefault="003F2D74" w:rsidP="001C4482">
            <w:pPr>
              <w:rPr>
                <w:b/>
              </w:rPr>
            </w:pPr>
            <w:r w:rsidRPr="003F2D74">
              <w:rPr>
                <w:b/>
              </w:rPr>
              <w:t>GB-3-111301 CHN</w:t>
            </w:r>
          </w:p>
        </w:tc>
      </w:tr>
      <w:tr w:rsidR="00C6015B" w:rsidTr="0043665C">
        <w:tc>
          <w:tcPr>
            <w:tcW w:w="3510" w:type="dxa"/>
          </w:tcPr>
          <w:p w:rsidR="00C6015B" w:rsidRDefault="00C6015B" w:rsidP="00C6015B">
            <w:r>
              <w:t>Project Title</w:t>
            </w:r>
          </w:p>
          <w:p w:rsidR="00C6015B" w:rsidRDefault="00C6015B" w:rsidP="001C4482"/>
        </w:tc>
        <w:tc>
          <w:tcPr>
            <w:tcW w:w="5732" w:type="dxa"/>
          </w:tcPr>
          <w:p w:rsidR="00C6015B" w:rsidRPr="0039537A" w:rsidRDefault="0039537A" w:rsidP="001C4482">
            <w:pPr>
              <w:rPr>
                <w:b/>
              </w:rPr>
            </w:pPr>
            <w:r w:rsidRPr="0039537A">
              <w:rPr>
                <w:b/>
              </w:rPr>
              <w:t>Promoting Legal Protection for the Media in China</w:t>
            </w:r>
          </w:p>
        </w:tc>
      </w:tr>
      <w:tr w:rsidR="00C6015B" w:rsidTr="0043665C">
        <w:tc>
          <w:tcPr>
            <w:tcW w:w="3510" w:type="dxa"/>
          </w:tcPr>
          <w:p w:rsidR="00C6015B" w:rsidRDefault="00F23B01" w:rsidP="00F23B01">
            <w:r>
              <w:t>Project Cost (total cost / cost to FCO if different)</w:t>
            </w:r>
          </w:p>
        </w:tc>
        <w:tc>
          <w:tcPr>
            <w:tcW w:w="5732" w:type="dxa"/>
          </w:tcPr>
          <w:p w:rsidR="00C6015B" w:rsidRPr="003F2D74" w:rsidRDefault="003F2D74" w:rsidP="001C4482">
            <w:pPr>
              <w:rPr>
                <w:b/>
              </w:rPr>
            </w:pPr>
            <w:r w:rsidRPr="003F2D74">
              <w:rPr>
                <w:b/>
              </w:rPr>
              <w:t>£72,837</w:t>
            </w:r>
          </w:p>
        </w:tc>
      </w:tr>
      <w:tr w:rsidR="003F2D74" w:rsidTr="0043665C">
        <w:tc>
          <w:tcPr>
            <w:tcW w:w="3510" w:type="dxa"/>
          </w:tcPr>
          <w:p w:rsidR="003F2D74" w:rsidRDefault="003F2D74" w:rsidP="00C6015B">
            <w:r>
              <w:t>Project Start/End Dates</w:t>
            </w:r>
          </w:p>
          <w:p w:rsidR="003F2D74" w:rsidRDefault="003F2D74" w:rsidP="001C4482"/>
        </w:tc>
        <w:tc>
          <w:tcPr>
            <w:tcW w:w="5732" w:type="dxa"/>
          </w:tcPr>
          <w:p w:rsidR="003F2D74" w:rsidRDefault="003F2D74">
            <w:pPr>
              <w:rPr>
                <w:b/>
              </w:rPr>
            </w:pPr>
            <w:r>
              <w:rPr>
                <w:b/>
              </w:rPr>
              <w:t>June 12 – February 13</w:t>
            </w:r>
          </w:p>
        </w:tc>
      </w:tr>
      <w:tr w:rsidR="003F2D74" w:rsidTr="0043665C">
        <w:tc>
          <w:tcPr>
            <w:tcW w:w="3510" w:type="dxa"/>
          </w:tcPr>
          <w:p w:rsidR="003F2D74" w:rsidRDefault="003F2D74" w:rsidP="0043665C">
            <w:r>
              <w:t>Programme</w:t>
            </w:r>
          </w:p>
          <w:p w:rsidR="003F2D74" w:rsidRDefault="003F2D74" w:rsidP="0043665C"/>
        </w:tc>
        <w:tc>
          <w:tcPr>
            <w:tcW w:w="5732" w:type="dxa"/>
          </w:tcPr>
          <w:p w:rsidR="003F2D74" w:rsidRDefault="003F2D74">
            <w:pPr>
              <w:rPr>
                <w:b/>
              </w:rPr>
            </w:pPr>
            <w:r>
              <w:rPr>
                <w:b/>
              </w:rPr>
              <w:t>Human Rights and Democracy</w:t>
            </w:r>
          </w:p>
        </w:tc>
      </w:tr>
      <w:tr w:rsidR="003F2D74" w:rsidTr="0043665C">
        <w:tc>
          <w:tcPr>
            <w:tcW w:w="3510" w:type="dxa"/>
          </w:tcPr>
          <w:p w:rsidR="003F2D74" w:rsidRDefault="003F2D74" w:rsidP="0043665C">
            <w:r>
              <w:t>Country/Countries</w:t>
            </w:r>
          </w:p>
          <w:p w:rsidR="003F2D74" w:rsidRDefault="003F2D74" w:rsidP="001C4482"/>
        </w:tc>
        <w:tc>
          <w:tcPr>
            <w:tcW w:w="5732" w:type="dxa"/>
          </w:tcPr>
          <w:p w:rsidR="003F2D74" w:rsidRDefault="003F2D74">
            <w:pPr>
              <w:rPr>
                <w:b/>
              </w:rPr>
            </w:pPr>
            <w:r>
              <w:rPr>
                <w:b/>
              </w:rPr>
              <w:t>China</w:t>
            </w:r>
            <w:r w:rsidR="0089680E">
              <w:rPr>
                <w:b/>
              </w:rPr>
              <w:t xml:space="preserve"> </w:t>
            </w:r>
          </w:p>
        </w:tc>
      </w:tr>
      <w:tr w:rsidR="003F2D74" w:rsidTr="0043665C">
        <w:tc>
          <w:tcPr>
            <w:tcW w:w="3510" w:type="dxa"/>
          </w:tcPr>
          <w:p w:rsidR="003F2D74" w:rsidRDefault="003F2D74" w:rsidP="0043665C">
            <w:r>
              <w:t>Official Development Assistance    Y/N</w:t>
            </w:r>
          </w:p>
          <w:p w:rsidR="003F2D74" w:rsidRDefault="003F2D74" w:rsidP="001C4482"/>
        </w:tc>
        <w:tc>
          <w:tcPr>
            <w:tcW w:w="5732" w:type="dxa"/>
          </w:tcPr>
          <w:p w:rsidR="003F2D74" w:rsidRDefault="003F2D74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C6015B" w:rsidRDefault="00C6015B" w:rsidP="001C4482">
      <w:pPr>
        <w:spacing w:after="0" w:line="240" w:lineRule="auto"/>
      </w:pPr>
    </w:p>
    <w:p w:rsidR="00C6015B" w:rsidRDefault="00C6015B" w:rsidP="00982CF6">
      <w:pPr>
        <w:spacing w:after="0" w:line="240" w:lineRule="auto"/>
      </w:pPr>
    </w:p>
    <w:p w:rsidR="00982CF6" w:rsidRDefault="00982CF6" w:rsidP="007C118F">
      <w:pPr>
        <w:pStyle w:val="ListParagraph"/>
        <w:numPr>
          <w:ilvl w:val="0"/>
          <w:numId w:val="1"/>
        </w:numPr>
        <w:spacing w:after="0" w:line="240" w:lineRule="auto"/>
      </w:pPr>
      <w:r w:rsidRPr="007C118F">
        <w:rPr>
          <w:b/>
        </w:rPr>
        <w:t>Project Purpose</w:t>
      </w:r>
      <w:r w:rsidR="00C6015B">
        <w:t xml:space="preserve"> </w:t>
      </w:r>
      <w:r w:rsidR="0043665C">
        <w:t>(from proposal form)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7D4E54" w:rsidRDefault="0039537A" w:rsidP="0039537A">
            <w:r>
              <w:t>To promote better protection for the Chinese media through training for legal practitioners and pilot implementation in two local courts.</w:t>
            </w:r>
          </w:p>
        </w:tc>
      </w:tr>
    </w:tbl>
    <w:p w:rsidR="00C6015B" w:rsidRDefault="00C6015B" w:rsidP="00982CF6">
      <w:pPr>
        <w:spacing w:after="0" w:line="240" w:lineRule="auto"/>
      </w:pPr>
    </w:p>
    <w:p w:rsidR="007D4E54" w:rsidRDefault="007D4E54" w:rsidP="00982CF6">
      <w:pPr>
        <w:spacing w:after="0" w:line="240" w:lineRule="auto"/>
      </w:pPr>
    </w:p>
    <w:p w:rsidR="007D4E54" w:rsidRDefault="007D4E54" w:rsidP="00982CF6">
      <w:pPr>
        <w:spacing w:after="0" w:line="240" w:lineRule="auto"/>
      </w:pPr>
    </w:p>
    <w:p w:rsidR="001C4482" w:rsidRDefault="001C4482" w:rsidP="007C118F">
      <w:pPr>
        <w:pStyle w:val="ListParagraph"/>
        <w:numPr>
          <w:ilvl w:val="0"/>
          <w:numId w:val="1"/>
        </w:numPr>
        <w:spacing w:after="0" w:line="240" w:lineRule="auto"/>
      </w:pPr>
      <w:r w:rsidRPr="007C118F">
        <w:rPr>
          <w:b/>
        </w:rPr>
        <w:t>Project Background</w:t>
      </w:r>
      <w:r w:rsidR="00E50276" w:rsidRPr="007C118F">
        <w:rPr>
          <w:b/>
        </w:rPr>
        <w:t xml:space="preserve"> / Context</w:t>
      </w:r>
      <w:r w:rsidR="00C6015B">
        <w:t xml:space="preserve"> including what the project set out to achieve</w:t>
      </w:r>
      <w:r w:rsidR="007D4E54"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7D4E54" w:rsidRDefault="003F2D74" w:rsidP="003F2D74">
            <w:r>
              <w:t>The project</w:t>
            </w:r>
            <w:r w:rsidRPr="003F2D74">
              <w:t xml:space="preserve"> aims at promoting a protective legal framework by contributing to the on-going work on a judicial interpretation as it relates to the media and supporting its implementation in favour of the rights of the media.  </w:t>
            </w:r>
          </w:p>
        </w:tc>
      </w:tr>
    </w:tbl>
    <w:p w:rsidR="001C4482" w:rsidRDefault="001C4482" w:rsidP="001C4482">
      <w:pPr>
        <w:spacing w:after="0" w:line="240" w:lineRule="auto"/>
      </w:pPr>
    </w:p>
    <w:p w:rsidR="001C4482" w:rsidRDefault="001C4482" w:rsidP="001C4482">
      <w:pPr>
        <w:spacing w:after="0" w:line="240" w:lineRule="auto"/>
      </w:pPr>
    </w:p>
    <w:p w:rsidR="0006138E" w:rsidRDefault="0006138E" w:rsidP="001C4482">
      <w:pPr>
        <w:spacing w:after="0" w:line="240" w:lineRule="auto"/>
      </w:pPr>
    </w:p>
    <w:p w:rsidR="00C94678" w:rsidRPr="00C94678" w:rsidRDefault="00C94678" w:rsidP="001C4482">
      <w:pPr>
        <w:pStyle w:val="ListParagraph"/>
        <w:numPr>
          <w:ilvl w:val="0"/>
          <w:numId w:val="1"/>
        </w:numPr>
        <w:spacing w:after="0" w:line="240" w:lineRule="auto"/>
      </w:pPr>
      <w:r w:rsidRPr="007C3AB5">
        <w:rPr>
          <w:b/>
        </w:rPr>
        <w:t>Evaluation summary</w:t>
      </w:r>
      <w:r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C6015B" w:rsidRDefault="00E44635" w:rsidP="00786DDA">
            <w:r>
              <w:t xml:space="preserve">Freedom of </w:t>
            </w:r>
            <w:r w:rsidR="00533DA0">
              <w:t>Expression</w:t>
            </w:r>
            <w:r>
              <w:t xml:space="preserve"> work </w:t>
            </w:r>
            <w:r w:rsidR="00D17D93">
              <w:t>is politically sensitive</w:t>
            </w:r>
            <w:r>
              <w:t xml:space="preserve"> in China, and the approach of working with courts to help de</w:t>
            </w:r>
            <w:r w:rsidR="0043697D">
              <w:t xml:space="preserve">velop clarity on existing laws is </w:t>
            </w:r>
            <w:r>
              <w:t xml:space="preserve">a </w:t>
            </w:r>
            <w:r w:rsidR="00D21842">
              <w:t>pragmatic and constructive</w:t>
            </w:r>
            <w:r>
              <w:t xml:space="preserve"> approach. </w:t>
            </w:r>
            <w:r w:rsidR="0043697D">
              <w:t>To establish how the UK wants to work to reform in this area in future, we recommend</w:t>
            </w:r>
            <w:r>
              <w:t xml:space="preserve"> a wider “Theory of Change” assessment</w:t>
            </w:r>
            <w:r w:rsidR="0043697D">
              <w:t xml:space="preserve"> in order to understand how a project is anchored to its wider objectives. This</w:t>
            </w:r>
            <w:r>
              <w:t xml:space="preserve"> project</w:t>
            </w:r>
            <w:r w:rsidR="0043697D">
              <w:t xml:space="preserve"> </w:t>
            </w:r>
            <w:r>
              <w:t xml:space="preserve">encountered </w:t>
            </w:r>
            <w:r w:rsidR="004A3F60">
              <w:t xml:space="preserve">a reasonably significant </w:t>
            </w:r>
            <w:r>
              <w:t>change</w:t>
            </w:r>
            <w:r w:rsidR="004A3F60">
              <w:t xml:space="preserve"> to an “innovative” training methodology that was originally proposed</w:t>
            </w:r>
            <w:r w:rsidR="00E64EB5">
              <w:t>. T</w:t>
            </w:r>
            <w:r>
              <w:t xml:space="preserve">his in itself is not a problem, but </w:t>
            </w:r>
            <w:r w:rsidR="004A3F60">
              <w:t xml:space="preserve">could have been avoided by </w:t>
            </w:r>
            <w:r w:rsidR="00BB7807">
              <w:t xml:space="preserve">a more thorough </w:t>
            </w:r>
            <w:r w:rsidR="0043697D">
              <w:t xml:space="preserve">up-front </w:t>
            </w:r>
            <w:r w:rsidR="00BB7807">
              <w:t xml:space="preserve">assessment of </w:t>
            </w:r>
            <w:r w:rsidR="0043697D">
              <w:t>stakeholder needs</w:t>
            </w:r>
            <w:r w:rsidR="004A3F60">
              <w:t xml:space="preserve">. There was also some lack of clarity in how this affected the budget, which </w:t>
            </w:r>
            <w:r>
              <w:t xml:space="preserve">made it difficult to </w:t>
            </w:r>
            <w:r w:rsidR="0043697D">
              <w:t xml:space="preserve">determine value for money </w:t>
            </w:r>
            <w:r w:rsidR="004A3F60">
              <w:t>against the original budget</w:t>
            </w:r>
            <w:r>
              <w:t>.</w:t>
            </w:r>
            <w:r w:rsidR="00786DDA">
              <w:t xml:space="preserve"> </w:t>
            </w:r>
            <w:r w:rsidR="004A3F60">
              <w:t>M</w:t>
            </w:r>
            <w:r w:rsidR="00BB7807">
              <w:t xml:space="preserve">ore quantifiable </w:t>
            </w:r>
            <w:r w:rsidR="0043697D">
              <w:t xml:space="preserve">baselines and </w:t>
            </w:r>
            <w:r w:rsidR="00BB7807">
              <w:t xml:space="preserve">data </w:t>
            </w:r>
            <w:r w:rsidR="004A3F60">
              <w:t>and</w:t>
            </w:r>
            <w:r w:rsidR="0043697D">
              <w:t xml:space="preserve"> </w:t>
            </w:r>
            <w:r w:rsidR="004A3F60">
              <w:t>m</w:t>
            </w:r>
            <w:r>
              <w:t xml:space="preserve">ore clarity on </w:t>
            </w:r>
            <w:r w:rsidR="007614A6">
              <w:t xml:space="preserve">the differentiation </w:t>
            </w:r>
            <w:r w:rsidR="0043697D">
              <w:t xml:space="preserve">between this project and the wider </w:t>
            </w:r>
            <w:r w:rsidR="00D21842">
              <w:t xml:space="preserve">connected </w:t>
            </w:r>
            <w:r>
              <w:t>EU project</w:t>
            </w:r>
            <w:r w:rsidR="0043697D">
              <w:t xml:space="preserve"> would have enabled more accurate</w:t>
            </w:r>
            <w:r>
              <w:t xml:space="preserve"> </w:t>
            </w:r>
            <w:r w:rsidR="0043697D">
              <w:t>assessment of</w:t>
            </w:r>
            <w:r>
              <w:t xml:space="preserve"> impact and sustainability.  </w:t>
            </w:r>
          </w:p>
        </w:tc>
      </w:tr>
    </w:tbl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Pr="007C118F" w:rsidRDefault="00B8106D" w:rsidP="00B81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Q</w:t>
      </w:r>
      <w:r w:rsidRPr="007C118F">
        <w:rPr>
          <w:b/>
        </w:rPr>
        <w:t>uestions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Did the project achieve the project purpose? </w:t>
            </w:r>
          </w:p>
        </w:tc>
        <w:tc>
          <w:tcPr>
            <w:tcW w:w="4598" w:type="dxa"/>
          </w:tcPr>
          <w:p w:rsidR="00B8106D" w:rsidRDefault="00750E24" w:rsidP="00B8106D">
            <w:r>
              <w:t>Yes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Did the project come in on budget? (Y/N)</w:t>
            </w:r>
          </w:p>
          <w:p w:rsidR="00B8106D" w:rsidRDefault="00B8106D" w:rsidP="00B8106D">
            <w:r>
              <w:t xml:space="preserve">If no, why and what was the difference in cost? </w:t>
            </w:r>
          </w:p>
          <w:p w:rsidR="00B8106D" w:rsidRDefault="00B8106D" w:rsidP="00B8106D"/>
        </w:tc>
        <w:tc>
          <w:tcPr>
            <w:tcW w:w="4598" w:type="dxa"/>
          </w:tcPr>
          <w:p w:rsidR="00B8106D" w:rsidRDefault="00750E24" w:rsidP="00B8106D">
            <w:r>
              <w:t>Yes – but requires more evidence on the substance of spend</w:t>
            </w:r>
          </w:p>
          <w:p w:rsidR="00B8106D" w:rsidRDefault="00B8106D" w:rsidP="00B8106D"/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Was the project completed on time? (Y/N)</w:t>
            </w:r>
          </w:p>
          <w:p w:rsidR="00B8106D" w:rsidRDefault="00B8106D" w:rsidP="00B8106D">
            <w:r>
              <w:t>If not, why not?</w:t>
            </w:r>
          </w:p>
        </w:tc>
        <w:tc>
          <w:tcPr>
            <w:tcW w:w="4598" w:type="dxa"/>
          </w:tcPr>
          <w:p w:rsidR="00B8106D" w:rsidRDefault="00750E24" w:rsidP="00B8106D">
            <w:r>
              <w:t>Yes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Were the Project benefits sustained after project completion? </w:t>
            </w:r>
          </w:p>
        </w:tc>
        <w:tc>
          <w:tcPr>
            <w:tcW w:w="4598" w:type="dxa"/>
          </w:tcPr>
          <w:p w:rsidR="00B8106D" w:rsidRDefault="00750E24" w:rsidP="00B8106D">
            <w:r>
              <w:t>Difficult to assess</w:t>
            </w:r>
          </w:p>
        </w:tc>
      </w:tr>
    </w:tbl>
    <w:p w:rsidR="00C6015B" w:rsidRDefault="00C6015B" w:rsidP="001C4482">
      <w:pPr>
        <w:spacing w:after="0" w:line="240" w:lineRule="auto"/>
      </w:pPr>
    </w:p>
    <w:p w:rsidR="0025010F" w:rsidRDefault="00C94678" w:rsidP="0025010F">
      <w:pPr>
        <w:pStyle w:val="ListParagraph"/>
        <w:numPr>
          <w:ilvl w:val="0"/>
          <w:numId w:val="1"/>
        </w:numPr>
        <w:spacing w:after="0" w:line="240" w:lineRule="auto"/>
      </w:pPr>
      <w:r w:rsidRPr="007C3AB5">
        <w:rPr>
          <w:b/>
        </w:rPr>
        <w:t>Overall Red / Amber / Green rating</w:t>
      </w:r>
      <w:r w:rsidR="0025010F">
        <w:t xml:space="preserve"> for project </w:t>
      </w:r>
    </w:p>
    <w:p w:rsidR="00597D40" w:rsidRDefault="00597D40" w:rsidP="001C4482">
      <w:pPr>
        <w:spacing w:after="0" w:line="240" w:lineRule="auto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990"/>
        <w:gridCol w:w="450"/>
      </w:tblGrid>
      <w:tr w:rsidR="00597D40" w:rsidTr="00597D40">
        <w:trPr>
          <w:trHeight w:val="113"/>
        </w:trPr>
        <w:tc>
          <w:tcPr>
            <w:tcW w:w="2798" w:type="dxa"/>
            <w:gridSpan w:val="3"/>
            <w:shd w:val="clear" w:color="auto" w:fill="FFFFFF" w:themeFill="background1"/>
          </w:tcPr>
          <w:p w:rsidR="00597D40" w:rsidRPr="00597D40" w:rsidRDefault="00597D40" w:rsidP="00597D40">
            <w:pPr>
              <w:rPr>
                <w:sz w:val="20"/>
                <w:szCs w:val="20"/>
              </w:rPr>
            </w:pPr>
            <w:r w:rsidRPr="00597D40">
              <w:rPr>
                <w:sz w:val="20"/>
                <w:szCs w:val="20"/>
              </w:rPr>
              <w:t xml:space="preserve">Overall Rating for project (put </w:t>
            </w:r>
            <w:r w:rsidRPr="00597D40">
              <w:rPr>
                <w:b/>
                <w:sz w:val="20"/>
                <w:szCs w:val="20"/>
              </w:rPr>
              <w:t xml:space="preserve">X </w:t>
            </w:r>
            <w:r w:rsidRPr="00597D40">
              <w:rPr>
                <w:sz w:val="20"/>
                <w:szCs w:val="20"/>
              </w:rPr>
              <w:t xml:space="preserve">in relevant </w:t>
            </w:r>
            <w:r>
              <w:rPr>
                <w:sz w:val="20"/>
                <w:szCs w:val="20"/>
              </w:rPr>
              <w:t>box</w:t>
            </w:r>
            <w:r w:rsidRPr="00597D40">
              <w:rPr>
                <w:sz w:val="20"/>
                <w:szCs w:val="20"/>
              </w:rPr>
              <w:t>)</w:t>
            </w:r>
          </w:p>
        </w:tc>
      </w:tr>
      <w:tr w:rsidR="00597D40" w:rsidTr="00597D40">
        <w:trPr>
          <w:trHeight w:val="113"/>
        </w:trPr>
        <w:tc>
          <w:tcPr>
            <w:tcW w:w="2348" w:type="dxa"/>
            <w:gridSpan w:val="2"/>
            <w:shd w:val="clear" w:color="auto" w:fill="FF0000"/>
          </w:tcPr>
          <w:p w:rsidR="00597D40" w:rsidRPr="00597D40" w:rsidRDefault="00597D40" w:rsidP="00B8106D">
            <w:pPr>
              <w:ind w:left="747" w:hanging="747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597D40">
        <w:trPr>
          <w:trHeight w:val="113"/>
        </w:trPr>
        <w:tc>
          <w:tcPr>
            <w:tcW w:w="1358" w:type="dxa"/>
            <w:shd w:val="clear" w:color="auto" w:fill="FF00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450" w:type="dxa"/>
          </w:tcPr>
          <w:p w:rsidR="00597D40" w:rsidRDefault="00750E24" w:rsidP="00B810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tr w:rsidR="00597D40" w:rsidTr="00597D40">
        <w:trPr>
          <w:trHeight w:val="113"/>
        </w:trPr>
        <w:tc>
          <w:tcPr>
            <w:tcW w:w="1358" w:type="dxa"/>
            <w:shd w:val="clear" w:color="auto" w:fill="FF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990" w:type="dxa"/>
            <w:shd w:val="clear" w:color="auto" w:fill="00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597D40">
        <w:trPr>
          <w:trHeight w:val="113"/>
        </w:trPr>
        <w:tc>
          <w:tcPr>
            <w:tcW w:w="2348" w:type="dxa"/>
            <w:gridSpan w:val="2"/>
            <w:shd w:val="clear" w:color="auto" w:fill="00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</w:tbl>
    <w:p w:rsidR="00597D40" w:rsidRDefault="00597D40" w:rsidP="001C4482">
      <w:pPr>
        <w:spacing w:after="0" w:line="240" w:lineRule="auto"/>
      </w:pPr>
    </w:p>
    <w:p w:rsidR="00597D40" w:rsidRPr="00597D40" w:rsidRDefault="00597D40" w:rsidP="00597D40">
      <w:pPr>
        <w:pStyle w:val="ListParagraph"/>
        <w:spacing w:after="0" w:line="240" w:lineRule="auto"/>
        <w:rPr>
          <w:u w:val="single"/>
        </w:rPr>
      </w:pPr>
      <w:r w:rsidRPr="00597D40">
        <w:rPr>
          <w:u w:val="single"/>
        </w:rPr>
        <w:t>Guide to overall rating:</w:t>
      </w:r>
    </w:p>
    <w:p w:rsidR="00597D40" w:rsidRDefault="00597D40" w:rsidP="00597D40">
      <w:pPr>
        <w:pStyle w:val="ListParagraph"/>
        <w:spacing w:after="0" w:line="240" w:lineRule="auto"/>
      </w:pPr>
      <w:r>
        <w:t>Green</w:t>
      </w:r>
      <w:proofErr w:type="gramStart"/>
      <w:r>
        <w:t>-  project</w:t>
      </w:r>
      <w:proofErr w:type="gramEnd"/>
      <w:r>
        <w:t xml:space="preserve"> </w:t>
      </w:r>
      <w:r w:rsidR="00B8106D">
        <w:t xml:space="preserve">performed well </w:t>
      </w:r>
      <w:r w:rsidR="001E4ADB">
        <w:t xml:space="preserve">under each of the </w:t>
      </w:r>
      <w:r w:rsidR="00B8106D">
        <w:t>evaluation criteria: relevance, efficiency, effectiveness, sustainability, impact and management</w:t>
      </w:r>
    </w:p>
    <w:p w:rsidR="00597D40" w:rsidRDefault="00B8106D" w:rsidP="00597D40">
      <w:pPr>
        <w:pStyle w:val="ListParagraph"/>
        <w:spacing w:after="0" w:line="240" w:lineRule="auto"/>
      </w:pPr>
      <w:r>
        <w:t xml:space="preserve">Green/Amber – project performed well </w:t>
      </w:r>
      <w:r w:rsidR="001E4ADB">
        <w:t>under</w:t>
      </w:r>
      <w:r>
        <w:t xml:space="preserve"> most criteria</w:t>
      </w:r>
      <w:r w:rsidR="001E4ADB">
        <w:t xml:space="preserve"> and adequately in others</w:t>
      </w:r>
    </w:p>
    <w:p w:rsidR="00597D40" w:rsidRDefault="00597D40" w:rsidP="00597D40">
      <w:pPr>
        <w:pStyle w:val="ListParagraph"/>
        <w:spacing w:after="0" w:line="240" w:lineRule="auto"/>
      </w:pPr>
      <w:r>
        <w:t xml:space="preserve">Amber/Red – project </w:t>
      </w:r>
      <w:r w:rsidR="00B8106D">
        <w:t xml:space="preserve">performed </w:t>
      </w:r>
      <w:r w:rsidR="001E4ADB">
        <w:t>adequately</w:t>
      </w:r>
      <w:r w:rsidR="00B8106D">
        <w:t xml:space="preserve"> </w:t>
      </w:r>
      <w:r w:rsidR="001E4ADB">
        <w:t>under</w:t>
      </w:r>
      <w:r w:rsidR="00B8106D">
        <w:t xml:space="preserve"> some criteria</w:t>
      </w:r>
      <w:r>
        <w:t xml:space="preserve"> </w:t>
      </w:r>
      <w:r w:rsidR="001E4ADB">
        <w:t>but poorly in others</w:t>
      </w:r>
    </w:p>
    <w:p w:rsidR="00597D40" w:rsidRPr="0025010F" w:rsidRDefault="00597D40" w:rsidP="00597D40">
      <w:pPr>
        <w:pStyle w:val="ListParagraph"/>
        <w:spacing w:after="0" w:line="240" w:lineRule="auto"/>
      </w:pPr>
      <w:r>
        <w:t xml:space="preserve">Red – </w:t>
      </w:r>
      <w:r w:rsidR="00B8106D">
        <w:t xml:space="preserve">project </w:t>
      </w:r>
      <w:r w:rsidR="001E4ADB">
        <w:t>performed poorly under most</w:t>
      </w:r>
      <w:r w:rsidR="00B8106D">
        <w:t xml:space="preserve"> criteria</w:t>
      </w:r>
    </w:p>
    <w:p w:rsidR="00597D40" w:rsidRDefault="00597D40" w:rsidP="001C4482">
      <w:pPr>
        <w:spacing w:after="0" w:line="240" w:lineRule="auto"/>
      </w:pPr>
    </w:p>
    <w:p w:rsidR="00F23B01" w:rsidRDefault="00F23B01" w:rsidP="001C4482">
      <w:pPr>
        <w:spacing w:after="0" w:line="240" w:lineRule="auto"/>
      </w:pPr>
    </w:p>
    <w:p w:rsidR="0043665C" w:rsidRPr="0025010F" w:rsidRDefault="00E50276" w:rsidP="001C44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010F">
        <w:rPr>
          <w:b/>
        </w:rPr>
        <w:t xml:space="preserve">Top 5 </w:t>
      </w:r>
      <w:r w:rsidR="001C4482" w:rsidRPr="0025010F">
        <w:rPr>
          <w:b/>
        </w:rPr>
        <w:t xml:space="preserve">Lessons learned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3665C" w:rsidTr="0043665C">
        <w:tc>
          <w:tcPr>
            <w:tcW w:w="9242" w:type="dxa"/>
          </w:tcPr>
          <w:p w:rsidR="0073075D" w:rsidRDefault="0073075D" w:rsidP="00D17D93">
            <w:pPr>
              <w:pStyle w:val="ListParagraph"/>
              <w:numPr>
                <w:ilvl w:val="0"/>
                <w:numId w:val="6"/>
              </w:numPr>
            </w:pPr>
            <w:r>
              <w:t>The design of this project would have benefited from a clear link to a wider “Theory of Change” o</w:t>
            </w:r>
            <w:r w:rsidR="0094397F">
              <w:t xml:space="preserve">n how the project aims to move </w:t>
            </w:r>
            <w:r w:rsidR="00E67313">
              <w:t>China</w:t>
            </w:r>
            <w:r>
              <w:t xml:space="preserve"> towards wider reform goals </w:t>
            </w:r>
            <w:r w:rsidR="00ED44EA">
              <w:t>on</w:t>
            </w:r>
            <w:r w:rsidR="0094397F">
              <w:t xml:space="preserve"> </w:t>
            </w:r>
            <w:r w:rsidR="00ED44EA">
              <w:t>f</w:t>
            </w:r>
            <w:r w:rsidR="0094397F">
              <w:t xml:space="preserve">reedom of </w:t>
            </w:r>
            <w:r w:rsidR="00ED44EA">
              <w:t>e</w:t>
            </w:r>
            <w:r w:rsidR="0094397F">
              <w:t>xpression.</w:t>
            </w:r>
            <w:r w:rsidR="00CD4C68">
              <w:t xml:space="preserve">  </w:t>
            </w:r>
          </w:p>
          <w:p w:rsidR="007B2008" w:rsidRDefault="007B2008" w:rsidP="007B2008">
            <w:pPr>
              <w:pStyle w:val="ListParagraph"/>
              <w:ind w:left="360"/>
            </w:pPr>
          </w:p>
          <w:p w:rsidR="0073075D" w:rsidRDefault="0073075D" w:rsidP="00D17D93">
            <w:pPr>
              <w:pStyle w:val="ListParagraph"/>
              <w:numPr>
                <w:ilvl w:val="0"/>
                <w:numId w:val="6"/>
              </w:numPr>
            </w:pPr>
            <w:r>
              <w:t>While leveraging funds with the EU can be good</w:t>
            </w:r>
            <w:r w:rsidR="00786DDA">
              <w:t xml:space="preserve"> </w:t>
            </w:r>
            <w:r>
              <w:t xml:space="preserve">practice, it is important to be clear </w:t>
            </w:r>
            <w:r w:rsidR="007B2008">
              <w:t xml:space="preserve">at </w:t>
            </w:r>
            <w:r>
              <w:t xml:space="preserve">the design stage how UK funding </w:t>
            </w:r>
            <w:proofErr w:type="gramStart"/>
            <w:r>
              <w:t>adds</w:t>
            </w:r>
            <w:proofErr w:type="gramEnd"/>
            <w:r>
              <w:t xml:space="preserve"> value to such wider initiatives, and to </w:t>
            </w:r>
            <w:r w:rsidR="000A4997">
              <w:t>be clear</w:t>
            </w:r>
            <w:r>
              <w:t xml:space="preserve"> on </w:t>
            </w:r>
            <w:r w:rsidR="000A4997">
              <w:t>how our funding and activities link to connected projects</w:t>
            </w:r>
            <w:r w:rsidR="00717619">
              <w:t>.</w:t>
            </w:r>
            <w:r w:rsidR="006F3937">
              <w:t xml:space="preserve"> It’s also important to secure access to EU narrative and financial reporting in order to assess overall impact of UK funding.</w:t>
            </w:r>
          </w:p>
          <w:p w:rsidR="007B2008" w:rsidRDefault="007B2008" w:rsidP="007B2008"/>
          <w:p w:rsidR="0073075D" w:rsidRDefault="0073075D" w:rsidP="00D17D93">
            <w:pPr>
              <w:pStyle w:val="ListParagraph"/>
              <w:numPr>
                <w:ilvl w:val="0"/>
                <w:numId w:val="6"/>
              </w:numPr>
            </w:pPr>
            <w:r>
              <w:t xml:space="preserve">When </w:t>
            </w:r>
            <w:r w:rsidR="00610A4D">
              <w:t xml:space="preserve">significant </w:t>
            </w:r>
            <w:r>
              <w:t xml:space="preserve">changes </w:t>
            </w:r>
            <w:r w:rsidR="00610A4D">
              <w:t xml:space="preserve">to activities </w:t>
            </w:r>
            <w:r>
              <w:t xml:space="preserve">occur through the life-time of the project, it is important </w:t>
            </w:r>
            <w:r w:rsidR="006F3937">
              <w:t xml:space="preserve">that these are agreed and recorded in writing with the implementer, and </w:t>
            </w:r>
            <w:r>
              <w:t xml:space="preserve">to </w:t>
            </w:r>
            <w:r w:rsidR="006F3937">
              <w:t xml:space="preserve">make sure that changes to activities and/or budget are </w:t>
            </w:r>
            <w:r>
              <w:t>clear</w:t>
            </w:r>
            <w:r w:rsidR="006F3937">
              <w:t>ly recorded</w:t>
            </w:r>
            <w:r w:rsidR="00786DDA">
              <w:t xml:space="preserve"> </w:t>
            </w:r>
            <w:r>
              <w:t xml:space="preserve">in the reporting. </w:t>
            </w:r>
            <w:r w:rsidR="00610A4D">
              <w:t xml:space="preserve">Ensure as full as possible </w:t>
            </w:r>
            <w:r w:rsidR="0043697D">
              <w:t xml:space="preserve">consultation with beneficiaries to </w:t>
            </w:r>
            <w:r w:rsidR="006F3937">
              <w:t xml:space="preserve">agree key </w:t>
            </w:r>
            <w:r w:rsidR="0043697D">
              <w:t xml:space="preserve">activities in the design phase </w:t>
            </w:r>
            <w:r w:rsidR="00610A4D">
              <w:t xml:space="preserve">to </w:t>
            </w:r>
            <w:r w:rsidR="0043697D">
              <w:t>reduce risks</w:t>
            </w:r>
            <w:r w:rsidR="00610A4D">
              <w:t xml:space="preserve"> of significant changes</w:t>
            </w:r>
            <w:r w:rsidR="0043697D">
              <w:t>.</w:t>
            </w:r>
          </w:p>
          <w:p w:rsidR="007B2008" w:rsidRDefault="007B2008" w:rsidP="007B2008"/>
          <w:p w:rsidR="0073075D" w:rsidRDefault="0073075D" w:rsidP="00D17D93">
            <w:pPr>
              <w:pStyle w:val="ListParagraph"/>
              <w:numPr>
                <w:ilvl w:val="0"/>
                <w:numId w:val="6"/>
              </w:numPr>
            </w:pPr>
            <w:r>
              <w:t xml:space="preserve">It would be beneficial, where possible, to have clear base-lines at the start of a project. This enables, on project completion, direct progress of project delivery to be assessed more clearly. </w:t>
            </w:r>
            <w:r w:rsidR="004116C1">
              <w:t xml:space="preserve">This was </w:t>
            </w:r>
            <w:r w:rsidR="007B2008">
              <w:t>supplied by the implement</w:t>
            </w:r>
            <w:r w:rsidR="007003D8">
              <w:t>er</w:t>
            </w:r>
            <w:r w:rsidR="007B2008">
              <w:t xml:space="preserve"> on request</w:t>
            </w:r>
            <w:r w:rsidR="004116C1">
              <w:t xml:space="preserve">, but it would be ideal to include this in </w:t>
            </w:r>
            <w:r w:rsidR="004116C1">
              <w:lastRenderedPageBreak/>
              <w:t>paperwork so it is fore-front throughout the M&amp;E stages</w:t>
            </w:r>
            <w:r w:rsidR="00717619">
              <w:t>.</w:t>
            </w:r>
          </w:p>
          <w:p w:rsidR="007B2008" w:rsidRDefault="007B2008" w:rsidP="007B2008"/>
          <w:p w:rsidR="0043665C" w:rsidRDefault="0073075D" w:rsidP="00D17D93">
            <w:pPr>
              <w:pStyle w:val="ListParagraph"/>
              <w:numPr>
                <w:ilvl w:val="0"/>
                <w:numId w:val="6"/>
              </w:numPr>
            </w:pPr>
            <w:r>
              <w:t xml:space="preserve">It is important to monitor impact by active follow up </w:t>
            </w:r>
            <w:r w:rsidR="0094397F">
              <w:t>after project completion</w:t>
            </w:r>
            <w:r>
              <w:t>, and especially as it is leveraged to wider funding such as with the EU</w:t>
            </w:r>
            <w:r w:rsidR="00717619">
              <w:t>.</w:t>
            </w:r>
          </w:p>
        </w:tc>
      </w:tr>
    </w:tbl>
    <w:p w:rsidR="0043665C" w:rsidRDefault="0043665C" w:rsidP="001C4482">
      <w:pPr>
        <w:spacing w:after="0" w:line="240" w:lineRule="auto"/>
      </w:pPr>
    </w:p>
    <w:p w:rsidR="00122C12" w:rsidRPr="0025010F" w:rsidRDefault="00A366DB" w:rsidP="001C44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010F">
        <w:rPr>
          <w:b/>
        </w:rPr>
        <w:t xml:space="preserve">Recommendations for future projects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66DB" w:rsidTr="00A366DB">
        <w:tc>
          <w:tcPr>
            <w:tcW w:w="9242" w:type="dxa"/>
          </w:tcPr>
          <w:p w:rsidR="00A366DB" w:rsidRDefault="00E12BD4" w:rsidP="00786DDA">
            <w:r>
              <w:t xml:space="preserve">Arbitrary </w:t>
            </w:r>
            <w:r w:rsidR="009D6D64">
              <w:t xml:space="preserve">use of </w:t>
            </w:r>
            <w:r>
              <w:t xml:space="preserve">press laws </w:t>
            </w:r>
            <w:r w:rsidR="009D6D64">
              <w:t xml:space="preserve">is a serious and politically sensitive </w:t>
            </w:r>
            <w:r w:rsidR="00533DA0">
              <w:t>problem in</w:t>
            </w:r>
            <w:r>
              <w:t xml:space="preserve"> China, and therefore </w:t>
            </w:r>
            <w:r w:rsidR="009D6D64">
              <w:t>clarifying the legal interpretation of those laws is a pragmatic approach</w:t>
            </w:r>
            <w:r>
              <w:t xml:space="preserve">. </w:t>
            </w:r>
            <w:r w:rsidR="00A83361">
              <w:t xml:space="preserve">Freedom of </w:t>
            </w:r>
            <w:r w:rsidR="009D6D64">
              <w:t>e</w:t>
            </w:r>
            <w:r w:rsidR="00A83361">
              <w:t xml:space="preserve">xpression is one of the most important enabling factors for </w:t>
            </w:r>
            <w:r w:rsidR="009D6D64">
              <w:t>h</w:t>
            </w:r>
            <w:r w:rsidR="00A83361">
              <w:t xml:space="preserve">uman </w:t>
            </w:r>
            <w:r w:rsidR="009D6D64">
              <w:t>r</w:t>
            </w:r>
            <w:r w:rsidR="00A83361">
              <w:t xml:space="preserve">ights, particularly in China. Accepting the difficulty of getting much traction in this area, the </w:t>
            </w:r>
            <w:r w:rsidR="009D6D64">
              <w:t xml:space="preserve">BE Beijing </w:t>
            </w:r>
            <w:r w:rsidR="00A83361">
              <w:t xml:space="preserve">should </w:t>
            </w:r>
            <w:r>
              <w:t xml:space="preserve">consider </w:t>
            </w:r>
            <w:r w:rsidR="0094397F">
              <w:t xml:space="preserve">a full scoping assessment </w:t>
            </w:r>
            <w:r>
              <w:t xml:space="preserve">in order to </w:t>
            </w:r>
            <w:r w:rsidR="0094397F">
              <w:t>explore how best</w:t>
            </w:r>
            <w:r w:rsidR="0097753D">
              <w:t xml:space="preserve"> to</w:t>
            </w:r>
            <w:r w:rsidR="0094397F">
              <w:t xml:space="preserve"> approach this work and to test assumptions that this current approach is the best model for change</w:t>
            </w:r>
            <w:r>
              <w:t xml:space="preserve">. </w:t>
            </w:r>
            <w:r w:rsidR="000261A8">
              <w:t>For</w:t>
            </w:r>
            <w:r w:rsidR="00E65227">
              <w:t xml:space="preserve"> </w:t>
            </w:r>
            <w:r w:rsidR="00E64EB5">
              <w:t>example</w:t>
            </w:r>
            <w:r w:rsidR="000261A8">
              <w:t xml:space="preserve"> while the stakeholder </w:t>
            </w:r>
            <w:r w:rsidR="00786DDA">
              <w:t>out</w:t>
            </w:r>
            <w:r w:rsidR="000261A8">
              <w:t>reac</w:t>
            </w:r>
            <w:r w:rsidR="0094397F">
              <w:t xml:space="preserve">h is wide in this project (bringing </w:t>
            </w:r>
            <w:r w:rsidR="000261A8">
              <w:t>judges and legal media advisers</w:t>
            </w:r>
            <w:r w:rsidR="0094397F">
              <w:t xml:space="preserve"> together</w:t>
            </w:r>
            <w:r w:rsidR="000261A8">
              <w:t>) they are not truly independent bodies</w:t>
            </w:r>
            <w:r w:rsidR="0094397F">
              <w:t>, and given the sensitivity of the issue a more technical and legalistic approach has been applied, but could the UK push the boundary more</w:t>
            </w:r>
            <w:r w:rsidR="00717619">
              <w:t>?</w:t>
            </w:r>
          </w:p>
        </w:tc>
      </w:tr>
    </w:tbl>
    <w:p w:rsidR="00122C12" w:rsidRDefault="00122C12" w:rsidP="001C4482">
      <w:pPr>
        <w:spacing w:after="0" w:line="240" w:lineRule="auto"/>
      </w:pPr>
    </w:p>
    <w:p w:rsidR="007C3AB5" w:rsidRDefault="007C3AB5" w:rsidP="007C3AB5">
      <w:pPr>
        <w:spacing w:after="0" w:line="240" w:lineRule="auto"/>
      </w:pPr>
    </w:p>
    <w:sectPr w:rsidR="007C3AB5" w:rsidSect="00A1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D3" w:rsidRDefault="00E151D3" w:rsidP="003B3259">
      <w:pPr>
        <w:spacing w:after="0" w:line="240" w:lineRule="auto"/>
      </w:pPr>
      <w:r>
        <w:separator/>
      </w:r>
    </w:p>
  </w:endnote>
  <w:endnote w:type="continuationSeparator" w:id="0">
    <w:p w:rsidR="00E151D3" w:rsidRDefault="00E151D3" w:rsidP="003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Footer"/>
    </w:pPr>
  </w:p>
  <w:p w:rsidR="00750E24" w:rsidRPr="003B3259" w:rsidRDefault="00BA0A06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E5562" w:rsidRPr="003E5562">
        <w:rPr>
          <w:rFonts w:ascii="Arial" w:hAnsi="Arial" w:cs="Arial"/>
          <w:noProof/>
          <w:sz w:val="12"/>
        </w:rPr>
        <w:t>C</w:t>
      </w:r>
      <w:r w:rsidR="003E5562">
        <w:rPr>
          <w:noProof/>
        </w:rPr>
        <w:t>:\Users\gcutler\AppData\Local\Microsoft\Windows\Temporary Internet Files\Outlook Temp\2013 China Evaluation - FOE.docx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Footer"/>
    </w:pPr>
  </w:p>
  <w:p w:rsidR="00750E24" w:rsidRPr="003B3259" w:rsidRDefault="00750E24" w:rsidP="003B325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Footer"/>
    </w:pPr>
  </w:p>
  <w:p w:rsidR="00750E24" w:rsidRPr="003B3259" w:rsidRDefault="00BA0A06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E5562" w:rsidRPr="003E5562">
        <w:rPr>
          <w:rFonts w:ascii="Arial" w:hAnsi="Arial" w:cs="Arial"/>
          <w:noProof/>
          <w:sz w:val="12"/>
        </w:rPr>
        <w:t>C</w:t>
      </w:r>
      <w:r w:rsidR="003E5562">
        <w:rPr>
          <w:noProof/>
        </w:rPr>
        <w:t>:\Users\gcutler\AppData\Local\Microsoft\Windows\Temporary Internet Files\Outlook Temp\2013 China Evaluation - FOE.docx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D3" w:rsidRDefault="00E151D3" w:rsidP="003B3259">
      <w:pPr>
        <w:spacing w:after="0" w:line="240" w:lineRule="auto"/>
      </w:pPr>
      <w:r>
        <w:separator/>
      </w:r>
    </w:p>
  </w:footnote>
  <w:footnote w:type="continuationSeparator" w:id="0">
    <w:p w:rsidR="00E151D3" w:rsidRDefault="00E151D3" w:rsidP="003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4" w:rsidRDefault="00750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8EF"/>
    <w:multiLevelType w:val="hybridMultilevel"/>
    <w:tmpl w:val="8480B4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E0E23"/>
    <w:multiLevelType w:val="hybridMultilevel"/>
    <w:tmpl w:val="FAB48A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F732A"/>
    <w:multiLevelType w:val="hybridMultilevel"/>
    <w:tmpl w:val="34B45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FA6"/>
    <w:multiLevelType w:val="hybridMultilevel"/>
    <w:tmpl w:val="7A32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4F87"/>
    <w:multiLevelType w:val="hybridMultilevel"/>
    <w:tmpl w:val="835A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498E"/>
    <w:multiLevelType w:val="hybridMultilevel"/>
    <w:tmpl w:val="43A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129B"/>
    <w:multiLevelType w:val="hybridMultilevel"/>
    <w:tmpl w:val="32E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stair Wilson">
    <w15:presenceInfo w15:providerId="Windows Live" w15:userId="df413cdfe9ceaa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3B3259"/>
    <w:rsid w:val="000023F5"/>
    <w:rsid w:val="00007CB1"/>
    <w:rsid w:val="000174EE"/>
    <w:rsid w:val="0002184B"/>
    <w:rsid w:val="000261A8"/>
    <w:rsid w:val="00027F14"/>
    <w:rsid w:val="00032A9C"/>
    <w:rsid w:val="000375AE"/>
    <w:rsid w:val="00045BE9"/>
    <w:rsid w:val="00050ACA"/>
    <w:rsid w:val="0005414D"/>
    <w:rsid w:val="0006138E"/>
    <w:rsid w:val="00061BFC"/>
    <w:rsid w:val="000A4997"/>
    <w:rsid w:val="000B2BA9"/>
    <w:rsid w:val="000F1170"/>
    <w:rsid w:val="00113F70"/>
    <w:rsid w:val="00122C12"/>
    <w:rsid w:val="001263CE"/>
    <w:rsid w:val="00131B30"/>
    <w:rsid w:val="00132FFB"/>
    <w:rsid w:val="00144B55"/>
    <w:rsid w:val="001C4482"/>
    <w:rsid w:val="001D63CE"/>
    <w:rsid w:val="001D6699"/>
    <w:rsid w:val="001E4ADB"/>
    <w:rsid w:val="00201E3C"/>
    <w:rsid w:val="00213757"/>
    <w:rsid w:val="00243DFC"/>
    <w:rsid w:val="002452D0"/>
    <w:rsid w:val="00247487"/>
    <w:rsid w:val="0025010F"/>
    <w:rsid w:val="002829F4"/>
    <w:rsid w:val="002941FA"/>
    <w:rsid w:val="002C3E4E"/>
    <w:rsid w:val="002E236B"/>
    <w:rsid w:val="003068D2"/>
    <w:rsid w:val="00310067"/>
    <w:rsid w:val="00315B71"/>
    <w:rsid w:val="00317B13"/>
    <w:rsid w:val="003341D8"/>
    <w:rsid w:val="003430A0"/>
    <w:rsid w:val="003445CE"/>
    <w:rsid w:val="0036741A"/>
    <w:rsid w:val="00371677"/>
    <w:rsid w:val="00382EB1"/>
    <w:rsid w:val="00386D09"/>
    <w:rsid w:val="00391520"/>
    <w:rsid w:val="0039537A"/>
    <w:rsid w:val="00396FE1"/>
    <w:rsid w:val="003B3259"/>
    <w:rsid w:val="003E15BA"/>
    <w:rsid w:val="003E4ACB"/>
    <w:rsid w:val="003E5562"/>
    <w:rsid w:val="003E7650"/>
    <w:rsid w:val="003F2D74"/>
    <w:rsid w:val="004116C1"/>
    <w:rsid w:val="00436620"/>
    <w:rsid w:val="0043665C"/>
    <w:rsid w:val="0043697D"/>
    <w:rsid w:val="00440949"/>
    <w:rsid w:val="00492926"/>
    <w:rsid w:val="004A3F60"/>
    <w:rsid w:val="004E6CB4"/>
    <w:rsid w:val="00502AAC"/>
    <w:rsid w:val="00531631"/>
    <w:rsid w:val="0053208B"/>
    <w:rsid w:val="00533DA0"/>
    <w:rsid w:val="00561636"/>
    <w:rsid w:val="00565869"/>
    <w:rsid w:val="005851FB"/>
    <w:rsid w:val="005958EA"/>
    <w:rsid w:val="00597D40"/>
    <w:rsid w:val="005A26AB"/>
    <w:rsid w:val="005B30D7"/>
    <w:rsid w:val="00610A4D"/>
    <w:rsid w:val="0061754E"/>
    <w:rsid w:val="006176CA"/>
    <w:rsid w:val="00622BD4"/>
    <w:rsid w:val="00647229"/>
    <w:rsid w:val="00653DE4"/>
    <w:rsid w:val="00661CD7"/>
    <w:rsid w:val="006A4F8D"/>
    <w:rsid w:val="006F3937"/>
    <w:rsid w:val="007003D8"/>
    <w:rsid w:val="00701CF9"/>
    <w:rsid w:val="00717619"/>
    <w:rsid w:val="0073075D"/>
    <w:rsid w:val="00750E24"/>
    <w:rsid w:val="007614A6"/>
    <w:rsid w:val="00770721"/>
    <w:rsid w:val="0077444B"/>
    <w:rsid w:val="00786DDA"/>
    <w:rsid w:val="007B2008"/>
    <w:rsid w:val="007B3564"/>
    <w:rsid w:val="007B5DF1"/>
    <w:rsid w:val="007C118F"/>
    <w:rsid w:val="007C3AB5"/>
    <w:rsid w:val="007C5D2D"/>
    <w:rsid w:val="007D4E54"/>
    <w:rsid w:val="007F2D01"/>
    <w:rsid w:val="00824B59"/>
    <w:rsid w:val="0082533A"/>
    <w:rsid w:val="00834DD4"/>
    <w:rsid w:val="008778D0"/>
    <w:rsid w:val="00894D27"/>
    <w:rsid w:val="0089680E"/>
    <w:rsid w:val="008D0D3E"/>
    <w:rsid w:val="008F71F6"/>
    <w:rsid w:val="0094397F"/>
    <w:rsid w:val="00946785"/>
    <w:rsid w:val="0097753D"/>
    <w:rsid w:val="00982CF6"/>
    <w:rsid w:val="00996819"/>
    <w:rsid w:val="00997763"/>
    <w:rsid w:val="009A2B69"/>
    <w:rsid w:val="009B7B86"/>
    <w:rsid w:val="009D2AE6"/>
    <w:rsid w:val="009D6D64"/>
    <w:rsid w:val="00A002ED"/>
    <w:rsid w:val="00A12997"/>
    <w:rsid w:val="00A13D48"/>
    <w:rsid w:val="00A1408A"/>
    <w:rsid w:val="00A20C6A"/>
    <w:rsid w:val="00A366DB"/>
    <w:rsid w:val="00A54533"/>
    <w:rsid w:val="00A70E46"/>
    <w:rsid w:val="00A770A4"/>
    <w:rsid w:val="00A83361"/>
    <w:rsid w:val="00AB0291"/>
    <w:rsid w:val="00AB6C44"/>
    <w:rsid w:val="00AC2118"/>
    <w:rsid w:val="00B04889"/>
    <w:rsid w:val="00B2476D"/>
    <w:rsid w:val="00B5266D"/>
    <w:rsid w:val="00B5350B"/>
    <w:rsid w:val="00B63EA3"/>
    <w:rsid w:val="00B65AAA"/>
    <w:rsid w:val="00B66439"/>
    <w:rsid w:val="00B8106D"/>
    <w:rsid w:val="00B965D7"/>
    <w:rsid w:val="00B96617"/>
    <w:rsid w:val="00BA0A06"/>
    <w:rsid w:val="00BA6B3F"/>
    <w:rsid w:val="00BB2D1B"/>
    <w:rsid w:val="00BB7807"/>
    <w:rsid w:val="00BE4167"/>
    <w:rsid w:val="00BE584A"/>
    <w:rsid w:val="00BF4A17"/>
    <w:rsid w:val="00C018FD"/>
    <w:rsid w:val="00C12C55"/>
    <w:rsid w:val="00C16CB3"/>
    <w:rsid w:val="00C337BB"/>
    <w:rsid w:val="00C35857"/>
    <w:rsid w:val="00C437F1"/>
    <w:rsid w:val="00C46653"/>
    <w:rsid w:val="00C6015B"/>
    <w:rsid w:val="00C82335"/>
    <w:rsid w:val="00C94678"/>
    <w:rsid w:val="00CB0FF2"/>
    <w:rsid w:val="00CB3F9C"/>
    <w:rsid w:val="00CC50DA"/>
    <w:rsid w:val="00CD4C68"/>
    <w:rsid w:val="00CE6676"/>
    <w:rsid w:val="00CF7391"/>
    <w:rsid w:val="00CF7FD4"/>
    <w:rsid w:val="00D114F8"/>
    <w:rsid w:val="00D11738"/>
    <w:rsid w:val="00D14C3C"/>
    <w:rsid w:val="00D17D93"/>
    <w:rsid w:val="00D21842"/>
    <w:rsid w:val="00D37320"/>
    <w:rsid w:val="00D50EA2"/>
    <w:rsid w:val="00D52718"/>
    <w:rsid w:val="00D57C76"/>
    <w:rsid w:val="00D929E9"/>
    <w:rsid w:val="00DA3ABD"/>
    <w:rsid w:val="00DC5AD1"/>
    <w:rsid w:val="00DC5FDA"/>
    <w:rsid w:val="00DD7446"/>
    <w:rsid w:val="00DE203C"/>
    <w:rsid w:val="00DE3BE0"/>
    <w:rsid w:val="00DF2471"/>
    <w:rsid w:val="00E12BD4"/>
    <w:rsid w:val="00E137E5"/>
    <w:rsid w:val="00E151D3"/>
    <w:rsid w:val="00E44635"/>
    <w:rsid w:val="00E50276"/>
    <w:rsid w:val="00E5650D"/>
    <w:rsid w:val="00E6484B"/>
    <w:rsid w:val="00E64EB5"/>
    <w:rsid w:val="00E65227"/>
    <w:rsid w:val="00E67313"/>
    <w:rsid w:val="00ED44EA"/>
    <w:rsid w:val="00EF5274"/>
    <w:rsid w:val="00F23759"/>
    <w:rsid w:val="00F23B01"/>
    <w:rsid w:val="00F37BF5"/>
    <w:rsid w:val="00FC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97"/>
  </w:style>
  <w:style w:type="paragraph" w:styleId="Heading2">
    <w:name w:val="heading 2"/>
    <w:basedOn w:val="Normal"/>
    <w:next w:val="Normal"/>
    <w:link w:val="Heading2Char"/>
    <w:qFormat/>
    <w:rsid w:val="00597D40"/>
    <w:pPr>
      <w:keepNext/>
      <w:spacing w:after="0" w:line="240" w:lineRule="auto"/>
      <w:ind w:left="747" w:hanging="747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59"/>
  </w:style>
  <w:style w:type="paragraph" w:styleId="Footer">
    <w:name w:val="footer"/>
    <w:basedOn w:val="Normal"/>
    <w:link w:val="Foot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59"/>
  </w:style>
  <w:style w:type="paragraph" w:styleId="BalloonText">
    <w:name w:val="Balloon Text"/>
    <w:basedOn w:val="Normal"/>
    <w:link w:val="BalloonTextChar"/>
    <w:uiPriority w:val="99"/>
    <w:semiHidden/>
    <w:unhideWhenUsed/>
    <w:rsid w:val="00C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B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1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7D4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FCO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acowan</dc:creator>
  <cp:keywords/>
  <cp:lastModifiedBy>acowan</cp:lastModifiedBy>
  <cp:revision>4</cp:revision>
  <cp:lastPrinted>2013-09-04T14:08:00Z</cp:lastPrinted>
  <dcterms:created xsi:type="dcterms:W3CDTF">2014-02-24T14:56:00Z</dcterms:created>
  <dcterms:modified xsi:type="dcterms:W3CDTF">2014-04-11T13:57:00Z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2013-07-04T23:00:00Z</vt:filetime>
  </property>
</Properties>
</file>