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8E529" w14:textId="77777777" w:rsidR="00435158" w:rsidRPr="00D67C9B" w:rsidRDefault="00435158" w:rsidP="00435158">
      <w:pPr>
        <w:pStyle w:val="CoverSubTitle"/>
        <w:rPr>
          <w:rFonts w:cs="Arial"/>
        </w:rPr>
      </w:pPr>
    </w:p>
    <w:p w14:paraId="5778E52A" w14:textId="77777777" w:rsidR="00435158" w:rsidRPr="00D67C9B" w:rsidRDefault="00BD592B" w:rsidP="00435158">
      <w:pPr>
        <w:pStyle w:val="CoverSubTitle"/>
        <w:rPr>
          <w:rFonts w:cs="Arial"/>
        </w:rPr>
      </w:pPr>
      <w:r w:rsidRPr="00D67C9B">
        <w:rPr>
          <w:rFonts w:cs="Arial"/>
          <w:noProof/>
          <w:sz w:val="24"/>
        </w:rPr>
        <w:drawing>
          <wp:anchor distT="0" distB="0" distL="114300" distR="114300" simplePos="0" relativeHeight="251663872" behindDoc="0" locked="0" layoutInCell="0" allowOverlap="1" wp14:anchorId="5778E978" wp14:editId="5778E979">
            <wp:simplePos x="0" y="0"/>
            <wp:positionH relativeFrom="page">
              <wp:posOffset>657225</wp:posOffset>
            </wp:positionH>
            <wp:positionV relativeFrom="page">
              <wp:posOffset>581025</wp:posOffset>
            </wp:positionV>
            <wp:extent cx="1638000" cy="119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000" cy="1191600"/>
                    </a:xfrm>
                    <a:prstGeom prst="rect">
                      <a:avLst/>
                    </a:prstGeom>
                    <a:noFill/>
                    <a:ln>
                      <a:noFill/>
                    </a:ln>
                  </pic:spPr>
                </pic:pic>
              </a:graphicData>
            </a:graphic>
          </wp:anchor>
        </w:drawing>
      </w:r>
    </w:p>
    <w:p w14:paraId="5778E52B" w14:textId="77777777" w:rsidR="00435158" w:rsidRPr="00D67C9B" w:rsidRDefault="00435158" w:rsidP="00435158">
      <w:pPr>
        <w:pStyle w:val="BodyText"/>
        <w:rPr>
          <w:rFonts w:cs="Arial"/>
        </w:rPr>
      </w:pPr>
    </w:p>
    <w:p w14:paraId="5778E52C" w14:textId="77777777" w:rsidR="00435158" w:rsidRPr="00D67C9B" w:rsidRDefault="00435158" w:rsidP="00435158">
      <w:pPr>
        <w:pStyle w:val="BodyText"/>
        <w:rPr>
          <w:rFonts w:cs="Arial"/>
        </w:rPr>
      </w:pPr>
    </w:p>
    <w:p w14:paraId="5778E52D" w14:textId="77777777" w:rsidR="00435158" w:rsidRPr="00D67C9B" w:rsidRDefault="00435158" w:rsidP="00435158">
      <w:pPr>
        <w:pStyle w:val="BodyText"/>
        <w:rPr>
          <w:rFonts w:cs="Arial"/>
        </w:rPr>
      </w:pPr>
    </w:p>
    <w:p w14:paraId="5778E52E" w14:textId="77777777" w:rsidR="005D3906" w:rsidRPr="00D67C9B" w:rsidRDefault="005D3906" w:rsidP="00435158">
      <w:pPr>
        <w:pStyle w:val="BodyText"/>
        <w:rPr>
          <w:rFonts w:cs="Arial"/>
        </w:rPr>
      </w:pPr>
    </w:p>
    <w:p w14:paraId="5778E52F" w14:textId="77777777" w:rsidR="001369EA" w:rsidRPr="00D67C9B" w:rsidRDefault="001369EA" w:rsidP="00435158">
      <w:pPr>
        <w:pStyle w:val="BodyText"/>
        <w:rPr>
          <w:rFonts w:cs="Arial"/>
        </w:rPr>
      </w:pPr>
    </w:p>
    <w:p w14:paraId="5778E530" w14:textId="77777777" w:rsidR="005D3906" w:rsidRPr="00D67C9B" w:rsidRDefault="005D3906" w:rsidP="005D3906">
      <w:pPr>
        <w:rPr>
          <w:rFonts w:cs="Arial"/>
        </w:rPr>
      </w:pPr>
    </w:p>
    <w:p w14:paraId="5778E531" w14:textId="77777777" w:rsidR="005D3906" w:rsidRPr="00D67C9B" w:rsidRDefault="005D3906" w:rsidP="005D3906">
      <w:pPr>
        <w:rPr>
          <w:rFonts w:cs="Arial"/>
        </w:rPr>
      </w:pPr>
    </w:p>
    <w:p w14:paraId="5778E532" w14:textId="77777777" w:rsidR="00435158" w:rsidRPr="00D67C9B" w:rsidRDefault="00435158" w:rsidP="005D3906">
      <w:pPr>
        <w:rPr>
          <w:rFonts w:cs="Arial"/>
        </w:rPr>
      </w:pPr>
    </w:p>
    <w:p w14:paraId="5778E533" w14:textId="77777777" w:rsidR="005D3906" w:rsidRPr="00D67C9B" w:rsidRDefault="005D3906" w:rsidP="005D3906">
      <w:pPr>
        <w:rPr>
          <w:rFonts w:cs="Arial"/>
        </w:rPr>
      </w:pPr>
    </w:p>
    <w:p w14:paraId="5778E534" w14:textId="2BC69B4B" w:rsidR="005D3906" w:rsidRPr="00D67C9B" w:rsidRDefault="00A97CFB" w:rsidP="005D3906">
      <w:pPr>
        <w:rPr>
          <w:rFonts w:cs="Arial"/>
        </w:rPr>
      </w:pPr>
      <w:r>
        <w:rPr>
          <w:rFonts w:cs="Arial"/>
          <w:noProof/>
        </w:rPr>
        <mc:AlternateContent>
          <mc:Choice Requires="wps">
            <w:drawing>
              <wp:anchor distT="0" distB="0" distL="114300" distR="114300" simplePos="0" relativeHeight="251656704" behindDoc="0" locked="0" layoutInCell="1" allowOverlap="1" wp14:anchorId="5778E97B" wp14:editId="0F1B7790">
                <wp:simplePos x="0" y="0"/>
                <wp:positionH relativeFrom="column">
                  <wp:posOffset>-342900</wp:posOffset>
                </wp:positionH>
                <wp:positionV relativeFrom="paragraph">
                  <wp:posOffset>48895</wp:posOffset>
                </wp:positionV>
                <wp:extent cx="6983730" cy="6983730"/>
                <wp:effectExtent l="0" t="0" r="26670" b="266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6983730"/>
                        </a:xfrm>
                        <a:prstGeom prst="rect">
                          <a:avLst/>
                        </a:prstGeom>
                        <a:solidFill>
                          <a:srgbClr val="FFFFFF"/>
                        </a:solidFill>
                        <a:ln w="9525">
                          <a:solidFill>
                            <a:srgbClr val="000000"/>
                          </a:solidFill>
                          <a:miter lim="800000"/>
                          <a:headEnd/>
                          <a:tailEnd/>
                        </a:ln>
                      </wps:spPr>
                      <wps:txbx>
                        <w:txbxContent>
                          <w:p w14:paraId="5778E9A9" w14:textId="77777777" w:rsidR="001008F7" w:rsidRDefault="001008F7" w:rsidP="00EF55CC"/>
                          <w:p w14:paraId="5778E9AA" w14:textId="77777777" w:rsidR="001008F7" w:rsidRDefault="001008F7" w:rsidP="00DA248B">
                            <w:pPr>
                              <w:pStyle w:val="CoverDocumentTitle"/>
                              <w:ind w:left="454"/>
                            </w:pPr>
                            <w:r>
                              <w:t xml:space="preserve">Quantifying the Social Impacts of Culture and Sport  </w:t>
                            </w:r>
                            <w:bookmarkStart w:id="0" w:name="_GoBack"/>
                            <w:bookmarkEnd w:id="0"/>
                            <w:r>
                              <w:t xml:space="preserve"> </w:t>
                            </w:r>
                          </w:p>
                          <w:p w14:paraId="5778E9AB" w14:textId="77777777" w:rsidR="001008F7" w:rsidRDefault="001008F7" w:rsidP="00DA248B">
                            <w:pPr>
                              <w:pStyle w:val="CoverSubTitle"/>
                              <w:ind w:left="454"/>
                            </w:pPr>
                            <w:r>
                              <w:t xml:space="preserve">    </w:t>
                            </w:r>
                          </w:p>
                          <w:p w14:paraId="5778E9AC" w14:textId="2A485E3F" w:rsidR="001008F7" w:rsidRDefault="001008F7" w:rsidP="00DA248B">
                            <w:pPr>
                              <w:pStyle w:val="CoverDate"/>
                              <w:ind w:left="454"/>
                            </w:pPr>
                            <w:r>
                              <w:t>April 2014</w:t>
                            </w:r>
                          </w:p>
                          <w:p w14:paraId="5778E9AD" w14:textId="77777777" w:rsidR="001008F7" w:rsidRDefault="001008F7" w:rsidP="00DA248B">
                            <w:pPr>
                              <w:pStyle w:val="CoverDate"/>
                              <w:ind w:left="454"/>
                            </w:pPr>
                          </w:p>
                          <w:p w14:paraId="5778E9AE" w14:textId="77777777" w:rsidR="001008F7" w:rsidRDefault="001008F7" w:rsidP="00DA248B">
                            <w:pPr>
                              <w:pStyle w:val="CoverDate"/>
                              <w:ind w:left="454"/>
                            </w:pPr>
                          </w:p>
                          <w:p w14:paraId="5778E9AF" w14:textId="77777777" w:rsidR="001008F7" w:rsidRPr="00A26019" w:rsidRDefault="001008F7" w:rsidP="006B438D">
                            <w:pPr>
                              <w:pStyle w:val="CoverDate"/>
                              <w:rPr>
                                <w:b/>
                              </w:rPr>
                            </w:pPr>
                            <w:r>
                              <w:rPr>
                                <w:b/>
                              </w:rPr>
                              <w:t xml:space="preserve">     </w:t>
                            </w:r>
                            <w:r w:rsidRPr="00A26019">
                              <w:rPr>
                                <w:b/>
                              </w:rPr>
                              <w:t>Daniel Fujiwara</w:t>
                            </w:r>
                          </w:p>
                          <w:p w14:paraId="5778E9B0" w14:textId="77777777" w:rsidR="001008F7" w:rsidRPr="00A26019" w:rsidRDefault="001008F7" w:rsidP="006B438D">
                            <w:pPr>
                              <w:pStyle w:val="CoverDate"/>
                              <w:rPr>
                                <w:b/>
                              </w:rPr>
                            </w:pPr>
                            <w:r>
                              <w:rPr>
                                <w:b/>
                              </w:rPr>
                              <w:t xml:space="preserve">     </w:t>
                            </w:r>
                            <w:r w:rsidRPr="00A26019">
                              <w:rPr>
                                <w:b/>
                              </w:rPr>
                              <w:t>Laura Kudrna</w:t>
                            </w:r>
                          </w:p>
                          <w:p w14:paraId="5778E9B1" w14:textId="77777777" w:rsidR="001008F7" w:rsidRPr="00A26019" w:rsidRDefault="001008F7" w:rsidP="006B438D">
                            <w:pPr>
                              <w:pStyle w:val="CoverDate"/>
                              <w:rPr>
                                <w:b/>
                              </w:rPr>
                            </w:pPr>
                            <w:r>
                              <w:rPr>
                                <w:b/>
                              </w:rPr>
                              <w:t xml:space="preserve">     Paul Do</w:t>
                            </w:r>
                            <w:r w:rsidRPr="00A26019">
                              <w:rPr>
                                <w:b/>
                              </w:rPr>
                              <w:t>lan</w:t>
                            </w:r>
                          </w:p>
                          <w:p w14:paraId="5778E9B2" w14:textId="77777777" w:rsidR="001008F7" w:rsidRDefault="001008F7" w:rsidP="00DA248B">
                            <w:pPr>
                              <w:pStyle w:val="CoverDate"/>
                              <w:ind w:left="454"/>
                            </w:pPr>
                          </w:p>
                          <w:p w14:paraId="5778E9B3" w14:textId="77777777" w:rsidR="001008F7" w:rsidRDefault="001008F7" w:rsidP="00C95C8D">
                            <w:pPr>
                              <w:pStyle w:val="CoverDate"/>
                            </w:pPr>
                          </w:p>
                          <w:p w14:paraId="5778E9B4" w14:textId="77777777" w:rsidR="001008F7" w:rsidRDefault="001008F7" w:rsidP="00C95C8D">
                            <w:pPr>
                              <w:pStyle w:val="CoverDate"/>
                            </w:pPr>
                          </w:p>
                          <w:p w14:paraId="5778E9B5" w14:textId="77777777" w:rsidR="001008F7" w:rsidRDefault="001008F7" w:rsidP="00C95C8D">
                            <w:pPr>
                              <w:pStyle w:val="CoverDa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pt;margin-top:3.85pt;width:549.9pt;height:54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">
                <v:textbox>
                  <w:txbxContent>
                    <w:p w14:paraId="5778E9A9" w14:textId="77777777" w:rsidR="001008F7" w:rsidRDefault="001008F7" w:rsidP="00EF55CC"/>
                    <w:p w14:paraId="5778E9AA" w14:textId="77777777" w:rsidR="001008F7" w:rsidRDefault="001008F7" w:rsidP="00DA248B">
                      <w:pPr>
                        <w:pStyle w:val="CoverDocumentTitle"/>
                        <w:ind w:left="454"/>
                      </w:pPr>
                      <w:r>
                        <w:t xml:space="preserve">Quantifying the Social Impacts of Culture and Sport  </w:t>
                      </w:r>
                      <w:bookmarkStart w:id="1" w:name="_GoBack"/>
                      <w:bookmarkEnd w:id="1"/>
                      <w:r>
                        <w:t xml:space="preserve"> </w:t>
                      </w:r>
                    </w:p>
                    <w:p w14:paraId="5778E9AB" w14:textId="77777777" w:rsidR="001008F7" w:rsidRDefault="001008F7" w:rsidP="00DA248B">
                      <w:pPr>
                        <w:pStyle w:val="CoverSubTitle"/>
                        <w:ind w:left="454"/>
                      </w:pPr>
                      <w:r>
                        <w:t xml:space="preserve">    </w:t>
                      </w:r>
                    </w:p>
                    <w:p w14:paraId="5778E9AC" w14:textId="2A485E3F" w:rsidR="001008F7" w:rsidRDefault="001008F7" w:rsidP="00DA248B">
                      <w:pPr>
                        <w:pStyle w:val="CoverDate"/>
                        <w:ind w:left="454"/>
                      </w:pPr>
                      <w:r>
                        <w:t>April 2014</w:t>
                      </w:r>
                    </w:p>
                    <w:p w14:paraId="5778E9AD" w14:textId="77777777" w:rsidR="001008F7" w:rsidRDefault="001008F7" w:rsidP="00DA248B">
                      <w:pPr>
                        <w:pStyle w:val="CoverDate"/>
                        <w:ind w:left="454"/>
                      </w:pPr>
                    </w:p>
                    <w:p w14:paraId="5778E9AE" w14:textId="77777777" w:rsidR="001008F7" w:rsidRDefault="001008F7" w:rsidP="00DA248B">
                      <w:pPr>
                        <w:pStyle w:val="CoverDate"/>
                        <w:ind w:left="454"/>
                      </w:pPr>
                    </w:p>
                    <w:p w14:paraId="5778E9AF" w14:textId="77777777" w:rsidR="001008F7" w:rsidRPr="00A26019" w:rsidRDefault="001008F7" w:rsidP="006B438D">
                      <w:pPr>
                        <w:pStyle w:val="CoverDate"/>
                        <w:rPr>
                          <w:b/>
                        </w:rPr>
                      </w:pPr>
                      <w:r>
                        <w:rPr>
                          <w:b/>
                        </w:rPr>
                        <w:t xml:space="preserve">     </w:t>
                      </w:r>
                      <w:r w:rsidRPr="00A26019">
                        <w:rPr>
                          <w:b/>
                        </w:rPr>
                        <w:t>Daniel Fujiwara</w:t>
                      </w:r>
                    </w:p>
                    <w:p w14:paraId="5778E9B0" w14:textId="77777777" w:rsidR="001008F7" w:rsidRPr="00A26019" w:rsidRDefault="001008F7" w:rsidP="006B438D">
                      <w:pPr>
                        <w:pStyle w:val="CoverDate"/>
                        <w:rPr>
                          <w:b/>
                        </w:rPr>
                      </w:pPr>
                      <w:r>
                        <w:rPr>
                          <w:b/>
                        </w:rPr>
                        <w:t xml:space="preserve">     </w:t>
                      </w:r>
                      <w:r w:rsidRPr="00A26019">
                        <w:rPr>
                          <w:b/>
                        </w:rPr>
                        <w:t>Laura Kudrna</w:t>
                      </w:r>
                    </w:p>
                    <w:p w14:paraId="5778E9B1" w14:textId="77777777" w:rsidR="001008F7" w:rsidRPr="00A26019" w:rsidRDefault="001008F7" w:rsidP="006B438D">
                      <w:pPr>
                        <w:pStyle w:val="CoverDate"/>
                        <w:rPr>
                          <w:b/>
                        </w:rPr>
                      </w:pPr>
                      <w:r>
                        <w:rPr>
                          <w:b/>
                        </w:rPr>
                        <w:t xml:space="preserve">     Paul Do</w:t>
                      </w:r>
                      <w:r w:rsidRPr="00A26019">
                        <w:rPr>
                          <w:b/>
                        </w:rPr>
                        <w:t>lan</w:t>
                      </w:r>
                    </w:p>
                    <w:p w14:paraId="5778E9B2" w14:textId="77777777" w:rsidR="001008F7" w:rsidRDefault="001008F7" w:rsidP="00DA248B">
                      <w:pPr>
                        <w:pStyle w:val="CoverDate"/>
                        <w:ind w:left="454"/>
                      </w:pPr>
                    </w:p>
                    <w:p w14:paraId="5778E9B3" w14:textId="77777777" w:rsidR="001008F7" w:rsidRDefault="001008F7" w:rsidP="00C95C8D">
                      <w:pPr>
                        <w:pStyle w:val="CoverDate"/>
                      </w:pPr>
                    </w:p>
                    <w:p w14:paraId="5778E9B4" w14:textId="77777777" w:rsidR="001008F7" w:rsidRDefault="001008F7" w:rsidP="00C95C8D">
                      <w:pPr>
                        <w:pStyle w:val="CoverDate"/>
                      </w:pPr>
                    </w:p>
                    <w:p w14:paraId="5778E9B5" w14:textId="77777777" w:rsidR="001008F7" w:rsidRDefault="001008F7" w:rsidP="00C95C8D">
                      <w:pPr>
                        <w:pStyle w:val="CoverDate"/>
                      </w:pPr>
                    </w:p>
                  </w:txbxContent>
                </v:textbox>
              </v:shape>
            </w:pict>
          </mc:Fallback>
        </mc:AlternateContent>
      </w:r>
    </w:p>
    <w:p w14:paraId="5778E535" w14:textId="77777777" w:rsidR="005D3906" w:rsidRPr="00D67C9B" w:rsidRDefault="005D3906" w:rsidP="005D3906">
      <w:pPr>
        <w:rPr>
          <w:rFonts w:cs="Arial"/>
        </w:rPr>
      </w:pPr>
    </w:p>
    <w:p w14:paraId="5778E536" w14:textId="77777777" w:rsidR="00FD27B8" w:rsidRPr="00D67C9B" w:rsidRDefault="00FD27B8" w:rsidP="005D3906">
      <w:pPr>
        <w:rPr>
          <w:rFonts w:cs="Arial"/>
        </w:rPr>
      </w:pPr>
    </w:p>
    <w:p w14:paraId="5778E537" w14:textId="77777777" w:rsidR="005D3906" w:rsidRPr="00D67C9B" w:rsidRDefault="005D3906" w:rsidP="005D3906">
      <w:pPr>
        <w:rPr>
          <w:rFonts w:cs="Arial"/>
        </w:rPr>
      </w:pPr>
    </w:p>
    <w:p w14:paraId="5778E538" w14:textId="77777777" w:rsidR="005D3906" w:rsidRPr="00D67C9B" w:rsidRDefault="005D3906" w:rsidP="005D3906">
      <w:pPr>
        <w:rPr>
          <w:rFonts w:cs="Arial"/>
        </w:rPr>
      </w:pPr>
    </w:p>
    <w:p w14:paraId="5778E539" w14:textId="77777777" w:rsidR="005D3906" w:rsidRPr="00D67C9B" w:rsidRDefault="005D3906" w:rsidP="005D3906">
      <w:pPr>
        <w:rPr>
          <w:rFonts w:cs="Arial"/>
        </w:rPr>
      </w:pPr>
    </w:p>
    <w:p w14:paraId="5778E53A" w14:textId="77777777" w:rsidR="005D3906" w:rsidRPr="00D67C9B" w:rsidRDefault="005D3906" w:rsidP="005D3906">
      <w:pPr>
        <w:rPr>
          <w:rFonts w:cs="Arial"/>
        </w:rPr>
      </w:pPr>
    </w:p>
    <w:p w14:paraId="5778E53B" w14:textId="77777777" w:rsidR="005D3906" w:rsidRPr="00D67C9B" w:rsidRDefault="005D3906" w:rsidP="005D3906">
      <w:pPr>
        <w:rPr>
          <w:rFonts w:cs="Arial"/>
        </w:rPr>
      </w:pPr>
    </w:p>
    <w:p w14:paraId="5778E53C" w14:textId="77777777" w:rsidR="005D3906" w:rsidRPr="00D67C9B" w:rsidRDefault="005D3906" w:rsidP="005D3906">
      <w:pPr>
        <w:rPr>
          <w:rFonts w:cs="Arial"/>
        </w:rPr>
      </w:pPr>
    </w:p>
    <w:p w14:paraId="5778E53D" w14:textId="77777777" w:rsidR="005D3906" w:rsidRPr="00D67C9B" w:rsidRDefault="005D3906" w:rsidP="005D3906">
      <w:pPr>
        <w:rPr>
          <w:rFonts w:cs="Arial"/>
        </w:rPr>
      </w:pPr>
    </w:p>
    <w:p w14:paraId="5778E53E" w14:textId="77777777" w:rsidR="005D3906" w:rsidRPr="00D67C9B" w:rsidRDefault="005D3906" w:rsidP="005D3906">
      <w:pPr>
        <w:rPr>
          <w:rFonts w:cs="Arial"/>
        </w:rPr>
      </w:pPr>
    </w:p>
    <w:p w14:paraId="5778E53F" w14:textId="77777777" w:rsidR="005D3906" w:rsidRPr="00D67C9B" w:rsidRDefault="005D3906" w:rsidP="005D3906">
      <w:pPr>
        <w:rPr>
          <w:rFonts w:cs="Arial"/>
        </w:rPr>
      </w:pPr>
    </w:p>
    <w:p w14:paraId="5778E540" w14:textId="77777777" w:rsidR="005D3906" w:rsidRPr="00D67C9B" w:rsidRDefault="005D3906" w:rsidP="005D3906">
      <w:pPr>
        <w:rPr>
          <w:rFonts w:cs="Arial"/>
        </w:rPr>
      </w:pPr>
    </w:p>
    <w:p w14:paraId="5778E541" w14:textId="77777777" w:rsidR="005D3906" w:rsidRPr="00D67C9B" w:rsidRDefault="005D3906" w:rsidP="005D3906">
      <w:pPr>
        <w:rPr>
          <w:rFonts w:cs="Arial"/>
        </w:rPr>
      </w:pPr>
    </w:p>
    <w:p w14:paraId="5778E542" w14:textId="77777777" w:rsidR="00841BC2" w:rsidRPr="00D67C9B" w:rsidRDefault="00841BC2" w:rsidP="005D3906">
      <w:pPr>
        <w:rPr>
          <w:rFonts w:cs="Arial"/>
        </w:rPr>
      </w:pPr>
    </w:p>
    <w:p w14:paraId="5778E543" w14:textId="77777777" w:rsidR="00841BC2" w:rsidRPr="00D67C9B" w:rsidRDefault="00841BC2" w:rsidP="005D3906">
      <w:pPr>
        <w:rPr>
          <w:rFonts w:cs="Arial"/>
        </w:rPr>
      </w:pPr>
    </w:p>
    <w:p w14:paraId="5778E544" w14:textId="77777777" w:rsidR="00841BC2" w:rsidRPr="00D67C9B" w:rsidRDefault="00841BC2" w:rsidP="005D3906">
      <w:pPr>
        <w:rPr>
          <w:rFonts w:cs="Arial"/>
        </w:rPr>
      </w:pPr>
    </w:p>
    <w:p w14:paraId="5778E545" w14:textId="77777777" w:rsidR="00841BC2" w:rsidRPr="00D67C9B" w:rsidRDefault="00841BC2" w:rsidP="005D3906">
      <w:pPr>
        <w:rPr>
          <w:rFonts w:cs="Arial"/>
        </w:rPr>
      </w:pPr>
    </w:p>
    <w:p w14:paraId="5778E546" w14:textId="77777777" w:rsidR="00841BC2" w:rsidRPr="00D67C9B" w:rsidRDefault="00841BC2" w:rsidP="00B22864">
      <w:pPr>
        <w:ind w:left="0"/>
        <w:rPr>
          <w:rFonts w:cs="Arial"/>
        </w:rPr>
        <w:sectPr w:rsidR="00841BC2" w:rsidRPr="00D67C9B" w:rsidSect="00CC02EF">
          <w:headerReference w:type="even" r:id="rId10"/>
          <w:type w:val="oddPage"/>
          <w:pgSz w:w="11906" w:h="16838" w:code="9"/>
          <w:pgMar w:top="794" w:right="1021" w:bottom="1134" w:left="1021" w:header="709" w:footer="709" w:gutter="0"/>
          <w:cols w:space="708"/>
          <w:docGrid w:linePitch="360"/>
        </w:sectPr>
      </w:pPr>
    </w:p>
    <w:p w14:paraId="5778E547" w14:textId="77777777" w:rsidR="009B069B" w:rsidRPr="00D67C9B" w:rsidRDefault="009B069B" w:rsidP="00B22864">
      <w:pPr>
        <w:ind w:left="0"/>
        <w:rPr>
          <w:rFonts w:cs="Arial"/>
        </w:rPr>
      </w:pPr>
    </w:p>
    <w:p w14:paraId="5778E548" w14:textId="77777777" w:rsidR="00401C56" w:rsidRPr="00D67C9B" w:rsidRDefault="00401C56" w:rsidP="00401C56">
      <w:pPr>
        <w:rPr>
          <w:rFonts w:cs="Arial"/>
        </w:rPr>
      </w:pPr>
    </w:p>
    <w:p w14:paraId="5778E549" w14:textId="77777777" w:rsidR="005E332B" w:rsidRPr="00D67C9B" w:rsidRDefault="005E332B" w:rsidP="005D3906">
      <w:pPr>
        <w:rPr>
          <w:rFonts w:cs="Arial"/>
        </w:rPr>
        <w:sectPr w:rsidR="005E332B" w:rsidRPr="00D67C9B" w:rsidSect="005A5D21">
          <w:headerReference w:type="even" r:id="rId11"/>
          <w:pgSz w:w="11906" w:h="16838" w:code="9"/>
          <w:pgMar w:top="1418" w:right="1021" w:bottom="1134" w:left="1021" w:header="540" w:footer="709" w:gutter="0"/>
          <w:cols w:space="708"/>
          <w:docGrid w:linePitch="360"/>
        </w:sectPr>
      </w:pPr>
    </w:p>
    <w:p w14:paraId="5778E54A" w14:textId="77777777" w:rsidR="00FD27B8" w:rsidRPr="00D67C9B" w:rsidRDefault="00FD27B8" w:rsidP="00FB74E7">
      <w:pPr>
        <w:pStyle w:val="StyleTOCHeadingBottomSinglesolidlineAuto05ptLine"/>
        <w:rPr>
          <w:rFonts w:cs="Arial"/>
        </w:rPr>
      </w:pPr>
      <w:r w:rsidRPr="00D67C9B">
        <w:rPr>
          <w:rFonts w:cs="Arial"/>
        </w:rPr>
        <w:lastRenderedPageBreak/>
        <w:t>Contents</w:t>
      </w:r>
    </w:p>
    <w:p w14:paraId="1C8A3479" w14:textId="77777777" w:rsidR="00804C12" w:rsidRDefault="000C3F5E">
      <w:pPr>
        <w:pStyle w:val="TOC2"/>
        <w:tabs>
          <w:tab w:val="right" w:pos="9854"/>
        </w:tabs>
        <w:rPr>
          <w:rFonts w:asciiTheme="minorHAnsi" w:eastAsiaTheme="minorEastAsia" w:hAnsiTheme="minorHAnsi" w:cstheme="minorBidi"/>
          <w:noProof/>
          <w:sz w:val="22"/>
          <w:szCs w:val="22"/>
        </w:rPr>
      </w:pPr>
      <w:r w:rsidRPr="00D67C9B">
        <w:rPr>
          <w:rFonts w:cs="Arial"/>
        </w:rPr>
        <w:fldChar w:fldCharType="begin"/>
      </w:r>
      <w:r w:rsidR="002F69CC" w:rsidRPr="00D67C9B">
        <w:rPr>
          <w:rFonts w:cs="Arial"/>
        </w:rPr>
        <w:instrText xml:space="preserve"> TOC \o "1-2" </w:instrText>
      </w:r>
      <w:r w:rsidRPr="00D67C9B">
        <w:rPr>
          <w:rFonts w:cs="Arial"/>
        </w:rPr>
        <w:fldChar w:fldCharType="separate"/>
      </w:r>
      <w:r w:rsidR="00804C12">
        <w:rPr>
          <w:noProof/>
        </w:rPr>
        <w:t>About the authors</w:t>
      </w:r>
      <w:r w:rsidR="00804C12">
        <w:rPr>
          <w:noProof/>
        </w:rPr>
        <w:tab/>
      </w:r>
      <w:r w:rsidR="00804C12">
        <w:rPr>
          <w:noProof/>
        </w:rPr>
        <w:fldChar w:fldCharType="begin"/>
      </w:r>
      <w:r w:rsidR="00804C12">
        <w:rPr>
          <w:noProof/>
        </w:rPr>
        <w:instrText xml:space="preserve"> PAGEREF _Toc385423134 \h </w:instrText>
      </w:r>
      <w:r w:rsidR="00804C12">
        <w:rPr>
          <w:noProof/>
        </w:rPr>
      </w:r>
      <w:r w:rsidR="00804C12">
        <w:rPr>
          <w:noProof/>
        </w:rPr>
        <w:fldChar w:fldCharType="separate"/>
      </w:r>
      <w:r w:rsidR="000D728A">
        <w:rPr>
          <w:noProof/>
        </w:rPr>
        <w:t>4</w:t>
      </w:r>
      <w:r w:rsidR="00804C12">
        <w:rPr>
          <w:noProof/>
        </w:rPr>
        <w:fldChar w:fldCharType="end"/>
      </w:r>
    </w:p>
    <w:p w14:paraId="7D0BB875" w14:textId="77777777" w:rsidR="00804C12" w:rsidRDefault="00804C12">
      <w:pPr>
        <w:pStyle w:val="TOC1"/>
        <w:tabs>
          <w:tab w:val="right" w:pos="9854"/>
        </w:tabs>
        <w:rPr>
          <w:rFonts w:asciiTheme="minorHAnsi" w:eastAsiaTheme="minorEastAsia" w:hAnsiTheme="minorHAnsi" w:cstheme="minorBidi"/>
          <w:noProof/>
          <w:sz w:val="22"/>
          <w:szCs w:val="22"/>
        </w:rPr>
      </w:pPr>
      <w:r w:rsidRPr="00056914">
        <w:rPr>
          <w:rFonts w:cs="Arial"/>
          <w:noProof/>
        </w:rPr>
        <w:t>Chapter 1: Introduction</w:t>
      </w:r>
      <w:r>
        <w:rPr>
          <w:noProof/>
        </w:rPr>
        <w:tab/>
      </w:r>
      <w:r>
        <w:rPr>
          <w:noProof/>
        </w:rPr>
        <w:fldChar w:fldCharType="begin"/>
      </w:r>
      <w:r>
        <w:rPr>
          <w:noProof/>
        </w:rPr>
        <w:instrText xml:space="preserve"> PAGEREF _Toc385423135 \h </w:instrText>
      </w:r>
      <w:r>
        <w:rPr>
          <w:noProof/>
        </w:rPr>
      </w:r>
      <w:r>
        <w:rPr>
          <w:noProof/>
        </w:rPr>
        <w:fldChar w:fldCharType="separate"/>
      </w:r>
      <w:r w:rsidR="000D728A">
        <w:rPr>
          <w:noProof/>
        </w:rPr>
        <w:t>6</w:t>
      </w:r>
      <w:r>
        <w:rPr>
          <w:noProof/>
        </w:rPr>
        <w:fldChar w:fldCharType="end"/>
      </w:r>
    </w:p>
    <w:p w14:paraId="45B04AAD" w14:textId="77777777" w:rsidR="00804C12" w:rsidRDefault="00804C12">
      <w:pPr>
        <w:pStyle w:val="TOC2"/>
        <w:tabs>
          <w:tab w:val="left" w:pos="2482"/>
          <w:tab w:val="right" w:pos="9854"/>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Aims, objectives and report overview</w:t>
      </w:r>
      <w:r>
        <w:rPr>
          <w:noProof/>
        </w:rPr>
        <w:tab/>
      </w:r>
      <w:r>
        <w:rPr>
          <w:noProof/>
        </w:rPr>
        <w:fldChar w:fldCharType="begin"/>
      </w:r>
      <w:r>
        <w:rPr>
          <w:noProof/>
        </w:rPr>
        <w:instrText xml:space="preserve"> PAGEREF _Toc385423136 \h </w:instrText>
      </w:r>
      <w:r>
        <w:rPr>
          <w:noProof/>
        </w:rPr>
      </w:r>
      <w:r>
        <w:rPr>
          <w:noProof/>
        </w:rPr>
        <w:fldChar w:fldCharType="separate"/>
      </w:r>
      <w:r w:rsidR="000D728A">
        <w:rPr>
          <w:noProof/>
        </w:rPr>
        <w:t>6</w:t>
      </w:r>
      <w:r>
        <w:rPr>
          <w:noProof/>
        </w:rPr>
        <w:fldChar w:fldCharType="end"/>
      </w:r>
    </w:p>
    <w:p w14:paraId="172DB786" w14:textId="77777777" w:rsidR="00804C12" w:rsidRDefault="00804C12">
      <w:pPr>
        <w:pStyle w:val="TOC2"/>
        <w:tabs>
          <w:tab w:val="left" w:pos="2482"/>
          <w:tab w:val="right" w:pos="9854"/>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Background</w:t>
      </w:r>
      <w:r>
        <w:rPr>
          <w:noProof/>
        </w:rPr>
        <w:tab/>
      </w:r>
      <w:r>
        <w:rPr>
          <w:noProof/>
        </w:rPr>
        <w:fldChar w:fldCharType="begin"/>
      </w:r>
      <w:r>
        <w:rPr>
          <w:noProof/>
        </w:rPr>
        <w:instrText xml:space="preserve"> PAGEREF _Toc385423137 \h </w:instrText>
      </w:r>
      <w:r>
        <w:rPr>
          <w:noProof/>
        </w:rPr>
      </w:r>
      <w:r>
        <w:rPr>
          <w:noProof/>
        </w:rPr>
        <w:fldChar w:fldCharType="separate"/>
      </w:r>
      <w:r w:rsidR="000D728A">
        <w:rPr>
          <w:noProof/>
        </w:rPr>
        <w:t>6</w:t>
      </w:r>
      <w:r>
        <w:rPr>
          <w:noProof/>
        </w:rPr>
        <w:fldChar w:fldCharType="end"/>
      </w:r>
    </w:p>
    <w:p w14:paraId="4FE66001" w14:textId="77777777" w:rsidR="00804C12" w:rsidRDefault="00804C12">
      <w:pPr>
        <w:pStyle w:val="TOC1"/>
        <w:tabs>
          <w:tab w:val="right" w:pos="9854"/>
        </w:tabs>
        <w:rPr>
          <w:rFonts w:asciiTheme="minorHAnsi" w:eastAsiaTheme="minorEastAsia" w:hAnsiTheme="minorHAnsi" w:cstheme="minorBidi"/>
          <w:noProof/>
          <w:sz w:val="22"/>
          <w:szCs w:val="22"/>
        </w:rPr>
      </w:pPr>
      <w:r w:rsidRPr="00056914">
        <w:rPr>
          <w:rFonts w:cs="Arial"/>
          <w:noProof/>
        </w:rPr>
        <w:t>Chapter 2: Summary of  findings</w:t>
      </w:r>
      <w:r>
        <w:rPr>
          <w:noProof/>
        </w:rPr>
        <w:tab/>
      </w:r>
      <w:r>
        <w:rPr>
          <w:noProof/>
        </w:rPr>
        <w:fldChar w:fldCharType="begin"/>
      </w:r>
      <w:r>
        <w:rPr>
          <w:noProof/>
        </w:rPr>
        <w:instrText xml:space="preserve"> PAGEREF _Toc385423138 \h </w:instrText>
      </w:r>
      <w:r>
        <w:rPr>
          <w:noProof/>
        </w:rPr>
      </w:r>
      <w:r>
        <w:rPr>
          <w:noProof/>
        </w:rPr>
        <w:fldChar w:fldCharType="separate"/>
      </w:r>
      <w:r w:rsidR="000D728A">
        <w:rPr>
          <w:noProof/>
        </w:rPr>
        <w:t>9</w:t>
      </w:r>
      <w:r>
        <w:rPr>
          <w:noProof/>
        </w:rPr>
        <w:fldChar w:fldCharType="end"/>
      </w:r>
    </w:p>
    <w:p w14:paraId="53FDD569" w14:textId="77777777" w:rsidR="00804C12" w:rsidRDefault="00804C12">
      <w:pPr>
        <w:pStyle w:val="TOC1"/>
        <w:tabs>
          <w:tab w:val="right" w:pos="9854"/>
        </w:tabs>
        <w:rPr>
          <w:rFonts w:asciiTheme="minorHAnsi" w:eastAsiaTheme="minorEastAsia" w:hAnsiTheme="minorHAnsi" w:cstheme="minorBidi"/>
          <w:noProof/>
          <w:sz w:val="22"/>
          <w:szCs w:val="22"/>
        </w:rPr>
      </w:pPr>
      <w:r w:rsidRPr="00056914">
        <w:rPr>
          <w:rFonts w:cs="Arial"/>
          <w:noProof/>
        </w:rPr>
        <w:t>Annex A: Literature review</w:t>
      </w:r>
      <w:r>
        <w:rPr>
          <w:noProof/>
        </w:rPr>
        <w:tab/>
      </w:r>
      <w:r>
        <w:rPr>
          <w:noProof/>
        </w:rPr>
        <w:fldChar w:fldCharType="begin"/>
      </w:r>
      <w:r>
        <w:rPr>
          <w:noProof/>
        </w:rPr>
        <w:instrText xml:space="preserve"> PAGEREF _Toc385423139 \h </w:instrText>
      </w:r>
      <w:r>
        <w:rPr>
          <w:noProof/>
        </w:rPr>
      </w:r>
      <w:r>
        <w:rPr>
          <w:noProof/>
        </w:rPr>
        <w:fldChar w:fldCharType="separate"/>
      </w:r>
      <w:r w:rsidR="000D728A">
        <w:rPr>
          <w:noProof/>
        </w:rPr>
        <w:t>11</w:t>
      </w:r>
      <w:r>
        <w:rPr>
          <w:noProof/>
        </w:rPr>
        <w:fldChar w:fldCharType="end"/>
      </w:r>
    </w:p>
    <w:p w14:paraId="4BF10F2F" w14:textId="77777777" w:rsidR="00804C12" w:rsidRDefault="00804C12">
      <w:pPr>
        <w:pStyle w:val="TOC1"/>
        <w:tabs>
          <w:tab w:val="right" w:pos="9854"/>
        </w:tabs>
        <w:rPr>
          <w:rFonts w:asciiTheme="minorHAnsi" w:eastAsiaTheme="minorEastAsia" w:hAnsiTheme="minorHAnsi" w:cstheme="minorBidi"/>
          <w:noProof/>
          <w:sz w:val="22"/>
          <w:szCs w:val="22"/>
        </w:rPr>
      </w:pPr>
      <w:r w:rsidRPr="00056914">
        <w:rPr>
          <w:rFonts w:cs="Arial"/>
          <w:noProof/>
        </w:rPr>
        <w:t>Annex B: Methodology</w:t>
      </w:r>
      <w:r>
        <w:rPr>
          <w:noProof/>
        </w:rPr>
        <w:tab/>
      </w:r>
      <w:r>
        <w:rPr>
          <w:noProof/>
        </w:rPr>
        <w:fldChar w:fldCharType="begin"/>
      </w:r>
      <w:r>
        <w:rPr>
          <w:noProof/>
        </w:rPr>
        <w:instrText xml:space="preserve"> PAGEREF _Toc385423140 \h </w:instrText>
      </w:r>
      <w:r>
        <w:rPr>
          <w:noProof/>
        </w:rPr>
      </w:r>
      <w:r>
        <w:rPr>
          <w:noProof/>
        </w:rPr>
        <w:fldChar w:fldCharType="separate"/>
      </w:r>
      <w:r w:rsidR="000D728A">
        <w:rPr>
          <w:noProof/>
        </w:rPr>
        <w:t>13</w:t>
      </w:r>
      <w:r>
        <w:rPr>
          <w:noProof/>
        </w:rPr>
        <w:fldChar w:fldCharType="end"/>
      </w:r>
    </w:p>
    <w:p w14:paraId="79E06971" w14:textId="77777777" w:rsidR="00804C12" w:rsidRDefault="00804C12">
      <w:pPr>
        <w:pStyle w:val="TOC1"/>
        <w:tabs>
          <w:tab w:val="right" w:pos="9854"/>
        </w:tabs>
        <w:rPr>
          <w:rFonts w:asciiTheme="minorHAnsi" w:eastAsiaTheme="minorEastAsia" w:hAnsiTheme="minorHAnsi" w:cstheme="minorBidi"/>
          <w:noProof/>
          <w:sz w:val="22"/>
          <w:szCs w:val="22"/>
        </w:rPr>
      </w:pPr>
      <w:r w:rsidRPr="00056914">
        <w:rPr>
          <w:rFonts w:cs="Arial"/>
          <w:noProof/>
        </w:rPr>
        <w:t>Annex C: Full results</w:t>
      </w:r>
      <w:r>
        <w:rPr>
          <w:noProof/>
        </w:rPr>
        <w:tab/>
      </w:r>
      <w:r>
        <w:rPr>
          <w:noProof/>
        </w:rPr>
        <w:fldChar w:fldCharType="begin"/>
      </w:r>
      <w:r>
        <w:rPr>
          <w:noProof/>
        </w:rPr>
        <w:instrText xml:space="preserve"> PAGEREF _Toc385423141 \h </w:instrText>
      </w:r>
      <w:r>
        <w:rPr>
          <w:noProof/>
        </w:rPr>
      </w:r>
      <w:r>
        <w:rPr>
          <w:noProof/>
        </w:rPr>
        <w:fldChar w:fldCharType="separate"/>
      </w:r>
      <w:r w:rsidR="000D728A">
        <w:rPr>
          <w:noProof/>
        </w:rPr>
        <w:t>17</w:t>
      </w:r>
      <w:r>
        <w:rPr>
          <w:noProof/>
        </w:rPr>
        <w:fldChar w:fldCharType="end"/>
      </w:r>
    </w:p>
    <w:p w14:paraId="313A1F6B" w14:textId="77777777" w:rsidR="00804C12" w:rsidRDefault="00804C12">
      <w:pPr>
        <w:pStyle w:val="TOC1"/>
        <w:tabs>
          <w:tab w:val="right" w:pos="9854"/>
        </w:tabs>
        <w:rPr>
          <w:rFonts w:asciiTheme="minorHAnsi" w:eastAsiaTheme="minorEastAsia" w:hAnsiTheme="minorHAnsi" w:cstheme="minorBidi"/>
          <w:noProof/>
          <w:sz w:val="22"/>
          <w:szCs w:val="22"/>
        </w:rPr>
      </w:pPr>
      <w:r w:rsidRPr="00056914">
        <w:rPr>
          <w:rFonts w:cs="Arial"/>
          <w:noProof/>
        </w:rPr>
        <w:t>Annex D: Further research</w:t>
      </w:r>
      <w:r>
        <w:rPr>
          <w:noProof/>
        </w:rPr>
        <w:tab/>
      </w:r>
      <w:r>
        <w:rPr>
          <w:noProof/>
        </w:rPr>
        <w:fldChar w:fldCharType="begin"/>
      </w:r>
      <w:r>
        <w:rPr>
          <w:noProof/>
        </w:rPr>
        <w:instrText xml:space="preserve"> PAGEREF _Toc385423142 \h </w:instrText>
      </w:r>
      <w:r>
        <w:rPr>
          <w:noProof/>
        </w:rPr>
      </w:r>
      <w:r>
        <w:rPr>
          <w:noProof/>
        </w:rPr>
        <w:fldChar w:fldCharType="separate"/>
      </w:r>
      <w:r w:rsidR="000D728A">
        <w:rPr>
          <w:noProof/>
        </w:rPr>
        <w:t>29</w:t>
      </w:r>
      <w:r>
        <w:rPr>
          <w:noProof/>
        </w:rPr>
        <w:fldChar w:fldCharType="end"/>
      </w:r>
    </w:p>
    <w:p w14:paraId="1DD42005" w14:textId="77777777" w:rsidR="00804C12" w:rsidRDefault="00804C12">
      <w:pPr>
        <w:pStyle w:val="TOC1"/>
        <w:tabs>
          <w:tab w:val="right" w:pos="9854"/>
        </w:tabs>
        <w:rPr>
          <w:rFonts w:asciiTheme="minorHAnsi" w:eastAsiaTheme="minorEastAsia" w:hAnsiTheme="minorHAnsi" w:cstheme="minorBidi"/>
          <w:noProof/>
          <w:sz w:val="22"/>
          <w:szCs w:val="22"/>
        </w:rPr>
      </w:pPr>
      <w:r w:rsidRPr="00056914">
        <w:rPr>
          <w:rFonts w:cs="Arial"/>
          <w:noProof/>
        </w:rPr>
        <w:t>Annex E: References</w:t>
      </w:r>
      <w:r>
        <w:rPr>
          <w:noProof/>
        </w:rPr>
        <w:tab/>
      </w:r>
      <w:r>
        <w:rPr>
          <w:noProof/>
        </w:rPr>
        <w:fldChar w:fldCharType="begin"/>
      </w:r>
      <w:r>
        <w:rPr>
          <w:noProof/>
        </w:rPr>
        <w:instrText xml:space="preserve"> PAGEREF _Toc385423143 \h </w:instrText>
      </w:r>
      <w:r>
        <w:rPr>
          <w:noProof/>
        </w:rPr>
      </w:r>
      <w:r>
        <w:rPr>
          <w:noProof/>
        </w:rPr>
        <w:fldChar w:fldCharType="separate"/>
      </w:r>
      <w:r w:rsidR="000D728A">
        <w:rPr>
          <w:noProof/>
        </w:rPr>
        <w:t>30</w:t>
      </w:r>
      <w:r>
        <w:rPr>
          <w:noProof/>
        </w:rPr>
        <w:fldChar w:fldCharType="end"/>
      </w:r>
    </w:p>
    <w:p w14:paraId="5778E555" w14:textId="77777777" w:rsidR="00283206" w:rsidRPr="00D67C9B" w:rsidRDefault="000C3F5E">
      <w:pPr>
        <w:rPr>
          <w:rFonts w:cs="Arial"/>
        </w:rPr>
      </w:pPr>
      <w:r w:rsidRPr="00D67C9B">
        <w:rPr>
          <w:rFonts w:cs="Arial"/>
        </w:rPr>
        <w:fldChar w:fldCharType="end"/>
      </w:r>
    </w:p>
    <w:p w14:paraId="5778E556" w14:textId="77777777" w:rsidR="0023155C" w:rsidRPr="00D67C9B" w:rsidRDefault="0023155C">
      <w:pPr>
        <w:rPr>
          <w:rFonts w:cs="Arial"/>
        </w:rPr>
      </w:pPr>
    </w:p>
    <w:p w14:paraId="5778E557" w14:textId="77777777" w:rsidR="00B22864" w:rsidRDefault="00B22864">
      <w:pPr>
        <w:spacing w:before="0"/>
        <w:ind w:left="0"/>
        <w:rPr>
          <w:rFonts w:cs="Arial"/>
        </w:rPr>
      </w:pPr>
      <w:r>
        <w:rPr>
          <w:rFonts w:cs="Arial"/>
        </w:rPr>
        <w:br w:type="page"/>
      </w:r>
    </w:p>
    <w:p w14:paraId="5778E558" w14:textId="77777777" w:rsidR="00B22864" w:rsidRPr="000D728A" w:rsidRDefault="00B22864" w:rsidP="00B22864">
      <w:pPr>
        <w:pStyle w:val="Heading2Numbered"/>
        <w:numPr>
          <w:ilvl w:val="0"/>
          <w:numId w:val="0"/>
        </w:numPr>
        <w:ind w:left="1928"/>
        <w:rPr>
          <w:sz w:val="24"/>
          <w:szCs w:val="24"/>
        </w:rPr>
      </w:pPr>
      <w:bookmarkStart w:id="2" w:name="_Toc385423134"/>
      <w:r w:rsidRPr="000D728A">
        <w:rPr>
          <w:sz w:val="24"/>
          <w:szCs w:val="24"/>
        </w:rPr>
        <w:lastRenderedPageBreak/>
        <w:t>About the authors</w:t>
      </w:r>
      <w:bookmarkEnd w:id="2"/>
    </w:p>
    <w:p w14:paraId="5778E559" w14:textId="77777777" w:rsidR="00B22864" w:rsidRPr="000D728A" w:rsidRDefault="00B22864" w:rsidP="00B22864"/>
    <w:p w14:paraId="75B6D6B3" w14:textId="692E4C03" w:rsidR="002F2BE6" w:rsidRPr="000D728A" w:rsidRDefault="00B22864" w:rsidP="002F2BE6">
      <w:pPr>
        <w:pStyle w:val="PlainText"/>
        <w:ind w:left="1928"/>
        <w:rPr>
          <w:rFonts w:ascii="Arial" w:hAnsi="Arial" w:cs="Arial"/>
          <w:sz w:val="24"/>
          <w:szCs w:val="24"/>
        </w:rPr>
      </w:pPr>
      <w:r w:rsidRPr="000D728A">
        <w:rPr>
          <w:rFonts w:ascii="Arial" w:hAnsi="Arial" w:cs="Arial"/>
          <w:b/>
          <w:sz w:val="24"/>
          <w:szCs w:val="24"/>
        </w:rPr>
        <w:t>Daniel Fujiwara</w:t>
      </w:r>
      <w:r w:rsidRPr="000D728A">
        <w:rPr>
          <w:rFonts w:ascii="Arial" w:hAnsi="Arial" w:cs="Arial"/>
          <w:sz w:val="24"/>
          <w:szCs w:val="24"/>
        </w:rPr>
        <w:t xml:space="preserve"> </w:t>
      </w:r>
      <w:r w:rsidR="002F2BE6" w:rsidRPr="000D728A">
        <w:rPr>
          <w:rFonts w:ascii="Arial" w:hAnsi="Arial" w:cs="Arial"/>
          <w:sz w:val="24"/>
          <w:szCs w:val="24"/>
        </w:rPr>
        <w:t>is Director of Social Impact Metrics (SImetrica) and a member of the Centre for Economic Performance at the London School of Economics and Political Science. His research focuses on policy evaluation methods and techniques for valuing non-market goods.</w:t>
      </w:r>
    </w:p>
    <w:p w14:paraId="025776A2" w14:textId="77777777" w:rsidR="002F2BE6" w:rsidRPr="000D728A" w:rsidRDefault="002F2BE6" w:rsidP="002F2BE6">
      <w:pPr>
        <w:pStyle w:val="PlainText"/>
        <w:ind w:left="1928"/>
        <w:rPr>
          <w:rFonts w:ascii="Arial" w:hAnsi="Arial" w:cs="Arial"/>
          <w:sz w:val="24"/>
          <w:szCs w:val="24"/>
        </w:rPr>
      </w:pPr>
    </w:p>
    <w:p w14:paraId="706EE403" w14:textId="77777777" w:rsidR="002F2BE6" w:rsidRPr="000D728A" w:rsidRDefault="002F2BE6" w:rsidP="002F2BE6">
      <w:pPr>
        <w:pStyle w:val="PlainText"/>
        <w:ind w:left="1928"/>
        <w:rPr>
          <w:rFonts w:ascii="Arial" w:hAnsi="Arial" w:cs="Arial"/>
          <w:sz w:val="24"/>
          <w:szCs w:val="24"/>
        </w:rPr>
      </w:pPr>
      <w:r w:rsidRPr="000D728A">
        <w:rPr>
          <w:rFonts w:ascii="Arial" w:hAnsi="Arial" w:cs="Arial"/>
          <w:sz w:val="24"/>
          <w:szCs w:val="24"/>
        </w:rPr>
        <w:t xml:space="preserve">He has recently published guidelines on non-market valuation and subjective wellbeing for the UK Government, including an update to the HM Treasury Green Book manual. Daniel previously led on cost-benefit analysis at the Department for Work and Pensions and was senior economist at the Cabinet Office, where he won the 2012 John Hoy Prize in Economics for his work on evaluation methodology. He is currently scientific advisor to the SROI Network and works with a number of OECD governments and public sector organisations on policy evaluation. </w:t>
      </w:r>
    </w:p>
    <w:p w14:paraId="0A7FE50D" w14:textId="77777777" w:rsidR="002F2BE6" w:rsidRPr="000D728A" w:rsidRDefault="002F2BE6" w:rsidP="00B22864"/>
    <w:p w14:paraId="5778E55D" w14:textId="1F7C9992" w:rsidR="00B22864" w:rsidRPr="000D728A" w:rsidRDefault="00B22864" w:rsidP="00B22864">
      <w:r w:rsidRPr="000D728A">
        <w:rPr>
          <w:b/>
        </w:rPr>
        <w:t>Laura Kudrna</w:t>
      </w:r>
      <w:r w:rsidRPr="000D728A">
        <w:t xml:space="preserve"> is a Research Assistant at the London School of Economics and Political Science where she contributes to work on the best way to measure and value subjective wellbeing. She holds a BSc in Psychology, MSc in Social Research Methodology. She has over five years of experience in the healthcare, technology, and financial service market research sectors, as well as experience in the voluntary sector.</w:t>
      </w:r>
    </w:p>
    <w:p w14:paraId="5778E55E" w14:textId="77777777" w:rsidR="00B22864" w:rsidRPr="000D728A" w:rsidRDefault="00B22864" w:rsidP="00B22864">
      <w:r w:rsidRPr="000D728A">
        <w:t>Her research centres upon understanding the causes and consequences of social comparisons as they apply to behaviour and subjective wellbeing.</w:t>
      </w:r>
    </w:p>
    <w:p w14:paraId="5778E55F" w14:textId="77777777" w:rsidR="00B22864" w:rsidRPr="000D728A" w:rsidRDefault="00B22864" w:rsidP="00B22864"/>
    <w:p w14:paraId="5778E560" w14:textId="77777777" w:rsidR="00B22864" w:rsidRPr="000D728A" w:rsidRDefault="00B22864" w:rsidP="00B22864">
      <w:r w:rsidRPr="000D728A">
        <w:rPr>
          <w:b/>
        </w:rPr>
        <w:t>Paul Dolan</w:t>
      </w:r>
      <w:r w:rsidRPr="000D728A">
        <w:t xml:space="preserve"> is Professor of Behavioural Science at the LSE. He has 100 peer-reviewed journal publications and has won many research grants from various funding bodies. One of his main research activities is developing measures of wellbeing and happiness that can be used in policy. </w:t>
      </w:r>
    </w:p>
    <w:p w14:paraId="5778E561" w14:textId="77777777" w:rsidR="00B22864" w:rsidRPr="000D728A" w:rsidRDefault="00B22864" w:rsidP="00B22864">
      <w:r w:rsidRPr="000D728A">
        <w:t>Amongst current professional roles, he is a member of the Office for National Statistics advisory forum on wellbeing  (he recommended the questions for large scale surveys), on a National Academy of Sciences Panel on wellbeing in the US, and Chief Academic Advisor on Economic Appraisal to the Government Economic Service.</w:t>
      </w:r>
    </w:p>
    <w:p w14:paraId="5778E562" w14:textId="77777777" w:rsidR="00B22864" w:rsidRPr="000D728A" w:rsidRDefault="00B22864" w:rsidP="00B22864">
      <w:pPr>
        <w:rPr>
          <w:b/>
        </w:rPr>
      </w:pPr>
    </w:p>
    <w:p w14:paraId="5778E565" w14:textId="0714E479" w:rsidR="00B22864" w:rsidRDefault="00B22864" w:rsidP="001008F7">
      <w:pPr>
        <w:spacing w:before="0"/>
        <w:ind w:left="1208" w:firstLine="720"/>
        <w:rPr>
          <w:b/>
        </w:rPr>
      </w:pPr>
      <w:r w:rsidRPr="000D728A">
        <w:rPr>
          <w:b/>
        </w:rPr>
        <w:t>Acknowledgements</w:t>
      </w:r>
    </w:p>
    <w:p w14:paraId="478DAB88" w14:textId="77777777" w:rsidR="001008F7" w:rsidRPr="000D728A" w:rsidRDefault="001008F7" w:rsidP="001008F7">
      <w:pPr>
        <w:spacing w:before="0"/>
        <w:ind w:left="1208" w:firstLine="720"/>
        <w:rPr>
          <w:b/>
        </w:rPr>
      </w:pPr>
    </w:p>
    <w:p w14:paraId="4CDD830A" w14:textId="77777777" w:rsidR="00496A1D" w:rsidRPr="000D728A" w:rsidRDefault="00496A1D" w:rsidP="00496A1D">
      <w:r w:rsidRPr="000D728A">
        <w:t>We are grateful to Lee Smith and Harman Sagger from the Department for Culture, Media and Sport for their valuable input and comments on the research.</w:t>
      </w:r>
    </w:p>
    <w:p w14:paraId="318FDF3C" w14:textId="77777777" w:rsidR="00496A1D" w:rsidRDefault="00496A1D" w:rsidP="00B22864"/>
    <w:p w14:paraId="5778E566" w14:textId="77777777" w:rsidR="00B22864" w:rsidRPr="000D728A" w:rsidRDefault="00B22864" w:rsidP="00B22864">
      <w:r w:rsidRPr="000D728A">
        <w:t>This analysis was conducted using Understanding Society data supplied under the standard End User Licence (EUL) agreement from the Economic and Social Data Service (ESDS). Responsibility for the analysis and interpretation of these data are solely that of the authors.</w:t>
      </w:r>
    </w:p>
    <w:p w14:paraId="5778E56A" w14:textId="77777777" w:rsidR="005A5D21" w:rsidRPr="000D728A" w:rsidRDefault="005A5D21" w:rsidP="001008F7">
      <w:pPr>
        <w:ind w:left="0"/>
        <w:rPr>
          <w:rFonts w:cs="Arial"/>
        </w:rPr>
        <w:sectPr w:rsidR="005A5D21" w:rsidRPr="000D728A" w:rsidSect="00D73CC1">
          <w:headerReference w:type="even" r:id="rId12"/>
          <w:headerReference w:type="default" r:id="rId13"/>
          <w:type w:val="oddPage"/>
          <w:pgSz w:w="11906" w:h="16838" w:code="9"/>
          <w:pgMar w:top="1418" w:right="1021" w:bottom="1134" w:left="1021" w:header="539" w:footer="709" w:gutter="0"/>
          <w:cols w:space="708"/>
          <w:docGrid w:linePitch="360"/>
        </w:sectPr>
      </w:pPr>
    </w:p>
    <w:p w14:paraId="5778E56B" w14:textId="77777777" w:rsidR="00FD27B8" w:rsidRPr="000D728A" w:rsidRDefault="00F42092" w:rsidP="008D3B91">
      <w:pPr>
        <w:pStyle w:val="Heading1Numbered"/>
        <w:rPr>
          <w:rFonts w:cs="Arial"/>
        </w:rPr>
      </w:pPr>
      <w:bookmarkStart w:id="3" w:name="_Toc385423135"/>
      <w:r w:rsidRPr="000D728A">
        <w:rPr>
          <w:rFonts w:cs="Arial"/>
        </w:rPr>
        <w:lastRenderedPageBreak/>
        <w:t>Introduction</w:t>
      </w:r>
      <w:bookmarkEnd w:id="3"/>
    </w:p>
    <w:p w14:paraId="5778E56C" w14:textId="77777777" w:rsidR="00577D31" w:rsidRPr="000D728A" w:rsidRDefault="00B22864" w:rsidP="00B22864">
      <w:pPr>
        <w:pStyle w:val="Heading2Numbered"/>
      </w:pPr>
      <w:bookmarkStart w:id="4" w:name="_Toc385423136"/>
      <w:r w:rsidRPr="000D728A">
        <w:t xml:space="preserve">Aims, </w:t>
      </w:r>
      <w:r w:rsidR="00F42092" w:rsidRPr="000D728A">
        <w:t>objectives</w:t>
      </w:r>
      <w:r w:rsidRPr="000D728A">
        <w:t xml:space="preserve"> and report overview</w:t>
      </w:r>
      <w:bookmarkEnd w:id="4"/>
    </w:p>
    <w:p w14:paraId="5778E56D" w14:textId="77777777" w:rsidR="00577D31" w:rsidRPr="000D728A" w:rsidRDefault="004052AB" w:rsidP="00577D31">
      <w:pPr>
        <w:widowControl w:val="0"/>
        <w:spacing w:before="20"/>
        <w:rPr>
          <w:rFonts w:cs="Arial"/>
        </w:rPr>
      </w:pPr>
      <w:r w:rsidRPr="000D728A">
        <w:rPr>
          <w:rFonts w:cs="Arial"/>
        </w:rPr>
        <w:t xml:space="preserve">The Department for Culture, Media and Sport (DCMS) commissioned </w:t>
      </w:r>
      <w:r w:rsidR="00D51AB6" w:rsidRPr="000D728A">
        <w:rPr>
          <w:rFonts w:cs="Arial"/>
        </w:rPr>
        <w:t xml:space="preserve">researchers from </w:t>
      </w:r>
      <w:r w:rsidRPr="000D728A">
        <w:rPr>
          <w:rFonts w:cs="Arial"/>
        </w:rPr>
        <w:t>t</w:t>
      </w:r>
      <w:r w:rsidR="00577D31" w:rsidRPr="000D728A">
        <w:rPr>
          <w:rFonts w:cs="Arial"/>
        </w:rPr>
        <w:t xml:space="preserve">he London School of Economics (LSE) </w:t>
      </w:r>
      <w:r w:rsidRPr="000D728A">
        <w:rPr>
          <w:rFonts w:cs="Arial"/>
        </w:rPr>
        <w:t>to undertake analysis</w:t>
      </w:r>
      <w:r w:rsidR="0049714D" w:rsidRPr="000D728A">
        <w:rPr>
          <w:rFonts w:cs="Arial"/>
        </w:rPr>
        <w:t xml:space="preserve"> of Understanding Society data to develop the evidence base on the</w:t>
      </w:r>
      <w:r w:rsidRPr="000D728A">
        <w:rPr>
          <w:rFonts w:cs="Arial"/>
        </w:rPr>
        <w:t xml:space="preserve"> s</w:t>
      </w:r>
      <w:r w:rsidR="00577D31" w:rsidRPr="000D728A">
        <w:rPr>
          <w:rFonts w:cs="Arial"/>
        </w:rPr>
        <w:t xml:space="preserve">ocial </w:t>
      </w:r>
      <w:r w:rsidR="00B22864" w:rsidRPr="000D728A">
        <w:rPr>
          <w:rFonts w:cs="Arial"/>
        </w:rPr>
        <w:t xml:space="preserve">and wellbeing </w:t>
      </w:r>
      <w:r w:rsidRPr="000D728A">
        <w:rPr>
          <w:rFonts w:cs="Arial"/>
        </w:rPr>
        <w:t>impacts of cultural e</w:t>
      </w:r>
      <w:r w:rsidR="00577D31" w:rsidRPr="000D728A">
        <w:rPr>
          <w:rFonts w:cs="Arial"/>
        </w:rPr>
        <w:t>nga</w:t>
      </w:r>
      <w:r w:rsidRPr="000D728A">
        <w:rPr>
          <w:rFonts w:cs="Arial"/>
        </w:rPr>
        <w:t>gement and sport p</w:t>
      </w:r>
      <w:r w:rsidR="00577D31" w:rsidRPr="000D728A">
        <w:rPr>
          <w:rFonts w:cs="Arial"/>
        </w:rPr>
        <w:t>articipation.  This work gives us new evidence of the link between our policies and the social impacts of engagement</w:t>
      </w:r>
      <w:r w:rsidR="00577D31" w:rsidRPr="000D728A" w:rsidDel="002F6C23">
        <w:rPr>
          <w:rFonts w:cs="Arial"/>
        </w:rPr>
        <w:t xml:space="preserve"> </w:t>
      </w:r>
      <w:r w:rsidR="00577D31" w:rsidRPr="000D728A">
        <w:rPr>
          <w:rFonts w:cs="Arial"/>
        </w:rPr>
        <w:t xml:space="preserve">in both sport and culture. </w:t>
      </w:r>
    </w:p>
    <w:p w14:paraId="5778E56E" w14:textId="77777777" w:rsidR="00577D31" w:rsidRPr="000D728A" w:rsidRDefault="00577D31" w:rsidP="00052AA1">
      <w:pPr>
        <w:rPr>
          <w:rFonts w:asciiTheme="majorHAnsi" w:hAnsiTheme="majorHAnsi" w:cstheme="majorHAnsi"/>
        </w:rPr>
      </w:pPr>
    </w:p>
    <w:p w14:paraId="5778E56F" w14:textId="46DE1A9B" w:rsidR="00B22864" w:rsidRPr="000D728A" w:rsidRDefault="00B22864" w:rsidP="00B22864">
      <w:pPr>
        <w:rPr>
          <w:rFonts w:cs="Arial"/>
        </w:rPr>
      </w:pPr>
      <w:r w:rsidRPr="000D728A">
        <w:rPr>
          <w:rFonts w:cs="Arial"/>
        </w:rPr>
        <w:t xml:space="preserve">This report is the first of two outputs from the analysis carried out by the researchers.  This report presents the results from an analysis of the association between culture and sport participation and a range of social outcomes.  </w:t>
      </w:r>
      <w:r w:rsidR="00A0654F" w:rsidRPr="000D728A">
        <w:rPr>
          <w:rFonts w:cstheme="minorHAnsi"/>
        </w:rPr>
        <w:t>This report</w:t>
      </w:r>
      <w:r w:rsidRPr="000D728A">
        <w:rPr>
          <w:rFonts w:cstheme="minorHAnsi"/>
        </w:rPr>
        <w:t xml:space="preserve"> focuses on cashable or financial benefits and savings. </w:t>
      </w:r>
      <w:r w:rsidRPr="000D728A">
        <w:rPr>
          <w:rFonts w:cs="Arial"/>
        </w:rPr>
        <w:t>The second output presents an analysis of the association between culture, sport and measures of subjective wellbeing.</w:t>
      </w:r>
      <w:r w:rsidRPr="000D728A">
        <w:rPr>
          <w:rFonts w:cstheme="minorHAnsi"/>
        </w:rPr>
        <w:t xml:space="preserve"> </w:t>
      </w:r>
      <w:r w:rsidR="00A0654F" w:rsidRPr="000D728A">
        <w:rPr>
          <w:rFonts w:cstheme="minorHAnsi"/>
        </w:rPr>
        <w:t xml:space="preserve">The second </w:t>
      </w:r>
      <w:r w:rsidR="00F62412">
        <w:rPr>
          <w:rFonts w:cstheme="minorHAnsi"/>
        </w:rPr>
        <w:t>report</w:t>
      </w:r>
      <w:r w:rsidRPr="000D728A">
        <w:rPr>
          <w:rFonts w:cstheme="minorHAnsi"/>
        </w:rPr>
        <w:t xml:space="preserve"> therefore looks at the perceived benefits for the individual using wellbeing valuation. Both are important aspects of the Green Book and policy evaluation.</w:t>
      </w:r>
    </w:p>
    <w:p w14:paraId="5778E570" w14:textId="77777777" w:rsidR="00B22864" w:rsidRPr="000D728A" w:rsidRDefault="00B22864" w:rsidP="00052AA1">
      <w:pPr>
        <w:rPr>
          <w:rFonts w:cs="Arial"/>
        </w:rPr>
      </w:pPr>
    </w:p>
    <w:p w14:paraId="5778E571" w14:textId="43DFFF0C" w:rsidR="00052AA1" w:rsidRPr="000D728A" w:rsidRDefault="004052AB" w:rsidP="00052AA1">
      <w:pPr>
        <w:rPr>
          <w:rFonts w:cs="Arial"/>
        </w:rPr>
      </w:pPr>
      <w:r w:rsidRPr="000D728A">
        <w:rPr>
          <w:rFonts w:cs="Arial"/>
        </w:rPr>
        <w:t>The</w:t>
      </w:r>
      <w:r w:rsidR="00052AA1" w:rsidRPr="000D728A">
        <w:rPr>
          <w:rFonts w:cs="Arial"/>
        </w:rPr>
        <w:t xml:space="preserve"> aims</w:t>
      </w:r>
      <w:r w:rsidR="00B22864" w:rsidRPr="000D728A">
        <w:rPr>
          <w:rFonts w:cs="Arial"/>
        </w:rPr>
        <w:t xml:space="preserve"> of the</w:t>
      </w:r>
      <w:r w:rsidRPr="000D728A">
        <w:rPr>
          <w:rFonts w:cs="Arial"/>
        </w:rPr>
        <w:t xml:space="preserve"> </w:t>
      </w:r>
      <w:r w:rsidR="00B22864" w:rsidRPr="000D728A">
        <w:rPr>
          <w:rFonts w:cs="Arial"/>
        </w:rPr>
        <w:t>analysis</w:t>
      </w:r>
      <w:r w:rsidRPr="000D728A">
        <w:rPr>
          <w:rFonts w:cs="Arial"/>
        </w:rPr>
        <w:t xml:space="preserve"> </w:t>
      </w:r>
      <w:r w:rsidR="00B22864" w:rsidRPr="000D728A">
        <w:rPr>
          <w:rFonts w:cs="Arial"/>
        </w:rPr>
        <w:t xml:space="preserve">presented in this report </w:t>
      </w:r>
      <w:r w:rsidR="00F62412">
        <w:rPr>
          <w:rFonts w:cs="Arial"/>
        </w:rPr>
        <w:t>are</w:t>
      </w:r>
      <w:r w:rsidR="00052AA1" w:rsidRPr="000D728A">
        <w:rPr>
          <w:rFonts w:cs="Arial"/>
        </w:rPr>
        <w:t>:</w:t>
      </w:r>
    </w:p>
    <w:p w14:paraId="5778E572" w14:textId="77777777" w:rsidR="00052AA1" w:rsidRPr="000D728A" w:rsidRDefault="00052AA1" w:rsidP="00052AA1">
      <w:pPr>
        <w:rPr>
          <w:rFonts w:cs="Arial"/>
        </w:rPr>
      </w:pPr>
    </w:p>
    <w:p w14:paraId="5778E573" w14:textId="77777777" w:rsidR="00052AA1" w:rsidRPr="000D728A" w:rsidRDefault="00B22864" w:rsidP="004052AB">
      <w:pPr>
        <w:pStyle w:val="ListParagraph"/>
        <w:numPr>
          <w:ilvl w:val="0"/>
          <w:numId w:val="47"/>
        </w:numPr>
        <w:rPr>
          <w:rFonts w:ascii="Arial" w:hAnsi="Arial" w:cs="Arial"/>
          <w:lang w:val="en-GB"/>
        </w:rPr>
      </w:pPr>
      <w:r w:rsidRPr="000D728A">
        <w:rPr>
          <w:rFonts w:ascii="Arial" w:hAnsi="Arial" w:cs="Arial"/>
          <w:lang w:val="en-GB"/>
        </w:rPr>
        <w:t>To i</w:t>
      </w:r>
      <w:r w:rsidR="00B4688B" w:rsidRPr="000D728A">
        <w:rPr>
          <w:rFonts w:ascii="Arial" w:hAnsi="Arial" w:cs="Arial"/>
          <w:lang w:val="en-GB"/>
        </w:rPr>
        <w:t>nvestigate the association between sport participation and cultural engagement and a range of social outcomes</w:t>
      </w:r>
      <w:r w:rsidR="00052AA1" w:rsidRPr="000D728A">
        <w:rPr>
          <w:rFonts w:ascii="Arial" w:hAnsi="Arial" w:cs="Arial"/>
          <w:lang w:val="en-GB"/>
        </w:rPr>
        <w:t xml:space="preserve"> (e.g. on measures of health, education, employment and civic participation).</w:t>
      </w:r>
    </w:p>
    <w:p w14:paraId="5778E574" w14:textId="034844A2" w:rsidR="003F57EB" w:rsidRPr="000D728A" w:rsidRDefault="00B4688B" w:rsidP="003F57EB">
      <w:pPr>
        <w:pStyle w:val="ListParagraph"/>
        <w:numPr>
          <w:ilvl w:val="0"/>
          <w:numId w:val="47"/>
        </w:numPr>
        <w:rPr>
          <w:rFonts w:ascii="Arial" w:hAnsi="Arial" w:cs="Arial"/>
          <w:lang w:val="en-GB"/>
        </w:rPr>
      </w:pPr>
      <w:r w:rsidRPr="000D728A">
        <w:rPr>
          <w:rFonts w:ascii="Arial" w:hAnsi="Arial" w:cs="Arial"/>
          <w:lang w:val="en-GB"/>
        </w:rPr>
        <w:t xml:space="preserve">To explore </w:t>
      </w:r>
      <w:r w:rsidR="00D51AB6" w:rsidRPr="000D728A">
        <w:rPr>
          <w:rFonts w:ascii="Arial" w:hAnsi="Arial" w:cs="Arial"/>
          <w:lang w:val="en-GB"/>
        </w:rPr>
        <w:t xml:space="preserve">indicative financial </w:t>
      </w:r>
      <w:r w:rsidRPr="000D728A">
        <w:rPr>
          <w:rFonts w:ascii="Arial" w:hAnsi="Arial" w:cs="Arial"/>
          <w:lang w:val="en-GB"/>
        </w:rPr>
        <w:t>value</w:t>
      </w:r>
      <w:r w:rsidR="00D51AB6" w:rsidRPr="000D728A">
        <w:rPr>
          <w:rFonts w:ascii="Arial" w:hAnsi="Arial" w:cs="Arial"/>
          <w:lang w:val="en-GB"/>
        </w:rPr>
        <w:t>s</w:t>
      </w:r>
      <w:r w:rsidRPr="000D728A">
        <w:rPr>
          <w:rFonts w:ascii="Arial" w:hAnsi="Arial" w:cs="Arial"/>
          <w:lang w:val="en-GB"/>
        </w:rPr>
        <w:t xml:space="preserve"> </w:t>
      </w:r>
      <w:r w:rsidR="004A5B9D" w:rsidRPr="000D728A">
        <w:rPr>
          <w:rFonts w:ascii="Arial" w:hAnsi="Arial" w:cs="Arial"/>
          <w:lang w:val="en-GB"/>
        </w:rPr>
        <w:t>associated with</w:t>
      </w:r>
      <w:r w:rsidRPr="000D728A">
        <w:rPr>
          <w:rFonts w:ascii="Arial" w:hAnsi="Arial" w:cs="Arial"/>
          <w:lang w:val="en-GB"/>
        </w:rPr>
        <w:t xml:space="preserve"> identified social impacts of engagement in culture and sport (e.g. on measures of health, education, employment and civic participation).</w:t>
      </w:r>
      <w:r w:rsidR="00D51AB6" w:rsidRPr="000D728A">
        <w:rPr>
          <w:rFonts w:ascii="Arial" w:hAnsi="Arial" w:cs="Arial"/>
          <w:lang w:val="en-GB"/>
        </w:rPr>
        <w:t xml:space="preserve"> We assess impacts on public sector costs savings.</w:t>
      </w:r>
    </w:p>
    <w:p w14:paraId="5778E575" w14:textId="77777777" w:rsidR="00B22864" w:rsidRPr="000D728A" w:rsidRDefault="00B22864" w:rsidP="00B22864">
      <w:pPr>
        <w:rPr>
          <w:rFonts w:cs="Arial"/>
        </w:rPr>
      </w:pPr>
    </w:p>
    <w:p w14:paraId="5778E576" w14:textId="77777777" w:rsidR="00B22864" w:rsidRPr="000D728A" w:rsidRDefault="00A0654F" w:rsidP="00B22864">
      <w:pPr>
        <w:rPr>
          <w:rFonts w:cs="Arial"/>
        </w:rPr>
      </w:pPr>
      <w:r w:rsidRPr="000D728A">
        <w:rPr>
          <w:rFonts w:cs="Arial"/>
        </w:rPr>
        <w:t xml:space="preserve">Each report presents background to the consideration of social and wellbeing impacts along with the key findings.  The annexes contain the full papers and analysis produced by the authors from the LSE. </w:t>
      </w:r>
    </w:p>
    <w:p w14:paraId="5778E577" w14:textId="77777777" w:rsidR="004A5B9D" w:rsidRPr="000D728A" w:rsidRDefault="00F42092" w:rsidP="004A5B9D">
      <w:pPr>
        <w:pStyle w:val="Heading2Numbered"/>
      </w:pPr>
      <w:bookmarkStart w:id="5" w:name="_Toc385423137"/>
      <w:r w:rsidRPr="000D728A">
        <w:t>Background</w:t>
      </w:r>
      <w:bookmarkEnd w:id="5"/>
    </w:p>
    <w:p w14:paraId="5778E578" w14:textId="1C1A0E63" w:rsidR="00052AA1" w:rsidRPr="000D728A" w:rsidRDefault="00052AA1" w:rsidP="00052AA1">
      <w:pPr>
        <w:rPr>
          <w:rFonts w:cs="Arial"/>
          <w:b/>
        </w:rPr>
      </w:pPr>
      <w:r w:rsidRPr="000D728A">
        <w:rPr>
          <w:rFonts w:cs="Arial"/>
        </w:rPr>
        <w:t>The sports and culture sectors play a key role in generating benefits for society. Many of these benefits are difficult to measure and value</w:t>
      </w:r>
      <w:r w:rsidR="00F13670">
        <w:rPr>
          <w:rFonts w:cs="Arial"/>
        </w:rPr>
        <w:t>,</w:t>
      </w:r>
      <w:r w:rsidRPr="000D728A">
        <w:rPr>
          <w:rFonts w:cs="Arial"/>
        </w:rPr>
        <w:t xml:space="preserve"> and can therefore get neglected or completely ignored in discussions about how best to allocate scarce resources. </w:t>
      </w:r>
    </w:p>
    <w:p w14:paraId="5778E579" w14:textId="77777777" w:rsidR="00052AA1" w:rsidRPr="000D728A" w:rsidRDefault="00052AA1" w:rsidP="00052AA1">
      <w:pPr>
        <w:rPr>
          <w:rFonts w:cs="Arial"/>
        </w:rPr>
      </w:pPr>
    </w:p>
    <w:p w14:paraId="5778E57A" w14:textId="77777777" w:rsidR="00052AA1" w:rsidRPr="000D728A" w:rsidRDefault="00052AA1" w:rsidP="00052AA1">
      <w:pPr>
        <w:rPr>
          <w:rFonts w:cs="Arial"/>
        </w:rPr>
      </w:pPr>
      <w:r w:rsidRPr="000D728A">
        <w:rPr>
          <w:rFonts w:cs="Arial"/>
        </w:rPr>
        <w:t>It is useful and policy relevant to consider wider social benefits, such as health, education, employment and civic participation, which may come about from specific policies</w:t>
      </w:r>
      <w:r w:rsidR="00577D31" w:rsidRPr="000D728A">
        <w:rPr>
          <w:rFonts w:cs="Arial"/>
        </w:rPr>
        <w:t xml:space="preserve"> encouraging engagement with, and participation in, culture and sport</w:t>
      </w:r>
      <w:r w:rsidRPr="000D728A">
        <w:rPr>
          <w:rFonts w:cs="Arial"/>
        </w:rPr>
        <w:t xml:space="preserve">. Economic appraisal conducted properly should account for all the ripple effects of policy and not just the easy to measure outcomes. </w:t>
      </w:r>
    </w:p>
    <w:p w14:paraId="5778E57B" w14:textId="77777777" w:rsidR="00052AA1" w:rsidRPr="000D728A" w:rsidRDefault="00052AA1" w:rsidP="00052AA1">
      <w:pPr>
        <w:rPr>
          <w:rFonts w:cs="Arial"/>
        </w:rPr>
      </w:pPr>
    </w:p>
    <w:p w14:paraId="5778E57C" w14:textId="77777777" w:rsidR="00052AA1" w:rsidRPr="000D728A" w:rsidRDefault="00052AA1" w:rsidP="00052AA1">
      <w:pPr>
        <w:rPr>
          <w:rFonts w:cs="Arial"/>
        </w:rPr>
      </w:pPr>
      <w:r w:rsidRPr="000D728A">
        <w:rPr>
          <w:rFonts w:cs="Arial"/>
        </w:rPr>
        <w:t xml:space="preserve">This analysis used data from the Understanding Society survey, which is a large and representative sample of the UK population. </w:t>
      </w:r>
      <w:r w:rsidR="00B4688B" w:rsidRPr="000D728A">
        <w:rPr>
          <w:rFonts w:cs="Arial"/>
        </w:rPr>
        <w:t>With DCMS engagement as a co-government funder of the Understanding Society study, t</w:t>
      </w:r>
      <w:r w:rsidR="004052AB" w:rsidRPr="000D728A">
        <w:rPr>
          <w:rFonts w:cs="Arial"/>
        </w:rPr>
        <w:t xml:space="preserve">he second wave of the survey </w:t>
      </w:r>
      <w:r w:rsidRPr="000D728A">
        <w:rPr>
          <w:rFonts w:cs="Arial"/>
        </w:rPr>
        <w:t xml:space="preserve">contained information on a wealth of activities relating to engagement in sports and culture. </w:t>
      </w:r>
      <w:r w:rsidR="00B4688B" w:rsidRPr="000D728A">
        <w:rPr>
          <w:rFonts w:cs="Arial"/>
        </w:rPr>
        <w:t>The Wave 2 d</w:t>
      </w:r>
      <w:r w:rsidR="004052AB" w:rsidRPr="000D728A">
        <w:rPr>
          <w:rFonts w:cs="Arial"/>
        </w:rPr>
        <w:t>ata released in January 2013</w:t>
      </w:r>
      <w:r w:rsidR="00B4688B" w:rsidRPr="000D728A">
        <w:rPr>
          <w:rFonts w:cs="Arial"/>
        </w:rPr>
        <w:t xml:space="preserve"> contained both the measures of sports and culture activities alongside a range of wider measures of social outcomes.</w:t>
      </w:r>
      <w:r w:rsidR="004052AB" w:rsidRPr="000D728A">
        <w:rPr>
          <w:rFonts w:cs="Arial"/>
        </w:rPr>
        <w:t xml:space="preserve"> </w:t>
      </w:r>
      <w:r w:rsidRPr="000D728A">
        <w:rPr>
          <w:rFonts w:cs="Arial"/>
        </w:rPr>
        <w:t xml:space="preserve">These data have never been analysed to show such activities’ impact upon a range of social outcomes and therefore provide a valuable opportunity to do so. </w:t>
      </w:r>
    </w:p>
    <w:p w14:paraId="5778E57D" w14:textId="77777777" w:rsidR="00052AA1" w:rsidRPr="000D728A" w:rsidRDefault="00052AA1" w:rsidP="00052AA1">
      <w:pPr>
        <w:rPr>
          <w:rFonts w:cs="Arial"/>
        </w:rPr>
      </w:pPr>
    </w:p>
    <w:p w14:paraId="5778E57E" w14:textId="77777777" w:rsidR="004955F8" w:rsidRPr="000D728A" w:rsidRDefault="004955F8" w:rsidP="004955F8">
      <w:pPr>
        <w:rPr>
          <w:rFonts w:cs="Arial"/>
        </w:rPr>
      </w:pPr>
      <w:r w:rsidRPr="000D728A">
        <w:rPr>
          <w:rFonts w:cs="Arial"/>
        </w:rPr>
        <w:t>This analysis looks at the impacts of engagement and participation on four key social outcome measures as enabled by the Understanding Society data source:</w:t>
      </w:r>
    </w:p>
    <w:p w14:paraId="5778E57F" w14:textId="77777777" w:rsidR="004955F8" w:rsidRPr="000D728A" w:rsidRDefault="004955F8" w:rsidP="004955F8">
      <w:pPr>
        <w:rPr>
          <w:rFonts w:cs="Arial"/>
        </w:rPr>
      </w:pPr>
    </w:p>
    <w:p w14:paraId="5778E580" w14:textId="77777777" w:rsidR="004955F8" w:rsidRPr="000D728A" w:rsidRDefault="004955F8" w:rsidP="004955F8">
      <w:pPr>
        <w:ind w:left="2160"/>
        <w:rPr>
          <w:rFonts w:cs="Arial"/>
        </w:rPr>
      </w:pPr>
      <w:r w:rsidRPr="000D728A">
        <w:rPr>
          <w:rFonts w:cs="Arial"/>
        </w:rPr>
        <w:t>i.</w:t>
      </w:r>
      <w:r w:rsidRPr="000D728A">
        <w:rPr>
          <w:rFonts w:cs="Arial"/>
        </w:rPr>
        <w:tab/>
        <w:t>Health.</w:t>
      </w:r>
    </w:p>
    <w:p w14:paraId="5778E581" w14:textId="77777777" w:rsidR="004955F8" w:rsidRPr="000D728A" w:rsidRDefault="004955F8" w:rsidP="004955F8">
      <w:pPr>
        <w:ind w:left="2160"/>
        <w:rPr>
          <w:rFonts w:cs="Arial"/>
        </w:rPr>
      </w:pPr>
      <w:r w:rsidRPr="000D728A">
        <w:rPr>
          <w:rFonts w:cs="Arial"/>
        </w:rPr>
        <w:t>ii.</w:t>
      </w:r>
      <w:r w:rsidRPr="000D728A">
        <w:rPr>
          <w:rFonts w:cs="Arial"/>
        </w:rPr>
        <w:tab/>
        <w:t>Education.</w:t>
      </w:r>
    </w:p>
    <w:p w14:paraId="5778E582" w14:textId="77777777" w:rsidR="004955F8" w:rsidRPr="000D728A" w:rsidRDefault="004955F8" w:rsidP="004955F8">
      <w:pPr>
        <w:ind w:left="2160"/>
        <w:rPr>
          <w:rFonts w:cs="Arial"/>
        </w:rPr>
      </w:pPr>
      <w:r w:rsidRPr="000D728A">
        <w:rPr>
          <w:rFonts w:cs="Arial"/>
        </w:rPr>
        <w:t>iii.</w:t>
      </w:r>
      <w:r w:rsidRPr="000D728A">
        <w:rPr>
          <w:rFonts w:cs="Arial"/>
        </w:rPr>
        <w:tab/>
        <w:t>Employment and economic productivity.</w:t>
      </w:r>
    </w:p>
    <w:p w14:paraId="5778E583" w14:textId="77777777" w:rsidR="004955F8" w:rsidRPr="000D728A" w:rsidRDefault="004955F8" w:rsidP="004955F8">
      <w:pPr>
        <w:ind w:left="2160"/>
        <w:rPr>
          <w:rFonts w:cs="Arial"/>
        </w:rPr>
      </w:pPr>
      <w:r w:rsidRPr="000D728A">
        <w:rPr>
          <w:rFonts w:cs="Arial"/>
        </w:rPr>
        <w:t>iv.</w:t>
      </w:r>
      <w:r w:rsidRPr="000D728A">
        <w:rPr>
          <w:rFonts w:cs="Arial"/>
        </w:rPr>
        <w:tab/>
        <w:t>Civic participation.</w:t>
      </w:r>
    </w:p>
    <w:p w14:paraId="5778E584" w14:textId="77777777" w:rsidR="004955F8" w:rsidRPr="000D728A" w:rsidRDefault="004955F8" w:rsidP="004955F8">
      <w:pPr>
        <w:rPr>
          <w:rFonts w:cs="Arial"/>
        </w:rPr>
      </w:pPr>
    </w:p>
    <w:p w14:paraId="5778E585" w14:textId="5912A110" w:rsidR="008B1C05" w:rsidRPr="000D728A" w:rsidRDefault="004955F8" w:rsidP="004955F8">
      <w:pPr>
        <w:rPr>
          <w:rFonts w:cs="Arial"/>
        </w:rPr>
      </w:pPr>
      <w:r w:rsidRPr="000D728A">
        <w:rPr>
          <w:rFonts w:cs="Arial"/>
        </w:rPr>
        <w:t xml:space="preserve">Where possible, these impacts </w:t>
      </w:r>
      <w:r w:rsidR="00F56A9E" w:rsidRPr="000D728A">
        <w:rPr>
          <w:rFonts w:cs="Arial"/>
        </w:rPr>
        <w:t>have been</w:t>
      </w:r>
      <w:r w:rsidRPr="000D728A">
        <w:rPr>
          <w:rFonts w:cs="Arial"/>
        </w:rPr>
        <w:t xml:space="preserve"> valued in monetary terms so that they can </w:t>
      </w:r>
      <w:r w:rsidR="00F62412">
        <w:rPr>
          <w:rFonts w:cs="Arial"/>
        </w:rPr>
        <w:t>input</w:t>
      </w:r>
      <w:r w:rsidRPr="000D728A">
        <w:rPr>
          <w:rFonts w:cs="Arial"/>
        </w:rPr>
        <w:t xml:space="preserve"> into cost-benefit analysis (CBA). </w:t>
      </w:r>
      <w:r w:rsidR="008B1C05" w:rsidRPr="000D728A">
        <w:rPr>
          <w:rFonts w:cs="Arial"/>
        </w:rPr>
        <w:t xml:space="preserve">It should be noted that it is out of the scope of this paper to estimate these cost savings directly using the relevant data. We, therefore, provide indicative cost savings based on readily available data to demonstrate how the impact estimates in this analysis </w:t>
      </w:r>
      <w:r w:rsidR="008B1C05" w:rsidRPr="000D728A">
        <w:rPr>
          <w:rFonts w:cs="Arial"/>
          <w:i/>
        </w:rPr>
        <w:t>could</w:t>
      </w:r>
      <w:r w:rsidR="008B1C05" w:rsidRPr="000D728A">
        <w:rPr>
          <w:rFonts w:cs="Arial"/>
        </w:rPr>
        <w:t xml:space="preserve"> be used in appraising policy. </w:t>
      </w:r>
    </w:p>
    <w:p w14:paraId="6DDD129E" w14:textId="77777777" w:rsidR="00804C12" w:rsidRPr="000D728A" w:rsidRDefault="00804C12" w:rsidP="004955F8">
      <w:pPr>
        <w:rPr>
          <w:rFonts w:cs="Arial"/>
        </w:rPr>
      </w:pPr>
    </w:p>
    <w:p w14:paraId="5778E586" w14:textId="26ED89C3" w:rsidR="00D51AB6" w:rsidRPr="000D728A" w:rsidRDefault="00D51AB6" w:rsidP="004955F8">
      <w:pPr>
        <w:rPr>
          <w:rFonts w:cs="Arial"/>
        </w:rPr>
      </w:pPr>
      <w:r w:rsidRPr="000D728A">
        <w:rPr>
          <w:rFonts w:cs="Arial"/>
        </w:rPr>
        <w:t xml:space="preserve">We estimate financial impacts on the public purse. These figures are demonstrated as conceptual ones and are dependent on the underlying assumptions which could not be tested in the Understanding Society dataset. For example, we had to assume that all people who reported being ‘very likely’ to go onto further education did in fact go on to university education, when we know that intentions are in fact a notoriously poor predictor of behaviour (explaining only about 3% of the variance in health behaviour change, for example). Finally, it would require a whole other piece of analysis to fully consider the spillover effects from one behaviour to the next. We know that no behaviour sits in a vacuum and going to the </w:t>
      </w:r>
      <w:r w:rsidRPr="000D728A">
        <w:rPr>
          <w:rFonts w:cs="Arial"/>
        </w:rPr>
        <w:lastRenderedPageBreak/>
        <w:t xml:space="preserve">cinema, say, could crowd in other related behaviours but also crowd them out. It is beyond the scope of the present work to consider these possible effects, including any other behavioural responses that may result from different amounts and types of engagement in arts and sports. The important point of note is that this analysis lays out the </w:t>
      </w:r>
      <w:r w:rsidRPr="000D728A">
        <w:rPr>
          <w:rFonts w:cs="Arial"/>
          <w:i/>
        </w:rPr>
        <w:t>foundation</w:t>
      </w:r>
      <w:r w:rsidRPr="000D728A">
        <w:rPr>
          <w:rFonts w:cs="Arial"/>
        </w:rPr>
        <w:t xml:space="preserve"> for estimating cost savings by estimating the impacts of culture and sport participation on health, education, employment and civic participation. Where better/more robust exchequer-related financial savings data are available </w:t>
      </w:r>
      <w:r w:rsidR="00F13670">
        <w:rPr>
          <w:rFonts w:cs="Arial"/>
        </w:rPr>
        <w:t>they should be used instead, alongside</w:t>
      </w:r>
      <w:r w:rsidRPr="000D728A">
        <w:rPr>
          <w:rFonts w:cs="Arial"/>
        </w:rPr>
        <w:t xml:space="preserve"> the impact results set out here.</w:t>
      </w:r>
    </w:p>
    <w:p w14:paraId="5778E587" w14:textId="77777777" w:rsidR="00D51AB6" w:rsidRPr="000D728A" w:rsidRDefault="00D51AB6" w:rsidP="004955F8">
      <w:pPr>
        <w:rPr>
          <w:rFonts w:cs="Arial"/>
        </w:rPr>
      </w:pPr>
    </w:p>
    <w:p w14:paraId="5778E588" w14:textId="0CE18FFA" w:rsidR="004955F8" w:rsidRPr="000D728A" w:rsidRDefault="004955F8" w:rsidP="004955F8">
      <w:pPr>
        <w:rPr>
          <w:rFonts w:cs="Arial"/>
        </w:rPr>
      </w:pPr>
      <w:r w:rsidRPr="000D728A">
        <w:rPr>
          <w:rFonts w:cs="Arial"/>
        </w:rPr>
        <w:t xml:space="preserve">The richness of the Understanding Society data allows us to look at a range of </w:t>
      </w:r>
      <w:r w:rsidR="00F56A9E" w:rsidRPr="000D728A">
        <w:rPr>
          <w:rFonts w:cs="Arial"/>
        </w:rPr>
        <w:t xml:space="preserve">culture and sports variables. </w:t>
      </w:r>
      <w:r w:rsidR="008B1C05" w:rsidRPr="000D728A">
        <w:rPr>
          <w:rFonts w:cs="Arial"/>
        </w:rPr>
        <w:t xml:space="preserve">Throughout the analysis we control for as many of the determinants of the main outcomes as possible in regression analysis in order to get a better understanding of cause and effect relationships. The general issue of causality in relation to the methods used in this study is discussed in greater detail in </w:t>
      </w:r>
      <w:r w:rsidR="008B1C05" w:rsidRPr="00F62412">
        <w:rPr>
          <w:rFonts w:cs="Arial"/>
        </w:rPr>
        <w:t xml:space="preserve">Annex </w:t>
      </w:r>
      <w:r w:rsidR="000D728A" w:rsidRPr="00F62412">
        <w:rPr>
          <w:rFonts w:cs="Arial"/>
        </w:rPr>
        <w:t>B</w:t>
      </w:r>
      <w:r w:rsidR="008B1C05" w:rsidRPr="000D728A">
        <w:rPr>
          <w:rFonts w:cs="Arial"/>
        </w:rPr>
        <w:t>.</w:t>
      </w:r>
      <w:r w:rsidR="007060BA" w:rsidRPr="000D728A">
        <w:rPr>
          <w:rFonts w:cs="Arial"/>
        </w:rPr>
        <w:t xml:space="preserve"> We look </w:t>
      </w:r>
      <w:r w:rsidR="00F13670">
        <w:rPr>
          <w:rFonts w:cs="Arial"/>
        </w:rPr>
        <w:t xml:space="preserve">at the impacts </w:t>
      </w:r>
      <w:r w:rsidRPr="000D728A">
        <w:rPr>
          <w:rFonts w:cs="Arial"/>
        </w:rPr>
        <w:t>on social outcomes associated with:</w:t>
      </w:r>
    </w:p>
    <w:p w14:paraId="5778E589" w14:textId="77777777" w:rsidR="004955F8" w:rsidRPr="000D728A" w:rsidRDefault="004955F8" w:rsidP="004955F8">
      <w:pPr>
        <w:rPr>
          <w:rFonts w:cs="Arial"/>
        </w:rPr>
      </w:pPr>
    </w:p>
    <w:p w14:paraId="5778E58A" w14:textId="77777777" w:rsidR="004955F8" w:rsidRPr="000D728A" w:rsidRDefault="004955F8" w:rsidP="004955F8">
      <w:pPr>
        <w:ind w:left="2160"/>
        <w:rPr>
          <w:rFonts w:cs="Arial"/>
        </w:rPr>
      </w:pPr>
      <w:r w:rsidRPr="000D728A">
        <w:rPr>
          <w:rFonts w:cs="Arial"/>
        </w:rPr>
        <w:t>•</w:t>
      </w:r>
      <w:r w:rsidRPr="000D728A">
        <w:rPr>
          <w:rFonts w:cs="Arial"/>
        </w:rPr>
        <w:tab/>
        <w:t>Participation in arts and cultural activities.</w:t>
      </w:r>
    </w:p>
    <w:p w14:paraId="5778E58B" w14:textId="77777777" w:rsidR="004955F8" w:rsidRPr="000D728A" w:rsidRDefault="004955F8" w:rsidP="004955F8">
      <w:pPr>
        <w:ind w:left="2160"/>
        <w:rPr>
          <w:rFonts w:cs="Arial"/>
        </w:rPr>
      </w:pPr>
      <w:r w:rsidRPr="000D728A">
        <w:rPr>
          <w:rFonts w:cs="Arial"/>
        </w:rPr>
        <w:t>•</w:t>
      </w:r>
      <w:r w:rsidRPr="000D728A">
        <w:rPr>
          <w:rFonts w:cs="Arial"/>
        </w:rPr>
        <w:tab/>
        <w:t>Attending arts and cultural events.</w:t>
      </w:r>
    </w:p>
    <w:p w14:paraId="5778E58C" w14:textId="77777777" w:rsidR="004955F8" w:rsidRPr="000D728A" w:rsidRDefault="004955F8" w:rsidP="004955F8">
      <w:pPr>
        <w:ind w:left="2160"/>
        <w:rPr>
          <w:rFonts w:cs="Arial"/>
        </w:rPr>
      </w:pPr>
      <w:r w:rsidRPr="000D728A">
        <w:rPr>
          <w:rFonts w:cs="Arial"/>
        </w:rPr>
        <w:t>•</w:t>
      </w:r>
      <w:r w:rsidRPr="000D728A">
        <w:rPr>
          <w:rFonts w:cs="Arial"/>
        </w:rPr>
        <w:tab/>
        <w:t>Participation in sports, team sports and individual sports.</w:t>
      </w:r>
    </w:p>
    <w:p w14:paraId="5778E58D" w14:textId="77777777" w:rsidR="004955F8" w:rsidRPr="000D728A" w:rsidRDefault="004955F8" w:rsidP="004955F8">
      <w:pPr>
        <w:ind w:left="2160"/>
        <w:rPr>
          <w:rFonts w:cs="Arial"/>
        </w:rPr>
      </w:pPr>
      <w:r w:rsidRPr="000D728A">
        <w:rPr>
          <w:rFonts w:cs="Arial"/>
        </w:rPr>
        <w:t>•</w:t>
      </w:r>
      <w:r w:rsidRPr="000D728A">
        <w:rPr>
          <w:rFonts w:cs="Arial"/>
        </w:rPr>
        <w:tab/>
        <w:t>Visiting museums, heritage sites and libraries.</w:t>
      </w:r>
    </w:p>
    <w:p w14:paraId="5778E58E" w14:textId="77777777" w:rsidR="004955F8" w:rsidRPr="000D728A" w:rsidRDefault="004955F8" w:rsidP="004955F8">
      <w:pPr>
        <w:rPr>
          <w:rFonts w:cs="Arial"/>
        </w:rPr>
      </w:pPr>
    </w:p>
    <w:p w14:paraId="5778E58F" w14:textId="77777777" w:rsidR="004955F8" w:rsidRPr="000D728A" w:rsidRDefault="004955F8" w:rsidP="004955F8">
      <w:pPr>
        <w:rPr>
          <w:rFonts w:cs="Arial"/>
        </w:rPr>
      </w:pPr>
      <w:r w:rsidRPr="000D728A">
        <w:rPr>
          <w:rFonts w:cs="Arial"/>
        </w:rPr>
        <w:t>In the analyses we look at the impacts on different groups in the population broken down by (i) age; (ii) gender; (iii) income group; and (iv) area of residence.</w:t>
      </w:r>
    </w:p>
    <w:p w14:paraId="5778E590" w14:textId="77777777" w:rsidR="00B22864" w:rsidRPr="000D728A" w:rsidRDefault="00B22864" w:rsidP="00B22864">
      <w:pPr>
        <w:ind w:left="0"/>
        <w:rPr>
          <w:rFonts w:cs="Arial"/>
        </w:rPr>
      </w:pPr>
    </w:p>
    <w:p w14:paraId="5778E591" w14:textId="77777777" w:rsidR="004A5B9D" w:rsidRPr="000D728A" w:rsidRDefault="004A5B9D" w:rsidP="004A5B9D"/>
    <w:p w14:paraId="5778E592" w14:textId="77777777" w:rsidR="004A5B9D" w:rsidRPr="000D728A" w:rsidRDefault="004A5B9D" w:rsidP="004A5B9D">
      <w:r w:rsidRPr="000D728A">
        <w:t> </w:t>
      </w:r>
    </w:p>
    <w:p w14:paraId="5778E593" w14:textId="3958B61C" w:rsidR="000B1FC6" w:rsidRPr="000D728A" w:rsidRDefault="00217E2C" w:rsidP="000B1FC6">
      <w:pPr>
        <w:pStyle w:val="Heading1Numbered"/>
        <w:rPr>
          <w:rFonts w:cs="Arial"/>
        </w:rPr>
      </w:pPr>
      <w:bookmarkStart w:id="6" w:name="_Toc385423138"/>
      <w:r>
        <w:rPr>
          <w:rFonts w:cs="Arial"/>
        </w:rPr>
        <w:lastRenderedPageBreak/>
        <w:t>Summary of</w:t>
      </w:r>
      <w:r w:rsidR="000B1FC6" w:rsidRPr="000D728A">
        <w:rPr>
          <w:rFonts w:cs="Arial"/>
        </w:rPr>
        <w:t xml:space="preserve"> findings</w:t>
      </w:r>
      <w:bookmarkEnd w:id="6"/>
    </w:p>
    <w:p w14:paraId="5778E594" w14:textId="77777777" w:rsidR="00FE67DE" w:rsidRPr="000D728A" w:rsidRDefault="007060BA" w:rsidP="00FE67DE">
      <w:pPr>
        <w:pStyle w:val="ListParagraph"/>
        <w:widowControl w:val="0"/>
        <w:spacing w:before="20"/>
        <w:ind w:left="2160"/>
        <w:rPr>
          <w:rFonts w:ascii="Arial" w:hAnsi="Arial" w:cs="Arial"/>
        </w:rPr>
      </w:pPr>
      <w:r w:rsidRPr="000D728A">
        <w:rPr>
          <w:rFonts w:ascii="Arial" w:hAnsi="Arial" w:cs="Arial"/>
        </w:rPr>
        <w:t xml:space="preserve">Our </w:t>
      </w:r>
      <w:r w:rsidR="00FE67DE" w:rsidRPr="000D728A">
        <w:rPr>
          <w:rFonts w:ascii="Arial" w:hAnsi="Arial" w:cs="Arial"/>
        </w:rPr>
        <w:t>analysis has identified statistically significant associations between cultural and sport engagement and a range of social impacts.  Holistic consideration of all identified impacts will help to build a broad narrative on the social impacts of culture and sport.</w:t>
      </w:r>
    </w:p>
    <w:p w14:paraId="5778E595" w14:textId="77777777" w:rsidR="00FE67DE" w:rsidRPr="000D728A" w:rsidRDefault="00FE67DE" w:rsidP="00FE67DE">
      <w:pPr>
        <w:pStyle w:val="ListParagraph"/>
        <w:widowControl w:val="0"/>
        <w:spacing w:before="20"/>
        <w:ind w:left="2160"/>
        <w:rPr>
          <w:rFonts w:ascii="Arial" w:hAnsi="Arial" w:cs="Arial"/>
        </w:rPr>
      </w:pPr>
    </w:p>
    <w:p w14:paraId="5778E596" w14:textId="77777777" w:rsidR="00FE67DE" w:rsidRPr="000D728A" w:rsidRDefault="00FE67DE" w:rsidP="00FE67DE">
      <w:pPr>
        <w:pStyle w:val="ListParagraph"/>
        <w:widowControl w:val="0"/>
        <w:spacing w:before="20"/>
        <w:ind w:left="2160"/>
        <w:rPr>
          <w:rFonts w:ascii="Arial" w:hAnsi="Arial" w:cs="Arial"/>
        </w:rPr>
      </w:pPr>
      <w:r w:rsidRPr="000D728A">
        <w:rPr>
          <w:rFonts w:ascii="Arial" w:hAnsi="Arial" w:cs="Arial"/>
        </w:rPr>
        <w:t xml:space="preserve">Although causal direction needs to be considered further, this analysis has controlled for </w:t>
      </w:r>
      <w:r w:rsidR="007060BA" w:rsidRPr="000D728A">
        <w:rPr>
          <w:rFonts w:ascii="Arial" w:hAnsi="Arial" w:cs="Arial"/>
        </w:rPr>
        <w:t>the main determinants of the social outcomes in question (</w:t>
      </w:r>
      <w:r w:rsidRPr="000D728A">
        <w:rPr>
          <w:rFonts w:ascii="Arial" w:hAnsi="Arial" w:cs="Arial"/>
        </w:rPr>
        <w:t>e.g. income, gender</w:t>
      </w:r>
      <w:r w:rsidR="007060BA" w:rsidRPr="000D728A">
        <w:rPr>
          <w:rFonts w:ascii="Arial" w:hAnsi="Arial" w:cs="Arial"/>
        </w:rPr>
        <w:t>, education)</w:t>
      </w:r>
      <w:r w:rsidRPr="000D728A">
        <w:rPr>
          <w:rFonts w:ascii="Arial" w:hAnsi="Arial" w:cs="Arial"/>
        </w:rPr>
        <w:t xml:space="preserve">. </w:t>
      </w:r>
      <w:r w:rsidR="007060BA" w:rsidRPr="000D728A">
        <w:rPr>
          <w:rFonts w:ascii="Arial" w:hAnsi="Arial" w:cs="Arial"/>
        </w:rPr>
        <w:t xml:space="preserve">This is the optimal statistical strategy for this kind of non-experimental data (where interventions have not been randomised) in order to identify cause and effect relationships. </w:t>
      </w:r>
    </w:p>
    <w:p w14:paraId="5778E597" w14:textId="77777777" w:rsidR="007060BA" w:rsidRPr="000D728A" w:rsidRDefault="007060BA" w:rsidP="00FE67DE">
      <w:pPr>
        <w:pStyle w:val="ListParagraph"/>
        <w:widowControl w:val="0"/>
        <w:spacing w:before="20"/>
        <w:ind w:left="2160"/>
        <w:rPr>
          <w:rFonts w:ascii="Arial" w:hAnsi="Arial" w:cs="Arial"/>
        </w:rPr>
      </w:pPr>
    </w:p>
    <w:p w14:paraId="5778E598" w14:textId="7AB6F8EE" w:rsidR="00A7769D" w:rsidRPr="000D728A" w:rsidRDefault="00A7769D" w:rsidP="00FE67DE">
      <w:pPr>
        <w:pStyle w:val="ListParagraph"/>
        <w:widowControl w:val="0"/>
        <w:spacing w:before="20"/>
        <w:ind w:left="2160"/>
        <w:rPr>
          <w:rFonts w:ascii="Arial" w:hAnsi="Arial" w:cs="Arial"/>
        </w:rPr>
      </w:pPr>
      <w:r w:rsidRPr="000D728A">
        <w:rPr>
          <w:rFonts w:ascii="Arial" w:hAnsi="Arial" w:cs="Arial"/>
        </w:rPr>
        <w:t xml:space="preserve">The </w:t>
      </w:r>
      <w:r w:rsidR="007060BA" w:rsidRPr="000D728A">
        <w:rPr>
          <w:rFonts w:ascii="Arial" w:hAnsi="Arial" w:cs="Arial"/>
        </w:rPr>
        <w:t>social</w:t>
      </w:r>
      <w:r w:rsidRPr="000D728A">
        <w:rPr>
          <w:rFonts w:ascii="Arial" w:hAnsi="Arial" w:cs="Arial"/>
        </w:rPr>
        <w:t xml:space="preserve"> benefits of culture and sport are wide ranging.  </w:t>
      </w:r>
      <w:r w:rsidR="007060BA" w:rsidRPr="000D728A">
        <w:rPr>
          <w:rFonts w:ascii="Arial" w:hAnsi="Arial" w:cs="Arial"/>
        </w:rPr>
        <w:t xml:space="preserve">We </w:t>
      </w:r>
      <w:r w:rsidRPr="000D728A">
        <w:rPr>
          <w:rFonts w:ascii="Arial" w:hAnsi="Arial" w:cs="Arial"/>
        </w:rPr>
        <w:t xml:space="preserve">found that a range of social impacts were </w:t>
      </w:r>
      <w:r w:rsidR="007060BA" w:rsidRPr="000D728A">
        <w:rPr>
          <w:rFonts w:ascii="Arial" w:hAnsi="Arial" w:cs="Arial"/>
        </w:rPr>
        <w:t xml:space="preserve">statistically </w:t>
      </w:r>
      <w:r w:rsidRPr="000D728A">
        <w:rPr>
          <w:rFonts w:ascii="Arial" w:hAnsi="Arial" w:cs="Arial"/>
        </w:rPr>
        <w:t>significantly associated with both culture and sport engagement.  These are:</w:t>
      </w:r>
    </w:p>
    <w:p w14:paraId="5778E599" w14:textId="77777777" w:rsidR="00A7769D" w:rsidRPr="000D728A" w:rsidRDefault="00A7769D" w:rsidP="00A7769D">
      <w:pPr>
        <w:pStyle w:val="ListParagraph"/>
        <w:ind w:left="2160"/>
        <w:rPr>
          <w:rFonts w:ascii="Arial" w:hAnsi="Arial" w:cs="Arial"/>
          <w:b/>
        </w:rPr>
      </w:pPr>
    </w:p>
    <w:p w14:paraId="5778E59A" w14:textId="77777777" w:rsidR="00A7769D" w:rsidRPr="000D728A" w:rsidRDefault="00A7769D" w:rsidP="00A7769D">
      <w:pPr>
        <w:pStyle w:val="ListParagraph"/>
        <w:widowControl w:val="0"/>
        <w:spacing w:before="20"/>
        <w:ind w:left="2160"/>
        <w:rPr>
          <w:rFonts w:ascii="Arial" w:hAnsi="Arial" w:cs="Arial"/>
        </w:rPr>
      </w:pPr>
      <w:r w:rsidRPr="000D728A">
        <w:rPr>
          <w:rFonts w:ascii="Arial" w:hAnsi="Arial" w:cs="Arial"/>
          <w:b/>
        </w:rPr>
        <w:t>Health impacts</w:t>
      </w:r>
      <w:r w:rsidRPr="000D728A">
        <w:rPr>
          <w:rFonts w:ascii="Arial" w:hAnsi="Arial" w:cs="Arial"/>
        </w:rPr>
        <w:t xml:space="preserve">: </w:t>
      </w:r>
    </w:p>
    <w:p w14:paraId="5778E59C" w14:textId="501E14E3" w:rsidR="00A7769D" w:rsidRPr="000D728A" w:rsidRDefault="00DC78D9" w:rsidP="00A7769D">
      <w:pPr>
        <w:pStyle w:val="ListParagraph"/>
        <w:numPr>
          <w:ilvl w:val="0"/>
          <w:numId w:val="29"/>
        </w:numPr>
        <w:ind w:left="2520"/>
        <w:rPr>
          <w:rFonts w:ascii="Arial" w:hAnsi="Arial" w:cs="Arial"/>
        </w:rPr>
      </w:pPr>
      <w:r w:rsidRPr="000D728A">
        <w:rPr>
          <w:rFonts w:ascii="Arial" w:hAnsi="Arial" w:cs="Arial"/>
        </w:rPr>
        <w:t xml:space="preserve">Those engaging </w:t>
      </w:r>
      <w:r w:rsidR="00A7769D" w:rsidRPr="000D728A">
        <w:rPr>
          <w:rFonts w:ascii="Arial" w:hAnsi="Arial" w:cs="Arial"/>
        </w:rPr>
        <w:t>with the arts</w:t>
      </w:r>
      <w:r w:rsidR="00F56A9E" w:rsidRPr="000D728A">
        <w:rPr>
          <w:rFonts w:ascii="Arial" w:hAnsi="Arial" w:cs="Arial"/>
        </w:rPr>
        <w:t xml:space="preserve"> </w:t>
      </w:r>
      <w:r w:rsidR="00A7769D" w:rsidRPr="000D728A">
        <w:rPr>
          <w:rFonts w:ascii="Arial" w:hAnsi="Arial" w:cs="Arial"/>
        </w:rPr>
        <w:t xml:space="preserve">as an audience member </w:t>
      </w:r>
      <w:r w:rsidRPr="000D728A">
        <w:rPr>
          <w:rFonts w:ascii="Arial" w:hAnsi="Arial" w:cs="Arial"/>
        </w:rPr>
        <w:t>were</w:t>
      </w:r>
      <w:r w:rsidR="00A7769D" w:rsidRPr="000D728A">
        <w:rPr>
          <w:rFonts w:ascii="Arial" w:hAnsi="Arial" w:cs="Arial"/>
        </w:rPr>
        <w:t xml:space="preserve"> 5.4% </w:t>
      </w:r>
      <w:r w:rsidRPr="000D728A">
        <w:rPr>
          <w:rFonts w:ascii="Arial" w:hAnsi="Arial" w:cs="Arial"/>
        </w:rPr>
        <w:t>more likely to report</w:t>
      </w:r>
      <w:r w:rsidR="00A7769D" w:rsidRPr="000D728A">
        <w:rPr>
          <w:rFonts w:ascii="Arial" w:hAnsi="Arial" w:cs="Arial"/>
        </w:rPr>
        <w:t xml:space="preserve"> good health.  </w:t>
      </w:r>
    </w:p>
    <w:p w14:paraId="5778E59E" w14:textId="511C9732" w:rsidR="00A7769D" w:rsidRPr="000D728A" w:rsidRDefault="00A7769D" w:rsidP="00A7769D">
      <w:pPr>
        <w:pStyle w:val="ListParagraph"/>
        <w:numPr>
          <w:ilvl w:val="0"/>
          <w:numId w:val="29"/>
        </w:numPr>
        <w:ind w:left="2520"/>
        <w:rPr>
          <w:rFonts w:ascii="Arial" w:hAnsi="Arial" w:cs="Arial"/>
        </w:rPr>
      </w:pPr>
      <w:r w:rsidRPr="000D728A">
        <w:rPr>
          <w:rFonts w:ascii="Arial" w:hAnsi="Arial" w:cs="Arial"/>
        </w:rPr>
        <w:t xml:space="preserve">Sports participants were 14.1% more likely to report good health than non-participants.  </w:t>
      </w:r>
    </w:p>
    <w:p w14:paraId="5778E59F" w14:textId="77777777" w:rsidR="00A7769D" w:rsidRPr="000D728A" w:rsidRDefault="00A7769D" w:rsidP="00A7769D">
      <w:pPr>
        <w:pStyle w:val="ListParagraph"/>
        <w:ind w:left="2160"/>
        <w:rPr>
          <w:rFonts w:ascii="Arial" w:hAnsi="Arial" w:cs="Arial"/>
          <w:b/>
        </w:rPr>
      </w:pPr>
    </w:p>
    <w:p w14:paraId="5778E5A0" w14:textId="77777777" w:rsidR="00A7769D" w:rsidRPr="000D728A" w:rsidRDefault="00A7769D" w:rsidP="00A7769D">
      <w:pPr>
        <w:pStyle w:val="ListParagraph"/>
        <w:widowControl w:val="0"/>
        <w:spacing w:before="20"/>
        <w:ind w:left="2160"/>
        <w:rPr>
          <w:rFonts w:ascii="Arial" w:hAnsi="Arial" w:cs="Arial"/>
        </w:rPr>
      </w:pPr>
      <w:r w:rsidRPr="000D728A">
        <w:rPr>
          <w:rFonts w:ascii="Arial" w:hAnsi="Arial" w:cs="Arial"/>
          <w:b/>
        </w:rPr>
        <w:t>Education impacts</w:t>
      </w:r>
      <w:r w:rsidRPr="000D728A">
        <w:rPr>
          <w:rFonts w:ascii="Arial" w:hAnsi="Arial" w:cs="Arial"/>
        </w:rPr>
        <w:t>:</w:t>
      </w:r>
    </w:p>
    <w:p w14:paraId="5778E5A1" w14:textId="4470FE77" w:rsidR="00A7769D" w:rsidRPr="000D728A" w:rsidRDefault="000D728A" w:rsidP="00A7769D">
      <w:pPr>
        <w:pStyle w:val="ListParagraph"/>
        <w:numPr>
          <w:ilvl w:val="0"/>
          <w:numId w:val="30"/>
        </w:numPr>
        <w:ind w:left="2520"/>
        <w:rPr>
          <w:rFonts w:ascii="Arial" w:hAnsi="Arial" w:cs="Arial"/>
        </w:rPr>
      </w:pPr>
      <w:r w:rsidRPr="00F62412">
        <w:rPr>
          <w:rFonts w:ascii="Arial" w:hAnsi="Arial" w:cs="Arial"/>
        </w:rPr>
        <w:t>Participants</w:t>
      </w:r>
      <w:r w:rsidR="00A7769D" w:rsidRPr="000D728A">
        <w:rPr>
          <w:rFonts w:ascii="Arial" w:hAnsi="Arial" w:cs="Arial"/>
        </w:rPr>
        <w:t xml:space="preserve"> in arts </w:t>
      </w:r>
      <w:r w:rsidRPr="000D728A">
        <w:rPr>
          <w:rFonts w:ascii="Arial" w:hAnsi="Arial" w:cs="Arial"/>
        </w:rPr>
        <w:t>are</w:t>
      </w:r>
      <w:r w:rsidR="00A7769D" w:rsidRPr="000D728A">
        <w:rPr>
          <w:rFonts w:ascii="Arial" w:hAnsi="Arial" w:cs="Arial"/>
        </w:rPr>
        <w:t xml:space="preserve"> 14.1% </w:t>
      </w:r>
      <w:r w:rsidR="00DC78D9" w:rsidRPr="000D728A">
        <w:rPr>
          <w:rFonts w:ascii="Arial" w:hAnsi="Arial" w:cs="Arial"/>
        </w:rPr>
        <w:t>more likely to report an intention</w:t>
      </w:r>
      <w:r w:rsidR="00A7769D" w:rsidRPr="000D728A">
        <w:rPr>
          <w:rFonts w:ascii="Arial" w:hAnsi="Arial" w:cs="Arial"/>
        </w:rPr>
        <w:t xml:space="preserve"> to go on to further education. </w:t>
      </w:r>
    </w:p>
    <w:p w14:paraId="5778E5A3" w14:textId="77777777" w:rsidR="00A7769D" w:rsidRPr="000D728A" w:rsidRDefault="00A7769D" w:rsidP="00A7769D">
      <w:pPr>
        <w:pStyle w:val="ListParagraph"/>
        <w:ind w:left="2520"/>
        <w:rPr>
          <w:rFonts w:ascii="Arial" w:hAnsi="Arial" w:cs="Arial"/>
        </w:rPr>
      </w:pPr>
    </w:p>
    <w:p w14:paraId="5778E5A4" w14:textId="4E04A877" w:rsidR="00A7769D" w:rsidRPr="000D728A" w:rsidRDefault="00F13670" w:rsidP="00A7769D">
      <w:pPr>
        <w:pStyle w:val="ListParagraph"/>
        <w:widowControl w:val="0"/>
        <w:spacing w:before="20"/>
        <w:ind w:left="2160"/>
        <w:rPr>
          <w:rFonts w:ascii="Arial" w:hAnsi="Arial" w:cs="Arial"/>
        </w:rPr>
      </w:pPr>
      <w:r>
        <w:rPr>
          <w:rFonts w:ascii="Arial" w:hAnsi="Arial" w:cs="Arial"/>
          <w:b/>
        </w:rPr>
        <w:t xml:space="preserve">Economic productivity </w:t>
      </w:r>
      <w:r w:rsidR="00A7769D" w:rsidRPr="000D728A">
        <w:rPr>
          <w:rFonts w:ascii="Arial" w:hAnsi="Arial" w:cs="Arial"/>
          <w:b/>
        </w:rPr>
        <w:t>related impacts</w:t>
      </w:r>
      <w:r w:rsidR="00A7769D" w:rsidRPr="000D728A">
        <w:rPr>
          <w:rFonts w:ascii="Arial" w:hAnsi="Arial" w:cs="Arial"/>
        </w:rPr>
        <w:t xml:space="preserve">: </w:t>
      </w:r>
    </w:p>
    <w:p w14:paraId="5778E5A5" w14:textId="4B2258D2" w:rsidR="00A7769D" w:rsidRPr="000D728A" w:rsidRDefault="00DC78D9" w:rsidP="00A7769D">
      <w:pPr>
        <w:pStyle w:val="ListParagraph"/>
        <w:numPr>
          <w:ilvl w:val="0"/>
          <w:numId w:val="31"/>
        </w:numPr>
        <w:ind w:left="2520"/>
        <w:rPr>
          <w:rFonts w:ascii="Arial" w:hAnsi="Arial" w:cs="Arial"/>
        </w:rPr>
      </w:pPr>
      <w:r w:rsidRPr="000D728A">
        <w:rPr>
          <w:rFonts w:ascii="Arial" w:hAnsi="Arial" w:cs="Arial"/>
        </w:rPr>
        <w:t xml:space="preserve">Unemployed people who engage with the arts as an audience member were </w:t>
      </w:r>
      <w:r w:rsidR="00A7769D" w:rsidRPr="000D728A">
        <w:rPr>
          <w:rFonts w:ascii="Arial" w:hAnsi="Arial" w:cs="Arial"/>
        </w:rPr>
        <w:t xml:space="preserve">12% </w:t>
      </w:r>
      <w:r w:rsidRPr="000D728A">
        <w:rPr>
          <w:rFonts w:ascii="Arial" w:hAnsi="Arial" w:cs="Arial"/>
        </w:rPr>
        <w:t xml:space="preserve">more likely to </w:t>
      </w:r>
      <w:r w:rsidR="00DD00FC" w:rsidRPr="000D728A">
        <w:rPr>
          <w:rFonts w:ascii="Arial" w:hAnsi="Arial" w:cs="Arial"/>
        </w:rPr>
        <w:t xml:space="preserve">have looked for a job in the last four weeks when </w:t>
      </w:r>
      <w:r w:rsidR="00804C12" w:rsidRPr="000D728A">
        <w:rPr>
          <w:rFonts w:ascii="Arial" w:hAnsi="Arial" w:cs="Arial"/>
        </w:rPr>
        <w:t>compared with unemployed people</w:t>
      </w:r>
      <w:r w:rsidR="00A7769D" w:rsidRPr="000D728A">
        <w:rPr>
          <w:rFonts w:ascii="Arial" w:hAnsi="Arial" w:cs="Arial"/>
        </w:rPr>
        <w:t xml:space="preserve"> </w:t>
      </w:r>
      <w:r w:rsidRPr="000D728A">
        <w:rPr>
          <w:rFonts w:ascii="Arial" w:hAnsi="Arial" w:cs="Arial"/>
        </w:rPr>
        <w:t>who had not engaged with the arts</w:t>
      </w:r>
      <w:r w:rsidR="00A7769D" w:rsidRPr="000D728A">
        <w:rPr>
          <w:rFonts w:ascii="Arial" w:hAnsi="Arial" w:cs="Arial"/>
        </w:rPr>
        <w:t>.</w:t>
      </w:r>
    </w:p>
    <w:p w14:paraId="5778E5A6" w14:textId="7FB6421B" w:rsidR="00A7769D" w:rsidRPr="000D728A" w:rsidRDefault="00DD00FC" w:rsidP="00A7769D">
      <w:pPr>
        <w:pStyle w:val="ListParagraph"/>
        <w:numPr>
          <w:ilvl w:val="0"/>
          <w:numId w:val="31"/>
        </w:numPr>
        <w:ind w:left="2520"/>
        <w:rPr>
          <w:rFonts w:ascii="Arial" w:hAnsi="Arial" w:cs="Arial"/>
        </w:rPr>
      </w:pPr>
      <w:r w:rsidRPr="000D728A">
        <w:rPr>
          <w:rFonts w:ascii="Arial" w:hAnsi="Arial" w:cs="Arial"/>
        </w:rPr>
        <w:t>Unemployed people who participate in sports are</w:t>
      </w:r>
      <w:r w:rsidR="00A7769D" w:rsidRPr="000D728A">
        <w:rPr>
          <w:rFonts w:ascii="Arial" w:hAnsi="Arial" w:cs="Arial"/>
        </w:rPr>
        <w:t xml:space="preserve"> 11% </w:t>
      </w:r>
      <w:r w:rsidRPr="000D728A">
        <w:rPr>
          <w:rFonts w:ascii="Arial" w:hAnsi="Arial" w:cs="Arial"/>
        </w:rPr>
        <w:t>more likely</w:t>
      </w:r>
      <w:r w:rsidR="00804C12" w:rsidRPr="000D728A">
        <w:rPr>
          <w:rFonts w:ascii="Arial" w:hAnsi="Arial" w:cs="Arial"/>
        </w:rPr>
        <w:t xml:space="preserve"> than non-participants</w:t>
      </w:r>
      <w:r w:rsidRPr="000D728A">
        <w:rPr>
          <w:rFonts w:ascii="Arial" w:hAnsi="Arial" w:cs="Arial"/>
        </w:rPr>
        <w:t xml:space="preserve"> to have</w:t>
      </w:r>
      <w:r w:rsidR="00A7769D" w:rsidRPr="000D728A">
        <w:rPr>
          <w:rFonts w:ascii="Arial" w:hAnsi="Arial" w:cs="Arial"/>
        </w:rPr>
        <w:t xml:space="preserve"> looked for a job in the last four weeks </w:t>
      </w:r>
    </w:p>
    <w:p w14:paraId="5778E5A7" w14:textId="77777777" w:rsidR="00A7769D" w:rsidRPr="000D728A" w:rsidRDefault="00A7769D" w:rsidP="00A7769D">
      <w:pPr>
        <w:pStyle w:val="ListParagraph"/>
        <w:ind w:left="2160"/>
        <w:rPr>
          <w:rFonts w:ascii="Arial" w:hAnsi="Arial" w:cs="Arial"/>
        </w:rPr>
      </w:pPr>
    </w:p>
    <w:p w14:paraId="5778E5A8" w14:textId="77777777" w:rsidR="00A7769D" w:rsidRPr="000D728A" w:rsidRDefault="00A7769D" w:rsidP="00A7769D">
      <w:pPr>
        <w:pStyle w:val="ListParagraph"/>
        <w:widowControl w:val="0"/>
        <w:spacing w:before="20"/>
        <w:ind w:left="2160"/>
        <w:rPr>
          <w:rFonts w:ascii="Arial" w:hAnsi="Arial" w:cs="Arial"/>
        </w:rPr>
      </w:pPr>
      <w:r w:rsidRPr="000D728A">
        <w:rPr>
          <w:rFonts w:ascii="Arial" w:hAnsi="Arial" w:cs="Arial"/>
          <w:b/>
        </w:rPr>
        <w:t>Civic participation impacts</w:t>
      </w:r>
      <w:r w:rsidRPr="000D728A">
        <w:rPr>
          <w:rFonts w:ascii="Arial" w:hAnsi="Arial" w:cs="Arial"/>
        </w:rPr>
        <w:t>:</w:t>
      </w:r>
    </w:p>
    <w:p w14:paraId="5778E5A9" w14:textId="0C100887" w:rsidR="00A7769D" w:rsidRPr="000D728A" w:rsidRDefault="000D728A" w:rsidP="00DD00FC">
      <w:pPr>
        <w:pStyle w:val="ListParagraph"/>
        <w:numPr>
          <w:ilvl w:val="0"/>
          <w:numId w:val="32"/>
        </w:numPr>
        <w:ind w:left="2520"/>
        <w:rPr>
          <w:rFonts w:ascii="Arial" w:hAnsi="Arial" w:cs="Arial"/>
        </w:rPr>
      </w:pPr>
      <w:r w:rsidRPr="00F62412">
        <w:rPr>
          <w:rFonts w:ascii="Arial" w:hAnsi="Arial" w:cs="Arial"/>
        </w:rPr>
        <w:t>People who engage with the arts</w:t>
      </w:r>
      <w:r w:rsidR="00DD00FC" w:rsidRPr="000D728A">
        <w:rPr>
          <w:rFonts w:ascii="Arial" w:hAnsi="Arial" w:cs="Arial"/>
        </w:rPr>
        <w:t xml:space="preserve"> </w:t>
      </w:r>
      <w:r w:rsidR="00F13670" w:rsidRPr="000D728A">
        <w:rPr>
          <w:rFonts w:ascii="Arial" w:hAnsi="Arial" w:cs="Arial"/>
        </w:rPr>
        <w:t xml:space="preserve">as an audience member </w:t>
      </w:r>
      <w:r w:rsidR="00DD00FC" w:rsidRPr="000D728A">
        <w:rPr>
          <w:rFonts w:ascii="Arial" w:hAnsi="Arial" w:cs="Arial"/>
        </w:rPr>
        <w:t>are</w:t>
      </w:r>
      <w:r w:rsidR="00A7769D" w:rsidRPr="000D728A">
        <w:rPr>
          <w:rFonts w:ascii="Arial" w:hAnsi="Arial" w:cs="Arial"/>
        </w:rPr>
        <w:t xml:space="preserve"> 6% </w:t>
      </w:r>
      <w:r w:rsidR="00DD00FC" w:rsidRPr="000D728A">
        <w:rPr>
          <w:rFonts w:ascii="Arial" w:hAnsi="Arial" w:cs="Arial"/>
        </w:rPr>
        <w:t>more likely to have</w:t>
      </w:r>
      <w:r w:rsidR="00A7769D" w:rsidRPr="000D728A">
        <w:rPr>
          <w:rFonts w:ascii="Arial" w:hAnsi="Arial" w:cs="Arial"/>
        </w:rPr>
        <w:t xml:space="preserve"> volunteer</w:t>
      </w:r>
      <w:r w:rsidR="00DD00FC" w:rsidRPr="000D728A">
        <w:rPr>
          <w:rFonts w:ascii="Arial" w:hAnsi="Arial" w:cs="Arial"/>
        </w:rPr>
        <w:t>ed</w:t>
      </w:r>
      <w:r w:rsidR="00A7769D" w:rsidRPr="000D728A">
        <w:rPr>
          <w:rFonts w:ascii="Arial" w:hAnsi="Arial" w:cs="Arial"/>
        </w:rPr>
        <w:t xml:space="preserve"> frequently (once a fortnight or more).  </w:t>
      </w:r>
    </w:p>
    <w:p w14:paraId="5778E5AA" w14:textId="15B548DB" w:rsidR="00A7769D" w:rsidRPr="000D728A" w:rsidRDefault="000D728A" w:rsidP="00A7769D">
      <w:pPr>
        <w:pStyle w:val="ListParagraph"/>
        <w:numPr>
          <w:ilvl w:val="0"/>
          <w:numId w:val="32"/>
        </w:numPr>
        <w:ind w:left="2520"/>
        <w:rPr>
          <w:rFonts w:ascii="Arial" w:hAnsi="Arial" w:cs="Arial"/>
        </w:rPr>
      </w:pPr>
      <w:r w:rsidRPr="00F62412">
        <w:rPr>
          <w:rFonts w:ascii="Arial" w:hAnsi="Arial" w:cs="Arial"/>
        </w:rPr>
        <w:t>People who participate in sport</w:t>
      </w:r>
      <w:r w:rsidR="00DD00FC" w:rsidRPr="000D728A">
        <w:rPr>
          <w:rFonts w:ascii="Arial" w:hAnsi="Arial" w:cs="Arial"/>
        </w:rPr>
        <w:t xml:space="preserve"> are</w:t>
      </w:r>
      <w:r w:rsidR="00A7769D" w:rsidRPr="000D728A">
        <w:rPr>
          <w:rFonts w:ascii="Arial" w:hAnsi="Arial" w:cs="Arial"/>
        </w:rPr>
        <w:t xml:space="preserve"> 3% </w:t>
      </w:r>
      <w:r w:rsidR="00DD00FC" w:rsidRPr="000D728A">
        <w:rPr>
          <w:rFonts w:ascii="Arial" w:hAnsi="Arial" w:cs="Arial"/>
        </w:rPr>
        <w:t xml:space="preserve">more likely to </w:t>
      </w:r>
      <w:r w:rsidR="00A7769D" w:rsidRPr="000D728A">
        <w:rPr>
          <w:rFonts w:ascii="Arial" w:hAnsi="Arial" w:cs="Arial"/>
        </w:rPr>
        <w:t>volunteer frequently.</w:t>
      </w:r>
    </w:p>
    <w:p w14:paraId="5778E5AB" w14:textId="5E23CBE1" w:rsidR="00A7769D" w:rsidRPr="000D728A" w:rsidRDefault="000D728A" w:rsidP="00A7769D">
      <w:pPr>
        <w:pStyle w:val="ListParagraph"/>
        <w:numPr>
          <w:ilvl w:val="0"/>
          <w:numId w:val="32"/>
        </w:numPr>
        <w:ind w:left="2520"/>
        <w:rPr>
          <w:rFonts w:ascii="Arial" w:hAnsi="Arial" w:cs="Arial"/>
        </w:rPr>
      </w:pPr>
      <w:r w:rsidRPr="00F62412">
        <w:rPr>
          <w:rFonts w:ascii="Arial" w:hAnsi="Arial" w:cs="Arial"/>
        </w:rPr>
        <w:t>Those who engage with the arts</w:t>
      </w:r>
      <w:r w:rsidR="00DD00FC" w:rsidRPr="000D728A">
        <w:rPr>
          <w:rFonts w:ascii="Arial" w:hAnsi="Arial" w:cs="Arial"/>
        </w:rPr>
        <w:t xml:space="preserve"> </w:t>
      </w:r>
      <w:r w:rsidR="00F13670" w:rsidRPr="000D728A">
        <w:rPr>
          <w:rFonts w:ascii="Arial" w:hAnsi="Arial" w:cs="Arial"/>
        </w:rPr>
        <w:t xml:space="preserve">as an audience member </w:t>
      </w:r>
      <w:r w:rsidR="00DD00FC" w:rsidRPr="000D728A">
        <w:rPr>
          <w:rFonts w:ascii="Arial" w:hAnsi="Arial" w:cs="Arial"/>
        </w:rPr>
        <w:t>are</w:t>
      </w:r>
      <w:r w:rsidR="00A7769D" w:rsidRPr="000D728A">
        <w:rPr>
          <w:rFonts w:ascii="Arial" w:hAnsi="Arial" w:cs="Arial"/>
        </w:rPr>
        <w:t xml:space="preserve"> also </w:t>
      </w:r>
      <w:r w:rsidR="00DD00FC" w:rsidRPr="000D728A">
        <w:rPr>
          <w:rFonts w:ascii="Arial" w:hAnsi="Arial" w:cs="Arial"/>
        </w:rPr>
        <w:t>gave</w:t>
      </w:r>
      <w:r w:rsidR="00A7769D" w:rsidRPr="000D728A">
        <w:rPr>
          <w:rFonts w:ascii="Arial" w:hAnsi="Arial" w:cs="Arial"/>
        </w:rPr>
        <w:t xml:space="preserve"> £50 </w:t>
      </w:r>
      <w:r w:rsidR="003F4A6A" w:rsidRPr="000D728A">
        <w:rPr>
          <w:rFonts w:ascii="Arial" w:hAnsi="Arial" w:cs="Arial"/>
        </w:rPr>
        <w:t xml:space="preserve">per person </w:t>
      </w:r>
      <w:r w:rsidR="00DD00FC" w:rsidRPr="000D728A">
        <w:rPr>
          <w:rFonts w:ascii="Arial" w:hAnsi="Arial" w:cs="Arial"/>
        </w:rPr>
        <w:t xml:space="preserve">more </w:t>
      </w:r>
      <w:r w:rsidR="00A7769D" w:rsidRPr="000D728A">
        <w:rPr>
          <w:rFonts w:ascii="Arial" w:hAnsi="Arial" w:cs="Arial"/>
        </w:rPr>
        <w:t xml:space="preserve">in charitable donations over the last year.  </w:t>
      </w:r>
    </w:p>
    <w:p w14:paraId="5778E5AE" w14:textId="0F0767F9" w:rsidR="004A5B9D" w:rsidRPr="00127774" w:rsidRDefault="000D728A" w:rsidP="00127774">
      <w:pPr>
        <w:pStyle w:val="ListParagraph"/>
        <w:numPr>
          <w:ilvl w:val="0"/>
          <w:numId w:val="32"/>
        </w:numPr>
        <w:ind w:left="2520"/>
        <w:rPr>
          <w:rFonts w:ascii="Arial" w:hAnsi="Arial" w:cs="Arial"/>
        </w:rPr>
      </w:pPr>
      <w:r w:rsidRPr="00F62412">
        <w:rPr>
          <w:rFonts w:ascii="Arial" w:hAnsi="Arial" w:cs="Arial"/>
        </w:rPr>
        <w:t>People who participate in sport</w:t>
      </w:r>
      <w:r w:rsidRPr="000D728A">
        <w:rPr>
          <w:rFonts w:ascii="Arial" w:hAnsi="Arial" w:cs="Arial"/>
        </w:rPr>
        <w:t xml:space="preserve"> </w:t>
      </w:r>
      <w:r w:rsidR="00DD00FC" w:rsidRPr="000D728A">
        <w:rPr>
          <w:rFonts w:ascii="Arial" w:hAnsi="Arial" w:cs="Arial"/>
        </w:rPr>
        <w:t>gave</w:t>
      </w:r>
      <w:r w:rsidR="00A7769D" w:rsidRPr="000D728A">
        <w:rPr>
          <w:rFonts w:ascii="Arial" w:hAnsi="Arial" w:cs="Arial"/>
        </w:rPr>
        <w:t xml:space="preserve"> £25 </w:t>
      </w:r>
      <w:r w:rsidR="00DD00FC" w:rsidRPr="000D728A">
        <w:rPr>
          <w:rFonts w:ascii="Arial" w:hAnsi="Arial" w:cs="Arial"/>
        </w:rPr>
        <w:t xml:space="preserve">more per person </w:t>
      </w:r>
      <w:r w:rsidR="00A7769D" w:rsidRPr="000D728A">
        <w:rPr>
          <w:rFonts w:ascii="Arial" w:hAnsi="Arial" w:cs="Arial"/>
        </w:rPr>
        <w:t>in charitable donations</w:t>
      </w:r>
      <w:r w:rsidR="003F4A6A" w:rsidRPr="000D728A">
        <w:rPr>
          <w:rFonts w:ascii="Arial" w:hAnsi="Arial" w:cs="Arial"/>
        </w:rPr>
        <w:t xml:space="preserve"> </w:t>
      </w:r>
      <w:r w:rsidR="00A7769D" w:rsidRPr="000D728A">
        <w:rPr>
          <w:rFonts w:ascii="Arial" w:hAnsi="Arial" w:cs="Arial"/>
        </w:rPr>
        <w:t xml:space="preserve">over the last year.  </w:t>
      </w:r>
    </w:p>
    <w:p w14:paraId="5778E5AF" w14:textId="77777777" w:rsidR="000B1FC6" w:rsidRPr="000D728A" w:rsidRDefault="000B1FC6" w:rsidP="000B1FC6">
      <w:pPr>
        <w:pStyle w:val="Heading1Numbered"/>
        <w:numPr>
          <w:ilvl w:val="0"/>
          <w:numId w:val="0"/>
        </w:numPr>
        <w:rPr>
          <w:rFonts w:cs="Arial"/>
        </w:rPr>
      </w:pPr>
      <w:bookmarkStart w:id="7" w:name="_Toc385423139"/>
      <w:r w:rsidRPr="000D728A">
        <w:rPr>
          <w:rFonts w:cs="Arial"/>
        </w:rPr>
        <w:lastRenderedPageBreak/>
        <w:t>Annex A: Literature review</w:t>
      </w:r>
      <w:bookmarkEnd w:id="7"/>
    </w:p>
    <w:p w14:paraId="5778E5B0" w14:textId="44CF20CF" w:rsidR="000B1FC6" w:rsidRPr="000D728A" w:rsidRDefault="000B1FC6" w:rsidP="000B1FC6">
      <w:pPr>
        <w:rPr>
          <w:rFonts w:cs="Arial"/>
        </w:rPr>
      </w:pPr>
      <w:r w:rsidRPr="000D728A">
        <w:rPr>
          <w:rFonts w:cs="Arial"/>
        </w:rPr>
        <w:t>A selective literature review was conducted to investigate the</w:t>
      </w:r>
      <w:r w:rsidR="00F62412">
        <w:rPr>
          <w:rFonts w:cs="Arial"/>
        </w:rPr>
        <w:t xml:space="preserve"> social</w:t>
      </w:r>
      <w:r w:rsidRPr="000D728A">
        <w:rPr>
          <w:rFonts w:cs="Arial"/>
        </w:rPr>
        <w:t xml:space="preserve"> impact of engaging in culture and sports on </w:t>
      </w:r>
      <w:r w:rsidR="00F62412">
        <w:rPr>
          <w:rFonts w:cs="Arial"/>
        </w:rPr>
        <w:t>social measures</w:t>
      </w:r>
      <w:r w:rsidRPr="000D728A">
        <w:rPr>
          <w:rFonts w:cs="Arial"/>
        </w:rPr>
        <w:t xml:space="preserve"> </w:t>
      </w:r>
      <w:r w:rsidR="00922617">
        <w:rPr>
          <w:rFonts w:cs="Arial"/>
        </w:rPr>
        <w:t>included</w:t>
      </w:r>
      <w:r w:rsidRPr="000D728A">
        <w:rPr>
          <w:rFonts w:cs="Arial"/>
        </w:rPr>
        <w:t xml:space="preserve"> within the Understanding Society dataset available to this analysis.  It was important for the purposes of this paper to ensure an evidence base existed to support the analysis undertaken</w:t>
      </w:r>
      <w:r w:rsidR="00D67C9B" w:rsidRPr="000D728A">
        <w:rPr>
          <w:rFonts w:cs="Arial"/>
        </w:rPr>
        <w:t xml:space="preserve">. </w:t>
      </w:r>
      <w:r w:rsidRPr="000D728A">
        <w:rPr>
          <w:rFonts w:cs="Arial"/>
        </w:rPr>
        <w:t xml:space="preserve"> Participating in cultural activities, such </w:t>
      </w:r>
      <w:r w:rsidR="00922617">
        <w:rPr>
          <w:rFonts w:cs="Arial"/>
        </w:rPr>
        <w:t xml:space="preserve">as </w:t>
      </w:r>
      <w:r w:rsidRPr="000D728A">
        <w:rPr>
          <w:rFonts w:cs="Arial"/>
        </w:rPr>
        <w:t xml:space="preserve">attending cultural events, reading books or periodicals, making music, singing, and participating </w:t>
      </w:r>
      <w:r w:rsidR="00922617">
        <w:rPr>
          <w:rFonts w:cs="Arial"/>
        </w:rPr>
        <w:t xml:space="preserve">in </w:t>
      </w:r>
      <w:r w:rsidRPr="000D728A">
        <w:rPr>
          <w:rFonts w:cs="Arial"/>
        </w:rPr>
        <w:t>creative activities were associated with improved health; in particular, through a reduction in mortality rates and risk factors for disease, and improved healthy eating and physical activity (</w:t>
      </w:r>
      <w:r w:rsidR="000C3F5E" w:rsidRPr="000D728A">
        <w:rPr>
          <w:rFonts w:cs="Arial"/>
        </w:rPr>
        <w:fldChar w:fldCharType="begin"/>
      </w:r>
      <w:r w:rsidRPr="000D728A">
        <w:rPr>
          <w:rFonts w:cs="Arial"/>
        </w:rPr>
        <w:instrText xml:space="preserve"> ADDIN ZOTERO_ITEM CSL_CITATION {"citationID":"RzPAmzKz","properties":{"formattedCitation":"(Bygren, Konlaan, and Johansson 1996a)","plainCitation":"(Bygren, Konlaan, and Johansson 1996a)"},"citationItems":[{"id":1990,"uris":["http://zotero.org/users/1148429/items/JGNV87W8"],"uri":["http://zotero.org/users/1148429/items/JGNV87W8"],"itemData":{"id":1990,"type":"article-journal","title":"Attendance at cultural events, reading books or periodicals, and making music or singing in a choir as determinants for survival: Swedish interview survey of living conditions","container-title":"BMJ","page":"1577–1580","volume":"313","issue":"7072","source":"Google Scholar","shortTitle":"Attendance at cultural events, reading books or periodicals, and making music or singing in a choir as determinants for survival","author":[{"family":"Bygren","given":"Lars Olov"},{"family":"Konlaan","given":"Boinkum Benson"},{"family":"Johansson","given":"Sven-Erik"}],"issued":{"date-parts":[["1996"]]},"accessed":{"date-parts":[["2013",2,16]]}}}],"schema":"https://github.com/citation-style-language/schema/raw/master/csl-citation.json"} </w:instrText>
      </w:r>
      <w:r w:rsidR="000C3F5E" w:rsidRPr="000D728A">
        <w:rPr>
          <w:rFonts w:cs="Arial"/>
        </w:rPr>
        <w:fldChar w:fldCharType="separate"/>
      </w:r>
      <w:r w:rsidRPr="000D728A">
        <w:rPr>
          <w:rFonts w:cs="Arial"/>
          <w:noProof/>
        </w:rPr>
        <w:t>Bygren, Konlaan, and Johansson 1996</w:t>
      </w:r>
      <w:r w:rsidR="000C3F5E" w:rsidRPr="000D728A">
        <w:rPr>
          <w:rFonts w:cs="Arial"/>
        </w:rPr>
        <w:fldChar w:fldCharType="end"/>
      </w:r>
      <w:r w:rsidRPr="000D728A">
        <w:rPr>
          <w:rFonts w:cs="Arial"/>
        </w:rPr>
        <w:t xml:space="preserve">; </w:t>
      </w:r>
      <w:r w:rsidR="000C3F5E" w:rsidRPr="000D728A">
        <w:rPr>
          <w:rFonts w:cs="Arial"/>
        </w:rPr>
        <w:fldChar w:fldCharType="begin"/>
      </w:r>
      <w:r w:rsidRPr="000D728A">
        <w:rPr>
          <w:rFonts w:cs="Arial"/>
        </w:rPr>
        <w:instrText xml:space="preserve"> ADDIN ZOTERO_ITEM CSL_CITATION {"citationID":"ADmwFIzO","properties":{"formattedCitation":"(Konlaan et al. 2000)","plainCitation":"(Konlaan et al. 2000)"},"citationItems":[{"id":2053,"uris":["http://zotero.org/users/1148429/items/57Z3R4UD"],"uri":["http://zotero.org/users/1148429/items/57Z3R4UD"],"itemData":{"id":2053,"type":"article-journal","title":"Attendance at cultural events and physical exercise and health: a randomized controlled study","container-title":"Public Health","page":"316-319","volume":"114","issue":"5","source":"ScienceDirect","abstract":"The aim of this study was to assess the specific biomedico-social effects of participating in cultural events and gentle physical exercise effects apart from the general effect of participating in group activities. This was a randomized controlled investigation using a factorial design, where attending cultural events and taking easy physical exercise were tested simultaneously. The 21 participants, aged between 18 and 74 y were from a simple random sample of people registered as residents in Umeå, a town in northern Sweden. Among the 1000 in the sample, 21 individuals (11 men, 10 women) were recruited into the experiment. Two out of the 21 subjects dropped out and were discounted from our analysis. Nine people were encouraged to engage in cultural activity for a two-month period. Diastolic blood pressure in eight of these nine was significantly reduced following the experiment. There were no marked changes observed in either systolic or diastolic blood pressure in those not required to engage in any form of extra-cultural activity. A decrease in the levels of both adrenocorticotropical hormone (ACTH) and s-prolactin was observed in culturally stimulated subjects, whereas the average baseline s-prolactin level of 7 ng/l for the non-culturally stimulated group was unchanged after the experiment. Physical exercise produced an increase in the high density lipoprotein (HDL) cholesterol level and in the ratio of HDL to LDL (low density lipoprotein). It was concluded that cultural stimulation may have specific effects on health related determinants. Public Health (2000) 114, 316–319","DOI":"10.1038/sj.ph.1900670","ISSN":"0033-3506","shortTitle":"Attendance at cultural events and physical exercise and health","journalAbbreviation":"Public Health","author":[{"family":"Konlaan","given":"BB"},{"family":"Björby","given":"N"},{"family":"Bygren","given":"LO"},{"family":"Weissglas","given":"G"},{"family":"Karlsson","given":"LG"},{"family":"Widmark","given":"M"}],"issued":{"date-parts":[["2000",9]]},"accessed":{"date-parts":[["2013",2,17]]}}}],"schema":"https://github.com/citation-style-language/schema/raw/master/csl-citation.json"} </w:instrText>
      </w:r>
      <w:r w:rsidR="000C3F5E" w:rsidRPr="000D728A">
        <w:rPr>
          <w:rFonts w:cs="Arial"/>
        </w:rPr>
        <w:fldChar w:fldCharType="separate"/>
      </w:r>
      <w:r w:rsidRPr="000D728A">
        <w:rPr>
          <w:rFonts w:cs="Arial"/>
          <w:noProof/>
        </w:rPr>
        <w:t>Konlaan et al., 2000</w:t>
      </w:r>
      <w:r w:rsidR="000C3F5E" w:rsidRPr="000D728A">
        <w:rPr>
          <w:rFonts w:cs="Arial"/>
        </w:rPr>
        <w:fldChar w:fldCharType="end"/>
      </w:r>
      <w:r w:rsidRPr="000D728A">
        <w:rPr>
          <w:rFonts w:cs="Arial"/>
        </w:rPr>
        <w:t xml:space="preserve">; </w:t>
      </w:r>
      <w:r w:rsidR="000C3F5E" w:rsidRPr="000D728A">
        <w:rPr>
          <w:rFonts w:cs="Arial"/>
        </w:rPr>
        <w:fldChar w:fldCharType="begin"/>
      </w:r>
      <w:r w:rsidRPr="000D728A">
        <w:rPr>
          <w:rFonts w:cs="Arial"/>
        </w:rPr>
        <w:instrText xml:space="preserve"> ADDIN ZOTERO_ITEM CSL_CITATION {"citationID":"yoKNtLTi","properties":{"formattedCitation":"(Renton et al. 2012)","plainCitation":"(Renton et al. 2012)"},"citationItems":[{"id":2050,"uris":["http://zotero.org/users/1148429/items/TV7R5FKM"],"uri":["http://zotero.org/users/1148429/items/TV7R5FKM"],"itemData":{"id":2050,"type":"article-journal","title":"Think of your art-eries: Arts participation, behavioural cardiovascular risk factors and mental well-being in deprived communities in London","container-title":"Public Health","page":"S57-S64","volume":"126, Supplement 1","source":"ScienceDirect","abstract":"SummaryObjectives \r\nTo investigate the association of participation in arts and cultural activities with health behaviours and mental well-being in low-income populations in London. \r\nStudy design \r\nCross-sectional, community-based observational study. \r\nMethods \r\nData were taken from the cross-sectional baseline survey of the Well London cluster randomized trial, conducted during 2008 in 40 of the most deprived census lower super output areas in London (selected using the English Indices of Multiple Deprivation). Multiple imputation was used to account for missing data in the Well London survey. Descriptive statistics and regression analyses were used to examine the association between participation in arts and cultural activities and physical activity (meeting target of five sessions of at least 30 min of moderate-intensity physical activity per week), healthy eating (meeting target of at least five portions of fruit or vegetables per day) and mental well-being (Hope Scale score; feeling anxious or depressed). \r\nResults \r\nThis study found that levels of arts and cultural engagement in low-income groups in London are &amp;gt;75%, but this is well below the national average for England. Individuals who were more socially disadvantaged (unemployed, living in rented social housing, low educational attainment, low disposable income) were less likely to participate in arts or cultural activities. Arts participation was strongly associated with healthy eating, physical activity and positive mental well-being, with no evidence of confounding by socio-economic or sociodemographic factors. Neither positive mental well-being nor social capital appeared to mediate the relationship between arts participation and health behaviours. \r\nConclusion \r\nThis study suggests that arts and cultural activities are independently associated with health behaviours and mental well-being. Further qualitative and prospective intervention studies are needed to elucidate the nature of the relationship between health behaviours, mental well-being and arts participation. If arts activities are to be recommended for health improvement, social inequalities in access to arts and cultural activities must be addressed in order to prevent further reinforcement of health inequalities.","DOI":"10.1016/j.puhe.2012.05.025","ISSN":"0033-3506","shortTitle":"Public Health International Conference 2011: Health and Wellbeing – The 21st Century Agenda 8th–9th September 2011, London, UK","journalAbbreviation":"Public Health","author":[{"family":"Renton","given":"A."},{"family":"Phillips","given":"G."},{"family":"Daykin","given":"N."},{"family":"Yu","given":"G."},{"family":"Taylor","given":"K."},{"family":"Petticrew","given":"M."}],"issued":{"date-parts":[["2012",9,1]]},"accessed":{"date-parts":[["2013",2,17]]}}}],"schema":"https://github.com/citation-style-language/schema/raw/master/csl-citation.json"} </w:instrText>
      </w:r>
      <w:r w:rsidR="000C3F5E" w:rsidRPr="000D728A">
        <w:rPr>
          <w:rFonts w:cs="Arial"/>
        </w:rPr>
        <w:fldChar w:fldCharType="separate"/>
      </w:r>
      <w:r w:rsidRPr="000D728A">
        <w:rPr>
          <w:rFonts w:cs="Arial"/>
          <w:noProof/>
        </w:rPr>
        <w:t>Renton et al. 2012)</w:t>
      </w:r>
      <w:r w:rsidR="000C3F5E" w:rsidRPr="000D728A">
        <w:rPr>
          <w:rFonts w:cs="Arial"/>
        </w:rPr>
        <w:fldChar w:fldCharType="end"/>
      </w:r>
      <w:r w:rsidRPr="000D728A">
        <w:rPr>
          <w:rFonts w:cs="Arial"/>
        </w:rPr>
        <w:t>. Participating in sports, including DIY activities, cycling, general physical activity programmes, small-sided football games, and running were also associated with longer life expectancy and reduced anxiety, depression, and risk factors for disease (</w:t>
      </w:r>
      <w:r w:rsidR="000C3F5E" w:rsidRPr="000D728A">
        <w:rPr>
          <w:rFonts w:cs="Arial"/>
        </w:rPr>
        <w:fldChar w:fldCharType="begin"/>
      </w:r>
      <w:r w:rsidRPr="000D728A">
        <w:rPr>
          <w:rFonts w:cs="Arial"/>
        </w:rPr>
        <w:instrText xml:space="preserve"> ADDIN ZOTERO_ITEM CSL_CITATION {"citationID":"Hof5OqMK","properties":{"formattedCitation":"(Andersen et al. 2000)","plainCitation":"(Andersen et al. 2000)"},"citationItems":[{"id":2043,"uris":["http://zotero.org/users/1148429/items/GFUGHW8J"],"uri":["http://zotero.org/users/1148429/items/GFUGHW8J"],"itemData":{"id":2043,"type":"article-journal","title":"All-cause mortality associated with physical activity during leisure time, work, sports, and cycling to work","container-title":"Archives of internal medicine","page":"1621","volume":"160","issue":"11","source":"Google Scholar","author":[{"family":"Andersen","given":"Lars Bo"},{"family":"Schnohr","given":"Peter"},{"family":"Schroll","given":"Marianne"},{"family":"Hein","given":"Hans Ole"}],"issued":{"date-parts":[["2000"]]},"accessed":{"date-parts":[["2013",2,17]]}}}],"schema":"https://github.com/citation-style-language/schema/raw/master/csl-citation.json"} </w:instrText>
      </w:r>
      <w:r w:rsidR="000C3F5E" w:rsidRPr="000D728A">
        <w:rPr>
          <w:rFonts w:cs="Arial"/>
        </w:rPr>
        <w:fldChar w:fldCharType="separate"/>
      </w:r>
      <w:r w:rsidRPr="000D728A">
        <w:rPr>
          <w:rFonts w:cs="Arial"/>
          <w:noProof/>
        </w:rPr>
        <w:t xml:space="preserve">Andersen et al., 2000, </w:t>
      </w:r>
      <w:r w:rsidR="000C3F5E" w:rsidRPr="000D728A">
        <w:rPr>
          <w:rFonts w:cs="Arial"/>
        </w:rPr>
        <w:fldChar w:fldCharType="end"/>
      </w:r>
      <w:r w:rsidR="000C3F5E" w:rsidRPr="000D728A">
        <w:rPr>
          <w:rFonts w:cs="Arial"/>
        </w:rPr>
        <w:fldChar w:fldCharType="begin"/>
      </w:r>
      <w:r w:rsidRPr="000D728A">
        <w:rPr>
          <w:rFonts w:cs="Arial"/>
        </w:rPr>
        <w:instrText xml:space="preserve"> ADDIN ZOTERO_ITEM CSL_CITATION {"citationID":"2G5qVTtp","properties":{"formattedCitation":"(Krustrup et al. 2010)","plainCitation":"(Krustrup et al. 2010)"},"citationItems":[{"id":2039,"uris":["http://zotero.org/users/1148429/items/M5DJ4KET"],"uri":["http://zotero.org/users/1148429/items/M5DJ4KET"],"itemData":{"id":2039,"type":"article-journal","title":"Executive summary: The health and fitness benefits of regular participation in small-sided football games","container-title":"Scandinavian Journal of Medicine &amp; Science in Sports","page":"132-135","volume":"20","issue":"s1","source":"IngentaConnect","abstract":"The present special issue of Scandinavian Journal of Medicine &amp; Science in Sports deals with health and fitness benefits of regular participation in small-sided football games. One review article and 13 original articles were the result of a 2-year multi-center study in Copenhagen and Zurich and include studies of different age groups analyzed from a physiological, medical, social and psychological perspective. The main groups investigated were middle-aged, former untrained, healthy men and women who were followed for up to 16 months. In addition, elderly, children and hypertensive patients were studied. A summary and interpretations of the main findings divided into an analysis of the physical demands during training of various groups and the effect of a period of training on performance, muscle adaptations and health profile follow. In addition, social and psychological effects on participation in recreational football are considered, the comparison of football training and endurance running is summarized and the effects of football practice on the elderly and children and youngsters are presented.","DOI":"10.1111/j.1600-0838.2010.01106.x","shortTitle":"Executive summary","journalAbbreviation":"Scandinavian Journal of Medicine &amp; Science in Sports","author":[{"family":"Krustrup","given":"P."},{"family":"Dvorak","given":"J."},{"family":"Junge","given":"A."},{"family":"Bangsbo","given":"J."}],"issued":{"date-parts":[["2010"]]}}}],"schema":"https://github.com/citation-style-language/schema/raw/master/csl-citation.json"} </w:instrText>
      </w:r>
      <w:r w:rsidR="000C3F5E" w:rsidRPr="000D728A">
        <w:rPr>
          <w:rFonts w:cs="Arial"/>
        </w:rPr>
        <w:fldChar w:fldCharType="separate"/>
      </w:r>
      <w:r w:rsidRPr="000D728A">
        <w:rPr>
          <w:rFonts w:cs="Arial"/>
          <w:noProof/>
        </w:rPr>
        <w:t xml:space="preserve">Krustrup et al., 2010; </w:t>
      </w:r>
      <w:r w:rsidR="000C3F5E" w:rsidRPr="000D728A">
        <w:rPr>
          <w:rFonts w:cs="Arial"/>
        </w:rPr>
        <w:fldChar w:fldCharType="end"/>
      </w:r>
      <w:r w:rsidR="000C3F5E" w:rsidRPr="000D728A">
        <w:rPr>
          <w:rFonts w:cs="Arial"/>
        </w:rPr>
        <w:fldChar w:fldCharType="begin"/>
      </w:r>
      <w:r w:rsidRPr="000D728A">
        <w:rPr>
          <w:rFonts w:cs="Arial"/>
        </w:rPr>
        <w:instrText xml:space="preserve"> ADDIN ZOTERO_ITEM CSL_CITATION {"citationID":"8lloLUvW","properties":{"formattedCitation":"(Sabia et al. 2012)","plainCitation":"(Sabia et al. 2012)","dontUpdate":true},"citationItems":[{"id":2030,"uris":["http://zotero.org/users/1148429/items/ET9I76HQ"],"uri":["http://zotero.org/users/1148429/items/ET9I76HQ"],"itemData":{"id":2030,"type":"article-journal","title":"Effect of intensity and type of physical activity on mortality: results from the Whitehall II cohort study","container-title":"Journal Information","volume":"102","issue":"4","source":"Google Scholar","URL":"http://ajph.aphapublications.org/doi/abs/10.2105/AJPH.2011.300257","shortTitle":"Effect of intensity and type of physical activity on mortality","author":[{"family":"Sabia","given":"Séverine"},{"family":"Dugravot","given":"Aline"},{"family":"Kivimaki","given":"Mika"},{"family":"Brunner","given":"Eric"},{"family":"Shipley","given":"Martin J."},{"family":"Singh-Manoux","given":"Archana"}],"issued":{"date-parts":[["2012"]]},"accessed":{"date-parts":[["2013",2,17]]}}}],"schema":"https://github.com/citation-style-language/schema/raw/master/csl-citation.json"} </w:instrText>
      </w:r>
      <w:r w:rsidR="000C3F5E" w:rsidRPr="000D728A">
        <w:rPr>
          <w:rFonts w:cs="Arial"/>
        </w:rPr>
        <w:fldChar w:fldCharType="separate"/>
      </w:r>
      <w:r w:rsidRPr="000D728A">
        <w:rPr>
          <w:rFonts w:cs="Arial"/>
          <w:noProof/>
        </w:rPr>
        <w:t xml:space="preserve">Sabia et al., 2012; </w:t>
      </w:r>
      <w:r w:rsidR="000C3F5E" w:rsidRPr="000D728A">
        <w:rPr>
          <w:rFonts w:cs="Arial"/>
        </w:rPr>
        <w:fldChar w:fldCharType="end"/>
      </w:r>
      <w:r w:rsidRPr="000D728A">
        <w:rPr>
          <w:rFonts w:cs="Arial"/>
        </w:rPr>
        <w:t xml:space="preserve"> </w:t>
      </w:r>
      <w:r w:rsidR="000C3F5E" w:rsidRPr="000D728A">
        <w:rPr>
          <w:rFonts w:cs="Arial"/>
        </w:rPr>
        <w:fldChar w:fldCharType="begin"/>
      </w:r>
      <w:r w:rsidRPr="000D728A">
        <w:rPr>
          <w:rFonts w:cs="Arial"/>
        </w:rPr>
        <w:instrText xml:space="preserve"> ADDIN ZOTERO_ITEM CSL_CITATION {"citationID":"Xtyp92my","properties":{"formattedCitation":"(Murphy et al. 2012)","plainCitation":"(Murphy et al. 2012)"},"citationItems":[{"id":2036,"uris":["http://zotero.org/users/1148429/items/U7M74VEH"],"uri":["http://zotero.org/users/1148429/items/U7M74VEH"],"itemData":{"id":2036,"type":"article-journal","title":"An evaluation of the effectiveness and cost effectiveness of the National Exercise Referral Scheme in Wales, UK: a randomised controlled trial of a public health policy initiative","container-title":"Journal of Epidemiology and Community Health","page":"745-753","volume":"66","issue":"8","source":"jech.bmj.com","abstract":"Background The Wales National Exercise Referral Scheme (NERS) is a 16-week programme including motivational interviewing, goal setting and relapse prevention.\nMethod A pragmatic randomised controlled trial with nested economic evaluation of 2160 inactive participants with coronary heart disease risk (CHD, 1559, 72%), mild to moderate depression, anxiety or stress (79, 4%) or both (522, 24%) randomised to receive (1) NERS or (2) normal care and brief written information. Outcome measures at 12 months included the 7-day physical activity recall, the hospital anxiety and depression scale.\nResults Ordinal regression identified increased physical activity among those randomised to NERS compared with those receiving normal care in all participants (OR 1.19, 95% CI 0.99 to 1.43), and among those referred for CHD only (OR 1.29, 95% CI 1.04 to 1.60). For those referred for mental health reason alone, or in combination with CHD, there were significantly lower levels of anxiety (OR −1.56, 95% CI −2.75 to −0.38) and depression (OR −1.39, 95% CI −2.60 to −0.18), but no effect on physical activity. The base-case incremental cost-effectiveness ratio was £12 111 per quality adjusted life year, falling to £9741 if participants were to contribute £2 per session.\nConclusions NERS was effective in increasing physical activity among those referred for CHD risk only. Among mental health referrals, NERS did not influence physical activity but was associated with reduced anxiety and depression. Effects were dependent on adherence. NERS is likely to be cost effective with respect to prevailing payer thresholds.\nTrial registration Current Controlled Trials ISRCTN47680448.","DOI":"10.1136/jech-2011-200689","ISSN":", 1470-2738","shortTitle":"An evaluation of the effectiveness and cost effectiveness of the National Exercise Referral Scheme in Wales, UK","journalAbbreviation":"J Epidemiol Community Health","language":"en","author":[{"family":"Murphy","given":"Simon Mark"},{"family":"Edwards","given":"Rhiannon Tudor"},{"family":"Williams","given":"Nefyn"},{"family":"Raisanen","given":"Larry"},{"family":"Moore","given":"Graham"},{"family":"Linck","given":"Pat"},{"family":"Hounsome","given":"Natalia"},{"family":"Din","given":"Nafees Ud"},{"family":"Moore","given":"Laurence"}],"issued":{"date-parts":[["2012",8,1]]},"accessed":{"date-parts":[["2013",2,17]]}}}],"schema":"https://github.com/citation-style-language/schema/raw/master/csl-citation.json"} </w:instrText>
      </w:r>
      <w:r w:rsidR="000C3F5E" w:rsidRPr="000D728A">
        <w:rPr>
          <w:rFonts w:cs="Arial"/>
        </w:rPr>
        <w:fldChar w:fldCharType="separate"/>
      </w:r>
      <w:r w:rsidRPr="000D728A">
        <w:rPr>
          <w:rFonts w:cs="Arial"/>
          <w:noProof/>
        </w:rPr>
        <w:t>Murphy et al., 2012)</w:t>
      </w:r>
      <w:r w:rsidR="000C3F5E" w:rsidRPr="000D728A">
        <w:rPr>
          <w:rFonts w:cs="Arial"/>
        </w:rPr>
        <w:fldChar w:fldCharType="end"/>
      </w:r>
      <w:r w:rsidRPr="000D728A">
        <w:rPr>
          <w:rFonts w:cs="Arial"/>
        </w:rPr>
        <w:t>. In view of these findings, health was identified as a wider social impact, with self-reported health and the general health questionnaire selected as measures based on the availability of these measures within Understanding Society data.</w:t>
      </w:r>
    </w:p>
    <w:p w14:paraId="5778E5B1" w14:textId="77777777" w:rsidR="000B1FC6" w:rsidRPr="000D728A" w:rsidRDefault="000B1FC6" w:rsidP="000B1FC6">
      <w:pPr>
        <w:rPr>
          <w:rFonts w:cs="Arial"/>
        </w:rPr>
      </w:pPr>
    </w:p>
    <w:p w14:paraId="5778E5B2" w14:textId="77777777" w:rsidR="000B1FC6" w:rsidRPr="000D728A" w:rsidRDefault="000B1FC6" w:rsidP="000B1FC6">
      <w:pPr>
        <w:rPr>
          <w:rFonts w:cs="Arial"/>
        </w:rPr>
      </w:pPr>
      <w:r w:rsidRPr="000D728A">
        <w:rPr>
          <w:rFonts w:cs="Arial"/>
        </w:rPr>
        <w:t>Several studies also indicated an association between engaging in culture and sports and economic impacts, especially employment and skills development. People who attend cultural events like music festivals, or who participate in community based art projects, believe they develop transferrable skills such as communication, confidence and public speaking (Matarasso, 1996, 1997; Williams, 1997). Playing sports may reduce workplace absenteeism (</w:t>
      </w:r>
      <w:r w:rsidR="000C3F5E" w:rsidRPr="000D728A">
        <w:rPr>
          <w:rFonts w:cs="Arial"/>
        </w:rPr>
        <w:fldChar w:fldCharType="begin"/>
      </w:r>
      <w:r w:rsidRPr="000D728A">
        <w:rPr>
          <w:rFonts w:cs="Arial"/>
        </w:rPr>
        <w:instrText xml:space="preserve"> ADDIN ZOTERO_ITEM CSL_CITATION {"citationID":"nvZCLIQw","properties":{"formattedCitation":"(Heuvel et al. 2005)","plainCitation":"(Heuvel et al. 2005)"},"citationItems":[{"id":1953,"uris":["http://zotero.org/users/1148429/items/79PUE2KI"],"uri":["http://zotero.org/users/1148429/items/79PUE2KI"],"itemData":{"id":1953,"type":"article-journal","title":"Effect of sporting activity on absenteeism in a working population","container-title":"British Journal of Sports Medicine","page":"e15-e15","volume":"39","issue":"3","source":"bjsportmed.com","abstract":"Objectives: To determine the effects of sporting activity on absenteeism in a working population.\nMethods: Data were used from a prospective cohort study in a working population with a follow up period of 3 years and were collected with yearly questionnaires or collected from company records. Complete data on absenteeism, sporting activity, and potential confounders were collected for 1228 workers. ANOVA was used to test differences in frequency and duration of absenteeism, correlations were computed to measure the association between number of sporting years (divided by age) and frequency and duration of absenteeism, and survival analysis, according to the Cox proportional hazards model, was used to test differences in relative risk at absenteeism and recovery. All analyses were adjusted for age, gender, smoking, and alcohol consumption, and were stratified for employees with sedentary and with more active jobs.\nResults: ANOVA showed a statistically significant higher mean duration of absenteeism among employees not practicing sports, of approximately 20 days over a period of 4 years. The survival analysis showed an increased relative risk at absenteeism (relative risk (RR) 1.09; confidence interval (CI) 1.01 to 1.18) and a decreased relative risk at recovery (RR 0.90; CI 0.85 to 0.95) for employees not practicing sports. The effect of sporting activity is larger in employees with sedentary work. No associations were found between number of sporting years and absenteeism.\nConclusion: Employees practicing sports take sick leave significantly less often than their colleagues not practicing sports, while their periods of sick leave are shorter, especially when their work is sedentary.","DOI":"10.1136/bjsm.2004.013052","ISSN":", 14730480","journalAbbreviation":"Br J Sports Med","language":"en","author":[{"family":"Heuvel","given":"S. G. van den"},{"family":"Boshuizen","given":"H. C."},{"family":"Hildebrandt","given":"V. H."},{"family":"Blatter","given":"B. M."},{"family":"Ariëns","given":"G. A."},{"family":"Bongers","given":"P. M."}],"issued":{"date-parts":[["2005",3,1]]},"accessed":{"date-parts":[["2013",2,14]]}}}],"schema":"https://github.com/citation-style-language/schema/raw/master/csl-citation.json"} </w:instrText>
      </w:r>
      <w:r w:rsidR="000C3F5E" w:rsidRPr="000D728A">
        <w:rPr>
          <w:rFonts w:cs="Arial"/>
        </w:rPr>
        <w:fldChar w:fldCharType="separate"/>
      </w:r>
      <w:r w:rsidRPr="000D728A">
        <w:rPr>
          <w:rFonts w:cs="Arial"/>
        </w:rPr>
        <w:t>Heuvel et al., 2005</w:t>
      </w:r>
      <w:r w:rsidR="000C3F5E" w:rsidRPr="000D728A">
        <w:rPr>
          <w:rFonts w:cs="Arial"/>
        </w:rPr>
        <w:fldChar w:fldCharType="end"/>
      </w:r>
      <w:r w:rsidRPr="000D728A">
        <w:rPr>
          <w:rFonts w:cs="Arial"/>
        </w:rPr>
        <w:t>), and participating in arts organisations may make it easier to find work (</w:t>
      </w:r>
      <w:r w:rsidR="000C3F5E" w:rsidRPr="000D728A">
        <w:rPr>
          <w:rFonts w:cs="Arial"/>
        </w:rPr>
        <w:fldChar w:fldCharType="begin"/>
      </w:r>
      <w:r w:rsidRPr="000D728A">
        <w:rPr>
          <w:rFonts w:cs="Arial"/>
        </w:rPr>
        <w:instrText xml:space="preserve"> ADDIN ZOTERO_ITEM CSL_CITATION {"citationID":"1Tf1To7g","properties":{"formattedCitation":"(Matarasso 1997)","plainCitation":"(Matarasso 1997)","dontUpdate":true},"citationItems":[{"id":1982,"uris":["http://zotero.org/users/1148429/items/XZZ2DB49"],"uri":["http://zotero.org/users/1148429/items/XZZ2DB49"],"itemData":{"id":1982,"type":"book","title":"Use or ornament? the social impact of participation in the arts.","publisher":"Comedia Publishing Group","source":"Google Scholar","URL":"http://www.cabdirect.org/abstracts/19971807617.html","shortTitle":"Use or ornament?","author":[{"family":"Matarasso","given":"Francois"}],"issued":{"date-parts":[["1997"]]},"accessed":{"date-parts":[["2013",2,14]]}}}],"schema":"https://github.com/citation-style-language/schema/raw/master/csl-citation.json"} </w:instrText>
      </w:r>
      <w:r w:rsidR="000C3F5E" w:rsidRPr="000D728A">
        <w:rPr>
          <w:rFonts w:cs="Arial"/>
        </w:rPr>
        <w:fldChar w:fldCharType="separate"/>
      </w:r>
      <w:r w:rsidRPr="000D728A">
        <w:rPr>
          <w:rFonts w:cs="Arial"/>
        </w:rPr>
        <w:t>Matarasso, 1997</w:t>
      </w:r>
      <w:r w:rsidR="000C3F5E" w:rsidRPr="000D728A">
        <w:rPr>
          <w:rFonts w:cs="Arial"/>
        </w:rPr>
        <w:fldChar w:fldCharType="end"/>
      </w:r>
      <w:r w:rsidRPr="000D728A">
        <w:rPr>
          <w:rFonts w:cs="Arial"/>
        </w:rPr>
        <w:t>; Matarasso and Halls, 1998). The analysis thus modelled job-seeking behaviour amongst the unemployed and job satisfaction among the employed. Job satisfaction is a powerful predictor of quit rates in other research (Clark, 2001).</w:t>
      </w:r>
    </w:p>
    <w:p w14:paraId="5778E5B3" w14:textId="77777777" w:rsidR="000B1FC6" w:rsidRPr="000D728A" w:rsidRDefault="000B1FC6" w:rsidP="000B1FC6">
      <w:pPr>
        <w:rPr>
          <w:rFonts w:cs="Arial"/>
        </w:rPr>
      </w:pPr>
    </w:p>
    <w:p w14:paraId="5778E5B4" w14:textId="77777777" w:rsidR="000B1FC6" w:rsidRPr="000D728A" w:rsidRDefault="000B1FC6" w:rsidP="000B1FC6">
      <w:pPr>
        <w:rPr>
          <w:rFonts w:cs="Arial"/>
          <w:b/>
        </w:rPr>
      </w:pPr>
      <w:r w:rsidRPr="000D728A">
        <w:rPr>
          <w:rFonts w:cs="Arial"/>
        </w:rPr>
        <w:t xml:space="preserve">There were also a number of studies pointing to the benefits of engaging in culture and sports on civic participation, in particular on volunteering and charity giving. There were positive associations between engaging in the arts and the likelihood of volunteering, including specific cultural activities like reading books, creating art, attending dance events, purchasing books or magazines and general spending on the arts (Jeannotte, 2003; Nichols, 2005, 2007; Carroll, McCarthy &amp; Newman, 2005). People who participate in sports are also more likely to volunteer </w:t>
      </w:r>
      <w:r w:rsidRPr="000D728A">
        <w:rPr>
          <w:rFonts w:cs="Arial"/>
        </w:rPr>
        <w:lastRenderedPageBreak/>
        <w:t>(Tsiotsou, 1998; Lopez &amp; Moore, 2006; Nichols, 2005, 2007). Frequency of volunteering and amount of charitable giving were thus selected as further indicators of the wider social benefits of engaging in culture and sports. Finally, people who attend or engage in culture and play in or attend sports events are more likely to be adult learners (Sargant &amp; Aldridge, 2002; Ruuskanen, 2013), and the present analysis extends these findings to look at whether teenagers and young adults are more likely to report intentions to attend further education.</w:t>
      </w:r>
    </w:p>
    <w:p w14:paraId="5778E5B5" w14:textId="77777777" w:rsidR="002D3E77" w:rsidRPr="000D728A" w:rsidRDefault="002D3E77" w:rsidP="00702421">
      <w:pPr>
        <w:rPr>
          <w:rFonts w:cs="Arial"/>
        </w:rPr>
      </w:pPr>
    </w:p>
    <w:p w14:paraId="5778E5B6" w14:textId="77777777" w:rsidR="000B1FC6" w:rsidRPr="000D728A" w:rsidRDefault="000B1FC6" w:rsidP="00702421">
      <w:pPr>
        <w:rPr>
          <w:rFonts w:cs="Arial"/>
        </w:rPr>
      </w:pPr>
    </w:p>
    <w:p w14:paraId="5778E5B7" w14:textId="77777777" w:rsidR="000B1FC6" w:rsidRPr="000D728A" w:rsidRDefault="000B1FC6" w:rsidP="000B1FC6">
      <w:pPr>
        <w:pStyle w:val="Heading1Numbered"/>
        <w:numPr>
          <w:ilvl w:val="0"/>
          <w:numId w:val="0"/>
        </w:numPr>
        <w:rPr>
          <w:rFonts w:cs="Arial"/>
        </w:rPr>
      </w:pPr>
      <w:bookmarkStart w:id="8" w:name="_Toc385423140"/>
      <w:r w:rsidRPr="000D728A">
        <w:rPr>
          <w:rFonts w:cs="Arial"/>
        </w:rPr>
        <w:lastRenderedPageBreak/>
        <w:t>Annex B: Methodology</w:t>
      </w:r>
      <w:bookmarkEnd w:id="8"/>
    </w:p>
    <w:p w14:paraId="5778E5B8" w14:textId="77777777" w:rsidR="00B72AB2" w:rsidRPr="000D728A" w:rsidRDefault="00B72AB2" w:rsidP="00B72AB2">
      <w:pPr>
        <w:rPr>
          <w:rFonts w:cs="Arial"/>
        </w:rPr>
      </w:pPr>
      <w:r w:rsidRPr="000D728A">
        <w:rPr>
          <w:rFonts w:cs="Arial"/>
        </w:rPr>
        <w:t xml:space="preserve">We use Wave 2 of Understanding Society and run a number of regression models to look at the impacts of engagement and participation on each of the four domains </w:t>
      </w:r>
      <w:r w:rsidR="0044002E" w:rsidRPr="000D728A">
        <w:rPr>
          <w:rFonts w:cs="Arial"/>
        </w:rPr>
        <w:t xml:space="preserve">(health, education, economy and civic participation) </w:t>
      </w:r>
      <w:r w:rsidRPr="000D728A">
        <w:rPr>
          <w:rFonts w:cs="Arial"/>
        </w:rPr>
        <w:t>as follows:</w:t>
      </w:r>
    </w:p>
    <w:p w14:paraId="5778E5B9" w14:textId="77777777" w:rsidR="00B72AB2" w:rsidRPr="000D728A" w:rsidRDefault="00B72AB2" w:rsidP="00B72AB2">
      <w:pPr>
        <w:ind w:left="0"/>
        <w:rPr>
          <w:rFonts w:cs="Arial"/>
        </w:rPr>
      </w:pPr>
    </w:p>
    <w:p w14:paraId="5778E5BA" w14:textId="77777777" w:rsidR="00B72AB2" w:rsidRPr="000D728A" w:rsidRDefault="00A97CFB" w:rsidP="00B72AB2">
      <w:pPr>
        <w:rPr>
          <w:rFonts w:cs="Arial"/>
        </w:rPr>
      </w:pPr>
      <m:oMath>
        <m:sSub>
          <m:sSubPr>
            <m:ctrlPr>
              <w:rPr>
                <w:rFonts w:ascii="Cambria Math" w:hAnsi="Cambria Math" w:cs="Arial"/>
                <w:i/>
              </w:rPr>
            </m:ctrlPr>
          </m:sSubPr>
          <m:e>
            <m:r>
              <w:rPr>
                <w:rFonts w:ascii="Cambria Math" w:hAnsi="Cambria Math" w:cs="Arial"/>
              </w:rPr>
              <m:t>D</m:t>
            </m:r>
          </m:e>
          <m:sub>
            <m:r>
              <w:rPr>
                <w:rFonts w:ascii="Cambria Math" w:hAnsi="Cambria Math" w:cs="Arial"/>
              </w:rPr>
              <m:t>i</m:t>
            </m:r>
          </m:sub>
        </m:sSub>
        <m:r>
          <w:rPr>
            <w:rFonts w:ascii="Cambria Math" w:hAnsi="Cambria Math" w:cs="Arial"/>
          </w:rPr>
          <m:t>=α</m:t>
        </m:r>
        <m:r>
          <m:rPr>
            <m:sty m:val="p"/>
          </m:rPr>
          <w:rPr>
            <w:rFonts w:ascii="Cambria Math" w:hAnsi="Cambria Math" w:cs="Arial"/>
          </w:rPr>
          <m:t>+</m:t>
        </m:r>
        <m:sSub>
          <m:sSubPr>
            <m:ctrlPr>
              <w:rPr>
                <w:rFonts w:ascii="Cambria Math" w:hAnsi="Cambria Math" w:cs="Arial"/>
              </w:rPr>
            </m:ctrlPr>
          </m:sSubPr>
          <m:e>
            <m:r>
              <w:rPr>
                <w:rFonts w:ascii="Cambria Math" w:hAnsi="Cambria Math" w:cs="Arial"/>
              </w:rPr>
              <m:t>β</m:t>
            </m:r>
          </m:e>
          <m:sub>
            <m:r>
              <w:rPr>
                <w:rFonts w:ascii="Cambria Math" w:hAnsi="Cambria Math" w:cs="Arial"/>
              </w:rPr>
              <m:t>1</m:t>
            </m:r>
          </m:sub>
        </m:sSub>
        <m:sSub>
          <m:sSubPr>
            <m:ctrlPr>
              <w:rPr>
                <w:rFonts w:ascii="Cambria Math" w:hAnsi="Cambria Math" w:cs="Arial"/>
                <w:i/>
              </w:rPr>
            </m:ctrlPr>
          </m:sSubPr>
          <m:e>
            <m:r>
              <w:rPr>
                <w:rFonts w:ascii="Cambria Math" w:hAnsi="Cambria Math" w:cs="Arial"/>
              </w:rPr>
              <m:t>Q</m:t>
            </m:r>
          </m:e>
          <m:sub>
            <m:r>
              <w:rPr>
                <w:rFonts w:ascii="Cambria Math" w:hAnsi="Cambria Math" w:cs="Arial"/>
              </w:rPr>
              <m:t>i</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2</m:t>
            </m:r>
          </m:sub>
        </m:sSub>
        <m:sSub>
          <m:sSubPr>
            <m:ctrlPr>
              <w:rPr>
                <w:rFonts w:ascii="Cambria Math" w:hAnsi="Cambria Math" w:cs="Arial"/>
                <w:i/>
              </w:rPr>
            </m:ctrlPr>
          </m:sSubPr>
          <m:e>
            <m:r>
              <w:rPr>
                <w:rFonts w:ascii="Cambria Math" w:hAnsi="Cambria Math" w:cs="Arial"/>
              </w:rPr>
              <m:t>X</m:t>
            </m:r>
          </m:e>
          <m:sub>
            <m:r>
              <w:rPr>
                <w:rFonts w:ascii="Cambria Math" w:hAnsi="Cambria Math" w:cs="Arial"/>
              </w:rPr>
              <m:t>3i</m:t>
            </m:r>
          </m:sub>
        </m:sSub>
        <m:r>
          <w:rPr>
            <w:rFonts w:ascii="Cambria Math" w:hAnsi="Cambria Math" w:cs="Arial"/>
          </w:rPr>
          <m:t>+</m:t>
        </m:r>
        <m:sSub>
          <m:sSubPr>
            <m:ctrlPr>
              <w:rPr>
                <w:rFonts w:ascii="Cambria Math" w:hAnsi="Cambria Math" w:cs="Arial"/>
                <w:i/>
              </w:rPr>
            </m:ctrlPr>
          </m:sSubPr>
          <m:e>
            <m:r>
              <w:rPr>
                <w:rFonts w:ascii="Cambria Math" w:hAnsi="Cambria Math" w:cs="Arial"/>
              </w:rPr>
              <m:t>ε</m:t>
            </m:r>
          </m:e>
          <m:sub>
            <m:r>
              <w:rPr>
                <w:rFonts w:ascii="Cambria Math" w:hAnsi="Cambria Math" w:cs="Arial"/>
              </w:rPr>
              <m:t>i</m:t>
            </m:r>
          </m:sub>
        </m:sSub>
      </m:oMath>
      <w:r w:rsidR="00B72AB2" w:rsidRPr="000D728A">
        <w:rPr>
          <w:rFonts w:cs="Arial"/>
        </w:rPr>
        <w:t xml:space="preserve"> </w:t>
      </w:r>
      <w:r w:rsidR="00B72AB2" w:rsidRPr="000D728A">
        <w:rPr>
          <w:rFonts w:cs="Arial"/>
        </w:rPr>
        <w:tab/>
      </w:r>
      <w:r w:rsidR="00B72AB2" w:rsidRPr="000D728A">
        <w:rPr>
          <w:rFonts w:cs="Arial"/>
        </w:rPr>
        <w:tab/>
      </w:r>
      <w:r w:rsidR="00B72AB2" w:rsidRPr="000D728A">
        <w:rPr>
          <w:rFonts w:cs="Arial"/>
        </w:rPr>
        <w:tab/>
        <w:t>(11)</w:t>
      </w:r>
    </w:p>
    <w:p w14:paraId="5778E5BB" w14:textId="77777777" w:rsidR="00B72AB2" w:rsidRPr="000D728A" w:rsidRDefault="00B72AB2" w:rsidP="00B72AB2">
      <w:pPr>
        <w:rPr>
          <w:rFonts w:cs="Arial"/>
        </w:rPr>
      </w:pPr>
    </w:p>
    <w:p w14:paraId="5778E5BC" w14:textId="77777777" w:rsidR="00B72AB2" w:rsidRPr="000D728A" w:rsidRDefault="00B72AB2" w:rsidP="00B72AB2">
      <w:pPr>
        <w:rPr>
          <w:rFonts w:cs="Arial"/>
        </w:rPr>
      </w:pPr>
      <w:r w:rsidRPr="000D728A">
        <w:rPr>
          <w:rFonts w:cs="Arial"/>
        </w:rPr>
        <w:t xml:space="preserve">where </w:t>
      </w:r>
      <m:oMath>
        <m:sSub>
          <m:sSubPr>
            <m:ctrlPr>
              <w:rPr>
                <w:rFonts w:ascii="Cambria Math" w:hAnsi="Cambria Math" w:cs="Arial"/>
                <w:i/>
              </w:rPr>
            </m:ctrlPr>
          </m:sSubPr>
          <m:e>
            <m:r>
              <w:rPr>
                <w:rFonts w:ascii="Cambria Math" w:hAnsi="Cambria Math" w:cs="Arial"/>
              </w:rPr>
              <m:t>D</m:t>
            </m:r>
          </m:e>
          <m:sub>
            <m:r>
              <w:rPr>
                <w:rFonts w:ascii="Cambria Math" w:hAnsi="Cambria Math" w:cs="Arial"/>
              </w:rPr>
              <m:t>i</m:t>
            </m:r>
          </m:sub>
        </m:sSub>
      </m:oMath>
      <w:r w:rsidRPr="000D728A">
        <w:rPr>
          <w:rFonts w:cs="Arial"/>
        </w:rPr>
        <w:t xml:space="preserve"> is the domain of interest (health, education, employment or civic participation), </w:t>
      </w:r>
      <m:oMath>
        <m:sSub>
          <m:sSubPr>
            <m:ctrlPr>
              <w:rPr>
                <w:rFonts w:ascii="Cambria Math" w:hAnsi="Cambria Math" w:cs="Arial"/>
                <w:i/>
              </w:rPr>
            </m:ctrlPr>
          </m:sSubPr>
          <m:e>
            <m:r>
              <w:rPr>
                <w:rFonts w:ascii="Cambria Math" w:hAnsi="Cambria Math" w:cs="Arial"/>
              </w:rPr>
              <m:t>Q</m:t>
            </m:r>
          </m:e>
          <m:sub>
            <m:r>
              <w:rPr>
                <w:rFonts w:ascii="Cambria Math" w:hAnsi="Cambria Math" w:cs="Arial"/>
              </w:rPr>
              <m:t>i</m:t>
            </m:r>
          </m:sub>
        </m:sSub>
      </m:oMath>
      <w:r w:rsidRPr="000D728A">
        <w:rPr>
          <w:rFonts w:cs="Arial"/>
        </w:rPr>
        <w:t xml:space="preserve"> is a vector of culture and sports engagement variables and </w:t>
      </w:r>
      <m:oMath>
        <m:sSub>
          <m:sSubPr>
            <m:ctrlPr>
              <w:rPr>
                <w:rFonts w:ascii="Cambria Math" w:hAnsi="Cambria Math" w:cs="Arial"/>
                <w:i/>
              </w:rPr>
            </m:ctrlPr>
          </m:sSubPr>
          <m:e>
            <m:r>
              <w:rPr>
                <w:rFonts w:ascii="Cambria Math" w:hAnsi="Cambria Math" w:cs="Arial"/>
              </w:rPr>
              <m:t>X</m:t>
            </m:r>
          </m:e>
          <m:sub>
            <m:r>
              <w:rPr>
                <w:rFonts w:ascii="Cambria Math" w:hAnsi="Cambria Math" w:cs="Arial"/>
              </w:rPr>
              <m:t>3i</m:t>
            </m:r>
          </m:sub>
        </m:sSub>
      </m:oMath>
      <w:r w:rsidRPr="000D728A">
        <w:rPr>
          <w:rFonts w:cs="Arial"/>
        </w:rPr>
        <w:t xml:space="preserve"> are other determinants of </w:t>
      </w:r>
      <m:oMath>
        <m:sSub>
          <m:sSubPr>
            <m:ctrlPr>
              <w:rPr>
                <w:rFonts w:ascii="Cambria Math" w:hAnsi="Cambria Math" w:cs="Arial"/>
                <w:i/>
              </w:rPr>
            </m:ctrlPr>
          </m:sSubPr>
          <m:e>
            <m:r>
              <w:rPr>
                <w:rFonts w:ascii="Cambria Math" w:hAnsi="Cambria Math" w:cs="Arial"/>
              </w:rPr>
              <m:t>D</m:t>
            </m:r>
          </m:e>
          <m:sub>
            <m:r>
              <w:rPr>
                <w:rFonts w:ascii="Cambria Math" w:hAnsi="Cambria Math" w:cs="Arial"/>
              </w:rPr>
              <m:t>i</m:t>
            </m:r>
          </m:sub>
        </m:sSub>
      </m:oMath>
      <w:r w:rsidRPr="000D728A">
        <w:rPr>
          <w:rFonts w:cs="Arial"/>
        </w:rPr>
        <w:t xml:space="preserve">. In terms of </w:t>
      </w:r>
      <m:oMath>
        <m:sSub>
          <m:sSubPr>
            <m:ctrlPr>
              <w:rPr>
                <w:rFonts w:ascii="Cambria Math" w:hAnsi="Cambria Math" w:cs="Arial"/>
                <w:i/>
              </w:rPr>
            </m:ctrlPr>
          </m:sSubPr>
          <m:e>
            <m:r>
              <w:rPr>
                <w:rFonts w:ascii="Cambria Math" w:hAnsi="Cambria Math" w:cs="Arial"/>
              </w:rPr>
              <m:t>Q</m:t>
            </m:r>
          </m:e>
          <m:sub>
            <m:r>
              <w:rPr>
                <w:rFonts w:ascii="Cambria Math" w:hAnsi="Cambria Math" w:cs="Arial"/>
              </w:rPr>
              <m:t>i</m:t>
            </m:r>
          </m:sub>
        </m:sSub>
      </m:oMath>
      <w:r w:rsidRPr="000D728A">
        <w:rPr>
          <w:rFonts w:cs="Arial"/>
        </w:rPr>
        <w:t xml:space="preserve"> we run the same basic models as set out in equations (8.1) - (8.6) but drop the first visits model so we have five models (an overall model and two models each for sports and arts) per domain. Within the domains we use two different outcome measures for health, employment and civic participation and one outcome measure for education. In total we, therefore, estimate 35 base models, plus a number of interaction models.</w:t>
      </w:r>
    </w:p>
    <w:p w14:paraId="5778E5BD" w14:textId="77777777" w:rsidR="008D2A8C" w:rsidRPr="000D728A" w:rsidRDefault="008D2A8C" w:rsidP="00B72AB2">
      <w:pPr>
        <w:rPr>
          <w:rFonts w:cs="Arial"/>
        </w:rPr>
      </w:pPr>
    </w:p>
    <w:p w14:paraId="5778E5BE" w14:textId="77777777" w:rsidR="008D2A8C" w:rsidRPr="000D728A" w:rsidRDefault="008D2A8C" w:rsidP="008D2A8C">
      <w:pPr>
        <w:rPr>
          <w:rFonts w:cs="Arial"/>
          <w:b/>
        </w:rPr>
      </w:pPr>
      <w:r w:rsidRPr="000D728A">
        <w:rPr>
          <w:rFonts w:cs="Arial"/>
          <w:b/>
        </w:rPr>
        <w:t>The general strategy used in this paper has been to control for as many of the determinants of a given outcome as possible using regression analysis</w:t>
      </w:r>
      <w:r w:rsidRPr="000D728A">
        <w:rPr>
          <w:rFonts w:cs="Arial"/>
        </w:rPr>
        <w:t xml:space="preserve">. This methodology for causal inference is at least as robust as most research in this area (certainly, there are many studies that make no attempt to control for any differences across the two groups of interest). </w:t>
      </w:r>
      <w:r w:rsidRPr="000D728A">
        <w:rPr>
          <w:rFonts w:cs="Arial"/>
          <w:b/>
        </w:rPr>
        <w:t>It is the optimal method given the nature of the data and hence we believe that the results presented in this paper are informative for policy-making purposes.</w:t>
      </w:r>
    </w:p>
    <w:p w14:paraId="5778E5BF" w14:textId="77777777" w:rsidR="008D2A8C" w:rsidRPr="000D728A" w:rsidRDefault="008D2A8C" w:rsidP="008D2A8C">
      <w:pPr>
        <w:rPr>
          <w:rFonts w:cs="Arial"/>
          <w:b/>
        </w:rPr>
      </w:pPr>
    </w:p>
    <w:p w14:paraId="5778E5C0" w14:textId="77777777" w:rsidR="00B72AB2" w:rsidRPr="000D728A" w:rsidRDefault="00B72AB2" w:rsidP="008D2A8C">
      <w:pPr>
        <w:rPr>
          <w:rFonts w:cs="Arial"/>
        </w:rPr>
      </w:pPr>
      <w:r w:rsidRPr="000D728A">
        <w:rPr>
          <w:rFonts w:cs="Arial"/>
          <w:b/>
        </w:rPr>
        <w:t>Throughout the analysis we con</w:t>
      </w:r>
      <w:r w:rsidR="008D2A8C" w:rsidRPr="000D728A">
        <w:rPr>
          <w:rFonts w:cs="Arial"/>
          <w:b/>
        </w:rPr>
        <w:t>trol</w:t>
      </w:r>
      <w:r w:rsidRPr="000D728A">
        <w:rPr>
          <w:rFonts w:cs="Arial"/>
          <w:b/>
        </w:rPr>
        <w:t xml:space="preserve"> for as many of the determinants of the main outcomes as possible</w:t>
      </w:r>
      <w:r w:rsidRPr="000D728A">
        <w:rPr>
          <w:rFonts w:cs="Arial"/>
        </w:rPr>
        <w:t xml:space="preserve"> in regression analysis and we note </w:t>
      </w:r>
      <w:r w:rsidR="0044002E" w:rsidRPr="000D728A">
        <w:rPr>
          <w:rFonts w:cs="Arial"/>
        </w:rPr>
        <w:t xml:space="preserve">we cannot fully attribute causality </w:t>
      </w:r>
      <w:r w:rsidRPr="000D728A">
        <w:rPr>
          <w:rFonts w:cs="Arial"/>
        </w:rPr>
        <w:t xml:space="preserve">in this type of analysis since we cannot control for unobservable factors. The general issue of causality in relation to the methods used in this study is discussed in greater detail in </w:t>
      </w:r>
      <w:r w:rsidR="008D2A8C" w:rsidRPr="000D728A">
        <w:rPr>
          <w:rFonts w:cs="Arial"/>
        </w:rPr>
        <w:t>Annex D</w:t>
      </w:r>
      <w:r w:rsidRPr="000D728A">
        <w:rPr>
          <w:rFonts w:cs="Arial"/>
        </w:rPr>
        <w:t>.</w:t>
      </w:r>
    </w:p>
    <w:p w14:paraId="5778E5C1" w14:textId="77777777" w:rsidR="00B72AB2" w:rsidRPr="000D728A" w:rsidRDefault="00B72AB2" w:rsidP="00B72AB2">
      <w:pPr>
        <w:rPr>
          <w:rFonts w:cs="Arial"/>
          <w:b/>
        </w:rPr>
      </w:pPr>
    </w:p>
    <w:p w14:paraId="5778E5C2" w14:textId="77777777" w:rsidR="00B72AB2" w:rsidRPr="000D728A" w:rsidRDefault="00B72AB2" w:rsidP="00B72AB2">
      <w:pPr>
        <w:rPr>
          <w:rFonts w:cs="Arial"/>
          <w:b/>
          <w:sz w:val="28"/>
        </w:rPr>
      </w:pPr>
      <w:r w:rsidRPr="000D728A">
        <w:rPr>
          <w:rFonts w:cs="Arial"/>
          <w:b/>
          <w:sz w:val="28"/>
        </w:rPr>
        <w:t>B.1. Health models</w:t>
      </w:r>
    </w:p>
    <w:p w14:paraId="5778E5C3" w14:textId="77777777" w:rsidR="00B72AB2" w:rsidRPr="000D728A" w:rsidRDefault="00B72AB2" w:rsidP="00B72AB2">
      <w:pPr>
        <w:rPr>
          <w:rFonts w:cs="Arial"/>
        </w:rPr>
      </w:pPr>
    </w:p>
    <w:p w14:paraId="5778E5C4" w14:textId="77777777" w:rsidR="00B72AB2" w:rsidRPr="000D728A" w:rsidRDefault="00B72AB2" w:rsidP="00B72AB2">
      <w:pPr>
        <w:rPr>
          <w:rFonts w:cs="Arial"/>
        </w:rPr>
      </w:pPr>
      <w:r w:rsidRPr="000D728A">
        <w:rPr>
          <w:rFonts w:cs="Arial"/>
        </w:rPr>
        <w:t xml:space="preserve">In the health domain, </w:t>
      </w:r>
      <w:r w:rsidRPr="000D728A">
        <w:rPr>
          <w:rFonts w:cs="Arial"/>
          <w:b/>
        </w:rPr>
        <w:t>we look at impacts on self-reported health and General Health Questionnaire 36</w:t>
      </w:r>
      <w:r w:rsidRPr="000D728A">
        <w:rPr>
          <w:rFonts w:cs="Arial"/>
        </w:rPr>
        <w:t xml:space="preserve"> (GHQ36). </w:t>
      </w:r>
    </w:p>
    <w:p w14:paraId="5778E5C5" w14:textId="77777777" w:rsidR="00B72AB2" w:rsidRPr="000D728A" w:rsidRDefault="00B72AB2" w:rsidP="00B72AB2">
      <w:pPr>
        <w:rPr>
          <w:rFonts w:cs="Arial"/>
        </w:rPr>
      </w:pPr>
    </w:p>
    <w:p w14:paraId="5778E5C6" w14:textId="77777777" w:rsidR="00B72AB2" w:rsidRPr="000D728A" w:rsidRDefault="00B72AB2" w:rsidP="00B72AB2">
      <w:pPr>
        <w:rPr>
          <w:rFonts w:cs="Arial"/>
        </w:rPr>
      </w:pPr>
      <w:r w:rsidRPr="000D728A">
        <w:rPr>
          <w:rFonts w:cs="Arial"/>
        </w:rPr>
        <w:t>Self-reported health is measured on a scale of 1 ('very poor') to 5 ('excellent') and we form a binary variable that takes on 1 if self-reported health = 4 or 5, and 0 otherwise. This is run using a logit model and the marginal percentage effects are calculated at the sample mean value for the other covariates.</w:t>
      </w:r>
    </w:p>
    <w:p w14:paraId="5778E5C7" w14:textId="77777777" w:rsidR="00B72AB2" w:rsidRPr="000D728A" w:rsidRDefault="00B72AB2" w:rsidP="00B72AB2">
      <w:pPr>
        <w:rPr>
          <w:rFonts w:cs="Arial"/>
        </w:rPr>
      </w:pPr>
    </w:p>
    <w:p w14:paraId="5778E5C8" w14:textId="77777777" w:rsidR="00B72AB2" w:rsidRPr="000D728A" w:rsidRDefault="00B72AB2" w:rsidP="00B72AB2">
      <w:pPr>
        <w:rPr>
          <w:rFonts w:cs="Arial"/>
        </w:rPr>
      </w:pPr>
      <w:r w:rsidRPr="000D728A">
        <w:rPr>
          <w:rFonts w:cs="Arial"/>
        </w:rPr>
        <w:t>GHQ measures 12 aspects of mental and physical health. GHQ36 is an aggregate measure of health based on the responses to these 12 questions, where 36 = worst possible health state and 0 = no health problems. This model is run using OLS.</w:t>
      </w:r>
    </w:p>
    <w:p w14:paraId="5778E5C9" w14:textId="77777777" w:rsidR="00B72AB2" w:rsidRPr="000D728A" w:rsidRDefault="00B72AB2" w:rsidP="00B72AB2">
      <w:pPr>
        <w:rPr>
          <w:rFonts w:cs="Arial"/>
        </w:rPr>
      </w:pPr>
    </w:p>
    <w:p w14:paraId="5778E5CA" w14:textId="77777777" w:rsidR="00B72AB2" w:rsidRPr="000D728A" w:rsidRDefault="00B72AB2" w:rsidP="00B72AB2">
      <w:pPr>
        <w:rPr>
          <w:rFonts w:cs="Arial"/>
        </w:rPr>
      </w:pPr>
      <w:r w:rsidRPr="000D728A">
        <w:rPr>
          <w:rFonts w:cs="Arial"/>
        </w:rPr>
        <w:t>Based on the literature review, in both models we control for age, education household income, gender, employment status, marital status, fruit and vegetables consumption, smoker, alcohol consumption, social relations, housing and region.</w:t>
      </w:r>
    </w:p>
    <w:p w14:paraId="5778E5CB" w14:textId="77777777" w:rsidR="00B72AB2" w:rsidRPr="000D728A" w:rsidRDefault="00B72AB2" w:rsidP="00B72AB2">
      <w:pPr>
        <w:rPr>
          <w:rFonts w:cs="Arial"/>
          <w:b/>
        </w:rPr>
      </w:pPr>
    </w:p>
    <w:p w14:paraId="5778E5CC" w14:textId="77777777" w:rsidR="00B72AB2" w:rsidRPr="000D728A" w:rsidRDefault="00B72AB2" w:rsidP="00B72AB2">
      <w:pPr>
        <w:rPr>
          <w:rFonts w:cs="Arial"/>
          <w:b/>
          <w:sz w:val="28"/>
        </w:rPr>
      </w:pPr>
      <w:r w:rsidRPr="000D728A">
        <w:rPr>
          <w:rFonts w:cs="Arial"/>
          <w:b/>
          <w:sz w:val="28"/>
        </w:rPr>
        <w:t>B.2. Education model</w:t>
      </w:r>
    </w:p>
    <w:p w14:paraId="5778E5CD" w14:textId="77777777" w:rsidR="00B72AB2" w:rsidRPr="000D728A" w:rsidRDefault="00B72AB2" w:rsidP="00B72AB2">
      <w:pPr>
        <w:rPr>
          <w:rFonts w:cs="Arial"/>
          <w:b/>
        </w:rPr>
      </w:pPr>
    </w:p>
    <w:p w14:paraId="5778E5CE" w14:textId="77777777" w:rsidR="00B72AB2" w:rsidRPr="000D728A" w:rsidRDefault="00B72AB2" w:rsidP="00B72AB2">
      <w:pPr>
        <w:rPr>
          <w:rFonts w:cs="Arial"/>
        </w:rPr>
      </w:pPr>
      <w:r w:rsidRPr="000D728A">
        <w:rPr>
          <w:rFonts w:cs="Arial"/>
          <w:b/>
        </w:rPr>
        <w:t>We look at the likelihood of 16-18 year olds stating that they will go on to further education (university or college-level).</w:t>
      </w:r>
      <w:r w:rsidRPr="000D728A">
        <w:rPr>
          <w:rFonts w:cs="Arial"/>
        </w:rPr>
        <w:t xml:space="preserve"> This is reported on a five-point scale. We drop the response 'depends' (only 1% of the sample) and create a dummy variable for the likelihood of entering further education that = 1 if respondent says 'very likely' and 0 = otherwise. The model is run using a logit model and the marginal percentage effects are calculated at the sample mean value for the other covariates.  Based on the literature reviews we control for household income, previous education, gender, age and region.</w:t>
      </w:r>
    </w:p>
    <w:p w14:paraId="5778E5CF" w14:textId="77777777" w:rsidR="00B72AB2" w:rsidRPr="000D728A" w:rsidRDefault="00B72AB2" w:rsidP="00B72AB2">
      <w:pPr>
        <w:rPr>
          <w:rFonts w:cs="Arial"/>
          <w:b/>
        </w:rPr>
      </w:pPr>
    </w:p>
    <w:p w14:paraId="5778E5D0" w14:textId="77777777" w:rsidR="00B72AB2" w:rsidRPr="000D728A" w:rsidRDefault="00B72AB2" w:rsidP="00B72AB2">
      <w:pPr>
        <w:rPr>
          <w:rFonts w:cs="Arial"/>
          <w:b/>
          <w:sz w:val="28"/>
        </w:rPr>
      </w:pPr>
      <w:r w:rsidRPr="000D728A">
        <w:rPr>
          <w:rFonts w:cs="Arial"/>
          <w:b/>
          <w:sz w:val="28"/>
        </w:rPr>
        <w:t>B.3. Employment and economic growth models</w:t>
      </w:r>
    </w:p>
    <w:p w14:paraId="5778E5D1" w14:textId="77777777" w:rsidR="00B72AB2" w:rsidRPr="000D728A" w:rsidRDefault="00B72AB2" w:rsidP="00B72AB2">
      <w:pPr>
        <w:rPr>
          <w:rFonts w:cs="Arial"/>
        </w:rPr>
      </w:pPr>
    </w:p>
    <w:p w14:paraId="5778E5D2" w14:textId="77777777" w:rsidR="00B72AB2" w:rsidRPr="000D728A" w:rsidRDefault="00B72AB2" w:rsidP="00B72AB2">
      <w:pPr>
        <w:rPr>
          <w:rFonts w:cs="Arial"/>
        </w:rPr>
      </w:pPr>
      <w:r w:rsidRPr="000D728A">
        <w:rPr>
          <w:rFonts w:cs="Arial"/>
        </w:rPr>
        <w:t xml:space="preserve">There are two outcomes studied in the employment and economic growth models, one for people who are employed and the other for people who are unemployed. </w:t>
      </w:r>
    </w:p>
    <w:p w14:paraId="5778E5D3" w14:textId="77777777" w:rsidR="00B72AB2" w:rsidRPr="000D728A" w:rsidRDefault="00B72AB2" w:rsidP="00B72AB2">
      <w:pPr>
        <w:rPr>
          <w:rFonts w:cs="Arial"/>
        </w:rPr>
      </w:pPr>
    </w:p>
    <w:p w14:paraId="5778E5D4" w14:textId="77777777" w:rsidR="00B72AB2" w:rsidRPr="000D728A" w:rsidRDefault="00B72AB2" w:rsidP="00B72AB2">
      <w:pPr>
        <w:rPr>
          <w:rFonts w:cs="Arial"/>
        </w:rPr>
      </w:pPr>
      <w:r w:rsidRPr="000D728A">
        <w:rPr>
          <w:rFonts w:cs="Arial"/>
          <w:b/>
        </w:rPr>
        <w:t>For the employed, we look at how satisfied they are with their jobs.</w:t>
      </w:r>
      <w:r w:rsidRPr="000D728A">
        <w:rPr>
          <w:rFonts w:cs="Arial"/>
        </w:rPr>
        <w:t xml:space="preserve"> Job satisfaction is reported on a seven-point scale with 1 being completely dissatisfied and 7 being completely satisfied. We treat the ordinal responses as ratio/interval and run a multiple linear regression using OLS. There are a number of control variables based on the literature review of employment and economic growth, as well as a literature review of papers on job satisfaction (not reported here). We control household income (in logs to correct for heteroskedasticity of the residuals of income), age, region, social class, marital status, health (GHQ 36), education, number of </w:t>
      </w:r>
      <w:r w:rsidRPr="000D728A">
        <w:rPr>
          <w:rFonts w:cs="Arial"/>
        </w:rPr>
        <w:lastRenderedPageBreak/>
        <w:t xml:space="preserve">children, number of hours normally worked per week, type of job (temporary or permanent), managerial responsibilities at work, number of employees at the workplace, physicality of the job, the autonomy one has over job tasks, job security and distance of work commute. </w:t>
      </w:r>
    </w:p>
    <w:p w14:paraId="5778E5D5" w14:textId="77777777" w:rsidR="00B72AB2" w:rsidRPr="000D728A" w:rsidRDefault="00B72AB2" w:rsidP="00B72AB2">
      <w:pPr>
        <w:rPr>
          <w:rFonts w:cs="Arial"/>
        </w:rPr>
      </w:pPr>
    </w:p>
    <w:p w14:paraId="5778E5D6" w14:textId="77777777" w:rsidR="00B72AB2" w:rsidRPr="000D728A" w:rsidRDefault="00B72AB2" w:rsidP="00B72AB2">
      <w:pPr>
        <w:rPr>
          <w:rFonts w:cs="Arial"/>
        </w:rPr>
      </w:pPr>
      <w:r w:rsidRPr="000D728A">
        <w:rPr>
          <w:rFonts w:cs="Arial"/>
          <w:b/>
        </w:rPr>
        <w:t>For people who are unemployed, we look at the likelihood that they have looked for work in the last four weeks.</w:t>
      </w:r>
      <w:r w:rsidRPr="000D728A">
        <w:rPr>
          <w:rFonts w:cs="Arial"/>
        </w:rPr>
        <w:t xml:space="preserve"> This is a binary variable, where 0 = the respondent reports that they have not looked for work and 1 = they have. This is run as a logit model and the marginal percentage effects are calculated at the sample mean for the other covariates. Control variables were selected based on the literature review of employment and economic growth, as well as a literature review on job search behaviour (not reported here). These were household income, the number of unemployment spells the respondent had experienced since the last interview, whether or not they receive unemployment benefits, the percentage of people who are also unemployed in the respondent’s government office region, gender, age, geographic region, marital status, health (GHQ36), education and number of children.</w:t>
      </w:r>
    </w:p>
    <w:p w14:paraId="5778E5D7" w14:textId="77777777" w:rsidR="00B72AB2" w:rsidRPr="000D728A" w:rsidRDefault="00B72AB2" w:rsidP="00B72AB2">
      <w:pPr>
        <w:rPr>
          <w:rFonts w:cs="Arial"/>
        </w:rPr>
      </w:pPr>
    </w:p>
    <w:p w14:paraId="5778E5D8" w14:textId="77777777" w:rsidR="00B72AB2" w:rsidRPr="000D728A" w:rsidRDefault="00B72AB2" w:rsidP="00B72AB2">
      <w:pPr>
        <w:rPr>
          <w:rFonts w:cs="Arial"/>
          <w:b/>
          <w:sz w:val="28"/>
        </w:rPr>
      </w:pPr>
      <w:r w:rsidRPr="000D728A">
        <w:rPr>
          <w:rFonts w:cs="Arial"/>
          <w:b/>
          <w:sz w:val="28"/>
        </w:rPr>
        <w:t>B.4. Civic participation models</w:t>
      </w:r>
    </w:p>
    <w:p w14:paraId="5778E5D9" w14:textId="77777777" w:rsidR="00B72AB2" w:rsidRPr="000D728A" w:rsidRDefault="00B72AB2" w:rsidP="00B72AB2">
      <w:pPr>
        <w:rPr>
          <w:rFonts w:cs="Arial"/>
          <w:b/>
        </w:rPr>
      </w:pPr>
    </w:p>
    <w:p w14:paraId="5778E5DA" w14:textId="77777777" w:rsidR="00B72AB2" w:rsidRPr="000D728A" w:rsidRDefault="00B72AB2" w:rsidP="00B72AB2">
      <w:pPr>
        <w:rPr>
          <w:rFonts w:cs="Arial"/>
        </w:rPr>
      </w:pPr>
      <w:r w:rsidRPr="000D728A">
        <w:rPr>
          <w:rFonts w:cs="Arial"/>
          <w:b/>
        </w:rPr>
        <w:t>There were two outcomes in the civic participation models: volunteering and charitable giving.</w:t>
      </w:r>
      <w:r w:rsidRPr="000D728A">
        <w:rPr>
          <w:rFonts w:cs="Arial"/>
        </w:rPr>
        <w:t xml:space="preserve"> In the volunteering model, we look at the likelihood of frequently volunteering in the last 12 months, with ‘frequently’ defined as once a fortnight or more. Frequently volunteering is a binary variable where 1 = frequently volunteers and 0 = does not frequently volunteer. This is run as a logit model and the marginal percentage effects are calculated at the sample mean for the other covariates. The control variables were selected based on the literature review and are household income, education, employment status, whether or not the respondent owns their own home, savings, gender, age, region, marital status, number of children and number of rooms in the house.</w:t>
      </w:r>
    </w:p>
    <w:p w14:paraId="5778E5DB" w14:textId="77777777" w:rsidR="00B72AB2" w:rsidRPr="000D728A" w:rsidRDefault="00B72AB2" w:rsidP="00B72AB2">
      <w:pPr>
        <w:rPr>
          <w:rFonts w:cs="Arial"/>
        </w:rPr>
      </w:pPr>
    </w:p>
    <w:p w14:paraId="5778E5DC" w14:textId="77777777" w:rsidR="00B72AB2" w:rsidRPr="000D728A" w:rsidRDefault="00B72AB2" w:rsidP="00B72AB2">
      <w:pPr>
        <w:rPr>
          <w:rFonts w:cs="Arial"/>
        </w:rPr>
      </w:pPr>
      <w:r w:rsidRPr="000D728A">
        <w:rPr>
          <w:rFonts w:cs="Arial"/>
        </w:rPr>
        <w:t>For the charitable giving model, we look at amount of money (UK pounds sterling) donated to charity in the last year. This is run as OLS. The control variables were selected based on the literature review and are income, education, employment status, whether or not the respondent owns their own home, savings, gender, age, region, marital status, number of children in the household and number of rooms in the house.</w:t>
      </w:r>
    </w:p>
    <w:p w14:paraId="5778E5DD" w14:textId="77777777" w:rsidR="00B72AB2" w:rsidRPr="000D728A" w:rsidRDefault="00B72AB2" w:rsidP="00B72AB2">
      <w:pPr>
        <w:rPr>
          <w:rFonts w:cs="Arial"/>
          <w:b/>
        </w:rPr>
      </w:pPr>
    </w:p>
    <w:p w14:paraId="6E603978" w14:textId="77777777" w:rsidR="00C244CD" w:rsidRDefault="00C244CD">
      <w:pPr>
        <w:spacing w:before="0"/>
        <w:ind w:left="0"/>
        <w:rPr>
          <w:rFonts w:cs="Arial"/>
          <w:b/>
        </w:rPr>
      </w:pPr>
      <w:r>
        <w:rPr>
          <w:rFonts w:cs="Arial"/>
          <w:b/>
        </w:rPr>
        <w:br w:type="page"/>
      </w:r>
    </w:p>
    <w:p w14:paraId="5778E5DE" w14:textId="123DF803" w:rsidR="002669C5" w:rsidRPr="000D728A" w:rsidRDefault="000C3F5E" w:rsidP="00B72AB2">
      <w:pPr>
        <w:rPr>
          <w:rFonts w:cs="Arial"/>
          <w:b/>
        </w:rPr>
      </w:pPr>
      <w:r w:rsidRPr="000D728A">
        <w:rPr>
          <w:rFonts w:cs="Arial"/>
          <w:b/>
        </w:rPr>
        <w:lastRenderedPageBreak/>
        <w:t>Distributional analysis</w:t>
      </w:r>
    </w:p>
    <w:p w14:paraId="5778E5DF" w14:textId="77777777" w:rsidR="000C3F5E" w:rsidRPr="000D728A" w:rsidRDefault="00C22F61" w:rsidP="00A26019">
      <w:pPr>
        <w:rPr>
          <w:rFonts w:cs="Arial"/>
        </w:rPr>
      </w:pPr>
      <w:r w:rsidRPr="000D728A">
        <w:rPr>
          <w:rFonts w:cs="Arial"/>
        </w:rPr>
        <w:t>We assess whether the impacts differ across different population groups</w:t>
      </w:r>
      <w:r w:rsidRPr="000D728A">
        <w:rPr>
          <w:rStyle w:val="FootnoteReference"/>
          <w:rFonts w:cs="Arial"/>
        </w:rPr>
        <w:footnoteReference w:id="1"/>
      </w:r>
      <w:r w:rsidRPr="000D728A">
        <w:rPr>
          <w:rFonts w:cs="Arial"/>
        </w:rPr>
        <w:t xml:space="preserve"> - for example whether the positive impact of sports is larger for men or women or for younger age groups. The large sample size in Understanding Society allows us to test whether impacts differ. We look at whether there are heterogenous impacts of culture and sports by (i) gender; (ii) age; (iii) income level and (iv) region by interacting these variables with culture and sports. In order to balance samples in each group we set these demographic and socio-economic variables as binary variables determined by the sample median value as follows:</w:t>
      </w:r>
    </w:p>
    <w:p w14:paraId="5778E5E0" w14:textId="77777777" w:rsidR="000C3F5E" w:rsidRPr="000D728A" w:rsidRDefault="000C3F5E" w:rsidP="00A26019">
      <w:pPr>
        <w:rPr>
          <w:rFonts w:cs="Arial"/>
        </w:rPr>
      </w:pPr>
    </w:p>
    <w:p w14:paraId="5778E5E1" w14:textId="77777777" w:rsidR="000C3F5E" w:rsidRPr="000D728A" w:rsidRDefault="000C3F5E" w:rsidP="00A26019">
      <w:pPr>
        <w:pStyle w:val="ListParagraph"/>
        <w:numPr>
          <w:ilvl w:val="0"/>
          <w:numId w:val="48"/>
        </w:numPr>
        <w:rPr>
          <w:rFonts w:ascii="Arial" w:hAnsi="Arial" w:cs="Arial"/>
        </w:rPr>
      </w:pPr>
      <w:r w:rsidRPr="000D728A">
        <w:rPr>
          <w:rFonts w:ascii="Arial" w:hAnsi="Arial" w:cs="Arial"/>
        </w:rPr>
        <w:t>Gender = male/female</w:t>
      </w:r>
    </w:p>
    <w:p w14:paraId="5778E5E2" w14:textId="77777777" w:rsidR="000C3F5E" w:rsidRPr="000D728A" w:rsidRDefault="000C3F5E" w:rsidP="00A26019">
      <w:pPr>
        <w:pStyle w:val="ListParagraph"/>
        <w:numPr>
          <w:ilvl w:val="0"/>
          <w:numId w:val="48"/>
        </w:numPr>
        <w:rPr>
          <w:rFonts w:ascii="Arial" w:hAnsi="Arial" w:cs="Arial"/>
        </w:rPr>
      </w:pPr>
      <w:r w:rsidRPr="000D728A">
        <w:rPr>
          <w:rFonts w:ascii="Arial" w:hAnsi="Arial" w:cs="Arial"/>
        </w:rPr>
        <w:t>Age = &gt;46/&lt;47 (we split age around the median sample age of 46.6 years)</w:t>
      </w:r>
    </w:p>
    <w:p w14:paraId="5778E5E3" w14:textId="77777777" w:rsidR="000C3F5E" w:rsidRPr="000D728A" w:rsidRDefault="000C3F5E" w:rsidP="00A26019">
      <w:pPr>
        <w:pStyle w:val="ListParagraph"/>
        <w:numPr>
          <w:ilvl w:val="0"/>
          <w:numId w:val="48"/>
        </w:numPr>
        <w:rPr>
          <w:rFonts w:ascii="Arial" w:hAnsi="Arial" w:cs="Arial"/>
        </w:rPr>
      </w:pPr>
      <w:r w:rsidRPr="000D728A">
        <w:rPr>
          <w:rFonts w:ascii="Arial" w:hAnsi="Arial" w:cs="Arial"/>
        </w:rPr>
        <w:t>Income group = &gt;£2,868 gross household income pm/&lt;£2,868 gross household income pm. This is a bit higher than the national average in 2010/2011 which was £2,425 (Office for National Statistics, 2013)</w:t>
      </w:r>
    </w:p>
    <w:p w14:paraId="5778E5E4" w14:textId="77777777" w:rsidR="000C3F5E" w:rsidRPr="000D728A" w:rsidRDefault="000C3F5E" w:rsidP="00A26019">
      <w:pPr>
        <w:pStyle w:val="ListParagraph"/>
        <w:numPr>
          <w:ilvl w:val="0"/>
          <w:numId w:val="48"/>
        </w:numPr>
        <w:rPr>
          <w:rFonts w:ascii="Arial" w:hAnsi="Arial" w:cs="Arial"/>
        </w:rPr>
      </w:pPr>
      <w:r w:rsidRPr="000D728A">
        <w:rPr>
          <w:rFonts w:ascii="Arial" w:hAnsi="Arial" w:cs="Arial"/>
        </w:rPr>
        <w:t>Region = London/not London</w:t>
      </w:r>
    </w:p>
    <w:p w14:paraId="5778E5E5" w14:textId="77777777" w:rsidR="00C22F61" w:rsidRPr="000D728A" w:rsidRDefault="00C22F61" w:rsidP="00B72AB2">
      <w:pPr>
        <w:rPr>
          <w:rFonts w:cs="Arial"/>
        </w:rPr>
      </w:pPr>
    </w:p>
    <w:p w14:paraId="5778E5E6" w14:textId="77777777" w:rsidR="00B72AB2" w:rsidRPr="000D728A" w:rsidRDefault="00B72AB2" w:rsidP="00B72AB2">
      <w:pPr>
        <w:rPr>
          <w:rFonts w:cs="Arial"/>
        </w:rPr>
      </w:pPr>
    </w:p>
    <w:p w14:paraId="5778E5E7" w14:textId="77777777" w:rsidR="000B1FC6" w:rsidRPr="000D728A" w:rsidRDefault="000B1FC6">
      <w:pPr>
        <w:spacing w:before="0"/>
        <w:ind w:left="0"/>
        <w:rPr>
          <w:rFonts w:cs="Arial"/>
        </w:rPr>
      </w:pPr>
    </w:p>
    <w:p w14:paraId="5778E5E8" w14:textId="77777777" w:rsidR="000B1FC6" w:rsidRPr="000D728A" w:rsidRDefault="000B1FC6">
      <w:pPr>
        <w:spacing w:before="0"/>
        <w:ind w:left="0"/>
        <w:rPr>
          <w:rFonts w:cs="Arial"/>
        </w:rPr>
      </w:pPr>
    </w:p>
    <w:p w14:paraId="5778E5E9" w14:textId="77777777" w:rsidR="000B1FC6" w:rsidRPr="000D728A" w:rsidRDefault="003F4A6A" w:rsidP="000B1FC6">
      <w:pPr>
        <w:pStyle w:val="Heading1Numbered"/>
        <w:numPr>
          <w:ilvl w:val="0"/>
          <w:numId w:val="0"/>
        </w:numPr>
        <w:rPr>
          <w:rFonts w:cs="Arial"/>
        </w:rPr>
      </w:pPr>
      <w:bookmarkStart w:id="9" w:name="_Toc385423141"/>
      <w:r w:rsidRPr="000D728A">
        <w:rPr>
          <w:rFonts w:cs="Arial"/>
        </w:rPr>
        <w:lastRenderedPageBreak/>
        <w:t>Annex C: Full r</w:t>
      </w:r>
      <w:r w:rsidR="000B1FC6" w:rsidRPr="000D728A">
        <w:rPr>
          <w:rFonts w:cs="Arial"/>
        </w:rPr>
        <w:t>esults</w:t>
      </w:r>
      <w:bookmarkEnd w:id="9"/>
    </w:p>
    <w:p w14:paraId="5778E5EA" w14:textId="77777777" w:rsidR="00B72AB2" w:rsidRPr="000D728A" w:rsidRDefault="00B72AB2" w:rsidP="00B72AB2">
      <w:pPr>
        <w:rPr>
          <w:rFonts w:cs="Arial"/>
        </w:rPr>
      </w:pPr>
      <w:r w:rsidRPr="000D728A">
        <w:rPr>
          <w:rFonts w:cs="Arial"/>
        </w:rPr>
        <w:t>Here we present the main findings from the wider social measures models. There were 12 models per domain and so in total 84 regression models were estimated. The full results are available on request. Here in the tables below we show results for the culture and sports variables that are significant at the 5% level, but also discuss those that were close to significance too. We present the coefficient sizes, standard errors, sample sizes and R-Squared values for each model.</w:t>
      </w:r>
    </w:p>
    <w:p w14:paraId="5778E5EB" w14:textId="77777777" w:rsidR="00B72AB2" w:rsidRPr="000D728A" w:rsidRDefault="00B72AB2" w:rsidP="00B72AB2">
      <w:pPr>
        <w:rPr>
          <w:rFonts w:cs="Arial"/>
          <w:b/>
        </w:rPr>
      </w:pPr>
    </w:p>
    <w:p w14:paraId="5778E5ED" w14:textId="5B4C8298" w:rsidR="00B72AB2" w:rsidRPr="00C244CD" w:rsidRDefault="00B72AB2" w:rsidP="00C244CD">
      <w:pPr>
        <w:rPr>
          <w:rFonts w:cs="Arial"/>
          <w:b/>
          <w:sz w:val="28"/>
        </w:rPr>
      </w:pPr>
      <w:r w:rsidRPr="000D728A">
        <w:rPr>
          <w:rFonts w:cs="Arial"/>
          <w:b/>
          <w:sz w:val="28"/>
        </w:rPr>
        <w:t>C.1. Health models</w:t>
      </w:r>
    </w:p>
    <w:p w14:paraId="5778E5EE" w14:textId="77777777" w:rsidR="00B72AB2" w:rsidRPr="000D728A" w:rsidRDefault="00B72AB2" w:rsidP="00B72AB2">
      <w:pPr>
        <w:rPr>
          <w:rFonts w:cs="Arial"/>
          <w:b/>
        </w:rPr>
      </w:pPr>
      <w:r w:rsidRPr="000D728A">
        <w:rPr>
          <w:rFonts w:cs="Arial"/>
          <w:b/>
        </w:rPr>
        <w:t>C.1.1 Self-reported health</w:t>
      </w:r>
    </w:p>
    <w:p w14:paraId="5778E5EF" w14:textId="77777777" w:rsidR="00B72AB2" w:rsidRPr="000D728A" w:rsidRDefault="00B72AB2" w:rsidP="00B72AB2">
      <w:pPr>
        <w:rPr>
          <w:rFonts w:cs="Arial"/>
        </w:rPr>
      </w:pPr>
      <w:r w:rsidRPr="000D728A">
        <w:rPr>
          <w:rFonts w:cs="Arial"/>
        </w:rPr>
        <w:t>Table 8 presents the changes in odds-ratios and associated probability impacts for culture and sports variables on self-reported health that were statistically significant.</w:t>
      </w:r>
    </w:p>
    <w:p w14:paraId="5778E5F0" w14:textId="77777777" w:rsidR="00B72AB2" w:rsidRPr="000D728A" w:rsidRDefault="00B72AB2" w:rsidP="00B72AB2">
      <w:pPr>
        <w:rPr>
          <w:rFonts w:cs="Arial"/>
          <w:b/>
        </w:rPr>
      </w:pPr>
    </w:p>
    <w:p w14:paraId="5778E5F1" w14:textId="77777777" w:rsidR="00B72AB2" w:rsidRPr="000D728A" w:rsidRDefault="00B72AB2" w:rsidP="00B72AB2">
      <w:pPr>
        <w:rPr>
          <w:rFonts w:cs="Arial"/>
          <w:b/>
        </w:rPr>
      </w:pPr>
      <w:r w:rsidRPr="000D728A">
        <w:rPr>
          <w:rFonts w:cs="Arial"/>
          <w:b/>
        </w:rPr>
        <w:t>Table 8. Effects of culture and sport on self-reported health</w:t>
      </w:r>
    </w:p>
    <w:tbl>
      <w:tblPr>
        <w:tblW w:w="9086" w:type="dxa"/>
        <w:tblInd w:w="821" w:type="dxa"/>
        <w:tblLook w:val="04A0" w:firstRow="1" w:lastRow="0" w:firstColumn="1" w:lastColumn="0" w:noHBand="0" w:noVBand="1"/>
      </w:tblPr>
      <w:tblGrid>
        <w:gridCol w:w="2860"/>
        <w:gridCol w:w="1206"/>
        <w:gridCol w:w="1800"/>
        <w:gridCol w:w="960"/>
        <w:gridCol w:w="1200"/>
        <w:gridCol w:w="1060"/>
      </w:tblGrid>
      <w:tr w:rsidR="00D67C9B" w:rsidRPr="000D728A" w14:paraId="5778E5F8" w14:textId="77777777" w:rsidTr="00F95388">
        <w:trPr>
          <w:trHeight w:val="315"/>
        </w:trPr>
        <w:tc>
          <w:tcPr>
            <w:tcW w:w="2860" w:type="dxa"/>
            <w:tcBorders>
              <w:top w:val="single" w:sz="8" w:space="0" w:color="auto"/>
              <w:left w:val="single" w:sz="8" w:space="0" w:color="auto"/>
              <w:bottom w:val="double" w:sz="6" w:space="0" w:color="auto"/>
              <w:right w:val="nil"/>
            </w:tcBorders>
            <w:shd w:val="clear" w:color="000000" w:fill="0070C0"/>
            <w:noWrap/>
            <w:vAlign w:val="bottom"/>
            <w:hideMark/>
          </w:tcPr>
          <w:p w14:paraId="5778E5F2" w14:textId="77777777" w:rsidR="00D67C9B" w:rsidRPr="000D728A" w:rsidRDefault="00D67C9B" w:rsidP="00D67C9B">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Model &amp; variables</w:t>
            </w:r>
          </w:p>
        </w:tc>
        <w:tc>
          <w:tcPr>
            <w:tcW w:w="1206" w:type="dxa"/>
            <w:tcBorders>
              <w:top w:val="single" w:sz="8" w:space="0" w:color="auto"/>
              <w:left w:val="single" w:sz="4" w:space="0" w:color="auto"/>
              <w:bottom w:val="double" w:sz="6" w:space="0" w:color="auto"/>
              <w:right w:val="single" w:sz="4" w:space="0" w:color="auto"/>
            </w:tcBorders>
            <w:shd w:val="clear" w:color="000000" w:fill="0070C0"/>
            <w:noWrap/>
            <w:vAlign w:val="bottom"/>
            <w:hideMark/>
          </w:tcPr>
          <w:p w14:paraId="5778E5F3" w14:textId="77777777" w:rsidR="00D67C9B" w:rsidRPr="000D728A" w:rsidRDefault="00D67C9B" w:rsidP="00D67C9B">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Coefficient</w:t>
            </w:r>
          </w:p>
        </w:tc>
        <w:tc>
          <w:tcPr>
            <w:tcW w:w="1800" w:type="dxa"/>
            <w:tcBorders>
              <w:top w:val="single" w:sz="8" w:space="0" w:color="auto"/>
              <w:left w:val="nil"/>
              <w:bottom w:val="double" w:sz="6" w:space="0" w:color="auto"/>
              <w:right w:val="nil"/>
            </w:tcBorders>
            <w:shd w:val="clear" w:color="000000" w:fill="0070C0"/>
            <w:noWrap/>
            <w:vAlign w:val="bottom"/>
            <w:hideMark/>
          </w:tcPr>
          <w:p w14:paraId="5778E5F4" w14:textId="77777777" w:rsidR="00D67C9B" w:rsidRPr="000D728A" w:rsidRDefault="00D67C9B" w:rsidP="00D67C9B">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Probability impact</w:t>
            </w:r>
          </w:p>
        </w:tc>
        <w:tc>
          <w:tcPr>
            <w:tcW w:w="960" w:type="dxa"/>
            <w:tcBorders>
              <w:top w:val="single" w:sz="8" w:space="0" w:color="auto"/>
              <w:left w:val="single" w:sz="4" w:space="0" w:color="auto"/>
              <w:bottom w:val="double" w:sz="6" w:space="0" w:color="auto"/>
              <w:right w:val="single" w:sz="4" w:space="0" w:color="auto"/>
            </w:tcBorders>
            <w:shd w:val="clear" w:color="000000" w:fill="0070C0"/>
            <w:noWrap/>
            <w:vAlign w:val="bottom"/>
            <w:hideMark/>
          </w:tcPr>
          <w:p w14:paraId="5778E5F5" w14:textId="77777777" w:rsidR="00D67C9B" w:rsidRPr="000D728A" w:rsidRDefault="00D67C9B" w:rsidP="00D67C9B">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S.E.</w:t>
            </w:r>
          </w:p>
        </w:tc>
        <w:tc>
          <w:tcPr>
            <w:tcW w:w="1200" w:type="dxa"/>
            <w:tcBorders>
              <w:top w:val="single" w:sz="8" w:space="0" w:color="auto"/>
              <w:left w:val="nil"/>
              <w:bottom w:val="double" w:sz="6" w:space="0" w:color="auto"/>
              <w:right w:val="single" w:sz="4" w:space="0" w:color="auto"/>
            </w:tcBorders>
            <w:shd w:val="clear" w:color="000000" w:fill="0070C0"/>
            <w:noWrap/>
            <w:vAlign w:val="bottom"/>
            <w:hideMark/>
          </w:tcPr>
          <w:p w14:paraId="5778E5F6" w14:textId="77777777" w:rsidR="00D67C9B" w:rsidRPr="000D728A" w:rsidRDefault="00D67C9B" w:rsidP="00D67C9B">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Sample size</w:t>
            </w:r>
          </w:p>
        </w:tc>
        <w:tc>
          <w:tcPr>
            <w:tcW w:w="1060" w:type="dxa"/>
            <w:tcBorders>
              <w:top w:val="single" w:sz="8" w:space="0" w:color="auto"/>
              <w:left w:val="nil"/>
              <w:bottom w:val="double" w:sz="6" w:space="0" w:color="auto"/>
              <w:right w:val="single" w:sz="8" w:space="0" w:color="auto"/>
            </w:tcBorders>
            <w:shd w:val="clear" w:color="000000" w:fill="0070C0"/>
            <w:noWrap/>
            <w:vAlign w:val="bottom"/>
            <w:hideMark/>
          </w:tcPr>
          <w:p w14:paraId="5778E5F7" w14:textId="77777777" w:rsidR="00D67C9B" w:rsidRPr="000D728A" w:rsidRDefault="00D67C9B" w:rsidP="00D67C9B">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R-Squared</w:t>
            </w:r>
          </w:p>
        </w:tc>
      </w:tr>
      <w:tr w:rsidR="00D67C9B" w:rsidRPr="000D728A" w14:paraId="5778E5FF" w14:textId="77777777" w:rsidTr="00F95388">
        <w:trPr>
          <w:trHeight w:val="330"/>
        </w:trPr>
        <w:tc>
          <w:tcPr>
            <w:tcW w:w="2860" w:type="dxa"/>
            <w:tcBorders>
              <w:top w:val="single" w:sz="4" w:space="0" w:color="auto"/>
              <w:left w:val="single" w:sz="8" w:space="0" w:color="auto"/>
              <w:bottom w:val="single" w:sz="4" w:space="0" w:color="auto"/>
              <w:right w:val="nil"/>
            </w:tcBorders>
            <w:shd w:val="clear" w:color="000000" w:fill="0070C0"/>
            <w:noWrap/>
            <w:vAlign w:val="bottom"/>
            <w:hideMark/>
          </w:tcPr>
          <w:p w14:paraId="5778E5F9" w14:textId="77777777" w:rsidR="00D67C9B" w:rsidRPr="000D728A" w:rsidRDefault="00D67C9B" w:rsidP="00D67C9B">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Sports</w:t>
            </w:r>
          </w:p>
        </w:tc>
        <w:tc>
          <w:tcPr>
            <w:tcW w:w="1206" w:type="dxa"/>
            <w:tcBorders>
              <w:top w:val="nil"/>
              <w:left w:val="single" w:sz="4" w:space="0" w:color="auto"/>
              <w:bottom w:val="nil"/>
              <w:right w:val="single" w:sz="4" w:space="0" w:color="auto"/>
            </w:tcBorders>
            <w:shd w:val="clear" w:color="000000" w:fill="0070C0"/>
            <w:noWrap/>
            <w:vAlign w:val="bottom"/>
            <w:hideMark/>
          </w:tcPr>
          <w:p w14:paraId="5778E5FA" w14:textId="77777777" w:rsidR="00D67C9B" w:rsidRPr="000D728A" w:rsidRDefault="00D67C9B" w:rsidP="00D67C9B">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 </w:t>
            </w:r>
          </w:p>
        </w:tc>
        <w:tc>
          <w:tcPr>
            <w:tcW w:w="1800" w:type="dxa"/>
            <w:tcBorders>
              <w:top w:val="nil"/>
              <w:left w:val="nil"/>
              <w:bottom w:val="nil"/>
              <w:right w:val="nil"/>
            </w:tcBorders>
            <w:shd w:val="clear" w:color="000000" w:fill="0070C0"/>
            <w:noWrap/>
            <w:vAlign w:val="bottom"/>
            <w:hideMark/>
          </w:tcPr>
          <w:p w14:paraId="5778E5FB" w14:textId="77777777" w:rsidR="00D67C9B" w:rsidRPr="000D728A" w:rsidRDefault="00D67C9B" w:rsidP="00D67C9B">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 </w:t>
            </w:r>
          </w:p>
        </w:tc>
        <w:tc>
          <w:tcPr>
            <w:tcW w:w="960" w:type="dxa"/>
            <w:tcBorders>
              <w:top w:val="nil"/>
              <w:left w:val="single" w:sz="4" w:space="0" w:color="auto"/>
              <w:bottom w:val="nil"/>
              <w:right w:val="single" w:sz="4" w:space="0" w:color="auto"/>
            </w:tcBorders>
            <w:shd w:val="clear" w:color="000000" w:fill="0070C0"/>
            <w:noWrap/>
            <w:vAlign w:val="bottom"/>
            <w:hideMark/>
          </w:tcPr>
          <w:p w14:paraId="5778E5FC" w14:textId="77777777" w:rsidR="00D67C9B" w:rsidRPr="000D728A" w:rsidRDefault="00D67C9B" w:rsidP="00D67C9B">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 </w:t>
            </w:r>
          </w:p>
        </w:tc>
        <w:tc>
          <w:tcPr>
            <w:tcW w:w="1200" w:type="dxa"/>
            <w:tcBorders>
              <w:top w:val="nil"/>
              <w:left w:val="nil"/>
              <w:bottom w:val="nil"/>
              <w:right w:val="single" w:sz="4" w:space="0" w:color="auto"/>
            </w:tcBorders>
            <w:shd w:val="clear" w:color="000000" w:fill="0070C0"/>
            <w:noWrap/>
            <w:vAlign w:val="bottom"/>
            <w:hideMark/>
          </w:tcPr>
          <w:p w14:paraId="5778E5FD" w14:textId="77777777" w:rsidR="00D67C9B" w:rsidRPr="000D728A" w:rsidRDefault="00D67C9B" w:rsidP="00D67C9B">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 </w:t>
            </w:r>
          </w:p>
        </w:tc>
        <w:tc>
          <w:tcPr>
            <w:tcW w:w="1060" w:type="dxa"/>
            <w:tcBorders>
              <w:top w:val="nil"/>
              <w:left w:val="nil"/>
              <w:bottom w:val="nil"/>
              <w:right w:val="single" w:sz="8" w:space="0" w:color="auto"/>
            </w:tcBorders>
            <w:shd w:val="clear" w:color="000000" w:fill="0070C0"/>
            <w:noWrap/>
            <w:vAlign w:val="bottom"/>
            <w:hideMark/>
          </w:tcPr>
          <w:p w14:paraId="5778E5FE" w14:textId="77777777" w:rsidR="00D67C9B" w:rsidRPr="000D728A" w:rsidRDefault="00D67C9B" w:rsidP="00D67C9B">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 </w:t>
            </w:r>
          </w:p>
        </w:tc>
      </w:tr>
      <w:tr w:rsidR="00D67C9B" w:rsidRPr="000D728A" w14:paraId="5778E606" w14:textId="77777777" w:rsidTr="00F95388">
        <w:trPr>
          <w:trHeight w:val="315"/>
        </w:trPr>
        <w:tc>
          <w:tcPr>
            <w:tcW w:w="2860" w:type="dxa"/>
            <w:tcBorders>
              <w:top w:val="nil"/>
              <w:left w:val="single" w:sz="8" w:space="0" w:color="auto"/>
              <w:bottom w:val="nil"/>
              <w:right w:val="nil"/>
            </w:tcBorders>
            <w:shd w:val="clear" w:color="auto" w:fill="auto"/>
            <w:noWrap/>
            <w:vAlign w:val="bottom"/>
            <w:hideMark/>
          </w:tcPr>
          <w:p w14:paraId="5778E600" w14:textId="77777777" w:rsidR="00D67C9B" w:rsidRPr="000D728A" w:rsidRDefault="00D67C9B" w:rsidP="00D67C9B">
            <w:pPr>
              <w:spacing w:before="0"/>
              <w:ind w:left="0"/>
              <w:rPr>
                <w:rFonts w:ascii="Calibri" w:hAnsi="Calibri" w:cs="Calibri"/>
                <w:i/>
                <w:iCs/>
                <w:sz w:val="22"/>
                <w:szCs w:val="22"/>
              </w:rPr>
            </w:pPr>
            <w:r w:rsidRPr="000D728A">
              <w:rPr>
                <w:rFonts w:ascii="Calibri" w:hAnsi="Calibri" w:cs="Calibri"/>
                <w:i/>
                <w:iCs/>
                <w:sz w:val="22"/>
                <w:szCs w:val="22"/>
              </w:rPr>
              <w:t>All sports</w:t>
            </w:r>
          </w:p>
        </w:tc>
        <w:tc>
          <w:tcPr>
            <w:tcW w:w="1206" w:type="dxa"/>
            <w:tcBorders>
              <w:top w:val="double" w:sz="6" w:space="0" w:color="auto"/>
              <w:left w:val="single" w:sz="4" w:space="0" w:color="auto"/>
              <w:bottom w:val="nil"/>
              <w:right w:val="single" w:sz="4" w:space="0" w:color="auto"/>
            </w:tcBorders>
            <w:shd w:val="clear" w:color="auto" w:fill="auto"/>
            <w:noWrap/>
            <w:vAlign w:val="bottom"/>
            <w:hideMark/>
          </w:tcPr>
          <w:p w14:paraId="5778E601" w14:textId="77777777" w:rsidR="00D67C9B" w:rsidRPr="000D728A" w:rsidRDefault="00D67C9B" w:rsidP="00D67C9B">
            <w:pPr>
              <w:spacing w:before="0"/>
              <w:ind w:left="0"/>
              <w:rPr>
                <w:rFonts w:ascii="Calibri" w:hAnsi="Calibri" w:cs="Calibri"/>
                <w:sz w:val="22"/>
                <w:szCs w:val="22"/>
              </w:rPr>
            </w:pPr>
            <w:r w:rsidRPr="000D728A">
              <w:rPr>
                <w:rFonts w:ascii="Calibri" w:hAnsi="Calibri" w:cs="Calibri"/>
                <w:sz w:val="22"/>
                <w:szCs w:val="22"/>
              </w:rPr>
              <w:t>0.574***</w:t>
            </w:r>
          </w:p>
        </w:tc>
        <w:tc>
          <w:tcPr>
            <w:tcW w:w="1800" w:type="dxa"/>
            <w:tcBorders>
              <w:top w:val="nil"/>
              <w:left w:val="nil"/>
              <w:bottom w:val="nil"/>
              <w:right w:val="nil"/>
            </w:tcBorders>
            <w:shd w:val="clear" w:color="auto" w:fill="auto"/>
            <w:noWrap/>
            <w:vAlign w:val="bottom"/>
            <w:hideMark/>
          </w:tcPr>
          <w:p w14:paraId="5778E602"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14.1%</w:t>
            </w:r>
          </w:p>
        </w:tc>
        <w:tc>
          <w:tcPr>
            <w:tcW w:w="960" w:type="dxa"/>
            <w:tcBorders>
              <w:top w:val="nil"/>
              <w:left w:val="single" w:sz="4" w:space="0" w:color="auto"/>
              <w:bottom w:val="nil"/>
              <w:right w:val="nil"/>
            </w:tcBorders>
            <w:shd w:val="clear" w:color="auto" w:fill="auto"/>
            <w:noWrap/>
            <w:vAlign w:val="bottom"/>
            <w:hideMark/>
          </w:tcPr>
          <w:p w14:paraId="5778E603"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(0.042)</w:t>
            </w:r>
          </w:p>
        </w:tc>
        <w:tc>
          <w:tcPr>
            <w:tcW w:w="1200" w:type="dxa"/>
            <w:tcBorders>
              <w:top w:val="nil"/>
              <w:left w:val="single" w:sz="4" w:space="0" w:color="auto"/>
              <w:bottom w:val="nil"/>
              <w:right w:val="single" w:sz="4" w:space="0" w:color="auto"/>
            </w:tcBorders>
            <w:shd w:val="clear" w:color="auto" w:fill="auto"/>
            <w:noWrap/>
            <w:vAlign w:val="bottom"/>
            <w:hideMark/>
          </w:tcPr>
          <w:p w14:paraId="5778E604"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14710</w:t>
            </w:r>
          </w:p>
        </w:tc>
        <w:tc>
          <w:tcPr>
            <w:tcW w:w="1060" w:type="dxa"/>
            <w:tcBorders>
              <w:top w:val="nil"/>
              <w:left w:val="nil"/>
              <w:bottom w:val="nil"/>
              <w:right w:val="single" w:sz="8" w:space="0" w:color="auto"/>
            </w:tcBorders>
            <w:shd w:val="clear" w:color="auto" w:fill="auto"/>
            <w:noWrap/>
            <w:vAlign w:val="bottom"/>
            <w:hideMark/>
          </w:tcPr>
          <w:p w14:paraId="5778E605"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0.085</w:t>
            </w:r>
          </w:p>
        </w:tc>
      </w:tr>
      <w:tr w:rsidR="00D67C9B" w:rsidRPr="000D728A" w14:paraId="5778E60D" w14:textId="77777777" w:rsidTr="00F95388">
        <w:trPr>
          <w:trHeight w:val="300"/>
        </w:trPr>
        <w:tc>
          <w:tcPr>
            <w:tcW w:w="2860" w:type="dxa"/>
            <w:tcBorders>
              <w:top w:val="nil"/>
              <w:left w:val="single" w:sz="8" w:space="0" w:color="auto"/>
              <w:bottom w:val="nil"/>
              <w:right w:val="nil"/>
            </w:tcBorders>
            <w:shd w:val="clear" w:color="auto" w:fill="auto"/>
            <w:noWrap/>
            <w:vAlign w:val="bottom"/>
            <w:hideMark/>
          </w:tcPr>
          <w:p w14:paraId="5778E607" w14:textId="77777777" w:rsidR="00D67C9B" w:rsidRPr="000D728A" w:rsidRDefault="00D67C9B" w:rsidP="00D67C9B">
            <w:pPr>
              <w:spacing w:before="0"/>
              <w:ind w:left="0"/>
              <w:rPr>
                <w:rFonts w:ascii="Calibri" w:hAnsi="Calibri" w:cs="Calibri"/>
                <w:i/>
                <w:iCs/>
                <w:color w:val="000000"/>
                <w:sz w:val="22"/>
                <w:szCs w:val="22"/>
              </w:rPr>
            </w:pPr>
            <w:r w:rsidRPr="000D728A">
              <w:rPr>
                <w:rFonts w:ascii="Calibri" w:hAnsi="Calibri" w:cs="Calibri"/>
                <w:i/>
                <w:iCs/>
                <w:color w:val="000000"/>
                <w:sz w:val="22"/>
                <w:szCs w:val="22"/>
              </w:rPr>
              <w:t>Team sports</w:t>
            </w:r>
          </w:p>
        </w:tc>
        <w:tc>
          <w:tcPr>
            <w:tcW w:w="1206" w:type="dxa"/>
            <w:tcBorders>
              <w:top w:val="nil"/>
              <w:left w:val="single" w:sz="4" w:space="0" w:color="auto"/>
              <w:bottom w:val="nil"/>
              <w:right w:val="single" w:sz="4" w:space="0" w:color="auto"/>
            </w:tcBorders>
            <w:shd w:val="clear" w:color="auto" w:fill="auto"/>
            <w:noWrap/>
            <w:vAlign w:val="bottom"/>
            <w:hideMark/>
          </w:tcPr>
          <w:p w14:paraId="5778E608" w14:textId="77777777" w:rsidR="00D67C9B" w:rsidRPr="000D728A" w:rsidRDefault="00D67C9B" w:rsidP="00D67C9B">
            <w:pPr>
              <w:spacing w:before="0"/>
              <w:ind w:left="0"/>
              <w:rPr>
                <w:rFonts w:ascii="Calibri" w:hAnsi="Calibri" w:cs="Calibri"/>
                <w:sz w:val="22"/>
                <w:szCs w:val="22"/>
              </w:rPr>
            </w:pPr>
            <w:r w:rsidRPr="000D728A">
              <w:rPr>
                <w:rFonts w:ascii="Calibri" w:hAnsi="Calibri" w:cs="Calibri"/>
                <w:sz w:val="22"/>
                <w:szCs w:val="22"/>
              </w:rPr>
              <w:t>0.304***</w:t>
            </w:r>
          </w:p>
        </w:tc>
        <w:tc>
          <w:tcPr>
            <w:tcW w:w="1800" w:type="dxa"/>
            <w:tcBorders>
              <w:top w:val="nil"/>
              <w:left w:val="nil"/>
              <w:bottom w:val="nil"/>
              <w:right w:val="nil"/>
            </w:tcBorders>
            <w:shd w:val="clear" w:color="auto" w:fill="auto"/>
            <w:noWrap/>
            <w:vAlign w:val="bottom"/>
            <w:hideMark/>
          </w:tcPr>
          <w:p w14:paraId="5778E609"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7.6%</w:t>
            </w:r>
          </w:p>
        </w:tc>
        <w:tc>
          <w:tcPr>
            <w:tcW w:w="960" w:type="dxa"/>
            <w:tcBorders>
              <w:top w:val="nil"/>
              <w:left w:val="single" w:sz="4" w:space="0" w:color="auto"/>
              <w:bottom w:val="nil"/>
              <w:right w:val="single" w:sz="4" w:space="0" w:color="auto"/>
            </w:tcBorders>
            <w:shd w:val="clear" w:color="auto" w:fill="auto"/>
            <w:noWrap/>
            <w:vAlign w:val="bottom"/>
            <w:hideMark/>
          </w:tcPr>
          <w:p w14:paraId="5778E60A"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(0.049)</w:t>
            </w:r>
          </w:p>
        </w:tc>
        <w:tc>
          <w:tcPr>
            <w:tcW w:w="1200" w:type="dxa"/>
            <w:tcBorders>
              <w:top w:val="nil"/>
              <w:left w:val="nil"/>
              <w:bottom w:val="nil"/>
              <w:right w:val="single" w:sz="4" w:space="0" w:color="auto"/>
            </w:tcBorders>
            <w:shd w:val="clear" w:color="auto" w:fill="auto"/>
            <w:noWrap/>
            <w:vAlign w:val="bottom"/>
            <w:hideMark/>
          </w:tcPr>
          <w:p w14:paraId="5778E60B"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14710</w:t>
            </w:r>
          </w:p>
        </w:tc>
        <w:tc>
          <w:tcPr>
            <w:tcW w:w="1060" w:type="dxa"/>
            <w:tcBorders>
              <w:top w:val="nil"/>
              <w:left w:val="nil"/>
              <w:bottom w:val="nil"/>
              <w:right w:val="single" w:sz="8" w:space="0" w:color="auto"/>
            </w:tcBorders>
            <w:shd w:val="clear" w:color="auto" w:fill="auto"/>
            <w:noWrap/>
            <w:vAlign w:val="bottom"/>
            <w:hideMark/>
          </w:tcPr>
          <w:p w14:paraId="5778E60C"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0.086</w:t>
            </w:r>
          </w:p>
        </w:tc>
      </w:tr>
      <w:tr w:rsidR="00D67C9B" w:rsidRPr="000D728A" w14:paraId="5778E614" w14:textId="77777777" w:rsidTr="00F95388">
        <w:trPr>
          <w:trHeight w:val="300"/>
        </w:trPr>
        <w:tc>
          <w:tcPr>
            <w:tcW w:w="2860" w:type="dxa"/>
            <w:tcBorders>
              <w:top w:val="nil"/>
              <w:left w:val="single" w:sz="8" w:space="0" w:color="auto"/>
              <w:bottom w:val="nil"/>
              <w:right w:val="nil"/>
            </w:tcBorders>
            <w:shd w:val="clear" w:color="auto" w:fill="auto"/>
            <w:noWrap/>
            <w:vAlign w:val="bottom"/>
            <w:hideMark/>
          </w:tcPr>
          <w:p w14:paraId="5778E60E" w14:textId="77777777" w:rsidR="00D67C9B" w:rsidRPr="000D728A" w:rsidRDefault="00D67C9B" w:rsidP="00D67C9B">
            <w:pPr>
              <w:spacing w:before="0"/>
              <w:ind w:left="0"/>
              <w:rPr>
                <w:rFonts w:ascii="Calibri" w:hAnsi="Calibri" w:cs="Calibri"/>
                <w:i/>
                <w:iCs/>
                <w:color w:val="000000"/>
                <w:sz w:val="22"/>
                <w:szCs w:val="22"/>
              </w:rPr>
            </w:pPr>
            <w:r w:rsidRPr="000D728A">
              <w:rPr>
                <w:rFonts w:ascii="Calibri" w:hAnsi="Calibri" w:cs="Calibri"/>
                <w:i/>
                <w:iCs/>
                <w:color w:val="000000"/>
                <w:sz w:val="22"/>
                <w:szCs w:val="22"/>
              </w:rPr>
              <w:t>Individual sports</w:t>
            </w:r>
          </w:p>
        </w:tc>
        <w:tc>
          <w:tcPr>
            <w:tcW w:w="1206" w:type="dxa"/>
            <w:tcBorders>
              <w:top w:val="nil"/>
              <w:left w:val="single" w:sz="4" w:space="0" w:color="auto"/>
              <w:bottom w:val="nil"/>
              <w:right w:val="single" w:sz="4" w:space="0" w:color="auto"/>
            </w:tcBorders>
            <w:shd w:val="clear" w:color="auto" w:fill="auto"/>
            <w:noWrap/>
            <w:vAlign w:val="bottom"/>
            <w:hideMark/>
          </w:tcPr>
          <w:p w14:paraId="5778E60F" w14:textId="77777777" w:rsidR="00D67C9B" w:rsidRPr="000D728A" w:rsidRDefault="00D67C9B" w:rsidP="00D67C9B">
            <w:pPr>
              <w:spacing w:before="0"/>
              <w:ind w:left="0"/>
              <w:rPr>
                <w:rFonts w:ascii="Calibri" w:hAnsi="Calibri" w:cs="Calibri"/>
                <w:sz w:val="22"/>
                <w:szCs w:val="22"/>
              </w:rPr>
            </w:pPr>
            <w:r w:rsidRPr="000D728A">
              <w:rPr>
                <w:rFonts w:ascii="Calibri" w:hAnsi="Calibri" w:cs="Calibri"/>
                <w:sz w:val="22"/>
                <w:szCs w:val="22"/>
              </w:rPr>
              <w:t>0.521***</w:t>
            </w:r>
          </w:p>
        </w:tc>
        <w:tc>
          <w:tcPr>
            <w:tcW w:w="1800" w:type="dxa"/>
            <w:tcBorders>
              <w:top w:val="nil"/>
              <w:left w:val="nil"/>
              <w:bottom w:val="nil"/>
              <w:right w:val="nil"/>
            </w:tcBorders>
            <w:shd w:val="clear" w:color="auto" w:fill="auto"/>
            <w:noWrap/>
            <w:vAlign w:val="bottom"/>
            <w:hideMark/>
          </w:tcPr>
          <w:p w14:paraId="5778E610"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12.9%</w:t>
            </w:r>
          </w:p>
        </w:tc>
        <w:tc>
          <w:tcPr>
            <w:tcW w:w="960" w:type="dxa"/>
            <w:tcBorders>
              <w:top w:val="nil"/>
              <w:left w:val="single" w:sz="4" w:space="0" w:color="auto"/>
              <w:bottom w:val="nil"/>
              <w:right w:val="single" w:sz="4" w:space="0" w:color="auto"/>
            </w:tcBorders>
            <w:shd w:val="clear" w:color="auto" w:fill="auto"/>
            <w:noWrap/>
            <w:vAlign w:val="bottom"/>
            <w:hideMark/>
          </w:tcPr>
          <w:p w14:paraId="5778E611"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(0.041)</w:t>
            </w:r>
          </w:p>
        </w:tc>
        <w:tc>
          <w:tcPr>
            <w:tcW w:w="1200" w:type="dxa"/>
            <w:tcBorders>
              <w:top w:val="nil"/>
              <w:left w:val="nil"/>
              <w:bottom w:val="nil"/>
              <w:right w:val="single" w:sz="4" w:space="0" w:color="auto"/>
            </w:tcBorders>
            <w:shd w:val="clear" w:color="auto" w:fill="auto"/>
            <w:noWrap/>
            <w:vAlign w:val="bottom"/>
            <w:hideMark/>
          </w:tcPr>
          <w:p w14:paraId="5778E612"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14710</w:t>
            </w:r>
          </w:p>
        </w:tc>
        <w:tc>
          <w:tcPr>
            <w:tcW w:w="1060" w:type="dxa"/>
            <w:tcBorders>
              <w:top w:val="nil"/>
              <w:left w:val="nil"/>
              <w:bottom w:val="nil"/>
              <w:right w:val="single" w:sz="8" w:space="0" w:color="auto"/>
            </w:tcBorders>
            <w:shd w:val="clear" w:color="auto" w:fill="auto"/>
            <w:noWrap/>
            <w:vAlign w:val="bottom"/>
            <w:hideMark/>
          </w:tcPr>
          <w:p w14:paraId="5778E613"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0.086</w:t>
            </w:r>
          </w:p>
        </w:tc>
      </w:tr>
      <w:tr w:rsidR="00D67C9B" w:rsidRPr="000D728A" w14:paraId="5778E61B" w14:textId="77777777" w:rsidTr="00F95388">
        <w:trPr>
          <w:trHeight w:val="300"/>
        </w:trPr>
        <w:tc>
          <w:tcPr>
            <w:tcW w:w="2860" w:type="dxa"/>
            <w:tcBorders>
              <w:top w:val="nil"/>
              <w:left w:val="single" w:sz="8" w:space="0" w:color="auto"/>
              <w:bottom w:val="nil"/>
              <w:right w:val="nil"/>
            </w:tcBorders>
            <w:shd w:val="clear" w:color="auto" w:fill="auto"/>
            <w:noWrap/>
            <w:vAlign w:val="bottom"/>
            <w:hideMark/>
          </w:tcPr>
          <w:p w14:paraId="5778E615" w14:textId="77777777" w:rsidR="00D67C9B" w:rsidRPr="000D728A" w:rsidRDefault="00D67C9B" w:rsidP="00D67C9B">
            <w:pPr>
              <w:spacing w:before="0"/>
              <w:ind w:left="0"/>
              <w:rPr>
                <w:rFonts w:ascii="Calibri" w:hAnsi="Calibri" w:cs="Calibri"/>
                <w:i/>
                <w:iCs/>
                <w:color w:val="000000"/>
                <w:sz w:val="22"/>
                <w:szCs w:val="22"/>
              </w:rPr>
            </w:pPr>
            <w:r w:rsidRPr="000D728A">
              <w:rPr>
                <w:rFonts w:ascii="Calibri" w:hAnsi="Calibri" w:cs="Calibri"/>
                <w:i/>
                <w:iCs/>
                <w:color w:val="000000"/>
                <w:sz w:val="22"/>
                <w:szCs w:val="22"/>
              </w:rPr>
              <w:t>Fitness</w:t>
            </w:r>
          </w:p>
        </w:tc>
        <w:tc>
          <w:tcPr>
            <w:tcW w:w="1206" w:type="dxa"/>
            <w:tcBorders>
              <w:top w:val="nil"/>
              <w:left w:val="single" w:sz="4" w:space="0" w:color="auto"/>
              <w:bottom w:val="nil"/>
              <w:right w:val="single" w:sz="4" w:space="0" w:color="auto"/>
            </w:tcBorders>
            <w:shd w:val="clear" w:color="auto" w:fill="auto"/>
            <w:noWrap/>
            <w:vAlign w:val="bottom"/>
            <w:hideMark/>
          </w:tcPr>
          <w:p w14:paraId="5778E616" w14:textId="77777777" w:rsidR="00D67C9B" w:rsidRPr="000D728A" w:rsidRDefault="00D67C9B" w:rsidP="00D67C9B">
            <w:pPr>
              <w:spacing w:before="0"/>
              <w:ind w:left="0"/>
              <w:rPr>
                <w:rFonts w:ascii="Calibri" w:hAnsi="Calibri" w:cs="Calibri"/>
                <w:sz w:val="22"/>
                <w:szCs w:val="22"/>
              </w:rPr>
            </w:pPr>
            <w:r w:rsidRPr="000D728A">
              <w:rPr>
                <w:rFonts w:ascii="Calibri" w:hAnsi="Calibri" w:cs="Calibri"/>
                <w:sz w:val="22"/>
                <w:szCs w:val="22"/>
              </w:rPr>
              <w:t>0.391***</w:t>
            </w:r>
          </w:p>
        </w:tc>
        <w:tc>
          <w:tcPr>
            <w:tcW w:w="1800" w:type="dxa"/>
            <w:tcBorders>
              <w:top w:val="nil"/>
              <w:left w:val="nil"/>
              <w:bottom w:val="nil"/>
              <w:right w:val="nil"/>
            </w:tcBorders>
            <w:shd w:val="clear" w:color="auto" w:fill="auto"/>
            <w:noWrap/>
            <w:vAlign w:val="bottom"/>
            <w:hideMark/>
          </w:tcPr>
          <w:p w14:paraId="5778E617"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9.7%</w:t>
            </w:r>
          </w:p>
        </w:tc>
        <w:tc>
          <w:tcPr>
            <w:tcW w:w="960" w:type="dxa"/>
            <w:tcBorders>
              <w:top w:val="nil"/>
              <w:left w:val="single" w:sz="4" w:space="0" w:color="auto"/>
              <w:bottom w:val="nil"/>
              <w:right w:val="single" w:sz="4" w:space="0" w:color="auto"/>
            </w:tcBorders>
            <w:shd w:val="clear" w:color="auto" w:fill="auto"/>
            <w:noWrap/>
            <w:vAlign w:val="bottom"/>
            <w:hideMark/>
          </w:tcPr>
          <w:p w14:paraId="5778E618"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(0.04</w:t>
            </w:r>
            <w:r w:rsidR="00F72C23" w:rsidRPr="000D728A">
              <w:rPr>
                <w:rFonts w:ascii="Calibri" w:hAnsi="Calibri" w:cs="Calibri"/>
                <w:sz w:val="22"/>
                <w:szCs w:val="22"/>
              </w:rPr>
              <w:t>0</w:t>
            </w:r>
            <w:r w:rsidRPr="000D728A">
              <w:rPr>
                <w:rFonts w:ascii="Calibri" w:hAnsi="Calibri" w:cs="Calibri"/>
                <w:sz w:val="22"/>
                <w:szCs w:val="22"/>
              </w:rPr>
              <w:t>)</w:t>
            </w:r>
          </w:p>
        </w:tc>
        <w:tc>
          <w:tcPr>
            <w:tcW w:w="1200" w:type="dxa"/>
            <w:tcBorders>
              <w:top w:val="nil"/>
              <w:left w:val="nil"/>
              <w:bottom w:val="nil"/>
              <w:right w:val="single" w:sz="4" w:space="0" w:color="auto"/>
            </w:tcBorders>
            <w:shd w:val="clear" w:color="auto" w:fill="auto"/>
            <w:noWrap/>
            <w:vAlign w:val="bottom"/>
            <w:hideMark/>
          </w:tcPr>
          <w:p w14:paraId="5778E619"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14710</w:t>
            </w:r>
          </w:p>
        </w:tc>
        <w:tc>
          <w:tcPr>
            <w:tcW w:w="1060" w:type="dxa"/>
            <w:tcBorders>
              <w:top w:val="nil"/>
              <w:left w:val="nil"/>
              <w:bottom w:val="nil"/>
              <w:right w:val="single" w:sz="8" w:space="0" w:color="auto"/>
            </w:tcBorders>
            <w:shd w:val="clear" w:color="auto" w:fill="auto"/>
            <w:noWrap/>
            <w:vAlign w:val="bottom"/>
            <w:hideMark/>
          </w:tcPr>
          <w:p w14:paraId="5778E61A"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0.088</w:t>
            </w:r>
          </w:p>
        </w:tc>
      </w:tr>
      <w:tr w:rsidR="00D67C9B" w:rsidRPr="000D728A" w14:paraId="5778E622" w14:textId="77777777" w:rsidTr="00F95388">
        <w:trPr>
          <w:trHeight w:val="300"/>
        </w:trPr>
        <w:tc>
          <w:tcPr>
            <w:tcW w:w="2860" w:type="dxa"/>
            <w:tcBorders>
              <w:top w:val="nil"/>
              <w:left w:val="single" w:sz="8" w:space="0" w:color="auto"/>
              <w:bottom w:val="nil"/>
              <w:right w:val="nil"/>
            </w:tcBorders>
            <w:shd w:val="clear" w:color="auto" w:fill="auto"/>
            <w:noWrap/>
            <w:vAlign w:val="bottom"/>
            <w:hideMark/>
          </w:tcPr>
          <w:p w14:paraId="5778E61C" w14:textId="77777777" w:rsidR="00D67C9B" w:rsidRPr="000D728A" w:rsidRDefault="00D67C9B" w:rsidP="00D67C9B">
            <w:pPr>
              <w:spacing w:before="0"/>
              <w:ind w:left="0"/>
              <w:rPr>
                <w:rFonts w:ascii="Calibri" w:hAnsi="Calibri" w:cs="Calibri"/>
                <w:i/>
                <w:iCs/>
                <w:color w:val="000000"/>
                <w:sz w:val="22"/>
                <w:szCs w:val="22"/>
              </w:rPr>
            </w:pPr>
            <w:r w:rsidRPr="000D728A">
              <w:rPr>
                <w:rFonts w:ascii="Calibri" w:hAnsi="Calibri" w:cs="Calibri"/>
                <w:i/>
                <w:iCs/>
                <w:color w:val="000000"/>
                <w:sz w:val="22"/>
                <w:szCs w:val="22"/>
              </w:rPr>
              <w:t>Football</w:t>
            </w:r>
          </w:p>
        </w:tc>
        <w:tc>
          <w:tcPr>
            <w:tcW w:w="1206" w:type="dxa"/>
            <w:tcBorders>
              <w:top w:val="nil"/>
              <w:left w:val="single" w:sz="4" w:space="0" w:color="auto"/>
              <w:bottom w:val="nil"/>
              <w:right w:val="single" w:sz="4" w:space="0" w:color="auto"/>
            </w:tcBorders>
            <w:shd w:val="clear" w:color="auto" w:fill="auto"/>
            <w:noWrap/>
            <w:vAlign w:val="bottom"/>
            <w:hideMark/>
          </w:tcPr>
          <w:p w14:paraId="5778E61D" w14:textId="77777777" w:rsidR="00D67C9B" w:rsidRPr="000D728A" w:rsidRDefault="00D67C9B" w:rsidP="00D67C9B">
            <w:pPr>
              <w:spacing w:before="0"/>
              <w:ind w:left="0"/>
              <w:rPr>
                <w:rFonts w:ascii="Calibri" w:hAnsi="Calibri" w:cs="Calibri"/>
                <w:sz w:val="22"/>
                <w:szCs w:val="22"/>
              </w:rPr>
            </w:pPr>
            <w:r w:rsidRPr="000D728A">
              <w:rPr>
                <w:rFonts w:ascii="Calibri" w:hAnsi="Calibri" w:cs="Calibri"/>
                <w:sz w:val="22"/>
                <w:szCs w:val="22"/>
              </w:rPr>
              <w:t>0.197***</w:t>
            </w:r>
          </w:p>
        </w:tc>
        <w:tc>
          <w:tcPr>
            <w:tcW w:w="1800" w:type="dxa"/>
            <w:tcBorders>
              <w:top w:val="nil"/>
              <w:left w:val="nil"/>
              <w:bottom w:val="nil"/>
              <w:right w:val="nil"/>
            </w:tcBorders>
            <w:shd w:val="clear" w:color="auto" w:fill="auto"/>
            <w:noWrap/>
            <w:vAlign w:val="bottom"/>
            <w:hideMark/>
          </w:tcPr>
          <w:p w14:paraId="5778E61E"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4.9%</w:t>
            </w:r>
          </w:p>
        </w:tc>
        <w:tc>
          <w:tcPr>
            <w:tcW w:w="960" w:type="dxa"/>
            <w:tcBorders>
              <w:top w:val="nil"/>
              <w:left w:val="single" w:sz="4" w:space="0" w:color="auto"/>
              <w:bottom w:val="nil"/>
              <w:right w:val="single" w:sz="4" w:space="0" w:color="auto"/>
            </w:tcBorders>
            <w:shd w:val="clear" w:color="auto" w:fill="auto"/>
            <w:noWrap/>
            <w:vAlign w:val="bottom"/>
            <w:hideMark/>
          </w:tcPr>
          <w:p w14:paraId="5778E61F"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(0.066)</w:t>
            </w:r>
          </w:p>
        </w:tc>
        <w:tc>
          <w:tcPr>
            <w:tcW w:w="1200" w:type="dxa"/>
            <w:tcBorders>
              <w:top w:val="nil"/>
              <w:left w:val="nil"/>
              <w:bottom w:val="nil"/>
              <w:right w:val="single" w:sz="4" w:space="0" w:color="auto"/>
            </w:tcBorders>
            <w:shd w:val="clear" w:color="auto" w:fill="auto"/>
            <w:noWrap/>
            <w:vAlign w:val="bottom"/>
            <w:hideMark/>
          </w:tcPr>
          <w:p w14:paraId="5778E620"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14710</w:t>
            </w:r>
          </w:p>
        </w:tc>
        <w:tc>
          <w:tcPr>
            <w:tcW w:w="1060" w:type="dxa"/>
            <w:tcBorders>
              <w:top w:val="nil"/>
              <w:left w:val="nil"/>
              <w:bottom w:val="nil"/>
              <w:right w:val="single" w:sz="8" w:space="0" w:color="auto"/>
            </w:tcBorders>
            <w:shd w:val="clear" w:color="auto" w:fill="auto"/>
            <w:noWrap/>
            <w:vAlign w:val="bottom"/>
            <w:hideMark/>
          </w:tcPr>
          <w:p w14:paraId="5778E621"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0.088</w:t>
            </w:r>
          </w:p>
        </w:tc>
      </w:tr>
      <w:tr w:rsidR="00D67C9B" w:rsidRPr="000D728A" w14:paraId="5778E629" w14:textId="77777777" w:rsidTr="00F95388">
        <w:trPr>
          <w:trHeight w:val="300"/>
        </w:trPr>
        <w:tc>
          <w:tcPr>
            <w:tcW w:w="2860" w:type="dxa"/>
            <w:tcBorders>
              <w:top w:val="nil"/>
              <w:left w:val="single" w:sz="8" w:space="0" w:color="auto"/>
              <w:bottom w:val="nil"/>
              <w:right w:val="nil"/>
            </w:tcBorders>
            <w:shd w:val="clear" w:color="auto" w:fill="auto"/>
            <w:noWrap/>
            <w:vAlign w:val="bottom"/>
            <w:hideMark/>
          </w:tcPr>
          <w:p w14:paraId="5778E623" w14:textId="77777777" w:rsidR="00D67C9B" w:rsidRPr="000D728A" w:rsidRDefault="00D67C9B" w:rsidP="00D67C9B">
            <w:pPr>
              <w:spacing w:before="0"/>
              <w:ind w:left="0"/>
              <w:rPr>
                <w:rFonts w:ascii="Calibri" w:hAnsi="Calibri" w:cs="Calibri"/>
                <w:i/>
                <w:iCs/>
                <w:color w:val="000000"/>
                <w:sz w:val="22"/>
                <w:szCs w:val="22"/>
              </w:rPr>
            </w:pPr>
            <w:r w:rsidRPr="000D728A">
              <w:rPr>
                <w:rFonts w:ascii="Calibri" w:hAnsi="Calibri" w:cs="Calibri"/>
                <w:i/>
                <w:iCs/>
                <w:color w:val="000000"/>
                <w:sz w:val="22"/>
                <w:szCs w:val="22"/>
              </w:rPr>
              <w:t>Swimming</w:t>
            </w:r>
          </w:p>
        </w:tc>
        <w:tc>
          <w:tcPr>
            <w:tcW w:w="1206" w:type="dxa"/>
            <w:tcBorders>
              <w:top w:val="nil"/>
              <w:left w:val="single" w:sz="4" w:space="0" w:color="auto"/>
              <w:bottom w:val="nil"/>
              <w:right w:val="single" w:sz="4" w:space="0" w:color="auto"/>
            </w:tcBorders>
            <w:shd w:val="clear" w:color="auto" w:fill="auto"/>
            <w:noWrap/>
            <w:vAlign w:val="bottom"/>
            <w:hideMark/>
          </w:tcPr>
          <w:p w14:paraId="5778E624" w14:textId="77777777" w:rsidR="00D67C9B" w:rsidRPr="000D728A" w:rsidRDefault="00D67C9B" w:rsidP="00D67C9B">
            <w:pPr>
              <w:spacing w:before="0"/>
              <w:ind w:left="0"/>
              <w:rPr>
                <w:rFonts w:ascii="Calibri" w:hAnsi="Calibri" w:cs="Calibri"/>
                <w:sz w:val="22"/>
                <w:szCs w:val="22"/>
              </w:rPr>
            </w:pPr>
            <w:r w:rsidRPr="000D728A">
              <w:rPr>
                <w:rFonts w:ascii="Calibri" w:hAnsi="Calibri" w:cs="Calibri"/>
                <w:sz w:val="22"/>
                <w:szCs w:val="22"/>
              </w:rPr>
              <w:t>0.193***</w:t>
            </w:r>
          </w:p>
        </w:tc>
        <w:tc>
          <w:tcPr>
            <w:tcW w:w="1800" w:type="dxa"/>
            <w:tcBorders>
              <w:top w:val="nil"/>
              <w:left w:val="nil"/>
              <w:bottom w:val="nil"/>
              <w:right w:val="nil"/>
            </w:tcBorders>
            <w:shd w:val="clear" w:color="auto" w:fill="auto"/>
            <w:noWrap/>
            <w:vAlign w:val="bottom"/>
            <w:hideMark/>
          </w:tcPr>
          <w:p w14:paraId="5778E625"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4.8%</w:t>
            </w:r>
          </w:p>
        </w:tc>
        <w:tc>
          <w:tcPr>
            <w:tcW w:w="960" w:type="dxa"/>
            <w:tcBorders>
              <w:top w:val="nil"/>
              <w:left w:val="single" w:sz="4" w:space="0" w:color="auto"/>
              <w:bottom w:val="nil"/>
              <w:right w:val="single" w:sz="4" w:space="0" w:color="auto"/>
            </w:tcBorders>
            <w:shd w:val="clear" w:color="auto" w:fill="auto"/>
            <w:noWrap/>
            <w:vAlign w:val="bottom"/>
            <w:hideMark/>
          </w:tcPr>
          <w:p w14:paraId="5778E626"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(0.039)</w:t>
            </w:r>
          </w:p>
        </w:tc>
        <w:tc>
          <w:tcPr>
            <w:tcW w:w="1200" w:type="dxa"/>
            <w:tcBorders>
              <w:top w:val="nil"/>
              <w:left w:val="nil"/>
              <w:bottom w:val="nil"/>
              <w:right w:val="single" w:sz="4" w:space="0" w:color="auto"/>
            </w:tcBorders>
            <w:shd w:val="clear" w:color="auto" w:fill="auto"/>
            <w:noWrap/>
            <w:vAlign w:val="bottom"/>
            <w:hideMark/>
          </w:tcPr>
          <w:p w14:paraId="5778E627"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14710</w:t>
            </w:r>
          </w:p>
        </w:tc>
        <w:tc>
          <w:tcPr>
            <w:tcW w:w="1060" w:type="dxa"/>
            <w:tcBorders>
              <w:top w:val="nil"/>
              <w:left w:val="nil"/>
              <w:bottom w:val="nil"/>
              <w:right w:val="single" w:sz="8" w:space="0" w:color="auto"/>
            </w:tcBorders>
            <w:shd w:val="clear" w:color="auto" w:fill="auto"/>
            <w:noWrap/>
            <w:vAlign w:val="bottom"/>
            <w:hideMark/>
          </w:tcPr>
          <w:p w14:paraId="5778E628"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0.088</w:t>
            </w:r>
          </w:p>
        </w:tc>
      </w:tr>
      <w:tr w:rsidR="00D67C9B" w:rsidRPr="000D728A" w14:paraId="5778E630" w14:textId="77777777" w:rsidTr="00F95388">
        <w:trPr>
          <w:trHeight w:val="300"/>
        </w:trPr>
        <w:tc>
          <w:tcPr>
            <w:tcW w:w="2860" w:type="dxa"/>
            <w:tcBorders>
              <w:top w:val="nil"/>
              <w:left w:val="single" w:sz="8" w:space="0" w:color="auto"/>
              <w:bottom w:val="nil"/>
              <w:right w:val="single" w:sz="4" w:space="0" w:color="auto"/>
            </w:tcBorders>
            <w:shd w:val="clear" w:color="auto" w:fill="auto"/>
            <w:noWrap/>
            <w:vAlign w:val="bottom"/>
            <w:hideMark/>
          </w:tcPr>
          <w:p w14:paraId="5778E62A" w14:textId="77777777" w:rsidR="00D67C9B" w:rsidRPr="000D728A" w:rsidRDefault="00D67C9B" w:rsidP="00D67C9B">
            <w:pPr>
              <w:spacing w:before="0"/>
              <w:ind w:left="0"/>
              <w:rPr>
                <w:rFonts w:ascii="Calibri" w:hAnsi="Calibri" w:cs="Calibri"/>
                <w:i/>
                <w:iCs/>
                <w:color w:val="000000"/>
                <w:sz w:val="22"/>
                <w:szCs w:val="22"/>
              </w:rPr>
            </w:pPr>
            <w:r w:rsidRPr="000D728A">
              <w:rPr>
                <w:rFonts w:ascii="Calibri" w:hAnsi="Calibri" w:cs="Calibri"/>
                <w:i/>
                <w:iCs/>
                <w:color w:val="000000"/>
                <w:sz w:val="22"/>
                <w:szCs w:val="22"/>
              </w:rPr>
              <w:t>Cycling</w:t>
            </w:r>
          </w:p>
        </w:tc>
        <w:tc>
          <w:tcPr>
            <w:tcW w:w="1206" w:type="dxa"/>
            <w:tcBorders>
              <w:top w:val="nil"/>
              <w:left w:val="nil"/>
              <w:bottom w:val="nil"/>
              <w:right w:val="single" w:sz="4" w:space="0" w:color="auto"/>
            </w:tcBorders>
            <w:shd w:val="clear" w:color="auto" w:fill="auto"/>
            <w:noWrap/>
            <w:vAlign w:val="bottom"/>
            <w:hideMark/>
          </w:tcPr>
          <w:p w14:paraId="5778E62B" w14:textId="77777777" w:rsidR="00D67C9B" w:rsidRPr="000D728A" w:rsidRDefault="00D67C9B" w:rsidP="00D67C9B">
            <w:pPr>
              <w:spacing w:before="0"/>
              <w:ind w:left="0"/>
              <w:rPr>
                <w:rFonts w:ascii="Calibri" w:hAnsi="Calibri" w:cs="Calibri"/>
                <w:sz w:val="22"/>
                <w:szCs w:val="22"/>
              </w:rPr>
            </w:pPr>
            <w:r w:rsidRPr="000D728A">
              <w:rPr>
                <w:rFonts w:ascii="Calibri" w:hAnsi="Calibri" w:cs="Calibri"/>
                <w:sz w:val="22"/>
                <w:szCs w:val="22"/>
              </w:rPr>
              <w:t>0.369***</w:t>
            </w:r>
          </w:p>
        </w:tc>
        <w:tc>
          <w:tcPr>
            <w:tcW w:w="1800" w:type="dxa"/>
            <w:tcBorders>
              <w:top w:val="nil"/>
              <w:left w:val="nil"/>
              <w:bottom w:val="nil"/>
              <w:right w:val="nil"/>
            </w:tcBorders>
            <w:shd w:val="clear" w:color="auto" w:fill="auto"/>
            <w:noWrap/>
            <w:vAlign w:val="bottom"/>
            <w:hideMark/>
          </w:tcPr>
          <w:p w14:paraId="5778E62C"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9.2%</w:t>
            </w:r>
          </w:p>
        </w:tc>
        <w:tc>
          <w:tcPr>
            <w:tcW w:w="960" w:type="dxa"/>
            <w:tcBorders>
              <w:top w:val="nil"/>
              <w:left w:val="single" w:sz="4" w:space="0" w:color="auto"/>
              <w:bottom w:val="nil"/>
              <w:right w:val="single" w:sz="4" w:space="0" w:color="auto"/>
            </w:tcBorders>
            <w:shd w:val="clear" w:color="auto" w:fill="auto"/>
            <w:noWrap/>
            <w:vAlign w:val="bottom"/>
            <w:hideMark/>
          </w:tcPr>
          <w:p w14:paraId="5778E62D"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(0.045)</w:t>
            </w:r>
          </w:p>
        </w:tc>
        <w:tc>
          <w:tcPr>
            <w:tcW w:w="1200" w:type="dxa"/>
            <w:tcBorders>
              <w:top w:val="nil"/>
              <w:left w:val="nil"/>
              <w:bottom w:val="nil"/>
              <w:right w:val="single" w:sz="4" w:space="0" w:color="auto"/>
            </w:tcBorders>
            <w:shd w:val="clear" w:color="auto" w:fill="auto"/>
            <w:noWrap/>
            <w:vAlign w:val="bottom"/>
            <w:hideMark/>
          </w:tcPr>
          <w:p w14:paraId="5778E62E"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14710</w:t>
            </w:r>
          </w:p>
        </w:tc>
        <w:tc>
          <w:tcPr>
            <w:tcW w:w="1060" w:type="dxa"/>
            <w:tcBorders>
              <w:top w:val="nil"/>
              <w:left w:val="nil"/>
              <w:bottom w:val="nil"/>
              <w:right w:val="single" w:sz="8" w:space="0" w:color="auto"/>
            </w:tcBorders>
            <w:shd w:val="clear" w:color="auto" w:fill="auto"/>
            <w:noWrap/>
            <w:vAlign w:val="bottom"/>
            <w:hideMark/>
          </w:tcPr>
          <w:p w14:paraId="5778E62F"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0.088</w:t>
            </w:r>
          </w:p>
        </w:tc>
      </w:tr>
      <w:tr w:rsidR="00D67C9B" w:rsidRPr="000D728A" w14:paraId="5778E637" w14:textId="77777777" w:rsidTr="00F95388">
        <w:trPr>
          <w:trHeight w:val="300"/>
        </w:trPr>
        <w:tc>
          <w:tcPr>
            <w:tcW w:w="2860" w:type="dxa"/>
            <w:tcBorders>
              <w:top w:val="nil"/>
              <w:left w:val="single" w:sz="8" w:space="0" w:color="auto"/>
              <w:bottom w:val="single" w:sz="4" w:space="0" w:color="auto"/>
              <w:right w:val="nil"/>
            </w:tcBorders>
            <w:shd w:val="clear" w:color="000000" w:fill="0070C0"/>
            <w:noWrap/>
            <w:vAlign w:val="bottom"/>
            <w:hideMark/>
          </w:tcPr>
          <w:p w14:paraId="5778E631" w14:textId="77777777" w:rsidR="00D67C9B" w:rsidRPr="000D728A" w:rsidRDefault="00D67C9B" w:rsidP="00D67C9B">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Culture</w:t>
            </w:r>
          </w:p>
        </w:tc>
        <w:tc>
          <w:tcPr>
            <w:tcW w:w="1206" w:type="dxa"/>
            <w:tcBorders>
              <w:top w:val="nil"/>
              <w:left w:val="single" w:sz="4" w:space="0" w:color="auto"/>
              <w:bottom w:val="single" w:sz="4" w:space="0" w:color="auto"/>
              <w:right w:val="single" w:sz="4" w:space="0" w:color="auto"/>
            </w:tcBorders>
            <w:shd w:val="clear" w:color="000000" w:fill="0070C0"/>
            <w:noWrap/>
            <w:vAlign w:val="bottom"/>
            <w:hideMark/>
          </w:tcPr>
          <w:p w14:paraId="5778E632" w14:textId="77777777" w:rsidR="00D67C9B" w:rsidRPr="000D728A" w:rsidRDefault="00D67C9B" w:rsidP="00D67C9B">
            <w:pPr>
              <w:spacing w:before="0"/>
              <w:ind w:left="0"/>
              <w:jc w:val="center"/>
              <w:rPr>
                <w:rFonts w:ascii="Calibri" w:hAnsi="Calibri" w:cs="Calibri"/>
                <w:color w:val="FFFFFF"/>
                <w:sz w:val="22"/>
                <w:szCs w:val="22"/>
              </w:rPr>
            </w:pPr>
            <w:r w:rsidRPr="000D728A">
              <w:rPr>
                <w:rFonts w:ascii="Calibri" w:hAnsi="Calibri" w:cs="Calibri"/>
                <w:color w:val="FFFFFF"/>
                <w:sz w:val="22"/>
                <w:szCs w:val="22"/>
              </w:rPr>
              <w:t> </w:t>
            </w:r>
          </w:p>
        </w:tc>
        <w:tc>
          <w:tcPr>
            <w:tcW w:w="1800" w:type="dxa"/>
            <w:tcBorders>
              <w:top w:val="nil"/>
              <w:left w:val="nil"/>
              <w:bottom w:val="single" w:sz="4" w:space="0" w:color="auto"/>
              <w:right w:val="nil"/>
            </w:tcBorders>
            <w:shd w:val="clear" w:color="000000" w:fill="0070C0"/>
            <w:noWrap/>
            <w:vAlign w:val="bottom"/>
            <w:hideMark/>
          </w:tcPr>
          <w:p w14:paraId="5778E633" w14:textId="77777777" w:rsidR="00D67C9B" w:rsidRPr="000D728A" w:rsidRDefault="00D67C9B" w:rsidP="00D67C9B">
            <w:pPr>
              <w:spacing w:before="0"/>
              <w:ind w:left="0"/>
              <w:jc w:val="center"/>
              <w:rPr>
                <w:rFonts w:ascii="Calibri" w:hAnsi="Calibri" w:cs="Calibri"/>
                <w:color w:val="FFFFFF"/>
                <w:sz w:val="22"/>
                <w:szCs w:val="22"/>
              </w:rPr>
            </w:pPr>
            <w:r w:rsidRPr="000D728A">
              <w:rPr>
                <w:rFonts w:ascii="Calibri" w:hAnsi="Calibri" w:cs="Calibri"/>
                <w:color w:val="FFFFFF"/>
                <w:sz w:val="22"/>
                <w:szCs w:val="22"/>
              </w:rPr>
              <w:t> </w:t>
            </w:r>
          </w:p>
        </w:tc>
        <w:tc>
          <w:tcPr>
            <w:tcW w:w="960" w:type="dxa"/>
            <w:tcBorders>
              <w:top w:val="nil"/>
              <w:left w:val="single" w:sz="4" w:space="0" w:color="auto"/>
              <w:bottom w:val="single" w:sz="4" w:space="0" w:color="auto"/>
              <w:right w:val="single" w:sz="4" w:space="0" w:color="auto"/>
            </w:tcBorders>
            <w:shd w:val="clear" w:color="000000" w:fill="0070C0"/>
            <w:noWrap/>
            <w:vAlign w:val="bottom"/>
            <w:hideMark/>
          </w:tcPr>
          <w:p w14:paraId="5778E634" w14:textId="77777777" w:rsidR="00D67C9B" w:rsidRPr="000D728A" w:rsidRDefault="00D67C9B" w:rsidP="00D67C9B">
            <w:pPr>
              <w:spacing w:before="0"/>
              <w:ind w:left="0"/>
              <w:jc w:val="center"/>
              <w:rPr>
                <w:rFonts w:ascii="Calibri" w:hAnsi="Calibri" w:cs="Calibri"/>
                <w:color w:val="FFFFFF"/>
                <w:sz w:val="22"/>
                <w:szCs w:val="22"/>
              </w:rPr>
            </w:pPr>
            <w:r w:rsidRPr="000D728A">
              <w:rPr>
                <w:rFonts w:ascii="Calibri" w:hAnsi="Calibri" w:cs="Calibri"/>
                <w:color w:val="FFFFFF"/>
                <w:sz w:val="22"/>
                <w:szCs w:val="22"/>
              </w:rPr>
              <w:t> </w:t>
            </w:r>
          </w:p>
        </w:tc>
        <w:tc>
          <w:tcPr>
            <w:tcW w:w="1200" w:type="dxa"/>
            <w:tcBorders>
              <w:top w:val="nil"/>
              <w:left w:val="nil"/>
              <w:bottom w:val="single" w:sz="4" w:space="0" w:color="auto"/>
              <w:right w:val="single" w:sz="4" w:space="0" w:color="auto"/>
            </w:tcBorders>
            <w:shd w:val="clear" w:color="000000" w:fill="0070C0"/>
            <w:noWrap/>
            <w:vAlign w:val="bottom"/>
            <w:hideMark/>
          </w:tcPr>
          <w:p w14:paraId="5778E635" w14:textId="77777777" w:rsidR="00D67C9B" w:rsidRPr="000D728A" w:rsidRDefault="00D67C9B" w:rsidP="00D67C9B">
            <w:pPr>
              <w:spacing w:before="0"/>
              <w:ind w:left="0"/>
              <w:jc w:val="center"/>
              <w:rPr>
                <w:rFonts w:ascii="Calibri" w:hAnsi="Calibri" w:cs="Calibri"/>
                <w:color w:val="FFFFFF"/>
                <w:sz w:val="22"/>
                <w:szCs w:val="22"/>
              </w:rPr>
            </w:pPr>
            <w:r w:rsidRPr="000D728A">
              <w:rPr>
                <w:rFonts w:ascii="Calibri" w:hAnsi="Calibri" w:cs="Calibri"/>
                <w:color w:val="FFFFFF"/>
                <w:sz w:val="22"/>
                <w:szCs w:val="22"/>
              </w:rPr>
              <w:t> </w:t>
            </w:r>
          </w:p>
        </w:tc>
        <w:tc>
          <w:tcPr>
            <w:tcW w:w="1060" w:type="dxa"/>
            <w:tcBorders>
              <w:top w:val="nil"/>
              <w:left w:val="nil"/>
              <w:bottom w:val="single" w:sz="4" w:space="0" w:color="auto"/>
              <w:right w:val="single" w:sz="8" w:space="0" w:color="auto"/>
            </w:tcBorders>
            <w:shd w:val="clear" w:color="000000" w:fill="0070C0"/>
            <w:noWrap/>
            <w:vAlign w:val="bottom"/>
            <w:hideMark/>
          </w:tcPr>
          <w:p w14:paraId="5778E636" w14:textId="77777777" w:rsidR="00D67C9B" w:rsidRPr="000D728A" w:rsidRDefault="00D67C9B" w:rsidP="00D67C9B">
            <w:pPr>
              <w:spacing w:before="0"/>
              <w:ind w:left="0"/>
              <w:jc w:val="center"/>
              <w:rPr>
                <w:rFonts w:ascii="Calibri" w:hAnsi="Calibri" w:cs="Calibri"/>
                <w:color w:val="FFFFFF"/>
                <w:sz w:val="22"/>
                <w:szCs w:val="22"/>
              </w:rPr>
            </w:pPr>
            <w:r w:rsidRPr="000D728A">
              <w:rPr>
                <w:rFonts w:ascii="Calibri" w:hAnsi="Calibri" w:cs="Calibri"/>
                <w:color w:val="FFFFFF"/>
                <w:sz w:val="22"/>
                <w:szCs w:val="22"/>
              </w:rPr>
              <w:t> </w:t>
            </w:r>
          </w:p>
        </w:tc>
      </w:tr>
      <w:tr w:rsidR="00D67C9B" w:rsidRPr="000D728A" w14:paraId="5778E63E" w14:textId="77777777" w:rsidTr="00F95388">
        <w:trPr>
          <w:trHeight w:val="300"/>
        </w:trPr>
        <w:tc>
          <w:tcPr>
            <w:tcW w:w="2860" w:type="dxa"/>
            <w:tcBorders>
              <w:top w:val="nil"/>
              <w:left w:val="single" w:sz="8" w:space="0" w:color="auto"/>
              <w:bottom w:val="nil"/>
              <w:right w:val="nil"/>
            </w:tcBorders>
            <w:shd w:val="clear" w:color="auto" w:fill="auto"/>
            <w:noWrap/>
            <w:vAlign w:val="bottom"/>
            <w:hideMark/>
          </w:tcPr>
          <w:p w14:paraId="5778E638" w14:textId="77777777" w:rsidR="00D67C9B" w:rsidRPr="000D728A" w:rsidRDefault="00D67C9B" w:rsidP="00D67C9B">
            <w:pPr>
              <w:spacing w:before="0"/>
              <w:ind w:left="0"/>
              <w:rPr>
                <w:rFonts w:ascii="Calibri" w:hAnsi="Calibri" w:cs="Calibri"/>
                <w:i/>
                <w:iCs/>
                <w:color w:val="000000"/>
                <w:sz w:val="22"/>
                <w:szCs w:val="22"/>
              </w:rPr>
            </w:pPr>
            <w:r w:rsidRPr="000D728A">
              <w:rPr>
                <w:rFonts w:ascii="Calibri" w:hAnsi="Calibri" w:cs="Calibri"/>
                <w:i/>
                <w:iCs/>
                <w:color w:val="000000"/>
                <w:sz w:val="22"/>
                <w:szCs w:val="22"/>
              </w:rPr>
              <w:t>All audience arts</w:t>
            </w:r>
          </w:p>
        </w:tc>
        <w:tc>
          <w:tcPr>
            <w:tcW w:w="1206" w:type="dxa"/>
            <w:tcBorders>
              <w:top w:val="nil"/>
              <w:left w:val="single" w:sz="4" w:space="0" w:color="auto"/>
              <w:bottom w:val="nil"/>
              <w:right w:val="single" w:sz="4" w:space="0" w:color="auto"/>
            </w:tcBorders>
            <w:shd w:val="clear" w:color="auto" w:fill="auto"/>
            <w:noWrap/>
            <w:vAlign w:val="bottom"/>
            <w:hideMark/>
          </w:tcPr>
          <w:p w14:paraId="5778E639" w14:textId="77777777" w:rsidR="00D67C9B" w:rsidRPr="000D728A" w:rsidRDefault="00D67C9B" w:rsidP="00D67C9B">
            <w:pPr>
              <w:spacing w:before="0"/>
              <w:ind w:left="0"/>
              <w:rPr>
                <w:rFonts w:ascii="Calibri" w:hAnsi="Calibri" w:cs="Calibri"/>
                <w:color w:val="000000"/>
                <w:sz w:val="22"/>
                <w:szCs w:val="22"/>
              </w:rPr>
            </w:pPr>
            <w:r w:rsidRPr="000D728A">
              <w:rPr>
                <w:rFonts w:ascii="Calibri" w:hAnsi="Calibri" w:cs="Calibri"/>
                <w:color w:val="000000"/>
                <w:sz w:val="22"/>
                <w:szCs w:val="22"/>
              </w:rPr>
              <w:t>0.219***</w:t>
            </w:r>
          </w:p>
        </w:tc>
        <w:tc>
          <w:tcPr>
            <w:tcW w:w="1800" w:type="dxa"/>
            <w:tcBorders>
              <w:top w:val="nil"/>
              <w:left w:val="nil"/>
              <w:bottom w:val="nil"/>
              <w:right w:val="nil"/>
            </w:tcBorders>
            <w:shd w:val="clear" w:color="auto" w:fill="auto"/>
            <w:noWrap/>
            <w:vAlign w:val="bottom"/>
            <w:hideMark/>
          </w:tcPr>
          <w:p w14:paraId="5778E63A"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5.4%</w:t>
            </w:r>
          </w:p>
        </w:tc>
        <w:tc>
          <w:tcPr>
            <w:tcW w:w="960" w:type="dxa"/>
            <w:tcBorders>
              <w:top w:val="nil"/>
              <w:left w:val="single" w:sz="4" w:space="0" w:color="auto"/>
              <w:bottom w:val="nil"/>
              <w:right w:val="single" w:sz="4" w:space="0" w:color="auto"/>
            </w:tcBorders>
            <w:shd w:val="clear" w:color="auto" w:fill="auto"/>
            <w:noWrap/>
            <w:vAlign w:val="bottom"/>
            <w:hideMark/>
          </w:tcPr>
          <w:p w14:paraId="5778E63B"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(0.047)</w:t>
            </w:r>
          </w:p>
        </w:tc>
        <w:tc>
          <w:tcPr>
            <w:tcW w:w="1200" w:type="dxa"/>
            <w:tcBorders>
              <w:top w:val="nil"/>
              <w:left w:val="nil"/>
              <w:bottom w:val="nil"/>
              <w:right w:val="single" w:sz="4" w:space="0" w:color="auto"/>
            </w:tcBorders>
            <w:shd w:val="clear" w:color="auto" w:fill="auto"/>
            <w:noWrap/>
            <w:vAlign w:val="bottom"/>
            <w:hideMark/>
          </w:tcPr>
          <w:p w14:paraId="5778E63C"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14710</w:t>
            </w:r>
          </w:p>
        </w:tc>
        <w:tc>
          <w:tcPr>
            <w:tcW w:w="1060" w:type="dxa"/>
            <w:tcBorders>
              <w:top w:val="nil"/>
              <w:left w:val="nil"/>
              <w:bottom w:val="nil"/>
              <w:right w:val="single" w:sz="8" w:space="0" w:color="auto"/>
            </w:tcBorders>
            <w:shd w:val="clear" w:color="auto" w:fill="auto"/>
            <w:noWrap/>
            <w:vAlign w:val="bottom"/>
            <w:hideMark/>
          </w:tcPr>
          <w:p w14:paraId="5778E63D"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0.087</w:t>
            </w:r>
          </w:p>
        </w:tc>
      </w:tr>
      <w:tr w:rsidR="00D67C9B" w:rsidRPr="000D728A" w14:paraId="5778E645" w14:textId="77777777" w:rsidTr="00F95388">
        <w:trPr>
          <w:trHeight w:val="300"/>
        </w:trPr>
        <w:tc>
          <w:tcPr>
            <w:tcW w:w="2860" w:type="dxa"/>
            <w:tcBorders>
              <w:top w:val="nil"/>
              <w:left w:val="single" w:sz="8" w:space="0" w:color="auto"/>
              <w:bottom w:val="nil"/>
              <w:right w:val="nil"/>
            </w:tcBorders>
            <w:shd w:val="clear" w:color="auto" w:fill="auto"/>
            <w:noWrap/>
            <w:vAlign w:val="bottom"/>
            <w:hideMark/>
          </w:tcPr>
          <w:p w14:paraId="5778E63F" w14:textId="77777777" w:rsidR="00D67C9B" w:rsidRPr="000D728A" w:rsidRDefault="00D67C9B" w:rsidP="00D67C9B">
            <w:pPr>
              <w:spacing w:before="0"/>
              <w:ind w:left="0"/>
              <w:rPr>
                <w:rFonts w:ascii="Calibri" w:hAnsi="Calibri" w:cs="Calibri"/>
                <w:b/>
                <w:bCs/>
                <w:color w:val="000000"/>
                <w:sz w:val="22"/>
                <w:szCs w:val="22"/>
              </w:rPr>
            </w:pPr>
            <w:r w:rsidRPr="000D728A">
              <w:rPr>
                <w:rFonts w:ascii="Calibri" w:hAnsi="Calibri" w:cs="Calibri"/>
                <w:b/>
                <w:bCs/>
                <w:color w:val="000000"/>
                <w:sz w:val="22"/>
                <w:szCs w:val="22"/>
              </w:rPr>
              <w:t>Audience</w:t>
            </w:r>
          </w:p>
        </w:tc>
        <w:tc>
          <w:tcPr>
            <w:tcW w:w="1206" w:type="dxa"/>
            <w:tcBorders>
              <w:top w:val="nil"/>
              <w:left w:val="single" w:sz="4" w:space="0" w:color="auto"/>
              <w:bottom w:val="nil"/>
              <w:right w:val="single" w:sz="4" w:space="0" w:color="auto"/>
            </w:tcBorders>
            <w:shd w:val="clear" w:color="auto" w:fill="auto"/>
            <w:noWrap/>
            <w:vAlign w:val="bottom"/>
            <w:hideMark/>
          </w:tcPr>
          <w:p w14:paraId="5778E640" w14:textId="77777777" w:rsidR="00D67C9B" w:rsidRPr="000D728A" w:rsidRDefault="00D67C9B" w:rsidP="00D67C9B">
            <w:pPr>
              <w:spacing w:before="0"/>
              <w:ind w:left="0"/>
              <w:rPr>
                <w:rFonts w:ascii="Calibri" w:hAnsi="Calibri" w:cs="Calibri"/>
                <w:color w:val="000000"/>
                <w:sz w:val="22"/>
                <w:szCs w:val="22"/>
              </w:rPr>
            </w:pPr>
            <w:r w:rsidRPr="000D728A">
              <w:rPr>
                <w:rFonts w:ascii="Calibri" w:hAnsi="Calibri" w:cs="Calibri"/>
                <w:color w:val="000000"/>
                <w:sz w:val="22"/>
                <w:szCs w:val="22"/>
              </w:rPr>
              <w:t> </w:t>
            </w:r>
          </w:p>
        </w:tc>
        <w:tc>
          <w:tcPr>
            <w:tcW w:w="1800" w:type="dxa"/>
            <w:tcBorders>
              <w:top w:val="nil"/>
              <w:left w:val="nil"/>
              <w:bottom w:val="nil"/>
              <w:right w:val="nil"/>
            </w:tcBorders>
            <w:shd w:val="clear" w:color="auto" w:fill="auto"/>
            <w:noWrap/>
            <w:vAlign w:val="bottom"/>
            <w:hideMark/>
          </w:tcPr>
          <w:p w14:paraId="5778E641" w14:textId="77777777" w:rsidR="00D67C9B" w:rsidRPr="000D728A" w:rsidRDefault="00D67C9B" w:rsidP="00D67C9B">
            <w:pPr>
              <w:spacing w:before="0"/>
              <w:ind w:left="0"/>
              <w:jc w:val="center"/>
              <w:rPr>
                <w:rFonts w:ascii="Calibri" w:hAnsi="Calibri" w:cs="Calibri"/>
                <w:color w:val="000000"/>
                <w:sz w:val="22"/>
                <w:szCs w:val="22"/>
              </w:rPr>
            </w:pPr>
          </w:p>
        </w:tc>
        <w:tc>
          <w:tcPr>
            <w:tcW w:w="960" w:type="dxa"/>
            <w:tcBorders>
              <w:top w:val="nil"/>
              <w:left w:val="single" w:sz="4" w:space="0" w:color="auto"/>
              <w:bottom w:val="nil"/>
              <w:right w:val="single" w:sz="4" w:space="0" w:color="auto"/>
            </w:tcBorders>
            <w:shd w:val="clear" w:color="auto" w:fill="auto"/>
            <w:noWrap/>
            <w:vAlign w:val="bottom"/>
            <w:hideMark/>
          </w:tcPr>
          <w:p w14:paraId="5778E642"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 </w:t>
            </w:r>
          </w:p>
        </w:tc>
        <w:tc>
          <w:tcPr>
            <w:tcW w:w="1200" w:type="dxa"/>
            <w:tcBorders>
              <w:top w:val="nil"/>
              <w:left w:val="nil"/>
              <w:bottom w:val="nil"/>
              <w:right w:val="single" w:sz="4" w:space="0" w:color="auto"/>
            </w:tcBorders>
            <w:shd w:val="clear" w:color="auto" w:fill="auto"/>
            <w:noWrap/>
            <w:vAlign w:val="bottom"/>
            <w:hideMark/>
          </w:tcPr>
          <w:p w14:paraId="5778E643"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 </w:t>
            </w:r>
          </w:p>
        </w:tc>
        <w:tc>
          <w:tcPr>
            <w:tcW w:w="1060" w:type="dxa"/>
            <w:tcBorders>
              <w:top w:val="nil"/>
              <w:left w:val="nil"/>
              <w:bottom w:val="nil"/>
              <w:right w:val="single" w:sz="8" w:space="0" w:color="auto"/>
            </w:tcBorders>
            <w:shd w:val="clear" w:color="auto" w:fill="auto"/>
            <w:noWrap/>
            <w:vAlign w:val="bottom"/>
            <w:hideMark/>
          </w:tcPr>
          <w:p w14:paraId="5778E644"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 </w:t>
            </w:r>
          </w:p>
        </w:tc>
      </w:tr>
      <w:tr w:rsidR="00D67C9B" w:rsidRPr="000D728A" w14:paraId="5778E64C" w14:textId="77777777" w:rsidTr="00F95388">
        <w:trPr>
          <w:trHeight w:val="300"/>
        </w:trPr>
        <w:tc>
          <w:tcPr>
            <w:tcW w:w="2860" w:type="dxa"/>
            <w:tcBorders>
              <w:top w:val="nil"/>
              <w:left w:val="single" w:sz="8" w:space="0" w:color="auto"/>
              <w:bottom w:val="nil"/>
              <w:right w:val="nil"/>
            </w:tcBorders>
            <w:shd w:val="clear" w:color="auto" w:fill="auto"/>
            <w:noWrap/>
            <w:vAlign w:val="bottom"/>
            <w:hideMark/>
          </w:tcPr>
          <w:p w14:paraId="5778E646" w14:textId="77777777" w:rsidR="00D67C9B" w:rsidRPr="000D728A" w:rsidRDefault="00D67C9B" w:rsidP="00D67C9B">
            <w:pPr>
              <w:spacing w:before="0"/>
              <w:ind w:left="0"/>
              <w:rPr>
                <w:rFonts w:ascii="Calibri" w:hAnsi="Calibri" w:cs="Calibri"/>
                <w:i/>
                <w:iCs/>
                <w:color w:val="000000"/>
                <w:sz w:val="22"/>
                <w:szCs w:val="22"/>
              </w:rPr>
            </w:pPr>
            <w:r w:rsidRPr="000D728A">
              <w:rPr>
                <w:rFonts w:ascii="Calibri" w:hAnsi="Calibri" w:cs="Calibri"/>
                <w:i/>
                <w:iCs/>
                <w:color w:val="000000"/>
                <w:sz w:val="22"/>
                <w:szCs w:val="22"/>
              </w:rPr>
              <w:t>Film</w:t>
            </w:r>
          </w:p>
        </w:tc>
        <w:tc>
          <w:tcPr>
            <w:tcW w:w="1206" w:type="dxa"/>
            <w:tcBorders>
              <w:top w:val="nil"/>
              <w:left w:val="single" w:sz="4" w:space="0" w:color="auto"/>
              <w:bottom w:val="nil"/>
              <w:right w:val="single" w:sz="4" w:space="0" w:color="auto"/>
            </w:tcBorders>
            <w:shd w:val="clear" w:color="auto" w:fill="auto"/>
            <w:noWrap/>
            <w:vAlign w:val="bottom"/>
            <w:hideMark/>
          </w:tcPr>
          <w:p w14:paraId="5778E647" w14:textId="77777777" w:rsidR="00D67C9B" w:rsidRPr="000D728A" w:rsidRDefault="00D67C9B" w:rsidP="00D67C9B">
            <w:pPr>
              <w:spacing w:before="0"/>
              <w:ind w:left="0"/>
              <w:rPr>
                <w:rFonts w:ascii="Calibri" w:hAnsi="Calibri" w:cs="Calibri"/>
                <w:color w:val="000000"/>
                <w:sz w:val="22"/>
                <w:szCs w:val="22"/>
              </w:rPr>
            </w:pPr>
            <w:r w:rsidRPr="000D728A">
              <w:rPr>
                <w:rFonts w:ascii="Calibri" w:hAnsi="Calibri" w:cs="Calibri"/>
                <w:color w:val="000000"/>
                <w:sz w:val="22"/>
                <w:szCs w:val="22"/>
              </w:rPr>
              <w:t>0.143***</w:t>
            </w:r>
          </w:p>
        </w:tc>
        <w:tc>
          <w:tcPr>
            <w:tcW w:w="1800" w:type="dxa"/>
            <w:tcBorders>
              <w:top w:val="nil"/>
              <w:left w:val="nil"/>
              <w:bottom w:val="nil"/>
              <w:right w:val="nil"/>
            </w:tcBorders>
            <w:shd w:val="clear" w:color="auto" w:fill="auto"/>
            <w:noWrap/>
            <w:vAlign w:val="bottom"/>
            <w:hideMark/>
          </w:tcPr>
          <w:p w14:paraId="5778E648"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3.6%</w:t>
            </w:r>
          </w:p>
        </w:tc>
        <w:tc>
          <w:tcPr>
            <w:tcW w:w="960" w:type="dxa"/>
            <w:tcBorders>
              <w:top w:val="nil"/>
              <w:left w:val="single" w:sz="4" w:space="0" w:color="auto"/>
              <w:bottom w:val="nil"/>
              <w:right w:val="single" w:sz="4" w:space="0" w:color="auto"/>
            </w:tcBorders>
            <w:shd w:val="clear" w:color="auto" w:fill="auto"/>
            <w:noWrap/>
            <w:vAlign w:val="bottom"/>
            <w:hideMark/>
          </w:tcPr>
          <w:p w14:paraId="5778E649"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(0.042)</w:t>
            </w:r>
          </w:p>
        </w:tc>
        <w:tc>
          <w:tcPr>
            <w:tcW w:w="1200" w:type="dxa"/>
            <w:tcBorders>
              <w:top w:val="nil"/>
              <w:left w:val="nil"/>
              <w:bottom w:val="nil"/>
              <w:right w:val="single" w:sz="4" w:space="0" w:color="auto"/>
            </w:tcBorders>
            <w:shd w:val="clear" w:color="auto" w:fill="auto"/>
            <w:noWrap/>
            <w:vAlign w:val="bottom"/>
            <w:hideMark/>
          </w:tcPr>
          <w:p w14:paraId="5778E64A"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14708</w:t>
            </w:r>
          </w:p>
        </w:tc>
        <w:tc>
          <w:tcPr>
            <w:tcW w:w="1060" w:type="dxa"/>
            <w:tcBorders>
              <w:top w:val="nil"/>
              <w:left w:val="nil"/>
              <w:bottom w:val="nil"/>
              <w:right w:val="single" w:sz="8" w:space="0" w:color="auto"/>
            </w:tcBorders>
            <w:shd w:val="clear" w:color="auto" w:fill="auto"/>
            <w:noWrap/>
            <w:vAlign w:val="bottom"/>
            <w:hideMark/>
          </w:tcPr>
          <w:p w14:paraId="5778E64B"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0.09</w:t>
            </w:r>
          </w:p>
        </w:tc>
      </w:tr>
      <w:tr w:rsidR="00D67C9B" w:rsidRPr="000D728A" w14:paraId="5778E653" w14:textId="77777777" w:rsidTr="00F95388">
        <w:trPr>
          <w:trHeight w:val="300"/>
        </w:trPr>
        <w:tc>
          <w:tcPr>
            <w:tcW w:w="2860" w:type="dxa"/>
            <w:tcBorders>
              <w:top w:val="nil"/>
              <w:left w:val="single" w:sz="8" w:space="0" w:color="auto"/>
              <w:bottom w:val="nil"/>
              <w:right w:val="nil"/>
            </w:tcBorders>
            <w:shd w:val="clear" w:color="auto" w:fill="auto"/>
            <w:noWrap/>
            <w:vAlign w:val="bottom"/>
            <w:hideMark/>
          </w:tcPr>
          <w:p w14:paraId="5778E64D" w14:textId="77777777" w:rsidR="00D67C9B" w:rsidRPr="000D728A" w:rsidRDefault="00D67C9B" w:rsidP="00D67C9B">
            <w:pPr>
              <w:spacing w:before="0"/>
              <w:ind w:left="0"/>
              <w:rPr>
                <w:rFonts w:ascii="Calibri" w:hAnsi="Calibri" w:cs="Calibri"/>
                <w:i/>
                <w:iCs/>
                <w:color w:val="000000"/>
                <w:sz w:val="22"/>
                <w:szCs w:val="22"/>
              </w:rPr>
            </w:pPr>
            <w:r w:rsidRPr="000D728A">
              <w:rPr>
                <w:rFonts w:ascii="Calibri" w:hAnsi="Calibri" w:cs="Calibri"/>
                <w:i/>
                <w:iCs/>
                <w:color w:val="000000"/>
                <w:sz w:val="22"/>
                <w:szCs w:val="22"/>
              </w:rPr>
              <w:t>Exhibitions</w:t>
            </w:r>
          </w:p>
        </w:tc>
        <w:tc>
          <w:tcPr>
            <w:tcW w:w="1206" w:type="dxa"/>
            <w:tcBorders>
              <w:top w:val="nil"/>
              <w:left w:val="single" w:sz="4" w:space="0" w:color="auto"/>
              <w:bottom w:val="nil"/>
              <w:right w:val="single" w:sz="4" w:space="0" w:color="auto"/>
            </w:tcBorders>
            <w:shd w:val="clear" w:color="auto" w:fill="auto"/>
            <w:noWrap/>
            <w:vAlign w:val="bottom"/>
            <w:hideMark/>
          </w:tcPr>
          <w:p w14:paraId="5778E64E" w14:textId="77777777" w:rsidR="00D67C9B" w:rsidRPr="000D728A" w:rsidRDefault="00D67C9B" w:rsidP="00D67C9B">
            <w:pPr>
              <w:spacing w:before="0"/>
              <w:ind w:left="0"/>
              <w:rPr>
                <w:rFonts w:ascii="Calibri" w:hAnsi="Calibri" w:cs="Calibri"/>
                <w:color w:val="000000"/>
                <w:sz w:val="22"/>
                <w:szCs w:val="22"/>
              </w:rPr>
            </w:pPr>
            <w:r w:rsidRPr="000D728A">
              <w:rPr>
                <w:rFonts w:ascii="Calibri" w:hAnsi="Calibri" w:cs="Calibri"/>
                <w:color w:val="000000"/>
                <w:sz w:val="22"/>
                <w:szCs w:val="22"/>
              </w:rPr>
              <w:t>0.121***</w:t>
            </w:r>
          </w:p>
        </w:tc>
        <w:tc>
          <w:tcPr>
            <w:tcW w:w="1800" w:type="dxa"/>
            <w:tcBorders>
              <w:top w:val="nil"/>
              <w:left w:val="nil"/>
              <w:bottom w:val="nil"/>
              <w:right w:val="nil"/>
            </w:tcBorders>
            <w:shd w:val="clear" w:color="auto" w:fill="auto"/>
            <w:noWrap/>
            <w:vAlign w:val="bottom"/>
            <w:hideMark/>
          </w:tcPr>
          <w:p w14:paraId="5778E64F"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3.0%</w:t>
            </w:r>
          </w:p>
        </w:tc>
        <w:tc>
          <w:tcPr>
            <w:tcW w:w="960" w:type="dxa"/>
            <w:tcBorders>
              <w:top w:val="nil"/>
              <w:left w:val="single" w:sz="4" w:space="0" w:color="auto"/>
              <w:bottom w:val="nil"/>
              <w:right w:val="single" w:sz="4" w:space="0" w:color="auto"/>
            </w:tcBorders>
            <w:shd w:val="clear" w:color="auto" w:fill="auto"/>
            <w:noWrap/>
            <w:vAlign w:val="bottom"/>
            <w:hideMark/>
          </w:tcPr>
          <w:p w14:paraId="5778E650"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(0.043)</w:t>
            </w:r>
          </w:p>
        </w:tc>
        <w:tc>
          <w:tcPr>
            <w:tcW w:w="1200" w:type="dxa"/>
            <w:tcBorders>
              <w:top w:val="nil"/>
              <w:left w:val="nil"/>
              <w:bottom w:val="nil"/>
              <w:right w:val="single" w:sz="4" w:space="0" w:color="auto"/>
            </w:tcBorders>
            <w:shd w:val="clear" w:color="auto" w:fill="auto"/>
            <w:noWrap/>
            <w:vAlign w:val="bottom"/>
            <w:hideMark/>
          </w:tcPr>
          <w:p w14:paraId="5778E651"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14708</w:t>
            </w:r>
          </w:p>
        </w:tc>
        <w:tc>
          <w:tcPr>
            <w:tcW w:w="1060" w:type="dxa"/>
            <w:tcBorders>
              <w:top w:val="nil"/>
              <w:left w:val="nil"/>
              <w:bottom w:val="nil"/>
              <w:right w:val="single" w:sz="8" w:space="0" w:color="auto"/>
            </w:tcBorders>
            <w:shd w:val="clear" w:color="auto" w:fill="auto"/>
            <w:noWrap/>
            <w:vAlign w:val="bottom"/>
            <w:hideMark/>
          </w:tcPr>
          <w:p w14:paraId="5778E652"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0.09</w:t>
            </w:r>
          </w:p>
        </w:tc>
      </w:tr>
      <w:tr w:rsidR="00D67C9B" w:rsidRPr="000D728A" w14:paraId="5778E65A" w14:textId="77777777" w:rsidTr="00F95388">
        <w:trPr>
          <w:trHeight w:val="300"/>
        </w:trPr>
        <w:tc>
          <w:tcPr>
            <w:tcW w:w="2860" w:type="dxa"/>
            <w:tcBorders>
              <w:top w:val="nil"/>
              <w:left w:val="single" w:sz="8" w:space="0" w:color="auto"/>
              <w:bottom w:val="nil"/>
              <w:right w:val="nil"/>
            </w:tcBorders>
            <w:shd w:val="clear" w:color="auto" w:fill="auto"/>
            <w:noWrap/>
            <w:vAlign w:val="bottom"/>
            <w:hideMark/>
          </w:tcPr>
          <w:p w14:paraId="5778E654" w14:textId="77777777" w:rsidR="00D67C9B" w:rsidRPr="000D728A" w:rsidRDefault="00D67C9B" w:rsidP="00D67C9B">
            <w:pPr>
              <w:spacing w:before="0"/>
              <w:ind w:left="0"/>
              <w:rPr>
                <w:rFonts w:ascii="Calibri" w:hAnsi="Calibri" w:cs="Calibri"/>
                <w:i/>
                <w:iCs/>
                <w:color w:val="000000"/>
                <w:sz w:val="22"/>
                <w:szCs w:val="22"/>
              </w:rPr>
            </w:pPr>
            <w:r w:rsidRPr="000D728A">
              <w:rPr>
                <w:rFonts w:ascii="Calibri" w:hAnsi="Calibri" w:cs="Calibri"/>
                <w:i/>
                <w:iCs/>
                <w:color w:val="000000"/>
                <w:sz w:val="22"/>
                <w:szCs w:val="22"/>
              </w:rPr>
              <w:t>Plays</w:t>
            </w:r>
          </w:p>
        </w:tc>
        <w:tc>
          <w:tcPr>
            <w:tcW w:w="1206" w:type="dxa"/>
            <w:tcBorders>
              <w:top w:val="nil"/>
              <w:left w:val="single" w:sz="4" w:space="0" w:color="auto"/>
              <w:bottom w:val="nil"/>
              <w:right w:val="single" w:sz="4" w:space="0" w:color="auto"/>
            </w:tcBorders>
            <w:shd w:val="clear" w:color="auto" w:fill="auto"/>
            <w:noWrap/>
            <w:vAlign w:val="bottom"/>
            <w:hideMark/>
          </w:tcPr>
          <w:p w14:paraId="5778E655" w14:textId="77777777" w:rsidR="00D67C9B" w:rsidRPr="000D728A" w:rsidRDefault="00D67C9B" w:rsidP="00D67C9B">
            <w:pPr>
              <w:spacing w:before="0"/>
              <w:ind w:left="0"/>
              <w:rPr>
                <w:rFonts w:ascii="Calibri" w:hAnsi="Calibri" w:cs="Calibri"/>
                <w:color w:val="000000"/>
                <w:sz w:val="22"/>
                <w:szCs w:val="22"/>
              </w:rPr>
            </w:pPr>
            <w:r w:rsidRPr="000D728A">
              <w:rPr>
                <w:rFonts w:ascii="Calibri" w:hAnsi="Calibri" w:cs="Calibri"/>
                <w:color w:val="000000"/>
                <w:sz w:val="22"/>
                <w:szCs w:val="22"/>
              </w:rPr>
              <w:t>0.099**</w:t>
            </w:r>
          </w:p>
        </w:tc>
        <w:tc>
          <w:tcPr>
            <w:tcW w:w="1800" w:type="dxa"/>
            <w:tcBorders>
              <w:top w:val="nil"/>
              <w:left w:val="nil"/>
              <w:bottom w:val="nil"/>
              <w:right w:val="nil"/>
            </w:tcBorders>
            <w:shd w:val="clear" w:color="auto" w:fill="auto"/>
            <w:noWrap/>
            <w:vAlign w:val="bottom"/>
            <w:hideMark/>
          </w:tcPr>
          <w:p w14:paraId="5778E656"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2.5%</w:t>
            </w:r>
          </w:p>
        </w:tc>
        <w:tc>
          <w:tcPr>
            <w:tcW w:w="960" w:type="dxa"/>
            <w:tcBorders>
              <w:top w:val="nil"/>
              <w:left w:val="single" w:sz="4" w:space="0" w:color="auto"/>
              <w:bottom w:val="nil"/>
              <w:right w:val="single" w:sz="4" w:space="0" w:color="auto"/>
            </w:tcBorders>
            <w:shd w:val="clear" w:color="auto" w:fill="auto"/>
            <w:noWrap/>
            <w:vAlign w:val="bottom"/>
            <w:hideMark/>
          </w:tcPr>
          <w:p w14:paraId="5778E657"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(0.041)</w:t>
            </w:r>
          </w:p>
        </w:tc>
        <w:tc>
          <w:tcPr>
            <w:tcW w:w="1200" w:type="dxa"/>
            <w:tcBorders>
              <w:top w:val="nil"/>
              <w:left w:val="nil"/>
              <w:bottom w:val="nil"/>
              <w:right w:val="single" w:sz="4" w:space="0" w:color="auto"/>
            </w:tcBorders>
            <w:shd w:val="clear" w:color="auto" w:fill="auto"/>
            <w:noWrap/>
            <w:vAlign w:val="bottom"/>
            <w:hideMark/>
          </w:tcPr>
          <w:p w14:paraId="5778E658"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14708</w:t>
            </w:r>
          </w:p>
        </w:tc>
        <w:tc>
          <w:tcPr>
            <w:tcW w:w="1060" w:type="dxa"/>
            <w:tcBorders>
              <w:top w:val="nil"/>
              <w:left w:val="nil"/>
              <w:bottom w:val="nil"/>
              <w:right w:val="single" w:sz="8" w:space="0" w:color="auto"/>
            </w:tcBorders>
            <w:shd w:val="clear" w:color="auto" w:fill="auto"/>
            <w:noWrap/>
            <w:vAlign w:val="bottom"/>
            <w:hideMark/>
          </w:tcPr>
          <w:p w14:paraId="5778E659"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0.09</w:t>
            </w:r>
          </w:p>
        </w:tc>
      </w:tr>
      <w:tr w:rsidR="00D67C9B" w:rsidRPr="000D728A" w14:paraId="5778E661" w14:textId="77777777" w:rsidTr="00F95388">
        <w:trPr>
          <w:trHeight w:val="300"/>
        </w:trPr>
        <w:tc>
          <w:tcPr>
            <w:tcW w:w="2860" w:type="dxa"/>
            <w:tcBorders>
              <w:top w:val="nil"/>
              <w:left w:val="single" w:sz="8" w:space="0" w:color="auto"/>
              <w:bottom w:val="nil"/>
              <w:right w:val="nil"/>
            </w:tcBorders>
            <w:shd w:val="clear" w:color="auto" w:fill="auto"/>
            <w:noWrap/>
            <w:vAlign w:val="bottom"/>
            <w:hideMark/>
          </w:tcPr>
          <w:p w14:paraId="5778E65B" w14:textId="77777777" w:rsidR="00D67C9B" w:rsidRPr="000D728A" w:rsidRDefault="00D67C9B" w:rsidP="00D67C9B">
            <w:pPr>
              <w:spacing w:before="0"/>
              <w:ind w:left="0"/>
              <w:rPr>
                <w:rFonts w:ascii="Calibri" w:hAnsi="Calibri" w:cs="Calibri"/>
                <w:b/>
                <w:bCs/>
                <w:color w:val="000000"/>
                <w:sz w:val="22"/>
                <w:szCs w:val="22"/>
              </w:rPr>
            </w:pPr>
            <w:r w:rsidRPr="000D728A">
              <w:rPr>
                <w:rFonts w:ascii="Calibri" w:hAnsi="Calibri" w:cs="Calibri"/>
                <w:b/>
                <w:bCs/>
                <w:color w:val="000000"/>
                <w:sz w:val="22"/>
                <w:szCs w:val="22"/>
              </w:rPr>
              <w:t>Participation</w:t>
            </w:r>
          </w:p>
        </w:tc>
        <w:tc>
          <w:tcPr>
            <w:tcW w:w="1206" w:type="dxa"/>
            <w:tcBorders>
              <w:top w:val="nil"/>
              <w:left w:val="single" w:sz="4" w:space="0" w:color="auto"/>
              <w:bottom w:val="nil"/>
              <w:right w:val="single" w:sz="4" w:space="0" w:color="auto"/>
            </w:tcBorders>
            <w:shd w:val="clear" w:color="auto" w:fill="auto"/>
            <w:noWrap/>
            <w:vAlign w:val="bottom"/>
            <w:hideMark/>
          </w:tcPr>
          <w:p w14:paraId="5778E65C" w14:textId="77777777" w:rsidR="00D67C9B" w:rsidRPr="000D728A" w:rsidRDefault="00D67C9B" w:rsidP="00D67C9B">
            <w:pPr>
              <w:spacing w:before="0"/>
              <w:ind w:left="0"/>
              <w:rPr>
                <w:rFonts w:ascii="Calibri" w:hAnsi="Calibri" w:cs="Calibri"/>
                <w:color w:val="000000"/>
                <w:sz w:val="22"/>
                <w:szCs w:val="22"/>
              </w:rPr>
            </w:pPr>
            <w:r w:rsidRPr="000D728A">
              <w:rPr>
                <w:rFonts w:ascii="Calibri" w:hAnsi="Calibri" w:cs="Calibri"/>
                <w:color w:val="000000"/>
                <w:sz w:val="22"/>
                <w:szCs w:val="22"/>
              </w:rPr>
              <w:t> </w:t>
            </w:r>
          </w:p>
        </w:tc>
        <w:tc>
          <w:tcPr>
            <w:tcW w:w="1800" w:type="dxa"/>
            <w:tcBorders>
              <w:top w:val="nil"/>
              <w:left w:val="nil"/>
              <w:bottom w:val="nil"/>
              <w:right w:val="nil"/>
            </w:tcBorders>
            <w:shd w:val="clear" w:color="auto" w:fill="auto"/>
            <w:noWrap/>
            <w:vAlign w:val="bottom"/>
            <w:hideMark/>
          </w:tcPr>
          <w:p w14:paraId="5778E65D" w14:textId="77777777" w:rsidR="00D67C9B" w:rsidRPr="000D728A" w:rsidRDefault="00D67C9B" w:rsidP="00D67C9B">
            <w:pPr>
              <w:spacing w:before="0"/>
              <w:ind w:left="0"/>
              <w:jc w:val="center"/>
              <w:rPr>
                <w:rFonts w:ascii="Calibri" w:hAnsi="Calibri" w:cs="Calibri"/>
                <w:color w:val="000000"/>
                <w:sz w:val="22"/>
                <w:szCs w:val="22"/>
              </w:rPr>
            </w:pPr>
          </w:p>
        </w:tc>
        <w:tc>
          <w:tcPr>
            <w:tcW w:w="960" w:type="dxa"/>
            <w:tcBorders>
              <w:top w:val="nil"/>
              <w:left w:val="single" w:sz="4" w:space="0" w:color="auto"/>
              <w:bottom w:val="nil"/>
              <w:right w:val="single" w:sz="4" w:space="0" w:color="auto"/>
            </w:tcBorders>
            <w:shd w:val="clear" w:color="auto" w:fill="auto"/>
            <w:noWrap/>
            <w:vAlign w:val="bottom"/>
            <w:hideMark/>
          </w:tcPr>
          <w:p w14:paraId="5778E65E"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 </w:t>
            </w:r>
          </w:p>
        </w:tc>
        <w:tc>
          <w:tcPr>
            <w:tcW w:w="1200" w:type="dxa"/>
            <w:tcBorders>
              <w:top w:val="nil"/>
              <w:left w:val="nil"/>
              <w:bottom w:val="nil"/>
              <w:right w:val="single" w:sz="4" w:space="0" w:color="auto"/>
            </w:tcBorders>
            <w:shd w:val="clear" w:color="auto" w:fill="auto"/>
            <w:noWrap/>
            <w:vAlign w:val="bottom"/>
            <w:hideMark/>
          </w:tcPr>
          <w:p w14:paraId="5778E65F"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 </w:t>
            </w:r>
          </w:p>
        </w:tc>
        <w:tc>
          <w:tcPr>
            <w:tcW w:w="1060" w:type="dxa"/>
            <w:tcBorders>
              <w:top w:val="nil"/>
              <w:left w:val="nil"/>
              <w:bottom w:val="nil"/>
              <w:right w:val="single" w:sz="8" w:space="0" w:color="auto"/>
            </w:tcBorders>
            <w:shd w:val="clear" w:color="auto" w:fill="auto"/>
            <w:noWrap/>
            <w:vAlign w:val="bottom"/>
            <w:hideMark/>
          </w:tcPr>
          <w:p w14:paraId="5778E660"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 </w:t>
            </w:r>
          </w:p>
        </w:tc>
      </w:tr>
      <w:tr w:rsidR="00D67C9B" w:rsidRPr="000D728A" w14:paraId="5778E668" w14:textId="77777777" w:rsidTr="00F95388">
        <w:trPr>
          <w:trHeight w:val="315"/>
        </w:trPr>
        <w:tc>
          <w:tcPr>
            <w:tcW w:w="2860" w:type="dxa"/>
            <w:tcBorders>
              <w:top w:val="nil"/>
              <w:left w:val="single" w:sz="8" w:space="0" w:color="auto"/>
              <w:bottom w:val="single" w:sz="8" w:space="0" w:color="auto"/>
              <w:right w:val="nil"/>
            </w:tcBorders>
            <w:shd w:val="clear" w:color="auto" w:fill="auto"/>
            <w:noWrap/>
            <w:vAlign w:val="bottom"/>
            <w:hideMark/>
          </w:tcPr>
          <w:p w14:paraId="5778E662" w14:textId="77777777" w:rsidR="00D67C9B" w:rsidRPr="000D728A" w:rsidRDefault="00D67C9B" w:rsidP="00D67C9B">
            <w:pPr>
              <w:spacing w:before="0"/>
              <w:ind w:left="0"/>
              <w:rPr>
                <w:rFonts w:ascii="Calibri" w:hAnsi="Calibri" w:cs="Calibri"/>
                <w:i/>
                <w:iCs/>
                <w:color w:val="000000"/>
                <w:sz w:val="22"/>
                <w:szCs w:val="22"/>
              </w:rPr>
            </w:pPr>
            <w:r w:rsidRPr="000D728A">
              <w:rPr>
                <w:rFonts w:ascii="Calibri" w:hAnsi="Calibri" w:cs="Calibri"/>
                <w:i/>
                <w:iCs/>
                <w:color w:val="000000"/>
                <w:sz w:val="22"/>
                <w:szCs w:val="22"/>
              </w:rPr>
              <w:t>Art</w:t>
            </w:r>
          </w:p>
        </w:tc>
        <w:tc>
          <w:tcPr>
            <w:tcW w:w="1206" w:type="dxa"/>
            <w:tcBorders>
              <w:top w:val="nil"/>
              <w:left w:val="single" w:sz="4" w:space="0" w:color="auto"/>
              <w:bottom w:val="single" w:sz="8" w:space="0" w:color="auto"/>
              <w:right w:val="single" w:sz="4" w:space="0" w:color="auto"/>
            </w:tcBorders>
            <w:shd w:val="clear" w:color="auto" w:fill="auto"/>
            <w:noWrap/>
            <w:vAlign w:val="bottom"/>
            <w:hideMark/>
          </w:tcPr>
          <w:p w14:paraId="5778E663" w14:textId="77777777" w:rsidR="00D67C9B" w:rsidRPr="000D728A" w:rsidRDefault="00D67C9B" w:rsidP="00D67C9B">
            <w:pPr>
              <w:spacing w:before="0"/>
              <w:ind w:left="0"/>
              <w:rPr>
                <w:rFonts w:ascii="Calibri" w:hAnsi="Calibri" w:cs="Calibri"/>
                <w:color w:val="000000"/>
                <w:sz w:val="22"/>
                <w:szCs w:val="22"/>
              </w:rPr>
            </w:pPr>
            <w:r w:rsidRPr="000D728A">
              <w:rPr>
                <w:rFonts w:ascii="Calibri" w:hAnsi="Calibri" w:cs="Calibri"/>
                <w:color w:val="000000"/>
                <w:sz w:val="22"/>
                <w:szCs w:val="22"/>
              </w:rPr>
              <w:t>-0.185***</w:t>
            </w:r>
          </w:p>
        </w:tc>
        <w:tc>
          <w:tcPr>
            <w:tcW w:w="1800" w:type="dxa"/>
            <w:tcBorders>
              <w:top w:val="nil"/>
              <w:left w:val="nil"/>
              <w:bottom w:val="single" w:sz="8" w:space="0" w:color="auto"/>
              <w:right w:val="nil"/>
            </w:tcBorders>
            <w:shd w:val="clear" w:color="auto" w:fill="auto"/>
            <w:noWrap/>
            <w:vAlign w:val="bottom"/>
            <w:hideMark/>
          </w:tcPr>
          <w:p w14:paraId="5778E664"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-4.6%</w:t>
            </w:r>
          </w:p>
        </w:tc>
        <w:tc>
          <w:tcPr>
            <w:tcW w:w="960" w:type="dxa"/>
            <w:tcBorders>
              <w:top w:val="nil"/>
              <w:left w:val="single" w:sz="4" w:space="0" w:color="auto"/>
              <w:bottom w:val="single" w:sz="8" w:space="0" w:color="auto"/>
              <w:right w:val="single" w:sz="4" w:space="0" w:color="auto"/>
            </w:tcBorders>
            <w:shd w:val="clear" w:color="auto" w:fill="auto"/>
            <w:noWrap/>
            <w:vAlign w:val="bottom"/>
            <w:hideMark/>
          </w:tcPr>
          <w:p w14:paraId="5778E665"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(0.041)</w:t>
            </w:r>
          </w:p>
        </w:tc>
        <w:tc>
          <w:tcPr>
            <w:tcW w:w="1200" w:type="dxa"/>
            <w:tcBorders>
              <w:top w:val="nil"/>
              <w:left w:val="nil"/>
              <w:bottom w:val="single" w:sz="8" w:space="0" w:color="auto"/>
              <w:right w:val="single" w:sz="4" w:space="0" w:color="auto"/>
            </w:tcBorders>
            <w:shd w:val="clear" w:color="auto" w:fill="auto"/>
            <w:noWrap/>
            <w:vAlign w:val="bottom"/>
            <w:hideMark/>
          </w:tcPr>
          <w:p w14:paraId="5778E666"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14708</w:t>
            </w:r>
          </w:p>
        </w:tc>
        <w:tc>
          <w:tcPr>
            <w:tcW w:w="1060" w:type="dxa"/>
            <w:tcBorders>
              <w:top w:val="nil"/>
              <w:left w:val="nil"/>
              <w:bottom w:val="single" w:sz="8" w:space="0" w:color="auto"/>
              <w:right w:val="single" w:sz="8" w:space="0" w:color="auto"/>
            </w:tcBorders>
            <w:shd w:val="clear" w:color="auto" w:fill="auto"/>
            <w:noWrap/>
            <w:vAlign w:val="bottom"/>
            <w:hideMark/>
          </w:tcPr>
          <w:p w14:paraId="5778E667"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0.09</w:t>
            </w:r>
          </w:p>
        </w:tc>
      </w:tr>
    </w:tbl>
    <w:p w14:paraId="5778E66A" w14:textId="77777777" w:rsidR="00B72AB2" w:rsidRPr="000D728A" w:rsidRDefault="00B72AB2" w:rsidP="00F95388">
      <w:pPr>
        <w:ind w:left="720"/>
        <w:rPr>
          <w:rFonts w:cs="Arial"/>
        </w:rPr>
      </w:pPr>
      <w:r w:rsidRPr="000D728A">
        <w:rPr>
          <w:rFonts w:cs="Arial"/>
          <w:sz w:val="18"/>
          <w:szCs w:val="18"/>
        </w:rPr>
        <w:t xml:space="preserve">Notes: Logit model. *** 0.01 significance level, ** 0.05 significance level. S.E. = Standard errors (in parentheses). R-Squared = </w:t>
      </w:r>
      <w:r w:rsidRPr="000D728A">
        <w:rPr>
          <w:rFonts w:cs="Arial"/>
          <w:i/>
          <w:sz w:val="18"/>
          <w:szCs w:val="18"/>
        </w:rPr>
        <w:t>Psuedo</w:t>
      </w:r>
      <w:r w:rsidRPr="000D728A">
        <w:rPr>
          <w:rFonts w:cs="Arial"/>
          <w:sz w:val="18"/>
          <w:szCs w:val="18"/>
        </w:rPr>
        <w:t xml:space="preserve"> </w:t>
      </w:r>
      <w:r w:rsidRPr="000D728A">
        <w:rPr>
          <w:rFonts w:cs="Arial"/>
          <w:i/>
          <w:sz w:val="18"/>
          <w:szCs w:val="18"/>
        </w:rPr>
        <w:t>R-Squared</w:t>
      </w:r>
      <w:r w:rsidRPr="000D728A">
        <w:rPr>
          <w:rFonts w:cs="Arial"/>
          <w:sz w:val="18"/>
          <w:szCs w:val="18"/>
        </w:rPr>
        <w:t>. Probability impacts calculated at the sample mean values of the other covariates. Probability = increase in likelihood of reporting good health.</w:t>
      </w:r>
    </w:p>
    <w:p w14:paraId="5778E66B" w14:textId="77777777" w:rsidR="00B72AB2" w:rsidRPr="000D728A" w:rsidRDefault="00B72AB2" w:rsidP="00B72AB2">
      <w:pPr>
        <w:rPr>
          <w:rFonts w:cs="Arial"/>
        </w:rPr>
      </w:pPr>
    </w:p>
    <w:p w14:paraId="5778E66C" w14:textId="77777777" w:rsidR="00B72AB2" w:rsidRPr="000D728A" w:rsidRDefault="00B72AB2" w:rsidP="00B72AB2">
      <w:pPr>
        <w:rPr>
          <w:rFonts w:cs="Arial"/>
        </w:rPr>
      </w:pPr>
      <w:r w:rsidRPr="000D728A">
        <w:rPr>
          <w:rFonts w:cs="Arial"/>
          <w:b/>
        </w:rPr>
        <w:lastRenderedPageBreak/>
        <w:t>We find that all sporting variables were highly significant determinants of self-reported health.</w:t>
      </w:r>
      <w:r w:rsidRPr="000D728A">
        <w:rPr>
          <w:rFonts w:cs="Arial"/>
        </w:rPr>
        <w:t xml:space="preserve"> As a whole people who do sports are 14% more likely to report good health. Team sports and individual sports were both positive, with a larger impact for individual sports on health. When broken down further fitness, football, swimming and cycling were all highly significant determinants of self-reported health.  </w:t>
      </w:r>
    </w:p>
    <w:p w14:paraId="5778E66D" w14:textId="77777777" w:rsidR="00B72AB2" w:rsidRPr="000D728A" w:rsidRDefault="00B72AB2" w:rsidP="00F95388">
      <w:pPr>
        <w:ind w:left="0"/>
        <w:rPr>
          <w:rFonts w:cs="Arial"/>
        </w:rPr>
      </w:pPr>
    </w:p>
    <w:p w14:paraId="5778E66E" w14:textId="77777777" w:rsidR="00B72AB2" w:rsidRPr="000D728A" w:rsidRDefault="00B72AB2" w:rsidP="00B72AB2">
      <w:pPr>
        <w:rPr>
          <w:rFonts w:cs="Arial"/>
        </w:rPr>
      </w:pPr>
      <w:r w:rsidRPr="000D728A">
        <w:rPr>
          <w:rFonts w:cs="Arial"/>
        </w:rPr>
        <w:t xml:space="preserve">Interestingly, </w:t>
      </w:r>
      <w:r w:rsidRPr="000D728A">
        <w:rPr>
          <w:rFonts w:cs="Arial"/>
          <w:b/>
        </w:rPr>
        <w:t xml:space="preserve">attendance at arts events has an effect on health but participation in arts does not. </w:t>
      </w:r>
      <w:r w:rsidRPr="000D728A">
        <w:rPr>
          <w:rFonts w:cs="Arial"/>
        </w:rPr>
        <w:t>Attending the arts is associated with a 5% increase in the likelihood of reporting good health. Within the audience variables film (cinema), exhibitions and plays and dramas all had significant positive impacts and music audience was positive and significant at the 10% level. The participation variables were a mix of positive and negative effects, which were all insignificant except art participation and this explains why the overall participation variable was found to be insignificant. Participation in art was actually found to have a negative impact on health, although this may be explained to some extent by reverse causality; that is, unhealthy people may be more likely to engage in arts. As we would expect the sports variables had much larger impacts on self-reported health than the arts variables.</w:t>
      </w:r>
    </w:p>
    <w:p w14:paraId="5778E66F" w14:textId="77777777" w:rsidR="00B72AB2" w:rsidRPr="000D728A" w:rsidRDefault="00B72AB2" w:rsidP="00B72AB2">
      <w:pPr>
        <w:rPr>
          <w:rFonts w:cs="Arial"/>
        </w:rPr>
      </w:pPr>
    </w:p>
    <w:p w14:paraId="5778E670" w14:textId="77777777" w:rsidR="00B72AB2" w:rsidRPr="000D728A" w:rsidRDefault="00B72AB2" w:rsidP="00B72AB2">
      <w:pPr>
        <w:rPr>
          <w:rFonts w:cs="Arial"/>
          <w:b/>
        </w:rPr>
      </w:pPr>
      <w:r w:rsidRPr="000D728A">
        <w:rPr>
          <w:rFonts w:cs="Arial"/>
          <w:b/>
        </w:rPr>
        <w:t>Distributional impacts</w:t>
      </w:r>
    </w:p>
    <w:p w14:paraId="5778E672" w14:textId="4C7A5159" w:rsidR="00B72AB2" w:rsidRPr="001008F7" w:rsidRDefault="00B72AB2" w:rsidP="001008F7">
      <w:pPr>
        <w:rPr>
          <w:rFonts w:cs="Arial"/>
          <w:b/>
        </w:rPr>
      </w:pPr>
      <w:r w:rsidRPr="000D728A">
        <w:rPr>
          <w:rFonts w:cs="Arial"/>
        </w:rPr>
        <w:t xml:space="preserve">None of the interactive effects were significant for the arts or sports related variables. </w:t>
      </w:r>
      <w:r w:rsidRPr="000D728A">
        <w:rPr>
          <w:rFonts w:cs="Arial"/>
          <w:b/>
        </w:rPr>
        <w:t>This implies that impacts of culture and sport on self-reported health are homogenous or constant across different gender, age, income and geographical groups.</w:t>
      </w:r>
    </w:p>
    <w:p w14:paraId="5778E673" w14:textId="77777777" w:rsidR="00B72AB2" w:rsidRPr="000D728A" w:rsidRDefault="00B72AB2" w:rsidP="00B72AB2">
      <w:pPr>
        <w:rPr>
          <w:rFonts w:cs="Arial"/>
          <w:b/>
          <w:i/>
        </w:rPr>
      </w:pPr>
    </w:p>
    <w:p w14:paraId="5778E674" w14:textId="77777777" w:rsidR="00B72AB2" w:rsidRPr="000D728A" w:rsidRDefault="00B72AB2" w:rsidP="00B72AB2">
      <w:pPr>
        <w:rPr>
          <w:rFonts w:cs="Arial"/>
          <w:b/>
        </w:rPr>
      </w:pPr>
      <w:r w:rsidRPr="000D728A">
        <w:rPr>
          <w:rFonts w:cs="Arial"/>
          <w:b/>
        </w:rPr>
        <w:t>C.1.2 GHQ36</w:t>
      </w:r>
    </w:p>
    <w:p w14:paraId="5778E676" w14:textId="1EF90066" w:rsidR="00B72AB2" w:rsidRPr="000D728A" w:rsidRDefault="00B72AB2" w:rsidP="00F95388">
      <w:pPr>
        <w:rPr>
          <w:rFonts w:cs="Arial"/>
        </w:rPr>
      </w:pPr>
      <w:r w:rsidRPr="000D728A">
        <w:rPr>
          <w:rFonts w:cs="Arial"/>
        </w:rPr>
        <w:t>Table 9 presents the OLS estimates of the impacts of culture and sports variables on GHQ36. Since higher GHQ36 scores represent worse health states, negative coefficients suggest a positive impact on health.</w:t>
      </w:r>
    </w:p>
    <w:p w14:paraId="5778E678" w14:textId="52AF0253" w:rsidR="00B72AB2" w:rsidRPr="00F95388" w:rsidRDefault="00B72AB2" w:rsidP="00F95388">
      <w:pPr>
        <w:rPr>
          <w:rFonts w:cs="Arial"/>
          <w:b/>
        </w:rPr>
      </w:pPr>
      <w:r w:rsidRPr="000D728A">
        <w:rPr>
          <w:rFonts w:cs="Arial"/>
          <w:b/>
        </w:rPr>
        <w:t xml:space="preserve">Table 9. Effects of culture and sport on GHQ36 </w:t>
      </w:r>
    </w:p>
    <w:tbl>
      <w:tblPr>
        <w:tblW w:w="6266" w:type="dxa"/>
        <w:tblInd w:w="2093" w:type="dxa"/>
        <w:tblLook w:val="04A0" w:firstRow="1" w:lastRow="0" w:firstColumn="1" w:lastColumn="0" w:noHBand="0" w:noVBand="1"/>
      </w:tblPr>
      <w:tblGrid>
        <w:gridCol w:w="1840"/>
        <w:gridCol w:w="1206"/>
        <w:gridCol w:w="960"/>
        <w:gridCol w:w="1200"/>
        <w:gridCol w:w="1060"/>
      </w:tblGrid>
      <w:tr w:rsidR="00D67C9B" w:rsidRPr="000D728A" w14:paraId="5778E67E" w14:textId="77777777" w:rsidTr="00C244CD">
        <w:trPr>
          <w:trHeight w:val="315"/>
        </w:trPr>
        <w:tc>
          <w:tcPr>
            <w:tcW w:w="1840" w:type="dxa"/>
            <w:tcBorders>
              <w:top w:val="single" w:sz="8" w:space="0" w:color="auto"/>
              <w:left w:val="single" w:sz="8" w:space="0" w:color="auto"/>
              <w:bottom w:val="double" w:sz="6" w:space="0" w:color="auto"/>
              <w:right w:val="nil"/>
            </w:tcBorders>
            <w:shd w:val="clear" w:color="000000" w:fill="0070C0"/>
            <w:noWrap/>
            <w:vAlign w:val="bottom"/>
            <w:hideMark/>
          </w:tcPr>
          <w:p w14:paraId="5778E679" w14:textId="77777777" w:rsidR="00D67C9B" w:rsidRPr="000D728A" w:rsidRDefault="00D67C9B" w:rsidP="00D67C9B">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Model &amp; variables</w:t>
            </w:r>
          </w:p>
        </w:tc>
        <w:tc>
          <w:tcPr>
            <w:tcW w:w="1206" w:type="dxa"/>
            <w:tcBorders>
              <w:top w:val="single" w:sz="8" w:space="0" w:color="auto"/>
              <w:left w:val="single" w:sz="4" w:space="0" w:color="auto"/>
              <w:bottom w:val="double" w:sz="6" w:space="0" w:color="auto"/>
              <w:right w:val="single" w:sz="4" w:space="0" w:color="auto"/>
            </w:tcBorders>
            <w:shd w:val="clear" w:color="000000" w:fill="0070C0"/>
            <w:noWrap/>
            <w:vAlign w:val="bottom"/>
            <w:hideMark/>
          </w:tcPr>
          <w:p w14:paraId="5778E67A" w14:textId="77777777" w:rsidR="00D67C9B" w:rsidRPr="000D728A" w:rsidRDefault="00D67C9B" w:rsidP="00D67C9B">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Coefficient</w:t>
            </w:r>
          </w:p>
        </w:tc>
        <w:tc>
          <w:tcPr>
            <w:tcW w:w="960" w:type="dxa"/>
            <w:tcBorders>
              <w:top w:val="single" w:sz="8" w:space="0" w:color="auto"/>
              <w:left w:val="nil"/>
              <w:bottom w:val="double" w:sz="6" w:space="0" w:color="auto"/>
              <w:right w:val="single" w:sz="4" w:space="0" w:color="auto"/>
            </w:tcBorders>
            <w:shd w:val="clear" w:color="000000" w:fill="0070C0"/>
            <w:noWrap/>
            <w:vAlign w:val="bottom"/>
            <w:hideMark/>
          </w:tcPr>
          <w:p w14:paraId="5778E67B" w14:textId="77777777" w:rsidR="00D67C9B" w:rsidRPr="000D728A" w:rsidRDefault="00D67C9B" w:rsidP="00D67C9B">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S.E.</w:t>
            </w:r>
          </w:p>
        </w:tc>
        <w:tc>
          <w:tcPr>
            <w:tcW w:w="1200" w:type="dxa"/>
            <w:tcBorders>
              <w:top w:val="single" w:sz="8" w:space="0" w:color="auto"/>
              <w:left w:val="nil"/>
              <w:bottom w:val="double" w:sz="6" w:space="0" w:color="auto"/>
              <w:right w:val="single" w:sz="4" w:space="0" w:color="auto"/>
            </w:tcBorders>
            <w:shd w:val="clear" w:color="000000" w:fill="0070C0"/>
            <w:noWrap/>
            <w:vAlign w:val="bottom"/>
            <w:hideMark/>
          </w:tcPr>
          <w:p w14:paraId="5778E67C" w14:textId="77777777" w:rsidR="00D67C9B" w:rsidRPr="000D728A" w:rsidRDefault="00D67C9B" w:rsidP="00D67C9B">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Sample size</w:t>
            </w:r>
          </w:p>
        </w:tc>
        <w:tc>
          <w:tcPr>
            <w:tcW w:w="1060" w:type="dxa"/>
            <w:tcBorders>
              <w:top w:val="single" w:sz="8" w:space="0" w:color="auto"/>
              <w:left w:val="nil"/>
              <w:bottom w:val="double" w:sz="6" w:space="0" w:color="auto"/>
              <w:right w:val="single" w:sz="8" w:space="0" w:color="auto"/>
            </w:tcBorders>
            <w:shd w:val="clear" w:color="000000" w:fill="0070C0"/>
            <w:noWrap/>
            <w:vAlign w:val="bottom"/>
            <w:hideMark/>
          </w:tcPr>
          <w:p w14:paraId="5778E67D" w14:textId="77777777" w:rsidR="00D67C9B" w:rsidRPr="000D728A" w:rsidRDefault="00D67C9B" w:rsidP="00D67C9B">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R-Squared</w:t>
            </w:r>
          </w:p>
        </w:tc>
      </w:tr>
      <w:tr w:rsidR="00D67C9B" w:rsidRPr="000D728A" w14:paraId="5778E684" w14:textId="77777777" w:rsidTr="00C244CD">
        <w:trPr>
          <w:trHeight w:val="330"/>
        </w:trPr>
        <w:tc>
          <w:tcPr>
            <w:tcW w:w="1840" w:type="dxa"/>
            <w:tcBorders>
              <w:top w:val="single" w:sz="4" w:space="0" w:color="auto"/>
              <w:left w:val="single" w:sz="8" w:space="0" w:color="auto"/>
              <w:bottom w:val="single" w:sz="4" w:space="0" w:color="auto"/>
              <w:right w:val="nil"/>
            </w:tcBorders>
            <w:shd w:val="clear" w:color="000000" w:fill="0070C0"/>
            <w:noWrap/>
            <w:vAlign w:val="bottom"/>
            <w:hideMark/>
          </w:tcPr>
          <w:p w14:paraId="5778E67F" w14:textId="77777777" w:rsidR="00D67C9B" w:rsidRPr="000D728A" w:rsidRDefault="00D67C9B" w:rsidP="00D67C9B">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Sports</w:t>
            </w:r>
          </w:p>
        </w:tc>
        <w:tc>
          <w:tcPr>
            <w:tcW w:w="1206" w:type="dxa"/>
            <w:tcBorders>
              <w:top w:val="nil"/>
              <w:left w:val="single" w:sz="4" w:space="0" w:color="auto"/>
              <w:bottom w:val="nil"/>
              <w:right w:val="single" w:sz="4" w:space="0" w:color="auto"/>
            </w:tcBorders>
            <w:shd w:val="clear" w:color="000000" w:fill="0070C0"/>
            <w:noWrap/>
            <w:vAlign w:val="bottom"/>
            <w:hideMark/>
          </w:tcPr>
          <w:p w14:paraId="5778E680" w14:textId="77777777" w:rsidR="00D67C9B" w:rsidRPr="000D728A" w:rsidRDefault="00D67C9B" w:rsidP="00D67C9B">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 </w:t>
            </w:r>
          </w:p>
        </w:tc>
        <w:tc>
          <w:tcPr>
            <w:tcW w:w="960" w:type="dxa"/>
            <w:tcBorders>
              <w:top w:val="nil"/>
              <w:left w:val="nil"/>
              <w:bottom w:val="nil"/>
              <w:right w:val="single" w:sz="4" w:space="0" w:color="auto"/>
            </w:tcBorders>
            <w:shd w:val="clear" w:color="000000" w:fill="0070C0"/>
            <w:noWrap/>
            <w:vAlign w:val="bottom"/>
            <w:hideMark/>
          </w:tcPr>
          <w:p w14:paraId="5778E681" w14:textId="77777777" w:rsidR="00D67C9B" w:rsidRPr="000D728A" w:rsidRDefault="00D67C9B" w:rsidP="00D67C9B">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 </w:t>
            </w:r>
          </w:p>
        </w:tc>
        <w:tc>
          <w:tcPr>
            <w:tcW w:w="1200" w:type="dxa"/>
            <w:tcBorders>
              <w:top w:val="nil"/>
              <w:left w:val="nil"/>
              <w:bottom w:val="nil"/>
              <w:right w:val="single" w:sz="4" w:space="0" w:color="auto"/>
            </w:tcBorders>
            <w:shd w:val="clear" w:color="000000" w:fill="0070C0"/>
            <w:noWrap/>
            <w:vAlign w:val="bottom"/>
            <w:hideMark/>
          </w:tcPr>
          <w:p w14:paraId="5778E682" w14:textId="77777777" w:rsidR="00D67C9B" w:rsidRPr="000D728A" w:rsidRDefault="00D67C9B" w:rsidP="00D67C9B">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 </w:t>
            </w:r>
          </w:p>
        </w:tc>
        <w:tc>
          <w:tcPr>
            <w:tcW w:w="1060" w:type="dxa"/>
            <w:tcBorders>
              <w:top w:val="nil"/>
              <w:left w:val="nil"/>
              <w:bottom w:val="nil"/>
              <w:right w:val="single" w:sz="8" w:space="0" w:color="auto"/>
            </w:tcBorders>
            <w:shd w:val="clear" w:color="000000" w:fill="0070C0"/>
            <w:noWrap/>
            <w:vAlign w:val="bottom"/>
            <w:hideMark/>
          </w:tcPr>
          <w:p w14:paraId="5778E683" w14:textId="77777777" w:rsidR="00D67C9B" w:rsidRPr="000D728A" w:rsidRDefault="00D67C9B" w:rsidP="00D67C9B">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 </w:t>
            </w:r>
          </w:p>
        </w:tc>
      </w:tr>
      <w:tr w:rsidR="00D67C9B" w:rsidRPr="000D728A" w14:paraId="5778E68A" w14:textId="77777777" w:rsidTr="00C244CD">
        <w:trPr>
          <w:trHeight w:val="315"/>
        </w:trPr>
        <w:tc>
          <w:tcPr>
            <w:tcW w:w="1840" w:type="dxa"/>
            <w:tcBorders>
              <w:top w:val="nil"/>
              <w:left w:val="single" w:sz="8" w:space="0" w:color="auto"/>
              <w:bottom w:val="nil"/>
              <w:right w:val="nil"/>
            </w:tcBorders>
            <w:shd w:val="clear" w:color="auto" w:fill="auto"/>
            <w:noWrap/>
            <w:vAlign w:val="bottom"/>
            <w:hideMark/>
          </w:tcPr>
          <w:p w14:paraId="5778E685" w14:textId="77777777" w:rsidR="00D67C9B" w:rsidRPr="000D728A" w:rsidRDefault="00D67C9B" w:rsidP="00D67C9B">
            <w:pPr>
              <w:spacing w:before="0"/>
              <w:ind w:left="0"/>
              <w:rPr>
                <w:rFonts w:ascii="Calibri" w:hAnsi="Calibri" w:cs="Calibri"/>
                <w:i/>
                <w:iCs/>
                <w:sz w:val="22"/>
                <w:szCs w:val="22"/>
              </w:rPr>
            </w:pPr>
            <w:r w:rsidRPr="000D728A">
              <w:rPr>
                <w:rFonts w:ascii="Calibri" w:hAnsi="Calibri" w:cs="Calibri"/>
                <w:i/>
                <w:iCs/>
                <w:sz w:val="22"/>
                <w:szCs w:val="22"/>
              </w:rPr>
              <w:t>All sports</w:t>
            </w:r>
          </w:p>
        </w:tc>
        <w:tc>
          <w:tcPr>
            <w:tcW w:w="1206" w:type="dxa"/>
            <w:tcBorders>
              <w:top w:val="double" w:sz="6" w:space="0" w:color="auto"/>
              <w:left w:val="single" w:sz="4" w:space="0" w:color="auto"/>
              <w:bottom w:val="nil"/>
              <w:right w:val="single" w:sz="4" w:space="0" w:color="auto"/>
            </w:tcBorders>
            <w:shd w:val="clear" w:color="auto" w:fill="auto"/>
            <w:noWrap/>
            <w:vAlign w:val="bottom"/>
            <w:hideMark/>
          </w:tcPr>
          <w:p w14:paraId="5778E686" w14:textId="77777777" w:rsidR="00D67C9B" w:rsidRPr="000D728A" w:rsidRDefault="00D67C9B" w:rsidP="00D67C9B">
            <w:pPr>
              <w:spacing w:before="0"/>
              <w:ind w:left="0"/>
              <w:rPr>
                <w:rFonts w:ascii="Calibri" w:hAnsi="Calibri" w:cs="Calibri"/>
                <w:sz w:val="22"/>
                <w:szCs w:val="22"/>
              </w:rPr>
            </w:pPr>
            <w:r w:rsidRPr="000D728A">
              <w:rPr>
                <w:rFonts w:ascii="Calibri" w:hAnsi="Calibri" w:cs="Calibri"/>
                <w:sz w:val="22"/>
                <w:szCs w:val="22"/>
              </w:rPr>
              <w:t>-0.698***</w:t>
            </w:r>
          </w:p>
        </w:tc>
        <w:tc>
          <w:tcPr>
            <w:tcW w:w="960" w:type="dxa"/>
            <w:tcBorders>
              <w:top w:val="nil"/>
              <w:left w:val="nil"/>
              <w:bottom w:val="nil"/>
              <w:right w:val="nil"/>
            </w:tcBorders>
            <w:shd w:val="clear" w:color="auto" w:fill="auto"/>
            <w:noWrap/>
            <w:vAlign w:val="bottom"/>
            <w:hideMark/>
          </w:tcPr>
          <w:p w14:paraId="5778E687"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(0.086)</w:t>
            </w:r>
          </w:p>
        </w:tc>
        <w:tc>
          <w:tcPr>
            <w:tcW w:w="1200" w:type="dxa"/>
            <w:tcBorders>
              <w:top w:val="nil"/>
              <w:left w:val="single" w:sz="4" w:space="0" w:color="auto"/>
              <w:bottom w:val="nil"/>
              <w:right w:val="single" w:sz="4" w:space="0" w:color="auto"/>
            </w:tcBorders>
            <w:shd w:val="clear" w:color="auto" w:fill="auto"/>
            <w:noWrap/>
            <w:vAlign w:val="bottom"/>
            <w:hideMark/>
          </w:tcPr>
          <w:p w14:paraId="5778E688"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14608</w:t>
            </w:r>
          </w:p>
        </w:tc>
        <w:tc>
          <w:tcPr>
            <w:tcW w:w="1060" w:type="dxa"/>
            <w:tcBorders>
              <w:top w:val="nil"/>
              <w:left w:val="nil"/>
              <w:bottom w:val="nil"/>
              <w:right w:val="single" w:sz="8" w:space="0" w:color="auto"/>
            </w:tcBorders>
            <w:shd w:val="clear" w:color="auto" w:fill="auto"/>
            <w:noWrap/>
            <w:vAlign w:val="bottom"/>
            <w:hideMark/>
          </w:tcPr>
          <w:p w14:paraId="5778E689"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0.064</w:t>
            </w:r>
          </w:p>
        </w:tc>
      </w:tr>
      <w:tr w:rsidR="00D67C9B" w:rsidRPr="000D728A" w14:paraId="5778E690" w14:textId="77777777" w:rsidTr="00C244CD">
        <w:trPr>
          <w:trHeight w:val="300"/>
        </w:trPr>
        <w:tc>
          <w:tcPr>
            <w:tcW w:w="1840" w:type="dxa"/>
            <w:tcBorders>
              <w:top w:val="nil"/>
              <w:left w:val="single" w:sz="8" w:space="0" w:color="auto"/>
              <w:bottom w:val="nil"/>
              <w:right w:val="nil"/>
            </w:tcBorders>
            <w:shd w:val="clear" w:color="auto" w:fill="auto"/>
            <w:noWrap/>
            <w:vAlign w:val="bottom"/>
            <w:hideMark/>
          </w:tcPr>
          <w:p w14:paraId="5778E68B" w14:textId="77777777" w:rsidR="00D67C9B" w:rsidRPr="000D728A" w:rsidRDefault="00D67C9B" w:rsidP="00D67C9B">
            <w:pPr>
              <w:spacing w:before="0"/>
              <w:ind w:left="0"/>
              <w:rPr>
                <w:rFonts w:ascii="Calibri" w:hAnsi="Calibri" w:cs="Calibri"/>
                <w:i/>
                <w:iCs/>
                <w:color w:val="000000"/>
                <w:sz w:val="22"/>
                <w:szCs w:val="22"/>
              </w:rPr>
            </w:pPr>
            <w:r w:rsidRPr="000D728A">
              <w:rPr>
                <w:rFonts w:ascii="Calibri" w:hAnsi="Calibri" w:cs="Calibri"/>
                <w:i/>
                <w:iCs/>
                <w:color w:val="000000"/>
                <w:sz w:val="22"/>
                <w:szCs w:val="22"/>
              </w:rPr>
              <w:t>Team sports</w:t>
            </w:r>
          </w:p>
        </w:tc>
        <w:tc>
          <w:tcPr>
            <w:tcW w:w="1206" w:type="dxa"/>
            <w:tcBorders>
              <w:top w:val="nil"/>
              <w:left w:val="single" w:sz="4" w:space="0" w:color="auto"/>
              <w:bottom w:val="nil"/>
              <w:right w:val="single" w:sz="4" w:space="0" w:color="auto"/>
            </w:tcBorders>
            <w:shd w:val="clear" w:color="auto" w:fill="auto"/>
            <w:noWrap/>
            <w:vAlign w:val="bottom"/>
            <w:hideMark/>
          </w:tcPr>
          <w:p w14:paraId="5778E68C" w14:textId="77777777" w:rsidR="00D67C9B" w:rsidRPr="000D728A" w:rsidRDefault="00D67C9B" w:rsidP="00D67C9B">
            <w:pPr>
              <w:spacing w:before="0"/>
              <w:ind w:left="0"/>
              <w:rPr>
                <w:rFonts w:ascii="Calibri" w:hAnsi="Calibri" w:cs="Calibri"/>
                <w:sz w:val="22"/>
                <w:szCs w:val="22"/>
              </w:rPr>
            </w:pPr>
            <w:r w:rsidRPr="000D728A">
              <w:rPr>
                <w:rFonts w:ascii="Calibri" w:hAnsi="Calibri" w:cs="Calibri"/>
                <w:sz w:val="22"/>
                <w:szCs w:val="22"/>
              </w:rPr>
              <w:t>-0.467***</w:t>
            </w:r>
          </w:p>
        </w:tc>
        <w:tc>
          <w:tcPr>
            <w:tcW w:w="960" w:type="dxa"/>
            <w:tcBorders>
              <w:top w:val="nil"/>
              <w:left w:val="nil"/>
              <w:bottom w:val="nil"/>
              <w:right w:val="single" w:sz="4" w:space="0" w:color="auto"/>
            </w:tcBorders>
            <w:shd w:val="clear" w:color="auto" w:fill="auto"/>
            <w:noWrap/>
            <w:vAlign w:val="bottom"/>
            <w:hideMark/>
          </w:tcPr>
          <w:p w14:paraId="5778E68D"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(0.095)</w:t>
            </w:r>
          </w:p>
        </w:tc>
        <w:tc>
          <w:tcPr>
            <w:tcW w:w="1200" w:type="dxa"/>
            <w:tcBorders>
              <w:top w:val="nil"/>
              <w:left w:val="nil"/>
              <w:bottom w:val="nil"/>
              <w:right w:val="single" w:sz="4" w:space="0" w:color="auto"/>
            </w:tcBorders>
            <w:shd w:val="clear" w:color="auto" w:fill="auto"/>
            <w:noWrap/>
            <w:vAlign w:val="bottom"/>
            <w:hideMark/>
          </w:tcPr>
          <w:p w14:paraId="5778E68E"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14608</w:t>
            </w:r>
          </w:p>
        </w:tc>
        <w:tc>
          <w:tcPr>
            <w:tcW w:w="1060" w:type="dxa"/>
            <w:tcBorders>
              <w:top w:val="nil"/>
              <w:left w:val="nil"/>
              <w:bottom w:val="nil"/>
              <w:right w:val="single" w:sz="8" w:space="0" w:color="auto"/>
            </w:tcBorders>
            <w:shd w:val="clear" w:color="auto" w:fill="auto"/>
            <w:noWrap/>
            <w:vAlign w:val="bottom"/>
            <w:hideMark/>
          </w:tcPr>
          <w:p w14:paraId="5778E68F"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0.065</w:t>
            </w:r>
          </w:p>
        </w:tc>
      </w:tr>
      <w:tr w:rsidR="00D67C9B" w:rsidRPr="000D728A" w14:paraId="5778E696" w14:textId="77777777" w:rsidTr="00C244CD">
        <w:trPr>
          <w:trHeight w:val="300"/>
        </w:trPr>
        <w:tc>
          <w:tcPr>
            <w:tcW w:w="1840" w:type="dxa"/>
            <w:tcBorders>
              <w:top w:val="nil"/>
              <w:left w:val="single" w:sz="8" w:space="0" w:color="auto"/>
              <w:bottom w:val="nil"/>
              <w:right w:val="nil"/>
            </w:tcBorders>
            <w:shd w:val="clear" w:color="auto" w:fill="auto"/>
            <w:noWrap/>
            <w:vAlign w:val="bottom"/>
            <w:hideMark/>
          </w:tcPr>
          <w:p w14:paraId="5778E691" w14:textId="77777777" w:rsidR="00D67C9B" w:rsidRPr="000D728A" w:rsidRDefault="00D67C9B" w:rsidP="00D67C9B">
            <w:pPr>
              <w:spacing w:before="0"/>
              <w:ind w:left="0"/>
              <w:rPr>
                <w:rFonts w:ascii="Calibri" w:hAnsi="Calibri" w:cs="Calibri"/>
                <w:i/>
                <w:iCs/>
                <w:color w:val="000000"/>
                <w:sz w:val="22"/>
                <w:szCs w:val="22"/>
              </w:rPr>
            </w:pPr>
            <w:r w:rsidRPr="000D728A">
              <w:rPr>
                <w:rFonts w:ascii="Calibri" w:hAnsi="Calibri" w:cs="Calibri"/>
                <w:i/>
                <w:iCs/>
                <w:color w:val="000000"/>
                <w:sz w:val="22"/>
                <w:szCs w:val="22"/>
              </w:rPr>
              <w:t>Individual sports</w:t>
            </w:r>
          </w:p>
        </w:tc>
        <w:tc>
          <w:tcPr>
            <w:tcW w:w="1206" w:type="dxa"/>
            <w:tcBorders>
              <w:top w:val="nil"/>
              <w:left w:val="single" w:sz="4" w:space="0" w:color="auto"/>
              <w:bottom w:val="nil"/>
              <w:right w:val="single" w:sz="4" w:space="0" w:color="auto"/>
            </w:tcBorders>
            <w:shd w:val="clear" w:color="auto" w:fill="auto"/>
            <w:noWrap/>
            <w:vAlign w:val="bottom"/>
            <w:hideMark/>
          </w:tcPr>
          <w:p w14:paraId="5778E692" w14:textId="77777777" w:rsidR="00D67C9B" w:rsidRPr="000D728A" w:rsidRDefault="00D67C9B" w:rsidP="00D67C9B">
            <w:pPr>
              <w:spacing w:before="0"/>
              <w:ind w:left="0"/>
              <w:rPr>
                <w:rFonts w:ascii="Calibri" w:hAnsi="Calibri" w:cs="Calibri"/>
                <w:sz w:val="22"/>
                <w:szCs w:val="22"/>
              </w:rPr>
            </w:pPr>
            <w:r w:rsidRPr="000D728A">
              <w:rPr>
                <w:rFonts w:ascii="Calibri" w:hAnsi="Calibri" w:cs="Calibri"/>
                <w:sz w:val="22"/>
                <w:szCs w:val="22"/>
              </w:rPr>
              <w:t>-0.545***</w:t>
            </w:r>
          </w:p>
        </w:tc>
        <w:tc>
          <w:tcPr>
            <w:tcW w:w="960" w:type="dxa"/>
            <w:tcBorders>
              <w:top w:val="nil"/>
              <w:left w:val="nil"/>
              <w:bottom w:val="nil"/>
              <w:right w:val="single" w:sz="4" w:space="0" w:color="auto"/>
            </w:tcBorders>
            <w:shd w:val="clear" w:color="auto" w:fill="auto"/>
            <w:noWrap/>
            <w:vAlign w:val="bottom"/>
            <w:hideMark/>
          </w:tcPr>
          <w:p w14:paraId="5778E693"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(0.085)</w:t>
            </w:r>
          </w:p>
        </w:tc>
        <w:tc>
          <w:tcPr>
            <w:tcW w:w="1200" w:type="dxa"/>
            <w:tcBorders>
              <w:top w:val="nil"/>
              <w:left w:val="nil"/>
              <w:bottom w:val="nil"/>
              <w:right w:val="single" w:sz="4" w:space="0" w:color="auto"/>
            </w:tcBorders>
            <w:shd w:val="clear" w:color="auto" w:fill="auto"/>
            <w:noWrap/>
            <w:vAlign w:val="bottom"/>
            <w:hideMark/>
          </w:tcPr>
          <w:p w14:paraId="5778E694"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14608</w:t>
            </w:r>
          </w:p>
        </w:tc>
        <w:tc>
          <w:tcPr>
            <w:tcW w:w="1060" w:type="dxa"/>
            <w:tcBorders>
              <w:top w:val="nil"/>
              <w:left w:val="nil"/>
              <w:bottom w:val="nil"/>
              <w:right w:val="single" w:sz="8" w:space="0" w:color="auto"/>
            </w:tcBorders>
            <w:shd w:val="clear" w:color="auto" w:fill="auto"/>
            <w:noWrap/>
            <w:vAlign w:val="bottom"/>
            <w:hideMark/>
          </w:tcPr>
          <w:p w14:paraId="5778E695"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0.065</w:t>
            </w:r>
          </w:p>
        </w:tc>
      </w:tr>
      <w:tr w:rsidR="00D67C9B" w:rsidRPr="000D728A" w14:paraId="5778E69C" w14:textId="77777777" w:rsidTr="00C244CD">
        <w:trPr>
          <w:trHeight w:val="300"/>
        </w:trPr>
        <w:tc>
          <w:tcPr>
            <w:tcW w:w="1840" w:type="dxa"/>
            <w:tcBorders>
              <w:top w:val="nil"/>
              <w:left w:val="single" w:sz="8" w:space="0" w:color="auto"/>
              <w:bottom w:val="nil"/>
              <w:right w:val="nil"/>
            </w:tcBorders>
            <w:shd w:val="clear" w:color="auto" w:fill="auto"/>
            <w:noWrap/>
            <w:vAlign w:val="bottom"/>
            <w:hideMark/>
          </w:tcPr>
          <w:p w14:paraId="5778E697" w14:textId="77777777" w:rsidR="00D67C9B" w:rsidRPr="000D728A" w:rsidRDefault="00D67C9B" w:rsidP="00D67C9B">
            <w:pPr>
              <w:spacing w:before="0"/>
              <w:ind w:left="0"/>
              <w:rPr>
                <w:rFonts w:ascii="Calibri" w:hAnsi="Calibri" w:cs="Calibri"/>
                <w:i/>
                <w:iCs/>
                <w:color w:val="000000"/>
                <w:sz w:val="22"/>
                <w:szCs w:val="22"/>
              </w:rPr>
            </w:pPr>
            <w:r w:rsidRPr="000D728A">
              <w:rPr>
                <w:rFonts w:ascii="Calibri" w:hAnsi="Calibri" w:cs="Calibri"/>
                <w:i/>
                <w:iCs/>
                <w:color w:val="000000"/>
                <w:sz w:val="22"/>
                <w:szCs w:val="22"/>
              </w:rPr>
              <w:t>Football</w:t>
            </w:r>
          </w:p>
        </w:tc>
        <w:tc>
          <w:tcPr>
            <w:tcW w:w="1206" w:type="dxa"/>
            <w:tcBorders>
              <w:top w:val="nil"/>
              <w:left w:val="single" w:sz="4" w:space="0" w:color="auto"/>
              <w:bottom w:val="nil"/>
              <w:right w:val="single" w:sz="4" w:space="0" w:color="auto"/>
            </w:tcBorders>
            <w:shd w:val="clear" w:color="auto" w:fill="auto"/>
            <w:noWrap/>
            <w:vAlign w:val="bottom"/>
            <w:hideMark/>
          </w:tcPr>
          <w:p w14:paraId="5778E698" w14:textId="77777777" w:rsidR="00D67C9B" w:rsidRPr="000D728A" w:rsidRDefault="00D67C9B" w:rsidP="00D67C9B">
            <w:pPr>
              <w:spacing w:before="0"/>
              <w:ind w:left="0"/>
              <w:rPr>
                <w:rFonts w:ascii="Calibri" w:hAnsi="Calibri" w:cs="Calibri"/>
                <w:sz w:val="22"/>
                <w:szCs w:val="22"/>
              </w:rPr>
            </w:pPr>
            <w:r w:rsidRPr="000D728A">
              <w:rPr>
                <w:rFonts w:ascii="Calibri" w:hAnsi="Calibri" w:cs="Calibri"/>
                <w:sz w:val="22"/>
                <w:szCs w:val="22"/>
              </w:rPr>
              <w:t>-0.672***</w:t>
            </w:r>
          </w:p>
        </w:tc>
        <w:tc>
          <w:tcPr>
            <w:tcW w:w="960" w:type="dxa"/>
            <w:tcBorders>
              <w:top w:val="nil"/>
              <w:left w:val="nil"/>
              <w:bottom w:val="nil"/>
              <w:right w:val="single" w:sz="4" w:space="0" w:color="auto"/>
            </w:tcBorders>
            <w:shd w:val="clear" w:color="auto" w:fill="auto"/>
            <w:noWrap/>
            <w:vAlign w:val="bottom"/>
            <w:hideMark/>
          </w:tcPr>
          <w:p w14:paraId="5778E699"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(0.123)</w:t>
            </w:r>
          </w:p>
        </w:tc>
        <w:tc>
          <w:tcPr>
            <w:tcW w:w="1200" w:type="dxa"/>
            <w:tcBorders>
              <w:top w:val="nil"/>
              <w:left w:val="nil"/>
              <w:bottom w:val="nil"/>
              <w:right w:val="single" w:sz="4" w:space="0" w:color="auto"/>
            </w:tcBorders>
            <w:shd w:val="clear" w:color="auto" w:fill="auto"/>
            <w:noWrap/>
            <w:vAlign w:val="bottom"/>
            <w:hideMark/>
          </w:tcPr>
          <w:p w14:paraId="5778E69A"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14608</w:t>
            </w:r>
          </w:p>
        </w:tc>
        <w:tc>
          <w:tcPr>
            <w:tcW w:w="1060" w:type="dxa"/>
            <w:tcBorders>
              <w:top w:val="nil"/>
              <w:left w:val="nil"/>
              <w:bottom w:val="nil"/>
              <w:right w:val="single" w:sz="8" w:space="0" w:color="auto"/>
            </w:tcBorders>
            <w:shd w:val="clear" w:color="auto" w:fill="auto"/>
            <w:noWrap/>
            <w:vAlign w:val="bottom"/>
            <w:hideMark/>
          </w:tcPr>
          <w:p w14:paraId="5778E69B"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0.063</w:t>
            </w:r>
          </w:p>
        </w:tc>
      </w:tr>
      <w:tr w:rsidR="00D67C9B" w:rsidRPr="000D728A" w14:paraId="5778E6A2" w14:textId="77777777" w:rsidTr="00C244CD">
        <w:trPr>
          <w:trHeight w:val="300"/>
        </w:trPr>
        <w:tc>
          <w:tcPr>
            <w:tcW w:w="1840" w:type="dxa"/>
            <w:tcBorders>
              <w:top w:val="nil"/>
              <w:left w:val="single" w:sz="8" w:space="0" w:color="auto"/>
              <w:bottom w:val="nil"/>
              <w:right w:val="nil"/>
            </w:tcBorders>
            <w:shd w:val="clear" w:color="auto" w:fill="auto"/>
            <w:noWrap/>
            <w:vAlign w:val="bottom"/>
            <w:hideMark/>
          </w:tcPr>
          <w:p w14:paraId="5778E69D" w14:textId="77777777" w:rsidR="00D67C9B" w:rsidRPr="000D728A" w:rsidRDefault="00D67C9B" w:rsidP="00D67C9B">
            <w:pPr>
              <w:spacing w:before="0"/>
              <w:ind w:left="0"/>
              <w:rPr>
                <w:rFonts w:ascii="Calibri" w:hAnsi="Calibri" w:cs="Calibri"/>
                <w:i/>
                <w:iCs/>
                <w:color w:val="000000"/>
                <w:sz w:val="22"/>
                <w:szCs w:val="22"/>
              </w:rPr>
            </w:pPr>
            <w:r w:rsidRPr="000D728A">
              <w:rPr>
                <w:rFonts w:ascii="Calibri" w:hAnsi="Calibri" w:cs="Calibri"/>
                <w:i/>
                <w:iCs/>
                <w:color w:val="000000"/>
                <w:sz w:val="22"/>
                <w:szCs w:val="22"/>
              </w:rPr>
              <w:t>Swimming</w:t>
            </w:r>
          </w:p>
        </w:tc>
        <w:tc>
          <w:tcPr>
            <w:tcW w:w="1206" w:type="dxa"/>
            <w:tcBorders>
              <w:top w:val="nil"/>
              <w:left w:val="single" w:sz="4" w:space="0" w:color="auto"/>
              <w:bottom w:val="nil"/>
              <w:right w:val="single" w:sz="4" w:space="0" w:color="auto"/>
            </w:tcBorders>
            <w:shd w:val="clear" w:color="auto" w:fill="auto"/>
            <w:noWrap/>
            <w:vAlign w:val="bottom"/>
            <w:hideMark/>
          </w:tcPr>
          <w:p w14:paraId="5778E69E" w14:textId="77777777" w:rsidR="00D67C9B" w:rsidRPr="000D728A" w:rsidRDefault="00D67C9B" w:rsidP="00D67C9B">
            <w:pPr>
              <w:spacing w:before="0"/>
              <w:ind w:left="0"/>
              <w:rPr>
                <w:rFonts w:ascii="Calibri" w:hAnsi="Calibri" w:cs="Calibri"/>
                <w:sz w:val="22"/>
                <w:szCs w:val="22"/>
              </w:rPr>
            </w:pPr>
            <w:r w:rsidRPr="000D728A">
              <w:rPr>
                <w:rFonts w:ascii="Calibri" w:hAnsi="Calibri" w:cs="Calibri"/>
                <w:sz w:val="22"/>
                <w:szCs w:val="22"/>
              </w:rPr>
              <w:t>-0.197**</w:t>
            </w:r>
          </w:p>
        </w:tc>
        <w:tc>
          <w:tcPr>
            <w:tcW w:w="960" w:type="dxa"/>
            <w:tcBorders>
              <w:top w:val="nil"/>
              <w:left w:val="nil"/>
              <w:bottom w:val="nil"/>
              <w:right w:val="single" w:sz="4" w:space="0" w:color="auto"/>
            </w:tcBorders>
            <w:shd w:val="clear" w:color="auto" w:fill="auto"/>
            <w:noWrap/>
            <w:vAlign w:val="bottom"/>
            <w:hideMark/>
          </w:tcPr>
          <w:p w14:paraId="5778E69F"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(0.077)</w:t>
            </w:r>
          </w:p>
        </w:tc>
        <w:tc>
          <w:tcPr>
            <w:tcW w:w="1200" w:type="dxa"/>
            <w:tcBorders>
              <w:top w:val="nil"/>
              <w:left w:val="nil"/>
              <w:bottom w:val="nil"/>
              <w:right w:val="single" w:sz="4" w:space="0" w:color="auto"/>
            </w:tcBorders>
            <w:shd w:val="clear" w:color="auto" w:fill="auto"/>
            <w:noWrap/>
            <w:vAlign w:val="bottom"/>
            <w:hideMark/>
          </w:tcPr>
          <w:p w14:paraId="5778E6A0"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14608</w:t>
            </w:r>
          </w:p>
        </w:tc>
        <w:tc>
          <w:tcPr>
            <w:tcW w:w="1060" w:type="dxa"/>
            <w:tcBorders>
              <w:top w:val="nil"/>
              <w:left w:val="nil"/>
              <w:bottom w:val="nil"/>
              <w:right w:val="single" w:sz="8" w:space="0" w:color="auto"/>
            </w:tcBorders>
            <w:shd w:val="clear" w:color="auto" w:fill="auto"/>
            <w:noWrap/>
            <w:vAlign w:val="bottom"/>
            <w:hideMark/>
          </w:tcPr>
          <w:p w14:paraId="5778E6A1"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0.063</w:t>
            </w:r>
          </w:p>
        </w:tc>
      </w:tr>
      <w:tr w:rsidR="00D67C9B" w:rsidRPr="000D728A" w14:paraId="5778E6A8" w14:textId="77777777" w:rsidTr="00C244CD">
        <w:trPr>
          <w:trHeight w:val="300"/>
        </w:trPr>
        <w:tc>
          <w:tcPr>
            <w:tcW w:w="1840" w:type="dxa"/>
            <w:tcBorders>
              <w:top w:val="nil"/>
              <w:left w:val="single" w:sz="8" w:space="0" w:color="auto"/>
              <w:bottom w:val="nil"/>
              <w:right w:val="single" w:sz="4" w:space="0" w:color="auto"/>
            </w:tcBorders>
            <w:shd w:val="clear" w:color="auto" w:fill="auto"/>
            <w:noWrap/>
            <w:vAlign w:val="bottom"/>
            <w:hideMark/>
          </w:tcPr>
          <w:p w14:paraId="5778E6A3" w14:textId="77777777" w:rsidR="00D67C9B" w:rsidRPr="000D728A" w:rsidRDefault="00D67C9B" w:rsidP="00D67C9B">
            <w:pPr>
              <w:spacing w:before="0"/>
              <w:ind w:left="0"/>
              <w:rPr>
                <w:rFonts w:ascii="Calibri" w:hAnsi="Calibri" w:cs="Calibri"/>
                <w:i/>
                <w:iCs/>
                <w:color w:val="000000"/>
                <w:sz w:val="22"/>
                <w:szCs w:val="22"/>
              </w:rPr>
            </w:pPr>
            <w:r w:rsidRPr="000D728A">
              <w:rPr>
                <w:rFonts w:ascii="Calibri" w:hAnsi="Calibri" w:cs="Calibri"/>
                <w:i/>
                <w:iCs/>
                <w:color w:val="000000"/>
                <w:sz w:val="22"/>
                <w:szCs w:val="22"/>
              </w:rPr>
              <w:t>Cycling</w:t>
            </w:r>
          </w:p>
        </w:tc>
        <w:tc>
          <w:tcPr>
            <w:tcW w:w="1206" w:type="dxa"/>
            <w:tcBorders>
              <w:top w:val="nil"/>
              <w:left w:val="nil"/>
              <w:bottom w:val="nil"/>
              <w:right w:val="single" w:sz="4" w:space="0" w:color="auto"/>
            </w:tcBorders>
            <w:shd w:val="clear" w:color="auto" w:fill="auto"/>
            <w:noWrap/>
            <w:vAlign w:val="bottom"/>
            <w:hideMark/>
          </w:tcPr>
          <w:p w14:paraId="5778E6A4" w14:textId="77777777" w:rsidR="00D67C9B" w:rsidRPr="000D728A" w:rsidRDefault="00D67C9B" w:rsidP="00D67C9B">
            <w:pPr>
              <w:spacing w:before="0"/>
              <w:ind w:left="0"/>
              <w:rPr>
                <w:rFonts w:ascii="Calibri" w:hAnsi="Calibri" w:cs="Calibri"/>
                <w:sz w:val="22"/>
                <w:szCs w:val="22"/>
              </w:rPr>
            </w:pPr>
            <w:r w:rsidRPr="000D728A">
              <w:rPr>
                <w:rFonts w:ascii="Calibri" w:hAnsi="Calibri" w:cs="Calibri"/>
                <w:sz w:val="22"/>
                <w:szCs w:val="22"/>
              </w:rPr>
              <w:t>-0.175**</w:t>
            </w:r>
          </w:p>
        </w:tc>
        <w:tc>
          <w:tcPr>
            <w:tcW w:w="960" w:type="dxa"/>
            <w:tcBorders>
              <w:top w:val="nil"/>
              <w:left w:val="nil"/>
              <w:bottom w:val="nil"/>
              <w:right w:val="single" w:sz="4" w:space="0" w:color="auto"/>
            </w:tcBorders>
            <w:shd w:val="clear" w:color="auto" w:fill="auto"/>
            <w:noWrap/>
            <w:vAlign w:val="bottom"/>
            <w:hideMark/>
          </w:tcPr>
          <w:p w14:paraId="5778E6A5"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(0.087)</w:t>
            </w:r>
          </w:p>
        </w:tc>
        <w:tc>
          <w:tcPr>
            <w:tcW w:w="1200" w:type="dxa"/>
            <w:tcBorders>
              <w:top w:val="nil"/>
              <w:left w:val="nil"/>
              <w:bottom w:val="nil"/>
              <w:right w:val="single" w:sz="4" w:space="0" w:color="auto"/>
            </w:tcBorders>
            <w:shd w:val="clear" w:color="auto" w:fill="auto"/>
            <w:noWrap/>
            <w:vAlign w:val="bottom"/>
            <w:hideMark/>
          </w:tcPr>
          <w:p w14:paraId="5778E6A6"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14608</w:t>
            </w:r>
          </w:p>
        </w:tc>
        <w:tc>
          <w:tcPr>
            <w:tcW w:w="1060" w:type="dxa"/>
            <w:tcBorders>
              <w:top w:val="nil"/>
              <w:left w:val="nil"/>
              <w:bottom w:val="nil"/>
              <w:right w:val="single" w:sz="8" w:space="0" w:color="auto"/>
            </w:tcBorders>
            <w:shd w:val="clear" w:color="auto" w:fill="auto"/>
            <w:noWrap/>
            <w:vAlign w:val="bottom"/>
            <w:hideMark/>
          </w:tcPr>
          <w:p w14:paraId="5778E6A7"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0.063</w:t>
            </w:r>
          </w:p>
        </w:tc>
      </w:tr>
      <w:tr w:rsidR="00D67C9B" w:rsidRPr="000D728A" w14:paraId="5778E6AE" w14:textId="77777777" w:rsidTr="00C244CD">
        <w:trPr>
          <w:trHeight w:val="300"/>
        </w:trPr>
        <w:tc>
          <w:tcPr>
            <w:tcW w:w="1840" w:type="dxa"/>
            <w:tcBorders>
              <w:top w:val="nil"/>
              <w:left w:val="single" w:sz="8" w:space="0" w:color="auto"/>
              <w:bottom w:val="single" w:sz="4" w:space="0" w:color="auto"/>
              <w:right w:val="nil"/>
            </w:tcBorders>
            <w:shd w:val="clear" w:color="000000" w:fill="0070C0"/>
            <w:noWrap/>
            <w:vAlign w:val="bottom"/>
            <w:hideMark/>
          </w:tcPr>
          <w:p w14:paraId="5778E6A9" w14:textId="77777777" w:rsidR="00D67C9B" w:rsidRPr="000D728A" w:rsidRDefault="00D67C9B" w:rsidP="00D67C9B">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Culture</w:t>
            </w:r>
          </w:p>
        </w:tc>
        <w:tc>
          <w:tcPr>
            <w:tcW w:w="1206" w:type="dxa"/>
            <w:tcBorders>
              <w:top w:val="nil"/>
              <w:left w:val="single" w:sz="4" w:space="0" w:color="auto"/>
              <w:bottom w:val="single" w:sz="4" w:space="0" w:color="auto"/>
              <w:right w:val="single" w:sz="4" w:space="0" w:color="auto"/>
            </w:tcBorders>
            <w:shd w:val="clear" w:color="000000" w:fill="0070C0"/>
            <w:noWrap/>
            <w:vAlign w:val="bottom"/>
            <w:hideMark/>
          </w:tcPr>
          <w:p w14:paraId="5778E6AA" w14:textId="77777777" w:rsidR="00D67C9B" w:rsidRPr="000D728A" w:rsidRDefault="00D67C9B" w:rsidP="00D67C9B">
            <w:pPr>
              <w:spacing w:before="0"/>
              <w:ind w:left="0"/>
              <w:jc w:val="center"/>
              <w:rPr>
                <w:rFonts w:ascii="Calibri" w:hAnsi="Calibri" w:cs="Calibri"/>
                <w:color w:val="FFFFFF"/>
                <w:sz w:val="22"/>
                <w:szCs w:val="22"/>
              </w:rPr>
            </w:pPr>
            <w:r w:rsidRPr="000D728A">
              <w:rPr>
                <w:rFonts w:ascii="Calibri" w:hAnsi="Calibri" w:cs="Calibri"/>
                <w:color w:val="FFFFFF"/>
                <w:sz w:val="22"/>
                <w:szCs w:val="22"/>
              </w:rPr>
              <w:t> </w:t>
            </w:r>
          </w:p>
        </w:tc>
        <w:tc>
          <w:tcPr>
            <w:tcW w:w="960" w:type="dxa"/>
            <w:tcBorders>
              <w:top w:val="nil"/>
              <w:left w:val="nil"/>
              <w:bottom w:val="single" w:sz="4" w:space="0" w:color="auto"/>
              <w:right w:val="single" w:sz="4" w:space="0" w:color="auto"/>
            </w:tcBorders>
            <w:shd w:val="clear" w:color="000000" w:fill="0070C0"/>
            <w:noWrap/>
            <w:vAlign w:val="bottom"/>
            <w:hideMark/>
          </w:tcPr>
          <w:p w14:paraId="5778E6AB" w14:textId="77777777" w:rsidR="00D67C9B" w:rsidRPr="000D728A" w:rsidRDefault="00D67C9B" w:rsidP="00D67C9B">
            <w:pPr>
              <w:spacing w:before="0"/>
              <w:ind w:left="0"/>
              <w:jc w:val="center"/>
              <w:rPr>
                <w:rFonts w:ascii="Calibri" w:hAnsi="Calibri" w:cs="Calibri"/>
                <w:color w:val="FFFFFF"/>
                <w:sz w:val="22"/>
                <w:szCs w:val="22"/>
              </w:rPr>
            </w:pPr>
            <w:r w:rsidRPr="000D728A">
              <w:rPr>
                <w:rFonts w:ascii="Calibri" w:hAnsi="Calibri" w:cs="Calibri"/>
                <w:color w:val="FFFFFF"/>
                <w:sz w:val="22"/>
                <w:szCs w:val="22"/>
              </w:rPr>
              <w:t> </w:t>
            </w:r>
          </w:p>
        </w:tc>
        <w:tc>
          <w:tcPr>
            <w:tcW w:w="1200" w:type="dxa"/>
            <w:tcBorders>
              <w:top w:val="nil"/>
              <w:left w:val="nil"/>
              <w:bottom w:val="single" w:sz="4" w:space="0" w:color="auto"/>
              <w:right w:val="single" w:sz="4" w:space="0" w:color="auto"/>
            </w:tcBorders>
            <w:shd w:val="clear" w:color="000000" w:fill="0070C0"/>
            <w:noWrap/>
            <w:vAlign w:val="bottom"/>
            <w:hideMark/>
          </w:tcPr>
          <w:p w14:paraId="5778E6AC" w14:textId="77777777" w:rsidR="00D67C9B" w:rsidRPr="000D728A" w:rsidRDefault="00D67C9B" w:rsidP="00D67C9B">
            <w:pPr>
              <w:spacing w:before="0"/>
              <w:ind w:left="0"/>
              <w:jc w:val="center"/>
              <w:rPr>
                <w:rFonts w:ascii="Calibri" w:hAnsi="Calibri" w:cs="Calibri"/>
                <w:color w:val="FFFFFF"/>
                <w:sz w:val="22"/>
                <w:szCs w:val="22"/>
              </w:rPr>
            </w:pPr>
            <w:r w:rsidRPr="000D728A">
              <w:rPr>
                <w:rFonts w:ascii="Calibri" w:hAnsi="Calibri" w:cs="Calibri"/>
                <w:color w:val="FFFFFF"/>
                <w:sz w:val="22"/>
                <w:szCs w:val="22"/>
              </w:rPr>
              <w:t> </w:t>
            </w:r>
          </w:p>
        </w:tc>
        <w:tc>
          <w:tcPr>
            <w:tcW w:w="1060" w:type="dxa"/>
            <w:tcBorders>
              <w:top w:val="nil"/>
              <w:left w:val="nil"/>
              <w:bottom w:val="single" w:sz="4" w:space="0" w:color="auto"/>
              <w:right w:val="single" w:sz="8" w:space="0" w:color="auto"/>
            </w:tcBorders>
            <w:shd w:val="clear" w:color="000000" w:fill="0070C0"/>
            <w:noWrap/>
            <w:vAlign w:val="bottom"/>
            <w:hideMark/>
          </w:tcPr>
          <w:p w14:paraId="5778E6AD" w14:textId="77777777" w:rsidR="00D67C9B" w:rsidRPr="000D728A" w:rsidRDefault="00D67C9B" w:rsidP="00D67C9B">
            <w:pPr>
              <w:spacing w:before="0"/>
              <w:ind w:left="0"/>
              <w:jc w:val="center"/>
              <w:rPr>
                <w:rFonts w:ascii="Calibri" w:hAnsi="Calibri" w:cs="Calibri"/>
                <w:color w:val="FFFFFF"/>
                <w:sz w:val="22"/>
                <w:szCs w:val="22"/>
              </w:rPr>
            </w:pPr>
            <w:r w:rsidRPr="000D728A">
              <w:rPr>
                <w:rFonts w:ascii="Calibri" w:hAnsi="Calibri" w:cs="Calibri"/>
                <w:color w:val="FFFFFF"/>
                <w:sz w:val="22"/>
                <w:szCs w:val="22"/>
              </w:rPr>
              <w:t> </w:t>
            </w:r>
          </w:p>
        </w:tc>
      </w:tr>
      <w:tr w:rsidR="00D67C9B" w:rsidRPr="000D728A" w14:paraId="5778E6B4" w14:textId="77777777" w:rsidTr="00C244CD">
        <w:trPr>
          <w:trHeight w:val="300"/>
        </w:trPr>
        <w:tc>
          <w:tcPr>
            <w:tcW w:w="1840" w:type="dxa"/>
            <w:tcBorders>
              <w:top w:val="nil"/>
              <w:left w:val="single" w:sz="8" w:space="0" w:color="auto"/>
              <w:bottom w:val="nil"/>
              <w:right w:val="nil"/>
            </w:tcBorders>
            <w:shd w:val="clear" w:color="auto" w:fill="auto"/>
            <w:noWrap/>
            <w:vAlign w:val="bottom"/>
            <w:hideMark/>
          </w:tcPr>
          <w:p w14:paraId="5778E6AF" w14:textId="77777777" w:rsidR="00D67C9B" w:rsidRPr="000D728A" w:rsidRDefault="00D67C9B" w:rsidP="00D67C9B">
            <w:pPr>
              <w:spacing w:before="0"/>
              <w:ind w:left="0"/>
              <w:rPr>
                <w:rFonts w:ascii="Calibri" w:hAnsi="Calibri" w:cs="Calibri"/>
                <w:b/>
                <w:bCs/>
                <w:color w:val="000000"/>
                <w:sz w:val="22"/>
                <w:szCs w:val="22"/>
              </w:rPr>
            </w:pPr>
            <w:r w:rsidRPr="000D728A">
              <w:rPr>
                <w:rFonts w:ascii="Calibri" w:hAnsi="Calibri" w:cs="Calibri"/>
                <w:b/>
                <w:bCs/>
                <w:color w:val="000000"/>
                <w:sz w:val="22"/>
                <w:szCs w:val="22"/>
              </w:rPr>
              <w:t>Participation</w:t>
            </w:r>
          </w:p>
        </w:tc>
        <w:tc>
          <w:tcPr>
            <w:tcW w:w="1206" w:type="dxa"/>
            <w:tcBorders>
              <w:top w:val="nil"/>
              <w:left w:val="single" w:sz="4" w:space="0" w:color="auto"/>
              <w:bottom w:val="nil"/>
              <w:right w:val="single" w:sz="4" w:space="0" w:color="auto"/>
            </w:tcBorders>
            <w:shd w:val="clear" w:color="auto" w:fill="auto"/>
            <w:noWrap/>
            <w:vAlign w:val="bottom"/>
            <w:hideMark/>
          </w:tcPr>
          <w:p w14:paraId="5778E6B0" w14:textId="77777777" w:rsidR="00D67C9B" w:rsidRPr="000D728A" w:rsidRDefault="00D67C9B" w:rsidP="00D67C9B">
            <w:pPr>
              <w:spacing w:before="0"/>
              <w:ind w:left="0"/>
              <w:rPr>
                <w:rFonts w:ascii="Calibri" w:hAnsi="Calibri" w:cs="Calibri"/>
                <w:color w:val="000000"/>
                <w:sz w:val="22"/>
                <w:szCs w:val="22"/>
              </w:rPr>
            </w:pPr>
            <w:r w:rsidRPr="000D728A">
              <w:rPr>
                <w:rFonts w:ascii="Calibri" w:hAnsi="Calibri" w:cs="Calibri"/>
                <w:color w:val="000000"/>
                <w:sz w:val="22"/>
                <w:szCs w:val="22"/>
              </w:rPr>
              <w:t> </w:t>
            </w:r>
          </w:p>
        </w:tc>
        <w:tc>
          <w:tcPr>
            <w:tcW w:w="960" w:type="dxa"/>
            <w:tcBorders>
              <w:top w:val="nil"/>
              <w:left w:val="nil"/>
              <w:bottom w:val="nil"/>
              <w:right w:val="single" w:sz="4" w:space="0" w:color="auto"/>
            </w:tcBorders>
            <w:shd w:val="clear" w:color="auto" w:fill="auto"/>
            <w:noWrap/>
            <w:vAlign w:val="bottom"/>
            <w:hideMark/>
          </w:tcPr>
          <w:p w14:paraId="5778E6B1"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 </w:t>
            </w:r>
          </w:p>
        </w:tc>
        <w:tc>
          <w:tcPr>
            <w:tcW w:w="1200" w:type="dxa"/>
            <w:tcBorders>
              <w:top w:val="nil"/>
              <w:left w:val="nil"/>
              <w:bottom w:val="nil"/>
              <w:right w:val="single" w:sz="4" w:space="0" w:color="auto"/>
            </w:tcBorders>
            <w:shd w:val="clear" w:color="auto" w:fill="auto"/>
            <w:noWrap/>
            <w:vAlign w:val="bottom"/>
            <w:hideMark/>
          </w:tcPr>
          <w:p w14:paraId="5778E6B2"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 </w:t>
            </w:r>
          </w:p>
        </w:tc>
        <w:tc>
          <w:tcPr>
            <w:tcW w:w="1060" w:type="dxa"/>
            <w:tcBorders>
              <w:top w:val="nil"/>
              <w:left w:val="nil"/>
              <w:bottom w:val="nil"/>
              <w:right w:val="single" w:sz="8" w:space="0" w:color="auto"/>
            </w:tcBorders>
            <w:shd w:val="clear" w:color="auto" w:fill="auto"/>
            <w:noWrap/>
            <w:vAlign w:val="bottom"/>
            <w:hideMark/>
          </w:tcPr>
          <w:p w14:paraId="5778E6B3"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 </w:t>
            </w:r>
          </w:p>
        </w:tc>
      </w:tr>
      <w:tr w:rsidR="00D67C9B" w:rsidRPr="000D728A" w14:paraId="5778E6BA" w14:textId="77777777" w:rsidTr="00C244CD">
        <w:trPr>
          <w:trHeight w:val="315"/>
        </w:trPr>
        <w:tc>
          <w:tcPr>
            <w:tcW w:w="1840" w:type="dxa"/>
            <w:tcBorders>
              <w:top w:val="nil"/>
              <w:left w:val="single" w:sz="8" w:space="0" w:color="auto"/>
              <w:bottom w:val="single" w:sz="8" w:space="0" w:color="auto"/>
              <w:right w:val="nil"/>
            </w:tcBorders>
            <w:shd w:val="clear" w:color="auto" w:fill="auto"/>
            <w:noWrap/>
            <w:vAlign w:val="bottom"/>
            <w:hideMark/>
          </w:tcPr>
          <w:p w14:paraId="5778E6B5" w14:textId="77777777" w:rsidR="00D67C9B" w:rsidRPr="000D728A" w:rsidRDefault="00D67C9B" w:rsidP="00D67C9B">
            <w:pPr>
              <w:spacing w:before="0"/>
              <w:ind w:left="0"/>
              <w:rPr>
                <w:rFonts w:ascii="Calibri" w:hAnsi="Calibri" w:cs="Calibri"/>
                <w:i/>
                <w:iCs/>
                <w:color w:val="000000"/>
                <w:sz w:val="22"/>
                <w:szCs w:val="22"/>
              </w:rPr>
            </w:pPr>
            <w:r w:rsidRPr="000D728A">
              <w:rPr>
                <w:rFonts w:ascii="Calibri" w:hAnsi="Calibri" w:cs="Calibri"/>
                <w:i/>
                <w:iCs/>
                <w:color w:val="000000"/>
                <w:sz w:val="22"/>
                <w:szCs w:val="22"/>
              </w:rPr>
              <w:t>Literature</w:t>
            </w:r>
          </w:p>
        </w:tc>
        <w:tc>
          <w:tcPr>
            <w:tcW w:w="1206" w:type="dxa"/>
            <w:tcBorders>
              <w:top w:val="nil"/>
              <w:left w:val="single" w:sz="4" w:space="0" w:color="auto"/>
              <w:bottom w:val="single" w:sz="8" w:space="0" w:color="auto"/>
              <w:right w:val="single" w:sz="4" w:space="0" w:color="auto"/>
            </w:tcBorders>
            <w:shd w:val="clear" w:color="auto" w:fill="auto"/>
            <w:noWrap/>
            <w:vAlign w:val="bottom"/>
            <w:hideMark/>
          </w:tcPr>
          <w:p w14:paraId="5778E6B6" w14:textId="77777777" w:rsidR="00D67C9B" w:rsidRPr="000D728A" w:rsidRDefault="00D67C9B" w:rsidP="00D67C9B">
            <w:pPr>
              <w:spacing w:before="0"/>
              <w:ind w:left="0"/>
              <w:rPr>
                <w:rFonts w:ascii="Calibri" w:hAnsi="Calibri" w:cs="Calibri"/>
                <w:color w:val="000000"/>
                <w:sz w:val="22"/>
                <w:szCs w:val="22"/>
              </w:rPr>
            </w:pPr>
            <w:r w:rsidRPr="000D728A">
              <w:rPr>
                <w:rFonts w:ascii="Calibri" w:hAnsi="Calibri" w:cs="Calibri"/>
                <w:color w:val="000000"/>
                <w:sz w:val="22"/>
                <w:szCs w:val="22"/>
              </w:rPr>
              <w:t>0.202**</w:t>
            </w:r>
          </w:p>
        </w:tc>
        <w:tc>
          <w:tcPr>
            <w:tcW w:w="960" w:type="dxa"/>
            <w:tcBorders>
              <w:top w:val="nil"/>
              <w:left w:val="nil"/>
              <w:bottom w:val="single" w:sz="8" w:space="0" w:color="auto"/>
              <w:right w:val="single" w:sz="4" w:space="0" w:color="auto"/>
            </w:tcBorders>
            <w:shd w:val="clear" w:color="auto" w:fill="auto"/>
            <w:noWrap/>
            <w:vAlign w:val="bottom"/>
            <w:hideMark/>
          </w:tcPr>
          <w:p w14:paraId="5778E6B7"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(0.09)</w:t>
            </w:r>
          </w:p>
        </w:tc>
        <w:tc>
          <w:tcPr>
            <w:tcW w:w="1200" w:type="dxa"/>
            <w:tcBorders>
              <w:top w:val="nil"/>
              <w:left w:val="nil"/>
              <w:bottom w:val="single" w:sz="8" w:space="0" w:color="auto"/>
              <w:right w:val="single" w:sz="4" w:space="0" w:color="auto"/>
            </w:tcBorders>
            <w:shd w:val="clear" w:color="auto" w:fill="auto"/>
            <w:noWrap/>
            <w:vAlign w:val="bottom"/>
            <w:hideMark/>
          </w:tcPr>
          <w:p w14:paraId="5778E6B8"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14607</w:t>
            </w:r>
          </w:p>
        </w:tc>
        <w:tc>
          <w:tcPr>
            <w:tcW w:w="1060" w:type="dxa"/>
            <w:tcBorders>
              <w:top w:val="nil"/>
              <w:left w:val="nil"/>
              <w:bottom w:val="single" w:sz="8" w:space="0" w:color="auto"/>
              <w:right w:val="single" w:sz="8" w:space="0" w:color="auto"/>
            </w:tcBorders>
            <w:shd w:val="clear" w:color="auto" w:fill="auto"/>
            <w:noWrap/>
            <w:vAlign w:val="bottom"/>
            <w:hideMark/>
          </w:tcPr>
          <w:p w14:paraId="5778E6B9"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0.066</w:t>
            </w:r>
          </w:p>
        </w:tc>
      </w:tr>
    </w:tbl>
    <w:p w14:paraId="5778E6BB" w14:textId="77777777" w:rsidR="00D67C9B" w:rsidRPr="000D728A" w:rsidRDefault="00D67C9B" w:rsidP="00B72AB2">
      <w:pPr>
        <w:rPr>
          <w:rFonts w:cs="Arial"/>
          <w:sz w:val="18"/>
          <w:szCs w:val="18"/>
        </w:rPr>
      </w:pPr>
    </w:p>
    <w:p w14:paraId="5778E6BC" w14:textId="77777777" w:rsidR="00B72AB2" w:rsidRPr="000D728A" w:rsidRDefault="00B72AB2" w:rsidP="00B72AB2">
      <w:pPr>
        <w:rPr>
          <w:rFonts w:cs="Arial"/>
        </w:rPr>
      </w:pPr>
      <w:r w:rsidRPr="000D728A">
        <w:rPr>
          <w:rFonts w:cs="Arial"/>
          <w:sz w:val="18"/>
          <w:szCs w:val="18"/>
        </w:rPr>
        <w:lastRenderedPageBreak/>
        <w:t>Notes: OLS model. *** 0.01 significance level, ** 0.05 significance level. S.E. = Standard errors (in parentheses). Dependent variable is GHQ36, where GHQ36 = 36 is worst health and GHQ36 = 0 is best health, hence negative coefficients represent positive health impacts.</w:t>
      </w:r>
    </w:p>
    <w:p w14:paraId="5778E6BD" w14:textId="77777777" w:rsidR="00B72AB2" w:rsidRPr="000D728A" w:rsidRDefault="00B72AB2" w:rsidP="00B72AB2">
      <w:pPr>
        <w:rPr>
          <w:rFonts w:cs="Arial"/>
        </w:rPr>
      </w:pPr>
    </w:p>
    <w:p w14:paraId="5778E6BE" w14:textId="77777777" w:rsidR="00B72AB2" w:rsidRPr="000D728A" w:rsidRDefault="00B72AB2" w:rsidP="00B72AB2">
      <w:pPr>
        <w:rPr>
          <w:rFonts w:cs="Arial"/>
        </w:rPr>
      </w:pPr>
      <w:r w:rsidRPr="000D728A">
        <w:rPr>
          <w:rFonts w:cs="Arial"/>
        </w:rPr>
        <w:t xml:space="preserve">Again we find lots of positive effects for sports – all sports-related variables except fitness were significant and improved GHQ scores. </w:t>
      </w:r>
      <w:r w:rsidRPr="000D728A">
        <w:rPr>
          <w:rFonts w:cs="Arial"/>
          <w:b/>
        </w:rPr>
        <w:t>Sports as a whole improve GHQ36 scores.</w:t>
      </w:r>
      <w:r w:rsidRPr="000D728A">
        <w:rPr>
          <w:rFonts w:cs="Arial"/>
        </w:rPr>
        <w:t xml:space="preserve"> Looking at the sample average GHQ36 score (13.3) we find that doing sports improves GHQ scores by 5%. Again the</w:t>
      </w:r>
      <w:r w:rsidRPr="000D728A">
        <w:rPr>
          <w:rFonts w:cs="Arial"/>
          <w:b/>
        </w:rPr>
        <w:t xml:space="preserve"> impact seems to be larger for individual sports compared to team sports </w:t>
      </w:r>
      <w:r w:rsidRPr="000D728A">
        <w:rPr>
          <w:rFonts w:cs="Arial"/>
        </w:rPr>
        <w:t>and football had a very large impact compared to swimming and cycling – football alone also leads to a 5% improvement in GHQ scores, whereas swimming and cycling lead to about a 1.5% improvement.</w:t>
      </w:r>
    </w:p>
    <w:p w14:paraId="5778E6BF" w14:textId="77777777" w:rsidR="00B72AB2" w:rsidRPr="000D728A" w:rsidRDefault="00B72AB2" w:rsidP="00B72AB2">
      <w:pPr>
        <w:rPr>
          <w:rFonts w:cs="Arial"/>
        </w:rPr>
      </w:pPr>
    </w:p>
    <w:p w14:paraId="5778E6C0" w14:textId="77777777" w:rsidR="00B72AB2" w:rsidRPr="000D728A" w:rsidRDefault="00B72AB2" w:rsidP="00B72AB2">
      <w:pPr>
        <w:rPr>
          <w:rFonts w:cs="Arial"/>
        </w:rPr>
      </w:pPr>
      <w:r w:rsidRPr="000D728A">
        <w:rPr>
          <w:rFonts w:cs="Arial"/>
        </w:rPr>
        <w:t>As with self-reported health, the impact of arts was less. Arts overall had a positive but insignificant effect and when broken down by participation and audience the results still stayed insignificant (but we did find that the coefficient size was again bigger for audience than for participation). In terms of the individual arts activities only participation in literature had a statistically significant effect but it was an adverse effect on GHQ scores.</w:t>
      </w:r>
    </w:p>
    <w:p w14:paraId="5778E6C1" w14:textId="77777777" w:rsidR="00B72AB2" w:rsidRPr="000D728A" w:rsidRDefault="00B72AB2" w:rsidP="00B72AB2">
      <w:pPr>
        <w:rPr>
          <w:rFonts w:cs="Arial"/>
        </w:rPr>
      </w:pPr>
    </w:p>
    <w:p w14:paraId="5778E6C2" w14:textId="77777777" w:rsidR="00B72AB2" w:rsidRPr="000D728A" w:rsidRDefault="00B72AB2" w:rsidP="00B72AB2">
      <w:pPr>
        <w:rPr>
          <w:rFonts w:cs="Arial"/>
          <w:b/>
        </w:rPr>
      </w:pPr>
      <w:r w:rsidRPr="000D728A">
        <w:rPr>
          <w:rFonts w:cs="Arial"/>
          <w:b/>
        </w:rPr>
        <w:t>Distributional impacts</w:t>
      </w:r>
    </w:p>
    <w:p w14:paraId="5778E6C3" w14:textId="77777777" w:rsidR="00B72AB2" w:rsidRPr="000D728A" w:rsidRDefault="00B72AB2" w:rsidP="00B72AB2">
      <w:pPr>
        <w:rPr>
          <w:rFonts w:cs="Arial"/>
        </w:rPr>
      </w:pPr>
      <w:r w:rsidRPr="000D728A">
        <w:rPr>
          <w:rFonts w:cs="Arial"/>
        </w:rPr>
        <w:t xml:space="preserve">Some of the interaction terms in the GHQ36 models were significant. </w:t>
      </w:r>
      <w:r w:rsidRPr="000D728A">
        <w:rPr>
          <w:rFonts w:cs="Arial"/>
          <w:b/>
        </w:rPr>
        <w:t xml:space="preserve">For team sports, we find that the effect on GHQ36 is driven by the impacts for younger generations. </w:t>
      </w:r>
      <w:r w:rsidRPr="000D728A">
        <w:rPr>
          <w:rFonts w:cs="Arial"/>
        </w:rPr>
        <w:t xml:space="preserve">When broken down by age there is no impact of team sports on GHQ36 for the older age category (&gt;46) and a large impact for the younger age category (&lt;46). For individual sports we find that there are large impacts on GHQ36 for the older age category. These effects are interesting and potentially policy relevant, so further research might seek to uncover some of the reasons for the age effects. </w:t>
      </w:r>
    </w:p>
    <w:p w14:paraId="5778E6C4" w14:textId="77777777" w:rsidR="00B72AB2" w:rsidRPr="000D728A" w:rsidRDefault="00B72AB2" w:rsidP="00B72AB2">
      <w:pPr>
        <w:rPr>
          <w:rFonts w:cs="Arial"/>
        </w:rPr>
      </w:pPr>
    </w:p>
    <w:p w14:paraId="5778E6C5" w14:textId="77777777" w:rsidR="00B72AB2" w:rsidRPr="000D728A" w:rsidRDefault="00B72AB2" w:rsidP="00B72AB2">
      <w:pPr>
        <w:rPr>
          <w:rFonts w:cs="Arial"/>
        </w:rPr>
      </w:pPr>
      <w:r w:rsidRPr="000D728A">
        <w:rPr>
          <w:rFonts w:cs="Arial"/>
          <w:b/>
        </w:rPr>
        <w:t>Turning to the arts variables, we find that when broken down the arts participation variable shows an effect on GHQ36 for the older age category</w:t>
      </w:r>
      <w:r w:rsidRPr="000D728A">
        <w:rPr>
          <w:rFonts w:cs="Arial"/>
        </w:rPr>
        <w:t>.</w:t>
      </w:r>
    </w:p>
    <w:p w14:paraId="26CFF058" w14:textId="77777777" w:rsidR="00922617" w:rsidRDefault="00922617" w:rsidP="001008F7">
      <w:pPr>
        <w:ind w:left="0"/>
        <w:rPr>
          <w:rFonts w:cs="Arial"/>
          <w:b/>
        </w:rPr>
      </w:pPr>
    </w:p>
    <w:p w14:paraId="5778E6C8" w14:textId="77777777" w:rsidR="00B72AB2" w:rsidRPr="000D728A" w:rsidRDefault="00B72AB2" w:rsidP="00B72AB2">
      <w:pPr>
        <w:rPr>
          <w:rFonts w:cs="Arial"/>
          <w:b/>
        </w:rPr>
      </w:pPr>
      <w:r w:rsidRPr="000D728A">
        <w:rPr>
          <w:rFonts w:cs="Arial"/>
          <w:b/>
        </w:rPr>
        <w:t>C.1.3 Indicative cost savings</w:t>
      </w:r>
    </w:p>
    <w:p w14:paraId="5778E6C9" w14:textId="77777777" w:rsidR="00B72AB2" w:rsidRPr="000D728A" w:rsidRDefault="00B72AB2" w:rsidP="00B72AB2">
      <w:pPr>
        <w:rPr>
          <w:rFonts w:cs="Arial"/>
        </w:rPr>
      </w:pPr>
      <w:r w:rsidRPr="000D728A">
        <w:rPr>
          <w:rFonts w:cs="Arial"/>
        </w:rPr>
        <w:t xml:space="preserve">In order to attach a value for the financial impact of these outcomes, we look at the association between self-reported health scores and medical service usage rates in the UK, for which costs estimates are available. Using the British Household Panel Survey, we find that people who rate themselves as four or five for self-reported health are 35% less likely to visit GPs six or more times per year. This is based on simple correlational analysis but will provide some insight into the potential National Health (NHS) cost savings since self-perceived health will likely be a main determinant of people’s decisions to seek medical help. If we assume here that people who visit GPs six or more times per year on average visit ten </w:t>
      </w:r>
      <w:r w:rsidRPr="000D728A">
        <w:rPr>
          <w:rFonts w:cs="Arial"/>
        </w:rPr>
        <w:lastRenderedPageBreak/>
        <w:t>times per year then we can estimate the NHS cost savings due to participation in culture and sports.</w:t>
      </w:r>
    </w:p>
    <w:p w14:paraId="5778E6CA" w14:textId="77777777" w:rsidR="00B72AB2" w:rsidRPr="000D728A" w:rsidRDefault="00B72AB2" w:rsidP="00B72AB2">
      <w:pPr>
        <w:rPr>
          <w:rFonts w:cs="Arial"/>
        </w:rPr>
      </w:pPr>
    </w:p>
    <w:p w14:paraId="5778E6CB" w14:textId="124421C2" w:rsidR="00B72AB2" w:rsidRPr="000D728A" w:rsidRDefault="00B72AB2" w:rsidP="00B72AB2">
      <w:pPr>
        <w:rPr>
          <w:rFonts w:cs="Arial"/>
        </w:rPr>
      </w:pPr>
      <w:r w:rsidRPr="000D728A">
        <w:rPr>
          <w:rFonts w:cs="Arial"/>
        </w:rPr>
        <w:t>An average GP appointment costs the exchequer £25</w:t>
      </w:r>
      <w:r w:rsidRPr="000D728A">
        <w:rPr>
          <w:rStyle w:val="FootnoteReference"/>
          <w:rFonts w:cs="Arial"/>
        </w:rPr>
        <w:footnoteReference w:id="2"/>
      </w:r>
      <w:r w:rsidRPr="000D728A">
        <w:rPr>
          <w:rFonts w:cs="Arial"/>
        </w:rPr>
        <w:t xml:space="preserve">. For those that visit GPs 10 times per year this is a cost of £250. Based on the above therefore people who report good health incur £87.50 less in NHS costs per year due to GP visits (0.35*£250). </w:t>
      </w:r>
    </w:p>
    <w:p w14:paraId="5778E6CC" w14:textId="77777777" w:rsidR="00B72AB2" w:rsidRPr="000D728A" w:rsidRDefault="00B72AB2" w:rsidP="00B72AB2">
      <w:pPr>
        <w:rPr>
          <w:rFonts w:cs="Arial"/>
        </w:rPr>
      </w:pPr>
    </w:p>
    <w:p w14:paraId="5778E6CD" w14:textId="77777777" w:rsidR="00B72AB2" w:rsidRPr="000D728A" w:rsidRDefault="00B72AB2" w:rsidP="00B72AB2">
      <w:pPr>
        <w:rPr>
          <w:rFonts w:cs="Arial"/>
        </w:rPr>
      </w:pPr>
      <w:r w:rsidRPr="000D728A">
        <w:rPr>
          <w:rFonts w:cs="Arial"/>
        </w:rPr>
        <w:t>Clearly in addition to this people in good health will also incur less health costs elsewhere, such as medication and in-patient treatment which these figures do not capture and so this could lead to an underestimate of the value of the health benefits. According to NHS statistics (2011)</w:t>
      </w:r>
      <w:r w:rsidRPr="000D728A">
        <w:rPr>
          <w:rStyle w:val="FootnoteReference"/>
          <w:rFonts w:cs="Arial"/>
        </w:rPr>
        <w:footnoteReference w:id="3"/>
      </w:r>
      <w:r w:rsidRPr="000D728A">
        <w:rPr>
          <w:rFonts w:cs="Arial"/>
        </w:rPr>
        <w:t xml:space="preserve"> the average NHS cost is £1,979 per person per year. If we take GP visits as one indicator of general health, then people who report six or more visits to the GP per year (the highest category for the GP visits variable in the BHPS survey) are likely to be those who at least incur this level of overall NHS cost (given that £1,979 pa is for the average person). Therefore, the overall figure of £1,979 may give us a better picture of the medical costs related to people who visit GP surgeries regularly, but it is still likely to be an underestimate of the overall NHS costs. Under this assumption, people who report good health incur £693 less in overall NHS costs per year (£1,979*0.35). </w:t>
      </w:r>
    </w:p>
    <w:p w14:paraId="5778E6CE" w14:textId="77777777" w:rsidR="00B72AB2" w:rsidRPr="000D728A" w:rsidRDefault="00B72AB2" w:rsidP="00B72AB2">
      <w:pPr>
        <w:rPr>
          <w:rFonts w:cs="Arial"/>
        </w:rPr>
      </w:pPr>
    </w:p>
    <w:p w14:paraId="5778E6CF" w14:textId="03D6ED73" w:rsidR="00B72AB2" w:rsidRPr="000D728A" w:rsidRDefault="00B72AB2" w:rsidP="00B72AB2">
      <w:pPr>
        <w:rPr>
          <w:rFonts w:cs="Arial"/>
        </w:rPr>
      </w:pPr>
      <w:r w:rsidRPr="000D728A">
        <w:rPr>
          <w:rFonts w:cs="Arial"/>
        </w:rPr>
        <w:t xml:space="preserve">Table 10 estimates the indicative annual NHS cost savings associated with improvements in self-reported health due to engagement in culture and sports by using the results from Table 8 For example, </w:t>
      </w:r>
      <w:r w:rsidRPr="000D728A">
        <w:rPr>
          <w:rFonts w:cs="Arial"/>
          <w:b/>
        </w:rPr>
        <w:t xml:space="preserve">cycling was found to increase the probability of reporting good health by 9.2%. In </w:t>
      </w:r>
      <w:r w:rsidR="00127774">
        <w:rPr>
          <w:rFonts w:cs="Arial"/>
          <w:b/>
        </w:rPr>
        <w:t>turn we</w:t>
      </w:r>
      <w:r w:rsidRPr="000D728A">
        <w:rPr>
          <w:rFonts w:cs="Arial"/>
          <w:b/>
        </w:rPr>
        <w:t xml:space="preserve"> can assume that people who cycle incur about £64 less in NHS costs per year (0.092*£693).</w:t>
      </w:r>
    </w:p>
    <w:p w14:paraId="5778E6D0" w14:textId="77777777" w:rsidR="00B72AB2" w:rsidRPr="000D728A" w:rsidRDefault="00B72AB2" w:rsidP="00B72AB2">
      <w:pPr>
        <w:rPr>
          <w:rFonts w:cs="Arial"/>
        </w:rPr>
      </w:pPr>
    </w:p>
    <w:p w14:paraId="1EF51983" w14:textId="77777777" w:rsidR="001008F7" w:rsidRDefault="001008F7">
      <w:pPr>
        <w:spacing w:before="0"/>
        <w:ind w:left="0"/>
        <w:rPr>
          <w:rFonts w:cs="Arial"/>
          <w:b/>
        </w:rPr>
      </w:pPr>
      <w:r>
        <w:rPr>
          <w:rFonts w:cs="Arial"/>
          <w:b/>
        </w:rPr>
        <w:br w:type="page"/>
      </w:r>
    </w:p>
    <w:p w14:paraId="5778E6D1" w14:textId="0B8F9934" w:rsidR="00B72AB2" w:rsidRPr="000D728A" w:rsidRDefault="00B72AB2" w:rsidP="00B72AB2">
      <w:pPr>
        <w:rPr>
          <w:rFonts w:cs="Arial"/>
          <w:b/>
        </w:rPr>
      </w:pPr>
      <w:r w:rsidRPr="000D728A">
        <w:rPr>
          <w:rFonts w:cs="Arial"/>
          <w:b/>
        </w:rPr>
        <w:lastRenderedPageBreak/>
        <w:t>Table 10. Culture, sport and indicative NHS cost savings</w:t>
      </w:r>
    </w:p>
    <w:p w14:paraId="5778E6D2" w14:textId="77777777" w:rsidR="00D67C9B" w:rsidRPr="000D728A" w:rsidRDefault="00D67C9B" w:rsidP="00B72AB2">
      <w:pPr>
        <w:rPr>
          <w:rFonts w:cs="Arial"/>
          <w:sz w:val="20"/>
        </w:rPr>
      </w:pPr>
    </w:p>
    <w:tbl>
      <w:tblPr>
        <w:tblW w:w="6800" w:type="dxa"/>
        <w:tblInd w:w="2093" w:type="dxa"/>
        <w:tblLook w:val="04A0" w:firstRow="1" w:lastRow="0" w:firstColumn="1" w:lastColumn="0" w:noHBand="0" w:noVBand="1"/>
      </w:tblPr>
      <w:tblGrid>
        <w:gridCol w:w="2860"/>
        <w:gridCol w:w="1840"/>
        <w:gridCol w:w="2100"/>
      </w:tblGrid>
      <w:tr w:rsidR="00D67C9B" w:rsidRPr="000D728A" w14:paraId="5778E6D6" w14:textId="77777777" w:rsidTr="00C244CD">
        <w:trPr>
          <w:trHeight w:val="315"/>
        </w:trPr>
        <w:tc>
          <w:tcPr>
            <w:tcW w:w="2860" w:type="dxa"/>
            <w:tcBorders>
              <w:top w:val="single" w:sz="8" w:space="0" w:color="auto"/>
              <w:left w:val="single" w:sz="8" w:space="0" w:color="auto"/>
              <w:bottom w:val="double" w:sz="6" w:space="0" w:color="auto"/>
              <w:right w:val="single" w:sz="4" w:space="0" w:color="auto"/>
            </w:tcBorders>
            <w:shd w:val="clear" w:color="000000" w:fill="0070C0"/>
            <w:noWrap/>
            <w:vAlign w:val="bottom"/>
            <w:hideMark/>
          </w:tcPr>
          <w:p w14:paraId="5778E6D3" w14:textId="77777777" w:rsidR="00D67C9B" w:rsidRPr="000D728A" w:rsidRDefault="00D67C9B" w:rsidP="00D67C9B">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Model &amp; variables</w:t>
            </w:r>
          </w:p>
        </w:tc>
        <w:tc>
          <w:tcPr>
            <w:tcW w:w="1840" w:type="dxa"/>
            <w:tcBorders>
              <w:top w:val="single" w:sz="8" w:space="0" w:color="auto"/>
              <w:left w:val="nil"/>
              <w:bottom w:val="double" w:sz="6" w:space="0" w:color="auto"/>
              <w:right w:val="nil"/>
            </w:tcBorders>
            <w:shd w:val="clear" w:color="000000" w:fill="0070C0"/>
            <w:noWrap/>
            <w:vAlign w:val="bottom"/>
            <w:hideMark/>
          </w:tcPr>
          <w:p w14:paraId="5778E6D4" w14:textId="77777777" w:rsidR="00D67C9B" w:rsidRPr="000D728A" w:rsidRDefault="00D67C9B" w:rsidP="00D67C9B">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Probability impact</w:t>
            </w:r>
          </w:p>
        </w:tc>
        <w:tc>
          <w:tcPr>
            <w:tcW w:w="2100" w:type="dxa"/>
            <w:tcBorders>
              <w:top w:val="single" w:sz="8" w:space="0" w:color="auto"/>
              <w:left w:val="single" w:sz="4" w:space="0" w:color="auto"/>
              <w:bottom w:val="double" w:sz="6" w:space="0" w:color="auto"/>
              <w:right w:val="single" w:sz="8" w:space="0" w:color="auto"/>
            </w:tcBorders>
            <w:shd w:val="clear" w:color="000000" w:fill="0070C0"/>
            <w:noWrap/>
            <w:vAlign w:val="bottom"/>
            <w:hideMark/>
          </w:tcPr>
          <w:p w14:paraId="5778E6D5" w14:textId="77777777" w:rsidR="00D67C9B" w:rsidRPr="000D728A" w:rsidRDefault="00D67C9B" w:rsidP="00D67C9B">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NHS cost saving (£pa)</w:t>
            </w:r>
          </w:p>
        </w:tc>
      </w:tr>
      <w:tr w:rsidR="00D67C9B" w:rsidRPr="000D728A" w14:paraId="5778E6DA" w14:textId="77777777" w:rsidTr="00C244CD">
        <w:trPr>
          <w:trHeight w:val="315"/>
        </w:trPr>
        <w:tc>
          <w:tcPr>
            <w:tcW w:w="2860" w:type="dxa"/>
            <w:tcBorders>
              <w:top w:val="single" w:sz="4" w:space="0" w:color="auto"/>
              <w:left w:val="single" w:sz="8" w:space="0" w:color="auto"/>
              <w:bottom w:val="single" w:sz="4" w:space="0" w:color="auto"/>
              <w:right w:val="single" w:sz="4" w:space="0" w:color="auto"/>
            </w:tcBorders>
            <w:shd w:val="clear" w:color="000000" w:fill="0070C0"/>
            <w:noWrap/>
            <w:vAlign w:val="bottom"/>
            <w:hideMark/>
          </w:tcPr>
          <w:p w14:paraId="5778E6D7" w14:textId="77777777" w:rsidR="00D67C9B" w:rsidRPr="000D728A" w:rsidRDefault="00D67C9B" w:rsidP="00D67C9B">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Sports</w:t>
            </w:r>
          </w:p>
        </w:tc>
        <w:tc>
          <w:tcPr>
            <w:tcW w:w="1840" w:type="dxa"/>
            <w:tcBorders>
              <w:top w:val="nil"/>
              <w:left w:val="nil"/>
              <w:bottom w:val="nil"/>
              <w:right w:val="nil"/>
            </w:tcBorders>
            <w:shd w:val="clear" w:color="000000" w:fill="0070C0"/>
            <w:noWrap/>
            <w:vAlign w:val="bottom"/>
            <w:hideMark/>
          </w:tcPr>
          <w:p w14:paraId="5778E6D8" w14:textId="77777777" w:rsidR="00D67C9B" w:rsidRPr="000D728A" w:rsidRDefault="00D67C9B" w:rsidP="00D67C9B">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 </w:t>
            </w:r>
          </w:p>
        </w:tc>
        <w:tc>
          <w:tcPr>
            <w:tcW w:w="2100" w:type="dxa"/>
            <w:tcBorders>
              <w:top w:val="nil"/>
              <w:left w:val="single" w:sz="4" w:space="0" w:color="auto"/>
              <w:bottom w:val="nil"/>
              <w:right w:val="single" w:sz="8" w:space="0" w:color="auto"/>
            </w:tcBorders>
            <w:shd w:val="clear" w:color="000000" w:fill="0070C0"/>
            <w:noWrap/>
            <w:vAlign w:val="bottom"/>
            <w:hideMark/>
          </w:tcPr>
          <w:p w14:paraId="5778E6D9" w14:textId="77777777" w:rsidR="00D67C9B" w:rsidRPr="000D728A" w:rsidRDefault="00D67C9B" w:rsidP="00D67C9B">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 </w:t>
            </w:r>
          </w:p>
        </w:tc>
      </w:tr>
      <w:tr w:rsidR="00D67C9B" w:rsidRPr="000D728A" w14:paraId="5778E6DE" w14:textId="77777777" w:rsidTr="00C244CD">
        <w:trPr>
          <w:trHeight w:val="300"/>
        </w:trPr>
        <w:tc>
          <w:tcPr>
            <w:tcW w:w="2860" w:type="dxa"/>
            <w:tcBorders>
              <w:top w:val="nil"/>
              <w:left w:val="single" w:sz="8" w:space="0" w:color="auto"/>
              <w:bottom w:val="nil"/>
              <w:right w:val="single" w:sz="4" w:space="0" w:color="auto"/>
            </w:tcBorders>
            <w:shd w:val="clear" w:color="auto" w:fill="auto"/>
            <w:noWrap/>
            <w:vAlign w:val="bottom"/>
            <w:hideMark/>
          </w:tcPr>
          <w:p w14:paraId="5778E6DB" w14:textId="77777777" w:rsidR="00D67C9B" w:rsidRPr="000D728A" w:rsidRDefault="00D67C9B" w:rsidP="00D67C9B">
            <w:pPr>
              <w:spacing w:before="0"/>
              <w:ind w:left="0"/>
              <w:rPr>
                <w:rFonts w:ascii="Calibri" w:hAnsi="Calibri" w:cs="Calibri"/>
                <w:i/>
                <w:iCs/>
                <w:sz w:val="22"/>
                <w:szCs w:val="22"/>
              </w:rPr>
            </w:pPr>
            <w:r w:rsidRPr="000D728A">
              <w:rPr>
                <w:rFonts w:ascii="Calibri" w:hAnsi="Calibri" w:cs="Calibri"/>
                <w:i/>
                <w:iCs/>
                <w:sz w:val="22"/>
                <w:szCs w:val="22"/>
              </w:rPr>
              <w:t>All sports</w:t>
            </w:r>
          </w:p>
        </w:tc>
        <w:tc>
          <w:tcPr>
            <w:tcW w:w="1840" w:type="dxa"/>
            <w:tcBorders>
              <w:top w:val="nil"/>
              <w:left w:val="nil"/>
              <w:bottom w:val="nil"/>
              <w:right w:val="nil"/>
            </w:tcBorders>
            <w:shd w:val="clear" w:color="auto" w:fill="auto"/>
            <w:noWrap/>
            <w:vAlign w:val="bottom"/>
            <w:hideMark/>
          </w:tcPr>
          <w:p w14:paraId="5778E6DC"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14.1%</w:t>
            </w:r>
          </w:p>
        </w:tc>
        <w:tc>
          <w:tcPr>
            <w:tcW w:w="2100" w:type="dxa"/>
            <w:tcBorders>
              <w:top w:val="nil"/>
              <w:left w:val="single" w:sz="4" w:space="0" w:color="auto"/>
              <w:bottom w:val="nil"/>
              <w:right w:val="single" w:sz="8" w:space="0" w:color="auto"/>
            </w:tcBorders>
            <w:shd w:val="clear" w:color="auto" w:fill="auto"/>
            <w:noWrap/>
            <w:vAlign w:val="bottom"/>
            <w:hideMark/>
          </w:tcPr>
          <w:p w14:paraId="5778E6DD"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£97.71</w:t>
            </w:r>
          </w:p>
        </w:tc>
      </w:tr>
      <w:tr w:rsidR="00D67C9B" w:rsidRPr="000D728A" w14:paraId="5778E6E2" w14:textId="77777777" w:rsidTr="00C244CD">
        <w:trPr>
          <w:trHeight w:val="300"/>
        </w:trPr>
        <w:tc>
          <w:tcPr>
            <w:tcW w:w="2860" w:type="dxa"/>
            <w:tcBorders>
              <w:top w:val="nil"/>
              <w:left w:val="single" w:sz="8" w:space="0" w:color="auto"/>
              <w:bottom w:val="nil"/>
              <w:right w:val="single" w:sz="4" w:space="0" w:color="auto"/>
            </w:tcBorders>
            <w:shd w:val="clear" w:color="auto" w:fill="auto"/>
            <w:noWrap/>
            <w:vAlign w:val="bottom"/>
            <w:hideMark/>
          </w:tcPr>
          <w:p w14:paraId="5778E6DF" w14:textId="77777777" w:rsidR="00D67C9B" w:rsidRPr="000D728A" w:rsidRDefault="00D67C9B" w:rsidP="00D67C9B">
            <w:pPr>
              <w:spacing w:before="0"/>
              <w:ind w:left="0"/>
              <w:rPr>
                <w:rFonts w:ascii="Calibri" w:hAnsi="Calibri" w:cs="Calibri"/>
                <w:i/>
                <w:iCs/>
                <w:color w:val="000000"/>
                <w:sz w:val="22"/>
                <w:szCs w:val="22"/>
              </w:rPr>
            </w:pPr>
            <w:r w:rsidRPr="000D728A">
              <w:rPr>
                <w:rFonts w:ascii="Calibri" w:hAnsi="Calibri" w:cs="Calibri"/>
                <w:i/>
                <w:iCs/>
                <w:color w:val="000000"/>
                <w:sz w:val="22"/>
                <w:szCs w:val="22"/>
              </w:rPr>
              <w:t>Team sports</w:t>
            </w:r>
          </w:p>
        </w:tc>
        <w:tc>
          <w:tcPr>
            <w:tcW w:w="1840" w:type="dxa"/>
            <w:tcBorders>
              <w:top w:val="nil"/>
              <w:left w:val="nil"/>
              <w:bottom w:val="nil"/>
              <w:right w:val="nil"/>
            </w:tcBorders>
            <w:shd w:val="clear" w:color="auto" w:fill="auto"/>
            <w:noWrap/>
            <w:vAlign w:val="bottom"/>
            <w:hideMark/>
          </w:tcPr>
          <w:p w14:paraId="5778E6E0"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7.6%</w:t>
            </w:r>
          </w:p>
        </w:tc>
        <w:tc>
          <w:tcPr>
            <w:tcW w:w="2100" w:type="dxa"/>
            <w:tcBorders>
              <w:top w:val="nil"/>
              <w:left w:val="single" w:sz="4" w:space="0" w:color="auto"/>
              <w:bottom w:val="nil"/>
              <w:right w:val="single" w:sz="8" w:space="0" w:color="auto"/>
            </w:tcBorders>
            <w:shd w:val="clear" w:color="auto" w:fill="auto"/>
            <w:noWrap/>
            <w:vAlign w:val="bottom"/>
            <w:hideMark/>
          </w:tcPr>
          <w:p w14:paraId="5778E6E1"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£52.67</w:t>
            </w:r>
          </w:p>
        </w:tc>
      </w:tr>
      <w:tr w:rsidR="00D67C9B" w:rsidRPr="000D728A" w14:paraId="5778E6E6" w14:textId="77777777" w:rsidTr="00C244CD">
        <w:trPr>
          <w:trHeight w:val="300"/>
        </w:trPr>
        <w:tc>
          <w:tcPr>
            <w:tcW w:w="2860" w:type="dxa"/>
            <w:tcBorders>
              <w:top w:val="nil"/>
              <w:left w:val="single" w:sz="8" w:space="0" w:color="auto"/>
              <w:bottom w:val="nil"/>
              <w:right w:val="single" w:sz="4" w:space="0" w:color="auto"/>
            </w:tcBorders>
            <w:shd w:val="clear" w:color="auto" w:fill="auto"/>
            <w:noWrap/>
            <w:vAlign w:val="bottom"/>
            <w:hideMark/>
          </w:tcPr>
          <w:p w14:paraId="5778E6E3" w14:textId="77777777" w:rsidR="00D67C9B" w:rsidRPr="000D728A" w:rsidRDefault="00D67C9B" w:rsidP="00D67C9B">
            <w:pPr>
              <w:spacing w:before="0"/>
              <w:ind w:left="0"/>
              <w:rPr>
                <w:rFonts w:ascii="Calibri" w:hAnsi="Calibri" w:cs="Calibri"/>
                <w:i/>
                <w:iCs/>
                <w:color w:val="000000"/>
                <w:sz w:val="22"/>
                <w:szCs w:val="22"/>
              </w:rPr>
            </w:pPr>
            <w:r w:rsidRPr="000D728A">
              <w:rPr>
                <w:rFonts w:ascii="Calibri" w:hAnsi="Calibri" w:cs="Calibri"/>
                <w:i/>
                <w:iCs/>
                <w:color w:val="000000"/>
                <w:sz w:val="22"/>
                <w:szCs w:val="22"/>
              </w:rPr>
              <w:t>Individual sports</w:t>
            </w:r>
          </w:p>
        </w:tc>
        <w:tc>
          <w:tcPr>
            <w:tcW w:w="1840" w:type="dxa"/>
            <w:tcBorders>
              <w:top w:val="nil"/>
              <w:left w:val="nil"/>
              <w:bottom w:val="nil"/>
              <w:right w:val="nil"/>
            </w:tcBorders>
            <w:shd w:val="clear" w:color="auto" w:fill="auto"/>
            <w:noWrap/>
            <w:vAlign w:val="bottom"/>
            <w:hideMark/>
          </w:tcPr>
          <w:p w14:paraId="5778E6E4"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12.9%</w:t>
            </w:r>
          </w:p>
        </w:tc>
        <w:tc>
          <w:tcPr>
            <w:tcW w:w="2100" w:type="dxa"/>
            <w:tcBorders>
              <w:top w:val="nil"/>
              <w:left w:val="single" w:sz="4" w:space="0" w:color="auto"/>
              <w:bottom w:val="nil"/>
              <w:right w:val="single" w:sz="8" w:space="0" w:color="auto"/>
            </w:tcBorders>
            <w:shd w:val="clear" w:color="auto" w:fill="auto"/>
            <w:noWrap/>
            <w:vAlign w:val="bottom"/>
            <w:hideMark/>
          </w:tcPr>
          <w:p w14:paraId="5778E6E5"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£89.40</w:t>
            </w:r>
          </w:p>
        </w:tc>
      </w:tr>
      <w:tr w:rsidR="00D67C9B" w:rsidRPr="000D728A" w14:paraId="5778E6EA" w14:textId="77777777" w:rsidTr="00C244CD">
        <w:trPr>
          <w:trHeight w:val="300"/>
        </w:trPr>
        <w:tc>
          <w:tcPr>
            <w:tcW w:w="2860" w:type="dxa"/>
            <w:tcBorders>
              <w:top w:val="nil"/>
              <w:left w:val="single" w:sz="8" w:space="0" w:color="auto"/>
              <w:bottom w:val="nil"/>
              <w:right w:val="single" w:sz="4" w:space="0" w:color="auto"/>
            </w:tcBorders>
            <w:shd w:val="clear" w:color="auto" w:fill="auto"/>
            <w:noWrap/>
            <w:vAlign w:val="bottom"/>
            <w:hideMark/>
          </w:tcPr>
          <w:p w14:paraId="5778E6E7" w14:textId="77777777" w:rsidR="00D67C9B" w:rsidRPr="000D728A" w:rsidRDefault="00D67C9B" w:rsidP="00D67C9B">
            <w:pPr>
              <w:spacing w:before="0"/>
              <w:ind w:left="0"/>
              <w:rPr>
                <w:rFonts w:ascii="Calibri" w:hAnsi="Calibri" w:cs="Calibri"/>
                <w:i/>
                <w:iCs/>
                <w:color w:val="000000"/>
                <w:sz w:val="22"/>
                <w:szCs w:val="22"/>
              </w:rPr>
            </w:pPr>
            <w:r w:rsidRPr="000D728A">
              <w:rPr>
                <w:rFonts w:ascii="Calibri" w:hAnsi="Calibri" w:cs="Calibri"/>
                <w:i/>
                <w:iCs/>
                <w:color w:val="000000"/>
                <w:sz w:val="22"/>
                <w:szCs w:val="22"/>
              </w:rPr>
              <w:t>Fitness</w:t>
            </w:r>
          </w:p>
        </w:tc>
        <w:tc>
          <w:tcPr>
            <w:tcW w:w="1840" w:type="dxa"/>
            <w:tcBorders>
              <w:top w:val="nil"/>
              <w:left w:val="nil"/>
              <w:bottom w:val="nil"/>
              <w:right w:val="nil"/>
            </w:tcBorders>
            <w:shd w:val="clear" w:color="auto" w:fill="auto"/>
            <w:noWrap/>
            <w:vAlign w:val="bottom"/>
            <w:hideMark/>
          </w:tcPr>
          <w:p w14:paraId="5778E6E8"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9.7%</w:t>
            </w:r>
          </w:p>
        </w:tc>
        <w:tc>
          <w:tcPr>
            <w:tcW w:w="2100" w:type="dxa"/>
            <w:tcBorders>
              <w:top w:val="nil"/>
              <w:left w:val="single" w:sz="4" w:space="0" w:color="auto"/>
              <w:bottom w:val="nil"/>
              <w:right w:val="single" w:sz="8" w:space="0" w:color="auto"/>
            </w:tcBorders>
            <w:shd w:val="clear" w:color="auto" w:fill="auto"/>
            <w:noWrap/>
            <w:vAlign w:val="bottom"/>
            <w:hideMark/>
          </w:tcPr>
          <w:p w14:paraId="5778E6E9"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£67.22</w:t>
            </w:r>
          </w:p>
        </w:tc>
      </w:tr>
      <w:tr w:rsidR="00D67C9B" w:rsidRPr="000D728A" w14:paraId="5778E6EE" w14:textId="77777777" w:rsidTr="00C244CD">
        <w:trPr>
          <w:trHeight w:val="300"/>
        </w:trPr>
        <w:tc>
          <w:tcPr>
            <w:tcW w:w="2860" w:type="dxa"/>
            <w:tcBorders>
              <w:top w:val="nil"/>
              <w:left w:val="single" w:sz="8" w:space="0" w:color="auto"/>
              <w:bottom w:val="nil"/>
              <w:right w:val="single" w:sz="4" w:space="0" w:color="auto"/>
            </w:tcBorders>
            <w:shd w:val="clear" w:color="auto" w:fill="auto"/>
            <w:noWrap/>
            <w:vAlign w:val="bottom"/>
            <w:hideMark/>
          </w:tcPr>
          <w:p w14:paraId="5778E6EB" w14:textId="77777777" w:rsidR="00D67C9B" w:rsidRPr="000D728A" w:rsidRDefault="00D67C9B" w:rsidP="00D67C9B">
            <w:pPr>
              <w:spacing w:before="0"/>
              <w:ind w:left="0"/>
              <w:rPr>
                <w:rFonts w:ascii="Calibri" w:hAnsi="Calibri" w:cs="Calibri"/>
                <w:i/>
                <w:iCs/>
                <w:color w:val="000000"/>
                <w:sz w:val="22"/>
                <w:szCs w:val="22"/>
              </w:rPr>
            </w:pPr>
            <w:r w:rsidRPr="000D728A">
              <w:rPr>
                <w:rFonts w:ascii="Calibri" w:hAnsi="Calibri" w:cs="Calibri"/>
                <w:i/>
                <w:iCs/>
                <w:color w:val="000000"/>
                <w:sz w:val="22"/>
                <w:szCs w:val="22"/>
              </w:rPr>
              <w:t>Football</w:t>
            </w:r>
          </w:p>
        </w:tc>
        <w:tc>
          <w:tcPr>
            <w:tcW w:w="1840" w:type="dxa"/>
            <w:tcBorders>
              <w:top w:val="nil"/>
              <w:left w:val="nil"/>
              <w:bottom w:val="nil"/>
              <w:right w:val="nil"/>
            </w:tcBorders>
            <w:shd w:val="clear" w:color="auto" w:fill="auto"/>
            <w:noWrap/>
            <w:vAlign w:val="bottom"/>
            <w:hideMark/>
          </w:tcPr>
          <w:p w14:paraId="5778E6EC"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4.9%</w:t>
            </w:r>
          </w:p>
        </w:tc>
        <w:tc>
          <w:tcPr>
            <w:tcW w:w="2100" w:type="dxa"/>
            <w:tcBorders>
              <w:top w:val="nil"/>
              <w:left w:val="single" w:sz="4" w:space="0" w:color="auto"/>
              <w:bottom w:val="nil"/>
              <w:right w:val="single" w:sz="8" w:space="0" w:color="auto"/>
            </w:tcBorders>
            <w:shd w:val="clear" w:color="auto" w:fill="auto"/>
            <w:noWrap/>
            <w:vAlign w:val="bottom"/>
            <w:hideMark/>
          </w:tcPr>
          <w:p w14:paraId="5778E6ED"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£33.96</w:t>
            </w:r>
          </w:p>
        </w:tc>
      </w:tr>
      <w:tr w:rsidR="00D67C9B" w:rsidRPr="000D728A" w14:paraId="5778E6F2" w14:textId="77777777" w:rsidTr="00C244CD">
        <w:trPr>
          <w:trHeight w:val="300"/>
        </w:trPr>
        <w:tc>
          <w:tcPr>
            <w:tcW w:w="2860" w:type="dxa"/>
            <w:tcBorders>
              <w:top w:val="nil"/>
              <w:left w:val="single" w:sz="8" w:space="0" w:color="auto"/>
              <w:bottom w:val="nil"/>
              <w:right w:val="single" w:sz="4" w:space="0" w:color="auto"/>
            </w:tcBorders>
            <w:shd w:val="clear" w:color="auto" w:fill="auto"/>
            <w:noWrap/>
            <w:vAlign w:val="bottom"/>
            <w:hideMark/>
          </w:tcPr>
          <w:p w14:paraId="5778E6EF" w14:textId="77777777" w:rsidR="00D67C9B" w:rsidRPr="000D728A" w:rsidRDefault="00D67C9B" w:rsidP="00D67C9B">
            <w:pPr>
              <w:spacing w:before="0"/>
              <w:ind w:left="0"/>
              <w:rPr>
                <w:rFonts w:ascii="Calibri" w:hAnsi="Calibri" w:cs="Calibri"/>
                <w:i/>
                <w:iCs/>
                <w:color w:val="000000"/>
                <w:sz w:val="22"/>
                <w:szCs w:val="22"/>
              </w:rPr>
            </w:pPr>
            <w:r w:rsidRPr="000D728A">
              <w:rPr>
                <w:rFonts w:ascii="Calibri" w:hAnsi="Calibri" w:cs="Calibri"/>
                <w:i/>
                <w:iCs/>
                <w:color w:val="000000"/>
                <w:sz w:val="22"/>
                <w:szCs w:val="22"/>
              </w:rPr>
              <w:t>Swimming</w:t>
            </w:r>
          </w:p>
        </w:tc>
        <w:tc>
          <w:tcPr>
            <w:tcW w:w="1840" w:type="dxa"/>
            <w:tcBorders>
              <w:top w:val="nil"/>
              <w:left w:val="nil"/>
              <w:bottom w:val="nil"/>
              <w:right w:val="nil"/>
            </w:tcBorders>
            <w:shd w:val="clear" w:color="auto" w:fill="auto"/>
            <w:noWrap/>
            <w:vAlign w:val="bottom"/>
            <w:hideMark/>
          </w:tcPr>
          <w:p w14:paraId="5778E6F0"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4.8%</w:t>
            </w:r>
          </w:p>
        </w:tc>
        <w:tc>
          <w:tcPr>
            <w:tcW w:w="2100" w:type="dxa"/>
            <w:tcBorders>
              <w:top w:val="nil"/>
              <w:left w:val="single" w:sz="4" w:space="0" w:color="auto"/>
              <w:bottom w:val="nil"/>
              <w:right w:val="single" w:sz="8" w:space="0" w:color="auto"/>
            </w:tcBorders>
            <w:shd w:val="clear" w:color="auto" w:fill="auto"/>
            <w:noWrap/>
            <w:vAlign w:val="bottom"/>
            <w:hideMark/>
          </w:tcPr>
          <w:p w14:paraId="5778E6F1"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£33.26</w:t>
            </w:r>
          </w:p>
        </w:tc>
      </w:tr>
      <w:tr w:rsidR="00D67C9B" w:rsidRPr="000D728A" w14:paraId="5778E6F6" w14:textId="77777777" w:rsidTr="00C244CD">
        <w:trPr>
          <w:trHeight w:val="300"/>
        </w:trPr>
        <w:tc>
          <w:tcPr>
            <w:tcW w:w="2860" w:type="dxa"/>
            <w:tcBorders>
              <w:top w:val="nil"/>
              <w:left w:val="single" w:sz="8" w:space="0" w:color="auto"/>
              <w:bottom w:val="nil"/>
              <w:right w:val="single" w:sz="4" w:space="0" w:color="auto"/>
            </w:tcBorders>
            <w:shd w:val="clear" w:color="auto" w:fill="auto"/>
            <w:noWrap/>
            <w:vAlign w:val="bottom"/>
            <w:hideMark/>
          </w:tcPr>
          <w:p w14:paraId="5778E6F3" w14:textId="77777777" w:rsidR="00D67C9B" w:rsidRPr="000D728A" w:rsidRDefault="00D67C9B" w:rsidP="00D67C9B">
            <w:pPr>
              <w:spacing w:before="0"/>
              <w:ind w:left="0"/>
              <w:rPr>
                <w:rFonts w:ascii="Calibri" w:hAnsi="Calibri" w:cs="Calibri"/>
                <w:i/>
                <w:iCs/>
                <w:color w:val="000000"/>
                <w:sz w:val="22"/>
                <w:szCs w:val="22"/>
              </w:rPr>
            </w:pPr>
            <w:r w:rsidRPr="000D728A">
              <w:rPr>
                <w:rFonts w:ascii="Calibri" w:hAnsi="Calibri" w:cs="Calibri"/>
                <w:i/>
                <w:iCs/>
                <w:color w:val="000000"/>
                <w:sz w:val="22"/>
                <w:szCs w:val="22"/>
              </w:rPr>
              <w:t>Cycling</w:t>
            </w:r>
          </w:p>
        </w:tc>
        <w:tc>
          <w:tcPr>
            <w:tcW w:w="1840" w:type="dxa"/>
            <w:tcBorders>
              <w:top w:val="nil"/>
              <w:left w:val="nil"/>
              <w:bottom w:val="nil"/>
              <w:right w:val="nil"/>
            </w:tcBorders>
            <w:shd w:val="clear" w:color="auto" w:fill="auto"/>
            <w:noWrap/>
            <w:vAlign w:val="bottom"/>
            <w:hideMark/>
          </w:tcPr>
          <w:p w14:paraId="5778E6F4"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9.2%</w:t>
            </w:r>
          </w:p>
        </w:tc>
        <w:tc>
          <w:tcPr>
            <w:tcW w:w="2100" w:type="dxa"/>
            <w:tcBorders>
              <w:top w:val="nil"/>
              <w:left w:val="single" w:sz="4" w:space="0" w:color="auto"/>
              <w:bottom w:val="nil"/>
              <w:right w:val="single" w:sz="8" w:space="0" w:color="auto"/>
            </w:tcBorders>
            <w:shd w:val="clear" w:color="auto" w:fill="auto"/>
            <w:noWrap/>
            <w:vAlign w:val="bottom"/>
            <w:hideMark/>
          </w:tcPr>
          <w:p w14:paraId="5778E6F5"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£63.76</w:t>
            </w:r>
          </w:p>
        </w:tc>
      </w:tr>
      <w:tr w:rsidR="00D67C9B" w:rsidRPr="000D728A" w14:paraId="5778E6FA" w14:textId="77777777" w:rsidTr="00C244CD">
        <w:trPr>
          <w:trHeight w:val="300"/>
        </w:trPr>
        <w:tc>
          <w:tcPr>
            <w:tcW w:w="2860" w:type="dxa"/>
            <w:tcBorders>
              <w:top w:val="nil"/>
              <w:left w:val="single" w:sz="8" w:space="0" w:color="auto"/>
              <w:bottom w:val="single" w:sz="4" w:space="0" w:color="auto"/>
              <w:right w:val="single" w:sz="4" w:space="0" w:color="auto"/>
            </w:tcBorders>
            <w:shd w:val="clear" w:color="000000" w:fill="0070C0"/>
            <w:noWrap/>
            <w:vAlign w:val="bottom"/>
            <w:hideMark/>
          </w:tcPr>
          <w:p w14:paraId="5778E6F7" w14:textId="77777777" w:rsidR="00D67C9B" w:rsidRPr="000D728A" w:rsidRDefault="00D67C9B" w:rsidP="00D67C9B">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Culture</w:t>
            </w:r>
          </w:p>
        </w:tc>
        <w:tc>
          <w:tcPr>
            <w:tcW w:w="1840" w:type="dxa"/>
            <w:tcBorders>
              <w:top w:val="nil"/>
              <w:left w:val="nil"/>
              <w:bottom w:val="single" w:sz="4" w:space="0" w:color="auto"/>
              <w:right w:val="nil"/>
            </w:tcBorders>
            <w:shd w:val="clear" w:color="000000" w:fill="0070C0"/>
            <w:noWrap/>
            <w:vAlign w:val="bottom"/>
            <w:hideMark/>
          </w:tcPr>
          <w:p w14:paraId="5778E6F8" w14:textId="77777777" w:rsidR="00D67C9B" w:rsidRPr="000D728A" w:rsidRDefault="00D67C9B" w:rsidP="00D67C9B">
            <w:pPr>
              <w:spacing w:before="0"/>
              <w:ind w:left="0"/>
              <w:jc w:val="center"/>
              <w:rPr>
                <w:rFonts w:ascii="Calibri" w:hAnsi="Calibri" w:cs="Calibri"/>
                <w:color w:val="FFFFFF"/>
                <w:sz w:val="22"/>
                <w:szCs w:val="22"/>
              </w:rPr>
            </w:pPr>
            <w:r w:rsidRPr="000D728A">
              <w:rPr>
                <w:rFonts w:ascii="Calibri" w:hAnsi="Calibri" w:cs="Calibri"/>
                <w:color w:val="FFFFFF"/>
                <w:sz w:val="22"/>
                <w:szCs w:val="22"/>
              </w:rPr>
              <w:t> </w:t>
            </w:r>
          </w:p>
        </w:tc>
        <w:tc>
          <w:tcPr>
            <w:tcW w:w="2100" w:type="dxa"/>
            <w:tcBorders>
              <w:top w:val="nil"/>
              <w:left w:val="single" w:sz="4" w:space="0" w:color="auto"/>
              <w:bottom w:val="single" w:sz="4" w:space="0" w:color="auto"/>
              <w:right w:val="single" w:sz="8" w:space="0" w:color="auto"/>
            </w:tcBorders>
            <w:shd w:val="clear" w:color="000000" w:fill="0070C0"/>
            <w:noWrap/>
            <w:vAlign w:val="bottom"/>
            <w:hideMark/>
          </w:tcPr>
          <w:p w14:paraId="5778E6F9" w14:textId="77777777" w:rsidR="00D67C9B" w:rsidRPr="000D728A" w:rsidRDefault="00D67C9B" w:rsidP="00D67C9B">
            <w:pPr>
              <w:spacing w:before="0"/>
              <w:ind w:left="0"/>
              <w:jc w:val="center"/>
              <w:rPr>
                <w:rFonts w:ascii="Calibri" w:hAnsi="Calibri" w:cs="Calibri"/>
                <w:color w:val="FFFFFF"/>
                <w:sz w:val="22"/>
                <w:szCs w:val="22"/>
              </w:rPr>
            </w:pPr>
            <w:r w:rsidRPr="000D728A">
              <w:rPr>
                <w:rFonts w:ascii="Calibri" w:hAnsi="Calibri" w:cs="Calibri"/>
                <w:color w:val="FFFFFF"/>
                <w:sz w:val="22"/>
                <w:szCs w:val="22"/>
              </w:rPr>
              <w:t> </w:t>
            </w:r>
          </w:p>
        </w:tc>
      </w:tr>
      <w:tr w:rsidR="00D67C9B" w:rsidRPr="000D728A" w14:paraId="5778E6FE" w14:textId="77777777" w:rsidTr="00C244CD">
        <w:trPr>
          <w:trHeight w:val="300"/>
        </w:trPr>
        <w:tc>
          <w:tcPr>
            <w:tcW w:w="2860" w:type="dxa"/>
            <w:tcBorders>
              <w:top w:val="nil"/>
              <w:left w:val="single" w:sz="8" w:space="0" w:color="auto"/>
              <w:bottom w:val="nil"/>
              <w:right w:val="single" w:sz="4" w:space="0" w:color="auto"/>
            </w:tcBorders>
            <w:shd w:val="clear" w:color="auto" w:fill="auto"/>
            <w:noWrap/>
            <w:vAlign w:val="bottom"/>
            <w:hideMark/>
          </w:tcPr>
          <w:p w14:paraId="5778E6FB" w14:textId="77777777" w:rsidR="00D67C9B" w:rsidRPr="000D728A" w:rsidRDefault="00D67C9B" w:rsidP="00D67C9B">
            <w:pPr>
              <w:spacing w:before="0"/>
              <w:ind w:left="0"/>
              <w:rPr>
                <w:rFonts w:ascii="Calibri" w:hAnsi="Calibri" w:cs="Calibri"/>
                <w:i/>
                <w:iCs/>
                <w:color w:val="000000"/>
                <w:sz w:val="22"/>
                <w:szCs w:val="22"/>
              </w:rPr>
            </w:pPr>
            <w:r w:rsidRPr="000D728A">
              <w:rPr>
                <w:rFonts w:ascii="Calibri" w:hAnsi="Calibri" w:cs="Calibri"/>
                <w:i/>
                <w:iCs/>
                <w:color w:val="000000"/>
                <w:sz w:val="22"/>
                <w:szCs w:val="22"/>
              </w:rPr>
              <w:t>All audience arts</w:t>
            </w:r>
          </w:p>
        </w:tc>
        <w:tc>
          <w:tcPr>
            <w:tcW w:w="1840" w:type="dxa"/>
            <w:tcBorders>
              <w:top w:val="nil"/>
              <w:left w:val="nil"/>
              <w:bottom w:val="nil"/>
              <w:right w:val="nil"/>
            </w:tcBorders>
            <w:shd w:val="clear" w:color="auto" w:fill="auto"/>
            <w:noWrap/>
            <w:vAlign w:val="bottom"/>
            <w:hideMark/>
          </w:tcPr>
          <w:p w14:paraId="5778E6FC"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5.4%</w:t>
            </w:r>
          </w:p>
        </w:tc>
        <w:tc>
          <w:tcPr>
            <w:tcW w:w="2100" w:type="dxa"/>
            <w:tcBorders>
              <w:top w:val="nil"/>
              <w:left w:val="single" w:sz="4" w:space="0" w:color="auto"/>
              <w:bottom w:val="nil"/>
              <w:right w:val="single" w:sz="8" w:space="0" w:color="auto"/>
            </w:tcBorders>
            <w:shd w:val="clear" w:color="auto" w:fill="auto"/>
            <w:noWrap/>
            <w:vAlign w:val="bottom"/>
            <w:hideMark/>
          </w:tcPr>
          <w:p w14:paraId="5778E6FD"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£37.42</w:t>
            </w:r>
          </w:p>
        </w:tc>
      </w:tr>
      <w:tr w:rsidR="00D67C9B" w:rsidRPr="000D728A" w14:paraId="5778E702" w14:textId="77777777" w:rsidTr="00C244CD">
        <w:trPr>
          <w:trHeight w:val="300"/>
        </w:trPr>
        <w:tc>
          <w:tcPr>
            <w:tcW w:w="2860" w:type="dxa"/>
            <w:tcBorders>
              <w:top w:val="nil"/>
              <w:left w:val="single" w:sz="8" w:space="0" w:color="auto"/>
              <w:bottom w:val="nil"/>
              <w:right w:val="single" w:sz="4" w:space="0" w:color="auto"/>
            </w:tcBorders>
            <w:shd w:val="clear" w:color="auto" w:fill="auto"/>
            <w:noWrap/>
            <w:vAlign w:val="bottom"/>
            <w:hideMark/>
          </w:tcPr>
          <w:p w14:paraId="5778E6FF" w14:textId="77777777" w:rsidR="00D67C9B" w:rsidRPr="000D728A" w:rsidRDefault="00D67C9B" w:rsidP="00D67C9B">
            <w:pPr>
              <w:spacing w:before="0"/>
              <w:ind w:left="0"/>
              <w:rPr>
                <w:rFonts w:ascii="Calibri" w:hAnsi="Calibri" w:cs="Calibri"/>
                <w:b/>
                <w:bCs/>
                <w:color w:val="000000"/>
                <w:sz w:val="22"/>
                <w:szCs w:val="22"/>
              </w:rPr>
            </w:pPr>
            <w:r w:rsidRPr="000D728A">
              <w:rPr>
                <w:rFonts w:ascii="Calibri" w:hAnsi="Calibri" w:cs="Calibri"/>
                <w:b/>
                <w:bCs/>
                <w:color w:val="000000"/>
                <w:sz w:val="22"/>
                <w:szCs w:val="22"/>
              </w:rPr>
              <w:t>Audience</w:t>
            </w:r>
          </w:p>
        </w:tc>
        <w:tc>
          <w:tcPr>
            <w:tcW w:w="1840" w:type="dxa"/>
            <w:tcBorders>
              <w:top w:val="nil"/>
              <w:left w:val="nil"/>
              <w:bottom w:val="nil"/>
              <w:right w:val="nil"/>
            </w:tcBorders>
            <w:shd w:val="clear" w:color="auto" w:fill="auto"/>
            <w:noWrap/>
            <w:vAlign w:val="bottom"/>
            <w:hideMark/>
          </w:tcPr>
          <w:p w14:paraId="5778E700" w14:textId="77777777" w:rsidR="00D67C9B" w:rsidRPr="000D728A" w:rsidRDefault="00D67C9B" w:rsidP="00D67C9B">
            <w:pPr>
              <w:spacing w:before="0"/>
              <w:ind w:left="0"/>
              <w:jc w:val="center"/>
              <w:rPr>
                <w:rFonts w:ascii="Calibri" w:hAnsi="Calibri" w:cs="Calibri"/>
                <w:color w:val="000000"/>
                <w:sz w:val="22"/>
                <w:szCs w:val="22"/>
              </w:rPr>
            </w:pPr>
          </w:p>
        </w:tc>
        <w:tc>
          <w:tcPr>
            <w:tcW w:w="2100" w:type="dxa"/>
            <w:tcBorders>
              <w:top w:val="nil"/>
              <w:left w:val="single" w:sz="4" w:space="0" w:color="auto"/>
              <w:bottom w:val="nil"/>
              <w:right w:val="single" w:sz="8" w:space="0" w:color="auto"/>
            </w:tcBorders>
            <w:shd w:val="clear" w:color="auto" w:fill="auto"/>
            <w:noWrap/>
            <w:vAlign w:val="bottom"/>
            <w:hideMark/>
          </w:tcPr>
          <w:p w14:paraId="5778E701"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 </w:t>
            </w:r>
          </w:p>
        </w:tc>
      </w:tr>
      <w:tr w:rsidR="00D67C9B" w:rsidRPr="000D728A" w14:paraId="5778E706" w14:textId="77777777" w:rsidTr="00C244CD">
        <w:trPr>
          <w:trHeight w:val="300"/>
        </w:trPr>
        <w:tc>
          <w:tcPr>
            <w:tcW w:w="2860" w:type="dxa"/>
            <w:tcBorders>
              <w:top w:val="nil"/>
              <w:left w:val="single" w:sz="8" w:space="0" w:color="auto"/>
              <w:bottom w:val="nil"/>
              <w:right w:val="single" w:sz="4" w:space="0" w:color="auto"/>
            </w:tcBorders>
            <w:shd w:val="clear" w:color="auto" w:fill="auto"/>
            <w:noWrap/>
            <w:vAlign w:val="bottom"/>
            <w:hideMark/>
          </w:tcPr>
          <w:p w14:paraId="5778E703" w14:textId="77777777" w:rsidR="00D67C9B" w:rsidRPr="000D728A" w:rsidRDefault="00D67C9B" w:rsidP="00D67C9B">
            <w:pPr>
              <w:spacing w:before="0"/>
              <w:ind w:left="0"/>
              <w:rPr>
                <w:rFonts w:ascii="Calibri" w:hAnsi="Calibri" w:cs="Calibri"/>
                <w:i/>
                <w:iCs/>
                <w:color w:val="000000"/>
                <w:sz w:val="22"/>
                <w:szCs w:val="22"/>
              </w:rPr>
            </w:pPr>
            <w:r w:rsidRPr="000D728A">
              <w:rPr>
                <w:rFonts w:ascii="Calibri" w:hAnsi="Calibri" w:cs="Calibri"/>
                <w:i/>
                <w:iCs/>
                <w:color w:val="000000"/>
                <w:sz w:val="22"/>
                <w:szCs w:val="22"/>
              </w:rPr>
              <w:t>Film</w:t>
            </w:r>
          </w:p>
        </w:tc>
        <w:tc>
          <w:tcPr>
            <w:tcW w:w="1840" w:type="dxa"/>
            <w:tcBorders>
              <w:top w:val="nil"/>
              <w:left w:val="nil"/>
              <w:bottom w:val="nil"/>
              <w:right w:val="nil"/>
            </w:tcBorders>
            <w:shd w:val="clear" w:color="auto" w:fill="auto"/>
            <w:noWrap/>
            <w:vAlign w:val="bottom"/>
            <w:hideMark/>
          </w:tcPr>
          <w:p w14:paraId="5778E704"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3.6%</w:t>
            </w:r>
          </w:p>
        </w:tc>
        <w:tc>
          <w:tcPr>
            <w:tcW w:w="2100" w:type="dxa"/>
            <w:tcBorders>
              <w:top w:val="nil"/>
              <w:left w:val="single" w:sz="4" w:space="0" w:color="auto"/>
              <w:bottom w:val="nil"/>
              <w:right w:val="single" w:sz="8" w:space="0" w:color="auto"/>
            </w:tcBorders>
            <w:shd w:val="clear" w:color="auto" w:fill="auto"/>
            <w:noWrap/>
            <w:vAlign w:val="bottom"/>
            <w:hideMark/>
          </w:tcPr>
          <w:p w14:paraId="5778E705"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£24.95</w:t>
            </w:r>
          </w:p>
        </w:tc>
      </w:tr>
      <w:tr w:rsidR="00D67C9B" w:rsidRPr="000D728A" w14:paraId="5778E70A" w14:textId="77777777" w:rsidTr="00C244CD">
        <w:trPr>
          <w:trHeight w:val="300"/>
        </w:trPr>
        <w:tc>
          <w:tcPr>
            <w:tcW w:w="2860" w:type="dxa"/>
            <w:tcBorders>
              <w:top w:val="nil"/>
              <w:left w:val="single" w:sz="8" w:space="0" w:color="auto"/>
              <w:bottom w:val="nil"/>
              <w:right w:val="single" w:sz="4" w:space="0" w:color="auto"/>
            </w:tcBorders>
            <w:shd w:val="clear" w:color="auto" w:fill="auto"/>
            <w:noWrap/>
            <w:vAlign w:val="bottom"/>
            <w:hideMark/>
          </w:tcPr>
          <w:p w14:paraId="5778E707" w14:textId="77777777" w:rsidR="00D67C9B" w:rsidRPr="000D728A" w:rsidRDefault="00D67C9B" w:rsidP="00D67C9B">
            <w:pPr>
              <w:spacing w:before="0"/>
              <w:ind w:left="0"/>
              <w:rPr>
                <w:rFonts w:ascii="Calibri" w:hAnsi="Calibri" w:cs="Calibri"/>
                <w:i/>
                <w:iCs/>
                <w:color w:val="000000"/>
                <w:sz w:val="22"/>
                <w:szCs w:val="22"/>
              </w:rPr>
            </w:pPr>
            <w:r w:rsidRPr="000D728A">
              <w:rPr>
                <w:rFonts w:ascii="Calibri" w:hAnsi="Calibri" w:cs="Calibri"/>
                <w:i/>
                <w:iCs/>
                <w:color w:val="000000"/>
                <w:sz w:val="22"/>
                <w:szCs w:val="22"/>
              </w:rPr>
              <w:t>Exhibitions</w:t>
            </w:r>
          </w:p>
        </w:tc>
        <w:tc>
          <w:tcPr>
            <w:tcW w:w="1840" w:type="dxa"/>
            <w:tcBorders>
              <w:top w:val="nil"/>
              <w:left w:val="nil"/>
              <w:bottom w:val="nil"/>
              <w:right w:val="nil"/>
            </w:tcBorders>
            <w:shd w:val="clear" w:color="auto" w:fill="auto"/>
            <w:noWrap/>
            <w:vAlign w:val="bottom"/>
            <w:hideMark/>
          </w:tcPr>
          <w:p w14:paraId="5778E708"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3.0%</w:t>
            </w:r>
          </w:p>
        </w:tc>
        <w:tc>
          <w:tcPr>
            <w:tcW w:w="2100" w:type="dxa"/>
            <w:tcBorders>
              <w:top w:val="nil"/>
              <w:left w:val="single" w:sz="4" w:space="0" w:color="auto"/>
              <w:bottom w:val="nil"/>
              <w:right w:val="single" w:sz="8" w:space="0" w:color="auto"/>
            </w:tcBorders>
            <w:shd w:val="clear" w:color="auto" w:fill="auto"/>
            <w:noWrap/>
            <w:vAlign w:val="bottom"/>
            <w:hideMark/>
          </w:tcPr>
          <w:p w14:paraId="5778E709"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£20.79</w:t>
            </w:r>
          </w:p>
        </w:tc>
      </w:tr>
      <w:tr w:rsidR="00D67C9B" w:rsidRPr="000D728A" w14:paraId="5778E70E" w14:textId="77777777" w:rsidTr="00C244CD">
        <w:trPr>
          <w:trHeight w:val="300"/>
        </w:trPr>
        <w:tc>
          <w:tcPr>
            <w:tcW w:w="2860" w:type="dxa"/>
            <w:tcBorders>
              <w:top w:val="nil"/>
              <w:left w:val="single" w:sz="8" w:space="0" w:color="auto"/>
              <w:bottom w:val="nil"/>
              <w:right w:val="single" w:sz="4" w:space="0" w:color="auto"/>
            </w:tcBorders>
            <w:shd w:val="clear" w:color="auto" w:fill="auto"/>
            <w:noWrap/>
            <w:vAlign w:val="bottom"/>
            <w:hideMark/>
          </w:tcPr>
          <w:p w14:paraId="5778E70B" w14:textId="77777777" w:rsidR="00D67C9B" w:rsidRPr="000D728A" w:rsidRDefault="00D67C9B" w:rsidP="00D67C9B">
            <w:pPr>
              <w:spacing w:before="0"/>
              <w:ind w:left="0"/>
              <w:rPr>
                <w:rFonts w:ascii="Calibri" w:hAnsi="Calibri" w:cs="Calibri"/>
                <w:i/>
                <w:iCs/>
                <w:color w:val="000000"/>
                <w:sz w:val="22"/>
                <w:szCs w:val="22"/>
              </w:rPr>
            </w:pPr>
            <w:r w:rsidRPr="000D728A">
              <w:rPr>
                <w:rFonts w:ascii="Calibri" w:hAnsi="Calibri" w:cs="Calibri"/>
                <w:i/>
                <w:iCs/>
                <w:color w:val="000000"/>
                <w:sz w:val="22"/>
                <w:szCs w:val="22"/>
              </w:rPr>
              <w:t>Plays</w:t>
            </w:r>
          </w:p>
        </w:tc>
        <w:tc>
          <w:tcPr>
            <w:tcW w:w="1840" w:type="dxa"/>
            <w:tcBorders>
              <w:top w:val="nil"/>
              <w:left w:val="nil"/>
              <w:bottom w:val="nil"/>
              <w:right w:val="nil"/>
            </w:tcBorders>
            <w:shd w:val="clear" w:color="auto" w:fill="auto"/>
            <w:noWrap/>
            <w:vAlign w:val="bottom"/>
            <w:hideMark/>
          </w:tcPr>
          <w:p w14:paraId="5778E70C"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2.5%</w:t>
            </w:r>
          </w:p>
        </w:tc>
        <w:tc>
          <w:tcPr>
            <w:tcW w:w="2100" w:type="dxa"/>
            <w:tcBorders>
              <w:top w:val="nil"/>
              <w:left w:val="single" w:sz="4" w:space="0" w:color="auto"/>
              <w:bottom w:val="nil"/>
              <w:right w:val="single" w:sz="8" w:space="0" w:color="auto"/>
            </w:tcBorders>
            <w:shd w:val="clear" w:color="auto" w:fill="auto"/>
            <w:noWrap/>
            <w:vAlign w:val="bottom"/>
            <w:hideMark/>
          </w:tcPr>
          <w:p w14:paraId="5778E70D"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£17.33</w:t>
            </w:r>
          </w:p>
        </w:tc>
      </w:tr>
      <w:tr w:rsidR="00D67C9B" w:rsidRPr="000D728A" w14:paraId="5778E712" w14:textId="77777777" w:rsidTr="00C244CD">
        <w:trPr>
          <w:trHeight w:val="300"/>
        </w:trPr>
        <w:tc>
          <w:tcPr>
            <w:tcW w:w="2860" w:type="dxa"/>
            <w:tcBorders>
              <w:top w:val="nil"/>
              <w:left w:val="single" w:sz="8" w:space="0" w:color="auto"/>
              <w:bottom w:val="nil"/>
              <w:right w:val="single" w:sz="4" w:space="0" w:color="auto"/>
            </w:tcBorders>
            <w:shd w:val="clear" w:color="auto" w:fill="auto"/>
            <w:noWrap/>
            <w:vAlign w:val="bottom"/>
            <w:hideMark/>
          </w:tcPr>
          <w:p w14:paraId="5778E70F" w14:textId="77777777" w:rsidR="00D67C9B" w:rsidRPr="000D728A" w:rsidRDefault="00D67C9B" w:rsidP="00D67C9B">
            <w:pPr>
              <w:spacing w:before="0"/>
              <w:ind w:left="0"/>
              <w:rPr>
                <w:rFonts w:ascii="Calibri" w:hAnsi="Calibri" w:cs="Calibri"/>
                <w:b/>
                <w:bCs/>
                <w:color w:val="000000"/>
                <w:sz w:val="22"/>
                <w:szCs w:val="22"/>
              </w:rPr>
            </w:pPr>
            <w:r w:rsidRPr="000D728A">
              <w:rPr>
                <w:rFonts w:ascii="Calibri" w:hAnsi="Calibri" w:cs="Calibri"/>
                <w:b/>
                <w:bCs/>
                <w:color w:val="000000"/>
                <w:sz w:val="22"/>
                <w:szCs w:val="22"/>
              </w:rPr>
              <w:t>Participation</w:t>
            </w:r>
          </w:p>
        </w:tc>
        <w:tc>
          <w:tcPr>
            <w:tcW w:w="1840" w:type="dxa"/>
            <w:tcBorders>
              <w:top w:val="nil"/>
              <w:left w:val="nil"/>
              <w:bottom w:val="nil"/>
              <w:right w:val="nil"/>
            </w:tcBorders>
            <w:shd w:val="clear" w:color="auto" w:fill="auto"/>
            <w:noWrap/>
            <w:vAlign w:val="bottom"/>
            <w:hideMark/>
          </w:tcPr>
          <w:p w14:paraId="5778E710" w14:textId="77777777" w:rsidR="00D67C9B" w:rsidRPr="000D728A" w:rsidRDefault="00D67C9B" w:rsidP="00D67C9B">
            <w:pPr>
              <w:spacing w:before="0"/>
              <w:ind w:left="0"/>
              <w:jc w:val="center"/>
              <w:rPr>
                <w:rFonts w:ascii="Calibri" w:hAnsi="Calibri" w:cs="Calibri"/>
                <w:color w:val="000000"/>
                <w:sz w:val="22"/>
                <w:szCs w:val="22"/>
              </w:rPr>
            </w:pPr>
          </w:p>
        </w:tc>
        <w:tc>
          <w:tcPr>
            <w:tcW w:w="2100" w:type="dxa"/>
            <w:tcBorders>
              <w:top w:val="nil"/>
              <w:left w:val="single" w:sz="4" w:space="0" w:color="auto"/>
              <w:bottom w:val="nil"/>
              <w:right w:val="single" w:sz="8" w:space="0" w:color="auto"/>
            </w:tcBorders>
            <w:shd w:val="clear" w:color="auto" w:fill="auto"/>
            <w:noWrap/>
            <w:vAlign w:val="bottom"/>
            <w:hideMark/>
          </w:tcPr>
          <w:p w14:paraId="5778E711"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 </w:t>
            </w:r>
          </w:p>
        </w:tc>
      </w:tr>
      <w:tr w:rsidR="00D67C9B" w:rsidRPr="000D728A" w14:paraId="5778E716" w14:textId="77777777" w:rsidTr="00C244CD">
        <w:trPr>
          <w:trHeight w:val="315"/>
        </w:trPr>
        <w:tc>
          <w:tcPr>
            <w:tcW w:w="2860" w:type="dxa"/>
            <w:tcBorders>
              <w:top w:val="nil"/>
              <w:left w:val="single" w:sz="8" w:space="0" w:color="auto"/>
              <w:bottom w:val="single" w:sz="8" w:space="0" w:color="auto"/>
              <w:right w:val="single" w:sz="4" w:space="0" w:color="auto"/>
            </w:tcBorders>
            <w:shd w:val="clear" w:color="auto" w:fill="auto"/>
            <w:noWrap/>
            <w:vAlign w:val="bottom"/>
            <w:hideMark/>
          </w:tcPr>
          <w:p w14:paraId="5778E713" w14:textId="77777777" w:rsidR="00D67C9B" w:rsidRPr="000D728A" w:rsidRDefault="00D67C9B" w:rsidP="00D67C9B">
            <w:pPr>
              <w:spacing w:before="0"/>
              <w:ind w:left="0"/>
              <w:rPr>
                <w:rFonts w:ascii="Calibri" w:hAnsi="Calibri" w:cs="Calibri"/>
                <w:i/>
                <w:iCs/>
                <w:color w:val="000000"/>
                <w:sz w:val="22"/>
                <w:szCs w:val="22"/>
              </w:rPr>
            </w:pPr>
            <w:r w:rsidRPr="000D728A">
              <w:rPr>
                <w:rFonts w:ascii="Calibri" w:hAnsi="Calibri" w:cs="Calibri"/>
                <w:i/>
                <w:iCs/>
                <w:color w:val="000000"/>
                <w:sz w:val="22"/>
                <w:szCs w:val="22"/>
              </w:rPr>
              <w:t>Art</w:t>
            </w:r>
          </w:p>
        </w:tc>
        <w:tc>
          <w:tcPr>
            <w:tcW w:w="1840" w:type="dxa"/>
            <w:tcBorders>
              <w:top w:val="nil"/>
              <w:left w:val="nil"/>
              <w:bottom w:val="single" w:sz="8" w:space="0" w:color="auto"/>
              <w:right w:val="nil"/>
            </w:tcBorders>
            <w:shd w:val="clear" w:color="auto" w:fill="auto"/>
            <w:noWrap/>
            <w:vAlign w:val="bottom"/>
            <w:hideMark/>
          </w:tcPr>
          <w:p w14:paraId="5778E714"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-4.6%</w:t>
            </w:r>
          </w:p>
        </w:tc>
        <w:tc>
          <w:tcPr>
            <w:tcW w:w="2100" w:type="dxa"/>
            <w:tcBorders>
              <w:top w:val="nil"/>
              <w:left w:val="single" w:sz="4" w:space="0" w:color="auto"/>
              <w:bottom w:val="single" w:sz="8" w:space="0" w:color="auto"/>
              <w:right w:val="single" w:sz="8" w:space="0" w:color="auto"/>
            </w:tcBorders>
            <w:shd w:val="clear" w:color="auto" w:fill="auto"/>
            <w:noWrap/>
            <w:vAlign w:val="bottom"/>
            <w:hideMark/>
          </w:tcPr>
          <w:p w14:paraId="5778E715"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-£31.88</w:t>
            </w:r>
          </w:p>
        </w:tc>
      </w:tr>
    </w:tbl>
    <w:p w14:paraId="5778E717" w14:textId="77777777" w:rsidR="00B72AB2" w:rsidRPr="000D728A" w:rsidRDefault="00B72AB2" w:rsidP="00A4362F">
      <w:pPr>
        <w:rPr>
          <w:rFonts w:cs="Arial"/>
          <w:sz w:val="20"/>
        </w:rPr>
      </w:pPr>
      <w:r w:rsidRPr="000D728A">
        <w:rPr>
          <w:rFonts w:cs="Arial"/>
          <w:sz w:val="20"/>
        </w:rPr>
        <w:t>Note: These are per person cost saving estimates.</w:t>
      </w:r>
    </w:p>
    <w:p w14:paraId="5778E718" w14:textId="77777777" w:rsidR="00B72AB2" w:rsidRPr="000D728A" w:rsidRDefault="00B72AB2" w:rsidP="00B72AB2">
      <w:pPr>
        <w:rPr>
          <w:rFonts w:cs="Arial"/>
        </w:rPr>
      </w:pPr>
    </w:p>
    <w:p w14:paraId="5778E719" w14:textId="39C92AD6" w:rsidR="00B72AB2" w:rsidRPr="000D728A" w:rsidRDefault="00B72AB2" w:rsidP="00B72AB2">
      <w:pPr>
        <w:rPr>
          <w:rFonts w:cs="Arial"/>
        </w:rPr>
      </w:pPr>
      <w:r w:rsidRPr="000D728A">
        <w:rPr>
          <w:rFonts w:cs="Arial"/>
        </w:rPr>
        <w:t xml:space="preserve">It should be noted that these estimates are only indicative. If better estimates of the NHS costs associated with self-reported health are available these should be used with the results from Table 7. Furthermore, we note that NHS cost savings are not the only economic impact from improved health. Better health </w:t>
      </w:r>
      <w:r w:rsidR="000D728A" w:rsidRPr="00433D52">
        <w:rPr>
          <w:rFonts w:cs="Arial"/>
        </w:rPr>
        <w:t>ought to</w:t>
      </w:r>
      <w:r w:rsidRPr="000D728A">
        <w:rPr>
          <w:rFonts w:cs="Arial"/>
        </w:rPr>
        <w:t xml:space="preserve"> lead to less absenteeism and potentially higher productivity which will show up as positive effects for the economy and society.</w:t>
      </w:r>
    </w:p>
    <w:p w14:paraId="5778E71A" w14:textId="77777777" w:rsidR="00B72AB2" w:rsidRPr="000D728A" w:rsidRDefault="00B72AB2" w:rsidP="00B72AB2">
      <w:pPr>
        <w:rPr>
          <w:rFonts w:cs="Arial"/>
        </w:rPr>
      </w:pPr>
    </w:p>
    <w:p w14:paraId="5778E71B" w14:textId="79387D29" w:rsidR="00B72AB2" w:rsidRPr="000D728A" w:rsidRDefault="00B72AB2" w:rsidP="00B72AB2">
      <w:pPr>
        <w:rPr>
          <w:rFonts w:cs="Arial"/>
        </w:rPr>
      </w:pPr>
      <w:r w:rsidRPr="000D728A">
        <w:rPr>
          <w:rFonts w:cs="Arial"/>
        </w:rPr>
        <w:t xml:space="preserve">We should also note that these estimates sit in something of a ‘behavioural vacuum’; that is, we assume that any increase in sports and arts does not result in other behaviours that might offset some of the health benefits. Analogously, we </w:t>
      </w:r>
      <w:r w:rsidR="000D728A" w:rsidRPr="00433D52">
        <w:rPr>
          <w:rFonts w:cs="Arial"/>
        </w:rPr>
        <w:t>have evidence</w:t>
      </w:r>
      <w:r w:rsidRPr="000D728A">
        <w:rPr>
          <w:rFonts w:cs="Arial"/>
        </w:rPr>
        <w:t xml:space="preserve"> that quitting smoking leads to weight gain, and so any models estimating the benefits of smoking association must account for health losses from weight gain. Equally though, sports and arts could ‘crowd-in’ other health enhancing activities; in which case, we will underestimate the health benefits. At this stage, we simply do not know.</w:t>
      </w:r>
    </w:p>
    <w:p w14:paraId="5778E71C" w14:textId="77777777" w:rsidR="00B72AB2" w:rsidRPr="000D728A" w:rsidRDefault="00B72AB2" w:rsidP="00B72AB2">
      <w:pPr>
        <w:rPr>
          <w:rFonts w:cs="Arial"/>
        </w:rPr>
      </w:pPr>
    </w:p>
    <w:p w14:paraId="0726912C" w14:textId="77777777" w:rsidR="000D728A" w:rsidRPr="000D728A" w:rsidRDefault="000D728A" w:rsidP="00B72AB2">
      <w:pPr>
        <w:rPr>
          <w:rFonts w:cs="Arial"/>
        </w:rPr>
      </w:pPr>
    </w:p>
    <w:p w14:paraId="6D9C0173" w14:textId="77777777" w:rsidR="000D728A" w:rsidRPr="000D728A" w:rsidRDefault="000D728A" w:rsidP="00B72AB2">
      <w:pPr>
        <w:rPr>
          <w:rFonts w:cs="Arial"/>
        </w:rPr>
      </w:pPr>
    </w:p>
    <w:p w14:paraId="2F3D12B7" w14:textId="77777777" w:rsidR="001008F7" w:rsidRDefault="001008F7">
      <w:pPr>
        <w:spacing w:before="0"/>
        <w:ind w:left="0"/>
        <w:rPr>
          <w:rFonts w:cs="Arial"/>
          <w:b/>
          <w:sz w:val="28"/>
        </w:rPr>
      </w:pPr>
      <w:r>
        <w:rPr>
          <w:rFonts w:cs="Arial"/>
          <w:b/>
          <w:sz w:val="28"/>
        </w:rPr>
        <w:br w:type="page"/>
      </w:r>
    </w:p>
    <w:p w14:paraId="5778E71D" w14:textId="3BE08437" w:rsidR="00B72AB2" w:rsidRPr="000D728A" w:rsidRDefault="00B72AB2" w:rsidP="00B72AB2">
      <w:pPr>
        <w:rPr>
          <w:rFonts w:cs="Arial"/>
          <w:b/>
          <w:sz w:val="28"/>
        </w:rPr>
      </w:pPr>
      <w:r w:rsidRPr="000D728A">
        <w:rPr>
          <w:rFonts w:cs="Arial"/>
          <w:b/>
          <w:sz w:val="28"/>
        </w:rPr>
        <w:lastRenderedPageBreak/>
        <w:t>C.2. Education model</w:t>
      </w:r>
    </w:p>
    <w:p w14:paraId="5778E71E" w14:textId="77777777" w:rsidR="00B72AB2" w:rsidRPr="000D728A" w:rsidRDefault="00B72AB2" w:rsidP="00B72AB2">
      <w:pPr>
        <w:rPr>
          <w:rFonts w:cs="Arial"/>
          <w:b/>
          <w:i/>
        </w:rPr>
      </w:pPr>
    </w:p>
    <w:p w14:paraId="5778E71F" w14:textId="77777777" w:rsidR="00B72AB2" w:rsidRPr="000D728A" w:rsidRDefault="00B72AB2" w:rsidP="00B72AB2">
      <w:pPr>
        <w:rPr>
          <w:rFonts w:cs="Arial"/>
          <w:b/>
        </w:rPr>
      </w:pPr>
      <w:r w:rsidRPr="000D728A">
        <w:rPr>
          <w:rFonts w:cs="Arial"/>
          <w:b/>
        </w:rPr>
        <w:t>C.2.1 Likelihood of going on to further education</w:t>
      </w:r>
    </w:p>
    <w:p w14:paraId="5778E720" w14:textId="77777777" w:rsidR="00B72AB2" w:rsidRPr="000D728A" w:rsidRDefault="00B72AB2" w:rsidP="00B72AB2">
      <w:pPr>
        <w:rPr>
          <w:rFonts w:cs="Arial"/>
        </w:rPr>
      </w:pPr>
      <w:r w:rsidRPr="000D728A">
        <w:rPr>
          <w:rFonts w:cs="Arial"/>
        </w:rPr>
        <w:t>Since we are only looking at a narrow age bracket in this analysis sample sizes fell to under 900, but this was still sufficient to detect some significant effects. We found that the following variables lead to an increase in the likelihood of 16-18 year olds reporting that they are very likely to go onto higher education:</w:t>
      </w:r>
    </w:p>
    <w:p w14:paraId="5778E721" w14:textId="77777777" w:rsidR="00B72AB2" w:rsidRPr="000D728A" w:rsidRDefault="00B72AB2" w:rsidP="00B72AB2">
      <w:pPr>
        <w:pStyle w:val="ListParagraph"/>
        <w:numPr>
          <w:ilvl w:val="0"/>
          <w:numId w:val="18"/>
        </w:numPr>
        <w:rPr>
          <w:rFonts w:ascii="Arial" w:hAnsi="Arial" w:cs="Arial"/>
          <w:lang w:val="en-GB"/>
        </w:rPr>
      </w:pPr>
      <w:r w:rsidRPr="000D728A">
        <w:rPr>
          <w:rFonts w:ascii="Arial" w:hAnsi="Arial" w:cs="Arial"/>
          <w:lang w:val="en-GB"/>
        </w:rPr>
        <w:t>Participation in all arts</w:t>
      </w:r>
    </w:p>
    <w:p w14:paraId="5778E722" w14:textId="77777777" w:rsidR="00B72AB2" w:rsidRPr="000D728A" w:rsidRDefault="00B72AB2" w:rsidP="00B72AB2">
      <w:pPr>
        <w:pStyle w:val="ListParagraph"/>
        <w:numPr>
          <w:ilvl w:val="0"/>
          <w:numId w:val="18"/>
        </w:numPr>
        <w:rPr>
          <w:rFonts w:ascii="Arial" w:hAnsi="Arial" w:cs="Arial"/>
          <w:lang w:val="en-GB"/>
        </w:rPr>
      </w:pPr>
      <w:r w:rsidRPr="000D728A">
        <w:rPr>
          <w:rFonts w:ascii="Arial" w:hAnsi="Arial" w:cs="Arial"/>
          <w:lang w:val="en-GB"/>
        </w:rPr>
        <w:t>Participation in music</w:t>
      </w:r>
    </w:p>
    <w:p w14:paraId="5778E723" w14:textId="77777777" w:rsidR="00B72AB2" w:rsidRPr="000D728A" w:rsidRDefault="00B72AB2" w:rsidP="00B72AB2">
      <w:pPr>
        <w:pStyle w:val="ListParagraph"/>
        <w:numPr>
          <w:ilvl w:val="0"/>
          <w:numId w:val="18"/>
        </w:numPr>
        <w:rPr>
          <w:rFonts w:ascii="Arial" w:hAnsi="Arial" w:cs="Arial"/>
          <w:lang w:val="en-GB"/>
        </w:rPr>
      </w:pPr>
      <w:r w:rsidRPr="000D728A">
        <w:rPr>
          <w:rFonts w:ascii="Arial" w:hAnsi="Arial" w:cs="Arial"/>
          <w:lang w:val="en-GB"/>
        </w:rPr>
        <w:t>Audience to dance</w:t>
      </w:r>
    </w:p>
    <w:p w14:paraId="5778E725" w14:textId="68F63E4D" w:rsidR="00B72AB2" w:rsidRPr="000D728A" w:rsidRDefault="00B72AB2" w:rsidP="000D728A">
      <w:pPr>
        <w:pStyle w:val="ListParagraph"/>
        <w:numPr>
          <w:ilvl w:val="0"/>
          <w:numId w:val="18"/>
        </w:numPr>
        <w:rPr>
          <w:rFonts w:ascii="Arial" w:hAnsi="Arial" w:cs="Arial"/>
          <w:lang w:val="en-GB"/>
        </w:rPr>
      </w:pPr>
      <w:r w:rsidRPr="000D728A">
        <w:rPr>
          <w:rFonts w:ascii="Arial" w:hAnsi="Arial" w:cs="Arial"/>
          <w:lang w:val="en-GB"/>
        </w:rPr>
        <w:t>Swimming</w:t>
      </w:r>
    </w:p>
    <w:p w14:paraId="49C107DC" w14:textId="77777777" w:rsidR="000D728A" w:rsidRPr="000D728A" w:rsidRDefault="000D728A" w:rsidP="000D728A">
      <w:pPr>
        <w:rPr>
          <w:rFonts w:cs="Arial"/>
        </w:rPr>
      </w:pPr>
    </w:p>
    <w:p w14:paraId="5778E727" w14:textId="2233DB93" w:rsidR="00B72AB2" w:rsidRPr="000D728A" w:rsidRDefault="00B72AB2" w:rsidP="000D728A">
      <w:pPr>
        <w:rPr>
          <w:rFonts w:cs="Arial"/>
        </w:rPr>
      </w:pPr>
      <w:r w:rsidRPr="000D728A">
        <w:rPr>
          <w:rFonts w:cs="Arial"/>
        </w:rPr>
        <w:t xml:space="preserve"> Table 11 reports the changes in odds-ratios and associated probability impacts for culture and sports variables that were statistically significant. Probabilities were calculated at sample average means for the other explanatory variables.</w:t>
      </w:r>
    </w:p>
    <w:p w14:paraId="5778E728" w14:textId="77777777" w:rsidR="00B72AB2" w:rsidRPr="000D728A" w:rsidRDefault="00B72AB2" w:rsidP="00B72AB2">
      <w:pPr>
        <w:rPr>
          <w:rFonts w:cs="Arial"/>
          <w:b/>
        </w:rPr>
      </w:pPr>
      <w:r w:rsidRPr="000D728A">
        <w:rPr>
          <w:rFonts w:cs="Arial"/>
          <w:b/>
        </w:rPr>
        <w:t>Table 11. Effects of culture and sport on reported likelihood of entering further education</w:t>
      </w:r>
    </w:p>
    <w:p w14:paraId="5778E729" w14:textId="77777777" w:rsidR="00B72AB2" w:rsidRPr="000D728A" w:rsidRDefault="00B72AB2" w:rsidP="00B72AB2">
      <w:pPr>
        <w:rPr>
          <w:rFonts w:cs="Arial"/>
          <w:sz w:val="18"/>
          <w:szCs w:val="18"/>
        </w:rPr>
      </w:pPr>
    </w:p>
    <w:tbl>
      <w:tblPr>
        <w:tblW w:w="8931" w:type="dxa"/>
        <w:jc w:val="center"/>
        <w:tblInd w:w="-176" w:type="dxa"/>
        <w:tblLook w:val="04A0" w:firstRow="1" w:lastRow="0" w:firstColumn="1" w:lastColumn="0" w:noHBand="0" w:noVBand="1"/>
      </w:tblPr>
      <w:tblGrid>
        <w:gridCol w:w="2294"/>
        <w:gridCol w:w="1206"/>
        <w:gridCol w:w="1800"/>
        <w:gridCol w:w="960"/>
        <w:gridCol w:w="1395"/>
        <w:gridCol w:w="1276"/>
      </w:tblGrid>
      <w:tr w:rsidR="00D67C9B" w:rsidRPr="000D728A" w14:paraId="5778E730" w14:textId="77777777" w:rsidTr="00D67C9B">
        <w:trPr>
          <w:trHeight w:val="315"/>
          <w:jc w:val="center"/>
        </w:trPr>
        <w:tc>
          <w:tcPr>
            <w:tcW w:w="2294" w:type="dxa"/>
            <w:tcBorders>
              <w:top w:val="single" w:sz="8" w:space="0" w:color="auto"/>
              <w:left w:val="single" w:sz="8" w:space="0" w:color="auto"/>
              <w:bottom w:val="double" w:sz="6" w:space="0" w:color="auto"/>
              <w:right w:val="nil"/>
            </w:tcBorders>
            <w:shd w:val="clear" w:color="000000" w:fill="0070C0"/>
            <w:noWrap/>
            <w:vAlign w:val="bottom"/>
            <w:hideMark/>
          </w:tcPr>
          <w:p w14:paraId="5778E72A" w14:textId="77777777" w:rsidR="00D67C9B" w:rsidRPr="000D728A" w:rsidRDefault="00D67C9B" w:rsidP="00D67C9B">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Model &amp; variables</w:t>
            </w:r>
          </w:p>
        </w:tc>
        <w:tc>
          <w:tcPr>
            <w:tcW w:w="1206" w:type="dxa"/>
            <w:tcBorders>
              <w:top w:val="single" w:sz="8" w:space="0" w:color="auto"/>
              <w:left w:val="single" w:sz="4" w:space="0" w:color="auto"/>
              <w:bottom w:val="double" w:sz="6" w:space="0" w:color="auto"/>
              <w:right w:val="single" w:sz="4" w:space="0" w:color="auto"/>
            </w:tcBorders>
            <w:shd w:val="clear" w:color="000000" w:fill="0070C0"/>
            <w:noWrap/>
            <w:vAlign w:val="bottom"/>
            <w:hideMark/>
          </w:tcPr>
          <w:p w14:paraId="5778E72B" w14:textId="77777777" w:rsidR="00D67C9B" w:rsidRPr="000D728A" w:rsidRDefault="00D67C9B" w:rsidP="00D67C9B">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Coefficient</w:t>
            </w:r>
          </w:p>
        </w:tc>
        <w:tc>
          <w:tcPr>
            <w:tcW w:w="1800" w:type="dxa"/>
            <w:tcBorders>
              <w:top w:val="single" w:sz="8" w:space="0" w:color="auto"/>
              <w:left w:val="nil"/>
              <w:bottom w:val="double" w:sz="6" w:space="0" w:color="auto"/>
              <w:right w:val="nil"/>
            </w:tcBorders>
            <w:shd w:val="clear" w:color="000000" w:fill="0070C0"/>
            <w:noWrap/>
            <w:vAlign w:val="bottom"/>
            <w:hideMark/>
          </w:tcPr>
          <w:p w14:paraId="5778E72C" w14:textId="77777777" w:rsidR="00D67C9B" w:rsidRPr="000D728A" w:rsidRDefault="00D67C9B" w:rsidP="00D67C9B">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Probability impact</w:t>
            </w:r>
          </w:p>
        </w:tc>
        <w:tc>
          <w:tcPr>
            <w:tcW w:w="960" w:type="dxa"/>
            <w:tcBorders>
              <w:top w:val="single" w:sz="8" w:space="0" w:color="auto"/>
              <w:left w:val="single" w:sz="4" w:space="0" w:color="auto"/>
              <w:bottom w:val="double" w:sz="6" w:space="0" w:color="auto"/>
              <w:right w:val="single" w:sz="4" w:space="0" w:color="auto"/>
            </w:tcBorders>
            <w:shd w:val="clear" w:color="000000" w:fill="0070C0"/>
            <w:noWrap/>
            <w:vAlign w:val="bottom"/>
            <w:hideMark/>
          </w:tcPr>
          <w:p w14:paraId="5778E72D" w14:textId="77777777" w:rsidR="00D67C9B" w:rsidRPr="000D728A" w:rsidRDefault="00D67C9B" w:rsidP="00D67C9B">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S.E.</w:t>
            </w:r>
          </w:p>
        </w:tc>
        <w:tc>
          <w:tcPr>
            <w:tcW w:w="1395" w:type="dxa"/>
            <w:tcBorders>
              <w:top w:val="single" w:sz="8" w:space="0" w:color="auto"/>
              <w:left w:val="nil"/>
              <w:bottom w:val="double" w:sz="6" w:space="0" w:color="auto"/>
              <w:right w:val="single" w:sz="4" w:space="0" w:color="auto"/>
            </w:tcBorders>
            <w:shd w:val="clear" w:color="000000" w:fill="0070C0"/>
            <w:noWrap/>
            <w:vAlign w:val="bottom"/>
            <w:hideMark/>
          </w:tcPr>
          <w:p w14:paraId="5778E72E" w14:textId="77777777" w:rsidR="00D67C9B" w:rsidRPr="000D728A" w:rsidRDefault="00D67C9B" w:rsidP="00D67C9B">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Sample size</w:t>
            </w:r>
          </w:p>
        </w:tc>
        <w:tc>
          <w:tcPr>
            <w:tcW w:w="1276" w:type="dxa"/>
            <w:tcBorders>
              <w:top w:val="single" w:sz="8" w:space="0" w:color="auto"/>
              <w:left w:val="nil"/>
              <w:bottom w:val="double" w:sz="6" w:space="0" w:color="auto"/>
              <w:right w:val="single" w:sz="8" w:space="0" w:color="auto"/>
            </w:tcBorders>
            <w:shd w:val="clear" w:color="000000" w:fill="0070C0"/>
            <w:noWrap/>
            <w:vAlign w:val="bottom"/>
            <w:hideMark/>
          </w:tcPr>
          <w:p w14:paraId="5778E72F" w14:textId="77777777" w:rsidR="00D67C9B" w:rsidRPr="000D728A" w:rsidRDefault="00D67C9B" w:rsidP="00D67C9B">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R-Squared</w:t>
            </w:r>
          </w:p>
        </w:tc>
      </w:tr>
      <w:tr w:rsidR="00D67C9B" w:rsidRPr="000D728A" w14:paraId="5778E737" w14:textId="77777777" w:rsidTr="00D67C9B">
        <w:trPr>
          <w:trHeight w:val="315"/>
          <w:jc w:val="center"/>
        </w:trPr>
        <w:tc>
          <w:tcPr>
            <w:tcW w:w="2294" w:type="dxa"/>
            <w:tcBorders>
              <w:top w:val="nil"/>
              <w:left w:val="single" w:sz="8" w:space="0" w:color="auto"/>
              <w:bottom w:val="single" w:sz="4" w:space="0" w:color="auto"/>
              <w:right w:val="nil"/>
            </w:tcBorders>
            <w:shd w:val="clear" w:color="000000" w:fill="0070C0"/>
            <w:noWrap/>
            <w:vAlign w:val="bottom"/>
            <w:hideMark/>
          </w:tcPr>
          <w:p w14:paraId="5778E731" w14:textId="77777777" w:rsidR="00D67C9B" w:rsidRPr="000D728A" w:rsidRDefault="00D67C9B" w:rsidP="00D67C9B">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Sports</w:t>
            </w:r>
          </w:p>
        </w:tc>
        <w:tc>
          <w:tcPr>
            <w:tcW w:w="1206" w:type="dxa"/>
            <w:tcBorders>
              <w:top w:val="nil"/>
              <w:left w:val="single" w:sz="4" w:space="0" w:color="auto"/>
              <w:bottom w:val="single" w:sz="4" w:space="0" w:color="auto"/>
              <w:right w:val="single" w:sz="4" w:space="0" w:color="auto"/>
            </w:tcBorders>
            <w:shd w:val="clear" w:color="000000" w:fill="0070C0"/>
            <w:noWrap/>
            <w:vAlign w:val="bottom"/>
            <w:hideMark/>
          </w:tcPr>
          <w:p w14:paraId="5778E732" w14:textId="77777777" w:rsidR="00D67C9B" w:rsidRPr="000D728A" w:rsidRDefault="00D67C9B" w:rsidP="00D67C9B">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 </w:t>
            </w:r>
          </w:p>
        </w:tc>
        <w:tc>
          <w:tcPr>
            <w:tcW w:w="1800" w:type="dxa"/>
            <w:tcBorders>
              <w:top w:val="nil"/>
              <w:left w:val="nil"/>
              <w:bottom w:val="single" w:sz="4" w:space="0" w:color="auto"/>
              <w:right w:val="single" w:sz="4" w:space="0" w:color="auto"/>
            </w:tcBorders>
            <w:shd w:val="clear" w:color="000000" w:fill="0070C0"/>
            <w:noWrap/>
            <w:vAlign w:val="bottom"/>
            <w:hideMark/>
          </w:tcPr>
          <w:p w14:paraId="5778E733" w14:textId="77777777" w:rsidR="00D67C9B" w:rsidRPr="000D728A" w:rsidRDefault="00D67C9B" w:rsidP="00D67C9B">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 </w:t>
            </w:r>
          </w:p>
        </w:tc>
        <w:tc>
          <w:tcPr>
            <w:tcW w:w="960" w:type="dxa"/>
            <w:tcBorders>
              <w:top w:val="nil"/>
              <w:left w:val="nil"/>
              <w:bottom w:val="single" w:sz="4" w:space="0" w:color="auto"/>
              <w:right w:val="single" w:sz="4" w:space="0" w:color="auto"/>
            </w:tcBorders>
            <w:shd w:val="clear" w:color="000000" w:fill="0070C0"/>
            <w:noWrap/>
            <w:vAlign w:val="bottom"/>
            <w:hideMark/>
          </w:tcPr>
          <w:p w14:paraId="5778E734" w14:textId="77777777" w:rsidR="00D67C9B" w:rsidRPr="000D728A" w:rsidRDefault="00D67C9B" w:rsidP="00D67C9B">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 </w:t>
            </w:r>
          </w:p>
        </w:tc>
        <w:tc>
          <w:tcPr>
            <w:tcW w:w="1395" w:type="dxa"/>
            <w:tcBorders>
              <w:top w:val="nil"/>
              <w:left w:val="nil"/>
              <w:bottom w:val="single" w:sz="4" w:space="0" w:color="auto"/>
              <w:right w:val="single" w:sz="4" w:space="0" w:color="auto"/>
            </w:tcBorders>
            <w:shd w:val="clear" w:color="000000" w:fill="0070C0"/>
            <w:noWrap/>
            <w:vAlign w:val="bottom"/>
            <w:hideMark/>
          </w:tcPr>
          <w:p w14:paraId="5778E735" w14:textId="77777777" w:rsidR="00D67C9B" w:rsidRPr="000D728A" w:rsidRDefault="00D67C9B" w:rsidP="00D67C9B">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 </w:t>
            </w:r>
          </w:p>
        </w:tc>
        <w:tc>
          <w:tcPr>
            <w:tcW w:w="1276" w:type="dxa"/>
            <w:tcBorders>
              <w:top w:val="nil"/>
              <w:left w:val="nil"/>
              <w:bottom w:val="single" w:sz="4" w:space="0" w:color="auto"/>
              <w:right w:val="single" w:sz="8" w:space="0" w:color="auto"/>
            </w:tcBorders>
            <w:shd w:val="clear" w:color="000000" w:fill="0070C0"/>
            <w:noWrap/>
            <w:vAlign w:val="bottom"/>
            <w:hideMark/>
          </w:tcPr>
          <w:p w14:paraId="5778E736" w14:textId="77777777" w:rsidR="00D67C9B" w:rsidRPr="000D728A" w:rsidRDefault="00D67C9B" w:rsidP="00D67C9B">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 </w:t>
            </w:r>
          </w:p>
        </w:tc>
      </w:tr>
      <w:tr w:rsidR="00D67C9B" w:rsidRPr="000D728A" w14:paraId="5778E73E" w14:textId="77777777" w:rsidTr="00D67C9B">
        <w:trPr>
          <w:trHeight w:val="300"/>
          <w:jc w:val="center"/>
        </w:trPr>
        <w:tc>
          <w:tcPr>
            <w:tcW w:w="2294" w:type="dxa"/>
            <w:tcBorders>
              <w:top w:val="nil"/>
              <w:left w:val="single" w:sz="8" w:space="0" w:color="auto"/>
              <w:bottom w:val="single" w:sz="4" w:space="0" w:color="auto"/>
              <w:right w:val="nil"/>
            </w:tcBorders>
            <w:shd w:val="clear" w:color="auto" w:fill="auto"/>
            <w:noWrap/>
            <w:vAlign w:val="bottom"/>
            <w:hideMark/>
          </w:tcPr>
          <w:p w14:paraId="5778E738" w14:textId="77777777" w:rsidR="00D67C9B" w:rsidRPr="000D728A" w:rsidRDefault="00D67C9B" w:rsidP="00D67C9B">
            <w:pPr>
              <w:spacing w:before="0"/>
              <w:ind w:left="0"/>
              <w:rPr>
                <w:rFonts w:ascii="Calibri" w:hAnsi="Calibri" w:cs="Calibri"/>
                <w:i/>
                <w:iCs/>
                <w:color w:val="000000"/>
                <w:sz w:val="22"/>
                <w:szCs w:val="22"/>
              </w:rPr>
            </w:pPr>
            <w:r w:rsidRPr="000D728A">
              <w:rPr>
                <w:rFonts w:ascii="Calibri" w:hAnsi="Calibri" w:cs="Calibri"/>
                <w:i/>
                <w:iCs/>
                <w:color w:val="000000"/>
                <w:sz w:val="22"/>
                <w:szCs w:val="22"/>
              </w:rPr>
              <w:t>Swimming</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5778E739"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0.345**</w:t>
            </w:r>
          </w:p>
        </w:tc>
        <w:tc>
          <w:tcPr>
            <w:tcW w:w="1800" w:type="dxa"/>
            <w:tcBorders>
              <w:top w:val="nil"/>
              <w:left w:val="nil"/>
              <w:bottom w:val="single" w:sz="4" w:space="0" w:color="auto"/>
              <w:right w:val="nil"/>
            </w:tcBorders>
            <w:shd w:val="clear" w:color="auto" w:fill="auto"/>
            <w:noWrap/>
            <w:vAlign w:val="bottom"/>
            <w:hideMark/>
          </w:tcPr>
          <w:p w14:paraId="5778E73A"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6.7%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78E73B"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(0.077)</w:t>
            </w:r>
          </w:p>
        </w:tc>
        <w:tc>
          <w:tcPr>
            <w:tcW w:w="1395" w:type="dxa"/>
            <w:tcBorders>
              <w:top w:val="nil"/>
              <w:left w:val="nil"/>
              <w:bottom w:val="single" w:sz="4" w:space="0" w:color="auto"/>
              <w:right w:val="nil"/>
            </w:tcBorders>
            <w:shd w:val="clear" w:color="auto" w:fill="auto"/>
            <w:noWrap/>
            <w:vAlign w:val="bottom"/>
            <w:hideMark/>
          </w:tcPr>
          <w:p w14:paraId="5778E73C"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847</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14:paraId="5778E73D"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0.026</w:t>
            </w:r>
          </w:p>
        </w:tc>
      </w:tr>
      <w:tr w:rsidR="00D67C9B" w:rsidRPr="000D728A" w14:paraId="5778E745" w14:textId="77777777" w:rsidTr="00D67C9B">
        <w:trPr>
          <w:trHeight w:val="300"/>
          <w:jc w:val="center"/>
        </w:trPr>
        <w:tc>
          <w:tcPr>
            <w:tcW w:w="2294" w:type="dxa"/>
            <w:tcBorders>
              <w:top w:val="nil"/>
              <w:left w:val="single" w:sz="8" w:space="0" w:color="auto"/>
              <w:bottom w:val="single" w:sz="4" w:space="0" w:color="auto"/>
              <w:right w:val="nil"/>
            </w:tcBorders>
            <w:shd w:val="clear" w:color="000000" w:fill="0070C0"/>
            <w:noWrap/>
            <w:vAlign w:val="bottom"/>
            <w:hideMark/>
          </w:tcPr>
          <w:p w14:paraId="5778E73F" w14:textId="77777777" w:rsidR="00D67C9B" w:rsidRPr="000D728A" w:rsidRDefault="00D67C9B" w:rsidP="00D67C9B">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Culture</w:t>
            </w:r>
          </w:p>
        </w:tc>
        <w:tc>
          <w:tcPr>
            <w:tcW w:w="1206" w:type="dxa"/>
            <w:tcBorders>
              <w:top w:val="nil"/>
              <w:left w:val="single" w:sz="4" w:space="0" w:color="auto"/>
              <w:bottom w:val="single" w:sz="4" w:space="0" w:color="auto"/>
              <w:right w:val="single" w:sz="4" w:space="0" w:color="auto"/>
            </w:tcBorders>
            <w:shd w:val="clear" w:color="000000" w:fill="0070C0"/>
            <w:noWrap/>
            <w:vAlign w:val="bottom"/>
            <w:hideMark/>
          </w:tcPr>
          <w:p w14:paraId="5778E740" w14:textId="77777777" w:rsidR="00D67C9B" w:rsidRPr="000D728A" w:rsidRDefault="00D67C9B" w:rsidP="00D67C9B">
            <w:pPr>
              <w:spacing w:before="0"/>
              <w:ind w:left="0"/>
              <w:jc w:val="center"/>
              <w:rPr>
                <w:rFonts w:ascii="Calibri" w:hAnsi="Calibri" w:cs="Calibri"/>
                <w:color w:val="FFFFFF"/>
                <w:sz w:val="22"/>
                <w:szCs w:val="22"/>
              </w:rPr>
            </w:pPr>
          </w:p>
        </w:tc>
        <w:tc>
          <w:tcPr>
            <w:tcW w:w="1800" w:type="dxa"/>
            <w:tcBorders>
              <w:top w:val="nil"/>
              <w:left w:val="nil"/>
              <w:bottom w:val="single" w:sz="4" w:space="0" w:color="auto"/>
              <w:right w:val="nil"/>
            </w:tcBorders>
            <w:shd w:val="clear" w:color="000000" w:fill="0070C0"/>
            <w:noWrap/>
            <w:vAlign w:val="bottom"/>
            <w:hideMark/>
          </w:tcPr>
          <w:p w14:paraId="5778E741" w14:textId="77777777" w:rsidR="00D67C9B" w:rsidRPr="000D728A" w:rsidRDefault="00D67C9B" w:rsidP="00D67C9B">
            <w:pPr>
              <w:spacing w:before="0"/>
              <w:ind w:left="0"/>
              <w:jc w:val="center"/>
              <w:rPr>
                <w:rFonts w:ascii="Calibri" w:hAnsi="Calibri" w:cs="Calibri"/>
                <w:color w:val="FFFFFF"/>
                <w:sz w:val="22"/>
                <w:szCs w:val="22"/>
              </w:rPr>
            </w:pPr>
            <w:r w:rsidRPr="000D728A">
              <w:rPr>
                <w:rFonts w:ascii="Calibri" w:hAnsi="Calibri" w:cs="Calibri"/>
                <w:color w:val="FFFFFF"/>
                <w:sz w:val="22"/>
                <w:szCs w:val="22"/>
              </w:rPr>
              <w:t> </w:t>
            </w:r>
          </w:p>
        </w:tc>
        <w:tc>
          <w:tcPr>
            <w:tcW w:w="960" w:type="dxa"/>
            <w:tcBorders>
              <w:top w:val="nil"/>
              <w:left w:val="single" w:sz="4" w:space="0" w:color="auto"/>
              <w:bottom w:val="single" w:sz="4" w:space="0" w:color="auto"/>
              <w:right w:val="single" w:sz="4" w:space="0" w:color="auto"/>
            </w:tcBorders>
            <w:shd w:val="clear" w:color="000000" w:fill="0070C0"/>
            <w:noWrap/>
            <w:vAlign w:val="bottom"/>
            <w:hideMark/>
          </w:tcPr>
          <w:p w14:paraId="5778E742" w14:textId="77777777" w:rsidR="00D67C9B" w:rsidRPr="000D728A" w:rsidRDefault="00D67C9B" w:rsidP="00D67C9B">
            <w:pPr>
              <w:spacing w:before="0"/>
              <w:ind w:left="0"/>
              <w:jc w:val="center"/>
              <w:rPr>
                <w:rFonts w:ascii="Calibri" w:hAnsi="Calibri" w:cs="Calibri"/>
                <w:color w:val="FFFFFF"/>
                <w:sz w:val="22"/>
                <w:szCs w:val="22"/>
              </w:rPr>
            </w:pPr>
            <w:r w:rsidRPr="000D728A">
              <w:rPr>
                <w:rFonts w:ascii="Calibri" w:hAnsi="Calibri" w:cs="Calibri"/>
                <w:color w:val="FFFFFF"/>
                <w:sz w:val="22"/>
                <w:szCs w:val="22"/>
              </w:rPr>
              <w:t> </w:t>
            </w:r>
          </w:p>
        </w:tc>
        <w:tc>
          <w:tcPr>
            <w:tcW w:w="1395" w:type="dxa"/>
            <w:tcBorders>
              <w:top w:val="nil"/>
              <w:left w:val="nil"/>
              <w:bottom w:val="single" w:sz="4" w:space="0" w:color="auto"/>
              <w:right w:val="nil"/>
            </w:tcBorders>
            <w:shd w:val="clear" w:color="000000" w:fill="0070C0"/>
            <w:noWrap/>
            <w:vAlign w:val="bottom"/>
            <w:hideMark/>
          </w:tcPr>
          <w:p w14:paraId="5778E743" w14:textId="77777777" w:rsidR="00D67C9B" w:rsidRPr="000D728A" w:rsidRDefault="00D67C9B" w:rsidP="00D67C9B">
            <w:pPr>
              <w:spacing w:before="0"/>
              <w:ind w:left="0"/>
              <w:jc w:val="center"/>
              <w:rPr>
                <w:rFonts w:ascii="Calibri" w:hAnsi="Calibri" w:cs="Calibri"/>
                <w:color w:val="FFFFFF"/>
                <w:sz w:val="22"/>
                <w:szCs w:val="22"/>
              </w:rPr>
            </w:pPr>
            <w:r w:rsidRPr="000D728A">
              <w:rPr>
                <w:rFonts w:ascii="Calibri" w:hAnsi="Calibri" w:cs="Calibri"/>
                <w:color w:val="FFFFFF"/>
                <w:sz w:val="22"/>
                <w:szCs w:val="22"/>
              </w:rPr>
              <w:t> </w:t>
            </w:r>
          </w:p>
        </w:tc>
        <w:tc>
          <w:tcPr>
            <w:tcW w:w="1276" w:type="dxa"/>
            <w:tcBorders>
              <w:top w:val="nil"/>
              <w:left w:val="single" w:sz="4" w:space="0" w:color="auto"/>
              <w:bottom w:val="single" w:sz="4" w:space="0" w:color="auto"/>
              <w:right w:val="single" w:sz="8" w:space="0" w:color="auto"/>
            </w:tcBorders>
            <w:shd w:val="clear" w:color="000000" w:fill="0070C0"/>
            <w:noWrap/>
            <w:vAlign w:val="bottom"/>
            <w:hideMark/>
          </w:tcPr>
          <w:p w14:paraId="5778E744" w14:textId="77777777" w:rsidR="00D67C9B" w:rsidRPr="000D728A" w:rsidRDefault="00D67C9B" w:rsidP="00D67C9B">
            <w:pPr>
              <w:spacing w:before="0"/>
              <w:ind w:left="0"/>
              <w:jc w:val="center"/>
              <w:rPr>
                <w:rFonts w:ascii="Calibri" w:hAnsi="Calibri" w:cs="Calibri"/>
                <w:color w:val="FFFFFF"/>
                <w:sz w:val="22"/>
                <w:szCs w:val="22"/>
              </w:rPr>
            </w:pPr>
            <w:r w:rsidRPr="000D728A">
              <w:rPr>
                <w:rFonts w:ascii="Calibri" w:hAnsi="Calibri" w:cs="Calibri"/>
                <w:color w:val="FFFFFF"/>
                <w:sz w:val="22"/>
                <w:szCs w:val="22"/>
              </w:rPr>
              <w:t> </w:t>
            </w:r>
          </w:p>
        </w:tc>
      </w:tr>
      <w:tr w:rsidR="00D67C9B" w:rsidRPr="000D728A" w14:paraId="5778E74C" w14:textId="77777777" w:rsidTr="00D67C9B">
        <w:trPr>
          <w:trHeight w:val="300"/>
          <w:jc w:val="center"/>
        </w:trPr>
        <w:tc>
          <w:tcPr>
            <w:tcW w:w="2294" w:type="dxa"/>
            <w:tcBorders>
              <w:top w:val="nil"/>
              <w:left w:val="single" w:sz="8" w:space="0" w:color="auto"/>
              <w:bottom w:val="nil"/>
              <w:right w:val="nil"/>
            </w:tcBorders>
            <w:shd w:val="clear" w:color="auto" w:fill="auto"/>
            <w:noWrap/>
            <w:vAlign w:val="bottom"/>
            <w:hideMark/>
          </w:tcPr>
          <w:p w14:paraId="5778E746" w14:textId="77777777" w:rsidR="00D67C9B" w:rsidRPr="000D728A" w:rsidRDefault="00D67C9B" w:rsidP="00D67C9B">
            <w:pPr>
              <w:spacing w:before="0"/>
              <w:ind w:left="0"/>
              <w:rPr>
                <w:rFonts w:ascii="Calibri" w:hAnsi="Calibri" w:cs="Calibri"/>
                <w:i/>
                <w:iCs/>
                <w:color w:val="000000"/>
                <w:sz w:val="22"/>
                <w:szCs w:val="22"/>
              </w:rPr>
            </w:pPr>
            <w:r w:rsidRPr="000D728A">
              <w:rPr>
                <w:rFonts w:ascii="Calibri" w:hAnsi="Calibri" w:cs="Calibri"/>
                <w:i/>
                <w:iCs/>
                <w:color w:val="000000"/>
                <w:sz w:val="22"/>
                <w:szCs w:val="22"/>
              </w:rPr>
              <w:t>All participation arts</w:t>
            </w:r>
          </w:p>
        </w:tc>
        <w:tc>
          <w:tcPr>
            <w:tcW w:w="1206" w:type="dxa"/>
            <w:tcBorders>
              <w:top w:val="nil"/>
              <w:left w:val="single" w:sz="4" w:space="0" w:color="auto"/>
              <w:bottom w:val="nil"/>
              <w:right w:val="single" w:sz="4" w:space="0" w:color="auto"/>
            </w:tcBorders>
            <w:shd w:val="clear" w:color="auto" w:fill="auto"/>
            <w:noWrap/>
            <w:vAlign w:val="bottom"/>
            <w:hideMark/>
          </w:tcPr>
          <w:p w14:paraId="5778E747"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0.655***</w:t>
            </w:r>
          </w:p>
        </w:tc>
        <w:tc>
          <w:tcPr>
            <w:tcW w:w="1800" w:type="dxa"/>
            <w:tcBorders>
              <w:top w:val="nil"/>
              <w:left w:val="nil"/>
              <w:bottom w:val="nil"/>
              <w:right w:val="nil"/>
            </w:tcBorders>
            <w:shd w:val="clear" w:color="auto" w:fill="auto"/>
            <w:noWrap/>
            <w:vAlign w:val="bottom"/>
            <w:hideMark/>
          </w:tcPr>
          <w:p w14:paraId="5778E748"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14.1%</w:t>
            </w:r>
          </w:p>
        </w:tc>
        <w:tc>
          <w:tcPr>
            <w:tcW w:w="960" w:type="dxa"/>
            <w:tcBorders>
              <w:top w:val="nil"/>
              <w:left w:val="single" w:sz="4" w:space="0" w:color="auto"/>
              <w:bottom w:val="nil"/>
              <w:right w:val="single" w:sz="4" w:space="0" w:color="auto"/>
            </w:tcBorders>
            <w:shd w:val="clear" w:color="auto" w:fill="auto"/>
            <w:noWrap/>
            <w:vAlign w:val="bottom"/>
            <w:hideMark/>
          </w:tcPr>
          <w:p w14:paraId="5778E749"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(0.229)</w:t>
            </w:r>
          </w:p>
        </w:tc>
        <w:tc>
          <w:tcPr>
            <w:tcW w:w="1395" w:type="dxa"/>
            <w:tcBorders>
              <w:top w:val="nil"/>
              <w:left w:val="nil"/>
              <w:bottom w:val="nil"/>
              <w:right w:val="nil"/>
            </w:tcBorders>
            <w:shd w:val="clear" w:color="auto" w:fill="auto"/>
            <w:noWrap/>
            <w:vAlign w:val="bottom"/>
            <w:hideMark/>
          </w:tcPr>
          <w:p w14:paraId="5778E74A"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847</w:t>
            </w:r>
          </w:p>
        </w:tc>
        <w:tc>
          <w:tcPr>
            <w:tcW w:w="1276" w:type="dxa"/>
            <w:tcBorders>
              <w:top w:val="nil"/>
              <w:left w:val="single" w:sz="4" w:space="0" w:color="auto"/>
              <w:bottom w:val="nil"/>
              <w:right w:val="single" w:sz="8" w:space="0" w:color="auto"/>
            </w:tcBorders>
            <w:shd w:val="clear" w:color="auto" w:fill="auto"/>
            <w:noWrap/>
            <w:vAlign w:val="bottom"/>
            <w:hideMark/>
          </w:tcPr>
          <w:p w14:paraId="5778E74B"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0.025</w:t>
            </w:r>
          </w:p>
        </w:tc>
      </w:tr>
      <w:tr w:rsidR="00D67C9B" w:rsidRPr="000D728A" w14:paraId="5778E753" w14:textId="77777777" w:rsidTr="00D67C9B">
        <w:trPr>
          <w:trHeight w:val="300"/>
          <w:jc w:val="center"/>
        </w:trPr>
        <w:tc>
          <w:tcPr>
            <w:tcW w:w="2294" w:type="dxa"/>
            <w:tcBorders>
              <w:top w:val="nil"/>
              <w:left w:val="single" w:sz="8" w:space="0" w:color="auto"/>
              <w:bottom w:val="nil"/>
              <w:right w:val="nil"/>
            </w:tcBorders>
            <w:shd w:val="clear" w:color="auto" w:fill="auto"/>
            <w:noWrap/>
            <w:vAlign w:val="bottom"/>
            <w:hideMark/>
          </w:tcPr>
          <w:p w14:paraId="5778E74D" w14:textId="77777777" w:rsidR="00D67C9B" w:rsidRPr="000D728A" w:rsidRDefault="00D67C9B" w:rsidP="00D67C9B">
            <w:pPr>
              <w:spacing w:before="0"/>
              <w:ind w:left="0"/>
              <w:rPr>
                <w:rFonts w:ascii="Calibri" w:hAnsi="Calibri" w:cs="Calibri"/>
                <w:b/>
                <w:bCs/>
                <w:color w:val="000000"/>
                <w:sz w:val="22"/>
                <w:szCs w:val="22"/>
              </w:rPr>
            </w:pPr>
            <w:r w:rsidRPr="000D728A">
              <w:rPr>
                <w:rFonts w:ascii="Calibri" w:hAnsi="Calibri" w:cs="Calibri"/>
                <w:b/>
                <w:bCs/>
                <w:color w:val="000000"/>
                <w:sz w:val="22"/>
                <w:szCs w:val="22"/>
              </w:rPr>
              <w:t>Participation</w:t>
            </w:r>
          </w:p>
        </w:tc>
        <w:tc>
          <w:tcPr>
            <w:tcW w:w="1206" w:type="dxa"/>
            <w:tcBorders>
              <w:top w:val="nil"/>
              <w:left w:val="single" w:sz="4" w:space="0" w:color="auto"/>
              <w:bottom w:val="nil"/>
              <w:right w:val="single" w:sz="4" w:space="0" w:color="auto"/>
            </w:tcBorders>
            <w:shd w:val="clear" w:color="auto" w:fill="auto"/>
            <w:noWrap/>
            <w:vAlign w:val="bottom"/>
            <w:hideMark/>
          </w:tcPr>
          <w:p w14:paraId="5778E74E" w14:textId="77777777" w:rsidR="00D67C9B" w:rsidRPr="000D728A" w:rsidRDefault="00D67C9B" w:rsidP="00D67C9B">
            <w:pPr>
              <w:spacing w:before="0"/>
              <w:ind w:left="0"/>
              <w:jc w:val="center"/>
              <w:rPr>
                <w:rFonts w:ascii="Calibri" w:hAnsi="Calibri" w:cs="Calibri"/>
                <w:color w:val="000000"/>
                <w:sz w:val="22"/>
                <w:szCs w:val="22"/>
              </w:rPr>
            </w:pPr>
          </w:p>
        </w:tc>
        <w:tc>
          <w:tcPr>
            <w:tcW w:w="1800" w:type="dxa"/>
            <w:tcBorders>
              <w:top w:val="nil"/>
              <w:left w:val="nil"/>
              <w:bottom w:val="nil"/>
              <w:right w:val="nil"/>
            </w:tcBorders>
            <w:shd w:val="clear" w:color="auto" w:fill="auto"/>
            <w:noWrap/>
            <w:vAlign w:val="bottom"/>
            <w:hideMark/>
          </w:tcPr>
          <w:p w14:paraId="5778E74F" w14:textId="77777777" w:rsidR="00D67C9B" w:rsidRPr="000D728A" w:rsidRDefault="00D67C9B" w:rsidP="00D67C9B">
            <w:pPr>
              <w:spacing w:before="0"/>
              <w:ind w:left="0"/>
              <w:jc w:val="center"/>
              <w:rPr>
                <w:rFonts w:ascii="Calibri" w:hAnsi="Calibri" w:cs="Calibri"/>
                <w:color w:val="000000"/>
                <w:sz w:val="22"/>
                <w:szCs w:val="22"/>
              </w:rPr>
            </w:pPr>
          </w:p>
        </w:tc>
        <w:tc>
          <w:tcPr>
            <w:tcW w:w="960" w:type="dxa"/>
            <w:tcBorders>
              <w:top w:val="nil"/>
              <w:left w:val="single" w:sz="4" w:space="0" w:color="auto"/>
              <w:bottom w:val="nil"/>
              <w:right w:val="single" w:sz="4" w:space="0" w:color="auto"/>
            </w:tcBorders>
            <w:shd w:val="clear" w:color="auto" w:fill="auto"/>
            <w:noWrap/>
            <w:vAlign w:val="bottom"/>
            <w:hideMark/>
          </w:tcPr>
          <w:p w14:paraId="5778E750"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 </w:t>
            </w:r>
          </w:p>
        </w:tc>
        <w:tc>
          <w:tcPr>
            <w:tcW w:w="1395" w:type="dxa"/>
            <w:tcBorders>
              <w:top w:val="nil"/>
              <w:left w:val="nil"/>
              <w:bottom w:val="nil"/>
              <w:right w:val="nil"/>
            </w:tcBorders>
            <w:shd w:val="clear" w:color="auto" w:fill="auto"/>
            <w:noWrap/>
            <w:vAlign w:val="bottom"/>
            <w:hideMark/>
          </w:tcPr>
          <w:p w14:paraId="5778E751" w14:textId="77777777" w:rsidR="00D67C9B" w:rsidRPr="000D728A" w:rsidRDefault="00D67C9B" w:rsidP="00D67C9B">
            <w:pPr>
              <w:spacing w:before="0"/>
              <w:ind w:left="0"/>
              <w:jc w:val="center"/>
              <w:rPr>
                <w:rFonts w:ascii="Calibri" w:hAnsi="Calibri" w:cs="Calibri"/>
                <w:color w:val="000000"/>
                <w:sz w:val="22"/>
                <w:szCs w:val="22"/>
              </w:rPr>
            </w:pPr>
          </w:p>
        </w:tc>
        <w:tc>
          <w:tcPr>
            <w:tcW w:w="1276" w:type="dxa"/>
            <w:tcBorders>
              <w:top w:val="nil"/>
              <w:left w:val="single" w:sz="4" w:space="0" w:color="auto"/>
              <w:bottom w:val="nil"/>
              <w:right w:val="single" w:sz="8" w:space="0" w:color="auto"/>
            </w:tcBorders>
            <w:shd w:val="clear" w:color="auto" w:fill="auto"/>
            <w:noWrap/>
            <w:vAlign w:val="bottom"/>
            <w:hideMark/>
          </w:tcPr>
          <w:p w14:paraId="5778E752"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 </w:t>
            </w:r>
          </w:p>
        </w:tc>
      </w:tr>
      <w:tr w:rsidR="00D67C9B" w:rsidRPr="000D728A" w14:paraId="5778E75A" w14:textId="77777777" w:rsidTr="00D67C9B">
        <w:trPr>
          <w:trHeight w:val="300"/>
          <w:jc w:val="center"/>
        </w:trPr>
        <w:tc>
          <w:tcPr>
            <w:tcW w:w="2294" w:type="dxa"/>
            <w:tcBorders>
              <w:top w:val="nil"/>
              <w:left w:val="single" w:sz="8" w:space="0" w:color="auto"/>
              <w:bottom w:val="nil"/>
              <w:right w:val="nil"/>
            </w:tcBorders>
            <w:shd w:val="clear" w:color="auto" w:fill="auto"/>
            <w:noWrap/>
            <w:vAlign w:val="bottom"/>
            <w:hideMark/>
          </w:tcPr>
          <w:p w14:paraId="5778E754" w14:textId="77777777" w:rsidR="00D67C9B" w:rsidRPr="000D728A" w:rsidRDefault="00D67C9B" w:rsidP="00D67C9B">
            <w:pPr>
              <w:spacing w:before="0"/>
              <w:ind w:left="0"/>
              <w:rPr>
                <w:rFonts w:ascii="Calibri" w:hAnsi="Calibri" w:cs="Calibri"/>
                <w:i/>
                <w:iCs/>
                <w:color w:val="000000"/>
                <w:sz w:val="22"/>
                <w:szCs w:val="22"/>
              </w:rPr>
            </w:pPr>
            <w:r w:rsidRPr="000D728A">
              <w:rPr>
                <w:rFonts w:ascii="Calibri" w:hAnsi="Calibri" w:cs="Calibri"/>
                <w:i/>
                <w:iCs/>
                <w:color w:val="000000"/>
                <w:sz w:val="22"/>
                <w:szCs w:val="22"/>
              </w:rPr>
              <w:t>Music</w:t>
            </w:r>
          </w:p>
        </w:tc>
        <w:tc>
          <w:tcPr>
            <w:tcW w:w="1206" w:type="dxa"/>
            <w:tcBorders>
              <w:top w:val="nil"/>
              <w:left w:val="single" w:sz="4" w:space="0" w:color="auto"/>
              <w:bottom w:val="nil"/>
              <w:right w:val="single" w:sz="4" w:space="0" w:color="auto"/>
            </w:tcBorders>
            <w:shd w:val="clear" w:color="auto" w:fill="auto"/>
            <w:noWrap/>
            <w:vAlign w:val="bottom"/>
            <w:hideMark/>
          </w:tcPr>
          <w:p w14:paraId="5778E755"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0.466**</w:t>
            </w:r>
          </w:p>
        </w:tc>
        <w:tc>
          <w:tcPr>
            <w:tcW w:w="1800" w:type="dxa"/>
            <w:tcBorders>
              <w:top w:val="nil"/>
              <w:left w:val="nil"/>
              <w:bottom w:val="nil"/>
              <w:right w:val="nil"/>
            </w:tcBorders>
            <w:shd w:val="clear" w:color="auto" w:fill="auto"/>
            <w:noWrap/>
            <w:vAlign w:val="bottom"/>
            <w:hideMark/>
          </w:tcPr>
          <w:p w14:paraId="5778E756"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8.4%</w:t>
            </w:r>
          </w:p>
        </w:tc>
        <w:tc>
          <w:tcPr>
            <w:tcW w:w="960" w:type="dxa"/>
            <w:tcBorders>
              <w:top w:val="nil"/>
              <w:left w:val="single" w:sz="4" w:space="0" w:color="auto"/>
              <w:bottom w:val="nil"/>
              <w:right w:val="nil"/>
            </w:tcBorders>
            <w:shd w:val="clear" w:color="auto" w:fill="auto"/>
            <w:noWrap/>
            <w:vAlign w:val="bottom"/>
            <w:hideMark/>
          </w:tcPr>
          <w:p w14:paraId="5778E757"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(0.206)</w:t>
            </w:r>
          </w:p>
        </w:tc>
        <w:tc>
          <w:tcPr>
            <w:tcW w:w="1395" w:type="dxa"/>
            <w:tcBorders>
              <w:top w:val="nil"/>
              <w:left w:val="single" w:sz="4" w:space="0" w:color="auto"/>
              <w:bottom w:val="nil"/>
              <w:right w:val="single" w:sz="4" w:space="0" w:color="auto"/>
            </w:tcBorders>
            <w:shd w:val="clear" w:color="auto" w:fill="auto"/>
            <w:noWrap/>
            <w:vAlign w:val="bottom"/>
            <w:hideMark/>
          </w:tcPr>
          <w:p w14:paraId="5778E758"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847</w:t>
            </w:r>
          </w:p>
        </w:tc>
        <w:tc>
          <w:tcPr>
            <w:tcW w:w="1276" w:type="dxa"/>
            <w:tcBorders>
              <w:top w:val="nil"/>
              <w:left w:val="nil"/>
              <w:bottom w:val="nil"/>
              <w:right w:val="single" w:sz="8" w:space="0" w:color="auto"/>
            </w:tcBorders>
            <w:shd w:val="clear" w:color="auto" w:fill="auto"/>
            <w:noWrap/>
            <w:vAlign w:val="bottom"/>
            <w:hideMark/>
          </w:tcPr>
          <w:p w14:paraId="5778E759"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0.053</w:t>
            </w:r>
          </w:p>
        </w:tc>
      </w:tr>
      <w:tr w:rsidR="00D67C9B" w:rsidRPr="000D728A" w14:paraId="5778E761" w14:textId="77777777" w:rsidTr="00D67C9B">
        <w:trPr>
          <w:trHeight w:val="300"/>
          <w:jc w:val="center"/>
        </w:trPr>
        <w:tc>
          <w:tcPr>
            <w:tcW w:w="2294" w:type="dxa"/>
            <w:tcBorders>
              <w:top w:val="nil"/>
              <w:left w:val="single" w:sz="8" w:space="0" w:color="auto"/>
              <w:bottom w:val="nil"/>
              <w:right w:val="nil"/>
            </w:tcBorders>
            <w:shd w:val="clear" w:color="auto" w:fill="auto"/>
            <w:noWrap/>
            <w:vAlign w:val="bottom"/>
            <w:hideMark/>
          </w:tcPr>
          <w:p w14:paraId="5778E75B" w14:textId="77777777" w:rsidR="00D67C9B" w:rsidRPr="000D728A" w:rsidRDefault="00D67C9B" w:rsidP="00D67C9B">
            <w:pPr>
              <w:spacing w:before="0"/>
              <w:ind w:left="0"/>
              <w:rPr>
                <w:rFonts w:ascii="Calibri" w:hAnsi="Calibri" w:cs="Calibri"/>
                <w:b/>
                <w:bCs/>
                <w:color w:val="000000"/>
                <w:sz w:val="22"/>
                <w:szCs w:val="22"/>
              </w:rPr>
            </w:pPr>
            <w:r w:rsidRPr="000D728A">
              <w:rPr>
                <w:rFonts w:ascii="Calibri" w:hAnsi="Calibri" w:cs="Calibri"/>
                <w:b/>
                <w:bCs/>
                <w:color w:val="000000"/>
                <w:sz w:val="22"/>
                <w:szCs w:val="22"/>
              </w:rPr>
              <w:t>Audience</w:t>
            </w:r>
          </w:p>
        </w:tc>
        <w:tc>
          <w:tcPr>
            <w:tcW w:w="1206" w:type="dxa"/>
            <w:tcBorders>
              <w:top w:val="nil"/>
              <w:left w:val="single" w:sz="4" w:space="0" w:color="auto"/>
              <w:bottom w:val="nil"/>
              <w:right w:val="single" w:sz="4" w:space="0" w:color="auto"/>
            </w:tcBorders>
            <w:shd w:val="clear" w:color="auto" w:fill="auto"/>
            <w:noWrap/>
            <w:vAlign w:val="bottom"/>
            <w:hideMark/>
          </w:tcPr>
          <w:p w14:paraId="5778E75C" w14:textId="77777777" w:rsidR="00D67C9B" w:rsidRPr="000D728A" w:rsidRDefault="00D67C9B" w:rsidP="00D67C9B">
            <w:pPr>
              <w:spacing w:before="0"/>
              <w:ind w:left="0"/>
              <w:jc w:val="center"/>
              <w:rPr>
                <w:rFonts w:ascii="Calibri" w:hAnsi="Calibri" w:cs="Calibri"/>
                <w:color w:val="000000"/>
                <w:sz w:val="22"/>
                <w:szCs w:val="22"/>
              </w:rPr>
            </w:pPr>
          </w:p>
        </w:tc>
        <w:tc>
          <w:tcPr>
            <w:tcW w:w="1800" w:type="dxa"/>
            <w:tcBorders>
              <w:top w:val="nil"/>
              <w:left w:val="nil"/>
              <w:bottom w:val="nil"/>
              <w:right w:val="nil"/>
            </w:tcBorders>
            <w:shd w:val="clear" w:color="auto" w:fill="auto"/>
            <w:noWrap/>
            <w:vAlign w:val="bottom"/>
            <w:hideMark/>
          </w:tcPr>
          <w:p w14:paraId="5778E75D" w14:textId="77777777" w:rsidR="00D67C9B" w:rsidRPr="000D728A" w:rsidRDefault="00D67C9B" w:rsidP="00D67C9B">
            <w:pPr>
              <w:spacing w:before="0"/>
              <w:ind w:left="0"/>
              <w:jc w:val="center"/>
              <w:rPr>
                <w:rFonts w:ascii="Calibri" w:hAnsi="Calibri" w:cs="Calibri"/>
                <w:color w:val="000000"/>
                <w:sz w:val="22"/>
                <w:szCs w:val="22"/>
              </w:rPr>
            </w:pPr>
          </w:p>
        </w:tc>
        <w:tc>
          <w:tcPr>
            <w:tcW w:w="960" w:type="dxa"/>
            <w:tcBorders>
              <w:top w:val="nil"/>
              <w:left w:val="single" w:sz="4" w:space="0" w:color="auto"/>
              <w:bottom w:val="nil"/>
              <w:right w:val="single" w:sz="4" w:space="0" w:color="auto"/>
            </w:tcBorders>
            <w:shd w:val="clear" w:color="auto" w:fill="auto"/>
            <w:noWrap/>
            <w:vAlign w:val="bottom"/>
            <w:hideMark/>
          </w:tcPr>
          <w:p w14:paraId="5778E75E"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 </w:t>
            </w:r>
          </w:p>
        </w:tc>
        <w:tc>
          <w:tcPr>
            <w:tcW w:w="1395" w:type="dxa"/>
            <w:tcBorders>
              <w:top w:val="nil"/>
              <w:left w:val="nil"/>
              <w:bottom w:val="nil"/>
              <w:right w:val="nil"/>
            </w:tcBorders>
            <w:shd w:val="clear" w:color="auto" w:fill="auto"/>
            <w:noWrap/>
            <w:vAlign w:val="bottom"/>
            <w:hideMark/>
          </w:tcPr>
          <w:p w14:paraId="5778E75F" w14:textId="77777777" w:rsidR="00D67C9B" w:rsidRPr="000D728A" w:rsidRDefault="00D67C9B" w:rsidP="00D67C9B">
            <w:pPr>
              <w:spacing w:before="0"/>
              <w:ind w:left="0"/>
              <w:jc w:val="center"/>
              <w:rPr>
                <w:rFonts w:ascii="Calibri" w:hAnsi="Calibri" w:cs="Calibri"/>
                <w:color w:val="000000"/>
                <w:sz w:val="22"/>
                <w:szCs w:val="22"/>
              </w:rPr>
            </w:pPr>
          </w:p>
        </w:tc>
        <w:tc>
          <w:tcPr>
            <w:tcW w:w="1276" w:type="dxa"/>
            <w:tcBorders>
              <w:top w:val="nil"/>
              <w:left w:val="single" w:sz="4" w:space="0" w:color="auto"/>
              <w:bottom w:val="nil"/>
              <w:right w:val="single" w:sz="8" w:space="0" w:color="auto"/>
            </w:tcBorders>
            <w:shd w:val="clear" w:color="auto" w:fill="auto"/>
            <w:noWrap/>
            <w:vAlign w:val="bottom"/>
            <w:hideMark/>
          </w:tcPr>
          <w:p w14:paraId="5778E760"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 </w:t>
            </w:r>
          </w:p>
        </w:tc>
      </w:tr>
      <w:tr w:rsidR="00D67C9B" w:rsidRPr="000D728A" w14:paraId="5778E768" w14:textId="77777777" w:rsidTr="00D67C9B">
        <w:trPr>
          <w:trHeight w:val="315"/>
          <w:jc w:val="center"/>
        </w:trPr>
        <w:tc>
          <w:tcPr>
            <w:tcW w:w="2294" w:type="dxa"/>
            <w:tcBorders>
              <w:top w:val="nil"/>
              <w:left w:val="single" w:sz="8" w:space="0" w:color="auto"/>
              <w:bottom w:val="single" w:sz="8" w:space="0" w:color="auto"/>
              <w:right w:val="nil"/>
            </w:tcBorders>
            <w:shd w:val="clear" w:color="auto" w:fill="auto"/>
            <w:noWrap/>
            <w:vAlign w:val="bottom"/>
            <w:hideMark/>
          </w:tcPr>
          <w:p w14:paraId="5778E762" w14:textId="77777777" w:rsidR="00D67C9B" w:rsidRPr="000D728A" w:rsidRDefault="00D67C9B" w:rsidP="00D67C9B">
            <w:pPr>
              <w:spacing w:before="0"/>
              <w:ind w:left="0"/>
              <w:rPr>
                <w:rFonts w:ascii="Calibri" w:hAnsi="Calibri" w:cs="Calibri"/>
                <w:i/>
                <w:iCs/>
                <w:color w:val="000000"/>
                <w:sz w:val="22"/>
                <w:szCs w:val="22"/>
              </w:rPr>
            </w:pPr>
            <w:r w:rsidRPr="000D728A">
              <w:rPr>
                <w:rFonts w:ascii="Calibri" w:hAnsi="Calibri" w:cs="Calibri"/>
                <w:i/>
                <w:iCs/>
                <w:color w:val="000000"/>
                <w:sz w:val="22"/>
                <w:szCs w:val="22"/>
              </w:rPr>
              <w:t>Dance</w:t>
            </w:r>
          </w:p>
        </w:tc>
        <w:tc>
          <w:tcPr>
            <w:tcW w:w="1206" w:type="dxa"/>
            <w:tcBorders>
              <w:top w:val="nil"/>
              <w:left w:val="single" w:sz="4" w:space="0" w:color="auto"/>
              <w:bottom w:val="single" w:sz="8" w:space="0" w:color="auto"/>
              <w:right w:val="single" w:sz="4" w:space="0" w:color="auto"/>
            </w:tcBorders>
            <w:shd w:val="clear" w:color="auto" w:fill="auto"/>
            <w:noWrap/>
            <w:vAlign w:val="bottom"/>
            <w:hideMark/>
          </w:tcPr>
          <w:p w14:paraId="5778E763"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0.834**</w:t>
            </w:r>
          </w:p>
        </w:tc>
        <w:tc>
          <w:tcPr>
            <w:tcW w:w="1800" w:type="dxa"/>
            <w:tcBorders>
              <w:top w:val="nil"/>
              <w:left w:val="nil"/>
              <w:bottom w:val="single" w:sz="8" w:space="0" w:color="auto"/>
              <w:right w:val="nil"/>
            </w:tcBorders>
            <w:shd w:val="clear" w:color="auto" w:fill="auto"/>
            <w:noWrap/>
            <w:vAlign w:val="bottom"/>
            <w:hideMark/>
          </w:tcPr>
          <w:p w14:paraId="5778E764"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13.2%</w:t>
            </w:r>
          </w:p>
        </w:tc>
        <w:tc>
          <w:tcPr>
            <w:tcW w:w="960" w:type="dxa"/>
            <w:tcBorders>
              <w:top w:val="nil"/>
              <w:left w:val="single" w:sz="4" w:space="0" w:color="auto"/>
              <w:bottom w:val="single" w:sz="8" w:space="0" w:color="auto"/>
              <w:right w:val="single" w:sz="4" w:space="0" w:color="auto"/>
            </w:tcBorders>
            <w:shd w:val="clear" w:color="auto" w:fill="auto"/>
            <w:noWrap/>
            <w:vAlign w:val="bottom"/>
            <w:hideMark/>
          </w:tcPr>
          <w:p w14:paraId="5778E765"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(0.372)</w:t>
            </w:r>
          </w:p>
        </w:tc>
        <w:tc>
          <w:tcPr>
            <w:tcW w:w="1395" w:type="dxa"/>
            <w:tcBorders>
              <w:top w:val="nil"/>
              <w:left w:val="nil"/>
              <w:bottom w:val="single" w:sz="8" w:space="0" w:color="auto"/>
              <w:right w:val="nil"/>
            </w:tcBorders>
            <w:shd w:val="clear" w:color="auto" w:fill="auto"/>
            <w:noWrap/>
            <w:vAlign w:val="bottom"/>
            <w:hideMark/>
          </w:tcPr>
          <w:p w14:paraId="5778E766"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847</w:t>
            </w:r>
          </w:p>
        </w:tc>
        <w:tc>
          <w:tcPr>
            <w:tcW w:w="1276" w:type="dxa"/>
            <w:tcBorders>
              <w:top w:val="nil"/>
              <w:left w:val="single" w:sz="4" w:space="0" w:color="auto"/>
              <w:bottom w:val="single" w:sz="8" w:space="0" w:color="auto"/>
              <w:right w:val="single" w:sz="8" w:space="0" w:color="auto"/>
            </w:tcBorders>
            <w:shd w:val="clear" w:color="auto" w:fill="auto"/>
            <w:noWrap/>
            <w:vAlign w:val="bottom"/>
            <w:hideMark/>
          </w:tcPr>
          <w:p w14:paraId="5778E767"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0.053</w:t>
            </w:r>
          </w:p>
        </w:tc>
      </w:tr>
    </w:tbl>
    <w:p w14:paraId="5778E769" w14:textId="77777777" w:rsidR="00B72AB2" w:rsidRPr="000D728A" w:rsidRDefault="00B72AB2" w:rsidP="00D67C9B">
      <w:pPr>
        <w:rPr>
          <w:rFonts w:cs="Arial"/>
        </w:rPr>
      </w:pPr>
      <w:r w:rsidRPr="000D728A">
        <w:rPr>
          <w:rFonts w:cs="Arial"/>
          <w:sz w:val="18"/>
          <w:szCs w:val="18"/>
        </w:rPr>
        <w:t xml:space="preserve">Notes: Logit model. Sample restricted to 16-18 year olds. *** 0.01 significance level, ** 0.05 significance level. S.E. = Standard errors (in parentheses). R-Squared = </w:t>
      </w:r>
      <w:r w:rsidRPr="000D728A">
        <w:rPr>
          <w:rFonts w:cs="Arial"/>
          <w:i/>
          <w:sz w:val="18"/>
          <w:szCs w:val="18"/>
        </w:rPr>
        <w:t>Psuedo</w:t>
      </w:r>
      <w:r w:rsidRPr="000D728A">
        <w:rPr>
          <w:rFonts w:cs="Arial"/>
          <w:sz w:val="18"/>
          <w:szCs w:val="18"/>
        </w:rPr>
        <w:t xml:space="preserve"> </w:t>
      </w:r>
      <w:r w:rsidRPr="000D728A">
        <w:rPr>
          <w:rFonts w:cs="Arial"/>
          <w:i/>
          <w:sz w:val="18"/>
          <w:szCs w:val="18"/>
        </w:rPr>
        <w:t>R-Squared</w:t>
      </w:r>
      <w:r w:rsidRPr="000D728A">
        <w:rPr>
          <w:rFonts w:cs="Arial"/>
          <w:sz w:val="18"/>
          <w:szCs w:val="18"/>
        </w:rPr>
        <w:t>. Probability impacts calculated at the sample mean values of the other covariates. Probability = increase in probability of reporting being 'very likely' to go on to further education.</w:t>
      </w:r>
    </w:p>
    <w:p w14:paraId="5778E76A" w14:textId="77777777" w:rsidR="00B72AB2" w:rsidRPr="000D728A" w:rsidRDefault="00B72AB2" w:rsidP="00B72AB2">
      <w:pPr>
        <w:rPr>
          <w:rFonts w:cs="Arial"/>
        </w:rPr>
      </w:pPr>
    </w:p>
    <w:p w14:paraId="5778E76C" w14:textId="3A7B4994" w:rsidR="00B72AB2" w:rsidRPr="000D728A" w:rsidRDefault="00B72AB2" w:rsidP="000D728A">
      <w:pPr>
        <w:rPr>
          <w:rFonts w:cs="Arial"/>
        </w:rPr>
      </w:pPr>
      <w:r w:rsidRPr="000D728A">
        <w:rPr>
          <w:rFonts w:cs="Arial"/>
          <w:b/>
        </w:rPr>
        <w:t>Among the sports variables, we find that only swimming is significant and it is associated with a 7% increase in the likelihood of reporting being ‘very likely’ to go on to further education.</w:t>
      </w:r>
      <w:r w:rsidRPr="000D728A">
        <w:rPr>
          <w:rFonts w:cs="Arial"/>
        </w:rPr>
        <w:t xml:space="preserve"> </w:t>
      </w:r>
      <w:r w:rsidRPr="000D728A">
        <w:rPr>
          <w:rFonts w:cs="Arial"/>
          <w:b/>
        </w:rPr>
        <w:t>Participation in arts is associated with a 14% increase in the likelihood of a 16-18 year old reporting they are ‘very likely’ to go on to further education.</w:t>
      </w:r>
      <w:r w:rsidRPr="000D728A">
        <w:rPr>
          <w:rFonts w:cs="Arial"/>
        </w:rPr>
        <w:t xml:space="preserve"> When we break down the arts variables we find that people who participate in music are 8% more likely to report being ‘very likely’ to go on to further education and people who are audience to dance are 13% more likely. </w:t>
      </w:r>
    </w:p>
    <w:p w14:paraId="5778E76D" w14:textId="77777777" w:rsidR="00B72AB2" w:rsidRPr="000D728A" w:rsidRDefault="00B72AB2" w:rsidP="00B72AB2">
      <w:pPr>
        <w:rPr>
          <w:rFonts w:cs="Arial"/>
          <w:b/>
        </w:rPr>
      </w:pPr>
      <w:r w:rsidRPr="000D728A">
        <w:rPr>
          <w:rFonts w:cs="Arial"/>
          <w:b/>
        </w:rPr>
        <w:t>Distributional impacts</w:t>
      </w:r>
    </w:p>
    <w:p w14:paraId="5778E76F" w14:textId="26C28EEE" w:rsidR="00B72AB2" w:rsidRPr="000D728A" w:rsidRDefault="00B72AB2" w:rsidP="000D728A">
      <w:pPr>
        <w:rPr>
          <w:rFonts w:cs="Arial"/>
          <w:b/>
        </w:rPr>
      </w:pPr>
      <w:r w:rsidRPr="000D728A">
        <w:rPr>
          <w:rFonts w:cs="Arial"/>
        </w:rPr>
        <w:t xml:space="preserve">The small sample sizes made it impossible to run interactive models. </w:t>
      </w:r>
    </w:p>
    <w:p w14:paraId="5778E770" w14:textId="77777777" w:rsidR="00B72AB2" w:rsidRPr="000D728A" w:rsidRDefault="00B72AB2" w:rsidP="00B72AB2">
      <w:pPr>
        <w:rPr>
          <w:rFonts w:cs="Arial"/>
          <w:b/>
        </w:rPr>
      </w:pPr>
      <w:r w:rsidRPr="000D728A">
        <w:rPr>
          <w:rFonts w:cs="Arial"/>
          <w:b/>
        </w:rPr>
        <w:lastRenderedPageBreak/>
        <w:t>C.2.2 Indicative cost savings</w:t>
      </w:r>
    </w:p>
    <w:p w14:paraId="5778E771" w14:textId="77777777" w:rsidR="00B72AB2" w:rsidRPr="000D728A" w:rsidRDefault="00B72AB2" w:rsidP="00B72AB2">
      <w:pPr>
        <w:rPr>
          <w:rFonts w:cs="Arial"/>
        </w:rPr>
      </w:pPr>
      <w:r w:rsidRPr="000D728A">
        <w:rPr>
          <w:rFonts w:cs="Arial"/>
        </w:rPr>
        <w:t>In terms of attaching a value to this we could look at the economic returns associated with a university degree measured as the wage premium associated with degree-level education. This can only provide a rough measure of the economic value of further education here for a number of reasons. First, we are observing people’s self-reports about the likelihood of going on to further education rather than their actual behaviour, and so we need to assume that people who say they are ‘very likely’ to go actually do go. Second, further education could be non-university/non-degree education, but we will look at the returns to degree education, for which some evidence exists. Therefore, we will assume here that people who say they will go on to further education go on to degree education. These assumptions are likely to over-bias our estimates of the economic returns here, but on the flipside it may be that some of those that go on to further education go on to postgraduate level studies, for which the wage return is likely to be larger than for undergraduate degrees and this would potentially offset the bias to some degree.</w:t>
      </w:r>
    </w:p>
    <w:p w14:paraId="5778E772" w14:textId="77777777" w:rsidR="00B72AB2" w:rsidRPr="000D728A" w:rsidRDefault="00B72AB2" w:rsidP="00B72AB2">
      <w:pPr>
        <w:rPr>
          <w:rFonts w:cs="Arial"/>
        </w:rPr>
      </w:pPr>
    </w:p>
    <w:p w14:paraId="5778E773" w14:textId="77777777" w:rsidR="00B72AB2" w:rsidRPr="000D728A" w:rsidRDefault="00B72AB2" w:rsidP="00B72AB2">
      <w:pPr>
        <w:rPr>
          <w:rFonts w:cs="Arial"/>
        </w:rPr>
      </w:pPr>
      <w:r w:rsidRPr="000D728A">
        <w:rPr>
          <w:rFonts w:cs="Arial"/>
        </w:rPr>
        <w:t>The Department for Education and Skills (2003) used a figure of £400,000 for the difference in lifetime earnings for graduates over non-graduates. In Table 12, we apply this figure to the probability estimates in Table 11 assuming that someone who reports they are ‘very likely’ to go on to further education actually go on to and complete university (degree) education. The last column shows the estimated increase in lifetime earnings associated with the impact that each activity has on likelihood of higher education. Since these are only rough indicative estimates (which are likely to be biased upwards) we do not up-rate the figures to 2013 prices.</w:t>
      </w:r>
    </w:p>
    <w:p w14:paraId="5778E774" w14:textId="77777777" w:rsidR="00B72AB2" w:rsidRPr="000D728A" w:rsidRDefault="00B72AB2" w:rsidP="00D67C9B">
      <w:pPr>
        <w:ind w:left="0"/>
        <w:rPr>
          <w:rFonts w:cs="Arial"/>
          <w:b/>
        </w:rPr>
      </w:pPr>
    </w:p>
    <w:p w14:paraId="5778E775" w14:textId="77777777" w:rsidR="00B72AB2" w:rsidRPr="000D728A" w:rsidRDefault="00B72AB2" w:rsidP="00B72AB2">
      <w:pPr>
        <w:rPr>
          <w:rFonts w:cs="Arial"/>
          <w:b/>
        </w:rPr>
      </w:pPr>
      <w:r w:rsidRPr="000D728A">
        <w:rPr>
          <w:rFonts w:cs="Arial"/>
          <w:b/>
        </w:rPr>
        <w:t>Table 12. Culture, sport and indicative economic (wage) returns</w:t>
      </w:r>
    </w:p>
    <w:tbl>
      <w:tblPr>
        <w:tblW w:w="6640" w:type="dxa"/>
        <w:tblInd w:w="2043" w:type="dxa"/>
        <w:tblLook w:val="04A0" w:firstRow="1" w:lastRow="0" w:firstColumn="1" w:lastColumn="0" w:noHBand="0" w:noVBand="1"/>
      </w:tblPr>
      <w:tblGrid>
        <w:gridCol w:w="2020"/>
        <w:gridCol w:w="1840"/>
        <w:gridCol w:w="2780"/>
      </w:tblGrid>
      <w:tr w:rsidR="00D67C9B" w:rsidRPr="000D728A" w14:paraId="5778E779" w14:textId="77777777" w:rsidTr="00C244CD">
        <w:trPr>
          <w:trHeight w:val="315"/>
        </w:trPr>
        <w:tc>
          <w:tcPr>
            <w:tcW w:w="2020" w:type="dxa"/>
            <w:tcBorders>
              <w:top w:val="single" w:sz="8" w:space="0" w:color="auto"/>
              <w:left w:val="single" w:sz="8" w:space="0" w:color="auto"/>
              <w:bottom w:val="double" w:sz="6" w:space="0" w:color="auto"/>
              <w:right w:val="single" w:sz="4" w:space="0" w:color="auto"/>
            </w:tcBorders>
            <w:shd w:val="clear" w:color="000000" w:fill="0070C0"/>
            <w:noWrap/>
            <w:vAlign w:val="bottom"/>
            <w:hideMark/>
          </w:tcPr>
          <w:p w14:paraId="5778E776" w14:textId="77777777" w:rsidR="00D67C9B" w:rsidRPr="000D728A" w:rsidRDefault="00D67C9B" w:rsidP="00D67C9B">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Model &amp; variables</w:t>
            </w:r>
          </w:p>
        </w:tc>
        <w:tc>
          <w:tcPr>
            <w:tcW w:w="1840" w:type="dxa"/>
            <w:tcBorders>
              <w:top w:val="single" w:sz="8" w:space="0" w:color="auto"/>
              <w:left w:val="nil"/>
              <w:bottom w:val="double" w:sz="6" w:space="0" w:color="auto"/>
              <w:right w:val="nil"/>
            </w:tcBorders>
            <w:shd w:val="clear" w:color="000000" w:fill="0070C0"/>
            <w:noWrap/>
            <w:vAlign w:val="bottom"/>
            <w:hideMark/>
          </w:tcPr>
          <w:p w14:paraId="5778E777" w14:textId="77777777" w:rsidR="00D67C9B" w:rsidRPr="000D728A" w:rsidRDefault="00D67C9B" w:rsidP="00D67C9B">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Probability impact</w:t>
            </w:r>
          </w:p>
        </w:tc>
        <w:tc>
          <w:tcPr>
            <w:tcW w:w="2780" w:type="dxa"/>
            <w:tcBorders>
              <w:top w:val="single" w:sz="8" w:space="0" w:color="auto"/>
              <w:left w:val="single" w:sz="4" w:space="0" w:color="auto"/>
              <w:bottom w:val="double" w:sz="6" w:space="0" w:color="auto"/>
              <w:right w:val="single" w:sz="8" w:space="0" w:color="auto"/>
            </w:tcBorders>
            <w:shd w:val="clear" w:color="000000" w:fill="0070C0"/>
            <w:noWrap/>
            <w:vAlign w:val="bottom"/>
            <w:hideMark/>
          </w:tcPr>
          <w:p w14:paraId="5778E778" w14:textId="77777777" w:rsidR="00D67C9B" w:rsidRPr="000D728A" w:rsidRDefault="00D67C9B" w:rsidP="00D67C9B">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Additional lifetime earnings</w:t>
            </w:r>
          </w:p>
        </w:tc>
      </w:tr>
      <w:tr w:rsidR="00D67C9B" w:rsidRPr="000D728A" w14:paraId="5778E77D" w14:textId="77777777" w:rsidTr="00C244CD">
        <w:trPr>
          <w:trHeight w:val="315"/>
        </w:trPr>
        <w:tc>
          <w:tcPr>
            <w:tcW w:w="2020" w:type="dxa"/>
            <w:tcBorders>
              <w:top w:val="nil"/>
              <w:left w:val="single" w:sz="8" w:space="0" w:color="auto"/>
              <w:bottom w:val="single" w:sz="4" w:space="0" w:color="auto"/>
              <w:right w:val="single" w:sz="4" w:space="0" w:color="auto"/>
            </w:tcBorders>
            <w:shd w:val="clear" w:color="000000" w:fill="0070C0"/>
            <w:noWrap/>
            <w:vAlign w:val="bottom"/>
            <w:hideMark/>
          </w:tcPr>
          <w:p w14:paraId="5778E77A" w14:textId="77777777" w:rsidR="00D67C9B" w:rsidRPr="000D728A" w:rsidRDefault="00D67C9B" w:rsidP="00D67C9B">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Sports</w:t>
            </w:r>
          </w:p>
        </w:tc>
        <w:tc>
          <w:tcPr>
            <w:tcW w:w="1840" w:type="dxa"/>
            <w:tcBorders>
              <w:top w:val="nil"/>
              <w:left w:val="nil"/>
              <w:bottom w:val="single" w:sz="4" w:space="0" w:color="auto"/>
              <w:right w:val="single" w:sz="4" w:space="0" w:color="auto"/>
            </w:tcBorders>
            <w:shd w:val="clear" w:color="000000" w:fill="0070C0"/>
            <w:noWrap/>
            <w:vAlign w:val="bottom"/>
            <w:hideMark/>
          </w:tcPr>
          <w:p w14:paraId="5778E77B" w14:textId="77777777" w:rsidR="00D67C9B" w:rsidRPr="000D728A" w:rsidRDefault="00D67C9B" w:rsidP="00D67C9B">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 </w:t>
            </w:r>
          </w:p>
        </w:tc>
        <w:tc>
          <w:tcPr>
            <w:tcW w:w="2780" w:type="dxa"/>
            <w:tcBorders>
              <w:top w:val="nil"/>
              <w:left w:val="nil"/>
              <w:bottom w:val="single" w:sz="4" w:space="0" w:color="auto"/>
              <w:right w:val="single" w:sz="8" w:space="0" w:color="auto"/>
            </w:tcBorders>
            <w:shd w:val="clear" w:color="000000" w:fill="0070C0"/>
            <w:noWrap/>
            <w:vAlign w:val="bottom"/>
            <w:hideMark/>
          </w:tcPr>
          <w:p w14:paraId="5778E77C" w14:textId="77777777" w:rsidR="00D67C9B" w:rsidRPr="000D728A" w:rsidRDefault="00D67C9B" w:rsidP="00D67C9B">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 </w:t>
            </w:r>
          </w:p>
        </w:tc>
      </w:tr>
      <w:tr w:rsidR="00D67C9B" w:rsidRPr="000D728A" w14:paraId="5778E781" w14:textId="77777777" w:rsidTr="00C244CD">
        <w:trPr>
          <w:trHeight w:val="300"/>
        </w:trPr>
        <w:tc>
          <w:tcPr>
            <w:tcW w:w="2020" w:type="dxa"/>
            <w:tcBorders>
              <w:top w:val="nil"/>
              <w:left w:val="single" w:sz="8" w:space="0" w:color="auto"/>
              <w:bottom w:val="single" w:sz="4" w:space="0" w:color="auto"/>
              <w:right w:val="single" w:sz="4" w:space="0" w:color="auto"/>
            </w:tcBorders>
            <w:shd w:val="clear" w:color="auto" w:fill="auto"/>
            <w:noWrap/>
            <w:vAlign w:val="bottom"/>
            <w:hideMark/>
          </w:tcPr>
          <w:p w14:paraId="5778E77E" w14:textId="77777777" w:rsidR="00D67C9B" w:rsidRPr="000D728A" w:rsidRDefault="00D67C9B" w:rsidP="00D67C9B">
            <w:pPr>
              <w:spacing w:before="0"/>
              <w:ind w:left="0"/>
              <w:rPr>
                <w:rFonts w:ascii="Calibri" w:hAnsi="Calibri" w:cs="Calibri"/>
                <w:i/>
                <w:iCs/>
                <w:color w:val="000000"/>
                <w:sz w:val="22"/>
                <w:szCs w:val="22"/>
              </w:rPr>
            </w:pPr>
            <w:r w:rsidRPr="000D728A">
              <w:rPr>
                <w:rFonts w:ascii="Calibri" w:hAnsi="Calibri" w:cs="Calibri"/>
                <w:i/>
                <w:iCs/>
                <w:color w:val="000000"/>
                <w:sz w:val="22"/>
                <w:szCs w:val="22"/>
              </w:rPr>
              <w:t>Swimming</w:t>
            </w:r>
          </w:p>
        </w:tc>
        <w:tc>
          <w:tcPr>
            <w:tcW w:w="1840" w:type="dxa"/>
            <w:tcBorders>
              <w:top w:val="nil"/>
              <w:left w:val="nil"/>
              <w:bottom w:val="single" w:sz="4" w:space="0" w:color="auto"/>
              <w:right w:val="nil"/>
            </w:tcBorders>
            <w:shd w:val="clear" w:color="auto" w:fill="auto"/>
            <w:noWrap/>
            <w:vAlign w:val="bottom"/>
            <w:hideMark/>
          </w:tcPr>
          <w:p w14:paraId="5778E77F"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6.7%</w:t>
            </w:r>
          </w:p>
        </w:tc>
        <w:tc>
          <w:tcPr>
            <w:tcW w:w="2780" w:type="dxa"/>
            <w:tcBorders>
              <w:top w:val="nil"/>
              <w:left w:val="single" w:sz="4" w:space="0" w:color="auto"/>
              <w:bottom w:val="single" w:sz="4" w:space="0" w:color="auto"/>
              <w:right w:val="single" w:sz="8" w:space="0" w:color="auto"/>
            </w:tcBorders>
            <w:shd w:val="clear" w:color="auto" w:fill="auto"/>
            <w:noWrap/>
            <w:vAlign w:val="bottom"/>
            <w:hideMark/>
          </w:tcPr>
          <w:p w14:paraId="5778E780" w14:textId="77777777" w:rsidR="00D67C9B" w:rsidRPr="000D728A" w:rsidRDefault="00D67C9B" w:rsidP="00D67C9B">
            <w:pPr>
              <w:spacing w:before="0"/>
              <w:ind w:left="0"/>
              <w:jc w:val="center"/>
              <w:rPr>
                <w:rFonts w:ascii="Calibri" w:hAnsi="Calibri" w:cs="Calibri"/>
                <w:sz w:val="22"/>
                <w:szCs w:val="22"/>
              </w:rPr>
            </w:pPr>
            <w:r w:rsidRPr="000D728A">
              <w:rPr>
                <w:rFonts w:ascii="Calibri" w:hAnsi="Calibri" w:cs="Calibri"/>
                <w:sz w:val="22"/>
                <w:szCs w:val="22"/>
              </w:rPr>
              <w:t>£26,800</w:t>
            </w:r>
          </w:p>
        </w:tc>
      </w:tr>
      <w:tr w:rsidR="00D67C9B" w:rsidRPr="000D728A" w14:paraId="5778E785" w14:textId="77777777" w:rsidTr="00C244CD">
        <w:trPr>
          <w:trHeight w:val="300"/>
        </w:trPr>
        <w:tc>
          <w:tcPr>
            <w:tcW w:w="2020" w:type="dxa"/>
            <w:tcBorders>
              <w:top w:val="nil"/>
              <w:left w:val="single" w:sz="8" w:space="0" w:color="auto"/>
              <w:bottom w:val="single" w:sz="4" w:space="0" w:color="auto"/>
              <w:right w:val="single" w:sz="4" w:space="0" w:color="auto"/>
            </w:tcBorders>
            <w:shd w:val="clear" w:color="000000" w:fill="0070C0"/>
            <w:noWrap/>
            <w:vAlign w:val="bottom"/>
            <w:hideMark/>
          </w:tcPr>
          <w:p w14:paraId="5778E782" w14:textId="77777777" w:rsidR="00D67C9B" w:rsidRPr="000D728A" w:rsidRDefault="00D67C9B" w:rsidP="00D67C9B">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Culture</w:t>
            </w:r>
          </w:p>
        </w:tc>
        <w:tc>
          <w:tcPr>
            <w:tcW w:w="1840" w:type="dxa"/>
            <w:tcBorders>
              <w:top w:val="nil"/>
              <w:left w:val="nil"/>
              <w:bottom w:val="single" w:sz="4" w:space="0" w:color="auto"/>
              <w:right w:val="nil"/>
            </w:tcBorders>
            <w:shd w:val="clear" w:color="000000" w:fill="0070C0"/>
            <w:noWrap/>
            <w:vAlign w:val="bottom"/>
            <w:hideMark/>
          </w:tcPr>
          <w:p w14:paraId="5778E783" w14:textId="77777777" w:rsidR="00D67C9B" w:rsidRPr="000D728A" w:rsidRDefault="00D67C9B" w:rsidP="00D67C9B">
            <w:pPr>
              <w:spacing w:before="0"/>
              <w:ind w:left="0"/>
              <w:jc w:val="center"/>
              <w:rPr>
                <w:rFonts w:ascii="Calibri" w:hAnsi="Calibri" w:cs="Calibri"/>
                <w:color w:val="FFFFFF"/>
                <w:sz w:val="22"/>
                <w:szCs w:val="22"/>
              </w:rPr>
            </w:pPr>
            <w:r w:rsidRPr="000D728A">
              <w:rPr>
                <w:rFonts w:ascii="Calibri" w:hAnsi="Calibri" w:cs="Calibri"/>
                <w:color w:val="FFFFFF"/>
                <w:sz w:val="22"/>
                <w:szCs w:val="22"/>
              </w:rPr>
              <w:t> </w:t>
            </w:r>
          </w:p>
        </w:tc>
        <w:tc>
          <w:tcPr>
            <w:tcW w:w="2780" w:type="dxa"/>
            <w:tcBorders>
              <w:top w:val="nil"/>
              <w:left w:val="single" w:sz="4" w:space="0" w:color="auto"/>
              <w:bottom w:val="single" w:sz="4" w:space="0" w:color="auto"/>
              <w:right w:val="single" w:sz="8" w:space="0" w:color="auto"/>
            </w:tcBorders>
            <w:shd w:val="clear" w:color="000000" w:fill="0070C0"/>
            <w:noWrap/>
            <w:vAlign w:val="bottom"/>
            <w:hideMark/>
          </w:tcPr>
          <w:p w14:paraId="5778E784" w14:textId="77777777" w:rsidR="00D67C9B" w:rsidRPr="000D728A" w:rsidRDefault="00D67C9B" w:rsidP="00D67C9B">
            <w:pPr>
              <w:spacing w:before="0"/>
              <w:ind w:left="0"/>
              <w:jc w:val="center"/>
              <w:rPr>
                <w:rFonts w:ascii="Calibri" w:hAnsi="Calibri" w:cs="Calibri"/>
                <w:color w:val="FFFFFF"/>
                <w:sz w:val="22"/>
                <w:szCs w:val="22"/>
              </w:rPr>
            </w:pPr>
            <w:r w:rsidRPr="000D728A">
              <w:rPr>
                <w:rFonts w:ascii="Calibri" w:hAnsi="Calibri" w:cs="Calibri"/>
                <w:color w:val="FFFFFF"/>
                <w:sz w:val="22"/>
                <w:szCs w:val="22"/>
              </w:rPr>
              <w:t> </w:t>
            </w:r>
          </w:p>
        </w:tc>
      </w:tr>
      <w:tr w:rsidR="00D67C9B" w:rsidRPr="000D728A" w14:paraId="5778E789" w14:textId="77777777" w:rsidTr="00C244CD">
        <w:trPr>
          <w:trHeight w:val="300"/>
        </w:trPr>
        <w:tc>
          <w:tcPr>
            <w:tcW w:w="2020" w:type="dxa"/>
            <w:tcBorders>
              <w:top w:val="nil"/>
              <w:left w:val="single" w:sz="8" w:space="0" w:color="auto"/>
              <w:bottom w:val="nil"/>
              <w:right w:val="single" w:sz="4" w:space="0" w:color="auto"/>
            </w:tcBorders>
            <w:shd w:val="clear" w:color="auto" w:fill="auto"/>
            <w:noWrap/>
            <w:vAlign w:val="bottom"/>
            <w:hideMark/>
          </w:tcPr>
          <w:p w14:paraId="5778E786" w14:textId="77777777" w:rsidR="00D67C9B" w:rsidRPr="000D728A" w:rsidRDefault="00D67C9B" w:rsidP="00D67C9B">
            <w:pPr>
              <w:spacing w:before="0"/>
              <w:ind w:left="0"/>
              <w:rPr>
                <w:rFonts w:ascii="Calibri" w:hAnsi="Calibri" w:cs="Calibri"/>
                <w:i/>
                <w:iCs/>
                <w:color w:val="000000"/>
                <w:sz w:val="22"/>
                <w:szCs w:val="22"/>
              </w:rPr>
            </w:pPr>
            <w:r w:rsidRPr="000D728A">
              <w:rPr>
                <w:rFonts w:ascii="Calibri" w:hAnsi="Calibri" w:cs="Calibri"/>
                <w:i/>
                <w:iCs/>
                <w:color w:val="000000"/>
                <w:sz w:val="22"/>
                <w:szCs w:val="22"/>
              </w:rPr>
              <w:t>All participation arts</w:t>
            </w:r>
          </w:p>
        </w:tc>
        <w:tc>
          <w:tcPr>
            <w:tcW w:w="1840" w:type="dxa"/>
            <w:tcBorders>
              <w:top w:val="nil"/>
              <w:left w:val="nil"/>
              <w:bottom w:val="nil"/>
              <w:right w:val="nil"/>
            </w:tcBorders>
            <w:shd w:val="clear" w:color="auto" w:fill="auto"/>
            <w:noWrap/>
            <w:vAlign w:val="bottom"/>
            <w:hideMark/>
          </w:tcPr>
          <w:p w14:paraId="5778E787"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14.1%</w:t>
            </w:r>
          </w:p>
        </w:tc>
        <w:tc>
          <w:tcPr>
            <w:tcW w:w="2780" w:type="dxa"/>
            <w:tcBorders>
              <w:top w:val="nil"/>
              <w:left w:val="single" w:sz="4" w:space="0" w:color="auto"/>
              <w:bottom w:val="nil"/>
              <w:right w:val="single" w:sz="8" w:space="0" w:color="auto"/>
            </w:tcBorders>
            <w:shd w:val="clear" w:color="auto" w:fill="auto"/>
            <w:noWrap/>
            <w:vAlign w:val="bottom"/>
            <w:hideMark/>
          </w:tcPr>
          <w:p w14:paraId="5778E788"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£56,400</w:t>
            </w:r>
          </w:p>
        </w:tc>
      </w:tr>
      <w:tr w:rsidR="00D67C9B" w:rsidRPr="000D728A" w14:paraId="5778E78D" w14:textId="77777777" w:rsidTr="00C244CD">
        <w:trPr>
          <w:trHeight w:val="300"/>
        </w:trPr>
        <w:tc>
          <w:tcPr>
            <w:tcW w:w="2020" w:type="dxa"/>
            <w:tcBorders>
              <w:top w:val="nil"/>
              <w:left w:val="single" w:sz="8" w:space="0" w:color="auto"/>
              <w:bottom w:val="nil"/>
              <w:right w:val="single" w:sz="4" w:space="0" w:color="auto"/>
            </w:tcBorders>
            <w:shd w:val="clear" w:color="auto" w:fill="auto"/>
            <w:noWrap/>
            <w:vAlign w:val="bottom"/>
            <w:hideMark/>
          </w:tcPr>
          <w:p w14:paraId="5778E78A" w14:textId="77777777" w:rsidR="00D67C9B" w:rsidRPr="000D728A" w:rsidRDefault="00D67C9B" w:rsidP="00D67C9B">
            <w:pPr>
              <w:spacing w:before="0"/>
              <w:ind w:left="0"/>
              <w:rPr>
                <w:rFonts w:ascii="Calibri" w:hAnsi="Calibri" w:cs="Calibri"/>
                <w:b/>
                <w:bCs/>
                <w:color w:val="000000"/>
                <w:sz w:val="22"/>
                <w:szCs w:val="22"/>
              </w:rPr>
            </w:pPr>
            <w:r w:rsidRPr="000D728A">
              <w:rPr>
                <w:rFonts w:ascii="Calibri" w:hAnsi="Calibri" w:cs="Calibri"/>
                <w:b/>
                <w:bCs/>
                <w:color w:val="000000"/>
                <w:sz w:val="22"/>
                <w:szCs w:val="22"/>
              </w:rPr>
              <w:t>Participation</w:t>
            </w:r>
          </w:p>
        </w:tc>
        <w:tc>
          <w:tcPr>
            <w:tcW w:w="1840" w:type="dxa"/>
            <w:tcBorders>
              <w:top w:val="nil"/>
              <w:left w:val="nil"/>
              <w:bottom w:val="nil"/>
              <w:right w:val="nil"/>
            </w:tcBorders>
            <w:shd w:val="clear" w:color="auto" w:fill="auto"/>
            <w:noWrap/>
            <w:vAlign w:val="bottom"/>
            <w:hideMark/>
          </w:tcPr>
          <w:p w14:paraId="5778E78B" w14:textId="77777777" w:rsidR="00D67C9B" w:rsidRPr="000D728A" w:rsidRDefault="00D67C9B" w:rsidP="00D67C9B">
            <w:pPr>
              <w:spacing w:before="0"/>
              <w:ind w:left="0"/>
              <w:jc w:val="center"/>
              <w:rPr>
                <w:rFonts w:ascii="Calibri" w:hAnsi="Calibri" w:cs="Calibri"/>
                <w:color w:val="000000"/>
                <w:sz w:val="22"/>
                <w:szCs w:val="22"/>
              </w:rPr>
            </w:pPr>
          </w:p>
        </w:tc>
        <w:tc>
          <w:tcPr>
            <w:tcW w:w="2780" w:type="dxa"/>
            <w:tcBorders>
              <w:top w:val="nil"/>
              <w:left w:val="single" w:sz="4" w:space="0" w:color="auto"/>
              <w:bottom w:val="nil"/>
              <w:right w:val="single" w:sz="8" w:space="0" w:color="auto"/>
            </w:tcBorders>
            <w:shd w:val="clear" w:color="auto" w:fill="auto"/>
            <w:noWrap/>
            <w:vAlign w:val="bottom"/>
            <w:hideMark/>
          </w:tcPr>
          <w:p w14:paraId="5778E78C"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 </w:t>
            </w:r>
          </w:p>
        </w:tc>
      </w:tr>
      <w:tr w:rsidR="00D67C9B" w:rsidRPr="000D728A" w14:paraId="5778E791" w14:textId="77777777" w:rsidTr="00C244CD">
        <w:trPr>
          <w:trHeight w:val="300"/>
        </w:trPr>
        <w:tc>
          <w:tcPr>
            <w:tcW w:w="2020" w:type="dxa"/>
            <w:tcBorders>
              <w:top w:val="nil"/>
              <w:left w:val="single" w:sz="8" w:space="0" w:color="auto"/>
              <w:bottom w:val="nil"/>
              <w:right w:val="single" w:sz="4" w:space="0" w:color="auto"/>
            </w:tcBorders>
            <w:shd w:val="clear" w:color="auto" w:fill="auto"/>
            <w:noWrap/>
            <w:vAlign w:val="bottom"/>
            <w:hideMark/>
          </w:tcPr>
          <w:p w14:paraId="5778E78E" w14:textId="77777777" w:rsidR="00D67C9B" w:rsidRPr="000D728A" w:rsidRDefault="00D67C9B" w:rsidP="00D67C9B">
            <w:pPr>
              <w:spacing w:before="0"/>
              <w:ind w:left="0"/>
              <w:rPr>
                <w:rFonts w:ascii="Calibri" w:hAnsi="Calibri" w:cs="Calibri"/>
                <w:i/>
                <w:iCs/>
                <w:color w:val="000000"/>
                <w:sz w:val="22"/>
                <w:szCs w:val="22"/>
              </w:rPr>
            </w:pPr>
            <w:r w:rsidRPr="000D728A">
              <w:rPr>
                <w:rFonts w:ascii="Calibri" w:hAnsi="Calibri" w:cs="Calibri"/>
                <w:i/>
                <w:iCs/>
                <w:color w:val="000000"/>
                <w:sz w:val="22"/>
                <w:szCs w:val="22"/>
              </w:rPr>
              <w:t>Music</w:t>
            </w:r>
          </w:p>
        </w:tc>
        <w:tc>
          <w:tcPr>
            <w:tcW w:w="1840" w:type="dxa"/>
            <w:tcBorders>
              <w:top w:val="nil"/>
              <w:left w:val="nil"/>
              <w:bottom w:val="nil"/>
              <w:right w:val="nil"/>
            </w:tcBorders>
            <w:shd w:val="clear" w:color="auto" w:fill="auto"/>
            <w:noWrap/>
            <w:vAlign w:val="bottom"/>
            <w:hideMark/>
          </w:tcPr>
          <w:p w14:paraId="5778E78F"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8.4%</w:t>
            </w:r>
          </w:p>
        </w:tc>
        <w:tc>
          <w:tcPr>
            <w:tcW w:w="2780" w:type="dxa"/>
            <w:tcBorders>
              <w:top w:val="nil"/>
              <w:left w:val="single" w:sz="4" w:space="0" w:color="auto"/>
              <w:bottom w:val="nil"/>
              <w:right w:val="single" w:sz="8" w:space="0" w:color="auto"/>
            </w:tcBorders>
            <w:shd w:val="clear" w:color="auto" w:fill="auto"/>
            <w:noWrap/>
            <w:vAlign w:val="bottom"/>
            <w:hideMark/>
          </w:tcPr>
          <w:p w14:paraId="5778E790"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£33,600</w:t>
            </w:r>
          </w:p>
        </w:tc>
      </w:tr>
      <w:tr w:rsidR="00D67C9B" w:rsidRPr="000D728A" w14:paraId="5778E795" w14:textId="77777777" w:rsidTr="00C244CD">
        <w:trPr>
          <w:trHeight w:val="300"/>
        </w:trPr>
        <w:tc>
          <w:tcPr>
            <w:tcW w:w="2020" w:type="dxa"/>
            <w:tcBorders>
              <w:top w:val="nil"/>
              <w:left w:val="single" w:sz="8" w:space="0" w:color="auto"/>
              <w:bottom w:val="nil"/>
              <w:right w:val="single" w:sz="4" w:space="0" w:color="auto"/>
            </w:tcBorders>
            <w:shd w:val="clear" w:color="auto" w:fill="auto"/>
            <w:noWrap/>
            <w:vAlign w:val="bottom"/>
            <w:hideMark/>
          </w:tcPr>
          <w:p w14:paraId="5778E792" w14:textId="77777777" w:rsidR="00D67C9B" w:rsidRPr="000D728A" w:rsidRDefault="00D67C9B" w:rsidP="00D67C9B">
            <w:pPr>
              <w:spacing w:before="0"/>
              <w:ind w:left="0"/>
              <w:rPr>
                <w:rFonts w:ascii="Calibri" w:hAnsi="Calibri" w:cs="Calibri"/>
                <w:b/>
                <w:bCs/>
                <w:color w:val="000000"/>
                <w:sz w:val="22"/>
                <w:szCs w:val="22"/>
              </w:rPr>
            </w:pPr>
            <w:r w:rsidRPr="000D728A">
              <w:rPr>
                <w:rFonts w:ascii="Calibri" w:hAnsi="Calibri" w:cs="Calibri"/>
                <w:b/>
                <w:bCs/>
                <w:color w:val="000000"/>
                <w:sz w:val="22"/>
                <w:szCs w:val="22"/>
              </w:rPr>
              <w:t>Audience</w:t>
            </w:r>
          </w:p>
        </w:tc>
        <w:tc>
          <w:tcPr>
            <w:tcW w:w="1840" w:type="dxa"/>
            <w:tcBorders>
              <w:top w:val="nil"/>
              <w:left w:val="nil"/>
              <w:bottom w:val="nil"/>
              <w:right w:val="nil"/>
            </w:tcBorders>
            <w:shd w:val="clear" w:color="auto" w:fill="auto"/>
            <w:noWrap/>
            <w:vAlign w:val="bottom"/>
            <w:hideMark/>
          </w:tcPr>
          <w:p w14:paraId="5778E793" w14:textId="77777777" w:rsidR="00D67C9B" w:rsidRPr="000D728A" w:rsidRDefault="00D67C9B" w:rsidP="00D67C9B">
            <w:pPr>
              <w:spacing w:before="0"/>
              <w:ind w:left="0"/>
              <w:jc w:val="center"/>
              <w:rPr>
                <w:rFonts w:ascii="Calibri" w:hAnsi="Calibri" w:cs="Calibri"/>
                <w:color w:val="000000"/>
                <w:sz w:val="22"/>
                <w:szCs w:val="22"/>
              </w:rPr>
            </w:pPr>
          </w:p>
        </w:tc>
        <w:tc>
          <w:tcPr>
            <w:tcW w:w="2780" w:type="dxa"/>
            <w:tcBorders>
              <w:top w:val="nil"/>
              <w:left w:val="single" w:sz="4" w:space="0" w:color="auto"/>
              <w:bottom w:val="nil"/>
              <w:right w:val="single" w:sz="8" w:space="0" w:color="auto"/>
            </w:tcBorders>
            <w:shd w:val="clear" w:color="auto" w:fill="auto"/>
            <w:noWrap/>
            <w:vAlign w:val="bottom"/>
            <w:hideMark/>
          </w:tcPr>
          <w:p w14:paraId="5778E794"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 </w:t>
            </w:r>
          </w:p>
        </w:tc>
      </w:tr>
      <w:tr w:rsidR="00D67C9B" w:rsidRPr="000D728A" w14:paraId="5778E799" w14:textId="77777777" w:rsidTr="00C244CD">
        <w:trPr>
          <w:trHeight w:val="315"/>
        </w:trPr>
        <w:tc>
          <w:tcPr>
            <w:tcW w:w="2020" w:type="dxa"/>
            <w:tcBorders>
              <w:top w:val="nil"/>
              <w:left w:val="single" w:sz="8" w:space="0" w:color="auto"/>
              <w:bottom w:val="single" w:sz="8" w:space="0" w:color="auto"/>
              <w:right w:val="single" w:sz="4" w:space="0" w:color="auto"/>
            </w:tcBorders>
            <w:shd w:val="clear" w:color="auto" w:fill="auto"/>
            <w:noWrap/>
            <w:vAlign w:val="bottom"/>
            <w:hideMark/>
          </w:tcPr>
          <w:p w14:paraId="5778E796" w14:textId="77777777" w:rsidR="00D67C9B" w:rsidRPr="000D728A" w:rsidRDefault="00D67C9B" w:rsidP="00D67C9B">
            <w:pPr>
              <w:spacing w:before="0"/>
              <w:ind w:left="0"/>
              <w:rPr>
                <w:rFonts w:ascii="Calibri" w:hAnsi="Calibri" w:cs="Calibri"/>
                <w:i/>
                <w:iCs/>
                <w:color w:val="000000"/>
                <w:sz w:val="22"/>
                <w:szCs w:val="22"/>
              </w:rPr>
            </w:pPr>
            <w:r w:rsidRPr="000D728A">
              <w:rPr>
                <w:rFonts w:ascii="Calibri" w:hAnsi="Calibri" w:cs="Calibri"/>
                <w:i/>
                <w:iCs/>
                <w:color w:val="000000"/>
                <w:sz w:val="22"/>
                <w:szCs w:val="22"/>
              </w:rPr>
              <w:t>Dance</w:t>
            </w:r>
          </w:p>
        </w:tc>
        <w:tc>
          <w:tcPr>
            <w:tcW w:w="1840" w:type="dxa"/>
            <w:tcBorders>
              <w:top w:val="nil"/>
              <w:left w:val="nil"/>
              <w:bottom w:val="single" w:sz="8" w:space="0" w:color="auto"/>
              <w:right w:val="nil"/>
            </w:tcBorders>
            <w:shd w:val="clear" w:color="auto" w:fill="auto"/>
            <w:noWrap/>
            <w:vAlign w:val="bottom"/>
            <w:hideMark/>
          </w:tcPr>
          <w:p w14:paraId="5778E797"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13.2%</w:t>
            </w:r>
          </w:p>
        </w:tc>
        <w:tc>
          <w:tcPr>
            <w:tcW w:w="2780" w:type="dxa"/>
            <w:tcBorders>
              <w:top w:val="nil"/>
              <w:left w:val="single" w:sz="4" w:space="0" w:color="auto"/>
              <w:bottom w:val="single" w:sz="8" w:space="0" w:color="auto"/>
              <w:right w:val="single" w:sz="8" w:space="0" w:color="auto"/>
            </w:tcBorders>
            <w:shd w:val="clear" w:color="auto" w:fill="auto"/>
            <w:noWrap/>
            <w:vAlign w:val="bottom"/>
            <w:hideMark/>
          </w:tcPr>
          <w:p w14:paraId="5778E798" w14:textId="77777777" w:rsidR="00D67C9B" w:rsidRPr="000D728A" w:rsidRDefault="00D67C9B" w:rsidP="00D67C9B">
            <w:pPr>
              <w:spacing w:before="0"/>
              <w:ind w:left="0"/>
              <w:jc w:val="center"/>
              <w:rPr>
                <w:rFonts w:ascii="Calibri" w:hAnsi="Calibri" w:cs="Calibri"/>
                <w:color w:val="000000"/>
                <w:sz w:val="22"/>
                <w:szCs w:val="22"/>
              </w:rPr>
            </w:pPr>
            <w:r w:rsidRPr="000D728A">
              <w:rPr>
                <w:rFonts w:ascii="Calibri" w:hAnsi="Calibri" w:cs="Calibri"/>
                <w:color w:val="000000"/>
                <w:sz w:val="22"/>
                <w:szCs w:val="22"/>
              </w:rPr>
              <w:t>£52,800</w:t>
            </w:r>
          </w:p>
        </w:tc>
      </w:tr>
    </w:tbl>
    <w:p w14:paraId="5778E79A" w14:textId="77777777" w:rsidR="00B72AB2" w:rsidRPr="000D728A" w:rsidRDefault="00B72AB2" w:rsidP="00B72AB2">
      <w:pPr>
        <w:rPr>
          <w:rFonts w:cs="Arial"/>
          <w:sz w:val="20"/>
        </w:rPr>
      </w:pPr>
      <w:r w:rsidRPr="000D728A">
        <w:rPr>
          <w:rFonts w:cs="Arial"/>
          <w:sz w:val="20"/>
        </w:rPr>
        <w:t>Note: Based on wage premium studies/data from 2003 (not uprated). Values are per person.</w:t>
      </w:r>
    </w:p>
    <w:p w14:paraId="5778E79B" w14:textId="77777777" w:rsidR="00B72AB2" w:rsidRPr="000D728A" w:rsidRDefault="00B72AB2" w:rsidP="00B72AB2">
      <w:pPr>
        <w:rPr>
          <w:rFonts w:cs="Arial"/>
        </w:rPr>
      </w:pPr>
      <w:r w:rsidRPr="000D728A">
        <w:rPr>
          <w:rFonts w:cs="Arial"/>
        </w:rPr>
        <w:t xml:space="preserve"> </w:t>
      </w:r>
    </w:p>
    <w:p w14:paraId="5778E79C" w14:textId="77777777" w:rsidR="00B72AB2" w:rsidRPr="000D728A" w:rsidRDefault="00B72AB2" w:rsidP="00B72AB2">
      <w:pPr>
        <w:rPr>
          <w:rFonts w:cs="Arial"/>
        </w:rPr>
      </w:pPr>
      <w:r w:rsidRPr="000D728A">
        <w:rPr>
          <w:rFonts w:cs="Arial"/>
        </w:rPr>
        <w:t xml:space="preserve">So, for example, participation in music (playing a musical instrument) is associated with an 8.4% increase in the probability of a teenager reporting that he is ‘very likely’ to go on to further education. Assuming that he does </w:t>
      </w:r>
      <w:r w:rsidRPr="000D728A">
        <w:rPr>
          <w:rFonts w:cs="Arial"/>
        </w:rPr>
        <w:lastRenderedPageBreak/>
        <w:t xml:space="preserve">go on to further education and receives a university degree then we can assume that the </w:t>
      </w:r>
      <w:r w:rsidRPr="000D728A">
        <w:rPr>
          <w:rFonts w:cs="Arial"/>
          <w:b/>
        </w:rPr>
        <w:t xml:space="preserve">participation in music is associated with an increase in lifetime earnings of £33,600. </w:t>
      </w:r>
      <w:r w:rsidRPr="000D728A">
        <w:rPr>
          <w:rFonts w:cs="Arial"/>
        </w:rPr>
        <w:t>As discussed, these figures should be seen as an upper limit and we feel that they overstate the gains in lifetime earnings due to the well-observed mismatch between intentions and behaviour we find in most choice domains - it is likely that many of the young adults who report intending to go onto further education will end up not doing so.</w:t>
      </w:r>
    </w:p>
    <w:p w14:paraId="5778E79D" w14:textId="77777777" w:rsidR="00B72AB2" w:rsidRPr="000D728A" w:rsidRDefault="00B72AB2" w:rsidP="00B72AB2">
      <w:pPr>
        <w:rPr>
          <w:rFonts w:cs="Arial"/>
        </w:rPr>
      </w:pPr>
    </w:p>
    <w:p w14:paraId="5778E79E" w14:textId="77777777" w:rsidR="00B72AB2" w:rsidRPr="000D728A" w:rsidRDefault="00B72AB2" w:rsidP="00B72AB2">
      <w:pPr>
        <w:rPr>
          <w:rFonts w:cs="Arial"/>
          <w:b/>
          <w:sz w:val="28"/>
        </w:rPr>
      </w:pPr>
      <w:r w:rsidRPr="000D728A">
        <w:rPr>
          <w:rFonts w:cs="Arial"/>
          <w:b/>
          <w:sz w:val="28"/>
        </w:rPr>
        <w:t>C.3. Employment and economic growth models</w:t>
      </w:r>
    </w:p>
    <w:p w14:paraId="5778E79F" w14:textId="77777777" w:rsidR="00B72AB2" w:rsidRPr="000D728A" w:rsidRDefault="00B72AB2" w:rsidP="00B72AB2">
      <w:pPr>
        <w:rPr>
          <w:rFonts w:cs="Arial"/>
          <w:b/>
          <w:i/>
        </w:rPr>
      </w:pPr>
    </w:p>
    <w:p w14:paraId="5778E7A0" w14:textId="77777777" w:rsidR="00B72AB2" w:rsidRPr="000D728A" w:rsidRDefault="00B72AB2" w:rsidP="00B72AB2">
      <w:pPr>
        <w:rPr>
          <w:rFonts w:cs="Arial"/>
          <w:b/>
        </w:rPr>
      </w:pPr>
      <w:r w:rsidRPr="000D728A">
        <w:rPr>
          <w:rFonts w:cs="Arial"/>
          <w:b/>
        </w:rPr>
        <w:t>C.3.1 Job satisfaction</w:t>
      </w:r>
    </w:p>
    <w:p w14:paraId="5778E7A1" w14:textId="77777777" w:rsidR="00B72AB2" w:rsidRPr="000D728A" w:rsidRDefault="00B72AB2" w:rsidP="00B72AB2">
      <w:pPr>
        <w:rPr>
          <w:rFonts w:cs="Arial"/>
          <w:color w:val="FF0000"/>
        </w:rPr>
      </w:pPr>
      <w:r w:rsidRPr="000D728A">
        <w:rPr>
          <w:rFonts w:cs="Arial"/>
        </w:rPr>
        <w:t>For job satisfaction, when we break down the sports variables we find that participation in team sports is associated with an increase in job satisfaction. There is also a small positive effect of swimming. Among the arts variables, we find that participation in art activities is associated with a 0.06 lower job satisfaction score. This could again be explained by reverse causality if those who are less satisfied at work seek out participation in the arts. Being an audience member at a film event is associated with a 0.06 increase in job satisfaction. As discussed, job satisfaction is a powerful predictor of quit rates in other research (Clark, 2001).</w:t>
      </w:r>
    </w:p>
    <w:p w14:paraId="5778E7A2" w14:textId="77777777" w:rsidR="00B72AB2" w:rsidRPr="000D728A" w:rsidRDefault="00B72AB2" w:rsidP="00B72AB2">
      <w:pPr>
        <w:rPr>
          <w:rFonts w:cs="Arial"/>
          <w:b/>
          <w:color w:val="FF0000"/>
        </w:rPr>
      </w:pPr>
    </w:p>
    <w:p w14:paraId="5778E7A3" w14:textId="77777777" w:rsidR="00B72AB2" w:rsidRPr="000D728A" w:rsidRDefault="00B72AB2" w:rsidP="00B72AB2">
      <w:pPr>
        <w:rPr>
          <w:rFonts w:cs="Arial"/>
          <w:b/>
        </w:rPr>
      </w:pPr>
      <w:r w:rsidRPr="000D728A">
        <w:rPr>
          <w:rFonts w:cs="Arial"/>
          <w:b/>
        </w:rPr>
        <w:t>Distributional impacts</w:t>
      </w:r>
    </w:p>
    <w:p w14:paraId="5778E7A4" w14:textId="77777777" w:rsidR="00B72AB2" w:rsidRPr="000D728A" w:rsidRDefault="00B72AB2" w:rsidP="00B72AB2">
      <w:pPr>
        <w:rPr>
          <w:rFonts w:cs="Arial"/>
          <w:b/>
        </w:rPr>
      </w:pPr>
      <w:r w:rsidRPr="000D728A">
        <w:rPr>
          <w:rFonts w:cs="Arial"/>
        </w:rPr>
        <w:t xml:space="preserve">The effect of playing any sport on job satisfaction depends on income. Playing any sport in the last year and being in the high income group is associated with .09 higher job satisfaction. The main effect of playing any sport is not significant so </w:t>
      </w:r>
      <w:r w:rsidRPr="000D728A">
        <w:rPr>
          <w:rFonts w:cs="Arial"/>
          <w:b/>
        </w:rPr>
        <w:t>it is only among people with high income that playing any sport is associated with higher job satisfaction.</w:t>
      </w:r>
    </w:p>
    <w:p w14:paraId="5778E7A5" w14:textId="77777777" w:rsidR="00B72AB2" w:rsidRPr="000D728A" w:rsidRDefault="00B72AB2" w:rsidP="00B72AB2">
      <w:pPr>
        <w:rPr>
          <w:rFonts w:cs="Arial"/>
          <w:b/>
        </w:rPr>
      </w:pPr>
    </w:p>
    <w:p w14:paraId="5778E7A6" w14:textId="77777777" w:rsidR="00B72AB2" w:rsidRPr="000D728A" w:rsidRDefault="00B72AB2" w:rsidP="00B72AB2">
      <w:pPr>
        <w:rPr>
          <w:rFonts w:cs="Arial"/>
          <w:b/>
        </w:rPr>
      </w:pPr>
      <w:r w:rsidRPr="000D728A">
        <w:rPr>
          <w:rFonts w:cs="Arial"/>
          <w:b/>
        </w:rPr>
        <w:t>Table 13. Effects of culture and sport on job satisfaction</w:t>
      </w:r>
    </w:p>
    <w:tbl>
      <w:tblPr>
        <w:tblW w:w="7286" w:type="dxa"/>
        <w:tblInd w:w="1993" w:type="dxa"/>
        <w:tblLook w:val="04A0" w:firstRow="1" w:lastRow="0" w:firstColumn="1" w:lastColumn="0" w:noHBand="0" w:noVBand="1"/>
      </w:tblPr>
      <w:tblGrid>
        <w:gridCol w:w="2860"/>
        <w:gridCol w:w="1206"/>
        <w:gridCol w:w="960"/>
        <w:gridCol w:w="1200"/>
        <w:gridCol w:w="1060"/>
      </w:tblGrid>
      <w:tr w:rsidR="00A4362F" w:rsidRPr="000D728A" w14:paraId="5778E7AC" w14:textId="77777777" w:rsidTr="00C244CD">
        <w:trPr>
          <w:trHeight w:val="315"/>
        </w:trPr>
        <w:tc>
          <w:tcPr>
            <w:tcW w:w="2860" w:type="dxa"/>
            <w:tcBorders>
              <w:top w:val="single" w:sz="8" w:space="0" w:color="auto"/>
              <w:left w:val="single" w:sz="8" w:space="0" w:color="auto"/>
              <w:bottom w:val="double" w:sz="6" w:space="0" w:color="auto"/>
              <w:right w:val="nil"/>
            </w:tcBorders>
            <w:shd w:val="clear" w:color="000000" w:fill="0070C0"/>
            <w:noWrap/>
            <w:vAlign w:val="bottom"/>
            <w:hideMark/>
          </w:tcPr>
          <w:p w14:paraId="5778E7A7" w14:textId="77777777" w:rsidR="00A4362F" w:rsidRPr="000D728A" w:rsidRDefault="00A4362F" w:rsidP="00A4362F">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Model &amp; variables</w:t>
            </w:r>
          </w:p>
        </w:tc>
        <w:tc>
          <w:tcPr>
            <w:tcW w:w="1206" w:type="dxa"/>
            <w:tcBorders>
              <w:top w:val="single" w:sz="8" w:space="0" w:color="auto"/>
              <w:left w:val="single" w:sz="4" w:space="0" w:color="auto"/>
              <w:bottom w:val="double" w:sz="6" w:space="0" w:color="auto"/>
              <w:right w:val="single" w:sz="4" w:space="0" w:color="auto"/>
            </w:tcBorders>
            <w:shd w:val="clear" w:color="000000" w:fill="0070C0"/>
            <w:noWrap/>
            <w:vAlign w:val="bottom"/>
            <w:hideMark/>
          </w:tcPr>
          <w:p w14:paraId="5778E7A8" w14:textId="77777777" w:rsidR="00A4362F" w:rsidRPr="000D728A" w:rsidRDefault="00A4362F" w:rsidP="00A4362F">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Coefficient</w:t>
            </w:r>
          </w:p>
        </w:tc>
        <w:tc>
          <w:tcPr>
            <w:tcW w:w="960" w:type="dxa"/>
            <w:tcBorders>
              <w:top w:val="single" w:sz="8" w:space="0" w:color="auto"/>
              <w:left w:val="single" w:sz="4" w:space="0" w:color="auto"/>
              <w:bottom w:val="double" w:sz="6" w:space="0" w:color="auto"/>
              <w:right w:val="single" w:sz="4" w:space="0" w:color="auto"/>
            </w:tcBorders>
            <w:shd w:val="clear" w:color="000000" w:fill="0070C0"/>
            <w:noWrap/>
            <w:vAlign w:val="bottom"/>
            <w:hideMark/>
          </w:tcPr>
          <w:p w14:paraId="5778E7A9" w14:textId="77777777" w:rsidR="00A4362F" w:rsidRPr="000D728A" w:rsidRDefault="00A4362F" w:rsidP="00A4362F">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S.E.</w:t>
            </w:r>
          </w:p>
        </w:tc>
        <w:tc>
          <w:tcPr>
            <w:tcW w:w="1200" w:type="dxa"/>
            <w:tcBorders>
              <w:top w:val="single" w:sz="8" w:space="0" w:color="auto"/>
              <w:left w:val="nil"/>
              <w:bottom w:val="double" w:sz="6" w:space="0" w:color="auto"/>
              <w:right w:val="single" w:sz="4" w:space="0" w:color="auto"/>
            </w:tcBorders>
            <w:shd w:val="clear" w:color="000000" w:fill="0070C0"/>
            <w:noWrap/>
            <w:vAlign w:val="bottom"/>
            <w:hideMark/>
          </w:tcPr>
          <w:p w14:paraId="5778E7AA" w14:textId="77777777" w:rsidR="00A4362F" w:rsidRPr="000D728A" w:rsidRDefault="00A4362F" w:rsidP="00A4362F">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Sample size</w:t>
            </w:r>
          </w:p>
        </w:tc>
        <w:tc>
          <w:tcPr>
            <w:tcW w:w="1060" w:type="dxa"/>
            <w:tcBorders>
              <w:top w:val="single" w:sz="8" w:space="0" w:color="auto"/>
              <w:left w:val="nil"/>
              <w:bottom w:val="double" w:sz="6" w:space="0" w:color="auto"/>
              <w:right w:val="single" w:sz="8" w:space="0" w:color="auto"/>
            </w:tcBorders>
            <w:shd w:val="clear" w:color="000000" w:fill="0070C0"/>
            <w:noWrap/>
            <w:vAlign w:val="bottom"/>
            <w:hideMark/>
          </w:tcPr>
          <w:p w14:paraId="5778E7AB" w14:textId="77777777" w:rsidR="00A4362F" w:rsidRPr="000D728A" w:rsidRDefault="00A4362F" w:rsidP="00A4362F">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R-Squared</w:t>
            </w:r>
          </w:p>
        </w:tc>
      </w:tr>
      <w:tr w:rsidR="00A4362F" w:rsidRPr="000D728A" w14:paraId="5778E7B2" w14:textId="77777777" w:rsidTr="00C244CD">
        <w:trPr>
          <w:trHeight w:val="330"/>
        </w:trPr>
        <w:tc>
          <w:tcPr>
            <w:tcW w:w="2860" w:type="dxa"/>
            <w:tcBorders>
              <w:top w:val="single" w:sz="4" w:space="0" w:color="auto"/>
              <w:left w:val="single" w:sz="8" w:space="0" w:color="auto"/>
              <w:bottom w:val="single" w:sz="4" w:space="0" w:color="auto"/>
              <w:right w:val="nil"/>
            </w:tcBorders>
            <w:shd w:val="clear" w:color="000000" w:fill="0070C0"/>
            <w:noWrap/>
            <w:vAlign w:val="bottom"/>
            <w:hideMark/>
          </w:tcPr>
          <w:p w14:paraId="5778E7AD" w14:textId="77777777" w:rsidR="00A4362F" w:rsidRPr="000D728A" w:rsidRDefault="00A4362F" w:rsidP="00A4362F">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Sports</w:t>
            </w:r>
          </w:p>
        </w:tc>
        <w:tc>
          <w:tcPr>
            <w:tcW w:w="1206" w:type="dxa"/>
            <w:tcBorders>
              <w:top w:val="nil"/>
              <w:left w:val="single" w:sz="4" w:space="0" w:color="auto"/>
              <w:bottom w:val="nil"/>
              <w:right w:val="single" w:sz="4" w:space="0" w:color="auto"/>
            </w:tcBorders>
            <w:shd w:val="clear" w:color="000000" w:fill="0070C0"/>
            <w:noWrap/>
            <w:vAlign w:val="bottom"/>
            <w:hideMark/>
          </w:tcPr>
          <w:p w14:paraId="5778E7AE" w14:textId="77777777" w:rsidR="00A4362F" w:rsidRPr="000D728A" w:rsidRDefault="00A4362F" w:rsidP="00A4362F">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 </w:t>
            </w:r>
          </w:p>
        </w:tc>
        <w:tc>
          <w:tcPr>
            <w:tcW w:w="960" w:type="dxa"/>
            <w:tcBorders>
              <w:top w:val="nil"/>
              <w:left w:val="single" w:sz="4" w:space="0" w:color="auto"/>
              <w:bottom w:val="nil"/>
              <w:right w:val="single" w:sz="4" w:space="0" w:color="auto"/>
            </w:tcBorders>
            <w:shd w:val="clear" w:color="000000" w:fill="0070C0"/>
            <w:noWrap/>
            <w:vAlign w:val="bottom"/>
            <w:hideMark/>
          </w:tcPr>
          <w:p w14:paraId="5778E7AF" w14:textId="77777777" w:rsidR="00A4362F" w:rsidRPr="000D728A" w:rsidRDefault="00A4362F" w:rsidP="00A4362F">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 </w:t>
            </w:r>
          </w:p>
        </w:tc>
        <w:tc>
          <w:tcPr>
            <w:tcW w:w="1200" w:type="dxa"/>
            <w:tcBorders>
              <w:top w:val="nil"/>
              <w:left w:val="nil"/>
              <w:bottom w:val="nil"/>
              <w:right w:val="single" w:sz="4" w:space="0" w:color="auto"/>
            </w:tcBorders>
            <w:shd w:val="clear" w:color="000000" w:fill="0070C0"/>
            <w:noWrap/>
            <w:vAlign w:val="bottom"/>
            <w:hideMark/>
          </w:tcPr>
          <w:p w14:paraId="5778E7B0" w14:textId="77777777" w:rsidR="00A4362F" w:rsidRPr="000D728A" w:rsidRDefault="00A4362F" w:rsidP="00A4362F">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 </w:t>
            </w:r>
          </w:p>
        </w:tc>
        <w:tc>
          <w:tcPr>
            <w:tcW w:w="1060" w:type="dxa"/>
            <w:tcBorders>
              <w:top w:val="nil"/>
              <w:left w:val="nil"/>
              <w:bottom w:val="nil"/>
              <w:right w:val="single" w:sz="8" w:space="0" w:color="auto"/>
            </w:tcBorders>
            <w:shd w:val="clear" w:color="000000" w:fill="0070C0"/>
            <w:noWrap/>
            <w:vAlign w:val="bottom"/>
            <w:hideMark/>
          </w:tcPr>
          <w:p w14:paraId="5778E7B1" w14:textId="77777777" w:rsidR="00A4362F" w:rsidRPr="000D728A" w:rsidRDefault="00A4362F" w:rsidP="00A4362F">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 </w:t>
            </w:r>
          </w:p>
        </w:tc>
      </w:tr>
      <w:tr w:rsidR="00A4362F" w:rsidRPr="000D728A" w14:paraId="5778E7B8" w14:textId="77777777" w:rsidTr="00C244CD">
        <w:trPr>
          <w:trHeight w:val="315"/>
        </w:trPr>
        <w:tc>
          <w:tcPr>
            <w:tcW w:w="2860" w:type="dxa"/>
            <w:tcBorders>
              <w:top w:val="nil"/>
              <w:left w:val="single" w:sz="8" w:space="0" w:color="auto"/>
              <w:bottom w:val="nil"/>
              <w:right w:val="nil"/>
            </w:tcBorders>
            <w:shd w:val="clear" w:color="auto" w:fill="auto"/>
            <w:noWrap/>
            <w:vAlign w:val="bottom"/>
            <w:hideMark/>
          </w:tcPr>
          <w:p w14:paraId="5778E7B3" w14:textId="77777777" w:rsidR="00A4362F" w:rsidRPr="000D728A" w:rsidRDefault="00A4362F" w:rsidP="00A4362F">
            <w:pPr>
              <w:spacing w:before="0"/>
              <w:ind w:left="0"/>
              <w:rPr>
                <w:rFonts w:ascii="Calibri" w:hAnsi="Calibri" w:cs="Calibri"/>
                <w:i/>
                <w:iCs/>
                <w:sz w:val="22"/>
                <w:szCs w:val="22"/>
              </w:rPr>
            </w:pPr>
            <w:r w:rsidRPr="000D728A">
              <w:rPr>
                <w:rFonts w:ascii="Calibri" w:hAnsi="Calibri" w:cs="Calibri"/>
                <w:i/>
                <w:iCs/>
                <w:sz w:val="22"/>
                <w:szCs w:val="22"/>
              </w:rPr>
              <w:t>Team sports</w:t>
            </w:r>
          </w:p>
        </w:tc>
        <w:tc>
          <w:tcPr>
            <w:tcW w:w="1206" w:type="dxa"/>
            <w:tcBorders>
              <w:top w:val="double" w:sz="6" w:space="0" w:color="auto"/>
              <w:left w:val="single" w:sz="4" w:space="0" w:color="auto"/>
              <w:bottom w:val="nil"/>
              <w:right w:val="single" w:sz="4" w:space="0" w:color="auto"/>
            </w:tcBorders>
            <w:shd w:val="clear" w:color="auto" w:fill="auto"/>
            <w:noWrap/>
            <w:vAlign w:val="bottom"/>
            <w:hideMark/>
          </w:tcPr>
          <w:p w14:paraId="5778E7B4" w14:textId="77777777" w:rsidR="00A4362F" w:rsidRPr="000D728A" w:rsidRDefault="00A4362F" w:rsidP="00A4362F">
            <w:pPr>
              <w:spacing w:before="0"/>
              <w:ind w:left="0"/>
              <w:rPr>
                <w:rFonts w:ascii="Calibri" w:hAnsi="Calibri" w:cs="Calibri"/>
                <w:sz w:val="22"/>
                <w:szCs w:val="22"/>
              </w:rPr>
            </w:pPr>
            <w:r w:rsidRPr="000D728A">
              <w:rPr>
                <w:rFonts w:ascii="Calibri" w:hAnsi="Calibri" w:cs="Calibri"/>
                <w:sz w:val="22"/>
                <w:szCs w:val="22"/>
              </w:rPr>
              <w:t>0.108***</w:t>
            </w:r>
          </w:p>
        </w:tc>
        <w:tc>
          <w:tcPr>
            <w:tcW w:w="960" w:type="dxa"/>
            <w:tcBorders>
              <w:top w:val="nil"/>
              <w:left w:val="single" w:sz="4" w:space="0" w:color="auto"/>
              <w:bottom w:val="nil"/>
              <w:right w:val="nil"/>
            </w:tcBorders>
            <w:shd w:val="clear" w:color="auto" w:fill="auto"/>
            <w:noWrap/>
            <w:vAlign w:val="bottom"/>
            <w:hideMark/>
          </w:tcPr>
          <w:p w14:paraId="5778E7B5" w14:textId="77777777" w:rsidR="00A4362F" w:rsidRPr="000D728A" w:rsidRDefault="00A4362F" w:rsidP="00A4362F">
            <w:pPr>
              <w:spacing w:before="0"/>
              <w:ind w:left="0"/>
              <w:jc w:val="center"/>
              <w:rPr>
                <w:rFonts w:ascii="Calibri" w:hAnsi="Calibri" w:cs="Calibri"/>
                <w:sz w:val="22"/>
                <w:szCs w:val="22"/>
              </w:rPr>
            </w:pPr>
            <w:r w:rsidRPr="000D728A">
              <w:rPr>
                <w:rFonts w:ascii="Calibri" w:hAnsi="Calibri" w:cs="Calibri"/>
                <w:sz w:val="22"/>
                <w:szCs w:val="22"/>
              </w:rPr>
              <w:t>(0.028)</w:t>
            </w:r>
          </w:p>
        </w:tc>
        <w:tc>
          <w:tcPr>
            <w:tcW w:w="1200" w:type="dxa"/>
            <w:tcBorders>
              <w:top w:val="nil"/>
              <w:left w:val="single" w:sz="4" w:space="0" w:color="auto"/>
              <w:bottom w:val="nil"/>
              <w:right w:val="single" w:sz="4" w:space="0" w:color="auto"/>
            </w:tcBorders>
            <w:shd w:val="clear" w:color="auto" w:fill="auto"/>
            <w:noWrap/>
            <w:vAlign w:val="bottom"/>
            <w:hideMark/>
          </w:tcPr>
          <w:p w14:paraId="5778E7B6" w14:textId="77777777" w:rsidR="00A4362F" w:rsidRPr="000D728A" w:rsidRDefault="00A4362F" w:rsidP="00A4362F">
            <w:pPr>
              <w:spacing w:before="0"/>
              <w:ind w:left="0"/>
              <w:jc w:val="center"/>
              <w:rPr>
                <w:rFonts w:ascii="Calibri" w:hAnsi="Calibri" w:cs="Calibri"/>
                <w:sz w:val="22"/>
                <w:szCs w:val="22"/>
              </w:rPr>
            </w:pPr>
            <w:r w:rsidRPr="000D728A">
              <w:rPr>
                <w:rFonts w:ascii="Calibri" w:hAnsi="Calibri" w:cs="Calibri"/>
                <w:sz w:val="22"/>
                <w:szCs w:val="22"/>
              </w:rPr>
              <w:t>14643</w:t>
            </w:r>
          </w:p>
        </w:tc>
        <w:tc>
          <w:tcPr>
            <w:tcW w:w="1060" w:type="dxa"/>
            <w:tcBorders>
              <w:top w:val="nil"/>
              <w:left w:val="nil"/>
              <w:bottom w:val="nil"/>
              <w:right w:val="single" w:sz="8" w:space="0" w:color="auto"/>
            </w:tcBorders>
            <w:shd w:val="clear" w:color="auto" w:fill="auto"/>
            <w:noWrap/>
            <w:vAlign w:val="bottom"/>
            <w:hideMark/>
          </w:tcPr>
          <w:p w14:paraId="5778E7B7" w14:textId="77777777" w:rsidR="00A4362F" w:rsidRPr="000D728A" w:rsidRDefault="00A4362F" w:rsidP="00A4362F">
            <w:pPr>
              <w:spacing w:before="0"/>
              <w:ind w:left="0"/>
              <w:jc w:val="center"/>
              <w:rPr>
                <w:rFonts w:ascii="Calibri" w:hAnsi="Calibri" w:cs="Calibri"/>
                <w:sz w:val="22"/>
                <w:szCs w:val="22"/>
              </w:rPr>
            </w:pPr>
            <w:r w:rsidRPr="000D728A">
              <w:rPr>
                <w:rFonts w:ascii="Calibri" w:hAnsi="Calibri" w:cs="Calibri"/>
                <w:sz w:val="22"/>
                <w:szCs w:val="22"/>
              </w:rPr>
              <w:t>0.15</w:t>
            </w:r>
          </w:p>
        </w:tc>
      </w:tr>
      <w:tr w:rsidR="00A4362F" w:rsidRPr="000D728A" w14:paraId="5778E7BE" w14:textId="77777777" w:rsidTr="00C244CD">
        <w:trPr>
          <w:trHeight w:val="300"/>
        </w:trPr>
        <w:tc>
          <w:tcPr>
            <w:tcW w:w="2860" w:type="dxa"/>
            <w:tcBorders>
              <w:top w:val="nil"/>
              <w:left w:val="single" w:sz="8" w:space="0" w:color="auto"/>
              <w:bottom w:val="nil"/>
              <w:right w:val="nil"/>
            </w:tcBorders>
            <w:shd w:val="clear" w:color="auto" w:fill="auto"/>
            <w:noWrap/>
            <w:vAlign w:val="bottom"/>
            <w:hideMark/>
          </w:tcPr>
          <w:p w14:paraId="5778E7B9" w14:textId="77777777" w:rsidR="00A4362F" w:rsidRPr="000D728A" w:rsidRDefault="00A4362F" w:rsidP="00A4362F">
            <w:pPr>
              <w:spacing w:before="0"/>
              <w:ind w:left="0"/>
              <w:rPr>
                <w:rFonts w:ascii="Calibri" w:hAnsi="Calibri" w:cs="Calibri"/>
                <w:i/>
                <w:iCs/>
                <w:color w:val="000000"/>
                <w:sz w:val="22"/>
                <w:szCs w:val="22"/>
              </w:rPr>
            </w:pPr>
            <w:r w:rsidRPr="000D728A">
              <w:rPr>
                <w:rFonts w:ascii="Calibri" w:hAnsi="Calibri" w:cs="Calibri"/>
                <w:i/>
                <w:iCs/>
                <w:color w:val="000000"/>
                <w:sz w:val="22"/>
                <w:szCs w:val="22"/>
              </w:rPr>
              <w:t>Swimming</w:t>
            </w:r>
          </w:p>
        </w:tc>
        <w:tc>
          <w:tcPr>
            <w:tcW w:w="1206" w:type="dxa"/>
            <w:tcBorders>
              <w:top w:val="nil"/>
              <w:left w:val="single" w:sz="4" w:space="0" w:color="auto"/>
              <w:bottom w:val="nil"/>
              <w:right w:val="single" w:sz="4" w:space="0" w:color="auto"/>
            </w:tcBorders>
            <w:shd w:val="clear" w:color="auto" w:fill="auto"/>
            <w:noWrap/>
            <w:vAlign w:val="bottom"/>
            <w:hideMark/>
          </w:tcPr>
          <w:p w14:paraId="5778E7BA" w14:textId="77777777" w:rsidR="00A4362F" w:rsidRPr="000D728A" w:rsidRDefault="00A4362F" w:rsidP="00A4362F">
            <w:pPr>
              <w:spacing w:before="0"/>
              <w:ind w:left="0"/>
              <w:rPr>
                <w:rFonts w:ascii="Calibri" w:hAnsi="Calibri" w:cs="Calibri"/>
                <w:sz w:val="22"/>
                <w:szCs w:val="22"/>
              </w:rPr>
            </w:pPr>
            <w:r w:rsidRPr="000D728A">
              <w:rPr>
                <w:rFonts w:ascii="Calibri" w:hAnsi="Calibri" w:cs="Calibri"/>
                <w:sz w:val="22"/>
                <w:szCs w:val="22"/>
              </w:rPr>
              <w:t>0.066**</w:t>
            </w:r>
          </w:p>
        </w:tc>
        <w:tc>
          <w:tcPr>
            <w:tcW w:w="960" w:type="dxa"/>
            <w:tcBorders>
              <w:top w:val="nil"/>
              <w:left w:val="single" w:sz="4" w:space="0" w:color="auto"/>
              <w:bottom w:val="nil"/>
              <w:right w:val="single" w:sz="4" w:space="0" w:color="auto"/>
            </w:tcBorders>
            <w:shd w:val="clear" w:color="auto" w:fill="auto"/>
            <w:noWrap/>
            <w:vAlign w:val="bottom"/>
            <w:hideMark/>
          </w:tcPr>
          <w:p w14:paraId="5778E7BB" w14:textId="77777777" w:rsidR="00A4362F" w:rsidRPr="000D728A" w:rsidRDefault="00A4362F" w:rsidP="00A4362F">
            <w:pPr>
              <w:spacing w:before="0"/>
              <w:ind w:left="0"/>
              <w:jc w:val="center"/>
              <w:rPr>
                <w:rFonts w:ascii="Calibri" w:hAnsi="Calibri" w:cs="Calibri"/>
                <w:sz w:val="22"/>
                <w:szCs w:val="22"/>
              </w:rPr>
            </w:pPr>
            <w:r w:rsidRPr="000D728A">
              <w:rPr>
                <w:rFonts w:ascii="Calibri" w:hAnsi="Calibri" w:cs="Calibri"/>
                <w:sz w:val="22"/>
                <w:szCs w:val="22"/>
              </w:rPr>
              <w:t>(0.023)</w:t>
            </w:r>
          </w:p>
        </w:tc>
        <w:tc>
          <w:tcPr>
            <w:tcW w:w="1200" w:type="dxa"/>
            <w:tcBorders>
              <w:top w:val="nil"/>
              <w:left w:val="nil"/>
              <w:bottom w:val="nil"/>
              <w:right w:val="single" w:sz="4" w:space="0" w:color="auto"/>
            </w:tcBorders>
            <w:shd w:val="clear" w:color="auto" w:fill="auto"/>
            <w:noWrap/>
            <w:vAlign w:val="bottom"/>
            <w:hideMark/>
          </w:tcPr>
          <w:p w14:paraId="5778E7BC" w14:textId="77777777" w:rsidR="00A4362F" w:rsidRPr="000D728A" w:rsidRDefault="00A4362F" w:rsidP="00A4362F">
            <w:pPr>
              <w:spacing w:before="0"/>
              <w:ind w:left="0"/>
              <w:jc w:val="center"/>
              <w:rPr>
                <w:rFonts w:ascii="Calibri" w:hAnsi="Calibri" w:cs="Calibri"/>
                <w:sz w:val="22"/>
                <w:szCs w:val="22"/>
              </w:rPr>
            </w:pPr>
            <w:r w:rsidRPr="000D728A">
              <w:rPr>
                <w:rFonts w:ascii="Calibri" w:hAnsi="Calibri" w:cs="Calibri"/>
                <w:sz w:val="22"/>
                <w:szCs w:val="22"/>
              </w:rPr>
              <w:t>14643</w:t>
            </w:r>
          </w:p>
        </w:tc>
        <w:tc>
          <w:tcPr>
            <w:tcW w:w="1060" w:type="dxa"/>
            <w:tcBorders>
              <w:top w:val="nil"/>
              <w:left w:val="nil"/>
              <w:bottom w:val="nil"/>
              <w:right w:val="single" w:sz="8" w:space="0" w:color="auto"/>
            </w:tcBorders>
            <w:shd w:val="clear" w:color="auto" w:fill="auto"/>
            <w:noWrap/>
            <w:vAlign w:val="bottom"/>
            <w:hideMark/>
          </w:tcPr>
          <w:p w14:paraId="5778E7BD" w14:textId="77777777" w:rsidR="00A4362F" w:rsidRPr="000D728A" w:rsidRDefault="00A4362F" w:rsidP="00A4362F">
            <w:pPr>
              <w:spacing w:before="0"/>
              <w:ind w:left="0"/>
              <w:jc w:val="center"/>
              <w:rPr>
                <w:rFonts w:ascii="Calibri" w:hAnsi="Calibri" w:cs="Calibri"/>
                <w:sz w:val="22"/>
                <w:szCs w:val="22"/>
              </w:rPr>
            </w:pPr>
            <w:r w:rsidRPr="000D728A">
              <w:rPr>
                <w:rFonts w:ascii="Calibri" w:hAnsi="Calibri" w:cs="Calibri"/>
                <w:sz w:val="22"/>
                <w:szCs w:val="22"/>
              </w:rPr>
              <w:t>0.15</w:t>
            </w:r>
          </w:p>
        </w:tc>
      </w:tr>
      <w:tr w:rsidR="00A4362F" w:rsidRPr="000D728A" w14:paraId="5778E7C4" w14:textId="77777777" w:rsidTr="00C244CD">
        <w:trPr>
          <w:trHeight w:val="300"/>
        </w:trPr>
        <w:tc>
          <w:tcPr>
            <w:tcW w:w="2860" w:type="dxa"/>
            <w:tcBorders>
              <w:top w:val="nil"/>
              <w:left w:val="single" w:sz="8" w:space="0" w:color="auto"/>
              <w:bottom w:val="single" w:sz="4" w:space="0" w:color="auto"/>
              <w:right w:val="nil"/>
            </w:tcBorders>
            <w:shd w:val="clear" w:color="000000" w:fill="0070C0"/>
            <w:noWrap/>
            <w:vAlign w:val="bottom"/>
            <w:hideMark/>
          </w:tcPr>
          <w:p w14:paraId="5778E7BF" w14:textId="77777777" w:rsidR="00A4362F" w:rsidRPr="000D728A" w:rsidRDefault="00A4362F" w:rsidP="00A4362F">
            <w:pPr>
              <w:spacing w:before="0"/>
              <w:ind w:left="0"/>
              <w:rPr>
                <w:rFonts w:ascii="Calibri" w:hAnsi="Calibri" w:cs="Calibri"/>
                <w:i/>
                <w:iCs/>
                <w:color w:val="000000"/>
                <w:sz w:val="22"/>
                <w:szCs w:val="22"/>
              </w:rPr>
            </w:pPr>
            <w:r w:rsidRPr="000D728A">
              <w:rPr>
                <w:rFonts w:ascii="Calibri" w:hAnsi="Calibri" w:cs="Calibri"/>
                <w:b/>
                <w:bCs/>
                <w:color w:val="FFFFFF"/>
                <w:sz w:val="22"/>
                <w:szCs w:val="22"/>
              </w:rPr>
              <w:t>Culture</w:t>
            </w:r>
          </w:p>
        </w:tc>
        <w:tc>
          <w:tcPr>
            <w:tcW w:w="1206" w:type="dxa"/>
            <w:tcBorders>
              <w:top w:val="nil"/>
              <w:left w:val="single" w:sz="4" w:space="0" w:color="auto"/>
              <w:bottom w:val="single" w:sz="4" w:space="0" w:color="auto"/>
              <w:right w:val="single" w:sz="4" w:space="0" w:color="auto"/>
            </w:tcBorders>
            <w:shd w:val="clear" w:color="000000" w:fill="0070C0"/>
            <w:noWrap/>
            <w:vAlign w:val="bottom"/>
            <w:hideMark/>
          </w:tcPr>
          <w:p w14:paraId="5778E7C0" w14:textId="77777777" w:rsidR="00A4362F" w:rsidRPr="000D728A" w:rsidRDefault="00A4362F" w:rsidP="00A4362F">
            <w:pPr>
              <w:spacing w:before="0"/>
              <w:ind w:left="0"/>
              <w:rPr>
                <w:rFonts w:ascii="Calibri" w:hAnsi="Calibri" w:cs="Calibri"/>
                <w:sz w:val="22"/>
                <w:szCs w:val="22"/>
              </w:rPr>
            </w:pPr>
            <w:r w:rsidRPr="000D728A">
              <w:rPr>
                <w:rFonts w:ascii="Calibri" w:hAnsi="Calibri" w:cs="Calibri"/>
                <w:color w:val="FFFFFF"/>
                <w:sz w:val="22"/>
                <w:szCs w:val="22"/>
              </w:rPr>
              <w:t> </w:t>
            </w:r>
          </w:p>
        </w:tc>
        <w:tc>
          <w:tcPr>
            <w:tcW w:w="960" w:type="dxa"/>
            <w:tcBorders>
              <w:top w:val="nil"/>
              <w:left w:val="single" w:sz="4" w:space="0" w:color="auto"/>
              <w:bottom w:val="single" w:sz="4" w:space="0" w:color="auto"/>
              <w:right w:val="single" w:sz="4" w:space="0" w:color="auto"/>
            </w:tcBorders>
            <w:shd w:val="clear" w:color="000000" w:fill="0070C0"/>
            <w:noWrap/>
            <w:vAlign w:val="bottom"/>
            <w:hideMark/>
          </w:tcPr>
          <w:p w14:paraId="5778E7C1" w14:textId="77777777" w:rsidR="00A4362F" w:rsidRPr="000D728A" w:rsidRDefault="00A4362F" w:rsidP="00A4362F">
            <w:pPr>
              <w:spacing w:before="0"/>
              <w:ind w:left="0"/>
              <w:jc w:val="center"/>
              <w:rPr>
                <w:rFonts w:ascii="Calibri" w:hAnsi="Calibri" w:cs="Calibri"/>
                <w:sz w:val="22"/>
                <w:szCs w:val="22"/>
              </w:rPr>
            </w:pPr>
            <w:r w:rsidRPr="000D728A">
              <w:rPr>
                <w:rFonts w:ascii="Calibri" w:hAnsi="Calibri" w:cs="Calibri"/>
                <w:color w:val="FFFFFF"/>
                <w:sz w:val="22"/>
                <w:szCs w:val="22"/>
              </w:rPr>
              <w:t> </w:t>
            </w:r>
          </w:p>
        </w:tc>
        <w:tc>
          <w:tcPr>
            <w:tcW w:w="1200" w:type="dxa"/>
            <w:tcBorders>
              <w:top w:val="nil"/>
              <w:left w:val="nil"/>
              <w:bottom w:val="single" w:sz="4" w:space="0" w:color="auto"/>
              <w:right w:val="single" w:sz="4" w:space="0" w:color="auto"/>
            </w:tcBorders>
            <w:shd w:val="clear" w:color="000000" w:fill="0070C0"/>
            <w:noWrap/>
            <w:vAlign w:val="bottom"/>
            <w:hideMark/>
          </w:tcPr>
          <w:p w14:paraId="5778E7C2" w14:textId="77777777" w:rsidR="00A4362F" w:rsidRPr="000D728A" w:rsidRDefault="00A4362F" w:rsidP="00A4362F">
            <w:pPr>
              <w:spacing w:before="0"/>
              <w:ind w:left="0"/>
              <w:jc w:val="center"/>
              <w:rPr>
                <w:rFonts w:ascii="Calibri" w:hAnsi="Calibri" w:cs="Calibri"/>
                <w:sz w:val="22"/>
                <w:szCs w:val="22"/>
              </w:rPr>
            </w:pPr>
            <w:r w:rsidRPr="000D728A">
              <w:rPr>
                <w:rFonts w:ascii="Calibri" w:hAnsi="Calibri" w:cs="Calibri"/>
                <w:color w:val="FFFFFF"/>
                <w:sz w:val="22"/>
                <w:szCs w:val="22"/>
              </w:rPr>
              <w:t> </w:t>
            </w:r>
          </w:p>
        </w:tc>
        <w:tc>
          <w:tcPr>
            <w:tcW w:w="1060" w:type="dxa"/>
            <w:tcBorders>
              <w:top w:val="nil"/>
              <w:left w:val="nil"/>
              <w:bottom w:val="single" w:sz="4" w:space="0" w:color="auto"/>
              <w:right w:val="single" w:sz="8" w:space="0" w:color="auto"/>
            </w:tcBorders>
            <w:shd w:val="clear" w:color="000000" w:fill="0070C0"/>
            <w:noWrap/>
            <w:vAlign w:val="bottom"/>
            <w:hideMark/>
          </w:tcPr>
          <w:p w14:paraId="5778E7C3" w14:textId="77777777" w:rsidR="00A4362F" w:rsidRPr="000D728A" w:rsidRDefault="00A4362F" w:rsidP="00A4362F">
            <w:pPr>
              <w:spacing w:before="0"/>
              <w:ind w:left="0"/>
              <w:jc w:val="center"/>
              <w:rPr>
                <w:rFonts w:ascii="Calibri" w:hAnsi="Calibri" w:cs="Calibri"/>
                <w:sz w:val="22"/>
                <w:szCs w:val="22"/>
              </w:rPr>
            </w:pPr>
            <w:r w:rsidRPr="000D728A">
              <w:rPr>
                <w:rFonts w:ascii="Calibri" w:hAnsi="Calibri" w:cs="Calibri"/>
                <w:color w:val="FFFFFF"/>
                <w:sz w:val="22"/>
                <w:szCs w:val="22"/>
              </w:rPr>
              <w:t> </w:t>
            </w:r>
          </w:p>
        </w:tc>
      </w:tr>
      <w:tr w:rsidR="00A4362F" w:rsidRPr="000D728A" w14:paraId="5778E7CA" w14:textId="77777777" w:rsidTr="00C244CD">
        <w:trPr>
          <w:trHeight w:val="300"/>
        </w:trPr>
        <w:tc>
          <w:tcPr>
            <w:tcW w:w="2860" w:type="dxa"/>
            <w:tcBorders>
              <w:top w:val="nil"/>
              <w:left w:val="single" w:sz="8" w:space="0" w:color="auto"/>
              <w:bottom w:val="nil"/>
              <w:right w:val="nil"/>
            </w:tcBorders>
            <w:shd w:val="clear" w:color="auto" w:fill="auto"/>
            <w:noWrap/>
            <w:vAlign w:val="bottom"/>
            <w:hideMark/>
          </w:tcPr>
          <w:p w14:paraId="5778E7C5" w14:textId="77777777" w:rsidR="00A4362F" w:rsidRPr="000D728A" w:rsidRDefault="00A4362F" w:rsidP="00A4362F">
            <w:pPr>
              <w:spacing w:before="0"/>
              <w:ind w:left="0"/>
              <w:rPr>
                <w:rFonts w:ascii="Calibri" w:hAnsi="Calibri" w:cs="Calibri"/>
                <w:i/>
                <w:iCs/>
                <w:color w:val="000000"/>
                <w:sz w:val="22"/>
                <w:szCs w:val="22"/>
              </w:rPr>
            </w:pPr>
            <w:r w:rsidRPr="000D728A">
              <w:rPr>
                <w:rFonts w:ascii="Calibri" w:hAnsi="Calibri" w:cs="Calibri"/>
                <w:b/>
                <w:bCs/>
                <w:color w:val="000000"/>
                <w:sz w:val="22"/>
                <w:szCs w:val="22"/>
              </w:rPr>
              <w:t>Audience</w:t>
            </w:r>
          </w:p>
        </w:tc>
        <w:tc>
          <w:tcPr>
            <w:tcW w:w="1206" w:type="dxa"/>
            <w:tcBorders>
              <w:top w:val="nil"/>
              <w:left w:val="single" w:sz="4" w:space="0" w:color="auto"/>
              <w:bottom w:val="nil"/>
              <w:right w:val="single" w:sz="4" w:space="0" w:color="auto"/>
            </w:tcBorders>
            <w:shd w:val="clear" w:color="auto" w:fill="auto"/>
            <w:noWrap/>
            <w:vAlign w:val="bottom"/>
            <w:hideMark/>
          </w:tcPr>
          <w:p w14:paraId="5778E7C6" w14:textId="77777777" w:rsidR="00A4362F" w:rsidRPr="000D728A" w:rsidRDefault="00A4362F" w:rsidP="00A4362F">
            <w:pPr>
              <w:spacing w:before="0"/>
              <w:ind w:left="0"/>
              <w:rPr>
                <w:rFonts w:ascii="Calibri" w:hAnsi="Calibri" w:cs="Calibri"/>
                <w:sz w:val="22"/>
                <w:szCs w:val="22"/>
              </w:rPr>
            </w:pPr>
            <w:r w:rsidRPr="000D728A">
              <w:rPr>
                <w:rFonts w:ascii="Calibri" w:hAnsi="Calibri" w:cs="Calibri"/>
                <w:color w:val="000000"/>
                <w:sz w:val="22"/>
                <w:szCs w:val="22"/>
              </w:rPr>
              <w:t> </w:t>
            </w:r>
          </w:p>
        </w:tc>
        <w:tc>
          <w:tcPr>
            <w:tcW w:w="960" w:type="dxa"/>
            <w:tcBorders>
              <w:top w:val="nil"/>
              <w:left w:val="single" w:sz="4" w:space="0" w:color="auto"/>
              <w:bottom w:val="nil"/>
              <w:right w:val="single" w:sz="4" w:space="0" w:color="auto"/>
            </w:tcBorders>
            <w:shd w:val="clear" w:color="auto" w:fill="auto"/>
            <w:noWrap/>
            <w:vAlign w:val="bottom"/>
            <w:hideMark/>
          </w:tcPr>
          <w:p w14:paraId="5778E7C7" w14:textId="77777777" w:rsidR="00A4362F" w:rsidRPr="000D728A" w:rsidRDefault="00A4362F" w:rsidP="00A4362F">
            <w:pPr>
              <w:spacing w:before="0"/>
              <w:ind w:left="0"/>
              <w:jc w:val="center"/>
              <w:rPr>
                <w:rFonts w:ascii="Calibri" w:hAnsi="Calibri" w:cs="Calibri"/>
                <w:sz w:val="22"/>
                <w:szCs w:val="22"/>
              </w:rPr>
            </w:pPr>
            <w:r w:rsidRPr="000D728A">
              <w:rPr>
                <w:rFonts w:ascii="Calibri" w:hAnsi="Calibri" w:cs="Calibri"/>
                <w:color w:val="000000"/>
                <w:sz w:val="22"/>
                <w:szCs w:val="22"/>
              </w:rPr>
              <w:t> </w:t>
            </w:r>
          </w:p>
        </w:tc>
        <w:tc>
          <w:tcPr>
            <w:tcW w:w="1200" w:type="dxa"/>
            <w:tcBorders>
              <w:top w:val="nil"/>
              <w:left w:val="nil"/>
              <w:bottom w:val="nil"/>
              <w:right w:val="single" w:sz="4" w:space="0" w:color="auto"/>
            </w:tcBorders>
            <w:shd w:val="clear" w:color="auto" w:fill="auto"/>
            <w:noWrap/>
            <w:vAlign w:val="bottom"/>
            <w:hideMark/>
          </w:tcPr>
          <w:p w14:paraId="5778E7C8" w14:textId="77777777" w:rsidR="00A4362F" w:rsidRPr="000D728A" w:rsidRDefault="00A4362F" w:rsidP="00A4362F">
            <w:pPr>
              <w:spacing w:before="0"/>
              <w:ind w:left="0"/>
              <w:jc w:val="center"/>
              <w:rPr>
                <w:rFonts w:ascii="Calibri" w:hAnsi="Calibri" w:cs="Calibri"/>
                <w:sz w:val="22"/>
                <w:szCs w:val="22"/>
              </w:rPr>
            </w:pPr>
            <w:r w:rsidRPr="000D728A">
              <w:rPr>
                <w:rFonts w:ascii="Calibri" w:hAnsi="Calibri" w:cs="Calibri"/>
                <w:color w:val="000000"/>
                <w:sz w:val="22"/>
                <w:szCs w:val="22"/>
              </w:rPr>
              <w:t> </w:t>
            </w:r>
          </w:p>
        </w:tc>
        <w:tc>
          <w:tcPr>
            <w:tcW w:w="1060" w:type="dxa"/>
            <w:tcBorders>
              <w:top w:val="nil"/>
              <w:left w:val="nil"/>
              <w:bottom w:val="nil"/>
              <w:right w:val="single" w:sz="8" w:space="0" w:color="auto"/>
            </w:tcBorders>
            <w:shd w:val="clear" w:color="auto" w:fill="auto"/>
            <w:noWrap/>
            <w:vAlign w:val="bottom"/>
            <w:hideMark/>
          </w:tcPr>
          <w:p w14:paraId="5778E7C9" w14:textId="77777777" w:rsidR="00A4362F" w:rsidRPr="000D728A" w:rsidRDefault="00A4362F" w:rsidP="00A4362F">
            <w:pPr>
              <w:spacing w:before="0"/>
              <w:ind w:left="0"/>
              <w:jc w:val="center"/>
              <w:rPr>
                <w:rFonts w:ascii="Calibri" w:hAnsi="Calibri" w:cs="Calibri"/>
                <w:sz w:val="22"/>
                <w:szCs w:val="22"/>
              </w:rPr>
            </w:pPr>
            <w:r w:rsidRPr="000D728A">
              <w:rPr>
                <w:rFonts w:ascii="Calibri" w:hAnsi="Calibri" w:cs="Calibri"/>
                <w:color w:val="000000"/>
                <w:sz w:val="22"/>
                <w:szCs w:val="22"/>
              </w:rPr>
              <w:t> </w:t>
            </w:r>
          </w:p>
        </w:tc>
      </w:tr>
      <w:tr w:rsidR="00A4362F" w:rsidRPr="000D728A" w14:paraId="5778E7D0" w14:textId="77777777" w:rsidTr="00C244CD">
        <w:trPr>
          <w:trHeight w:val="300"/>
        </w:trPr>
        <w:tc>
          <w:tcPr>
            <w:tcW w:w="2860" w:type="dxa"/>
            <w:tcBorders>
              <w:top w:val="nil"/>
              <w:left w:val="single" w:sz="8" w:space="0" w:color="auto"/>
              <w:bottom w:val="nil"/>
              <w:right w:val="nil"/>
            </w:tcBorders>
            <w:shd w:val="clear" w:color="auto" w:fill="auto"/>
            <w:noWrap/>
            <w:vAlign w:val="bottom"/>
            <w:hideMark/>
          </w:tcPr>
          <w:p w14:paraId="5778E7CB" w14:textId="77777777" w:rsidR="00A4362F" w:rsidRPr="000D728A" w:rsidRDefault="00A4362F" w:rsidP="00A4362F">
            <w:pPr>
              <w:spacing w:before="0"/>
              <w:ind w:left="0"/>
              <w:rPr>
                <w:rFonts w:ascii="Calibri" w:hAnsi="Calibri" w:cs="Calibri"/>
                <w:i/>
                <w:iCs/>
                <w:color w:val="000000"/>
                <w:sz w:val="22"/>
                <w:szCs w:val="22"/>
              </w:rPr>
            </w:pPr>
            <w:r w:rsidRPr="000D728A">
              <w:rPr>
                <w:rFonts w:ascii="Calibri" w:hAnsi="Calibri" w:cs="Calibri"/>
                <w:i/>
                <w:iCs/>
                <w:color w:val="000000"/>
                <w:sz w:val="22"/>
                <w:szCs w:val="22"/>
              </w:rPr>
              <w:t>Film</w:t>
            </w:r>
          </w:p>
        </w:tc>
        <w:tc>
          <w:tcPr>
            <w:tcW w:w="1206" w:type="dxa"/>
            <w:tcBorders>
              <w:top w:val="nil"/>
              <w:left w:val="single" w:sz="4" w:space="0" w:color="auto"/>
              <w:bottom w:val="nil"/>
              <w:right w:val="single" w:sz="4" w:space="0" w:color="auto"/>
            </w:tcBorders>
            <w:shd w:val="clear" w:color="auto" w:fill="auto"/>
            <w:noWrap/>
            <w:vAlign w:val="bottom"/>
            <w:hideMark/>
          </w:tcPr>
          <w:p w14:paraId="5778E7CC" w14:textId="77777777" w:rsidR="00A4362F" w:rsidRPr="000D728A" w:rsidRDefault="00A4362F" w:rsidP="00A4362F">
            <w:pPr>
              <w:spacing w:before="0"/>
              <w:ind w:left="0"/>
              <w:rPr>
                <w:rFonts w:ascii="Calibri" w:hAnsi="Calibri" w:cs="Calibri"/>
                <w:sz w:val="22"/>
                <w:szCs w:val="22"/>
              </w:rPr>
            </w:pPr>
            <w:r w:rsidRPr="000D728A">
              <w:rPr>
                <w:rFonts w:ascii="Calibri" w:hAnsi="Calibri" w:cs="Calibri"/>
                <w:color w:val="000000"/>
                <w:sz w:val="22"/>
                <w:szCs w:val="22"/>
              </w:rPr>
              <w:t>0.058**</w:t>
            </w:r>
          </w:p>
        </w:tc>
        <w:tc>
          <w:tcPr>
            <w:tcW w:w="960" w:type="dxa"/>
            <w:tcBorders>
              <w:top w:val="nil"/>
              <w:left w:val="single" w:sz="4" w:space="0" w:color="auto"/>
              <w:bottom w:val="nil"/>
              <w:right w:val="single" w:sz="4" w:space="0" w:color="auto"/>
            </w:tcBorders>
            <w:shd w:val="clear" w:color="auto" w:fill="auto"/>
            <w:noWrap/>
            <w:vAlign w:val="bottom"/>
            <w:hideMark/>
          </w:tcPr>
          <w:p w14:paraId="5778E7CD" w14:textId="77777777" w:rsidR="00A4362F" w:rsidRPr="000D728A" w:rsidRDefault="00A4362F" w:rsidP="00A4362F">
            <w:pPr>
              <w:spacing w:before="0"/>
              <w:ind w:left="0"/>
              <w:jc w:val="center"/>
              <w:rPr>
                <w:rFonts w:ascii="Calibri" w:hAnsi="Calibri" w:cs="Calibri"/>
                <w:sz w:val="22"/>
                <w:szCs w:val="22"/>
              </w:rPr>
            </w:pPr>
            <w:r w:rsidRPr="000D728A">
              <w:rPr>
                <w:rFonts w:ascii="Calibri" w:hAnsi="Calibri" w:cs="Calibri"/>
                <w:color w:val="000000"/>
                <w:sz w:val="22"/>
                <w:szCs w:val="22"/>
              </w:rPr>
              <w:t>(0.029)</w:t>
            </w:r>
          </w:p>
        </w:tc>
        <w:tc>
          <w:tcPr>
            <w:tcW w:w="1200" w:type="dxa"/>
            <w:tcBorders>
              <w:top w:val="nil"/>
              <w:left w:val="nil"/>
              <w:bottom w:val="nil"/>
              <w:right w:val="single" w:sz="4" w:space="0" w:color="auto"/>
            </w:tcBorders>
            <w:shd w:val="clear" w:color="auto" w:fill="auto"/>
            <w:noWrap/>
            <w:vAlign w:val="bottom"/>
            <w:hideMark/>
          </w:tcPr>
          <w:p w14:paraId="5778E7CE" w14:textId="77777777" w:rsidR="00A4362F" w:rsidRPr="000D728A" w:rsidRDefault="00A4362F" w:rsidP="00A4362F">
            <w:pPr>
              <w:spacing w:before="0"/>
              <w:ind w:left="0"/>
              <w:jc w:val="center"/>
              <w:rPr>
                <w:rFonts w:ascii="Calibri" w:hAnsi="Calibri" w:cs="Calibri"/>
                <w:sz w:val="22"/>
                <w:szCs w:val="22"/>
              </w:rPr>
            </w:pPr>
            <w:r w:rsidRPr="000D728A">
              <w:rPr>
                <w:rFonts w:ascii="Calibri" w:hAnsi="Calibri" w:cs="Calibri"/>
                <w:color w:val="000000"/>
                <w:sz w:val="22"/>
                <w:szCs w:val="22"/>
              </w:rPr>
              <w:t>14642</w:t>
            </w:r>
          </w:p>
        </w:tc>
        <w:tc>
          <w:tcPr>
            <w:tcW w:w="1060" w:type="dxa"/>
            <w:tcBorders>
              <w:top w:val="nil"/>
              <w:left w:val="nil"/>
              <w:bottom w:val="nil"/>
              <w:right w:val="single" w:sz="8" w:space="0" w:color="auto"/>
            </w:tcBorders>
            <w:shd w:val="clear" w:color="auto" w:fill="auto"/>
            <w:noWrap/>
            <w:vAlign w:val="bottom"/>
            <w:hideMark/>
          </w:tcPr>
          <w:p w14:paraId="5778E7CF" w14:textId="77777777" w:rsidR="00A4362F" w:rsidRPr="000D728A" w:rsidRDefault="00A4362F" w:rsidP="00A4362F">
            <w:pPr>
              <w:spacing w:before="0"/>
              <w:ind w:left="0"/>
              <w:jc w:val="center"/>
              <w:rPr>
                <w:rFonts w:ascii="Calibri" w:hAnsi="Calibri" w:cs="Calibri"/>
                <w:sz w:val="22"/>
                <w:szCs w:val="22"/>
              </w:rPr>
            </w:pPr>
            <w:r w:rsidRPr="000D728A">
              <w:rPr>
                <w:rFonts w:ascii="Calibri" w:hAnsi="Calibri" w:cs="Calibri"/>
                <w:color w:val="000000"/>
                <w:sz w:val="22"/>
                <w:szCs w:val="22"/>
              </w:rPr>
              <w:t>0.151</w:t>
            </w:r>
          </w:p>
        </w:tc>
      </w:tr>
      <w:tr w:rsidR="00A4362F" w:rsidRPr="000D728A" w14:paraId="5778E7D6" w14:textId="77777777" w:rsidTr="00C244CD">
        <w:trPr>
          <w:trHeight w:val="300"/>
        </w:trPr>
        <w:tc>
          <w:tcPr>
            <w:tcW w:w="2860" w:type="dxa"/>
            <w:tcBorders>
              <w:top w:val="nil"/>
              <w:left w:val="single" w:sz="8" w:space="0" w:color="auto"/>
              <w:bottom w:val="nil"/>
              <w:right w:val="nil"/>
            </w:tcBorders>
            <w:shd w:val="clear" w:color="auto" w:fill="auto"/>
            <w:noWrap/>
            <w:vAlign w:val="bottom"/>
            <w:hideMark/>
          </w:tcPr>
          <w:p w14:paraId="5778E7D1" w14:textId="77777777" w:rsidR="00A4362F" w:rsidRPr="000D728A" w:rsidRDefault="00A4362F" w:rsidP="00A4362F">
            <w:pPr>
              <w:spacing w:before="0"/>
              <w:ind w:left="0"/>
              <w:rPr>
                <w:rFonts w:ascii="Calibri" w:hAnsi="Calibri" w:cs="Calibri"/>
                <w:i/>
                <w:iCs/>
                <w:color w:val="000000"/>
                <w:sz w:val="22"/>
                <w:szCs w:val="22"/>
              </w:rPr>
            </w:pPr>
            <w:r w:rsidRPr="000D728A">
              <w:rPr>
                <w:rFonts w:ascii="Calibri" w:hAnsi="Calibri" w:cs="Calibri"/>
                <w:b/>
                <w:bCs/>
                <w:color w:val="000000"/>
                <w:sz w:val="22"/>
                <w:szCs w:val="22"/>
              </w:rPr>
              <w:t>Participation</w:t>
            </w:r>
          </w:p>
        </w:tc>
        <w:tc>
          <w:tcPr>
            <w:tcW w:w="1206" w:type="dxa"/>
            <w:tcBorders>
              <w:top w:val="nil"/>
              <w:left w:val="single" w:sz="4" w:space="0" w:color="auto"/>
              <w:bottom w:val="nil"/>
              <w:right w:val="single" w:sz="4" w:space="0" w:color="auto"/>
            </w:tcBorders>
            <w:shd w:val="clear" w:color="auto" w:fill="auto"/>
            <w:noWrap/>
            <w:vAlign w:val="bottom"/>
            <w:hideMark/>
          </w:tcPr>
          <w:p w14:paraId="5778E7D2" w14:textId="77777777" w:rsidR="00A4362F" w:rsidRPr="000D728A" w:rsidRDefault="00A4362F" w:rsidP="00A4362F">
            <w:pPr>
              <w:spacing w:before="0"/>
              <w:ind w:left="0"/>
              <w:rPr>
                <w:rFonts w:ascii="Calibri" w:hAnsi="Calibri" w:cs="Calibri"/>
                <w:color w:val="000000"/>
                <w:sz w:val="22"/>
                <w:szCs w:val="22"/>
              </w:rPr>
            </w:pPr>
            <w:r w:rsidRPr="000D728A">
              <w:rPr>
                <w:rFonts w:ascii="Calibri" w:hAnsi="Calibri" w:cs="Calibri"/>
                <w:color w:val="000000"/>
                <w:sz w:val="22"/>
                <w:szCs w:val="22"/>
              </w:rPr>
              <w:t> </w:t>
            </w:r>
          </w:p>
        </w:tc>
        <w:tc>
          <w:tcPr>
            <w:tcW w:w="960" w:type="dxa"/>
            <w:tcBorders>
              <w:top w:val="nil"/>
              <w:left w:val="single" w:sz="4" w:space="0" w:color="auto"/>
              <w:bottom w:val="nil"/>
              <w:right w:val="single" w:sz="4" w:space="0" w:color="auto"/>
            </w:tcBorders>
            <w:shd w:val="clear" w:color="auto" w:fill="auto"/>
            <w:noWrap/>
            <w:vAlign w:val="bottom"/>
            <w:hideMark/>
          </w:tcPr>
          <w:p w14:paraId="5778E7D3" w14:textId="77777777" w:rsidR="00A4362F" w:rsidRPr="000D728A" w:rsidRDefault="00A4362F" w:rsidP="00A4362F">
            <w:pPr>
              <w:spacing w:before="0"/>
              <w:ind w:left="0"/>
              <w:jc w:val="center"/>
              <w:rPr>
                <w:rFonts w:ascii="Calibri" w:hAnsi="Calibri" w:cs="Calibri"/>
                <w:color w:val="000000"/>
                <w:sz w:val="22"/>
                <w:szCs w:val="22"/>
              </w:rPr>
            </w:pPr>
            <w:r w:rsidRPr="000D728A">
              <w:rPr>
                <w:rFonts w:ascii="Calibri" w:hAnsi="Calibri" w:cs="Calibri"/>
                <w:color w:val="000000"/>
                <w:sz w:val="22"/>
                <w:szCs w:val="22"/>
              </w:rPr>
              <w:t> </w:t>
            </w:r>
          </w:p>
        </w:tc>
        <w:tc>
          <w:tcPr>
            <w:tcW w:w="1200" w:type="dxa"/>
            <w:tcBorders>
              <w:top w:val="nil"/>
              <w:left w:val="nil"/>
              <w:bottom w:val="nil"/>
              <w:right w:val="single" w:sz="4" w:space="0" w:color="auto"/>
            </w:tcBorders>
            <w:shd w:val="clear" w:color="auto" w:fill="auto"/>
            <w:noWrap/>
            <w:vAlign w:val="bottom"/>
            <w:hideMark/>
          </w:tcPr>
          <w:p w14:paraId="5778E7D4" w14:textId="77777777" w:rsidR="00A4362F" w:rsidRPr="000D728A" w:rsidRDefault="00A4362F" w:rsidP="00A4362F">
            <w:pPr>
              <w:spacing w:before="0"/>
              <w:ind w:left="0"/>
              <w:jc w:val="center"/>
              <w:rPr>
                <w:rFonts w:ascii="Calibri" w:hAnsi="Calibri" w:cs="Calibri"/>
                <w:color w:val="000000"/>
                <w:sz w:val="22"/>
                <w:szCs w:val="22"/>
              </w:rPr>
            </w:pPr>
            <w:r w:rsidRPr="000D728A">
              <w:rPr>
                <w:rFonts w:ascii="Calibri" w:hAnsi="Calibri" w:cs="Calibri"/>
                <w:color w:val="000000"/>
                <w:sz w:val="22"/>
                <w:szCs w:val="22"/>
              </w:rPr>
              <w:t> </w:t>
            </w:r>
          </w:p>
        </w:tc>
        <w:tc>
          <w:tcPr>
            <w:tcW w:w="1060" w:type="dxa"/>
            <w:tcBorders>
              <w:top w:val="nil"/>
              <w:left w:val="nil"/>
              <w:bottom w:val="nil"/>
              <w:right w:val="single" w:sz="8" w:space="0" w:color="auto"/>
            </w:tcBorders>
            <w:shd w:val="clear" w:color="auto" w:fill="auto"/>
            <w:noWrap/>
            <w:vAlign w:val="bottom"/>
            <w:hideMark/>
          </w:tcPr>
          <w:p w14:paraId="5778E7D5" w14:textId="77777777" w:rsidR="00A4362F" w:rsidRPr="000D728A" w:rsidRDefault="00A4362F" w:rsidP="00A4362F">
            <w:pPr>
              <w:spacing w:before="0"/>
              <w:ind w:left="0"/>
              <w:jc w:val="center"/>
              <w:rPr>
                <w:rFonts w:ascii="Calibri" w:hAnsi="Calibri" w:cs="Calibri"/>
                <w:color w:val="000000"/>
                <w:sz w:val="22"/>
                <w:szCs w:val="22"/>
              </w:rPr>
            </w:pPr>
            <w:r w:rsidRPr="000D728A">
              <w:rPr>
                <w:rFonts w:ascii="Calibri" w:hAnsi="Calibri" w:cs="Calibri"/>
                <w:color w:val="000000"/>
                <w:sz w:val="22"/>
                <w:szCs w:val="22"/>
              </w:rPr>
              <w:t> </w:t>
            </w:r>
          </w:p>
        </w:tc>
      </w:tr>
      <w:tr w:rsidR="00A4362F" w:rsidRPr="000D728A" w14:paraId="5778E7DC" w14:textId="77777777" w:rsidTr="00C244CD">
        <w:trPr>
          <w:trHeight w:val="300"/>
        </w:trPr>
        <w:tc>
          <w:tcPr>
            <w:tcW w:w="2860" w:type="dxa"/>
            <w:tcBorders>
              <w:top w:val="nil"/>
              <w:left w:val="single" w:sz="8" w:space="0" w:color="auto"/>
              <w:bottom w:val="single" w:sz="8" w:space="0" w:color="auto"/>
              <w:right w:val="nil"/>
            </w:tcBorders>
            <w:shd w:val="clear" w:color="auto" w:fill="auto"/>
            <w:noWrap/>
            <w:vAlign w:val="bottom"/>
            <w:hideMark/>
          </w:tcPr>
          <w:p w14:paraId="5778E7D7" w14:textId="77777777" w:rsidR="00A4362F" w:rsidRPr="000D728A" w:rsidRDefault="00A4362F" w:rsidP="00A4362F">
            <w:pPr>
              <w:spacing w:before="0"/>
              <w:ind w:left="0"/>
              <w:rPr>
                <w:rFonts w:ascii="Calibri" w:hAnsi="Calibri" w:cs="Calibri"/>
                <w:b/>
                <w:bCs/>
                <w:color w:val="000000"/>
                <w:sz w:val="22"/>
                <w:szCs w:val="22"/>
              </w:rPr>
            </w:pPr>
            <w:r w:rsidRPr="000D728A">
              <w:rPr>
                <w:rFonts w:ascii="Calibri" w:hAnsi="Calibri" w:cs="Calibri"/>
                <w:i/>
                <w:iCs/>
                <w:color w:val="000000"/>
                <w:sz w:val="22"/>
                <w:szCs w:val="22"/>
              </w:rPr>
              <w:t>Art</w:t>
            </w:r>
          </w:p>
        </w:tc>
        <w:tc>
          <w:tcPr>
            <w:tcW w:w="1206" w:type="dxa"/>
            <w:tcBorders>
              <w:top w:val="nil"/>
              <w:left w:val="single" w:sz="4" w:space="0" w:color="auto"/>
              <w:bottom w:val="single" w:sz="8" w:space="0" w:color="auto"/>
              <w:right w:val="single" w:sz="4" w:space="0" w:color="auto"/>
            </w:tcBorders>
            <w:shd w:val="clear" w:color="auto" w:fill="auto"/>
            <w:noWrap/>
            <w:vAlign w:val="bottom"/>
            <w:hideMark/>
          </w:tcPr>
          <w:p w14:paraId="5778E7D8" w14:textId="77777777" w:rsidR="00A4362F" w:rsidRPr="000D728A" w:rsidRDefault="00A4362F" w:rsidP="00A4362F">
            <w:pPr>
              <w:spacing w:before="0"/>
              <w:ind w:left="0"/>
              <w:rPr>
                <w:rFonts w:ascii="Calibri" w:hAnsi="Calibri" w:cs="Calibri"/>
                <w:color w:val="000000"/>
                <w:sz w:val="22"/>
                <w:szCs w:val="22"/>
              </w:rPr>
            </w:pPr>
            <w:r w:rsidRPr="000D728A">
              <w:rPr>
                <w:rFonts w:ascii="Calibri" w:hAnsi="Calibri" w:cs="Calibri"/>
                <w:color w:val="000000"/>
                <w:sz w:val="22"/>
                <w:szCs w:val="22"/>
              </w:rPr>
              <w:t>-0.061**</w:t>
            </w:r>
          </w:p>
        </w:tc>
        <w:tc>
          <w:tcPr>
            <w:tcW w:w="960" w:type="dxa"/>
            <w:tcBorders>
              <w:top w:val="nil"/>
              <w:left w:val="single" w:sz="4" w:space="0" w:color="auto"/>
              <w:bottom w:val="single" w:sz="8" w:space="0" w:color="auto"/>
              <w:right w:val="single" w:sz="4" w:space="0" w:color="auto"/>
            </w:tcBorders>
            <w:shd w:val="clear" w:color="auto" w:fill="auto"/>
            <w:noWrap/>
            <w:vAlign w:val="bottom"/>
            <w:hideMark/>
          </w:tcPr>
          <w:p w14:paraId="5778E7D9" w14:textId="77777777" w:rsidR="00A4362F" w:rsidRPr="000D728A" w:rsidRDefault="00A4362F" w:rsidP="00A4362F">
            <w:pPr>
              <w:spacing w:before="0"/>
              <w:ind w:left="0"/>
              <w:jc w:val="center"/>
              <w:rPr>
                <w:rFonts w:ascii="Calibri" w:hAnsi="Calibri" w:cs="Calibri"/>
                <w:color w:val="000000"/>
                <w:sz w:val="22"/>
                <w:szCs w:val="22"/>
              </w:rPr>
            </w:pPr>
            <w:r w:rsidRPr="000D728A">
              <w:rPr>
                <w:rFonts w:ascii="Calibri" w:hAnsi="Calibri" w:cs="Calibri"/>
                <w:color w:val="000000"/>
                <w:sz w:val="22"/>
                <w:szCs w:val="22"/>
              </w:rPr>
              <w:t>(0.026)</w:t>
            </w:r>
          </w:p>
        </w:tc>
        <w:tc>
          <w:tcPr>
            <w:tcW w:w="1200" w:type="dxa"/>
            <w:tcBorders>
              <w:top w:val="nil"/>
              <w:left w:val="nil"/>
              <w:bottom w:val="single" w:sz="8" w:space="0" w:color="auto"/>
              <w:right w:val="single" w:sz="4" w:space="0" w:color="auto"/>
            </w:tcBorders>
            <w:shd w:val="clear" w:color="auto" w:fill="auto"/>
            <w:noWrap/>
            <w:vAlign w:val="bottom"/>
            <w:hideMark/>
          </w:tcPr>
          <w:p w14:paraId="5778E7DA" w14:textId="77777777" w:rsidR="00A4362F" w:rsidRPr="000D728A" w:rsidRDefault="00A4362F" w:rsidP="00A4362F">
            <w:pPr>
              <w:spacing w:before="0"/>
              <w:ind w:left="0"/>
              <w:jc w:val="center"/>
              <w:rPr>
                <w:rFonts w:ascii="Calibri" w:hAnsi="Calibri" w:cs="Calibri"/>
                <w:color w:val="000000"/>
                <w:sz w:val="22"/>
                <w:szCs w:val="22"/>
              </w:rPr>
            </w:pPr>
            <w:r w:rsidRPr="000D728A">
              <w:rPr>
                <w:rFonts w:ascii="Calibri" w:hAnsi="Calibri" w:cs="Calibri"/>
                <w:color w:val="000000"/>
                <w:sz w:val="22"/>
                <w:szCs w:val="22"/>
              </w:rPr>
              <w:t>14642</w:t>
            </w:r>
          </w:p>
        </w:tc>
        <w:tc>
          <w:tcPr>
            <w:tcW w:w="1060" w:type="dxa"/>
            <w:tcBorders>
              <w:top w:val="nil"/>
              <w:left w:val="nil"/>
              <w:bottom w:val="single" w:sz="8" w:space="0" w:color="auto"/>
              <w:right w:val="single" w:sz="8" w:space="0" w:color="auto"/>
            </w:tcBorders>
            <w:shd w:val="clear" w:color="auto" w:fill="auto"/>
            <w:noWrap/>
            <w:vAlign w:val="bottom"/>
            <w:hideMark/>
          </w:tcPr>
          <w:p w14:paraId="5778E7DB" w14:textId="77777777" w:rsidR="00A4362F" w:rsidRPr="000D728A" w:rsidRDefault="00A4362F" w:rsidP="00A4362F">
            <w:pPr>
              <w:spacing w:before="0"/>
              <w:ind w:left="0"/>
              <w:jc w:val="center"/>
              <w:rPr>
                <w:rFonts w:ascii="Calibri" w:hAnsi="Calibri" w:cs="Calibri"/>
                <w:color w:val="000000"/>
                <w:sz w:val="22"/>
                <w:szCs w:val="22"/>
              </w:rPr>
            </w:pPr>
            <w:r w:rsidRPr="000D728A">
              <w:rPr>
                <w:rFonts w:ascii="Calibri" w:hAnsi="Calibri" w:cs="Calibri"/>
                <w:color w:val="000000"/>
                <w:sz w:val="22"/>
                <w:szCs w:val="22"/>
              </w:rPr>
              <w:t>0.151</w:t>
            </w:r>
          </w:p>
        </w:tc>
      </w:tr>
    </w:tbl>
    <w:p w14:paraId="5778E7DD" w14:textId="77777777" w:rsidR="00B72AB2" w:rsidRPr="000D728A" w:rsidRDefault="00B72AB2" w:rsidP="00A4362F">
      <w:pPr>
        <w:rPr>
          <w:rFonts w:cs="Arial"/>
        </w:rPr>
      </w:pPr>
      <w:r w:rsidRPr="000D728A">
        <w:rPr>
          <w:rFonts w:cs="Arial"/>
          <w:sz w:val="18"/>
          <w:szCs w:val="18"/>
        </w:rPr>
        <w:t xml:space="preserve">Notes: OLS model. *** 0.01 significance level, ** 0.05 significance level. S.E. = Standard errors (in parentheses). R-Squared = </w:t>
      </w:r>
      <w:r w:rsidRPr="000D728A">
        <w:rPr>
          <w:rFonts w:cs="Arial"/>
          <w:i/>
          <w:sz w:val="18"/>
          <w:szCs w:val="18"/>
        </w:rPr>
        <w:t>Psuedo</w:t>
      </w:r>
      <w:r w:rsidRPr="000D728A">
        <w:rPr>
          <w:rFonts w:cs="Arial"/>
          <w:sz w:val="18"/>
          <w:szCs w:val="18"/>
        </w:rPr>
        <w:t xml:space="preserve"> </w:t>
      </w:r>
      <w:r w:rsidRPr="000D728A">
        <w:rPr>
          <w:rFonts w:cs="Arial"/>
          <w:i/>
          <w:sz w:val="18"/>
          <w:szCs w:val="18"/>
        </w:rPr>
        <w:t>R-Squared</w:t>
      </w:r>
      <w:r w:rsidRPr="000D728A">
        <w:rPr>
          <w:rFonts w:cs="Arial"/>
          <w:sz w:val="18"/>
          <w:szCs w:val="18"/>
        </w:rPr>
        <w:t xml:space="preserve">. </w:t>
      </w:r>
    </w:p>
    <w:p w14:paraId="5778E7DE" w14:textId="77777777" w:rsidR="00B72AB2" w:rsidRPr="000D728A" w:rsidRDefault="00B72AB2" w:rsidP="00B72AB2">
      <w:pPr>
        <w:rPr>
          <w:rFonts w:cs="Arial"/>
          <w:b/>
        </w:rPr>
      </w:pPr>
    </w:p>
    <w:p w14:paraId="0B78ECB4" w14:textId="77777777" w:rsidR="001008F7" w:rsidRDefault="001008F7">
      <w:pPr>
        <w:spacing w:before="0"/>
        <w:ind w:left="0"/>
        <w:rPr>
          <w:rFonts w:cs="Arial"/>
          <w:b/>
        </w:rPr>
      </w:pPr>
      <w:r>
        <w:rPr>
          <w:rFonts w:cs="Arial"/>
          <w:b/>
        </w:rPr>
        <w:br w:type="page"/>
      </w:r>
    </w:p>
    <w:p w14:paraId="5778E7DF" w14:textId="5503BD10" w:rsidR="00B72AB2" w:rsidRPr="000D728A" w:rsidRDefault="00B72AB2" w:rsidP="00B72AB2">
      <w:pPr>
        <w:rPr>
          <w:rFonts w:cs="Arial"/>
          <w:b/>
        </w:rPr>
      </w:pPr>
      <w:r w:rsidRPr="000D728A">
        <w:rPr>
          <w:rFonts w:cs="Arial"/>
          <w:b/>
        </w:rPr>
        <w:lastRenderedPageBreak/>
        <w:t>C.3.2 Job search</w:t>
      </w:r>
    </w:p>
    <w:p w14:paraId="5778E7E0" w14:textId="77777777" w:rsidR="00B72AB2" w:rsidRPr="000D728A" w:rsidRDefault="00B72AB2" w:rsidP="00B72AB2">
      <w:pPr>
        <w:rPr>
          <w:rFonts w:cs="Arial"/>
        </w:rPr>
      </w:pPr>
      <w:r w:rsidRPr="000D728A">
        <w:rPr>
          <w:rFonts w:cs="Arial"/>
        </w:rPr>
        <w:t xml:space="preserve">For the likelihood of job search behaviour among people who are unemployed, we find that </w:t>
      </w:r>
      <w:r w:rsidRPr="000D728A">
        <w:rPr>
          <w:rFonts w:cs="Arial"/>
          <w:b/>
        </w:rPr>
        <w:t xml:space="preserve">participation in any sport is associated with an 11% increase in the likelihood of having looked for a job in the last four weeks. For engagement in arts, the figure is 12%. </w:t>
      </w:r>
      <w:r w:rsidRPr="000D728A">
        <w:rPr>
          <w:rFonts w:cs="Arial"/>
        </w:rPr>
        <w:t xml:space="preserve">When we break down the sports variables we find that participating in individual sports is associated with a 9% increase in the likelihood of looking for a job. Being an audience member at an arts activity is associated with an 8% increase in the likelihood of looking for a job and the effect is an 11% increase for people who participate in drama. </w:t>
      </w:r>
    </w:p>
    <w:p w14:paraId="5778E7E1" w14:textId="77777777" w:rsidR="00B72AB2" w:rsidRPr="000D728A" w:rsidRDefault="00B72AB2" w:rsidP="00B72AB2">
      <w:pPr>
        <w:rPr>
          <w:rFonts w:cs="Arial"/>
        </w:rPr>
      </w:pPr>
    </w:p>
    <w:p w14:paraId="5778E7E2" w14:textId="77777777" w:rsidR="00B72AB2" w:rsidRPr="000D728A" w:rsidRDefault="00B72AB2" w:rsidP="00B72AB2">
      <w:pPr>
        <w:rPr>
          <w:rFonts w:cs="Arial"/>
          <w:b/>
        </w:rPr>
      </w:pPr>
      <w:r w:rsidRPr="000D728A">
        <w:rPr>
          <w:rFonts w:cs="Arial"/>
          <w:b/>
        </w:rPr>
        <w:t>Distributional impacts</w:t>
      </w:r>
    </w:p>
    <w:p w14:paraId="5778E7E3" w14:textId="77777777" w:rsidR="00B72AB2" w:rsidRPr="000D728A" w:rsidRDefault="00B72AB2" w:rsidP="00B72AB2">
      <w:pPr>
        <w:rPr>
          <w:rFonts w:cs="Arial"/>
        </w:rPr>
      </w:pPr>
      <w:r w:rsidRPr="000D728A">
        <w:rPr>
          <w:rFonts w:cs="Arial"/>
        </w:rPr>
        <w:t xml:space="preserve">The effect of individual sports on job search behaviour depends on income. </w:t>
      </w:r>
      <w:r w:rsidRPr="000D728A">
        <w:rPr>
          <w:rFonts w:cs="Arial"/>
          <w:b/>
        </w:rPr>
        <w:t>Participating in individual sports and being in the high income group is associated with 9.5% lower likelihood of looking for a job.</w:t>
      </w:r>
    </w:p>
    <w:p w14:paraId="5778E7E4" w14:textId="77777777" w:rsidR="00B72AB2" w:rsidRPr="000D728A" w:rsidRDefault="00B72AB2" w:rsidP="00B72AB2">
      <w:pPr>
        <w:rPr>
          <w:rFonts w:cs="Arial"/>
        </w:rPr>
      </w:pPr>
    </w:p>
    <w:p w14:paraId="5778E7E5" w14:textId="77777777" w:rsidR="00B72AB2" w:rsidRPr="000D728A" w:rsidRDefault="00B72AB2" w:rsidP="00B72AB2">
      <w:pPr>
        <w:rPr>
          <w:rFonts w:cs="Arial"/>
        </w:rPr>
      </w:pPr>
      <w:r w:rsidRPr="000D728A">
        <w:rPr>
          <w:rFonts w:cs="Arial"/>
        </w:rPr>
        <w:t xml:space="preserve">These are all mostly positive and fairly substantial increases in the likelihood of looking for a job that are statistically significant even given the small sample size. </w:t>
      </w:r>
    </w:p>
    <w:p w14:paraId="5778E7E6" w14:textId="77777777" w:rsidR="00B72AB2" w:rsidRPr="000D728A" w:rsidRDefault="00B72AB2" w:rsidP="00B72AB2">
      <w:pPr>
        <w:rPr>
          <w:rFonts w:cs="Arial"/>
        </w:rPr>
      </w:pPr>
    </w:p>
    <w:p w14:paraId="5778E7E7" w14:textId="77777777" w:rsidR="00B72AB2" w:rsidRPr="000D728A" w:rsidRDefault="00B72AB2" w:rsidP="00B72AB2">
      <w:pPr>
        <w:rPr>
          <w:rFonts w:cs="Arial"/>
          <w:b/>
        </w:rPr>
      </w:pPr>
      <w:r w:rsidRPr="000D728A">
        <w:rPr>
          <w:rFonts w:cs="Arial"/>
          <w:b/>
        </w:rPr>
        <w:t xml:space="preserve">Table 14. Effects of culture and sport on job search </w:t>
      </w:r>
    </w:p>
    <w:tbl>
      <w:tblPr>
        <w:tblW w:w="8481" w:type="dxa"/>
        <w:tblInd w:w="1424" w:type="dxa"/>
        <w:tblLook w:val="04A0" w:firstRow="1" w:lastRow="0" w:firstColumn="1" w:lastColumn="0" w:noHBand="0" w:noVBand="1"/>
      </w:tblPr>
      <w:tblGrid>
        <w:gridCol w:w="2293"/>
        <w:gridCol w:w="1206"/>
        <w:gridCol w:w="1444"/>
        <w:gridCol w:w="881"/>
        <w:gridCol w:w="1357"/>
        <w:gridCol w:w="1300"/>
      </w:tblGrid>
      <w:tr w:rsidR="00A4362F" w:rsidRPr="000D728A" w14:paraId="5778E7EE" w14:textId="77777777" w:rsidTr="00C244CD">
        <w:trPr>
          <w:trHeight w:val="560"/>
        </w:trPr>
        <w:tc>
          <w:tcPr>
            <w:tcW w:w="2293" w:type="dxa"/>
            <w:tcBorders>
              <w:top w:val="single" w:sz="8" w:space="0" w:color="auto"/>
              <w:left w:val="single" w:sz="8" w:space="0" w:color="auto"/>
              <w:bottom w:val="single" w:sz="4" w:space="0" w:color="auto"/>
              <w:right w:val="nil"/>
            </w:tcBorders>
            <w:shd w:val="clear" w:color="000000" w:fill="0070C0"/>
            <w:noWrap/>
            <w:vAlign w:val="center"/>
            <w:hideMark/>
          </w:tcPr>
          <w:p w14:paraId="5778E7E8" w14:textId="77777777" w:rsidR="00A4362F" w:rsidRPr="000D728A" w:rsidRDefault="00A4362F" w:rsidP="00A4362F">
            <w:pPr>
              <w:spacing w:before="0"/>
              <w:ind w:left="0"/>
              <w:jc w:val="center"/>
              <w:rPr>
                <w:rFonts w:ascii="Calibri" w:hAnsi="Calibri"/>
                <w:b/>
                <w:bCs/>
                <w:color w:val="FFFFFF"/>
                <w:sz w:val="22"/>
                <w:szCs w:val="22"/>
                <w:lang w:eastAsia="en-US"/>
              </w:rPr>
            </w:pPr>
            <w:r w:rsidRPr="000D728A">
              <w:rPr>
                <w:rFonts w:ascii="Calibri" w:hAnsi="Calibri"/>
                <w:b/>
                <w:bCs/>
                <w:color w:val="FFFFFF"/>
                <w:sz w:val="22"/>
                <w:szCs w:val="22"/>
                <w:lang w:eastAsia="en-US"/>
              </w:rPr>
              <w:t>Model &amp; variables</w:t>
            </w:r>
          </w:p>
        </w:tc>
        <w:tc>
          <w:tcPr>
            <w:tcW w:w="1206" w:type="dxa"/>
            <w:tcBorders>
              <w:top w:val="single" w:sz="8" w:space="0" w:color="auto"/>
              <w:left w:val="single" w:sz="8" w:space="0" w:color="auto"/>
              <w:bottom w:val="single" w:sz="4" w:space="0" w:color="auto"/>
              <w:right w:val="single" w:sz="8" w:space="0" w:color="auto"/>
            </w:tcBorders>
            <w:shd w:val="clear" w:color="000000" w:fill="0070C0"/>
            <w:noWrap/>
            <w:vAlign w:val="center"/>
            <w:hideMark/>
          </w:tcPr>
          <w:p w14:paraId="5778E7E9" w14:textId="77777777" w:rsidR="00A4362F" w:rsidRPr="000D728A" w:rsidRDefault="00A4362F" w:rsidP="00A4362F">
            <w:pPr>
              <w:spacing w:before="0"/>
              <w:ind w:left="0"/>
              <w:jc w:val="center"/>
              <w:rPr>
                <w:rFonts w:ascii="Calibri" w:hAnsi="Calibri"/>
                <w:b/>
                <w:bCs/>
                <w:color w:val="FFFFFF"/>
                <w:sz w:val="22"/>
                <w:szCs w:val="22"/>
                <w:lang w:eastAsia="en-US"/>
              </w:rPr>
            </w:pPr>
            <w:r w:rsidRPr="000D728A">
              <w:rPr>
                <w:rFonts w:ascii="Calibri" w:hAnsi="Calibri"/>
                <w:b/>
                <w:bCs/>
                <w:color w:val="FFFFFF"/>
                <w:sz w:val="22"/>
                <w:szCs w:val="22"/>
                <w:lang w:eastAsia="en-US"/>
              </w:rPr>
              <w:t>Coefficient</w:t>
            </w:r>
          </w:p>
        </w:tc>
        <w:tc>
          <w:tcPr>
            <w:tcW w:w="1444" w:type="dxa"/>
            <w:tcBorders>
              <w:top w:val="single" w:sz="8" w:space="0" w:color="auto"/>
              <w:left w:val="nil"/>
              <w:bottom w:val="single" w:sz="4" w:space="0" w:color="auto"/>
              <w:right w:val="nil"/>
            </w:tcBorders>
            <w:shd w:val="clear" w:color="000000" w:fill="0070C0"/>
            <w:vAlign w:val="center"/>
            <w:hideMark/>
          </w:tcPr>
          <w:p w14:paraId="5778E7EA" w14:textId="77777777" w:rsidR="00A4362F" w:rsidRPr="000D728A" w:rsidRDefault="00A4362F" w:rsidP="00A4362F">
            <w:pPr>
              <w:spacing w:before="0"/>
              <w:ind w:left="0"/>
              <w:jc w:val="center"/>
              <w:rPr>
                <w:rFonts w:ascii="Calibri" w:hAnsi="Calibri"/>
                <w:b/>
                <w:bCs/>
                <w:color w:val="FFFFFF"/>
                <w:sz w:val="22"/>
                <w:szCs w:val="22"/>
                <w:lang w:eastAsia="en-US"/>
              </w:rPr>
            </w:pPr>
            <w:r w:rsidRPr="000D728A">
              <w:rPr>
                <w:rFonts w:ascii="Calibri" w:hAnsi="Calibri"/>
                <w:b/>
                <w:bCs/>
                <w:color w:val="FFFFFF"/>
                <w:sz w:val="22"/>
                <w:szCs w:val="22"/>
                <w:lang w:eastAsia="en-US"/>
              </w:rPr>
              <w:t>Probability Impact</w:t>
            </w:r>
          </w:p>
        </w:tc>
        <w:tc>
          <w:tcPr>
            <w:tcW w:w="881" w:type="dxa"/>
            <w:tcBorders>
              <w:top w:val="single" w:sz="8" w:space="0" w:color="auto"/>
              <w:left w:val="single" w:sz="8" w:space="0" w:color="auto"/>
              <w:bottom w:val="single" w:sz="4" w:space="0" w:color="auto"/>
              <w:right w:val="single" w:sz="8" w:space="0" w:color="auto"/>
            </w:tcBorders>
            <w:shd w:val="clear" w:color="000000" w:fill="0070C0"/>
            <w:noWrap/>
            <w:vAlign w:val="center"/>
            <w:hideMark/>
          </w:tcPr>
          <w:p w14:paraId="5778E7EB" w14:textId="77777777" w:rsidR="00A4362F" w:rsidRPr="000D728A" w:rsidRDefault="00A4362F" w:rsidP="00A4362F">
            <w:pPr>
              <w:spacing w:before="0"/>
              <w:ind w:left="0"/>
              <w:jc w:val="center"/>
              <w:rPr>
                <w:rFonts w:ascii="Calibri" w:hAnsi="Calibri"/>
                <w:b/>
                <w:bCs/>
                <w:color w:val="FFFFFF"/>
                <w:sz w:val="22"/>
                <w:szCs w:val="22"/>
                <w:lang w:eastAsia="en-US"/>
              </w:rPr>
            </w:pPr>
            <w:r w:rsidRPr="000D728A">
              <w:rPr>
                <w:rFonts w:ascii="Calibri" w:hAnsi="Calibri"/>
                <w:b/>
                <w:bCs/>
                <w:color w:val="FFFFFF"/>
                <w:sz w:val="22"/>
                <w:szCs w:val="22"/>
                <w:lang w:eastAsia="en-US"/>
              </w:rPr>
              <w:t xml:space="preserve"> S.E.</w:t>
            </w:r>
          </w:p>
        </w:tc>
        <w:tc>
          <w:tcPr>
            <w:tcW w:w="1357" w:type="dxa"/>
            <w:tcBorders>
              <w:top w:val="single" w:sz="8" w:space="0" w:color="auto"/>
              <w:left w:val="nil"/>
              <w:bottom w:val="single" w:sz="4" w:space="0" w:color="auto"/>
              <w:right w:val="nil"/>
            </w:tcBorders>
            <w:shd w:val="clear" w:color="000000" w:fill="0070C0"/>
            <w:noWrap/>
            <w:vAlign w:val="center"/>
            <w:hideMark/>
          </w:tcPr>
          <w:p w14:paraId="5778E7EC" w14:textId="77777777" w:rsidR="00A4362F" w:rsidRPr="000D728A" w:rsidRDefault="00A4362F" w:rsidP="00A4362F">
            <w:pPr>
              <w:spacing w:before="0"/>
              <w:ind w:left="0"/>
              <w:jc w:val="center"/>
              <w:rPr>
                <w:rFonts w:ascii="Calibri" w:hAnsi="Calibri"/>
                <w:b/>
                <w:bCs/>
                <w:color w:val="FFFFFF"/>
                <w:sz w:val="22"/>
                <w:szCs w:val="22"/>
                <w:lang w:eastAsia="en-US"/>
              </w:rPr>
            </w:pPr>
            <w:r w:rsidRPr="000D728A">
              <w:rPr>
                <w:rFonts w:ascii="Calibri" w:hAnsi="Calibri"/>
                <w:b/>
                <w:bCs/>
                <w:color w:val="FFFFFF"/>
                <w:sz w:val="22"/>
                <w:szCs w:val="22"/>
                <w:lang w:eastAsia="en-US"/>
              </w:rPr>
              <w:t>Sample size</w:t>
            </w:r>
          </w:p>
        </w:tc>
        <w:tc>
          <w:tcPr>
            <w:tcW w:w="1300" w:type="dxa"/>
            <w:tcBorders>
              <w:top w:val="single" w:sz="8" w:space="0" w:color="auto"/>
              <w:left w:val="single" w:sz="8" w:space="0" w:color="auto"/>
              <w:bottom w:val="single" w:sz="4" w:space="0" w:color="auto"/>
              <w:right w:val="single" w:sz="8" w:space="0" w:color="auto"/>
            </w:tcBorders>
            <w:shd w:val="clear" w:color="000000" w:fill="0070C0"/>
            <w:noWrap/>
            <w:vAlign w:val="center"/>
            <w:hideMark/>
          </w:tcPr>
          <w:p w14:paraId="5778E7ED" w14:textId="77777777" w:rsidR="00A4362F" w:rsidRPr="000D728A" w:rsidRDefault="00A4362F" w:rsidP="00A4362F">
            <w:pPr>
              <w:spacing w:before="0"/>
              <w:ind w:left="0"/>
              <w:jc w:val="center"/>
              <w:rPr>
                <w:rFonts w:ascii="Calibri" w:hAnsi="Calibri"/>
                <w:b/>
                <w:bCs/>
                <w:color w:val="FFFFFF"/>
                <w:sz w:val="22"/>
                <w:szCs w:val="22"/>
                <w:lang w:eastAsia="en-US"/>
              </w:rPr>
            </w:pPr>
            <w:r w:rsidRPr="000D728A">
              <w:rPr>
                <w:rFonts w:ascii="Calibri" w:hAnsi="Calibri"/>
                <w:b/>
                <w:bCs/>
                <w:color w:val="FFFFFF"/>
                <w:sz w:val="22"/>
                <w:szCs w:val="22"/>
                <w:lang w:eastAsia="en-US"/>
              </w:rPr>
              <w:t>R-Squared</w:t>
            </w:r>
          </w:p>
        </w:tc>
      </w:tr>
      <w:tr w:rsidR="00A4362F" w:rsidRPr="000D728A" w14:paraId="5778E7F5" w14:textId="77777777" w:rsidTr="00C244CD">
        <w:trPr>
          <w:trHeight w:val="300"/>
        </w:trPr>
        <w:tc>
          <w:tcPr>
            <w:tcW w:w="2293" w:type="dxa"/>
            <w:tcBorders>
              <w:top w:val="nil"/>
              <w:left w:val="single" w:sz="8" w:space="0" w:color="auto"/>
              <w:bottom w:val="single" w:sz="4" w:space="0" w:color="auto"/>
              <w:right w:val="nil"/>
            </w:tcBorders>
            <w:shd w:val="clear" w:color="000000" w:fill="0070C0"/>
            <w:noWrap/>
            <w:vAlign w:val="center"/>
            <w:hideMark/>
          </w:tcPr>
          <w:p w14:paraId="5778E7EF" w14:textId="77777777" w:rsidR="00A4362F" w:rsidRPr="000D728A" w:rsidRDefault="00A4362F" w:rsidP="00A4362F">
            <w:pPr>
              <w:spacing w:before="0"/>
              <w:ind w:left="0"/>
              <w:rPr>
                <w:rFonts w:ascii="Calibri" w:hAnsi="Calibri"/>
                <w:b/>
                <w:bCs/>
                <w:color w:val="FFFFFF"/>
                <w:sz w:val="22"/>
                <w:szCs w:val="22"/>
                <w:lang w:eastAsia="en-US"/>
              </w:rPr>
            </w:pPr>
            <w:r w:rsidRPr="000D728A">
              <w:rPr>
                <w:rFonts w:ascii="Calibri" w:hAnsi="Calibri"/>
                <w:b/>
                <w:bCs/>
                <w:color w:val="FFFFFF"/>
                <w:sz w:val="22"/>
                <w:szCs w:val="22"/>
                <w:lang w:eastAsia="en-US"/>
              </w:rPr>
              <w:t xml:space="preserve">Sports </w:t>
            </w:r>
          </w:p>
        </w:tc>
        <w:tc>
          <w:tcPr>
            <w:tcW w:w="1206" w:type="dxa"/>
            <w:tcBorders>
              <w:top w:val="nil"/>
              <w:left w:val="single" w:sz="8" w:space="0" w:color="auto"/>
              <w:bottom w:val="single" w:sz="4" w:space="0" w:color="auto"/>
              <w:right w:val="single" w:sz="8" w:space="0" w:color="auto"/>
            </w:tcBorders>
            <w:shd w:val="clear" w:color="000000" w:fill="0070C0"/>
            <w:noWrap/>
            <w:vAlign w:val="bottom"/>
            <w:hideMark/>
          </w:tcPr>
          <w:p w14:paraId="5778E7F0" w14:textId="77777777" w:rsidR="00A4362F" w:rsidRPr="000D728A" w:rsidRDefault="00A4362F" w:rsidP="00A4362F">
            <w:pPr>
              <w:spacing w:before="0"/>
              <w:ind w:left="0"/>
              <w:rPr>
                <w:rFonts w:ascii="Cambria" w:hAnsi="Cambria"/>
                <w:color w:val="000000"/>
                <w:lang w:eastAsia="en-US"/>
              </w:rPr>
            </w:pPr>
            <w:r w:rsidRPr="000D728A">
              <w:rPr>
                <w:rFonts w:ascii="Cambria" w:hAnsi="Cambria"/>
                <w:color w:val="000000"/>
                <w:lang w:eastAsia="en-US"/>
              </w:rPr>
              <w:t> </w:t>
            </w:r>
          </w:p>
        </w:tc>
        <w:tc>
          <w:tcPr>
            <w:tcW w:w="1444" w:type="dxa"/>
            <w:tcBorders>
              <w:top w:val="nil"/>
              <w:left w:val="nil"/>
              <w:bottom w:val="single" w:sz="4" w:space="0" w:color="auto"/>
              <w:right w:val="nil"/>
            </w:tcBorders>
            <w:shd w:val="clear" w:color="000000" w:fill="0070C0"/>
            <w:noWrap/>
            <w:vAlign w:val="bottom"/>
            <w:hideMark/>
          </w:tcPr>
          <w:p w14:paraId="5778E7F1" w14:textId="77777777" w:rsidR="00A4362F" w:rsidRPr="000D728A" w:rsidRDefault="00A4362F" w:rsidP="00A4362F">
            <w:pPr>
              <w:spacing w:before="0"/>
              <w:ind w:left="0"/>
              <w:rPr>
                <w:rFonts w:ascii="Cambria" w:hAnsi="Cambria"/>
                <w:color w:val="000000"/>
                <w:lang w:eastAsia="en-US"/>
              </w:rPr>
            </w:pPr>
            <w:r w:rsidRPr="000D728A">
              <w:rPr>
                <w:rFonts w:ascii="Cambria" w:hAnsi="Cambria"/>
                <w:color w:val="000000"/>
                <w:lang w:eastAsia="en-US"/>
              </w:rPr>
              <w:t> </w:t>
            </w:r>
          </w:p>
        </w:tc>
        <w:tc>
          <w:tcPr>
            <w:tcW w:w="881" w:type="dxa"/>
            <w:tcBorders>
              <w:top w:val="nil"/>
              <w:left w:val="single" w:sz="8" w:space="0" w:color="auto"/>
              <w:bottom w:val="single" w:sz="4" w:space="0" w:color="auto"/>
              <w:right w:val="single" w:sz="8" w:space="0" w:color="auto"/>
            </w:tcBorders>
            <w:shd w:val="clear" w:color="000000" w:fill="0070C0"/>
            <w:noWrap/>
            <w:vAlign w:val="bottom"/>
            <w:hideMark/>
          </w:tcPr>
          <w:p w14:paraId="5778E7F2" w14:textId="77777777" w:rsidR="00A4362F" w:rsidRPr="000D728A" w:rsidRDefault="00A4362F" w:rsidP="00A4362F">
            <w:pPr>
              <w:spacing w:before="0"/>
              <w:ind w:left="0"/>
              <w:rPr>
                <w:rFonts w:ascii="Cambria" w:hAnsi="Cambria"/>
                <w:color w:val="000000"/>
                <w:lang w:eastAsia="en-US"/>
              </w:rPr>
            </w:pPr>
            <w:r w:rsidRPr="000D728A">
              <w:rPr>
                <w:rFonts w:ascii="Cambria" w:hAnsi="Cambria"/>
                <w:color w:val="000000"/>
                <w:lang w:eastAsia="en-US"/>
              </w:rPr>
              <w:t> </w:t>
            </w:r>
          </w:p>
        </w:tc>
        <w:tc>
          <w:tcPr>
            <w:tcW w:w="1357" w:type="dxa"/>
            <w:tcBorders>
              <w:top w:val="nil"/>
              <w:left w:val="nil"/>
              <w:bottom w:val="single" w:sz="4" w:space="0" w:color="auto"/>
              <w:right w:val="nil"/>
            </w:tcBorders>
            <w:shd w:val="clear" w:color="000000" w:fill="0070C0"/>
            <w:noWrap/>
            <w:vAlign w:val="bottom"/>
            <w:hideMark/>
          </w:tcPr>
          <w:p w14:paraId="5778E7F3" w14:textId="77777777" w:rsidR="00A4362F" w:rsidRPr="000D728A" w:rsidRDefault="00A4362F" w:rsidP="00A4362F">
            <w:pPr>
              <w:spacing w:before="0"/>
              <w:ind w:left="0"/>
              <w:rPr>
                <w:rFonts w:ascii="Cambria" w:hAnsi="Cambria"/>
                <w:color w:val="000000"/>
                <w:lang w:eastAsia="en-US"/>
              </w:rPr>
            </w:pPr>
            <w:r w:rsidRPr="000D728A">
              <w:rPr>
                <w:rFonts w:ascii="Cambria" w:hAnsi="Cambria"/>
                <w:color w:val="000000"/>
                <w:lang w:eastAsia="en-US"/>
              </w:rPr>
              <w:t> </w:t>
            </w:r>
          </w:p>
        </w:tc>
        <w:tc>
          <w:tcPr>
            <w:tcW w:w="1300" w:type="dxa"/>
            <w:tcBorders>
              <w:top w:val="nil"/>
              <w:left w:val="single" w:sz="8" w:space="0" w:color="auto"/>
              <w:bottom w:val="single" w:sz="4" w:space="0" w:color="auto"/>
              <w:right w:val="single" w:sz="8" w:space="0" w:color="auto"/>
            </w:tcBorders>
            <w:shd w:val="clear" w:color="000000" w:fill="0070C0"/>
            <w:noWrap/>
            <w:vAlign w:val="bottom"/>
            <w:hideMark/>
          </w:tcPr>
          <w:p w14:paraId="5778E7F4" w14:textId="77777777" w:rsidR="00A4362F" w:rsidRPr="000D728A" w:rsidRDefault="00A4362F" w:rsidP="00A4362F">
            <w:pPr>
              <w:spacing w:before="0"/>
              <w:ind w:left="0"/>
              <w:rPr>
                <w:rFonts w:ascii="Cambria" w:hAnsi="Cambria"/>
                <w:color w:val="000000"/>
                <w:lang w:eastAsia="en-US"/>
              </w:rPr>
            </w:pPr>
            <w:r w:rsidRPr="000D728A">
              <w:rPr>
                <w:rFonts w:ascii="Cambria" w:hAnsi="Cambria"/>
                <w:color w:val="000000"/>
                <w:lang w:eastAsia="en-US"/>
              </w:rPr>
              <w:t> </w:t>
            </w:r>
          </w:p>
        </w:tc>
      </w:tr>
      <w:tr w:rsidR="00A4362F" w:rsidRPr="000D728A" w14:paraId="5778E7FC" w14:textId="77777777" w:rsidTr="00C244CD">
        <w:trPr>
          <w:trHeight w:val="280"/>
        </w:trPr>
        <w:tc>
          <w:tcPr>
            <w:tcW w:w="2293" w:type="dxa"/>
            <w:tcBorders>
              <w:top w:val="nil"/>
              <w:left w:val="single" w:sz="8" w:space="0" w:color="auto"/>
              <w:bottom w:val="single" w:sz="4" w:space="0" w:color="auto"/>
              <w:right w:val="nil"/>
            </w:tcBorders>
            <w:shd w:val="clear" w:color="auto" w:fill="auto"/>
            <w:noWrap/>
            <w:vAlign w:val="center"/>
            <w:hideMark/>
          </w:tcPr>
          <w:p w14:paraId="5778E7F6" w14:textId="77777777" w:rsidR="00A4362F" w:rsidRPr="000D728A" w:rsidRDefault="00A4362F" w:rsidP="00A4362F">
            <w:pPr>
              <w:spacing w:before="0"/>
              <w:ind w:left="0"/>
              <w:rPr>
                <w:rFonts w:ascii="Calibri" w:hAnsi="Calibri"/>
                <w:i/>
                <w:iCs/>
                <w:color w:val="000000"/>
                <w:sz w:val="22"/>
                <w:szCs w:val="22"/>
                <w:lang w:eastAsia="en-US"/>
              </w:rPr>
            </w:pPr>
            <w:r w:rsidRPr="000D728A">
              <w:rPr>
                <w:rFonts w:ascii="Calibri" w:hAnsi="Calibri"/>
                <w:i/>
                <w:iCs/>
                <w:color w:val="000000"/>
                <w:sz w:val="22"/>
                <w:szCs w:val="22"/>
                <w:lang w:eastAsia="en-US"/>
              </w:rPr>
              <w:t>All sports</w:t>
            </w:r>
          </w:p>
        </w:tc>
        <w:tc>
          <w:tcPr>
            <w:tcW w:w="1206" w:type="dxa"/>
            <w:tcBorders>
              <w:top w:val="nil"/>
              <w:left w:val="single" w:sz="8" w:space="0" w:color="auto"/>
              <w:bottom w:val="single" w:sz="4" w:space="0" w:color="auto"/>
              <w:right w:val="single" w:sz="8" w:space="0" w:color="auto"/>
            </w:tcBorders>
            <w:shd w:val="clear" w:color="auto" w:fill="auto"/>
            <w:noWrap/>
            <w:vAlign w:val="bottom"/>
            <w:hideMark/>
          </w:tcPr>
          <w:p w14:paraId="5778E7F7"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0.4470***</w:t>
            </w:r>
          </w:p>
        </w:tc>
        <w:tc>
          <w:tcPr>
            <w:tcW w:w="1444" w:type="dxa"/>
            <w:tcBorders>
              <w:top w:val="nil"/>
              <w:left w:val="nil"/>
              <w:bottom w:val="single" w:sz="4" w:space="0" w:color="auto"/>
              <w:right w:val="nil"/>
            </w:tcBorders>
            <w:shd w:val="clear" w:color="auto" w:fill="auto"/>
            <w:noWrap/>
            <w:vAlign w:val="bottom"/>
            <w:hideMark/>
          </w:tcPr>
          <w:p w14:paraId="5778E7F8" w14:textId="77777777" w:rsidR="00A4362F" w:rsidRPr="000D728A" w:rsidRDefault="00A4362F" w:rsidP="0015718A">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10</w:t>
            </w:r>
            <w:r w:rsidR="0015718A" w:rsidRPr="000D728A">
              <w:rPr>
                <w:rFonts w:ascii="Calibri" w:hAnsi="Calibri"/>
                <w:color w:val="000000"/>
                <w:sz w:val="22"/>
                <w:szCs w:val="22"/>
                <w:lang w:eastAsia="en-US"/>
              </w:rPr>
              <w:t>.</w:t>
            </w:r>
            <w:r w:rsidRPr="000D728A">
              <w:rPr>
                <w:rFonts w:ascii="Calibri" w:hAnsi="Calibri"/>
                <w:color w:val="000000"/>
                <w:sz w:val="22"/>
                <w:szCs w:val="22"/>
                <w:lang w:eastAsia="en-US"/>
              </w:rPr>
              <w:t>5</w:t>
            </w:r>
            <w:r w:rsidR="0015718A" w:rsidRPr="000D728A">
              <w:rPr>
                <w:rFonts w:ascii="Calibri" w:hAnsi="Calibri"/>
                <w:color w:val="000000"/>
                <w:sz w:val="22"/>
                <w:szCs w:val="22"/>
                <w:lang w:eastAsia="en-US"/>
              </w:rPr>
              <w:t>%</w:t>
            </w:r>
          </w:p>
        </w:tc>
        <w:tc>
          <w:tcPr>
            <w:tcW w:w="881" w:type="dxa"/>
            <w:tcBorders>
              <w:top w:val="nil"/>
              <w:left w:val="single" w:sz="8" w:space="0" w:color="auto"/>
              <w:bottom w:val="single" w:sz="4" w:space="0" w:color="auto"/>
              <w:right w:val="single" w:sz="8" w:space="0" w:color="auto"/>
            </w:tcBorders>
            <w:shd w:val="clear" w:color="auto" w:fill="auto"/>
            <w:noWrap/>
            <w:vAlign w:val="bottom"/>
            <w:hideMark/>
          </w:tcPr>
          <w:p w14:paraId="5778E7F9" w14:textId="77777777" w:rsidR="00A4362F" w:rsidRPr="000D728A" w:rsidRDefault="00FF2AC8" w:rsidP="00FF2AC8">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w:t>
            </w:r>
            <w:r w:rsidR="00A4362F" w:rsidRPr="000D728A">
              <w:rPr>
                <w:rFonts w:ascii="Calibri" w:hAnsi="Calibri"/>
                <w:color w:val="000000"/>
                <w:sz w:val="22"/>
                <w:szCs w:val="22"/>
                <w:lang w:eastAsia="en-US"/>
              </w:rPr>
              <w:t>0.03</w:t>
            </w:r>
            <w:r w:rsidRPr="000D728A">
              <w:rPr>
                <w:rFonts w:ascii="Calibri" w:hAnsi="Calibri"/>
                <w:color w:val="000000"/>
                <w:sz w:val="22"/>
                <w:szCs w:val="22"/>
                <w:lang w:eastAsia="en-US"/>
              </w:rPr>
              <w:t>4)</w:t>
            </w:r>
          </w:p>
        </w:tc>
        <w:tc>
          <w:tcPr>
            <w:tcW w:w="1357" w:type="dxa"/>
            <w:tcBorders>
              <w:top w:val="nil"/>
              <w:left w:val="nil"/>
              <w:bottom w:val="single" w:sz="4" w:space="0" w:color="auto"/>
              <w:right w:val="nil"/>
            </w:tcBorders>
            <w:shd w:val="clear" w:color="auto" w:fill="auto"/>
            <w:noWrap/>
            <w:vAlign w:val="bottom"/>
            <w:hideMark/>
          </w:tcPr>
          <w:p w14:paraId="5778E7FA"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1214</w:t>
            </w: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14:paraId="5778E7FB"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0.1644</w:t>
            </w:r>
          </w:p>
        </w:tc>
      </w:tr>
      <w:tr w:rsidR="00A4362F" w:rsidRPr="000D728A" w14:paraId="5778E803" w14:textId="77777777" w:rsidTr="00C244CD">
        <w:trPr>
          <w:trHeight w:val="280"/>
        </w:trPr>
        <w:tc>
          <w:tcPr>
            <w:tcW w:w="2293" w:type="dxa"/>
            <w:tcBorders>
              <w:top w:val="nil"/>
              <w:left w:val="single" w:sz="8" w:space="0" w:color="auto"/>
              <w:bottom w:val="single" w:sz="4" w:space="0" w:color="auto"/>
              <w:right w:val="nil"/>
            </w:tcBorders>
            <w:shd w:val="clear" w:color="auto" w:fill="auto"/>
            <w:noWrap/>
            <w:vAlign w:val="center"/>
            <w:hideMark/>
          </w:tcPr>
          <w:p w14:paraId="5778E7FD" w14:textId="77777777" w:rsidR="00A4362F" w:rsidRPr="000D728A" w:rsidRDefault="00A4362F" w:rsidP="00A4362F">
            <w:pPr>
              <w:spacing w:before="0"/>
              <w:ind w:left="0"/>
              <w:rPr>
                <w:rFonts w:ascii="Calibri" w:hAnsi="Calibri"/>
                <w:i/>
                <w:iCs/>
                <w:color w:val="000000"/>
                <w:sz w:val="22"/>
                <w:szCs w:val="22"/>
                <w:lang w:eastAsia="en-US"/>
              </w:rPr>
            </w:pPr>
            <w:r w:rsidRPr="000D728A">
              <w:rPr>
                <w:rFonts w:ascii="Calibri" w:hAnsi="Calibri"/>
                <w:i/>
                <w:iCs/>
                <w:color w:val="000000"/>
                <w:sz w:val="22"/>
                <w:szCs w:val="22"/>
                <w:lang w:eastAsia="en-US"/>
              </w:rPr>
              <w:t>Individual sports</w:t>
            </w:r>
          </w:p>
        </w:tc>
        <w:tc>
          <w:tcPr>
            <w:tcW w:w="1206" w:type="dxa"/>
            <w:tcBorders>
              <w:top w:val="nil"/>
              <w:left w:val="single" w:sz="8" w:space="0" w:color="auto"/>
              <w:bottom w:val="single" w:sz="4" w:space="0" w:color="auto"/>
              <w:right w:val="single" w:sz="8" w:space="0" w:color="auto"/>
            </w:tcBorders>
            <w:shd w:val="clear" w:color="auto" w:fill="auto"/>
            <w:noWrap/>
            <w:vAlign w:val="bottom"/>
            <w:hideMark/>
          </w:tcPr>
          <w:p w14:paraId="5778E7FE"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0.3816***</w:t>
            </w:r>
          </w:p>
        </w:tc>
        <w:tc>
          <w:tcPr>
            <w:tcW w:w="1444" w:type="dxa"/>
            <w:tcBorders>
              <w:top w:val="nil"/>
              <w:left w:val="nil"/>
              <w:bottom w:val="single" w:sz="4" w:space="0" w:color="auto"/>
              <w:right w:val="nil"/>
            </w:tcBorders>
            <w:shd w:val="clear" w:color="auto" w:fill="auto"/>
            <w:noWrap/>
            <w:vAlign w:val="bottom"/>
            <w:hideMark/>
          </w:tcPr>
          <w:p w14:paraId="5778E7FF" w14:textId="77777777" w:rsidR="00A4362F" w:rsidRPr="000D728A" w:rsidRDefault="00A4362F" w:rsidP="0015718A">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8</w:t>
            </w:r>
            <w:r w:rsidR="0015718A" w:rsidRPr="000D728A">
              <w:rPr>
                <w:rFonts w:ascii="Calibri" w:hAnsi="Calibri"/>
                <w:color w:val="000000"/>
                <w:sz w:val="22"/>
                <w:szCs w:val="22"/>
                <w:lang w:eastAsia="en-US"/>
              </w:rPr>
              <w:t>.</w:t>
            </w:r>
            <w:r w:rsidRPr="000D728A">
              <w:rPr>
                <w:rFonts w:ascii="Calibri" w:hAnsi="Calibri"/>
                <w:color w:val="000000"/>
                <w:sz w:val="22"/>
                <w:szCs w:val="22"/>
                <w:lang w:eastAsia="en-US"/>
              </w:rPr>
              <w:t>9</w:t>
            </w:r>
            <w:r w:rsidR="0015718A" w:rsidRPr="000D728A">
              <w:rPr>
                <w:rFonts w:ascii="Calibri" w:hAnsi="Calibri"/>
                <w:color w:val="000000"/>
                <w:sz w:val="22"/>
                <w:szCs w:val="22"/>
                <w:lang w:eastAsia="en-US"/>
              </w:rPr>
              <w:t>%</w:t>
            </w:r>
          </w:p>
        </w:tc>
        <w:tc>
          <w:tcPr>
            <w:tcW w:w="881" w:type="dxa"/>
            <w:tcBorders>
              <w:top w:val="nil"/>
              <w:left w:val="single" w:sz="8" w:space="0" w:color="auto"/>
              <w:bottom w:val="single" w:sz="4" w:space="0" w:color="auto"/>
              <w:right w:val="single" w:sz="8" w:space="0" w:color="auto"/>
            </w:tcBorders>
            <w:shd w:val="clear" w:color="auto" w:fill="auto"/>
            <w:noWrap/>
            <w:vAlign w:val="bottom"/>
            <w:hideMark/>
          </w:tcPr>
          <w:p w14:paraId="5778E800" w14:textId="77777777" w:rsidR="00A4362F" w:rsidRPr="000D728A" w:rsidRDefault="00FF2AC8"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w:t>
            </w:r>
            <w:r w:rsidR="00A4362F" w:rsidRPr="000D728A">
              <w:rPr>
                <w:rFonts w:ascii="Calibri" w:hAnsi="Calibri"/>
                <w:color w:val="000000"/>
                <w:sz w:val="22"/>
                <w:szCs w:val="22"/>
                <w:lang w:eastAsia="en-US"/>
              </w:rPr>
              <w:t>0.033</w:t>
            </w:r>
            <w:r w:rsidRPr="000D728A">
              <w:rPr>
                <w:rFonts w:ascii="Calibri" w:hAnsi="Calibri"/>
                <w:color w:val="000000"/>
                <w:sz w:val="22"/>
                <w:szCs w:val="22"/>
                <w:lang w:eastAsia="en-US"/>
              </w:rPr>
              <w:t>)</w:t>
            </w:r>
          </w:p>
        </w:tc>
        <w:tc>
          <w:tcPr>
            <w:tcW w:w="1357" w:type="dxa"/>
            <w:tcBorders>
              <w:top w:val="nil"/>
              <w:left w:val="nil"/>
              <w:bottom w:val="single" w:sz="4" w:space="0" w:color="auto"/>
              <w:right w:val="nil"/>
            </w:tcBorders>
            <w:shd w:val="clear" w:color="auto" w:fill="auto"/>
            <w:noWrap/>
            <w:vAlign w:val="bottom"/>
            <w:hideMark/>
          </w:tcPr>
          <w:p w14:paraId="5778E801"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1214</w:t>
            </w: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14:paraId="5778E802"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0.1647</w:t>
            </w:r>
          </w:p>
        </w:tc>
      </w:tr>
      <w:tr w:rsidR="00A4362F" w:rsidRPr="000D728A" w14:paraId="5778E80A" w14:textId="77777777" w:rsidTr="00C244CD">
        <w:trPr>
          <w:trHeight w:val="300"/>
        </w:trPr>
        <w:tc>
          <w:tcPr>
            <w:tcW w:w="2293" w:type="dxa"/>
            <w:tcBorders>
              <w:top w:val="nil"/>
              <w:left w:val="single" w:sz="8" w:space="0" w:color="auto"/>
              <w:bottom w:val="single" w:sz="4" w:space="0" w:color="auto"/>
              <w:right w:val="nil"/>
            </w:tcBorders>
            <w:shd w:val="clear" w:color="000000" w:fill="0070C0"/>
            <w:noWrap/>
            <w:vAlign w:val="center"/>
            <w:hideMark/>
          </w:tcPr>
          <w:p w14:paraId="5778E804" w14:textId="77777777" w:rsidR="00A4362F" w:rsidRPr="000D728A" w:rsidRDefault="00A4362F" w:rsidP="00A4362F">
            <w:pPr>
              <w:spacing w:before="0"/>
              <w:ind w:left="0"/>
              <w:rPr>
                <w:rFonts w:ascii="Calibri" w:hAnsi="Calibri"/>
                <w:b/>
                <w:bCs/>
                <w:color w:val="FFFFFF"/>
                <w:sz w:val="22"/>
                <w:szCs w:val="22"/>
                <w:lang w:eastAsia="en-US"/>
              </w:rPr>
            </w:pPr>
            <w:r w:rsidRPr="000D728A">
              <w:rPr>
                <w:rFonts w:ascii="Calibri" w:hAnsi="Calibri"/>
                <w:b/>
                <w:bCs/>
                <w:color w:val="FFFFFF"/>
                <w:sz w:val="22"/>
                <w:szCs w:val="22"/>
                <w:lang w:eastAsia="en-US"/>
              </w:rPr>
              <w:t>Culture</w:t>
            </w:r>
          </w:p>
        </w:tc>
        <w:tc>
          <w:tcPr>
            <w:tcW w:w="1206" w:type="dxa"/>
            <w:tcBorders>
              <w:top w:val="nil"/>
              <w:left w:val="single" w:sz="8" w:space="0" w:color="auto"/>
              <w:bottom w:val="single" w:sz="4" w:space="0" w:color="auto"/>
              <w:right w:val="single" w:sz="8" w:space="0" w:color="auto"/>
            </w:tcBorders>
            <w:shd w:val="clear" w:color="000000" w:fill="0070C0"/>
            <w:noWrap/>
            <w:vAlign w:val="bottom"/>
            <w:hideMark/>
          </w:tcPr>
          <w:p w14:paraId="5778E805" w14:textId="77777777" w:rsidR="00A4362F" w:rsidRPr="000D728A" w:rsidRDefault="00A4362F" w:rsidP="00A4362F">
            <w:pPr>
              <w:spacing w:before="0"/>
              <w:ind w:left="0"/>
              <w:rPr>
                <w:rFonts w:ascii="Cambria" w:hAnsi="Cambria"/>
                <w:color w:val="000000"/>
                <w:lang w:eastAsia="en-US"/>
              </w:rPr>
            </w:pPr>
            <w:r w:rsidRPr="000D728A">
              <w:rPr>
                <w:rFonts w:ascii="Cambria" w:hAnsi="Cambria"/>
                <w:color w:val="000000"/>
                <w:lang w:eastAsia="en-US"/>
              </w:rPr>
              <w:t> </w:t>
            </w:r>
          </w:p>
        </w:tc>
        <w:tc>
          <w:tcPr>
            <w:tcW w:w="1444" w:type="dxa"/>
            <w:tcBorders>
              <w:top w:val="nil"/>
              <w:left w:val="nil"/>
              <w:bottom w:val="single" w:sz="4" w:space="0" w:color="auto"/>
              <w:right w:val="nil"/>
            </w:tcBorders>
            <w:shd w:val="clear" w:color="000000" w:fill="0070C0"/>
            <w:noWrap/>
            <w:vAlign w:val="bottom"/>
            <w:hideMark/>
          </w:tcPr>
          <w:p w14:paraId="5778E806" w14:textId="77777777" w:rsidR="00A4362F" w:rsidRPr="000D728A" w:rsidRDefault="00A4362F" w:rsidP="00A4362F">
            <w:pPr>
              <w:spacing w:before="0"/>
              <w:ind w:left="0"/>
              <w:rPr>
                <w:rFonts w:ascii="Cambria" w:hAnsi="Cambria"/>
                <w:color w:val="000000"/>
                <w:lang w:eastAsia="en-US"/>
              </w:rPr>
            </w:pPr>
            <w:r w:rsidRPr="000D728A">
              <w:rPr>
                <w:rFonts w:ascii="Cambria" w:hAnsi="Cambria"/>
                <w:color w:val="000000"/>
                <w:lang w:eastAsia="en-US"/>
              </w:rPr>
              <w:t> </w:t>
            </w:r>
          </w:p>
        </w:tc>
        <w:tc>
          <w:tcPr>
            <w:tcW w:w="881" w:type="dxa"/>
            <w:tcBorders>
              <w:top w:val="nil"/>
              <w:left w:val="single" w:sz="8" w:space="0" w:color="auto"/>
              <w:bottom w:val="single" w:sz="4" w:space="0" w:color="auto"/>
              <w:right w:val="single" w:sz="8" w:space="0" w:color="auto"/>
            </w:tcBorders>
            <w:shd w:val="clear" w:color="000000" w:fill="0070C0"/>
            <w:noWrap/>
            <w:vAlign w:val="bottom"/>
            <w:hideMark/>
          </w:tcPr>
          <w:p w14:paraId="5778E807" w14:textId="77777777" w:rsidR="00A4362F" w:rsidRPr="000D728A" w:rsidRDefault="00A4362F" w:rsidP="00A4362F">
            <w:pPr>
              <w:spacing w:before="0"/>
              <w:ind w:left="0"/>
              <w:rPr>
                <w:rFonts w:ascii="Cambria" w:hAnsi="Cambria"/>
                <w:color w:val="000000"/>
                <w:lang w:eastAsia="en-US"/>
              </w:rPr>
            </w:pPr>
            <w:r w:rsidRPr="000D728A">
              <w:rPr>
                <w:rFonts w:ascii="Cambria" w:hAnsi="Cambria"/>
                <w:color w:val="000000"/>
                <w:lang w:eastAsia="en-US"/>
              </w:rPr>
              <w:t> </w:t>
            </w:r>
          </w:p>
        </w:tc>
        <w:tc>
          <w:tcPr>
            <w:tcW w:w="1357" w:type="dxa"/>
            <w:tcBorders>
              <w:top w:val="nil"/>
              <w:left w:val="nil"/>
              <w:bottom w:val="single" w:sz="4" w:space="0" w:color="auto"/>
              <w:right w:val="nil"/>
            </w:tcBorders>
            <w:shd w:val="clear" w:color="000000" w:fill="0070C0"/>
            <w:noWrap/>
            <w:vAlign w:val="bottom"/>
            <w:hideMark/>
          </w:tcPr>
          <w:p w14:paraId="5778E808" w14:textId="77777777" w:rsidR="00A4362F" w:rsidRPr="000D728A" w:rsidRDefault="00A4362F" w:rsidP="00A4362F">
            <w:pPr>
              <w:spacing w:before="0"/>
              <w:ind w:left="0"/>
              <w:rPr>
                <w:rFonts w:ascii="Cambria" w:hAnsi="Cambria"/>
                <w:color w:val="000000"/>
                <w:lang w:eastAsia="en-US"/>
              </w:rPr>
            </w:pPr>
            <w:r w:rsidRPr="000D728A">
              <w:rPr>
                <w:rFonts w:ascii="Cambria" w:hAnsi="Cambria"/>
                <w:color w:val="000000"/>
                <w:lang w:eastAsia="en-US"/>
              </w:rPr>
              <w:t> </w:t>
            </w:r>
          </w:p>
        </w:tc>
        <w:tc>
          <w:tcPr>
            <w:tcW w:w="1300" w:type="dxa"/>
            <w:tcBorders>
              <w:top w:val="nil"/>
              <w:left w:val="single" w:sz="8" w:space="0" w:color="auto"/>
              <w:bottom w:val="single" w:sz="4" w:space="0" w:color="auto"/>
              <w:right w:val="single" w:sz="8" w:space="0" w:color="auto"/>
            </w:tcBorders>
            <w:shd w:val="clear" w:color="000000" w:fill="0070C0"/>
            <w:noWrap/>
            <w:vAlign w:val="bottom"/>
            <w:hideMark/>
          </w:tcPr>
          <w:p w14:paraId="5778E809" w14:textId="77777777" w:rsidR="00A4362F" w:rsidRPr="000D728A" w:rsidRDefault="00A4362F" w:rsidP="00A4362F">
            <w:pPr>
              <w:spacing w:before="0"/>
              <w:ind w:left="0"/>
              <w:rPr>
                <w:rFonts w:ascii="Cambria" w:hAnsi="Cambria"/>
                <w:color w:val="000000"/>
                <w:lang w:eastAsia="en-US"/>
              </w:rPr>
            </w:pPr>
            <w:r w:rsidRPr="000D728A">
              <w:rPr>
                <w:rFonts w:ascii="Cambria" w:hAnsi="Cambria"/>
                <w:color w:val="000000"/>
                <w:lang w:eastAsia="en-US"/>
              </w:rPr>
              <w:t> </w:t>
            </w:r>
          </w:p>
        </w:tc>
      </w:tr>
      <w:tr w:rsidR="00A4362F" w:rsidRPr="000D728A" w14:paraId="5778E811" w14:textId="77777777" w:rsidTr="00C244CD">
        <w:trPr>
          <w:trHeight w:val="280"/>
        </w:trPr>
        <w:tc>
          <w:tcPr>
            <w:tcW w:w="2293" w:type="dxa"/>
            <w:tcBorders>
              <w:top w:val="nil"/>
              <w:left w:val="single" w:sz="8" w:space="0" w:color="auto"/>
              <w:bottom w:val="single" w:sz="4" w:space="0" w:color="auto"/>
              <w:right w:val="nil"/>
            </w:tcBorders>
            <w:shd w:val="clear" w:color="auto" w:fill="auto"/>
            <w:noWrap/>
            <w:vAlign w:val="center"/>
            <w:hideMark/>
          </w:tcPr>
          <w:p w14:paraId="5778E80B" w14:textId="77777777" w:rsidR="00A4362F" w:rsidRPr="000D728A" w:rsidRDefault="00A4362F" w:rsidP="00A4362F">
            <w:pPr>
              <w:spacing w:before="0"/>
              <w:ind w:left="0"/>
              <w:rPr>
                <w:rFonts w:ascii="Calibri" w:hAnsi="Calibri"/>
                <w:i/>
                <w:iCs/>
                <w:color w:val="000000"/>
                <w:sz w:val="22"/>
                <w:szCs w:val="22"/>
                <w:lang w:eastAsia="en-US"/>
              </w:rPr>
            </w:pPr>
            <w:r w:rsidRPr="000D728A">
              <w:rPr>
                <w:rFonts w:ascii="Calibri" w:hAnsi="Calibri"/>
                <w:i/>
                <w:iCs/>
                <w:color w:val="000000"/>
                <w:sz w:val="22"/>
                <w:szCs w:val="22"/>
                <w:lang w:eastAsia="en-US"/>
              </w:rPr>
              <w:t>All arts</w:t>
            </w:r>
          </w:p>
        </w:tc>
        <w:tc>
          <w:tcPr>
            <w:tcW w:w="1206" w:type="dxa"/>
            <w:tcBorders>
              <w:top w:val="nil"/>
              <w:left w:val="single" w:sz="8" w:space="0" w:color="auto"/>
              <w:bottom w:val="single" w:sz="4" w:space="0" w:color="auto"/>
              <w:right w:val="single" w:sz="8" w:space="0" w:color="auto"/>
            </w:tcBorders>
            <w:shd w:val="clear" w:color="auto" w:fill="auto"/>
            <w:noWrap/>
            <w:vAlign w:val="bottom"/>
            <w:hideMark/>
          </w:tcPr>
          <w:p w14:paraId="5778E80C"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0.4847**</w:t>
            </w:r>
          </w:p>
        </w:tc>
        <w:tc>
          <w:tcPr>
            <w:tcW w:w="1444" w:type="dxa"/>
            <w:tcBorders>
              <w:top w:val="nil"/>
              <w:left w:val="nil"/>
              <w:bottom w:val="single" w:sz="4" w:space="0" w:color="auto"/>
              <w:right w:val="nil"/>
            </w:tcBorders>
            <w:shd w:val="clear" w:color="auto" w:fill="auto"/>
            <w:noWrap/>
            <w:vAlign w:val="bottom"/>
            <w:hideMark/>
          </w:tcPr>
          <w:p w14:paraId="5778E80D" w14:textId="77777777" w:rsidR="00A4362F" w:rsidRPr="000D728A" w:rsidRDefault="00A4362F" w:rsidP="0015718A">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11</w:t>
            </w:r>
            <w:r w:rsidR="0015718A" w:rsidRPr="000D728A">
              <w:rPr>
                <w:rFonts w:ascii="Calibri" w:hAnsi="Calibri"/>
                <w:color w:val="000000"/>
                <w:sz w:val="22"/>
                <w:szCs w:val="22"/>
                <w:lang w:eastAsia="en-US"/>
              </w:rPr>
              <w:t>.7%</w:t>
            </w:r>
          </w:p>
        </w:tc>
        <w:tc>
          <w:tcPr>
            <w:tcW w:w="881" w:type="dxa"/>
            <w:tcBorders>
              <w:top w:val="nil"/>
              <w:left w:val="single" w:sz="8" w:space="0" w:color="auto"/>
              <w:bottom w:val="single" w:sz="4" w:space="0" w:color="auto"/>
              <w:right w:val="single" w:sz="8" w:space="0" w:color="auto"/>
            </w:tcBorders>
            <w:shd w:val="clear" w:color="auto" w:fill="auto"/>
            <w:noWrap/>
            <w:vAlign w:val="bottom"/>
            <w:hideMark/>
          </w:tcPr>
          <w:p w14:paraId="5778E80E" w14:textId="77777777" w:rsidR="00A4362F" w:rsidRPr="000D728A" w:rsidRDefault="00FF2AC8"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w:t>
            </w:r>
            <w:r w:rsidR="00A4362F" w:rsidRPr="000D728A">
              <w:rPr>
                <w:rFonts w:ascii="Calibri" w:hAnsi="Calibri"/>
                <w:color w:val="000000"/>
                <w:sz w:val="22"/>
                <w:szCs w:val="22"/>
                <w:lang w:eastAsia="en-US"/>
              </w:rPr>
              <w:t>0.04</w:t>
            </w:r>
            <w:r w:rsidRPr="000D728A">
              <w:rPr>
                <w:rFonts w:ascii="Calibri" w:hAnsi="Calibri"/>
                <w:color w:val="000000"/>
                <w:sz w:val="22"/>
                <w:szCs w:val="22"/>
                <w:lang w:eastAsia="en-US"/>
              </w:rPr>
              <w:t>8)</w:t>
            </w:r>
          </w:p>
        </w:tc>
        <w:tc>
          <w:tcPr>
            <w:tcW w:w="1357" w:type="dxa"/>
            <w:tcBorders>
              <w:top w:val="nil"/>
              <w:left w:val="nil"/>
              <w:bottom w:val="single" w:sz="4" w:space="0" w:color="auto"/>
              <w:right w:val="nil"/>
            </w:tcBorders>
            <w:shd w:val="clear" w:color="auto" w:fill="auto"/>
            <w:noWrap/>
            <w:vAlign w:val="bottom"/>
            <w:hideMark/>
          </w:tcPr>
          <w:p w14:paraId="5778E80F"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1214</w:t>
            </w: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14:paraId="5778E810"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0.1644</w:t>
            </w:r>
          </w:p>
        </w:tc>
      </w:tr>
      <w:tr w:rsidR="00A4362F" w:rsidRPr="000D728A" w14:paraId="5778E818" w14:textId="77777777" w:rsidTr="00C244CD">
        <w:trPr>
          <w:trHeight w:val="280"/>
        </w:trPr>
        <w:tc>
          <w:tcPr>
            <w:tcW w:w="2293" w:type="dxa"/>
            <w:tcBorders>
              <w:top w:val="nil"/>
              <w:left w:val="single" w:sz="8" w:space="0" w:color="auto"/>
              <w:bottom w:val="single" w:sz="4" w:space="0" w:color="auto"/>
              <w:right w:val="nil"/>
            </w:tcBorders>
            <w:shd w:val="clear" w:color="auto" w:fill="auto"/>
            <w:noWrap/>
            <w:vAlign w:val="center"/>
            <w:hideMark/>
          </w:tcPr>
          <w:p w14:paraId="5778E812" w14:textId="77777777" w:rsidR="00A4362F" w:rsidRPr="000D728A" w:rsidRDefault="00A4362F" w:rsidP="00A4362F">
            <w:pPr>
              <w:spacing w:before="0"/>
              <w:ind w:left="0"/>
              <w:rPr>
                <w:rFonts w:ascii="Calibri" w:hAnsi="Calibri"/>
                <w:i/>
                <w:iCs/>
                <w:color w:val="000000"/>
                <w:sz w:val="22"/>
                <w:szCs w:val="22"/>
                <w:lang w:eastAsia="en-US"/>
              </w:rPr>
            </w:pPr>
            <w:r w:rsidRPr="000D728A">
              <w:rPr>
                <w:rFonts w:ascii="Calibri" w:hAnsi="Calibri"/>
                <w:i/>
                <w:iCs/>
                <w:color w:val="000000"/>
                <w:sz w:val="22"/>
                <w:szCs w:val="22"/>
                <w:lang w:eastAsia="en-US"/>
              </w:rPr>
              <w:t>All audience arts</w:t>
            </w:r>
          </w:p>
        </w:tc>
        <w:tc>
          <w:tcPr>
            <w:tcW w:w="1206" w:type="dxa"/>
            <w:tcBorders>
              <w:top w:val="nil"/>
              <w:left w:val="single" w:sz="8" w:space="0" w:color="auto"/>
              <w:bottom w:val="single" w:sz="4" w:space="0" w:color="auto"/>
              <w:right w:val="single" w:sz="8" w:space="0" w:color="auto"/>
            </w:tcBorders>
            <w:shd w:val="clear" w:color="auto" w:fill="auto"/>
            <w:noWrap/>
            <w:vAlign w:val="bottom"/>
            <w:hideMark/>
          </w:tcPr>
          <w:p w14:paraId="5778E813"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0.3251**</w:t>
            </w:r>
          </w:p>
        </w:tc>
        <w:tc>
          <w:tcPr>
            <w:tcW w:w="1444" w:type="dxa"/>
            <w:tcBorders>
              <w:top w:val="nil"/>
              <w:left w:val="nil"/>
              <w:bottom w:val="single" w:sz="4" w:space="0" w:color="auto"/>
              <w:right w:val="nil"/>
            </w:tcBorders>
            <w:shd w:val="clear" w:color="auto" w:fill="auto"/>
            <w:noWrap/>
            <w:vAlign w:val="bottom"/>
            <w:hideMark/>
          </w:tcPr>
          <w:p w14:paraId="5778E814" w14:textId="77777777" w:rsidR="00A4362F" w:rsidRPr="000D728A" w:rsidRDefault="00A4362F" w:rsidP="0015718A">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7</w:t>
            </w:r>
            <w:r w:rsidR="0015718A" w:rsidRPr="000D728A">
              <w:rPr>
                <w:rFonts w:ascii="Calibri" w:hAnsi="Calibri"/>
                <w:color w:val="000000"/>
                <w:sz w:val="22"/>
                <w:szCs w:val="22"/>
                <w:lang w:eastAsia="en-US"/>
              </w:rPr>
              <w:t>.7%</w:t>
            </w:r>
          </w:p>
        </w:tc>
        <w:tc>
          <w:tcPr>
            <w:tcW w:w="881" w:type="dxa"/>
            <w:tcBorders>
              <w:top w:val="nil"/>
              <w:left w:val="single" w:sz="8" w:space="0" w:color="auto"/>
              <w:bottom w:val="single" w:sz="4" w:space="0" w:color="auto"/>
              <w:right w:val="single" w:sz="8" w:space="0" w:color="auto"/>
            </w:tcBorders>
            <w:shd w:val="clear" w:color="auto" w:fill="auto"/>
            <w:noWrap/>
            <w:vAlign w:val="bottom"/>
            <w:hideMark/>
          </w:tcPr>
          <w:p w14:paraId="5778E815" w14:textId="77777777" w:rsidR="00A4362F" w:rsidRPr="000D728A" w:rsidRDefault="00FF2AC8"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w:t>
            </w:r>
            <w:r w:rsidR="00A4362F" w:rsidRPr="000D728A">
              <w:rPr>
                <w:rFonts w:ascii="Calibri" w:hAnsi="Calibri"/>
                <w:color w:val="000000"/>
                <w:sz w:val="22"/>
                <w:szCs w:val="22"/>
                <w:lang w:eastAsia="en-US"/>
              </w:rPr>
              <w:t>0.03</w:t>
            </w:r>
            <w:r w:rsidRPr="000D728A">
              <w:rPr>
                <w:rFonts w:ascii="Calibri" w:hAnsi="Calibri"/>
                <w:color w:val="000000"/>
                <w:sz w:val="22"/>
                <w:szCs w:val="22"/>
                <w:lang w:eastAsia="en-US"/>
              </w:rPr>
              <w:t>6)</w:t>
            </w:r>
          </w:p>
        </w:tc>
        <w:tc>
          <w:tcPr>
            <w:tcW w:w="1357" w:type="dxa"/>
            <w:tcBorders>
              <w:top w:val="nil"/>
              <w:left w:val="nil"/>
              <w:bottom w:val="single" w:sz="4" w:space="0" w:color="auto"/>
              <w:right w:val="nil"/>
            </w:tcBorders>
            <w:shd w:val="clear" w:color="auto" w:fill="auto"/>
            <w:noWrap/>
            <w:vAlign w:val="bottom"/>
            <w:hideMark/>
          </w:tcPr>
          <w:p w14:paraId="5778E816"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1214</w:t>
            </w: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14:paraId="5778E817"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0.1668</w:t>
            </w:r>
          </w:p>
        </w:tc>
      </w:tr>
      <w:tr w:rsidR="00A4362F" w:rsidRPr="000D728A" w14:paraId="5778E81F" w14:textId="77777777" w:rsidTr="00C244CD">
        <w:trPr>
          <w:trHeight w:val="300"/>
        </w:trPr>
        <w:tc>
          <w:tcPr>
            <w:tcW w:w="2293" w:type="dxa"/>
            <w:tcBorders>
              <w:top w:val="nil"/>
              <w:left w:val="single" w:sz="8" w:space="0" w:color="auto"/>
              <w:bottom w:val="single" w:sz="4" w:space="0" w:color="auto"/>
              <w:right w:val="nil"/>
            </w:tcBorders>
            <w:shd w:val="clear" w:color="auto" w:fill="auto"/>
            <w:noWrap/>
            <w:vAlign w:val="center"/>
            <w:hideMark/>
          </w:tcPr>
          <w:p w14:paraId="5778E819" w14:textId="77777777" w:rsidR="00A4362F" w:rsidRPr="000D728A" w:rsidRDefault="00A4362F" w:rsidP="00A4362F">
            <w:pPr>
              <w:spacing w:before="0"/>
              <w:ind w:left="0"/>
              <w:rPr>
                <w:rFonts w:ascii="Calibri" w:hAnsi="Calibri"/>
                <w:b/>
                <w:bCs/>
                <w:color w:val="000000"/>
                <w:sz w:val="22"/>
                <w:szCs w:val="22"/>
                <w:lang w:eastAsia="en-US"/>
              </w:rPr>
            </w:pPr>
            <w:r w:rsidRPr="000D728A">
              <w:rPr>
                <w:rFonts w:ascii="Calibri" w:hAnsi="Calibri"/>
                <w:b/>
                <w:bCs/>
                <w:color w:val="000000"/>
                <w:sz w:val="22"/>
                <w:szCs w:val="22"/>
                <w:lang w:eastAsia="en-US"/>
              </w:rPr>
              <w:t>Participation</w:t>
            </w:r>
          </w:p>
        </w:tc>
        <w:tc>
          <w:tcPr>
            <w:tcW w:w="1206" w:type="dxa"/>
            <w:tcBorders>
              <w:top w:val="nil"/>
              <w:left w:val="single" w:sz="8" w:space="0" w:color="auto"/>
              <w:bottom w:val="single" w:sz="4" w:space="0" w:color="auto"/>
              <w:right w:val="single" w:sz="8" w:space="0" w:color="auto"/>
            </w:tcBorders>
            <w:shd w:val="clear" w:color="auto" w:fill="auto"/>
            <w:noWrap/>
            <w:vAlign w:val="bottom"/>
            <w:hideMark/>
          </w:tcPr>
          <w:p w14:paraId="5778E81A" w14:textId="77777777" w:rsidR="00A4362F" w:rsidRPr="000D728A" w:rsidRDefault="00A4362F" w:rsidP="00A4362F">
            <w:pPr>
              <w:spacing w:before="0"/>
              <w:ind w:left="0"/>
              <w:jc w:val="center"/>
              <w:rPr>
                <w:rFonts w:ascii="Cambria" w:hAnsi="Cambria"/>
                <w:color w:val="000000"/>
                <w:lang w:eastAsia="en-US"/>
              </w:rPr>
            </w:pPr>
            <w:r w:rsidRPr="000D728A">
              <w:rPr>
                <w:rFonts w:ascii="Cambria" w:hAnsi="Cambria"/>
                <w:color w:val="000000"/>
                <w:lang w:eastAsia="en-US"/>
              </w:rPr>
              <w:t> </w:t>
            </w:r>
          </w:p>
        </w:tc>
        <w:tc>
          <w:tcPr>
            <w:tcW w:w="1444" w:type="dxa"/>
            <w:tcBorders>
              <w:top w:val="nil"/>
              <w:left w:val="nil"/>
              <w:bottom w:val="single" w:sz="4" w:space="0" w:color="auto"/>
              <w:right w:val="nil"/>
            </w:tcBorders>
            <w:shd w:val="clear" w:color="auto" w:fill="auto"/>
            <w:noWrap/>
            <w:vAlign w:val="bottom"/>
            <w:hideMark/>
          </w:tcPr>
          <w:p w14:paraId="5778E81B" w14:textId="77777777" w:rsidR="00A4362F" w:rsidRPr="000D728A" w:rsidRDefault="00A4362F" w:rsidP="00A4362F">
            <w:pPr>
              <w:spacing w:before="0"/>
              <w:ind w:left="0"/>
              <w:jc w:val="center"/>
              <w:rPr>
                <w:rFonts w:ascii="Cambria" w:hAnsi="Cambria"/>
                <w:color w:val="000000"/>
                <w:lang w:eastAsia="en-US"/>
              </w:rPr>
            </w:pPr>
            <w:r w:rsidRPr="000D728A">
              <w:rPr>
                <w:rFonts w:ascii="Cambria" w:hAnsi="Cambria"/>
                <w:color w:val="000000"/>
                <w:lang w:eastAsia="en-US"/>
              </w:rPr>
              <w:t> </w:t>
            </w:r>
          </w:p>
        </w:tc>
        <w:tc>
          <w:tcPr>
            <w:tcW w:w="881" w:type="dxa"/>
            <w:tcBorders>
              <w:top w:val="nil"/>
              <w:left w:val="single" w:sz="8" w:space="0" w:color="auto"/>
              <w:bottom w:val="single" w:sz="4" w:space="0" w:color="auto"/>
              <w:right w:val="single" w:sz="8" w:space="0" w:color="auto"/>
            </w:tcBorders>
            <w:shd w:val="clear" w:color="auto" w:fill="auto"/>
            <w:noWrap/>
            <w:vAlign w:val="bottom"/>
            <w:hideMark/>
          </w:tcPr>
          <w:p w14:paraId="5778E81C" w14:textId="77777777" w:rsidR="00A4362F" w:rsidRPr="000D728A" w:rsidRDefault="00A4362F" w:rsidP="00A4362F">
            <w:pPr>
              <w:spacing w:before="0"/>
              <w:ind w:left="0"/>
              <w:jc w:val="center"/>
              <w:rPr>
                <w:rFonts w:ascii="Cambria" w:hAnsi="Cambria"/>
                <w:color w:val="000000"/>
                <w:lang w:eastAsia="en-US"/>
              </w:rPr>
            </w:pPr>
            <w:r w:rsidRPr="000D728A">
              <w:rPr>
                <w:rFonts w:ascii="Cambria" w:hAnsi="Cambria"/>
                <w:color w:val="000000"/>
                <w:lang w:eastAsia="en-US"/>
              </w:rPr>
              <w:t> </w:t>
            </w:r>
          </w:p>
        </w:tc>
        <w:tc>
          <w:tcPr>
            <w:tcW w:w="1357" w:type="dxa"/>
            <w:tcBorders>
              <w:top w:val="nil"/>
              <w:left w:val="nil"/>
              <w:bottom w:val="single" w:sz="4" w:space="0" w:color="auto"/>
              <w:right w:val="nil"/>
            </w:tcBorders>
            <w:shd w:val="clear" w:color="auto" w:fill="auto"/>
            <w:noWrap/>
            <w:vAlign w:val="bottom"/>
            <w:hideMark/>
          </w:tcPr>
          <w:p w14:paraId="5778E81D"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 </w:t>
            </w: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14:paraId="5778E81E" w14:textId="77777777" w:rsidR="00A4362F" w:rsidRPr="000D728A" w:rsidRDefault="00A4362F" w:rsidP="00A4362F">
            <w:pPr>
              <w:spacing w:before="0"/>
              <w:ind w:left="0"/>
              <w:jc w:val="center"/>
              <w:rPr>
                <w:rFonts w:ascii="Cambria" w:hAnsi="Cambria"/>
                <w:color w:val="000000"/>
                <w:lang w:eastAsia="en-US"/>
              </w:rPr>
            </w:pPr>
            <w:r w:rsidRPr="000D728A">
              <w:rPr>
                <w:rFonts w:ascii="Cambria" w:hAnsi="Cambria"/>
                <w:color w:val="000000"/>
                <w:lang w:eastAsia="en-US"/>
              </w:rPr>
              <w:t> </w:t>
            </w:r>
          </w:p>
        </w:tc>
      </w:tr>
      <w:tr w:rsidR="00A4362F" w:rsidRPr="000D728A" w14:paraId="5778E826" w14:textId="77777777" w:rsidTr="00C244CD">
        <w:trPr>
          <w:trHeight w:val="280"/>
        </w:trPr>
        <w:tc>
          <w:tcPr>
            <w:tcW w:w="2293" w:type="dxa"/>
            <w:tcBorders>
              <w:top w:val="nil"/>
              <w:left w:val="single" w:sz="8" w:space="0" w:color="auto"/>
              <w:bottom w:val="single" w:sz="4" w:space="0" w:color="auto"/>
              <w:right w:val="nil"/>
            </w:tcBorders>
            <w:shd w:val="clear" w:color="auto" w:fill="auto"/>
            <w:noWrap/>
            <w:vAlign w:val="center"/>
            <w:hideMark/>
          </w:tcPr>
          <w:p w14:paraId="5778E820" w14:textId="77777777" w:rsidR="00A4362F" w:rsidRPr="000D728A" w:rsidRDefault="00A4362F" w:rsidP="00A4362F">
            <w:pPr>
              <w:spacing w:before="0"/>
              <w:ind w:left="0"/>
              <w:rPr>
                <w:rFonts w:ascii="Calibri" w:hAnsi="Calibri"/>
                <w:i/>
                <w:iCs/>
                <w:color w:val="000000"/>
                <w:sz w:val="22"/>
                <w:szCs w:val="22"/>
                <w:lang w:eastAsia="en-US"/>
              </w:rPr>
            </w:pPr>
            <w:r w:rsidRPr="000D728A">
              <w:rPr>
                <w:rFonts w:ascii="Calibri" w:hAnsi="Calibri"/>
                <w:i/>
                <w:iCs/>
                <w:color w:val="000000"/>
                <w:sz w:val="22"/>
                <w:szCs w:val="22"/>
                <w:lang w:eastAsia="en-US"/>
              </w:rPr>
              <w:t>Drama</w:t>
            </w:r>
          </w:p>
        </w:tc>
        <w:tc>
          <w:tcPr>
            <w:tcW w:w="1206" w:type="dxa"/>
            <w:tcBorders>
              <w:top w:val="nil"/>
              <w:left w:val="single" w:sz="8" w:space="0" w:color="auto"/>
              <w:bottom w:val="single" w:sz="4" w:space="0" w:color="auto"/>
              <w:right w:val="single" w:sz="8" w:space="0" w:color="auto"/>
            </w:tcBorders>
            <w:shd w:val="clear" w:color="auto" w:fill="auto"/>
            <w:noWrap/>
            <w:vAlign w:val="bottom"/>
            <w:hideMark/>
          </w:tcPr>
          <w:p w14:paraId="5778E821"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 xml:space="preserve">0.4954** </w:t>
            </w:r>
          </w:p>
        </w:tc>
        <w:tc>
          <w:tcPr>
            <w:tcW w:w="1444" w:type="dxa"/>
            <w:tcBorders>
              <w:top w:val="nil"/>
              <w:left w:val="nil"/>
              <w:bottom w:val="single" w:sz="4" w:space="0" w:color="auto"/>
              <w:right w:val="nil"/>
            </w:tcBorders>
            <w:shd w:val="clear" w:color="auto" w:fill="auto"/>
            <w:noWrap/>
            <w:vAlign w:val="bottom"/>
            <w:hideMark/>
          </w:tcPr>
          <w:p w14:paraId="5778E822" w14:textId="77777777" w:rsidR="00A4362F" w:rsidRPr="000D728A" w:rsidRDefault="00A4362F" w:rsidP="0015718A">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10</w:t>
            </w:r>
            <w:r w:rsidR="0015718A" w:rsidRPr="000D728A">
              <w:rPr>
                <w:rFonts w:ascii="Calibri" w:hAnsi="Calibri"/>
                <w:color w:val="000000"/>
                <w:sz w:val="22"/>
                <w:szCs w:val="22"/>
                <w:lang w:eastAsia="en-US"/>
              </w:rPr>
              <w:t>.</w:t>
            </w:r>
            <w:r w:rsidRPr="000D728A">
              <w:rPr>
                <w:rFonts w:ascii="Calibri" w:hAnsi="Calibri"/>
                <w:color w:val="000000"/>
                <w:sz w:val="22"/>
                <w:szCs w:val="22"/>
                <w:lang w:eastAsia="en-US"/>
              </w:rPr>
              <w:t>8</w:t>
            </w:r>
            <w:r w:rsidR="0015718A" w:rsidRPr="000D728A">
              <w:rPr>
                <w:rFonts w:ascii="Calibri" w:hAnsi="Calibri"/>
                <w:color w:val="000000"/>
                <w:sz w:val="22"/>
                <w:szCs w:val="22"/>
                <w:lang w:eastAsia="en-US"/>
              </w:rPr>
              <w:t>%</w:t>
            </w:r>
            <w:r w:rsidRPr="000D728A">
              <w:rPr>
                <w:rFonts w:ascii="Calibri" w:hAnsi="Calibri"/>
                <w:color w:val="000000"/>
                <w:sz w:val="22"/>
                <w:szCs w:val="22"/>
                <w:lang w:eastAsia="en-US"/>
              </w:rPr>
              <w:t xml:space="preserve"> </w:t>
            </w:r>
          </w:p>
        </w:tc>
        <w:tc>
          <w:tcPr>
            <w:tcW w:w="881" w:type="dxa"/>
            <w:tcBorders>
              <w:top w:val="nil"/>
              <w:left w:val="single" w:sz="8" w:space="0" w:color="auto"/>
              <w:bottom w:val="single" w:sz="4" w:space="0" w:color="auto"/>
              <w:right w:val="single" w:sz="8" w:space="0" w:color="auto"/>
            </w:tcBorders>
            <w:shd w:val="clear" w:color="auto" w:fill="auto"/>
            <w:noWrap/>
            <w:vAlign w:val="bottom"/>
            <w:hideMark/>
          </w:tcPr>
          <w:p w14:paraId="5778E823" w14:textId="77777777" w:rsidR="00A4362F" w:rsidRPr="000D728A" w:rsidRDefault="00FF2AC8"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w:t>
            </w:r>
            <w:r w:rsidR="00A4362F" w:rsidRPr="000D728A">
              <w:rPr>
                <w:rFonts w:ascii="Calibri" w:hAnsi="Calibri"/>
                <w:color w:val="000000"/>
                <w:sz w:val="22"/>
                <w:szCs w:val="22"/>
                <w:lang w:eastAsia="en-US"/>
              </w:rPr>
              <w:t>0.05</w:t>
            </w:r>
            <w:r w:rsidRPr="000D728A">
              <w:rPr>
                <w:rFonts w:ascii="Calibri" w:hAnsi="Calibri"/>
                <w:color w:val="000000"/>
                <w:sz w:val="22"/>
                <w:szCs w:val="22"/>
                <w:lang w:eastAsia="en-US"/>
              </w:rPr>
              <w:t>1)</w:t>
            </w:r>
          </w:p>
        </w:tc>
        <w:tc>
          <w:tcPr>
            <w:tcW w:w="1357" w:type="dxa"/>
            <w:tcBorders>
              <w:top w:val="nil"/>
              <w:left w:val="nil"/>
              <w:bottom w:val="single" w:sz="4" w:space="0" w:color="auto"/>
              <w:right w:val="nil"/>
            </w:tcBorders>
            <w:shd w:val="clear" w:color="auto" w:fill="auto"/>
            <w:noWrap/>
            <w:vAlign w:val="bottom"/>
            <w:hideMark/>
          </w:tcPr>
          <w:p w14:paraId="5778E824"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1214</w:t>
            </w: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14:paraId="5778E825"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0.173</w:t>
            </w:r>
          </w:p>
        </w:tc>
      </w:tr>
    </w:tbl>
    <w:p w14:paraId="5778E827" w14:textId="77777777" w:rsidR="00B72AB2" w:rsidRPr="000D728A" w:rsidRDefault="00B72AB2" w:rsidP="00A4362F">
      <w:pPr>
        <w:rPr>
          <w:rFonts w:cs="Arial"/>
        </w:rPr>
      </w:pPr>
      <w:r w:rsidRPr="000D728A">
        <w:rPr>
          <w:rFonts w:cs="Arial"/>
          <w:sz w:val="18"/>
          <w:szCs w:val="18"/>
        </w:rPr>
        <w:t xml:space="preserve">Notes: Logit model. *** 0.01 significance level, ** 0.05 significance level. S.E. = Standard errors (in parentheses). R-Squared = </w:t>
      </w:r>
      <w:r w:rsidRPr="000D728A">
        <w:rPr>
          <w:rFonts w:cs="Arial"/>
          <w:i/>
          <w:sz w:val="18"/>
          <w:szCs w:val="18"/>
        </w:rPr>
        <w:t>Psuedo</w:t>
      </w:r>
      <w:r w:rsidRPr="000D728A">
        <w:rPr>
          <w:rFonts w:cs="Arial"/>
          <w:sz w:val="18"/>
          <w:szCs w:val="18"/>
        </w:rPr>
        <w:t xml:space="preserve"> </w:t>
      </w:r>
      <w:r w:rsidRPr="000D728A">
        <w:rPr>
          <w:rFonts w:cs="Arial"/>
          <w:i/>
          <w:sz w:val="18"/>
          <w:szCs w:val="18"/>
        </w:rPr>
        <w:t>R-Squared</w:t>
      </w:r>
      <w:r w:rsidRPr="000D728A">
        <w:rPr>
          <w:rFonts w:cs="Arial"/>
          <w:sz w:val="18"/>
          <w:szCs w:val="18"/>
        </w:rPr>
        <w:t>. Probability impacts calculated at the sample mean values of the other covariates. Probability = increase in likelihood of reporting good health.</w:t>
      </w:r>
    </w:p>
    <w:p w14:paraId="5778E828" w14:textId="77777777" w:rsidR="00B72AB2" w:rsidRPr="000D728A" w:rsidRDefault="00B72AB2" w:rsidP="00B72AB2">
      <w:pPr>
        <w:rPr>
          <w:rFonts w:cs="Arial"/>
          <w:b/>
        </w:rPr>
      </w:pPr>
    </w:p>
    <w:p w14:paraId="5778E829" w14:textId="77777777" w:rsidR="00B72AB2" w:rsidRPr="000D728A" w:rsidRDefault="00B72AB2" w:rsidP="00B72AB2">
      <w:pPr>
        <w:rPr>
          <w:rFonts w:cs="Arial"/>
          <w:b/>
        </w:rPr>
      </w:pPr>
      <w:r w:rsidRPr="000D728A">
        <w:rPr>
          <w:rFonts w:cs="Arial"/>
          <w:b/>
        </w:rPr>
        <w:t>C.3.3 Indicative cost savings</w:t>
      </w:r>
    </w:p>
    <w:p w14:paraId="5778E82A" w14:textId="77777777" w:rsidR="00B72AB2" w:rsidRPr="000D728A" w:rsidRDefault="00B72AB2" w:rsidP="00B72AB2">
      <w:pPr>
        <w:rPr>
          <w:rFonts w:cs="Arial"/>
        </w:rPr>
      </w:pPr>
      <w:r w:rsidRPr="000D728A">
        <w:rPr>
          <w:rFonts w:cs="Arial"/>
          <w:b/>
        </w:rPr>
        <w:t>These findings suggest that participation in culture and sport could lead to increased employment in the economy as there are associations between culture, sport and job satisfaction (which predicts job quits) and with job search.</w:t>
      </w:r>
      <w:r w:rsidRPr="000D728A">
        <w:rPr>
          <w:rFonts w:cs="Arial"/>
        </w:rPr>
        <w:t xml:space="preserve"> The difficulty in attaching a value to these outcomes is that we cannot assess the number of likely jobs saved or created (which would need to also include an estimate of displacement of other jobs). If assumptions can be made between, say, job search intensity and job finds then the figures in Table 14 could be </w:t>
      </w:r>
      <w:r w:rsidRPr="000D728A">
        <w:rPr>
          <w:rFonts w:cs="Arial"/>
        </w:rPr>
        <w:lastRenderedPageBreak/>
        <w:t>used to assess the impact of participation in culture and sport on job creation with values attached to those jobs.</w:t>
      </w:r>
    </w:p>
    <w:p w14:paraId="5778E82B" w14:textId="77777777" w:rsidR="00B72AB2" w:rsidRPr="000D728A" w:rsidRDefault="00B72AB2" w:rsidP="00B72AB2">
      <w:pPr>
        <w:rPr>
          <w:rFonts w:cs="Arial"/>
          <w:b/>
        </w:rPr>
      </w:pPr>
    </w:p>
    <w:p w14:paraId="5778E82D" w14:textId="213AE70C" w:rsidR="00B72AB2" w:rsidRPr="00C244CD" w:rsidRDefault="00B72AB2" w:rsidP="00C244CD">
      <w:pPr>
        <w:rPr>
          <w:rFonts w:cs="Arial"/>
          <w:b/>
          <w:sz w:val="28"/>
        </w:rPr>
      </w:pPr>
      <w:r w:rsidRPr="000D728A">
        <w:rPr>
          <w:rFonts w:cs="Arial"/>
          <w:b/>
          <w:sz w:val="28"/>
        </w:rPr>
        <w:t>C.4. Civic participation models</w:t>
      </w:r>
    </w:p>
    <w:p w14:paraId="5778E82E" w14:textId="77777777" w:rsidR="00B72AB2" w:rsidRPr="000D728A" w:rsidRDefault="00B72AB2" w:rsidP="00B72AB2">
      <w:pPr>
        <w:rPr>
          <w:rFonts w:cs="Arial"/>
          <w:b/>
        </w:rPr>
      </w:pPr>
      <w:r w:rsidRPr="000D728A">
        <w:rPr>
          <w:rFonts w:cs="Arial"/>
          <w:b/>
        </w:rPr>
        <w:t>C.4.1 Volunteering</w:t>
      </w:r>
    </w:p>
    <w:p w14:paraId="5778E82F" w14:textId="77777777" w:rsidR="00B72AB2" w:rsidRPr="000D728A" w:rsidRDefault="00B72AB2" w:rsidP="00B72AB2">
      <w:pPr>
        <w:rPr>
          <w:rFonts w:cs="Arial"/>
        </w:rPr>
      </w:pPr>
      <w:r w:rsidRPr="000D728A">
        <w:rPr>
          <w:rFonts w:cs="Arial"/>
          <w:b/>
        </w:rPr>
        <w:t>The effect of engaging in any sports is associated with a 3% increase in the likelihood of volunteering frequently (once a fortnight or more) and engaging in any arts is associated with a 7% increase.</w:t>
      </w:r>
      <w:r w:rsidRPr="000D728A">
        <w:rPr>
          <w:rFonts w:cs="Arial"/>
        </w:rPr>
        <w:t xml:space="preserve"> Participating in team sports is associated with a 5% increase and individual sports with a 2% increase in the likelihood of volunteering frequently. When we break up the sports variables, participating in football, swimming, and cycling are associated with 2%, 1% and 2% (respectively) increases in the likelihood of volunteering frequently. </w:t>
      </w:r>
    </w:p>
    <w:p w14:paraId="5778E830" w14:textId="77777777" w:rsidR="00B72AB2" w:rsidRPr="000D728A" w:rsidRDefault="00B72AB2" w:rsidP="00B72AB2">
      <w:pPr>
        <w:rPr>
          <w:rFonts w:cs="Arial"/>
        </w:rPr>
      </w:pPr>
    </w:p>
    <w:p w14:paraId="5778E831" w14:textId="77777777" w:rsidR="00B72AB2" w:rsidRPr="000D728A" w:rsidRDefault="00B72AB2" w:rsidP="00F46529">
      <w:pPr>
        <w:rPr>
          <w:rFonts w:cs="Arial"/>
        </w:rPr>
      </w:pPr>
      <w:r w:rsidRPr="000D728A">
        <w:rPr>
          <w:rFonts w:cs="Arial"/>
          <w:b/>
        </w:rPr>
        <w:t>Participation in any art event and being an audience member at any art event are both associated with a 5% increase in the likelihood of volunteering frequently</w:t>
      </w:r>
      <w:r w:rsidRPr="000D728A">
        <w:rPr>
          <w:rFonts w:cs="Arial"/>
        </w:rPr>
        <w:t>. Participating in drama is associated with an 8% increase in the likelihood of volunteering frequently, participating in an art activity with a 2% increase, participating in crafts with a 1% increase, participating in literature activities with a 2% increase, being an audience member of a film with a 1% increase, being an audience member at an exhibition with a 3% increase, being an audience member at a play with a 2% increase.</w:t>
      </w:r>
    </w:p>
    <w:p w14:paraId="5778E832" w14:textId="77777777" w:rsidR="00B72AB2" w:rsidRPr="000D728A" w:rsidRDefault="00B72AB2" w:rsidP="00B72AB2">
      <w:pPr>
        <w:rPr>
          <w:rFonts w:cs="Arial"/>
          <w:b/>
        </w:rPr>
      </w:pPr>
      <w:r w:rsidRPr="000D728A">
        <w:rPr>
          <w:rFonts w:cs="Arial"/>
          <w:b/>
        </w:rPr>
        <w:t xml:space="preserve">Table 15. Effects of culture and sport on volunteering </w:t>
      </w:r>
    </w:p>
    <w:tbl>
      <w:tblPr>
        <w:tblW w:w="7856" w:type="dxa"/>
        <w:tblInd w:w="2044" w:type="dxa"/>
        <w:tblLook w:val="04A0" w:firstRow="1" w:lastRow="0" w:firstColumn="1" w:lastColumn="0" w:noHBand="0" w:noVBand="1"/>
      </w:tblPr>
      <w:tblGrid>
        <w:gridCol w:w="2116"/>
        <w:gridCol w:w="1206"/>
        <w:gridCol w:w="1217"/>
        <w:gridCol w:w="1104"/>
        <w:gridCol w:w="1095"/>
        <w:gridCol w:w="1118"/>
      </w:tblGrid>
      <w:tr w:rsidR="00A4362F" w:rsidRPr="000D728A" w14:paraId="5778E839" w14:textId="77777777" w:rsidTr="00C244CD">
        <w:trPr>
          <w:trHeight w:val="580"/>
        </w:trPr>
        <w:tc>
          <w:tcPr>
            <w:tcW w:w="2116" w:type="dxa"/>
            <w:tcBorders>
              <w:top w:val="single" w:sz="8" w:space="0" w:color="auto"/>
              <w:left w:val="single" w:sz="8" w:space="0" w:color="auto"/>
              <w:bottom w:val="double" w:sz="6" w:space="0" w:color="auto"/>
              <w:right w:val="nil"/>
            </w:tcBorders>
            <w:shd w:val="clear" w:color="000000" w:fill="0070C0"/>
            <w:noWrap/>
            <w:vAlign w:val="center"/>
            <w:hideMark/>
          </w:tcPr>
          <w:p w14:paraId="5778E833" w14:textId="77777777" w:rsidR="00A4362F" w:rsidRPr="000D728A" w:rsidRDefault="00A4362F" w:rsidP="00A4362F">
            <w:pPr>
              <w:spacing w:before="0"/>
              <w:ind w:left="0"/>
              <w:jc w:val="center"/>
              <w:rPr>
                <w:rFonts w:ascii="Calibri" w:hAnsi="Calibri"/>
                <w:b/>
                <w:bCs/>
                <w:color w:val="FFFFFF"/>
                <w:sz w:val="22"/>
                <w:szCs w:val="22"/>
                <w:lang w:eastAsia="en-US"/>
              </w:rPr>
            </w:pPr>
            <w:r w:rsidRPr="000D728A">
              <w:rPr>
                <w:rFonts w:ascii="Calibri" w:hAnsi="Calibri"/>
                <w:b/>
                <w:bCs/>
                <w:color w:val="FFFFFF"/>
                <w:sz w:val="22"/>
                <w:szCs w:val="22"/>
                <w:lang w:eastAsia="en-US"/>
              </w:rPr>
              <w:t>Model &amp; variables</w:t>
            </w:r>
          </w:p>
        </w:tc>
        <w:tc>
          <w:tcPr>
            <w:tcW w:w="1206" w:type="dxa"/>
            <w:tcBorders>
              <w:top w:val="single" w:sz="8" w:space="0" w:color="auto"/>
              <w:left w:val="single" w:sz="8" w:space="0" w:color="auto"/>
              <w:bottom w:val="double" w:sz="6" w:space="0" w:color="auto"/>
              <w:right w:val="single" w:sz="8" w:space="0" w:color="auto"/>
            </w:tcBorders>
            <w:shd w:val="clear" w:color="000000" w:fill="0070C0"/>
            <w:noWrap/>
            <w:vAlign w:val="center"/>
            <w:hideMark/>
          </w:tcPr>
          <w:p w14:paraId="5778E834" w14:textId="77777777" w:rsidR="00A4362F" w:rsidRPr="000D728A" w:rsidRDefault="00A4362F" w:rsidP="00A4362F">
            <w:pPr>
              <w:spacing w:before="0"/>
              <w:ind w:left="0"/>
              <w:jc w:val="center"/>
              <w:rPr>
                <w:rFonts w:ascii="Calibri" w:hAnsi="Calibri"/>
                <w:b/>
                <w:bCs/>
                <w:color w:val="FFFFFF"/>
                <w:sz w:val="22"/>
                <w:szCs w:val="22"/>
                <w:lang w:eastAsia="en-US"/>
              </w:rPr>
            </w:pPr>
            <w:r w:rsidRPr="000D728A">
              <w:rPr>
                <w:rFonts w:ascii="Calibri" w:hAnsi="Calibri"/>
                <w:b/>
                <w:bCs/>
                <w:color w:val="FFFFFF"/>
                <w:sz w:val="22"/>
                <w:szCs w:val="22"/>
                <w:lang w:eastAsia="en-US"/>
              </w:rPr>
              <w:t>Coefficient</w:t>
            </w:r>
          </w:p>
        </w:tc>
        <w:tc>
          <w:tcPr>
            <w:tcW w:w="1217" w:type="dxa"/>
            <w:tcBorders>
              <w:top w:val="single" w:sz="8" w:space="0" w:color="auto"/>
              <w:left w:val="nil"/>
              <w:bottom w:val="double" w:sz="6" w:space="0" w:color="auto"/>
              <w:right w:val="nil"/>
            </w:tcBorders>
            <w:shd w:val="clear" w:color="000000" w:fill="0070C0"/>
            <w:vAlign w:val="center"/>
            <w:hideMark/>
          </w:tcPr>
          <w:p w14:paraId="5778E835" w14:textId="77777777" w:rsidR="00A4362F" w:rsidRPr="000D728A" w:rsidRDefault="00A4362F" w:rsidP="00A4362F">
            <w:pPr>
              <w:spacing w:before="0"/>
              <w:ind w:left="0"/>
              <w:jc w:val="center"/>
              <w:rPr>
                <w:rFonts w:ascii="Calibri" w:hAnsi="Calibri"/>
                <w:b/>
                <w:bCs/>
                <w:color w:val="FFFFFF"/>
                <w:sz w:val="22"/>
                <w:szCs w:val="22"/>
                <w:lang w:eastAsia="en-US"/>
              </w:rPr>
            </w:pPr>
            <w:r w:rsidRPr="000D728A">
              <w:rPr>
                <w:rFonts w:ascii="Calibri" w:hAnsi="Calibri"/>
                <w:b/>
                <w:bCs/>
                <w:color w:val="FFFFFF"/>
                <w:sz w:val="22"/>
                <w:szCs w:val="22"/>
                <w:lang w:eastAsia="en-US"/>
              </w:rPr>
              <w:t>Probability Impact</w:t>
            </w:r>
          </w:p>
        </w:tc>
        <w:tc>
          <w:tcPr>
            <w:tcW w:w="1104" w:type="dxa"/>
            <w:tcBorders>
              <w:top w:val="single" w:sz="8" w:space="0" w:color="auto"/>
              <w:left w:val="single" w:sz="8" w:space="0" w:color="auto"/>
              <w:bottom w:val="double" w:sz="6" w:space="0" w:color="auto"/>
              <w:right w:val="single" w:sz="8" w:space="0" w:color="auto"/>
            </w:tcBorders>
            <w:shd w:val="clear" w:color="000000" w:fill="0070C0"/>
            <w:noWrap/>
            <w:vAlign w:val="center"/>
            <w:hideMark/>
          </w:tcPr>
          <w:p w14:paraId="5778E836" w14:textId="77777777" w:rsidR="00A4362F" w:rsidRPr="000D728A" w:rsidRDefault="00A4362F" w:rsidP="00A4362F">
            <w:pPr>
              <w:spacing w:before="0"/>
              <w:ind w:left="0"/>
              <w:jc w:val="center"/>
              <w:rPr>
                <w:rFonts w:ascii="Calibri" w:hAnsi="Calibri"/>
                <w:b/>
                <w:bCs/>
                <w:color w:val="FFFFFF"/>
                <w:sz w:val="22"/>
                <w:szCs w:val="22"/>
                <w:lang w:eastAsia="en-US"/>
              </w:rPr>
            </w:pPr>
            <w:r w:rsidRPr="000D728A">
              <w:rPr>
                <w:rFonts w:ascii="Calibri" w:hAnsi="Calibri"/>
                <w:b/>
                <w:bCs/>
                <w:color w:val="FFFFFF"/>
                <w:sz w:val="22"/>
                <w:szCs w:val="22"/>
                <w:lang w:eastAsia="en-US"/>
              </w:rPr>
              <w:t>S.E.</w:t>
            </w:r>
          </w:p>
        </w:tc>
        <w:tc>
          <w:tcPr>
            <w:tcW w:w="1095" w:type="dxa"/>
            <w:tcBorders>
              <w:top w:val="single" w:sz="8" w:space="0" w:color="auto"/>
              <w:left w:val="nil"/>
              <w:bottom w:val="double" w:sz="6" w:space="0" w:color="auto"/>
              <w:right w:val="nil"/>
            </w:tcBorders>
            <w:shd w:val="clear" w:color="000000" w:fill="0070C0"/>
            <w:noWrap/>
            <w:vAlign w:val="center"/>
            <w:hideMark/>
          </w:tcPr>
          <w:p w14:paraId="5778E837" w14:textId="77777777" w:rsidR="00A4362F" w:rsidRPr="000D728A" w:rsidRDefault="00A4362F" w:rsidP="00A4362F">
            <w:pPr>
              <w:spacing w:before="0"/>
              <w:ind w:left="0"/>
              <w:jc w:val="center"/>
              <w:rPr>
                <w:rFonts w:ascii="Calibri" w:hAnsi="Calibri"/>
                <w:b/>
                <w:bCs/>
                <w:color w:val="FFFFFF"/>
                <w:sz w:val="22"/>
                <w:szCs w:val="22"/>
                <w:lang w:eastAsia="en-US"/>
              </w:rPr>
            </w:pPr>
            <w:r w:rsidRPr="000D728A">
              <w:rPr>
                <w:rFonts w:ascii="Calibri" w:hAnsi="Calibri"/>
                <w:b/>
                <w:bCs/>
                <w:color w:val="FFFFFF"/>
                <w:sz w:val="22"/>
                <w:szCs w:val="22"/>
                <w:lang w:eastAsia="en-US"/>
              </w:rPr>
              <w:t>Sample size</w:t>
            </w:r>
          </w:p>
        </w:tc>
        <w:tc>
          <w:tcPr>
            <w:tcW w:w="1118" w:type="dxa"/>
            <w:tcBorders>
              <w:top w:val="single" w:sz="8" w:space="0" w:color="auto"/>
              <w:left w:val="single" w:sz="8" w:space="0" w:color="auto"/>
              <w:bottom w:val="double" w:sz="6" w:space="0" w:color="auto"/>
              <w:right w:val="single" w:sz="8" w:space="0" w:color="auto"/>
            </w:tcBorders>
            <w:shd w:val="clear" w:color="000000" w:fill="0070C0"/>
            <w:noWrap/>
            <w:vAlign w:val="center"/>
            <w:hideMark/>
          </w:tcPr>
          <w:p w14:paraId="5778E838" w14:textId="77777777" w:rsidR="00A4362F" w:rsidRPr="000D728A" w:rsidRDefault="00A4362F" w:rsidP="00A4362F">
            <w:pPr>
              <w:spacing w:before="0"/>
              <w:ind w:left="0"/>
              <w:jc w:val="center"/>
              <w:rPr>
                <w:rFonts w:ascii="Calibri" w:hAnsi="Calibri"/>
                <w:b/>
                <w:bCs/>
                <w:color w:val="FFFFFF"/>
                <w:sz w:val="22"/>
                <w:szCs w:val="22"/>
                <w:lang w:eastAsia="en-US"/>
              </w:rPr>
            </w:pPr>
            <w:r w:rsidRPr="000D728A">
              <w:rPr>
                <w:rFonts w:ascii="Calibri" w:hAnsi="Calibri"/>
                <w:b/>
                <w:bCs/>
                <w:color w:val="FFFFFF"/>
                <w:sz w:val="22"/>
                <w:szCs w:val="22"/>
                <w:lang w:eastAsia="en-US"/>
              </w:rPr>
              <w:t>R-Squared</w:t>
            </w:r>
          </w:p>
        </w:tc>
      </w:tr>
      <w:tr w:rsidR="00A4362F" w:rsidRPr="000D728A" w14:paraId="5778E840" w14:textId="77777777" w:rsidTr="00C244CD">
        <w:trPr>
          <w:trHeight w:val="340"/>
        </w:trPr>
        <w:tc>
          <w:tcPr>
            <w:tcW w:w="2116" w:type="dxa"/>
            <w:tcBorders>
              <w:top w:val="nil"/>
              <w:left w:val="single" w:sz="8" w:space="0" w:color="auto"/>
              <w:bottom w:val="single" w:sz="8" w:space="0" w:color="auto"/>
              <w:right w:val="nil"/>
            </w:tcBorders>
            <w:shd w:val="clear" w:color="000000" w:fill="0070C0"/>
            <w:noWrap/>
            <w:vAlign w:val="center"/>
            <w:hideMark/>
          </w:tcPr>
          <w:p w14:paraId="5778E83A" w14:textId="77777777" w:rsidR="00A4362F" w:rsidRPr="000D728A" w:rsidRDefault="00A4362F" w:rsidP="00A4362F">
            <w:pPr>
              <w:spacing w:before="0"/>
              <w:ind w:left="0"/>
              <w:rPr>
                <w:rFonts w:ascii="Calibri" w:hAnsi="Calibri"/>
                <w:b/>
                <w:bCs/>
                <w:color w:val="FFFFFF"/>
                <w:sz w:val="22"/>
                <w:szCs w:val="22"/>
                <w:lang w:eastAsia="en-US"/>
              </w:rPr>
            </w:pPr>
            <w:r w:rsidRPr="000D728A">
              <w:rPr>
                <w:rFonts w:ascii="Calibri" w:hAnsi="Calibri"/>
                <w:b/>
                <w:bCs/>
                <w:color w:val="FFFFFF"/>
                <w:sz w:val="22"/>
                <w:szCs w:val="22"/>
                <w:lang w:eastAsia="en-US"/>
              </w:rPr>
              <w:t xml:space="preserve">Sports </w:t>
            </w:r>
          </w:p>
        </w:tc>
        <w:tc>
          <w:tcPr>
            <w:tcW w:w="1206" w:type="dxa"/>
            <w:tcBorders>
              <w:top w:val="nil"/>
              <w:left w:val="single" w:sz="8" w:space="0" w:color="auto"/>
              <w:bottom w:val="nil"/>
              <w:right w:val="single" w:sz="8" w:space="0" w:color="auto"/>
            </w:tcBorders>
            <w:shd w:val="clear" w:color="000000" w:fill="0070C0"/>
            <w:noWrap/>
            <w:vAlign w:val="bottom"/>
            <w:hideMark/>
          </w:tcPr>
          <w:p w14:paraId="5778E83B" w14:textId="77777777" w:rsidR="00A4362F" w:rsidRPr="000D728A" w:rsidRDefault="00A4362F" w:rsidP="00A4362F">
            <w:pPr>
              <w:spacing w:before="0"/>
              <w:ind w:left="0"/>
              <w:rPr>
                <w:rFonts w:ascii="Cambria" w:hAnsi="Cambria"/>
                <w:color w:val="000000"/>
                <w:lang w:eastAsia="en-US"/>
              </w:rPr>
            </w:pPr>
            <w:r w:rsidRPr="000D728A">
              <w:rPr>
                <w:rFonts w:ascii="Cambria" w:hAnsi="Cambria"/>
                <w:color w:val="000000"/>
                <w:lang w:eastAsia="en-US"/>
              </w:rPr>
              <w:t> </w:t>
            </w:r>
          </w:p>
        </w:tc>
        <w:tc>
          <w:tcPr>
            <w:tcW w:w="1217" w:type="dxa"/>
            <w:tcBorders>
              <w:top w:val="nil"/>
              <w:left w:val="nil"/>
              <w:bottom w:val="nil"/>
              <w:right w:val="nil"/>
            </w:tcBorders>
            <w:shd w:val="clear" w:color="000000" w:fill="0070C0"/>
            <w:noWrap/>
            <w:vAlign w:val="bottom"/>
            <w:hideMark/>
          </w:tcPr>
          <w:p w14:paraId="5778E83C" w14:textId="77777777" w:rsidR="00A4362F" w:rsidRPr="000D728A" w:rsidRDefault="00A4362F" w:rsidP="00A4362F">
            <w:pPr>
              <w:spacing w:before="0"/>
              <w:ind w:left="0"/>
              <w:rPr>
                <w:rFonts w:ascii="Cambria" w:hAnsi="Cambria"/>
                <w:color w:val="000000"/>
                <w:lang w:eastAsia="en-US"/>
              </w:rPr>
            </w:pPr>
            <w:r w:rsidRPr="000D728A">
              <w:rPr>
                <w:rFonts w:ascii="Cambria" w:hAnsi="Cambria"/>
                <w:color w:val="000000"/>
                <w:lang w:eastAsia="en-US"/>
              </w:rPr>
              <w:t> </w:t>
            </w:r>
          </w:p>
        </w:tc>
        <w:tc>
          <w:tcPr>
            <w:tcW w:w="1104" w:type="dxa"/>
            <w:tcBorders>
              <w:top w:val="nil"/>
              <w:left w:val="single" w:sz="8" w:space="0" w:color="auto"/>
              <w:bottom w:val="nil"/>
              <w:right w:val="single" w:sz="8" w:space="0" w:color="auto"/>
            </w:tcBorders>
            <w:shd w:val="clear" w:color="000000" w:fill="0070C0"/>
            <w:noWrap/>
            <w:vAlign w:val="bottom"/>
            <w:hideMark/>
          </w:tcPr>
          <w:p w14:paraId="5778E83D" w14:textId="77777777" w:rsidR="00A4362F" w:rsidRPr="000D728A" w:rsidRDefault="00A4362F" w:rsidP="00A4362F">
            <w:pPr>
              <w:spacing w:before="0"/>
              <w:ind w:left="0"/>
              <w:rPr>
                <w:rFonts w:ascii="Cambria" w:hAnsi="Cambria"/>
                <w:color w:val="000000"/>
                <w:lang w:eastAsia="en-US"/>
              </w:rPr>
            </w:pPr>
            <w:r w:rsidRPr="000D728A">
              <w:rPr>
                <w:rFonts w:ascii="Cambria" w:hAnsi="Cambria"/>
                <w:color w:val="000000"/>
                <w:lang w:eastAsia="en-US"/>
              </w:rPr>
              <w:t> </w:t>
            </w:r>
          </w:p>
        </w:tc>
        <w:tc>
          <w:tcPr>
            <w:tcW w:w="1095" w:type="dxa"/>
            <w:tcBorders>
              <w:top w:val="nil"/>
              <w:left w:val="nil"/>
              <w:bottom w:val="nil"/>
              <w:right w:val="nil"/>
            </w:tcBorders>
            <w:shd w:val="clear" w:color="000000" w:fill="0070C0"/>
            <w:noWrap/>
            <w:vAlign w:val="bottom"/>
            <w:hideMark/>
          </w:tcPr>
          <w:p w14:paraId="5778E83E" w14:textId="77777777" w:rsidR="00A4362F" w:rsidRPr="000D728A" w:rsidRDefault="00A4362F" w:rsidP="00A4362F">
            <w:pPr>
              <w:spacing w:before="0"/>
              <w:ind w:left="0"/>
              <w:rPr>
                <w:rFonts w:ascii="Cambria" w:hAnsi="Cambria"/>
                <w:color w:val="000000"/>
                <w:lang w:eastAsia="en-US"/>
              </w:rPr>
            </w:pPr>
            <w:r w:rsidRPr="000D728A">
              <w:rPr>
                <w:rFonts w:ascii="Cambria" w:hAnsi="Cambria"/>
                <w:color w:val="000000"/>
                <w:lang w:eastAsia="en-US"/>
              </w:rPr>
              <w:t> </w:t>
            </w:r>
          </w:p>
        </w:tc>
        <w:tc>
          <w:tcPr>
            <w:tcW w:w="1118" w:type="dxa"/>
            <w:tcBorders>
              <w:top w:val="nil"/>
              <w:left w:val="single" w:sz="8" w:space="0" w:color="auto"/>
              <w:bottom w:val="nil"/>
              <w:right w:val="single" w:sz="8" w:space="0" w:color="auto"/>
            </w:tcBorders>
            <w:shd w:val="clear" w:color="000000" w:fill="0070C0"/>
            <w:noWrap/>
            <w:vAlign w:val="bottom"/>
            <w:hideMark/>
          </w:tcPr>
          <w:p w14:paraId="5778E83F" w14:textId="77777777" w:rsidR="00A4362F" w:rsidRPr="000D728A" w:rsidRDefault="00A4362F" w:rsidP="00A4362F">
            <w:pPr>
              <w:spacing w:before="0"/>
              <w:ind w:left="0"/>
              <w:rPr>
                <w:rFonts w:ascii="Cambria" w:hAnsi="Cambria"/>
                <w:color w:val="000000"/>
                <w:lang w:eastAsia="en-US"/>
              </w:rPr>
            </w:pPr>
            <w:r w:rsidRPr="000D728A">
              <w:rPr>
                <w:rFonts w:ascii="Cambria" w:hAnsi="Cambria"/>
                <w:color w:val="000000"/>
                <w:lang w:eastAsia="en-US"/>
              </w:rPr>
              <w:t> </w:t>
            </w:r>
          </w:p>
        </w:tc>
      </w:tr>
      <w:tr w:rsidR="00A4362F" w:rsidRPr="000D728A" w14:paraId="5778E847" w14:textId="77777777" w:rsidTr="00C244CD">
        <w:trPr>
          <w:trHeight w:val="280"/>
        </w:trPr>
        <w:tc>
          <w:tcPr>
            <w:tcW w:w="2116" w:type="dxa"/>
            <w:tcBorders>
              <w:top w:val="nil"/>
              <w:left w:val="single" w:sz="8" w:space="0" w:color="auto"/>
              <w:bottom w:val="nil"/>
              <w:right w:val="nil"/>
            </w:tcBorders>
            <w:shd w:val="clear" w:color="auto" w:fill="auto"/>
            <w:noWrap/>
            <w:vAlign w:val="center"/>
            <w:hideMark/>
          </w:tcPr>
          <w:p w14:paraId="5778E841" w14:textId="77777777" w:rsidR="00A4362F" w:rsidRPr="000D728A" w:rsidRDefault="00A4362F" w:rsidP="00A4362F">
            <w:pPr>
              <w:spacing w:before="0"/>
              <w:ind w:left="0"/>
              <w:rPr>
                <w:rFonts w:ascii="Calibri" w:hAnsi="Calibri"/>
                <w:i/>
                <w:iCs/>
                <w:color w:val="000000"/>
                <w:sz w:val="22"/>
                <w:szCs w:val="22"/>
                <w:lang w:eastAsia="en-US"/>
              </w:rPr>
            </w:pPr>
            <w:r w:rsidRPr="000D728A">
              <w:rPr>
                <w:rFonts w:ascii="Calibri" w:hAnsi="Calibri"/>
                <w:i/>
                <w:iCs/>
                <w:color w:val="000000"/>
                <w:sz w:val="22"/>
                <w:szCs w:val="22"/>
                <w:lang w:eastAsia="en-US"/>
              </w:rPr>
              <w:t>All sports</w:t>
            </w:r>
          </w:p>
        </w:tc>
        <w:tc>
          <w:tcPr>
            <w:tcW w:w="1206" w:type="dxa"/>
            <w:tcBorders>
              <w:top w:val="single" w:sz="8" w:space="0" w:color="auto"/>
              <w:left w:val="single" w:sz="8" w:space="0" w:color="auto"/>
              <w:bottom w:val="nil"/>
              <w:right w:val="single" w:sz="8" w:space="0" w:color="auto"/>
            </w:tcBorders>
            <w:shd w:val="clear" w:color="auto" w:fill="auto"/>
            <w:noWrap/>
            <w:vAlign w:val="bottom"/>
            <w:hideMark/>
          </w:tcPr>
          <w:p w14:paraId="5778E842"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0.3988***</w:t>
            </w:r>
          </w:p>
        </w:tc>
        <w:tc>
          <w:tcPr>
            <w:tcW w:w="1217" w:type="dxa"/>
            <w:tcBorders>
              <w:top w:val="nil"/>
              <w:left w:val="nil"/>
              <w:bottom w:val="nil"/>
              <w:right w:val="nil"/>
            </w:tcBorders>
            <w:shd w:val="clear" w:color="auto" w:fill="auto"/>
            <w:noWrap/>
            <w:vAlign w:val="bottom"/>
            <w:hideMark/>
          </w:tcPr>
          <w:p w14:paraId="5778E843" w14:textId="77777777" w:rsidR="00A4362F" w:rsidRPr="000D728A" w:rsidRDefault="00A4362F" w:rsidP="0040417A">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3</w:t>
            </w:r>
            <w:r w:rsidR="0040417A" w:rsidRPr="000D728A">
              <w:rPr>
                <w:rFonts w:ascii="Calibri" w:hAnsi="Calibri"/>
                <w:color w:val="000000"/>
                <w:sz w:val="22"/>
                <w:szCs w:val="22"/>
                <w:lang w:eastAsia="en-US"/>
              </w:rPr>
              <w:t>.4%</w:t>
            </w:r>
          </w:p>
        </w:tc>
        <w:tc>
          <w:tcPr>
            <w:tcW w:w="1104" w:type="dxa"/>
            <w:tcBorders>
              <w:top w:val="nil"/>
              <w:left w:val="single" w:sz="8" w:space="0" w:color="auto"/>
              <w:bottom w:val="nil"/>
              <w:right w:val="single" w:sz="8" w:space="0" w:color="auto"/>
            </w:tcBorders>
            <w:shd w:val="clear" w:color="auto" w:fill="auto"/>
            <w:noWrap/>
            <w:vAlign w:val="bottom"/>
            <w:hideMark/>
          </w:tcPr>
          <w:p w14:paraId="5778E844" w14:textId="77777777" w:rsidR="00A4362F" w:rsidRPr="000D728A" w:rsidRDefault="00F46529"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w:t>
            </w:r>
            <w:r w:rsidR="00A4362F" w:rsidRPr="000D728A">
              <w:rPr>
                <w:rFonts w:ascii="Calibri" w:hAnsi="Calibri"/>
                <w:color w:val="000000"/>
                <w:sz w:val="22"/>
                <w:szCs w:val="22"/>
                <w:lang w:eastAsia="en-US"/>
              </w:rPr>
              <w:t>0.00</w:t>
            </w:r>
            <w:r w:rsidRPr="000D728A">
              <w:rPr>
                <w:rFonts w:ascii="Calibri" w:hAnsi="Calibri"/>
                <w:color w:val="000000"/>
                <w:sz w:val="22"/>
                <w:szCs w:val="22"/>
                <w:lang w:eastAsia="en-US"/>
              </w:rPr>
              <w:t>4)</w:t>
            </w:r>
          </w:p>
        </w:tc>
        <w:tc>
          <w:tcPr>
            <w:tcW w:w="1095" w:type="dxa"/>
            <w:tcBorders>
              <w:top w:val="single" w:sz="8" w:space="0" w:color="auto"/>
              <w:left w:val="nil"/>
              <w:bottom w:val="single" w:sz="4" w:space="0" w:color="auto"/>
              <w:right w:val="nil"/>
            </w:tcBorders>
            <w:shd w:val="clear" w:color="auto" w:fill="auto"/>
            <w:noWrap/>
            <w:vAlign w:val="bottom"/>
            <w:hideMark/>
          </w:tcPr>
          <w:p w14:paraId="5778E845"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32111</w:t>
            </w:r>
          </w:p>
        </w:tc>
        <w:tc>
          <w:tcPr>
            <w:tcW w:w="1118"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778E846"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0.0537</w:t>
            </w:r>
          </w:p>
        </w:tc>
      </w:tr>
      <w:tr w:rsidR="00A4362F" w:rsidRPr="000D728A" w14:paraId="5778E84E" w14:textId="77777777" w:rsidTr="00C244CD">
        <w:trPr>
          <w:trHeight w:val="280"/>
        </w:trPr>
        <w:tc>
          <w:tcPr>
            <w:tcW w:w="2116" w:type="dxa"/>
            <w:tcBorders>
              <w:top w:val="nil"/>
              <w:left w:val="single" w:sz="8" w:space="0" w:color="auto"/>
              <w:bottom w:val="nil"/>
              <w:right w:val="nil"/>
            </w:tcBorders>
            <w:shd w:val="clear" w:color="auto" w:fill="auto"/>
            <w:noWrap/>
            <w:vAlign w:val="center"/>
            <w:hideMark/>
          </w:tcPr>
          <w:p w14:paraId="5778E848" w14:textId="77777777" w:rsidR="00A4362F" w:rsidRPr="000D728A" w:rsidRDefault="00A4362F" w:rsidP="00A4362F">
            <w:pPr>
              <w:spacing w:before="0"/>
              <w:ind w:left="0"/>
              <w:rPr>
                <w:rFonts w:ascii="Calibri" w:hAnsi="Calibri"/>
                <w:i/>
                <w:iCs/>
                <w:color w:val="000000"/>
                <w:sz w:val="22"/>
                <w:szCs w:val="22"/>
                <w:lang w:eastAsia="en-US"/>
              </w:rPr>
            </w:pPr>
            <w:r w:rsidRPr="000D728A">
              <w:rPr>
                <w:rFonts w:ascii="Calibri" w:hAnsi="Calibri"/>
                <w:i/>
                <w:iCs/>
                <w:color w:val="000000"/>
                <w:sz w:val="22"/>
                <w:szCs w:val="22"/>
                <w:lang w:eastAsia="en-US"/>
              </w:rPr>
              <w:t>Team sports</w:t>
            </w:r>
          </w:p>
        </w:tc>
        <w:tc>
          <w:tcPr>
            <w:tcW w:w="120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778E849"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0.5456***</w:t>
            </w:r>
          </w:p>
        </w:tc>
        <w:tc>
          <w:tcPr>
            <w:tcW w:w="1217" w:type="dxa"/>
            <w:tcBorders>
              <w:top w:val="single" w:sz="4" w:space="0" w:color="auto"/>
              <w:left w:val="nil"/>
              <w:bottom w:val="single" w:sz="4" w:space="0" w:color="auto"/>
              <w:right w:val="nil"/>
            </w:tcBorders>
            <w:shd w:val="clear" w:color="auto" w:fill="auto"/>
            <w:noWrap/>
            <w:vAlign w:val="bottom"/>
            <w:hideMark/>
          </w:tcPr>
          <w:p w14:paraId="5778E84A" w14:textId="77777777" w:rsidR="00A4362F" w:rsidRPr="000D728A" w:rsidRDefault="00A4362F" w:rsidP="0040417A">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5</w:t>
            </w:r>
            <w:r w:rsidR="0040417A" w:rsidRPr="000D728A">
              <w:rPr>
                <w:rFonts w:ascii="Calibri" w:hAnsi="Calibri"/>
                <w:color w:val="000000"/>
                <w:sz w:val="22"/>
                <w:szCs w:val="22"/>
                <w:lang w:eastAsia="en-US"/>
              </w:rPr>
              <w:t>.</w:t>
            </w:r>
            <w:r w:rsidRPr="000D728A">
              <w:rPr>
                <w:rFonts w:ascii="Calibri" w:hAnsi="Calibri"/>
                <w:color w:val="000000"/>
                <w:sz w:val="22"/>
                <w:szCs w:val="22"/>
                <w:lang w:eastAsia="en-US"/>
              </w:rPr>
              <w:t>5</w:t>
            </w:r>
            <w:r w:rsidR="0040417A" w:rsidRPr="000D728A">
              <w:rPr>
                <w:rFonts w:ascii="Calibri" w:hAnsi="Calibri"/>
                <w:color w:val="000000"/>
                <w:sz w:val="22"/>
                <w:szCs w:val="22"/>
                <w:lang w:eastAsia="en-US"/>
              </w:rPr>
              <w:t>%</w:t>
            </w:r>
          </w:p>
        </w:tc>
        <w:tc>
          <w:tcPr>
            <w:tcW w:w="110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778E84B" w14:textId="77777777" w:rsidR="00A4362F" w:rsidRPr="000D728A" w:rsidRDefault="00F46529"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w:t>
            </w:r>
            <w:r w:rsidR="00A4362F" w:rsidRPr="000D728A">
              <w:rPr>
                <w:rFonts w:ascii="Calibri" w:hAnsi="Calibri"/>
                <w:color w:val="000000"/>
                <w:sz w:val="22"/>
                <w:szCs w:val="22"/>
                <w:lang w:eastAsia="en-US"/>
              </w:rPr>
              <w:t>0.00</w:t>
            </w:r>
            <w:r w:rsidRPr="000D728A">
              <w:rPr>
                <w:rFonts w:ascii="Calibri" w:hAnsi="Calibri"/>
                <w:color w:val="000000"/>
                <w:sz w:val="22"/>
                <w:szCs w:val="22"/>
                <w:lang w:eastAsia="en-US"/>
              </w:rPr>
              <w:t>6)</w:t>
            </w:r>
          </w:p>
        </w:tc>
        <w:tc>
          <w:tcPr>
            <w:tcW w:w="1095" w:type="dxa"/>
            <w:tcBorders>
              <w:top w:val="nil"/>
              <w:left w:val="nil"/>
              <w:bottom w:val="single" w:sz="4" w:space="0" w:color="auto"/>
              <w:right w:val="nil"/>
            </w:tcBorders>
            <w:shd w:val="clear" w:color="auto" w:fill="auto"/>
            <w:noWrap/>
            <w:vAlign w:val="bottom"/>
            <w:hideMark/>
          </w:tcPr>
          <w:p w14:paraId="5778E84C"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32111</w:t>
            </w:r>
          </w:p>
        </w:tc>
        <w:tc>
          <w:tcPr>
            <w:tcW w:w="1118" w:type="dxa"/>
            <w:tcBorders>
              <w:top w:val="nil"/>
              <w:left w:val="single" w:sz="8" w:space="0" w:color="auto"/>
              <w:bottom w:val="single" w:sz="4" w:space="0" w:color="auto"/>
              <w:right w:val="single" w:sz="8" w:space="0" w:color="auto"/>
            </w:tcBorders>
            <w:shd w:val="clear" w:color="auto" w:fill="auto"/>
            <w:noWrap/>
            <w:vAlign w:val="bottom"/>
            <w:hideMark/>
          </w:tcPr>
          <w:p w14:paraId="5778E84D"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0.0856</w:t>
            </w:r>
          </w:p>
        </w:tc>
      </w:tr>
      <w:tr w:rsidR="00A4362F" w:rsidRPr="000D728A" w14:paraId="5778E855" w14:textId="77777777" w:rsidTr="00C244CD">
        <w:trPr>
          <w:trHeight w:val="280"/>
        </w:trPr>
        <w:tc>
          <w:tcPr>
            <w:tcW w:w="2116" w:type="dxa"/>
            <w:tcBorders>
              <w:top w:val="nil"/>
              <w:left w:val="single" w:sz="8" w:space="0" w:color="auto"/>
              <w:bottom w:val="nil"/>
              <w:right w:val="nil"/>
            </w:tcBorders>
            <w:shd w:val="clear" w:color="auto" w:fill="auto"/>
            <w:noWrap/>
            <w:vAlign w:val="center"/>
            <w:hideMark/>
          </w:tcPr>
          <w:p w14:paraId="5778E84F" w14:textId="77777777" w:rsidR="00A4362F" w:rsidRPr="000D728A" w:rsidRDefault="00A4362F" w:rsidP="00A4362F">
            <w:pPr>
              <w:spacing w:before="0"/>
              <w:ind w:left="0"/>
              <w:rPr>
                <w:rFonts w:ascii="Calibri" w:hAnsi="Calibri"/>
                <w:i/>
                <w:iCs/>
                <w:color w:val="000000"/>
                <w:sz w:val="22"/>
                <w:szCs w:val="22"/>
                <w:lang w:eastAsia="en-US"/>
              </w:rPr>
            </w:pPr>
            <w:r w:rsidRPr="000D728A">
              <w:rPr>
                <w:rFonts w:ascii="Calibri" w:hAnsi="Calibri"/>
                <w:i/>
                <w:iCs/>
                <w:color w:val="000000"/>
                <w:sz w:val="22"/>
                <w:szCs w:val="22"/>
                <w:lang w:eastAsia="en-US"/>
              </w:rPr>
              <w:t>Individual sports</w:t>
            </w:r>
          </w:p>
        </w:tc>
        <w:tc>
          <w:tcPr>
            <w:tcW w:w="1206" w:type="dxa"/>
            <w:tcBorders>
              <w:top w:val="nil"/>
              <w:left w:val="single" w:sz="8" w:space="0" w:color="auto"/>
              <w:bottom w:val="single" w:sz="4" w:space="0" w:color="auto"/>
              <w:right w:val="single" w:sz="8" w:space="0" w:color="auto"/>
            </w:tcBorders>
            <w:shd w:val="clear" w:color="auto" w:fill="auto"/>
            <w:noWrap/>
            <w:vAlign w:val="bottom"/>
            <w:hideMark/>
          </w:tcPr>
          <w:p w14:paraId="5778E850"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0.2874***</w:t>
            </w:r>
          </w:p>
        </w:tc>
        <w:tc>
          <w:tcPr>
            <w:tcW w:w="1217" w:type="dxa"/>
            <w:tcBorders>
              <w:top w:val="nil"/>
              <w:left w:val="nil"/>
              <w:bottom w:val="single" w:sz="4" w:space="0" w:color="auto"/>
              <w:right w:val="nil"/>
            </w:tcBorders>
            <w:shd w:val="clear" w:color="auto" w:fill="auto"/>
            <w:noWrap/>
            <w:vAlign w:val="bottom"/>
            <w:hideMark/>
          </w:tcPr>
          <w:p w14:paraId="5778E851" w14:textId="77777777" w:rsidR="00A4362F" w:rsidRPr="000D728A" w:rsidRDefault="0040417A" w:rsidP="0040417A">
            <w:pPr>
              <w:spacing w:before="0"/>
              <w:ind w:left="0"/>
              <w:jc w:val="center"/>
              <w:rPr>
                <w:rFonts w:ascii="Calibri" w:hAnsi="Calibri"/>
                <w:color w:val="000000"/>
                <w:sz w:val="22"/>
                <w:szCs w:val="22"/>
                <w:lang w:eastAsia="en-US"/>
              </w:rPr>
            </w:pPr>
            <w:r w:rsidRPr="000D728A" w:rsidDel="0040417A">
              <w:rPr>
                <w:rFonts w:ascii="Calibri" w:hAnsi="Calibri"/>
                <w:color w:val="000000"/>
                <w:sz w:val="22"/>
                <w:szCs w:val="22"/>
                <w:lang w:eastAsia="en-US"/>
              </w:rPr>
              <w:t xml:space="preserve"> </w:t>
            </w:r>
            <w:r w:rsidR="00A4362F" w:rsidRPr="000D728A">
              <w:rPr>
                <w:rFonts w:ascii="Calibri" w:hAnsi="Calibri"/>
                <w:color w:val="000000"/>
                <w:sz w:val="22"/>
                <w:szCs w:val="22"/>
                <w:lang w:eastAsia="en-US"/>
              </w:rPr>
              <w:t>2</w:t>
            </w:r>
            <w:r w:rsidRPr="000D728A">
              <w:rPr>
                <w:rFonts w:ascii="Calibri" w:hAnsi="Calibri"/>
                <w:color w:val="000000"/>
                <w:sz w:val="22"/>
                <w:szCs w:val="22"/>
                <w:lang w:eastAsia="en-US"/>
              </w:rPr>
              <w:t>.5%</w:t>
            </w:r>
          </w:p>
        </w:tc>
        <w:tc>
          <w:tcPr>
            <w:tcW w:w="1104" w:type="dxa"/>
            <w:tcBorders>
              <w:top w:val="nil"/>
              <w:left w:val="single" w:sz="8" w:space="0" w:color="auto"/>
              <w:bottom w:val="single" w:sz="4" w:space="0" w:color="auto"/>
              <w:right w:val="single" w:sz="8" w:space="0" w:color="auto"/>
            </w:tcBorders>
            <w:shd w:val="clear" w:color="auto" w:fill="auto"/>
            <w:noWrap/>
            <w:vAlign w:val="bottom"/>
            <w:hideMark/>
          </w:tcPr>
          <w:p w14:paraId="5778E852" w14:textId="77777777" w:rsidR="00A4362F" w:rsidRPr="000D728A" w:rsidRDefault="00F46529"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w:t>
            </w:r>
            <w:r w:rsidR="00A4362F" w:rsidRPr="000D728A">
              <w:rPr>
                <w:rFonts w:ascii="Calibri" w:hAnsi="Calibri"/>
                <w:color w:val="000000"/>
                <w:sz w:val="22"/>
                <w:szCs w:val="22"/>
                <w:lang w:eastAsia="en-US"/>
              </w:rPr>
              <w:t>0.00</w:t>
            </w:r>
            <w:r w:rsidRPr="000D728A">
              <w:rPr>
                <w:rFonts w:ascii="Calibri" w:hAnsi="Calibri"/>
                <w:color w:val="000000"/>
                <w:sz w:val="22"/>
                <w:szCs w:val="22"/>
                <w:lang w:eastAsia="en-US"/>
              </w:rPr>
              <w:t>4)</w:t>
            </w:r>
          </w:p>
        </w:tc>
        <w:tc>
          <w:tcPr>
            <w:tcW w:w="1095" w:type="dxa"/>
            <w:tcBorders>
              <w:top w:val="nil"/>
              <w:left w:val="nil"/>
              <w:bottom w:val="single" w:sz="4" w:space="0" w:color="auto"/>
              <w:right w:val="nil"/>
            </w:tcBorders>
            <w:shd w:val="clear" w:color="auto" w:fill="auto"/>
            <w:noWrap/>
            <w:vAlign w:val="bottom"/>
            <w:hideMark/>
          </w:tcPr>
          <w:p w14:paraId="5778E853"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32111</w:t>
            </w:r>
          </w:p>
        </w:tc>
        <w:tc>
          <w:tcPr>
            <w:tcW w:w="1118" w:type="dxa"/>
            <w:tcBorders>
              <w:top w:val="nil"/>
              <w:left w:val="single" w:sz="8" w:space="0" w:color="auto"/>
              <w:bottom w:val="single" w:sz="4" w:space="0" w:color="auto"/>
              <w:right w:val="single" w:sz="8" w:space="0" w:color="auto"/>
            </w:tcBorders>
            <w:shd w:val="clear" w:color="auto" w:fill="auto"/>
            <w:noWrap/>
            <w:vAlign w:val="bottom"/>
            <w:hideMark/>
          </w:tcPr>
          <w:p w14:paraId="5778E854"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0.0856</w:t>
            </w:r>
          </w:p>
        </w:tc>
      </w:tr>
      <w:tr w:rsidR="00A4362F" w:rsidRPr="000D728A" w14:paraId="5778E85C" w14:textId="77777777" w:rsidTr="00C244CD">
        <w:trPr>
          <w:trHeight w:val="280"/>
        </w:trPr>
        <w:tc>
          <w:tcPr>
            <w:tcW w:w="2116" w:type="dxa"/>
            <w:tcBorders>
              <w:top w:val="nil"/>
              <w:left w:val="single" w:sz="8" w:space="0" w:color="auto"/>
              <w:bottom w:val="nil"/>
              <w:right w:val="nil"/>
            </w:tcBorders>
            <w:shd w:val="clear" w:color="auto" w:fill="auto"/>
            <w:noWrap/>
            <w:vAlign w:val="center"/>
            <w:hideMark/>
          </w:tcPr>
          <w:p w14:paraId="5778E856" w14:textId="77777777" w:rsidR="00A4362F" w:rsidRPr="000D728A" w:rsidRDefault="00A4362F" w:rsidP="00A4362F">
            <w:pPr>
              <w:spacing w:before="0"/>
              <w:ind w:left="0"/>
              <w:rPr>
                <w:rFonts w:ascii="Calibri" w:hAnsi="Calibri"/>
                <w:i/>
                <w:iCs/>
                <w:color w:val="000000"/>
                <w:sz w:val="22"/>
                <w:szCs w:val="22"/>
                <w:lang w:eastAsia="en-US"/>
              </w:rPr>
            </w:pPr>
            <w:r w:rsidRPr="000D728A">
              <w:rPr>
                <w:rFonts w:ascii="Calibri" w:hAnsi="Calibri"/>
                <w:i/>
                <w:iCs/>
                <w:color w:val="000000"/>
                <w:sz w:val="22"/>
                <w:szCs w:val="22"/>
                <w:lang w:eastAsia="en-US"/>
              </w:rPr>
              <w:t>Football</w:t>
            </w:r>
          </w:p>
        </w:tc>
        <w:tc>
          <w:tcPr>
            <w:tcW w:w="1206" w:type="dxa"/>
            <w:tcBorders>
              <w:top w:val="nil"/>
              <w:left w:val="single" w:sz="8" w:space="0" w:color="auto"/>
              <w:bottom w:val="single" w:sz="4" w:space="0" w:color="auto"/>
              <w:right w:val="single" w:sz="8" w:space="0" w:color="auto"/>
            </w:tcBorders>
            <w:shd w:val="clear" w:color="auto" w:fill="auto"/>
            <w:noWrap/>
            <w:vAlign w:val="bottom"/>
            <w:hideMark/>
          </w:tcPr>
          <w:p w14:paraId="5778E857"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0.2477***</w:t>
            </w:r>
          </w:p>
        </w:tc>
        <w:tc>
          <w:tcPr>
            <w:tcW w:w="1217" w:type="dxa"/>
            <w:tcBorders>
              <w:top w:val="nil"/>
              <w:left w:val="nil"/>
              <w:bottom w:val="single" w:sz="4" w:space="0" w:color="auto"/>
              <w:right w:val="nil"/>
            </w:tcBorders>
            <w:shd w:val="clear" w:color="auto" w:fill="auto"/>
            <w:noWrap/>
            <w:vAlign w:val="bottom"/>
            <w:hideMark/>
          </w:tcPr>
          <w:p w14:paraId="5778E858" w14:textId="77777777" w:rsidR="00A4362F" w:rsidRPr="000D728A" w:rsidRDefault="00A4362F" w:rsidP="0040417A">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2</w:t>
            </w:r>
            <w:r w:rsidR="0040417A" w:rsidRPr="000D728A">
              <w:rPr>
                <w:rFonts w:ascii="Calibri" w:hAnsi="Calibri"/>
                <w:color w:val="000000"/>
                <w:sz w:val="22"/>
                <w:szCs w:val="22"/>
                <w:lang w:eastAsia="en-US"/>
              </w:rPr>
              <w:t>.</w:t>
            </w:r>
            <w:r w:rsidRPr="000D728A">
              <w:rPr>
                <w:rFonts w:ascii="Calibri" w:hAnsi="Calibri"/>
                <w:color w:val="000000"/>
                <w:sz w:val="22"/>
                <w:szCs w:val="22"/>
                <w:lang w:eastAsia="en-US"/>
              </w:rPr>
              <w:t>4</w:t>
            </w:r>
            <w:r w:rsidR="0040417A" w:rsidRPr="000D728A">
              <w:rPr>
                <w:rFonts w:ascii="Calibri" w:hAnsi="Calibri"/>
                <w:color w:val="000000"/>
                <w:sz w:val="22"/>
                <w:szCs w:val="22"/>
                <w:lang w:eastAsia="en-US"/>
              </w:rPr>
              <w:t>%</w:t>
            </w:r>
          </w:p>
        </w:tc>
        <w:tc>
          <w:tcPr>
            <w:tcW w:w="1104" w:type="dxa"/>
            <w:tcBorders>
              <w:top w:val="nil"/>
              <w:left w:val="single" w:sz="8" w:space="0" w:color="auto"/>
              <w:bottom w:val="single" w:sz="4" w:space="0" w:color="auto"/>
              <w:right w:val="single" w:sz="8" w:space="0" w:color="auto"/>
            </w:tcBorders>
            <w:shd w:val="clear" w:color="auto" w:fill="auto"/>
            <w:noWrap/>
            <w:vAlign w:val="bottom"/>
            <w:hideMark/>
          </w:tcPr>
          <w:p w14:paraId="5778E859" w14:textId="77777777" w:rsidR="00A4362F" w:rsidRPr="000D728A" w:rsidRDefault="00F46529"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w:t>
            </w:r>
            <w:r w:rsidR="00A4362F" w:rsidRPr="000D728A">
              <w:rPr>
                <w:rFonts w:ascii="Calibri" w:hAnsi="Calibri"/>
                <w:color w:val="000000"/>
                <w:sz w:val="22"/>
                <w:szCs w:val="22"/>
                <w:lang w:eastAsia="en-US"/>
              </w:rPr>
              <w:t>0.007</w:t>
            </w:r>
            <w:r w:rsidRPr="000D728A">
              <w:rPr>
                <w:rFonts w:ascii="Calibri" w:hAnsi="Calibri"/>
                <w:color w:val="000000"/>
                <w:sz w:val="22"/>
                <w:szCs w:val="22"/>
                <w:lang w:eastAsia="en-US"/>
              </w:rPr>
              <w:t>)</w:t>
            </w:r>
          </w:p>
        </w:tc>
        <w:tc>
          <w:tcPr>
            <w:tcW w:w="1095" w:type="dxa"/>
            <w:tcBorders>
              <w:top w:val="nil"/>
              <w:left w:val="nil"/>
              <w:bottom w:val="single" w:sz="4" w:space="0" w:color="auto"/>
              <w:right w:val="nil"/>
            </w:tcBorders>
            <w:shd w:val="clear" w:color="auto" w:fill="auto"/>
            <w:noWrap/>
            <w:vAlign w:val="bottom"/>
            <w:hideMark/>
          </w:tcPr>
          <w:p w14:paraId="5778E85A"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32111</w:t>
            </w:r>
          </w:p>
        </w:tc>
        <w:tc>
          <w:tcPr>
            <w:tcW w:w="1118" w:type="dxa"/>
            <w:tcBorders>
              <w:top w:val="nil"/>
              <w:left w:val="single" w:sz="8" w:space="0" w:color="auto"/>
              <w:bottom w:val="single" w:sz="4" w:space="0" w:color="auto"/>
              <w:right w:val="single" w:sz="8" w:space="0" w:color="auto"/>
            </w:tcBorders>
            <w:shd w:val="clear" w:color="auto" w:fill="auto"/>
            <w:noWrap/>
            <w:vAlign w:val="bottom"/>
            <w:hideMark/>
          </w:tcPr>
          <w:p w14:paraId="5778E85B"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0.0531</w:t>
            </w:r>
          </w:p>
        </w:tc>
      </w:tr>
      <w:tr w:rsidR="00A4362F" w:rsidRPr="000D728A" w14:paraId="5778E863" w14:textId="77777777" w:rsidTr="00C244CD">
        <w:trPr>
          <w:trHeight w:val="280"/>
        </w:trPr>
        <w:tc>
          <w:tcPr>
            <w:tcW w:w="2116" w:type="dxa"/>
            <w:tcBorders>
              <w:top w:val="nil"/>
              <w:left w:val="single" w:sz="8" w:space="0" w:color="auto"/>
              <w:bottom w:val="nil"/>
              <w:right w:val="nil"/>
            </w:tcBorders>
            <w:shd w:val="clear" w:color="auto" w:fill="auto"/>
            <w:noWrap/>
            <w:vAlign w:val="center"/>
            <w:hideMark/>
          </w:tcPr>
          <w:p w14:paraId="5778E85D" w14:textId="77777777" w:rsidR="00A4362F" w:rsidRPr="000D728A" w:rsidRDefault="00A4362F" w:rsidP="00A4362F">
            <w:pPr>
              <w:spacing w:before="0"/>
              <w:ind w:left="0"/>
              <w:rPr>
                <w:rFonts w:ascii="Calibri" w:hAnsi="Calibri"/>
                <w:i/>
                <w:iCs/>
                <w:color w:val="000000"/>
                <w:sz w:val="22"/>
                <w:szCs w:val="22"/>
                <w:lang w:eastAsia="en-US"/>
              </w:rPr>
            </w:pPr>
            <w:r w:rsidRPr="000D728A">
              <w:rPr>
                <w:rFonts w:ascii="Calibri" w:hAnsi="Calibri"/>
                <w:i/>
                <w:iCs/>
                <w:color w:val="000000"/>
                <w:sz w:val="22"/>
                <w:szCs w:val="22"/>
                <w:lang w:eastAsia="en-US"/>
              </w:rPr>
              <w:t>Swimming</w:t>
            </w:r>
          </w:p>
        </w:tc>
        <w:tc>
          <w:tcPr>
            <w:tcW w:w="1206" w:type="dxa"/>
            <w:tcBorders>
              <w:top w:val="nil"/>
              <w:left w:val="single" w:sz="8" w:space="0" w:color="auto"/>
              <w:bottom w:val="single" w:sz="4" w:space="0" w:color="auto"/>
              <w:right w:val="single" w:sz="8" w:space="0" w:color="auto"/>
            </w:tcBorders>
            <w:shd w:val="clear" w:color="auto" w:fill="auto"/>
            <w:noWrap/>
            <w:vAlign w:val="bottom"/>
            <w:hideMark/>
          </w:tcPr>
          <w:p w14:paraId="5778E85E"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0.1245***</w:t>
            </w:r>
          </w:p>
        </w:tc>
        <w:tc>
          <w:tcPr>
            <w:tcW w:w="1217" w:type="dxa"/>
            <w:tcBorders>
              <w:top w:val="nil"/>
              <w:left w:val="nil"/>
              <w:bottom w:val="single" w:sz="4" w:space="0" w:color="auto"/>
              <w:right w:val="nil"/>
            </w:tcBorders>
            <w:shd w:val="clear" w:color="auto" w:fill="auto"/>
            <w:noWrap/>
            <w:vAlign w:val="bottom"/>
            <w:hideMark/>
          </w:tcPr>
          <w:p w14:paraId="5778E85F" w14:textId="77777777" w:rsidR="00A4362F" w:rsidRPr="000D728A" w:rsidRDefault="0040417A" w:rsidP="0040417A">
            <w:pPr>
              <w:spacing w:before="0"/>
              <w:ind w:left="0"/>
              <w:jc w:val="center"/>
              <w:rPr>
                <w:rFonts w:ascii="Calibri" w:hAnsi="Calibri"/>
                <w:color w:val="000000"/>
                <w:sz w:val="22"/>
                <w:szCs w:val="22"/>
                <w:lang w:eastAsia="en-US"/>
              </w:rPr>
            </w:pPr>
            <w:r w:rsidRPr="000D728A" w:rsidDel="0040417A">
              <w:rPr>
                <w:rFonts w:ascii="Calibri" w:hAnsi="Calibri"/>
                <w:color w:val="000000"/>
                <w:sz w:val="22"/>
                <w:szCs w:val="22"/>
                <w:lang w:eastAsia="en-US"/>
              </w:rPr>
              <w:t xml:space="preserve"> </w:t>
            </w:r>
            <w:r w:rsidR="00A4362F" w:rsidRPr="000D728A">
              <w:rPr>
                <w:rFonts w:ascii="Calibri" w:hAnsi="Calibri"/>
                <w:color w:val="000000"/>
                <w:sz w:val="22"/>
                <w:szCs w:val="22"/>
                <w:lang w:eastAsia="en-US"/>
              </w:rPr>
              <w:t>1</w:t>
            </w:r>
            <w:r w:rsidRPr="000D728A">
              <w:rPr>
                <w:rFonts w:ascii="Calibri" w:hAnsi="Calibri"/>
                <w:color w:val="000000"/>
                <w:sz w:val="22"/>
                <w:szCs w:val="22"/>
                <w:lang w:eastAsia="en-US"/>
              </w:rPr>
              <w:t>.</w:t>
            </w:r>
            <w:r w:rsidR="00A4362F" w:rsidRPr="000D728A">
              <w:rPr>
                <w:rFonts w:ascii="Calibri" w:hAnsi="Calibri"/>
                <w:color w:val="000000"/>
                <w:sz w:val="22"/>
                <w:szCs w:val="22"/>
                <w:lang w:eastAsia="en-US"/>
              </w:rPr>
              <w:t>1</w:t>
            </w:r>
            <w:r w:rsidRPr="000D728A">
              <w:rPr>
                <w:rFonts w:ascii="Calibri" w:hAnsi="Calibri"/>
                <w:color w:val="000000"/>
                <w:sz w:val="22"/>
                <w:szCs w:val="22"/>
                <w:lang w:eastAsia="en-US"/>
              </w:rPr>
              <w:t>%</w:t>
            </w:r>
          </w:p>
        </w:tc>
        <w:tc>
          <w:tcPr>
            <w:tcW w:w="1104" w:type="dxa"/>
            <w:tcBorders>
              <w:top w:val="nil"/>
              <w:left w:val="single" w:sz="8" w:space="0" w:color="auto"/>
              <w:bottom w:val="single" w:sz="4" w:space="0" w:color="auto"/>
              <w:right w:val="single" w:sz="8" w:space="0" w:color="auto"/>
            </w:tcBorders>
            <w:shd w:val="clear" w:color="auto" w:fill="auto"/>
            <w:noWrap/>
            <w:vAlign w:val="bottom"/>
            <w:hideMark/>
          </w:tcPr>
          <w:p w14:paraId="5778E860" w14:textId="77777777" w:rsidR="00A4362F" w:rsidRPr="000D728A" w:rsidRDefault="00F46529"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w:t>
            </w:r>
            <w:r w:rsidR="00A4362F" w:rsidRPr="000D728A">
              <w:rPr>
                <w:rFonts w:ascii="Calibri" w:hAnsi="Calibri"/>
                <w:color w:val="000000"/>
                <w:sz w:val="22"/>
                <w:szCs w:val="22"/>
                <w:lang w:eastAsia="en-US"/>
              </w:rPr>
              <w:t>0.00</w:t>
            </w:r>
            <w:r w:rsidRPr="000D728A">
              <w:rPr>
                <w:rFonts w:ascii="Calibri" w:hAnsi="Calibri"/>
                <w:color w:val="000000"/>
                <w:sz w:val="22"/>
                <w:szCs w:val="22"/>
                <w:lang w:eastAsia="en-US"/>
              </w:rPr>
              <w:t>4)</w:t>
            </w:r>
          </w:p>
        </w:tc>
        <w:tc>
          <w:tcPr>
            <w:tcW w:w="1095" w:type="dxa"/>
            <w:tcBorders>
              <w:top w:val="nil"/>
              <w:left w:val="nil"/>
              <w:bottom w:val="single" w:sz="4" w:space="0" w:color="auto"/>
              <w:right w:val="nil"/>
            </w:tcBorders>
            <w:shd w:val="clear" w:color="auto" w:fill="auto"/>
            <w:noWrap/>
            <w:vAlign w:val="bottom"/>
            <w:hideMark/>
          </w:tcPr>
          <w:p w14:paraId="5778E861"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32111</w:t>
            </w:r>
          </w:p>
        </w:tc>
        <w:tc>
          <w:tcPr>
            <w:tcW w:w="1118" w:type="dxa"/>
            <w:tcBorders>
              <w:top w:val="nil"/>
              <w:left w:val="single" w:sz="8" w:space="0" w:color="auto"/>
              <w:bottom w:val="single" w:sz="4" w:space="0" w:color="auto"/>
              <w:right w:val="single" w:sz="8" w:space="0" w:color="auto"/>
            </w:tcBorders>
            <w:shd w:val="clear" w:color="auto" w:fill="auto"/>
            <w:noWrap/>
            <w:vAlign w:val="bottom"/>
            <w:hideMark/>
          </w:tcPr>
          <w:p w14:paraId="5778E862"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0.0531</w:t>
            </w:r>
          </w:p>
        </w:tc>
      </w:tr>
      <w:tr w:rsidR="00A4362F" w:rsidRPr="000D728A" w14:paraId="5778E86A" w14:textId="77777777" w:rsidTr="00C244CD">
        <w:trPr>
          <w:trHeight w:val="300"/>
        </w:trPr>
        <w:tc>
          <w:tcPr>
            <w:tcW w:w="2116" w:type="dxa"/>
            <w:tcBorders>
              <w:top w:val="nil"/>
              <w:left w:val="single" w:sz="8" w:space="0" w:color="auto"/>
              <w:bottom w:val="single" w:sz="8" w:space="0" w:color="auto"/>
              <w:right w:val="nil"/>
            </w:tcBorders>
            <w:shd w:val="clear" w:color="auto" w:fill="auto"/>
            <w:noWrap/>
            <w:vAlign w:val="center"/>
            <w:hideMark/>
          </w:tcPr>
          <w:p w14:paraId="5778E864" w14:textId="77777777" w:rsidR="00A4362F" w:rsidRPr="000D728A" w:rsidRDefault="00A4362F" w:rsidP="00A4362F">
            <w:pPr>
              <w:spacing w:before="0"/>
              <w:ind w:left="0"/>
              <w:rPr>
                <w:rFonts w:ascii="Calibri" w:hAnsi="Calibri"/>
                <w:i/>
                <w:iCs/>
                <w:color w:val="000000"/>
                <w:sz w:val="22"/>
                <w:szCs w:val="22"/>
                <w:lang w:eastAsia="en-US"/>
              </w:rPr>
            </w:pPr>
            <w:r w:rsidRPr="000D728A">
              <w:rPr>
                <w:rFonts w:ascii="Calibri" w:hAnsi="Calibri"/>
                <w:i/>
                <w:iCs/>
                <w:color w:val="000000"/>
                <w:sz w:val="22"/>
                <w:szCs w:val="22"/>
                <w:lang w:eastAsia="en-US"/>
              </w:rPr>
              <w:t>Cycling</w:t>
            </w:r>
          </w:p>
        </w:tc>
        <w:tc>
          <w:tcPr>
            <w:tcW w:w="1206" w:type="dxa"/>
            <w:tcBorders>
              <w:top w:val="nil"/>
              <w:left w:val="single" w:sz="8" w:space="0" w:color="auto"/>
              <w:bottom w:val="single" w:sz="8" w:space="0" w:color="auto"/>
              <w:right w:val="single" w:sz="8" w:space="0" w:color="auto"/>
            </w:tcBorders>
            <w:shd w:val="clear" w:color="auto" w:fill="auto"/>
            <w:noWrap/>
            <w:vAlign w:val="bottom"/>
            <w:hideMark/>
          </w:tcPr>
          <w:p w14:paraId="5778E865"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0.2243***</w:t>
            </w:r>
          </w:p>
        </w:tc>
        <w:tc>
          <w:tcPr>
            <w:tcW w:w="1217" w:type="dxa"/>
            <w:tcBorders>
              <w:top w:val="nil"/>
              <w:left w:val="nil"/>
              <w:bottom w:val="single" w:sz="8" w:space="0" w:color="auto"/>
              <w:right w:val="nil"/>
            </w:tcBorders>
            <w:shd w:val="clear" w:color="auto" w:fill="auto"/>
            <w:noWrap/>
            <w:vAlign w:val="bottom"/>
            <w:hideMark/>
          </w:tcPr>
          <w:p w14:paraId="5778E866" w14:textId="77777777" w:rsidR="00A4362F" w:rsidRPr="000D728A" w:rsidRDefault="00A4362F" w:rsidP="0040417A">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2</w:t>
            </w:r>
            <w:r w:rsidR="0040417A" w:rsidRPr="000D728A">
              <w:rPr>
                <w:rFonts w:ascii="Calibri" w:hAnsi="Calibri"/>
                <w:color w:val="000000"/>
                <w:sz w:val="22"/>
                <w:szCs w:val="22"/>
                <w:lang w:eastAsia="en-US"/>
              </w:rPr>
              <w:t>.</w:t>
            </w:r>
            <w:r w:rsidRPr="000D728A">
              <w:rPr>
                <w:rFonts w:ascii="Calibri" w:hAnsi="Calibri"/>
                <w:color w:val="000000"/>
                <w:sz w:val="22"/>
                <w:szCs w:val="22"/>
                <w:lang w:eastAsia="en-US"/>
              </w:rPr>
              <w:t>1</w:t>
            </w:r>
            <w:r w:rsidR="0040417A" w:rsidRPr="000D728A">
              <w:rPr>
                <w:rFonts w:ascii="Calibri" w:hAnsi="Calibri"/>
                <w:color w:val="000000"/>
                <w:sz w:val="22"/>
                <w:szCs w:val="22"/>
                <w:lang w:eastAsia="en-US"/>
              </w:rPr>
              <w:t>%</w:t>
            </w:r>
          </w:p>
        </w:tc>
        <w:tc>
          <w:tcPr>
            <w:tcW w:w="1104" w:type="dxa"/>
            <w:tcBorders>
              <w:top w:val="nil"/>
              <w:left w:val="single" w:sz="8" w:space="0" w:color="auto"/>
              <w:bottom w:val="single" w:sz="8" w:space="0" w:color="auto"/>
              <w:right w:val="single" w:sz="8" w:space="0" w:color="auto"/>
            </w:tcBorders>
            <w:shd w:val="clear" w:color="auto" w:fill="auto"/>
            <w:noWrap/>
            <w:vAlign w:val="bottom"/>
            <w:hideMark/>
          </w:tcPr>
          <w:p w14:paraId="5778E867" w14:textId="77777777" w:rsidR="00A4362F" w:rsidRPr="000D728A" w:rsidRDefault="00F46529"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w:t>
            </w:r>
            <w:r w:rsidR="00A4362F" w:rsidRPr="000D728A">
              <w:rPr>
                <w:rFonts w:ascii="Calibri" w:hAnsi="Calibri"/>
                <w:color w:val="000000"/>
                <w:sz w:val="22"/>
                <w:szCs w:val="22"/>
                <w:lang w:eastAsia="en-US"/>
              </w:rPr>
              <w:t>0.00</w:t>
            </w:r>
            <w:r w:rsidRPr="000D728A">
              <w:rPr>
                <w:rFonts w:ascii="Calibri" w:hAnsi="Calibri"/>
                <w:color w:val="000000"/>
                <w:sz w:val="22"/>
                <w:szCs w:val="22"/>
                <w:lang w:eastAsia="en-US"/>
              </w:rPr>
              <w:t>5)</w:t>
            </w:r>
          </w:p>
        </w:tc>
        <w:tc>
          <w:tcPr>
            <w:tcW w:w="1095" w:type="dxa"/>
            <w:tcBorders>
              <w:top w:val="nil"/>
              <w:left w:val="nil"/>
              <w:bottom w:val="single" w:sz="8" w:space="0" w:color="auto"/>
              <w:right w:val="nil"/>
            </w:tcBorders>
            <w:shd w:val="clear" w:color="auto" w:fill="auto"/>
            <w:noWrap/>
            <w:vAlign w:val="bottom"/>
            <w:hideMark/>
          </w:tcPr>
          <w:p w14:paraId="5778E868"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32111</w:t>
            </w:r>
          </w:p>
        </w:tc>
        <w:tc>
          <w:tcPr>
            <w:tcW w:w="1118" w:type="dxa"/>
            <w:tcBorders>
              <w:top w:val="nil"/>
              <w:left w:val="single" w:sz="8" w:space="0" w:color="auto"/>
              <w:bottom w:val="single" w:sz="8" w:space="0" w:color="auto"/>
              <w:right w:val="single" w:sz="8" w:space="0" w:color="auto"/>
            </w:tcBorders>
            <w:shd w:val="clear" w:color="auto" w:fill="auto"/>
            <w:noWrap/>
            <w:vAlign w:val="bottom"/>
            <w:hideMark/>
          </w:tcPr>
          <w:p w14:paraId="5778E869"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0.0531</w:t>
            </w:r>
          </w:p>
        </w:tc>
      </w:tr>
      <w:tr w:rsidR="00A4362F" w:rsidRPr="000D728A" w14:paraId="5778E871" w14:textId="77777777" w:rsidTr="00C244CD">
        <w:trPr>
          <w:trHeight w:val="320"/>
        </w:trPr>
        <w:tc>
          <w:tcPr>
            <w:tcW w:w="2116" w:type="dxa"/>
            <w:tcBorders>
              <w:top w:val="nil"/>
              <w:left w:val="single" w:sz="8" w:space="0" w:color="auto"/>
              <w:bottom w:val="single" w:sz="8" w:space="0" w:color="auto"/>
              <w:right w:val="nil"/>
            </w:tcBorders>
            <w:shd w:val="clear" w:color="000000" w:fill="0070C0"/>
            <w:noWrap/>
            <w:vAlign w:val="center"/>
            <w:hideMark/>
          </w:tcPr>
          <w:p w14:paraId="5778E86B" w14:textId="77777777" w:rsidR="00A4362F" w:rsidRPr="000D728A" w:rsidRDefault="00A4362F" w:rsidP="00A4362F">
            <w:pPr>
              <w:spacing w:before="0"/>
              <w:ind w:left="0"/>
              <w:rPr>
                <w:rFonts w:ascii="Calibri" w:hAnsi="Calibri"/>
                <w:b/>
                <w:bCs/>
                <w:color w:val="FFFFFF"/>
                <w:sz w:val="22"/>
                <w:szCs w:val="22"/>
                <w:lang w:eastAsia="en-US"/>
              </w:rPr>
            </w:pPr>
            <w:r w:rsidRPr="000D728A">
              <w:rPr>
                <w:rFonts w:ascii="Calibri" w:hAnsi="Calibri"/>
                <w:b/>
                <w:bCs/>
                <w:color w:val="FFFFFF"/>
                <w:sz w:val="22"/>
                <w:szCs w:val="22"/>
                <w:lang w:eastAsia="en-US"/>
              </w:rPr>
              <w:t>Culture</w:t>
            </w:r>
          </w:p>
        </w:tc>
        <w:tc>
          <w:tcPr>
            <w:tcW w:w="1206" w:type="dxa"/>
            <w:tcBorders>
              <w:top w:val="nil"/>
              <w:left w:val="single" w:sz="8" w:space="0" w:color="auto"/>
              <w:bottom w:val="nil"/>
              <w:right w:val="single" w:sz="8" w:space="0" w:color="auto"/>
            </w:tcBorders>
            <w:shd w:val="clear" w:color="000000" w:fill="0070C0"/>
            <w:noWrap/>
            <w:vAlign w:val="bottom"/>
            <w:hideMark/>
          </w:tcPr>
          <w:p w14:paraId="5778E86C" w14:textId="77777777" w:rsidR="00A4362F" w:rsidRPr="000D728A" w:rsidRDefault="00A4362F" w:rsidP="00A4362F">
            <w:pPr>
              <w:spacing w:before="0"/>
              <w:ind w:left="0"/>
              <w:jc w:val="center"/>
              <w:rPr>
                <w:rFonts w:ascii="Cambria" w:hAnsi="Cambria"/>
                <w:color w:val="000000"/>
                <w:lang w:eastAsia="en-US"/>
              </w:rPr>
            </w:pPr>
            <w:r w:rsidRPr="000D728A">
              <w:rPr>
                <w:rFonts w:ascii="Cambria" w:hAnsi="Cambria"/>
                <w:color w:val="000000"/>
                <w:lang w:eastAsia="en-US"/>
              </w:rPr>
              <w:t> </w:t>
            </w:r>
          </w:p>
        </w:tc>
        <w:tc>
          <w:tcPr>
            <w:tcW w:w="1217" w:type="dxa"/>
            <w:tcBorders>
              <w:top w:val="nil"/>
              <w:left w:val="nil"/>
              <w:bottom w:val="nil"/>
              <w:right w:val="nil"/>
            </w:tcBorders>
            <w:shd w:val="clear" w:color="000000" w:fill="0070C0"/>
            <w:noWrap/>
            <w:vAlign w:val="bottom"/>
            <w:hideMark/>
          </w:tcPr>
          <w:p w14:paraId="5778E86D" w14:textId="77777777" w:rsidR="00A4362F" w:rsidRPr="000D728A" w:rsidRDefault="00A4362F" w:rsidP="00A4362F">
            <w:pPr>
              <w:spacing w:before="0"/>
              <w:ind w:left="0"/>
              <w:jc w:val="center"/>
              <w:rPr>
                <w:rFonts w:ascii="Cambria" w:hAnsi="Cambria"/>
                <w:color w:val="000000"/>
                <w:lang w:eastAsia="en-US"/>
              </w:rPr>
            </w:pPr>
            <w:r w:rsidRPr="000D728A">
              <w:rPr>
                <w:rFonts w:ascii="Cambria" w:hAnsi="Cambria"/>
                <w:color w:val="000000"/>
                <w:lang w:eastAsia="en-US"/>
              </w:rPr>
              <w:t> </w:t>
            </w:r>
          </w:p>
        </w:tc>
        <w:tc>
          <w:tcPr>
            <w:tcW w:w="1104" w:type="dxa"/>
            <w:tcBorders>
              <w:top w:val="nil"/>
              <w:left w:val="single" w:sz="8" w:space="0" w:color="auto"/>
              <w:bottom w:val="nil"/>
              <w:right w:val="single" w:sz="8" w:space="0" w:color="auto"/>
            </w:tcBorders>
            <w:shd w:val="clear" w:color="000000" w:fill="0070C0"/>
            <w:noWrap/>
            <w:vAlign w:val="bottom"/>
            <w:hideMark/>
          </w:tcPr>
          <w:p w14:paraId="5778E86E" w14:textId="77777777" w:rsidR="00A4362F" w:rsidRPr="000D728A" w:rsidRDefault="00A4362F" w:rsidP="00A4362F">
            <w:pPr>
              <w:spacing w:before="0"/>
              <w:ind w:left="0"/>
              <w:jc w:val="center"/>
              <w:rPr>
                <w:rFonts w:ascii="Cambria" w:hAnsi="Cambria"/>
                <w:color w:val="000000"/>
                <w:lang w:eastAsia="en-US"/>
              </w:rPr>
            </w:pPr>
            <w:r w:rsidRPr="000D728A">
              <w:rPr>
                <w:rFonts w:ascii="Cambria" w:hAnsi="Cambria"/>
                <w:color w:val="000000"/>
                <w:lang w:eastAsia="en-US"/>
              </w:rPr>
              <w:t> </w:t>
            </w:r>
          </w:p>
        </w:tc>
        <w:tc>
          <w:tcPr>
            <w:tcW w:w="1095" w:type="dxa"/>
            <w:tcBorders>
              <w:top w:val="nil"/>
              <w:left w:val="nil"/>
              <w:bottom w:val="nil"/>
              <w:right w:val="nil"/>
            </w:tcBorders>
            <w:shd w:val="clear" w:color="000000" w:fill="0070C0"/>
            <w:noWrap/>
            <w:vAlign w:val="bottom"/>
            <w:hideMark/>
          </w:tcPr>
          <w:p w14:paraId="5778E86F" w14:textId="77777777" w:rsidR="00A4362F" w:rsidRPr="000D728A" w:rsidRDefault="00A4362F" w:rsidP="00A4362F">
            <w:pPr>
              <w:spacing w:before="0"/>
              <w:ind w:left="0"/>
              <w:jc w:val="center"/>
              <w:rPr>
                <w:rFonts w:ascii="Cambria" w:hAnsi="Cambria"/>
                <w:color w:val="000000"/>
                <w:lang w:eastAsia="en-US"/>
              </w:rPr>
            </w:pPr>
            <w:r w:rsidRPr="000D728A">
              <w:rPr>
                <w:rFonts w:ascii="Cambria" w:hAnsi="Cambria"/>
                <w:color w:val="000000"/>
                <w:lang w:eastAsia="en-US"/>
              </w:rPr>
              <w:t> </w:t>
            </w:r>
          </w:p>
        </w:tc>
        <w:tc>
          <w:tcPr>
            <w:tcW w:w="1118" w:type="dxa"/>
            <w:tcBorders>
              <w:top w:val="nil"/>
              <w:left w:val="single" w:sz="8" w:space="0" w:color="auto"/>
              <w:bottom w:val="nil"/>
              <w:right w:val="single" w:sz="8" w:space="0" w:color="auto"/>
            </w:tcBorders>
            <w:shd w:val="clear" w:color="000000" w:fill="0070C0"/>
            <w:noWrap/>
            <w:vAlign w:val="bottom"/>
            <w:hideMark/>
          </w:tcPr>
          <w:p w14:paraId="5778E870" w14:textId="77777777" w:rsidR="00A4362F" w:rsidRPr="000D728A" w:rsidRDefault="00A4362F" w:rsidP="00A4362F">
            <w:pPr>
              <w:spacing w:before="0"/>
              <w:ind w:left="0"/>
              <w:jc w:val="center"/>
              <w:rPr>
                <w:rFonts w:ascii="Cambria" w:hAnsi="Cambria"/>
                <w:color w:val="000000"/>
                <w:lang w:eastAsia="en-US"/>
              </w:rPr>
            </w:pPr>
            <w:r w:rsidRPr="000D728A">
              <w:rPr>
                <w:rFonts w:ascii="Cambria" w:hAnsi="Cambria"/>
                <w:color w:val="000000"/>
                <w:lang w:eastAsia="en-US"/>
              </w:rPr>
              <w:t> </w:t>
            </w:r>
          </w:p>
        </w:tc>
      </w:tr>
      <w:tr w:rsidR="00A4362F" w:rsidRPr="000D728A" w14:paraId="5778E878" w14:textId="77777777" w:rsidTr="00C244CD">
        <w:trPr>
          <w:trHeight w:val="280"/>
        </w:trPr>
        <w:tc>
          <w:tcPr>
            <w:tcW w:w="2116" w:type="dxa"/>
            <w:tcBorders>
              <w:top w:val="nil"/>
              <w:left w:val="single" w:sz="8" w:space="0" w:color="auto"/>
              <w:bottom w:val="nil"/>
              <w:right w:val="nil"/>
            </w:tcBorders>
            <w:shd w:val="clear" w:color="auto" w:fill="auto"/>
            <w:noWrap/>
            <w:vAlign w:val="center"/>
            <w:hideMark/>
          </w:tcPr>
          <w:p w14:paraId="5778E872" w14:textId="77777777" w:rsidR="00A4362F" w:rsidRPr="000D728A" w:rsidRDefault="00A4362F" w:rsidP="00A4362F">
            <w:pPr>
              <w:spacing w:before="0"/>
              <w:ind w:left="0"/>
              <w:rPr>
                <w:rFonts w:ascii="Calibri" w:hAnsi="Calibri"/>
                <w:i/>
                <w:iCs/>
                <w:color w:val="000000"/>
                <w:sz w:val="22"/>
                <w:szCs w:val="22"/>
                <w:lang w:eastAsia="en-US"/>
              </w:rPr>
            </w:pPr>
            <w:r w:rsidRPr="000D728A">
              <w:rPr>
                <w:rFonts w:ascii="Calibri" w:hAnsi="Calibri"/>
                <w:i/>
                <w:iCs/>
                <w:color w:val="000000"/>
                <w:sz w:val="22"/>
                <w:szCs w:val="22"/>
                <w:lang w:eastAsia="en-US"/>
              </w:rPr>
              <w:t>All arts</w:t>
            </w:r>
          </w:p>
        </w:tc>
        <w:tc>
          <w:tcPr>
            <w:tcW w:w="1206" w:type="dxa"/>
            <w:tcBorders>
              <w:top w:val="nil"/>
              <w:left w:val="single" w:sz="8" w:space="0" w:color="auto"/>
              <w:bottom w:val="nil"/>
              <w:right w:val="single" w:sz="8" w:space="0" w:color="auto"/>
            </w:tcBorders>
            <w:shd w:val="clear" w:color="auto" w:fill="auto"/>
            <w:noWrap/>
            <w:vAlign w:val="bottom"/>
            <w:hideMark/>
          </w:tcPr>
          <w:p w14:paraId="5778E873"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1.1111***</w:t>
            </w:r>
          </w:p>
        </w:tc>
        <w:tc>
          <w:tcPr>
            <w:tcW w:w="1217" w:type="dxa"/>
            <w:tcBorders>
              <w:top w:val="nil"/>
              <w:left w:val="nil"/>
              <w:bottom w:val="nil"/>
              <w:right w:val="nil"/>
            </w:tcBorders>
            <w:shd w:val="clear" w:color="auto" w:fill="auto"/>
            <w:noWrap/>
            <w:vAlign w:val="bottom"/>
            <w:hideMark/>
          </w:tcPr>
          <w:p w14:paraId="5778E874" w14:textId="77777777" w:rsidR="00A4362F" w:rsidRPr="000D728A" w:rsidRDefault="00A4362F" w:rsidP="0040417A">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7</w:t>
            </w:r>
            <w:r w:rsidR="0040417A" w:rsidRPr="000D728A">
              <w:rPr>
                <w:rFonts w:ascii="Calibri" w:hAnsi="Calibri"/>
                <w:color w:val="000000"/>
                <w:sz w:val="22"/>
                <w:szCs w:val="22"/>
                <w:lang w:eastAsia="en-US"/>
              </w:rPr>
              <w:t>%</w:t>
            </w:r>
          </w:p>
        </w:tc>
        <w:tc>
          <w:tcPr>
            <w:tcW w:w="1104" w:type="dxa"/>
            <w:tcBorders>
              <w:top w:val="nil"/>
              <w:left w:val="single" w:sz="8" w:space="0" w:color="auto"/>
              <w:bottom w:val="nil"/>
              <w:right w:val="single" w:sz="8" w:space="0" w:color="auto"/>
            </w:tcBorders>
            <w:shd w:val="clear" w:color="auto" w:fill="auto"/>
            <w:noWrap/>
            <w:vAlign w:val="bottom"/>
            <w:hideMark/>
          </w:tcPr>
          <w:p w14:paraId="5778E875" w14:textId="77777777" w:rsidR="00A4362F" w:rsidRPr="000D728A" w:rsidRDefault="00F46529"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w:t>
            </w:r>
            <w:r w:rsidR="00A4362F" w:rsidRPr="000D728A">
              <w:rPr>
                <w:rFonts w:ascii="Calibri" w:hAnsi="Calibri"/>
                <w:color w:val="000000"/>
                <w:sz w:val="22"/>
                <w:szCs w:val="22"/>
                <w:lang w:eastAsia="en-US"/>
              </w:rPr>
              <w:t>0.004</w:t>
            </w:r>
            <w:r w:rsidRPr="000D728A">
              <w:rPr>
                <w:rFonts w:ascii="Calibri" w:hAnsi="Calibri"/>
                <w:color w:val="000000"/>
                <w:sz w:val="22"/>
                <w:szCs w:val="22"/>
                <w:lang w:eastAsia="en-US"/>
              </w:rPr>
              <w:t>)</w:t>
            </w:r>
          </w:p>
        </w:tc>
        <w:tc>
          <w:tcPr>
            <w:tcW w:w="1095" w:type="dxa"/>
            <w:tcBorders>
              <w:top w:val="single" w:sz="4" w:space="0" w:color="auto"/>
              <w:left w:val="nil"/>
              <w:bottom w:val="single" w:sz="4" w:space="0" w:color="auto"/>
              <w:right w:val="nil"/>
            </w:tcBorders>
            <w:shd w:val="clear" w:color="auto" w:fill="auto"/>
            <w:noWrap/>
            <w:vAlign w:val="bottom"/>
            <w:hideMark/>
          </w:tcPr>
          <w:p w14:paraId="5778E876"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32111</w:t>
            </w:r>
          </w:p>
        </w:tc>
        <w:tc>
          <w:tcPr>
            <w:tcW w:w="111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778E877"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0.0537</w:t>
            </w:r>
          </w:p>
        </w:tc>
      </w:tr>
      <w:tr w:rsidR="00A4362F" w:rsidRPr="000D728A" w14:paraId="5778E87F" w14:textId="77777777" w:rsidTr="00C244CD">
        <w:trPr>
          <w:trHeight w:val="280"/>
        </w:trPr>
        <w:tc>
          <w:tcPr>
            <w:tcW w:w="2116" w:type="dxa"/>
            <w:tcBorders>
              <w:top w:val="nil"/>
              <w:left w:val="single" w:sz="8" w:space="0" w:color="auto"/>
              <w:bottom w:val="nil"/>
              <w:right w:val="nil"/>
            </w:tcBorders>
            <w:shd w:val="clear" w:color="auto" w:fill="auto"/>
            <w:noWrap/>
            <w:vAlign w:val="center"/>
            <w:hideMark/>
          </w:tcPr>
          <w:p w14:paraId="5778E879" w14:textId="77777777" w:rsidR="00A4362F" w:rsidRPr="000D728A" w:rsidRDefault="00A4362F" w:rsidP="00A4362F">
            <w:pPr>
              <w:spacing w:before="0"/>
              <w:ind w:left="0"/>
              <w:rPr>
                <w:rFonts w:ascii="Calibri" w:hAnsi="Calibri"/>
                <w:i/>
                <w:iCs/>
                <w:color w:val="000000"/>
                <w:sz w:val="22"/>
                <w:szCs w:val="22"/>
                <w:lang w:eastAsia="en-US"/>
              </w:rPr>
            </w:pPr>
            <w:r w:rsidRPr="000D728A">
              <w:rPr>
                <w:rFonts w:ascii="Calibri" w:hAnsi="Calibri"/>
                <w:i/>
                <w:iCs/>
                <w:color w:val="000000"/>
                <w:sz w:val="22"/>
                <w:szCs w:val="22"/>
                <w:lang w:eastAsia="en-US"/>
              </w:rPr>
              <w:t>All audience arts</w:t>
            </w:r>
          </w:p>
        </w:tc>
        <w:tc>
          <w:tcPr>
            <w:tcW w:w="120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778E87A"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0.6318***</w:t>
            </w:r>
          </w:p>
        </w:tc>
        <w:tc>
          <w:tcPr>
            <w:tcW w:w="1217" w:type="dxa"/>
            <w:tcBorders>
              <w:top w:val="single" w:sz="4" w:space="0" w:color="auto"/>
              <w:left w:val="nil"/>
              <w:bottom w:val="single" w:sz="4" w:space="0" w:color="auto"/>
              <w:right w:val="nil"/>
            </w:tcBorders>
            <w:shd w:val="clear" w:color="auto" w:fill="auto"/>
            <w:noWrap/>
            <w:vAlign w:val="bottom"/>
            <w:hideMark/>
          </w:tcPr>
          <w:p w14:paraId="5778E87B" w14:textId="77777777" w:rsidR="00A4362F" w:rsidRPr="000D728A" w:rsidRDefault="00A4362F" w:rsidP="0040417A">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4</w:t>
            </w:r>
            <w:r w:rsidR="0040417A" w:rsidRPr="000D728A">
              <w:rPr>
                <w:rFonts w:ascii="Calibri" w:hAnsi="Calibri"/>
                <w:color w:val="000000"/>
                <w:sz w:val="22"/>
                <w:szCs w:val="22"/>
                <w:lang w:eastAsia="en-US"/>
              </w:rPr>
              <w:t>.8%</w:t>
            </w:r>
          </w:p>
        </w:tc>
        <w:tc>
          <w:tcPr>
            <w:tcW w:w="110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778E87C" w14:textId="77777777" w:rsidR="00A4362F" w:rsidRPr="000D728A" w:rsidRDefault="00F46529"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w:t>
            </w:r>
            <w:r w:rsidR="00A4362F" w:rsidRPr="000D728A">
              <w:rPr>
                <w:rFonts w:ascii="Calibri" w:hAnsi="Calibri"/>
                <w:color w:val="000000"/>
                <w:sz w:val="22"/>
                <w:szCs w:val="22"/>
                <w:lang w:eastAsia="en-US"/>
              </w:rPr>
              <w:t>0.00</w:t>
            </w:r>
            <w:r w:rsidRPr="000D728A">
              <w:rPr>
                <w:rFonts w:ascii="Calibri" w:hAnsi="Calibri"/>
                <w:color w:val="000000"/>
                <w:sz w:val="22"/>
                <w:szCs w:val="22"/>
                <w:lang w:eastAsia="en-US"/>
              </w:rPr>
              <w:t>4)</w:t>
            </w:r>
          </w:p>
        </w:tc>
        <w:tc>
          <w:tcPr>
            <w:tcW w:w="1095" w:type="dxa"/>
            <w:tcBorders>
              <w:top w:val="nil"/>
              <w:left w:val="nil"/>
              <w:bottom w:val="single" w:sz="4" w:space="0" w:color="auto"/>
              <w:right w:val="nil"/>
            </w:tcBorders>
            <w:shd w:val="clear" w:color="auto" w:fill="auto"/>
            <w:noWrap/>
            <w:vAlign w:val="bottom"/>
            <w:hideMark/>
          </w:tcPr>
          <w:p w14:paraId="5778E87D"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32111</w:t>
            </w:r>
          </w:p>
        </w:tc>
        <w:tc>
          <w:tcPr>
            <w:tcW w:w="1118" w:type="dxa"/>
            <w:tcBorders>
              <w:top w:val="nil"/>
              <w:left w:val="single" w:sz="8" w:space="0" w:color="auto"/>
              <w:bottom w:val="single" w:sz="4" w:space="0" w:color="auto"/>
              <w:right w:val="single" w:sz="8" w:space="0" w:color="auto"/>
            </w:tcBorders>
            <w:shd w:val="clear" w:color="auto" w:fill="auto"/>
            <w:noWrap/>
            <w:vAlign w:val="bottom"/>
            <w:hideMark/>
          </w:tcPr>
          <w:p w14:paraId="5778E87E"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0.0674</w:t>
            </w:r>
          </w:p>
        </w:tc>
      </w:tr>
      <w:tr w:rsidR="00A4362F" w:rsidRPr="000D728A" w14:paraId="5778E886" w14:textId="77777777" w:rsidTr="00C244CD">
        <w:trPr>
          <w:trHeight w:val="280"/>
        </w:trPr>
        <w:tc>
          <w:tcPr>
            <w:tcW w:w="2116" w:type="dxa"/>
            <w:tcBorders>
              <w:top w:val="nil"/>
              <w:left w:val="single" w:sz="8" w:space="0" w:color="auto"/>
              <w:bottom w:val="nil"/>
              <w:right w:val="nil"/>
            </w:tcBorders>
            <w:shd w:val="clear" w:color="auto" w:fill="auto"/>
            <w:noWrap/>
            <w:vAlign w:val="center"/>
            <w:hideMark/>
          </w:tcPr>
          <w:p w14:paraId="5778E880" w14:textId="77777777" w:rsidR="00A4362F" w:rsidRPr="000D728A" w:rsidRDefault="00A4362F" w:rsidP="00A4362F">
            <w:pPr>
              <w:spacing w:before="0"/>
              <w:ind w:left="0"/>
              <w:rPr>
                <w:rFonts w:ascii="Calibri" w:hAnsi="Calibri"/>
                <w:i/>
                <w:iCs/>
                <w:color w:val="000000"/>
                <w:sz w:val="22"/>
                <w:szCs w:val="22"/>
                <w:lang w:eastAsia="en-US"/>
              </w:rPr>
            </w:pPr>
            <w:r w:rsidRPr="000D728A">
              <w:rPr>
                <w:rFonts w:ascii="Calibri" w:hAnsi="Calibri"/>
                <w:i/>
                <w:iCs/>
                <w:color w:val="000000"/>
                <w:sz w:val="22"/>
                <w:szCs w:val="22"/>
                <w:lang w:eastAsia="en-US"/>
              </w:rPr>
              <w:t>All participation arts</w:t>
            </w:r>
          </w:p>
        </w:tc>
        <w:tc>
          <w:tcPr>
            <w:tcW w:w="1206" w:type="dxa"/>
            <w:tcBorders>
              <w:top w:val="nil"/>
              <w:left w:val="single" w:sz="8" w:space="0" w:color="auto"/>
              <w:bottom w:val="single" w:sz="4" w:space="0" w:color="auto"/>
              <w:right w:val="single" w:sz="8" w:space="0" w:color="auto"/>
            </w:tcBorders>
            <w:shd w:val="clear" w:color="auto" w:fill="auto"/>
            <w:noWrap/>
            <w:vAlign w:val="bottom"/>
            <w:hideMark/>
          </w:tcPr>
          <w:p w14:paraId="5778E881"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0.7442***</w:t>
            </w:r>
          </w:p>
        </w:tc>
        <w:tc>
          <w:tcPr>
            <w:tcW w:w="1217" w:type="dxa"/>
            <w:tcBorders>
              <w:top w:val="nil"/>
              <w:left w:val="nil"/>
              <w:bottom w:val="single" w:sz="4" w:space="0" w:color="auto"/>
              <w:right w:val="nil"/>
            </w:tcBorders>
            <w:shd w:val="clear" w:color="auto" w:fill="auto"/>
            <w:noWrap/>
            <w:vAlign w:val="bottom"/>
            <w:hideMark/>
          </w:tcPr>
          <w:p w14:paraId="5778E882" w14:textId="77777777" w:rsidR="00A4362F" w:rsidRPr="000D728A" w:rsidRDefault="00A4362F" w:rsidP="0040417A">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5</w:t>
            </w:r>
            <w:r w:rsidR="0040417A" w:rsidRPr="000D728A">
              <w:rPr>
                <w:rFonts w:ascii="Calibri" w:hAnsi="Calibri"/>
                <w:color w:val="000000"/>
                <w:sz w:val="22"/>
                <w:szCs w:val="22"/>
                <w:lang w:eastAsia="en-US"/>
              </w:rPr>
              <w:t>.</w:t>
            </w:r>
            <w:r w:rsidRPr="000D728A">
              <w:rPr>
                <w:rFonts w:ascii="Calibri" w:hAnsi="Calibri"/>
                <w:color w:val="000000"/>
                <w:sz w:val="22"/>
                <w:szCs w:val="22"/>
                <w:lang w:eastAsia="en-US"/>
              </w:rPr>
              <w:t>4</w:t>
            </w:r>
            <w:r w:rsidR="0040417A" w:rsidRPr="000D728A">
              <w:rPr>
                <w:rFonts w:ascii="Calibri" w:hAnsi="Calibri"/>
                <w:color w:val="000000"/>
                <w:sz w:val="22"/>
                <w:szCs w:val="22"/>
                <w:lang w:eastAsia="en-US"/>
              </w:rPr>
              <w:t>%</w:t>
            </w:r>
          </w:p>
        </w:tc>
        <w:tc>
          <w:tcPr>
            <w:tcW w:w="1104" w:type="dxa"/>
            <w:tcBorders>
              <w:top w:val="nil"/>
              <w:left w:val="single" w:sz="8" w:space="0" w:color="auto"/>
              <w:bottom w:val="single" w:sz="4" w:space="0" w:color="auto"/>
              <w:right w:val="single" w:sz="8" w:space="0" w:color="auto"/>
            </w:tcBorders>
            <w:shd w:val="clear" w:color="auto" w:fill="auto"/>
            <w:noWrap/>
            <w:vAlign w:val="bottom"/>
            <w:hideMark/>
          </w:tcPr>
          <w:p w14:paraId="5778E883" w14:textId="77777777" w:rsidR="00A4362F" w:rsidRPr="000D728A" w:rsidRDefault="00F46529"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w:t>
            </w:r>
            <w:r w:rsidR="00A4362F" w:rsidRPr="000D728A">
              <w:rPr>
                <w:rFonts w:ascii="Calibri" w:hAnsi="Calibri"/>
                <w:color w:val="000000"/>
                <w:sz w:val="22"/>
                <w:szCs w:val="22"/>
                <w:lang w:eastAsia="en-US"/>
              </w:rPr>
              <w:t>0.00</w:t>
            </w:r>
            <w:r w:rsidRPr="000D728A">
              <w:rPr>
                <w:rFonts w:ascii="Calibri" w:hAnsi="Calibri"/>
                <w:color w:val="000000"/>
                <w:sz w:val="22"/>
                <w:szCs w:val="22"/>
                <w:lang w:eastAsia="en-US"/>
              </w:rPr>
              <w:t>4)</w:t>
            </w:r>
          </w:p>
        </w:tc>
        <w:tc>
          <w:tcPr>
            <w:tcW w:w="1095" w:type="dxa"/>
            <w:tcBorders>
              <w:top w:val="nil"/>
              <w:left w:val="nil"/>
              <w:bottom w:val="single" w:sz="4" w:space="0" w:color="auto"/>
              <w:right w:val="nil"/>
            </w:tcBorders>
            <w:shd w:val="clear" w:color="auto" w:fill="auto"/>
            <w:noWrap/>
            <w:vAlign w:val="bottom"/>
            <w:hideMark/>
          </w:tcPr>
          <w:p w14:paraId="5778E884"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32111</w:t>
            </w:r>
          </w:p>
        </w:tc>
        <w:tc>
          <w:tcPr>
            <w:tcW w:w="1118" w:type="dxa"/>
            <w:tcBorders>
              <w:top w:val="nil"/>
              <w:left w:val="single" w:sz="8" w:space="0" w:color="auto"/>
              <w:bottom w:val="single" w:sz="4" w:space="0" w:color="auto"/>
              <w:right w:val="single" w:sz="8" w:space="0" w:color="auto"/>
            </w:tcBorders>
            <w:shd w:val="clear" w:color="auto" w:fill="auto"/>
            <w:noWrap/>
            <w:vAlign w:val="bottom"/>
            <w:hideMark/>
          </w:tcPr>
          <w:p w14:paraId="5778E885"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0.0674</w:t>
            </w:r>
          </w:p>
        </w:tc>
      </w:tr>
      <w:tr w:rsidR="00A4362F" w:rsidRPr="000D728A" w14:paraId="5778E88D" w14:textId="77777777" w:rsidTr="00C244CD">
        <w:trPr>
          <w:trHeight w:val="300"/>
        </w:trPr>
        <w:tc>
          <w:tcPr>
            <w:tcW w:w="2116" w:type="dxa"/>
            <w:tcBorders>
              <w:top w:val="nil"/>
              <w:left w:val="single" w:sz="8" w:space="0" w:color="auto"/>
              <w:bottom w:val="nil"/>
              <w:right w:val="nil"/>
            </w:tcBorders>
            <w:shd w:val="clear" w:color="auto" w:fill="auto"/>
            <w:noWrap/>
            <w:vAlign w:val="center"/>
            <w:hideMark/>
          </w:tcPr>
          <w:p w14:paraId="5778E887" w14:textId="77777777" w:rsidR="00A4362F" w:rsidRPr="000D728A" w:rsidRDefault="00A4362F" w:rsidP="00A4362F">
            <w:pPr>
              <w:spacing w:before="0"/>
              <w:ind w:left="0"/>
              <w:rPr>
                <w:rFonts w:ascii="Calibri" w:hAnsi="Calibri"/>
                <w:b/>
                <w:bCs/>
                <w:color w:val="000000"/>
                <w:sz w:val="22"/>
                <w:szCs w:val="22"/>
                <w:lang w:eastAsia="en-US"/>
              </w:rPr>
            </w:pPr>
            <w:r w:rsidRPr="000D728A">
              <w:rPr>
                <w:rFonts w:ascii="Calibri" w:hAnsi="Calibri"/>
                <w:b/>
                <w:bCs/>
                <w:color w:val="000000"/>
                <w:sz w:val="22"/>
                <w:szCs w:val="22"/>
                <w:lang w:eastAsia="en-US"/>
              </w:rPr>
              <w:t>Audience</w:t>
            </w:r>
          </w:p>
        </w:tc>
        <w:tc>
          <w:tcPr>
            <w:tcW w:w="1206" w:type="dxa"/>
            <w:tcBorders>
              <w:top w:val="nil"/>
              <w:left w:val="single" w:sz="8" w:space="0" w:color="auto"/>
              <w:bottom w:val="nil"/>
              <w:right w:val="single" w:sz="8" w:space="0" w:color="auto"/>
            </w:tcBorders>
            <w:shd w:val="clear" w:color="auto" w:fill="auto"/>
            <w:noWrap/>
            <w:vAlign w:val="bottom"/>
            <w:hideMark/>
          </w:tcPr>
          <w:p w14:paraId="5778E888" w14:textId="77777777" w:rsidR="00A4362F" w:rsidRPr="000D728A" w:rsidRDefault="00A4362F" w:rsidP="00A4362F">
            <w:pPr>
              <w:spacing w:before="0"/>
              <w:ind w:left="0"/>
              <w:jc w:val="center"/>
              <w:rPr>
                <w:rFonts w:ascii="Cambria" w:hAnsi="Cambria"/>
                <w:color w:val="000000"/>
                <w:lang w:eastAsia="en-US"/>
              </w:rPr>
            </w:pPr>
            <w:r w:rsidRPr="000D728A">
              <w:rPr>
                <w:rFonts w:ascii="Cambria" w:hAnsi="Cambria"/>
                <w:color w:val="000000"/>
                <w:lang w:eastAsia="en-US"/>
              </w:rPr>
              <w:t> </w:t>
            </w:r>
          </w:p>
        </w:tc>
        <w:tc>
          <w:tcPr>
            <w:tcW w:w="1217" w:type="dxa"/>
            <w:tcBorders>
              <w:top w:val="nil"/>
              <w:left w:val="nil"/>
              <w:bottom w:val="nil"/>
              <w:right w:val="nil"/>
            </w:tcBorders>
            <w:shd w:val="clear" w:color="auto" w:fill="auto"/>
            <w:noWrap/>
            <w:vAlign w:val="bottom"/>
            <w:hideMark/>
          </w:tcPr>
          <w:p w14:paraId="5778E889" w14:textId="77777777" w:rsidR="00A4362F" w:rsidRPr="000D728A" w:rsidRDefault="00A4362F" w:rsidP="00A4362F">
            <w:pPr>
              <w:spacing w:before="0"/>
              <w:ind w:left="0"/>
              <w:jc w:val="center"/>
              <w:rPr>
                <w:rFonts w:ascii="Cambria" w:hAnsi="Cambria"/>
                <w:color w:val="000000"/>
                <w:lang w:eastAsia="en-US"/>
              </w:rPr>
            </w:pPr>
          </w:p>
        </w:tc>
        <w:tc>
          <w:tcPr>
            <w:tcW w:w="1104" w:type="dxa"/>
            <w:tcBorders>
              <w:top w:val="nil"/>
              <w:left w:val="single" w:sz="8" w:space="0" w:color="auto"/>
              <w:bottom w:val="nil"/>
              <w:right w:val="single" w:sz="8" w:space="0" w:color="auto"/>
            </w:tcBorders>
            <w:shd w:val="clear" w:color="auto" w:fill="auto"/>
            <w:noWrap/>
            <w:vAlign w:val="bottom"/>
            <w:hideMark/>
          </w:tcPr>
          <w:p w14:paraId="5778E88A" w14:textId="77777777" w:rsidR="00A4362F" w:rsidRPr="000D728A" w:rsidRDefault="00A4362F" w:rsidP="00A4362F">
            <w:pPr>
              <w:spacing w:before="0"/>
              <w:ind w:left="0"/>
              <w:jc w:val="center"/>
              <w:rPr>
                <w:rFonts w:ascii="Cambria" w:hAnsi="Cambria"/>
                <w:color w:val="000000"/>
                <w:lang w:eastAsia="en-US"/>
              </w:rPr>
            </w:pPr>
            <w:r w:rsidRPr="000D728A">
              <w:rPr>
                <w:rFonts w:ascii="Cambria" w:hAnsi="Cambria"/>
                <w:color w:val="000000"/>
                <w:lang w:eastAsia="en-US"/>
              </w:rPr>
              <w:t> </w:t>
            </w:r>
          </w:p>
        </w:tc>
        <w:tc>
          <w:tcPr>
            <w:tcW w:w="1095" w:type="dxa"/>
            <w:tcBorders>
              <w:top w:val="nil"/>
              <w:left w:val="nil"/>
              <w:bottom w:val="nil"/>
              <w:right w:val="nil"/>
            </w:tcBorders>
            <w:shd w:val="clear" w:color="auto" w:fill="auto"/>
            <w:noWrap/>
            <w:vAlign w:val="bottom"/>
            <w:hideMark/>
          </w:tcPr>
          <w:p w14:paraId="5778E88B" w14:textId="77777777" w:rsidR="00A4362F" w:rsidRPr="000D728A" w:rsidRDefault="00A4362F" w:rsidP="00A4362F">
            <w:pPr>
              <w:spacing w:before="0"/>
              <w:ind w:left="0"/>
              <w:jc w:val="center"/>
              <w:rPr>
                <w:rFonts w:ascii="Calibri" w:hAnsi="Calibri"/>
                <w:color w:val="000000"/>
                <w:sz w:val="22"/>
                <w:szCs w:val="22"/>
                <w:lang w:eastAsia="en-US"/>
              </w:rPr>
            </w:pPr>
          </w:p>
        </w:tc>
        <w:tc>
          <w:tcPr>
            <w:tcW w:w="1118" w:type="dxa"/>
            <w:tcBorders>
              <w:top w:val="nil"/>
              <w:left w:val="single" w:sz="8" w:space="0" w:color="auto"/>
              <w:bottom w:val="nil"/>
              <w:right w:val="single" w:sz="8" w:space="0" w:color="auto"/>
            </w:tcBorders>
            <w:shd w:val="clear" w:color="auto" w:fill="auto"/>
            <w:noWrap/>
            <w:vAlign w:val="bottom"/>
            <w:hideMark/>
          </w:tcPr>
          <w:p w14:paraId="5778E88C" w14:textId="77777777" w:rsidR="00A4362F" w:rsidRPr="000D728A" w:rsidRDefault="00A4362F" w:rsidP="00A4362F">
            <w:pPr>
              <w:spacing w:before="0"/>
              <w:ind w:left="0"/>
              <w:jc w:val="center"/>
              <w:rPr>
                <w:rFonts w:ascii="Cambria" w:hAnsi="Cambria"/>
                <w:color w:val="000000"/>
                <w:lang w:eastAsia="en-US"/>
              </w:rPr>
            </w:pPr>
            <w:r w:rsidRPr="000D728A">
              <w:rPr>
                <w:rFonts w:ascii="Cambria" w:hAnsi="Cambria"/>
                <w:color w:val="000000"/>
                <w:lang w:eastAsia="en-US"/>
              </w:rPr>
              <w:t> </w:t>
            </w:r>
          </w:p>
        </w:tc>
      </w:tr>
      <w:tr w:rsidR="00A4362F" w:rsidRPr="000D728A" w14:paraId="5778E894" w14:textId="77777777" w:rsidTr="00C244CD">
        <w:trPr>
          <w:trHeight w:val="280"/>
        </w:trPr>
        <w:tc>
          <w:tcPr>
            <w:tcW w:w="2116" w:type="dxa"/>
            <w:tcBorders>
              <w:top w:val="nil"/>
              <w:left w:val="single" w:sz="8" w:space="0" w:color="auto"/>
              <w:bottom w:val="nil"/>
              <w:right w:val="nil"/>
            </w:tcBorders>
            <w:shd w:val="clear" w:color="auto" w:fill="auto"/>
            <w:noWrap/>
            <w:vAlign w:val="center"/>
            <w:hideMark/>
          </w:tcPr>
          <w:p w14:paraId="5778E88E" w14:textId="77777777" w:rsidR="00A4362F" w:rsidRPr="000D728A" w:rsidRDefault="00A4362F" w:rsidP="00A4362F">
            <w:pPr>
              <w:spacing w:before="0"/>
              <w:ind w:left="0"/>
              <w:rPr>
                <w:rFonts w:ascii="Calibri" w:hAnsi="Calibri"/>
                <w:i/>
                <w:iCs/>
                <w:color w:val="000000"/>
                <w:sz w:val="22"/>
                <w:szCs w:val="22"/>
                <w:lang w:eastAsia="en-US"/>
              </w:rPr>
            </w:pPr>
            <w:r w:rsidRPr="000D728A">
              <w:rPr>
                <w:rFonts w:ascii="Calibri" w:hAnsi="Calibri"/>
                <w:i/>
                <w:iCs/>
                <w:color w:val="000000"/>
                <w:sz w:val="22"/>
                <w:szCs w:val="22"/>
                <w:lang w:eastAsia="en-US"/>
              </w:rPr>
              <w:t>Film</w:t>
            </w:r>
          </w:p>
        </w:tc>
        <w:tc>
          <w:tcPr>
            <w:tcW w:w="120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778E88F"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0.1282***</w:t>
            </w:r>
          </w:p>
        </w:tc>
        <w:tc>
          <w:tcPr>
            <w:tcW w:w="1217" w:type="dxa"/>
            <w:tcBorders>
              <w:top w:val="single" w:sz="4" w:space="0" w:color="auto"/>
              <w:left w:val="nil"/>
              <w:bottom w:val="single" w:sz="4" w:space="0" w:color="auto"/>
              <w:right w:val="nil"/>
            </w:tcBorders>
            <w:shd w:val="clear" w:color="auto" w:fill="auto"/>
            <w:noWrap/>
            <w:vAlign w:val="bottom"/>
            <w:hideMark/>
          </w:tcPr>
          <w:p w14:paraId="5778E890" w14:textId="77777777" w:rsidR="00A4362F" w:rsidRPr="000D728A" w:rsidRDefault="00A4362F" w:rsidP="0040417A">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1</w:t>
            </w:r>
            <w:r w:rsidR="0040417A" w:rsidRPr="000D728A">
              <w:rPr>
                <w:rFonts w:ascii="Calibri" w:hAnsi="Calibri"/>
                <w:color w:val="000000"/>
                <w:sz w:val="22"/>
                <w:szCs w:val="22"/>
                <w:lang w:eastAsia="en-US"/>
              </w:rPr>
              <w:t>.1%</w:t>
            </w:r>
          </w:p>
        </w:tc>
        <w:tc>
          <w:tcPr>
            <w:tcW w:w="110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778E891" w14:textId="77777777" w:rsidR="00A4362F" w:rsidRPr="000D728A" w:rsidRDefault="00F46529"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w:t>
            </w:r>
            <w:r w:rsidR="00A4362F" w:rsidRPr="000D728A">
              <w:rPr>
                <w:rFonts w:ascii="Calibri" w:hAnsi="Calibri"/>
                <w:color w:val="000000"/>
                <w:sz w:val="22"/>
                <w:szCs w:val="22"/>
                <w:lang w:eastAsia="en-US"/>
              </w:rPr>
              <w:t>0.00</w:t>
            </w:r>
            <w:r w:rsidRPr="000D728A">
              <w:rPr>
                <w:rFonts w:ascii="Calibri" w:hAnsi="Calibri"/>
                <w:color w:val="000000"/>
                <w:sz w:val="22"/>
                <w:szCs w:val="22"/>
                <w:lang w:eastAsia="en-US"/>
              </w:rPr>
              <w:t>4)</w:t>
            </w:r>
          </w:p>
        </w:tc>
        <w:tc>
          <w:tcPr>
            <w:tcW w:w="1095" w:type="dxa"/>
            <w:tcBorders>
              <w:top w:val="single" w:sz="4" w:space="0" w:color="auto"/>
              <w:left w:val="nil"/>
              <w:bottom w:val="single" w:sz="4" w:space="0" w:color="auto"/>
              <w:right w:val="nil"/>
            </w:tcBorders>
            <w:shd w:val="clear" w:color="auto" w:fill="auto"/>
            <w:noWrap/>
            <w:vAlign w:val="bottom"/>
            <w:hideMark/>
          </w:tcPr>
          <w:p w14:paraId="5778E892"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32106</w:t>
            </w:r>
          </w:p>
        </w:tc>
        <w:tc>
          <w:tcPr>
            <w:tcW w:w="111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778E893"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0.0856</w:t>
            </w:r>
          </w:p>
        </w:tc>
      </w:tr>
      <w:tr w:rsidR="00A4362F" w:rsidRPr="000D728A" w14:paraId="5778E89B" w14:textId="77777777" w:rsidTr="00C244CD">
        <w:trPr>
          <w:trHeight w:val="280"/>
        </w:trPr>
        <w:tc>
          <w:tcPr>
            <w:tcW w:w="2116" w:type="dxa"/>
            <w:tcBorders>
              <w:top w:val="nil"/>
              <w:left w:val="single" w:sz="8" w:space="0" w:color="auto"/>
              <w:bottom w:val="nil"/>
              <w:right w:val="nil"/>
            </w:tcBorders>
            <w:shd w:val="clear" w:color="auto" w:fill="auto"/>
            <w:noWrap/>
            <w:vAlign w:val="center"/>
            <w:hideMark/>
          </w:tcPr>
          <w:p w14:paraId="5778E895" w14:textId="77777777" w:rsidR="00A4362F" w:rsidRPr="000D728A" w:rsidRDefault="00A4362F" w:rsidP="00A4362F">
            <w:pPr>
              <w:spacing w:before="0"/>
              <w:ind w:left="0"/>
              <w:rPr>
                <w:rFonts w:ascii="Calibri" w:hAnsi="Calibri"/>
                <w:i/>
                <w:iCs/>
                <w:color w:val="000000"/>
                <w:sz w:val="22"/>
                <w:szCs w:val="22"/>
                <w:lang w:eastAsia="en-US"/>
              </w:rPr>
            </w:pPr>
            <w:r w:rsidRPr="000D728A">
              <w:rPr>
                <w:rFonts w:ascii="Calibri" w:hAnsi="Calibri"/>
                <w:i/>
                <w:iCs/>
                <w:color w:val="000000"/>
                <w:sz w:val="22"/>
                <w:szCs w:val="22"/>
                <w:lang w:eastAsia="en-US"/>
              </w:rPr>
              <w:t>Exhibitions</w:t>
            </w:r>
          </w:p>
        </w:tc>
        <w:tc>
          <w:tcPr>
            <w:tcW w:w="1206" w:type="dxa"/>
            <w:tcBorders>
              <w:top w:val="nil"/>
              <w:left w:val="single" w:sz="8" w:space="0" w:color="auto"/>
              <w:bottom w:val="single" w:sz="4" w:space="0" w:color="auto"/>
              <w:right w:val="single" w:sz="8" w:space="0" w:color="auto"/>
            </w:tcBorders>
            <w:shd w:val="clear" w:color="auto" w:fill="auto"/>
            <w:noWrap/>
            <w:vAlign w:val="bottom"/>
            <w:hideMark/>
          </w:tcPr>
          <w:p w14:paraId="5778E896"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0.3161***</w:t>
            </w:r>
          </w:p>
        </w:tc>
        <w:tc>
          <w:tcPr>
            <w:tcW w:w="1217" w:type="dxa"/>
            <w:tcBorders>
              <w:top w:val="nil"/>
              <w:left w:val="nil"/>
              <w:bottom w:val="single" w:sz="4" w:space="0" w:color="auto"/>
              <w:right w:val="nil"/>
            </w:tcBorders>
            <w:shd w:val="clear" w:color="auto" w:fill="auto"/>
            <w:noWrap/>
            <w:vAlign w:val="bottom"/>
            <w:hideMark/>
          </w:tcPr>
          <w:p w14:paraId="5778E897" w14:textId="77777777" w:rsidR="00A4362F" w:rsidRPr="000D728A" w:rsidRDefault="00A4362F" w:rsidP="0040417A">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2</w:t>
            </w:r>
            <w:r w:rsidR="0040417A" w:rsidRPr="000D728A">
              <w:rPr>
                <w:rFonts w:ascii="Calibri" w:hAnsi="Calibri"/>
                <w:color w:val="000000"/>
                <w:sz w:val="22"/>
                <w:szCs w:val="22"/>
                <w:lang w:eastAsia="en-US"/>
              </w:rPr>
              <w:t>.8%</w:t>
            </w:r>
          </w:p>
        </w:tc>
        <w:tc>
          <w:tcPr>
            <w:tcW w:w="1104" w:type="dxa"/>
            <w:tcBorders>
              <w:top w:val="nil"/>
              <w:left w:val="single" w:sz="8" w:space="0" w:color="auto"/>
              <w:bottom w:val="single" w:sz="4" w:space="0" w:color="auto"/>
              <w:right w:val="single" w:sz="8" w:space="0" w:color="auto"/>
            </w:tcBorders>
            <w:shd w:val="clear" w:color="auto" w:fill="auto"/>
            <w:noWrap/>
            <w:vAlign w:val="bottom"/>
            <w:hideMark/>
          </w:tcPr>
          <w:p w14:paraId="5778E898" w14:textId="77777777" w:rsidR="00A4362F" w:rsidRPr="000D728A" w:rsidRDefault="00F46529"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w:t>
            </w:r>
            <w:r w:rsidR="00A4362F" w:rsidRPr="000D728A">
              <w:rPr>
                <w:rFonts w:ascii="Calibri" w:hAnsi="Calibri"/>
                <w:color w:val="000000"/>
                <w:sz w:val="22"/>
                <w:szCs w:val="22"/>
                <w:lang w:eastAsia="en-US"/>
              </w:rPr>
              <w:t>0.004</w:t>
            </w:r>
            <w:r w:rsidRPr="000D728A">
              <w:rPr>
                <w:rFonts w:ascii="Calibri" w:hAnsi="Calibri"/>
                <w:color w:val="000000"/>
                <w:sz w:val="22"/>
                <w:szCs w:val="22"/>
                <w:lang w:eastAsia="en-US"/>
              </w:rPr>
              <w:t>)</w:t>
            </w:r>
          </w:p>
        </w:tc>
        <w:tc>
          <w:tcPr>
            <w:tcW w:w="1095" w:type="dxa"/>
            <w:tcBorders>
              <w:top w:val="nil"/>
              <w:left w:val="nil"/>
              <w:bottom w:val="single" w:sz="4" w:space="0" w:color="auto"/>
              <w:right w:val="nil"/>
            </w:tcBorders>
            <w:shd w:val="clear" w:color="auto" w:fill="auto"/>
            <w:noWrap/>
            <w:vAlign w:val="bottom"/>
            <w:hideMark/>
          </w:tcPr>
          <w:p w14:paraId="5778E899"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32106</w:t>
            </w:r>
          </w:p>
        </w:tc>
        <w:tc>
          <w:tcPr>
            <w:tcW w:w="1118" w:type="dxa"/>
            <w:tcBorders>
              <w:top w:val="nil"/>
              <w:left w:val="single" w:sz="8" w:space="0" w:color="auto"/>
              <w:bottom w:val="single" w:sz="4" w:space="0" w:color="auto"/>
              <w:right w:val="single" w:sz="8" w:space="0" w:color="auto"/>
            </w:tcBorders>
            <w:shd w:val="clear" w:color="auto" w:fill="auto"/>
            <w:noWrap/>
            <w:vAlign w:val="bottom"/>
            <w:hideMark/>
          </w:tcPr>
          <w:p w14:paraId="5778E89A"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0.0856</w:t>
            </w:r>
          </w:p>
        </w:tc>
      </w:tr>
      <w:tr w:rsidR="00A4362F" w:rsidRPr="000D728A" w14:paraId="5778E8A2" w14:textId="77777777" w:rsidTr="00C244CD">
        <w:trPr>
          <w:trHeight w:val="280"/>
        </w:trPr>
        <w:tc>
          <w:tcPr>
            <w:tcW w:w="2116" w:type="dxa"/>
            <w:tcBorders>
              <w:top w:val="nil"/>
              <w:left w:val="single" w:sz="8" w:space="0" w:color="auto"/>
              <w:bottom w:val="nil"/>
              <w:right w:val="nil"/>
            </w:tcBorders>
            <w:shd w:val="clear" w:color="auto" w:fill="auto"/>
            <w:noWrap/>
            <w:vAlign w:val="center"/>
            <w:hideMark/>
          </w:tcPr>
          <w:p w14:paraId="5778E89C" w14:textId="77777777" w:rsidR="00A4362F" w:rsidRPr="000D728A" w:rsidRDefault="00A4362F" w:rsidP="00A4362F">
            <w:pPr>
              <w:spacing w:before="0"/>
              <w:ind w:left="0"/>
              <w:rPr>
                <w:rFonts w:ascii="Calibri" w:hAnsi="Calibri"/>
                <w:i/>
                <w:iCs/>
                <w:color w:val="000000"/>
                <w:sz w:val="22"/>
                <w:szCs w:val="22"/>
                <w:lang w:eastAsia="en-US"/>
              </w:rPr>
            </w:pPr>
            <w:r w:rsidRPr="000D728A">
              <w:rPr>
                <w:rFonts w:ascii="Calibri" w:hAnsi="Calibri"/>
                <w:i/>
                <w:iCs/>
                <w:color w:val="000000"/>
                <w:sz w:val="22"/>
                <w:szCs w:val="22"/>
                <w:lang w:eastAsia="en-US"/>
              </w:rPr>
              <w:t>Plays</w:t>
            </w:r>
          </w:p>
        </w:tc>
        <w:tc>
          <w:tcPr>
            <w:tcW w:w="1206" w:type="dxa"/>
            <w:tcBorders>
              <w:top w:val="nil"/>
              <w:left w:val="single" w:sz="8" w:space="0" w:color="auto"/>
              <w:bottom w:val="single" w:sz="4" w:space="0" w:color="auto"/>
              <w:right w:val="single" w:sz="8" w:space="0" w:color="auto"/>
            </w:tcBorders>
            <w:shd w:val="clear" w:color="auto" w:fill="auto"/>
            <w:noWrap/>
            <w:vAlign w:val="bottom"/>
            <w:hideMark/>
          </w:tcPr>
          <w:p w14:paraId="5778E89D"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0.2714***</w:t>
            </w:r>
          </w:p>
        </w:tc>
        <w:tc>
          <w:tcPr>
            <w:tcW w:w="1217" w:type="dxa"/>
            <w:tcBorders>
              <w:top w:val="nil"/>
              <w:left w:val="nil"/>
              <w:bottom w:val="single" w:sz="4" w:space="0" w:color="auto"/>
              <w:right w:val="nil"/>
            </w:tcBorders>
            <w:shd w:val="clear" w:color="auto" w:fill="auto"/>
            <w:noWrap/>
            <w:vAlign w:val="bottom"/>
            <w:hideMark/>
          </w:tcPr>
          <w:p w14:paraId="5778E89E" w14:textId="77777777" w:rsidR="00A4362F" w:rsidRPr="000D728A" w:rsidRDefault="00A4362F" w:rsidP="0040417A">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2</w:t>
            </w:r>
            <w:r w:rsidR="0040417A" w:rsidRPr="000D728A">
              <w:rPr>
                <w:rFonts w:ascii="Calibri" w:hAnsi="Calibri"/>
                <w:color w:val="000000"/>
                <w:sz w:val="22"/>
                <w:szCs w:val="22"/>
                <w:lang w:eastAsia="en-US"/>
              </w:rPr>
              <w:t>.4%</w:t>
            </w:r>
          </w:p>
        </w:tc>
        <w:tc>
          <w:tcPr>
            <w:tcW w:w="1104" w:type="dxa"/>
            <w:tcBorders>
              <w:top w:val="nil"/>
              <w:left w:val="single" w:sz="8" w:space="0" w:color="auto"/>
              <w:bottom w:val="single" w:sz="4" w:space="0" w:color="auto"/>
              <w:right w:val="single" w:sz="8" w:space="0" w:color="auto"/>
            </w:tcBorders>
            <w:shd w:val="clear" w:color="auto" w:fill="auto"/>
            <w:noWrap/>
            <w:vAlign w:val="bottom"/>
            <w:hideMark/>
          </w:tcPr>
          <w:p w14:paraId="5778E89F" w14:textId="77777777" w:rsidR="00A4362F" w:rsidRPr="000D728A" w:rsidRDefault="00F46529"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w:t>
            </w:r>
            <w:r w:rsidR="00A4362F" w:rsidRPr="000D728A">
              <w:rPr>
                <w:rFonts w:ascii="Calibri" w:hAnsi="Calibri"/>
                <w:color w:val="000000"/>
                <w:sz w:val="22"/>
                <w:szCs w:val="22"/>
                <w:lang w:eastAsia="en-US"/>
              </w:rPr>
              <w:t>0.00</w:t>
            </w:r>
            <w:r w:rsidRPr="000D728A">
              <w:rPr>
                <w:rFonts w:ascii="Calibri" w:hAnsi="Calibri"/>
                <w:color w:val="000000"/>
                <w:sz w:val="22"/>
                <w:szCs w:val="22"/>
                <w:lang w:eastAsia="en-US"/>
              </w:rPr>
              <w:t>4)</w:t>
            </w:r>
          </w:p>
        </w:tc>
        <w:tc>
          <w:tcPr>
            <w:tcW w:w="1095" w:type="dxa"/>
            <w:tcBorders>
              <w:top w:val="nil"/>
              <w:left w:val="nil"/>
              <w:bottom w:val="single" w:sz="4" w:space="0" w:color="auto"/>
              <w:right w:val="nil"/>
            </w:tcBorders>
            <w:shd w:val="clear" w:color="auto" w:fill="auto"/>
            <w:noWrap/>
            <w:vAlign w:val="bottom"/>
            <w:hideMark/>
          </w:tcPr>
          <w:p w14:paraId="5778E8A0"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32106</w:t>
            </w:r>
          </w:p>
        </w:tc>
        <w:tc>
          <w:tcPr>
            <w:tcW w:w="1118" w:type="dxa"/>
            <w:tcBorders>
              <w:top w:val="nil"/>
              <w:left w:val="single" w:sz="8" w:space="0" w:color="auto"/>
              <w:bottom w:val="single" w:sz="4" w:space="0" w:color="auto"/>
              <w:right w:val="single" w:sz="8" w:space="0" w:color="auto"/>
            </w:tcBorders>
            <w:shd w:val="clear" w:color="auto" w:fill="auto"/>
            <w:noWrap/>
            <w:vAlign w:val="bottom"/>
            <w:hideMark/>
          </w:tcPr>
          <w:p w14:paraId="5778E8A1"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0.0856</w:t>
            </w:r>
          </w:p>
        </w:tc>
      </w:tr>
      <w:tr w:rsidR="00A4362F" w:rsidRPr="000D728A" w14:paraId="5778E8A9" w14:textId="77777777" w:rsidTr="00C244CD">
        <w:trPr>
          <w:trHeight w:val="300"/>
        </w:trPr>
        <w:tc>
          <w:tcPr>
            <w:tcW w:w="2116" w:type="dxa"/>
            <w:tcBorders>
              <w:top w:val="nil"/>
              <w:left w:val="single" w:sz="8" w:space="0" w:color="auto"/>
              <w:bottom w:val="nil"/>
              <w:right w:val="nil"/>
            </w:tcBorders>
            <w:shd w:val="clear" w:color="auto" w:fill="auto"/>
            <w:noWrap/>
            <w:vAlign w:val="center"/>
            <w:hideMark/>
          </w:tcPr>
          <w:p w14:paraId="5778E8A3" w14:textId="77777777" w:rsidR="00A4362F" w:rsidRPr="000D728A" w:rsidRDefault="00A4362F" w:rsidP="00A4362F">
            <w:pPr>
              <w:spacing w:before="0"/>
              <w:ind w:left="0"/>
              <w:rPr>
                <w:rFonts w:ascii="Calibri" w:hAnsi="Calibri"/>
                <w:b/>
                <w:bCs/>
                <w:color w:val="000000"/>
                <w:sz w:val="22"/>
                <w:szCs w:val="22"/>
                <w:lang w:eastAsia="en-US"/>
              </w:rPr>
            </w:pPr>
            <w:r w:rsidRPr="000D728A">
              <w:rPr>
                <w:rFonts w:ascii="Calibri" w:hAnsi="Calibri"/>
                <w:b/>
                <w:bCs/>
                <w:color w:val="000000"/>
                <w:sz w:val="22"/>
                <w:szCs w:val="22"/>
                <w:lang w:eastAsia="en-US"/>
              </w:rPr>
              <w:t>Participation</w:t>
            </w:r>
          </w:p>
        </w:tc>
        <w:tc>
          <w:tcPr>
            <w:tcW w:w="1206" w:type="dxa"/>
            <w:tcBorders>
              <w:top w:val="nil"/>
              <w:left w:val="single" w:sz="8" w:space="0" w:color="auto"/>
              <w:bottom w:val="nil"/>
              <w:right w:val="single" w:sz="8" w:space="0" w:color="auto"/>
            </w:tcBorders>
            <w:shd w:val="clear" w:color="auto" w:fill="auto"/>
            <w:noWrap/>
            <w:vAlign w:val="bottom"/>
            <w:hideMark/>
          </w:tcPr>
          <w:p w14:paraId="5778E8A4" w14:textId="77777777" w:rsidR="00A4362F" w:rsidRPr="000D728A" w:rsidRDefault="00A4362F" w:rsidP="00A4362F">
            <w:pPr>
              <w:spacing w:before="0"/>
              <w:ind w:left="0"/>
              <w:jc w:val="center"/>
              <w:rPr>
                <w:rFonts w:ascii="Cambria" w:hAnsi="Cambria"/>
                <w:color w:val="000000"/>
                <w:lang w:eastAsia="en-US"/>
              </w:rPr>
            </w:pPr>
            <w:r w:rsidRPr="000D728A">
              <w:rPr>
                <w:rFonts w:ascii="Cambria" w:hAnsi="Cambria"/>
                <w:color w:val="000000"/>
                <w:lang w:eastAsia="en-US"/>
              </w:rPr>
              <w:t> </w:t>
            </w:r>
          </w:p>
        </w:tc>
        <w:tc>
          <w:tcPr>
            <w:tcW w:w="1217" w:type="dxa"/>
            <w:tcBorders>
              <w:top w:val="nil"/>
              <w:left w:val="nil"/>
              <w:bottom w:val="nil"/>
              <w:right w:val="nil"/>
            </w:tcBorders>
            <w:shd w:val="clear" w:color="auto" w:fill="auto"/>
            <w:noWrap/>
            <w:vAlign w:val="bottom"/>
            <w:hideMark/>
          </w:tcPr>
          <w:p w14:paraId="5778E8A5" w14:textId="77777777" w:rsidR="00A4362F" w:rsidRPr="000D728A" w:rsidRDefault="00A4362F" w:rsidP="00A4362F">
            <w:pPr>
              <w:spacing w:before="0"/>
              <w:ind w:left="0"/>
              <w:jc w:val="center"/>
              <w:rPr>
                <w:rFonts w:ascii="Cambria" w:hAnsi="Cambria"/>
                <w:color w:val="000000"/>
                <w:lang w:eastAsia="en-US"/>
              </w:rPr>
            </w:pPr>
          </w:p>
        </w:tc>
        <w:tc>
          <w:tcPr>
            <w:tcW w:w="1104" w:type="dxa"/>
            <w:tcBorders>
              <w:top w:val="nil"/>
              <w:left w:val="single" w:sz="8" w:space="0" w:color="auto"/>
              <w:bottom w:val="nil"/>
              <w:right w:val="single" w:sz="8" w:space="0" w:color="auto"/>
            </w:tcBorders>
            <w:shd w:val="clear" w:color="auto" w:fill="auto"/>
            <w:noWrap/>
            <w:vAlign w:val="bottom"/>
            <w:hideMark/>
          </w:tcPr>
          <w:p w14:paraId="5778E8A6" w14:textId="77777777" w:rsidR="00A4362F" w:rsidRPr="000D728A" w:rsidRDefault="00A4362F" w:rsidP="00A4362F">
            <w:pPr>
              <w:spacing w:before="0"/>
              <w:ind w:left="0"/>
              <w:jc w:val="center"/>
              <w:rPr>
                <w:rFonts w:ascii="Cambria" w:hAnsi="Cambria"/>
                <w:color w:val="000000"/>
                <w:lang w:eastAsia="en-US"/>
              </w:rPr>
            </w:pPr>
            <w:r w:rsidRPr="000D728A">
              <w:rPr>
                <w:rFonts w:ascii="Cambria" w:hAnsi="Cambria"/>
                <w:color w:val="000000"/>
                <w:lang w:eastAsia="en-US"/>
              </w:rPr>
              <w:t> </w:t>
            </w:r>
          </w:p>
        </w:tc>
        <w:tc>
          <w:tcPr>
            <w:tcW w:w="1095" w:type="dxa"/>
            <w:tcBorders>
              <w:top w:val="nil"/>
              <w:left w:val="nil"/>
              <w:bottom w:val="nil"/>
              <w:right w:val="nil"/>
            </w:tcBorders>
            <w:shd w:val="clear" w:color="auto" w:fill="auto"/>
            <w:noWrap/>
            <w:vAlign w:val="bottom"/>
            <w:hideMark/>
          </w:tcPr>
          <w:p w14:paraId="5778E8A7" w14:textId="77777777" w:rsidR="00A4362F" w:rsidRPr="000D728A" w:rsidRDefault="00A4362F" w:rsidP="00A4362F">
            <w:pPr>
              <w:spacing w:before="0"/>
              <w:ind w:left="0"/>
              <w:jc w:val="center"/>
              <w:rPr>
                <w:rFonts w:ascii="Calibri" w:hAnsi="Calibri"/>
                <w:color w:val="000000"/>
                <w:sz w:val="22"/>
                <w:szCs w:val="22"/>
                <w:lang w:eastAsia="en-US"/>
              </w:rPr>
            </w:pPr>
          </w:p>
        </w:tc>
        <w:tc>
          <w:tcPr>
            <w:tcW w:w="1118" w:type="dxa"/>
            <w:tcBorders>
              <w:top w:val="nil"/>
              <w:left w:val="single" w:sz="8" w:space="0" w:color="auto"/>
              <w:bottom w:val="nil"/>
              <w:right w:val="single" w:sz="8" w:space="0" w:color="auto"/>
            </w:tcBorders>
            <w:shd w:val="clear" w:color="auto" w:fill="auto"/>
            <w:noWrap/>
            <w:vAlign w:val="bottom"/>
            <w:hideMark/>
          </w:tcPr>
          <w:p w14:paraId="5778E8A8" w14:textId="77777777" w:rsidR="00A4362F" w:rsidRPr="000D728A" w:rsidRDefault="00A4362F" w:rsidP="00A4362F">
            <w:pPr>
              <w:spacing w:before="0"/>
              <w:ind w:left="0"/>
              <w:jc w:val="center"/>
              <w:rPr>
                <w:rFonts w:ascii="Cambria" w:hAnsi="Cambria"/>
                <w:color w:val="000000"/>
                <w:lang w:eastAsia="en-US"/>
              </w:rPr>
            </w:pPr>
            <w:r w:rsidRPr="000D728A">
              <w:rPr>
                <w:rFonts w:ascii="Cambria" w:hAnsi="Cambria"/>
                <w:color w:val="000000"/>
                <w:lang w:eastAsia="en-US"/>
              </w:rPr>
              <w:t> </w:t>
            </w:r>
          </w:p>
        </w:tc>
      </w:tr>
      <w:tr w:rsidR="00A4362F" w:rsidRPr="000D728A" w14:paraId="5778E8B0" w14:textId="77777777" w:rsidTr="00C244CD">
        <w:trPr>
          <w:trHeight w:val="280"/>
        </w:trPr>
        <w:tc>
          <w:tcPr>
            <w:tcW w:w="2116" w:type="dxa"/>
            <w:tcBorders>
              <w:top w:val="nil"/>
              <w:left w:val="single" w:sz="8" w:space="0" w:color="auto"/>
              <w:bottom w:val="nil"/>
              <w:right w:val="nil"/>
            </w:tcBorders>
            <w:shd w:val="clear" w:color="auto" w:fill="auto"/>
            <w:noWrap/>
            <w:vAlign w:val="center"/>
            <w:hideMark/>
          </w:tcPr>
          <w:p w14:paraId="5778E8AA" w14:textId="77777777" w:rsidR="00A4362F" w:rsidRPr="000D728A" w:rsidRDefault="00A4362F" w:rsidP="00A4362F">
            <w:pPr>
              <w:spacing w:before="0"/>
              <w:ind w:left="0"/>
              <w:rPr>
                <w:rFonts w:ascii="Calibri" w:hAnsi="Calibri"/>
                <w:i/>
                <w:iCs/>
                <w:color w:val="000000"/>
                <w:sz w:val="22"/>
                <w:szCs w:val="22"/>
                <w:lang w:eastAsia="en-US"/>
              </w:rPr>
            </w:pPr>
            <w:r w:rsidRPr="000D728A">
              <w:rPr>
                <w:rFonts w:ascii="Calibri" w:hAnsi="Calibri"/>
                <w:i/>
                <w:iCs/>
                <w:color w:val="000000"/>
                <w:sz w:val="22"/>
                <w:szCs w:val="22"/>
                <w:lang w:eastAsia="en-US"/>
              </w:rPr>
              <w:t>Drama</w:t>
            </w:r>
          </w:p>
        </w:tc>
        <w:tc>
          <w:tcPr>
            <w:tcW w:w="120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778E8AB"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0.7716***</w:t>
            </w:r>
          </w:p>
        </w:tc>
        <w:tc>
          <w:tcPr>
            <w:tcW w:w="1217" w:type="dxa"/>
            <w:tcBorders>
              <w:top w:val="single" w:sz="4" w:space="0" w:color="auto"/>
              <w:left w:val="nil"/>
              <w:bottom w:val="single" w:sz="4" w:space="0" w:color="auto"/>
              <w:right w:val="nil"/>
            </w:tcBorders>
            <w:shd w:val="clear" w:color="auto" w:fill="auto"/>
            <w:noWrap/>
            <w:vAlign w:val="bottom"/>
            <w:hideMark/>
          </w:tcPr>
          <w:p w14:paraId="5778E8AC" w14:textId="77777777" w:rsidR="00A4362F" w:rsidRPr="000D728A" w:rsidRDefault="00A4362F" w:rsidP="0040417A">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8</w:t>
            </w:r>
            <w:r w:rsidR="0040417A" w:rsidRPr="000D728A">
              <w:rPr>
                <w:rFonts w:ascii="Calibri" w:hAnsi="Calibri"/>
                <w:color w:val="000000"/>
                <w:sz w:val="22"/>
                <w:szCs w:val="22"/>
                <w:lang w:eastAsia="en-US"/>
              </w:rPr>
              <w:t>.</w:t>
            </w:r>
            <w:r w:rsidRPr="000D728A">
              <w:rPr>
                <w:rFonts w:ascii="Calibri" w:hAnsi="Calibri"/>
                <w:color w:val="000000"/>
                <w:sz w:val="22"/>
                <w:szCs w:val="22"/>
                <w:lang w:eastAsia="en-US"/>
              </w:rPr>
              <w:t>4</w:t>
            </w:r>
            <w:r w:rsidR="0040417A" w:rsidRPr="000D728A">
              <w:rPr>
                <w:rFonts w:ascii="Calibri" w:hAnsi="Calibri"/>
                <w:color w:val="000000"/>
                <w:sz w:val="22"/>
                <w:szCs w:val="22"/>
                <w:lang w:eastAsia="en-US"/>
              </w:rPr>
              <w:t>%</w:t>
            </w:r>
          </w:p>
        </w:tc>
        <w:tc>
          <w:tcPr>
            <w:tcW w:w="110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778E8AD" w14:textId="77777777" w:rsidR="00A4362F" w:rsidRPr="000D728A" w:rsidRDefault="00F46529"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w:t>
            </w:r>
            <w:r w:rsidR="00A4362F" w:rsidRPr="000D728A">
              <w:rPr>
                <w:rFonts w:ascii="Calibri" w:hAnsi="Calibri"/>
                <w:color w:val="000000"/>
                <w:sz w:val="22"/>
                <w:szCs w:val="22"/>
                <w:lang w:eastAsia="en-US"/>
              </w:rPr>
              <w:t>0.007</w:t>
            </w:r>
            <w:r w:rsidRPr="000D728A">
              <w:rPr>
                <w:rFonts w:ascii="Calibri" w:hAnsi="Calibri"/>
                <w:color w:val="000000"/>
                <w:sz w:val="22"/>
                <w:szCs w:val="22"/>
                <w:lang w:eastAsia="en-US"/>
              </w:rPr>
              <w:t>)</w:t>
            </w:r>
          </w:p>
        </w:tc>
        <w:tc>
          <w:tcPr>
            <w:tcW w:w="1095" w:type="dxa"/>
            <w:tcBorders>
              <w:top w:val="single" w:sz="4" w:space="0" w:color="auto"/>
              <w:left w:val="nil"/>
              <w:bottom w:val="single" w:sz="4" w:space="0" w:color="auto"/>
              <w:right w:val="nil"/>
            </w:tcBorders>
            <w:shd w:val="clear" w:color="auto" w:fill="auto"/>
            <w:noWrap/>
            <w:vAlign w:val="bottom"/>
            <w:hideMark/>
          </w:tcPr>
          <w:p w14:paraId="5778E8AE"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32106</w:t>
            </w:r>
          </w:p>
        </w:tc>
        <w:tc>
          <w:tcPr>
            <w:tcW w:w="111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778E8AF"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0.0856</w:t>
            </w:r>
          </w:p>
        </w:tc>
      </w:tr>
      <w:tr w:rsidR="00A4362F" w:rsidRPr="000D728A" w14:paraId="5778E8B7" w14:textId="77777777" w:rsidTr="00C244CD">
        <w:trPr>
          <w:trHeight w:val="280"/>
        </w:trPr>
        <w:tc>
          <w:tcPr>
            <w:tcW w:w="2116" w:type="dxa"/>
            <w:tcBorders>
              <w:top w:val="nil"/>
              <w:left w:val="single" w:sz="8" w:space="0" w:color="auto"/>
              <w:bottom w:val="nil"/>
              <w:right w:val="nil"/>
            </w:tcBorders>
            <w:shd w:val="clear" w:color="auto" w:fill="auto"/>
            <w:noWrap/>
            <w:vAlign w:val="center"/>
            <w:hideMark/>
          </w:tcPr>
          <w:p w14:paraId="5778E8B1" w14:textId="77777777" w:rsidR="00A4362F" w:rsidRPr="000D728A" w:rsidRDefault="00A4362F" w:rsidP="00A4362F">
            <w:pPr>
              <w:spacing w:before="0"/>
              <w:ind w:left="0"/>
              <w:rPr>
                <w:rFonts w:ascii="Calibri" w:hAnsi="Calibri"/>
                <w:i/>
                <w:iCs/>
                <w:color w:val="000000"/>
                <w:sz w:val="22"/>
                <w:szCs w:val="22"/>
                <w:lang w:eastAsia="en-US"/>
              </w:rPr>
            </w:pPr>
            <w:r w:rsidRPr="000D728A">
              <w:rPr>
                <w:rFonts w:ascii="Calibri" w:hAnsi="Calibri"/>
                <w:i/>
                <w:iCs/>
                <w:color w:val="000000"/>
                <w:sz w:val="22"/>
                <w:szCs w:val="22"/>
                <w:lang w:eastAsia="en-US"/>
              </w:rPr>
              <w:t>Art</w:t>
            </w:r>
          </w:p>
        </w:tc>
        <w:tc>
          <w:tcPr>
            <w:tcW w:w="1206" w:type="dxa"/>
            <w:tcBorders>
              <w:top w:val="nil"/>
              <w:left w:val="single" w:sz="8" w:space="0" w:color="auto"/>
              <w:bottom w:val="single" w:sz="4" w:space="0" w:color="auto"/>
              <w:right w:val="single" w:sz="8" w:space="0" w:color="auto"/>
            </w:tcBorders>
            <w:shd w:val="clear" w:color="auto" w:fill="auto"/>
            <w:noWrap/>
            <w:vAlign w:val="bottom"/>
            <w:hideMark/>
          </w:tcPr>
          <w:p w14:paraId="5778E8B2"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0.1777***</w:t>
            </w:r>
          </w:p>
        </w:tc>
        <w:tc>
          <w:tcPr>
            <w:tcW w:w="1217" w:type="dxa"/>
            <w:tcBorders>
              <w:top w:val="nil"/>
              <w:left w:val="nil"/>
              <w:bottom w:val="single" w:sz="4" w:space="0" w:color="auto"/>
              <w:right w:val="nil"/>
            </w:tcBorders>
            <w:shd w:val="clear" w:color="auto" w:fill="auto"/>
            <w:noWrap/>
            <w:vAlign w:val="bottom"/>
            <w:hideMark/>
          </w:tcPr>
          <w:p w14:paraId="5778E8B3" w14:textId="77777777" w:rsidR="00A4362F" w:rsidRPr="000D728A" w:rsidRDefault="00A4362F" w:rsidP="0040417A">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1</w:t>
            </w:r>
            <w:r w:rsidR="0040417A" w:rsidRPr="000D728A">
              <w:rPr>
                <w:rFonts w:ascii="Calibri" w:hAnsi="Calibri"/>
                <w:color w:val="000000"/>
                <w:sz w:val="22"/>
                <w:szCs w:val="22"/>
                <w:lang w:eastAsia="en-US"/>
              </w:rPr>
              <w:t>.6%</w:t>
            </w:r>
          </w:p>
        </w:tc>
        <w:tc>
          <w:tcPr>
            <w:tcW w:w="1104" w:type="dxa"/>
            <w:tcBorders>
              <w:top w:val="nil"/>
              <w:left w:val="single" w:sz="8" w:space="0" w:color="auto"/>
              <w:bottom w:val="single" w:sz="4" w:space="0" w:color="auto"/>
              <w:right w:val="single" w:sz="8" w:space="0" w:color="auto"/>
            </w:tcBorders>
            <w:shd w:val="clear" w:color="auto" w:fill="auto"/>
            <w:noWrap/>
            <w:vAlign w:val="bottom"/>
            <w:hideMark/>
          </w:tcPr>
          <w:p w14:paraId="5778E8B4" w14:textId="77777777" w:rsidR="00A4362F" w:rsidRPr="000D728A" w:rsidRDefault="00F46529"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w:t>
            </w:r>
            <w:r w:rsidR="00A4362F" w:rsidRPr="000D728A">
              <w:rPr>
                <w:rFonts w:ascii="Calibri" w:hAnsi="Calibri"/>
                <w:color w:val="000000"/>
                <w:sz w:val="22"/>
                <w:szCs w:val="22"/>
                <w:lang w:eastAsia="en-US"/>
              </w:rPr>
              <w:t>0.00</w:t>
            </w:r>
            <w:r w:rsidRPr="000D728A">
              <w:rPr>
                <w:rFonts w:ascii="Calibri" w:hAnsi="Calibri"/>
                <w:color w:val="000000"/>
                <w:sz w:val="22"/>
                <w:szCs w:val="22"/>
                <w:lang w:eastAsia="en-US"/>
              </w:rPr>
              <w:t>4)</w:t>
            </w:r>
          </w:p>
        </w:tc>
        <w:tc>
          <w:tcPr>
            <w:tcW w:w="1095" w:type="dxa"/>
            <w:tcBorders>
              <w:top w:val="nil"/>
              <w:left w:val="nil"/>
              <w:bottom w:val="single" w:sz="4" w:space="0" w:color="auto"/>
              <w:right w:val="nil"/>
            </w:tcBorders>
            <w:shd w:val="clear" w:color="auto" w:fill="auto"/>
            <w:noWrap/>
            <w:vAlign w:val="bottom"/>
            <w:hideMark/>
          </w:tcPr>
          <w:p w14:paraId="5778E8B5"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32106</w:t>
            </w:r>
          </w:p>
        </w:tc>
        <w:tc>
          <w:tcPr>
            <w:tcW w:w="1118" w:type="dxa"/>
            <w:tcBorders>
              <w:top w:val="nil"/>
              <w:left w:val="single" w:sz="8" w:space="0" w:color="auto"/>
              <w:bottom w:val="single" w:sz="4" w:space="0" w:color="auto"/>
              <w:right w:val="single" w:sz="8" w:space="0" w:color="auto"/>
            </w:tcBorders>
            <w:shd w:val="clear" w:color="auto" w:fill="auto"/>
            <w:noWrap/>
            <w:vAlign w:val="bottom"/>
            <w:hideMark/>
          </w:tcPr>
          <w:p w14:paraId="5778E8B6"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0.0856</w:t>
            </w:r>
          </w:p>
        </w:tc>
      </w:tr>
      <w:tr w:rsidR="00A4362F" w:rsidRPr="000D728A" w14:paraId="5778E8BE" w14:textId="77777777" w:rsidTr="00C244CD">
        <w:trPr>
          <w:trHeight w:val="280"/>
        </w:trPr>
        <w:tc>
          <w:tcPr>
            <w:tcW w:w="2116" w:type="dxa"/>
            <w:tcBorders>
              <w:top w:val="nil"/>
              <w:left w:val="single" w:sz="8" w:space="0" w:color="auto"/>
              <w:bottom w:val="nil"/>
              <w:right w:val="nil"/>
            </w:tcBorders>
            <w:shd w:val="clear" w:color="auto" w:fill="auto"/>
            <w:noWrap/>
            <w:vAlign w:val="center"/>
            <w:hideMark/>
          </w:tcPr>
          <w:p w14:paraId="5778E8B8" w14:textId="77777777" w:rsidR="00A4362F" w:rsidRPr="000D728A" w:rsidRDefault="00A4362F" w:rsidP="00A4362F">
            <w:pPr>
              <w:spacing w:before="0"/>
              <w:ind w:left="0"/>
              <w:rPr>
                <w:rFonts w:ascii="Calibri" w:hAnsi="Calibri"/>
                <w:i/>
                <w:iCs/>
                <w:color w:val="000000"/>
                <w:sz w:val="22"/>
                <w:szCs w:val="22"/>
                <w:lang w:eastAsia="en-US"/>
              </w:rPr>
            </w:pPr>
            <w:r w:rsidRPr="000D728A">
              <w:rPr>
                <w:rFonts w:ascii="Calibri" w:hAnsi="Calibri"/>
                <w:i/>
                <w:iCs/>
                <w:color w:val="000000"/>
                <w:sz w:val="22"/>
                <w:szCs w:val="22"/>
                <w:lang w:eastAsia="en-US"/>
              </w:rPr>
              <w:t>Craft</w:t>
            </w:r>
          </w:p>
        </w:tc>
        <w:tc>
          <w:tcPr>
            <w:tcW w:w="1206" w:type="dxa"/>
            <w:tcBorders>
              <w:top w:val="nil"/>
              <w:left w:val="single" w:sz="8" w:space="0" w:color="auto"/>
              <w:bottom w:val="single" w:sz="4" w:space="0" w:color="auto"/>
              <w:right w:val="single" w:sz="8" w:space="0" w:color="auto"/>
            </w:tcBorders>
            <w:shd w:val="clear" w:color="auto" w:fill="auto"/>
            <w:noWrap/>
            <w:vAlign w:val="bottom"/>
            <w:hideMark/>
          </w:tcPr>
          <w:p w14:paraId="5778E8B9"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0.1712***</w:t>
            </w:r>
          </w:p>
        </w:tc>
        <w:tc>
          <w:tcPr>
            <w:tcW w:w="1217" w:type="dxa"/>
            <w:tcBorders>
              <w:top w:val="nil"/>
              <w:left w:val="nil"/>
              <w:bottom w:val="single" w:sz="4" w:space="0" w:color="auto"/>
              <w:right w:val="nil"/>
            </w:tcBorders>
            <w:shd w:val="clear" w:color="auto" w:fill="auto"/>
            <w:noWrap/>
            <w:vAlign w:val="bottom"/>
            <w:hideMark/>
          </w:tcPr>
          <w:p w14:paraId="5778E8BA" w14:textId="77777777" w:rsidR="00A4362F" w:rsidRPr="000D728A" w:rsidRDefault="00A4362F" w:rsidP="0040417A">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1</w:t>
            </w:r>
            <w:r w:rsidR="0040417A" w:rsidRPr="000D728A">
              <w:rPr>
                <w:rFonts w:ascii="Calibri" w:hAnsi="Calibri"/>
                <w:color w:val="000000"/>
                <w:sz w:val="22"/>
                <w:szCs w:val="22"/>
                <w:lang w:eastAsia="en-US"/>
              </w:rPr>
              <w:t>.5%</w:t>
            </w:r>
          </w:p>
        </w:tc>
        <w:tc>
          <w:tcPr>
            <w:tcW w:w="1104" w:type="dxa"/>
            <w:tcBorders>
              <w:top w:val="nil"/>
              <w:left w:val="single" w:sz="8" w:space="0" w:color="auto"/>
              <w:bottom w:val="single" w:sz="4" w:space="0" w:color="auto"/>
              <w:right w:val="single" w:sz="8" w:space="0" w:color="auto"/>
            </w:tcBorders>
            <w:shd w:val="clear" w:color="auto" w:fill="auto"/>
            <w:noWrap/>
            <w:vAlign w:val="bottom"/>
            <w:hideMark/>
          </w:tcPr>
          <w:p w14:paraId="5778E8BB" w14:textId="77777777" w:rsidR="00A4362F" w:rsidRPr="000D728A" w:rsidRDefault="00F46529"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w:t>
            </w:r>
            <w:r w:rsidR="00A4362F" w:rsidRPr="000D728A">
              <w:rPr>
                <w:rFonts w:ascii="Calibri" w:hAnsi="Calibri"/>
                <w:color w:val="000000"/>
                <w:sz w:val="22"/>
                <w:szCs w:val="22"/>
                <w:lang w:eastAsia="en-US"/>
              </w:rPr>
              <w:t>0.004</w:t>
            </w:r>
            <w:r w:rsidRPr="000D728A">
              <w:rPr>
                <w:rFonts w:ascii="Calibri" w:hAnsi="Calibri"/>
                <w:color w:val="000000"/>
                <w:sz w:val="22"/>
                <w:szCs w:val="22"/>
                <w:lang w:eastAsia="en-US"/>
              </w:rPr>
              <w:t>)</w:t>
            </w:r>
          </w:p>
        </w:tc>
        <w:tc>
          <w:tcPr>
            <w:tcW w:w="1095" w:type="dxa"/>
            <w:tcBorders>
              <w:top w:val="nil"/>
              <w:left w:val="nil"/>
              <w:bottom w:val="single" w:sz="4" w:space="0" w:color="auto"/>
              <w:right w:val="nil"/>
            </w:tcBorders>
            <w:shd w:val="clear" w:color="auto" w:fill="auto"/>
            <w:noWrap/>
            <w:vAlign w:val="bottom"/>
            <w:hideMark/>
          </w:tcPr>
          <w:p w14:paraId="5778E8BC"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32106</w:t>
            </w:r>
          </w:p>
        </w:tc>
        <w:tc>
          <w:tcPr>
            <w:tcW w:w="1118" w:type="dxa"/>
            <w:tcBorders>
              <w:top w:val="nil"/>
              <w:left w:val="single" w:sz="8" w:space="0" w:color="auto"/>
              <w:bottom w:val="single" w:sz="4" w:space="0" w:color="auto"/>
              <w:right w:val="single" w:sz="8" w:space="0" w:color="auto"/>
            </w:tcBorders>
            <w:shd w:val="clear" w:color="auto" w:fill="auto"/>
            <w:noWrap/>
            <w:vAlign w:val="bottom"/>
            <w:hideMark/>
          </w:tcPr>
          <w:p w14:paraId="5778E8BD"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0.0856</w:t>
            </w:r>
          </w:p>
        </w:tc>
      </w:tr>
      <w:tr w:rsidR="00A4362F" w:rsidRPr="000D728A" w14:paraId="5778E8C5" w14:textId="77777777" w:rsidTr="00C244CD">
        <w:trPr>
          <w:trHeight w:val="300"/>
        </w:trPr>
        <w:tc>
          <w:tcPr>
            <w:tcW w:w="2116" w:type="dxa"/>
            <w:tcBorders>
              <w:top w:val="nil"/>
              <w:left w:val="single" w:sz="8" w:space="0" w:color="auto"/>
              <w:bottom w:val="single" w:sz="8" w:space="0" w:color="auto"/>
              <w:right w:val="nil"/>
            </w:tcBorders>
            <w:shd w:val="clear" w:color="auto" w:fill="auto"/>
            <w:noWrap/>
            <w:vAlign w:val="center"/>
            <w:hideMark/>
          </w:tcPr>
          <w:p w14:paraId="5778E8BF" w14:textId="77777777" w:rsidR="00A4362F" w:rsidRPr="000D728A" w:rsidRDefault="00A4362F" w:rsidP="00A4362F">
            <w:pPr>
              <w:spacing w:before="0"/>
              <w:ind w:left="0"/>
              <w:rPr>
                <w:rFonts w:ascii="Calibri" w:hAnsi="Calibri"/>
                <w:i/>
                <w:iCs/>
                <w:color w:val="000000"/>
                <w:sz w:val="22"/>
                <w:szCs w:val="22"/>
                <w:lang w:eastAsia="en-US"/>
              </w:rPr>
            </w:pPr>
            <w:r w:rsidRPr="000D728A">
              <w:rPr>
                <w:rFonts w:ascii="Calibri" w:hAnsi="Calibri"/>
                <w:i/>
                <w:iCs/>
                <w:color w:val="000000"/>
                <w:sz w:val="22"/>
                <w:szCs w:val="22"/>
                <w:lang w:eastAsia="en-US"/>
              </w:rPr>
              <w:t>Literature</w:t>
            </w:r>
          </w:p>
        </w:tc>
        <w:tc>
          <w:tcPr>
            <w:tcW w:w="1206" w:type="dxa"/>
            <w:tcBorders>
              <w:top w:val="nil"/>
              <w:left w:val="single" w:sz="8" w:space="0" w:color="auto"/>
              <w:bottom w:val="single" w:sz="8" w:space="0" w:color="auto"/>
              <w:right w:val="single" w:sz="8" w:space="0" w:color="auto"/>
            </w:tcBorders>
            <w:shd w:val="clear" w:color="auto" w:fill="auto"/>
            <w:noWrap/>
            <w:vAlign w:val="bottom"/>
            <w:hideMark/>
          </w:tcPr>
          <w:p w14:paraId="5778E8C0"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0.3056***</w:t>
            </w:r>
          </w:p>
        </w:tc>
        <w:tc>
          <w:tcPr>
            <w:tcW w:w="1217" w:type="dxa"/>
            <w:tcBorders>
              <w:top w:val="nil"/>
              <w:left w:val="nil"/>
              <w:bottom w:val="single" w:sz="8" w:space="0" w:color="auto"/>
              <w:right w:val="nil"/>
            </w:tcBorders>
            <w:shd w:val="clear" w:color="auto" w:fill="auto"/>
            <w:noWrap/>
            <w:vAlign w:val="bottom"/>
            <w:hideMark/>
          </w:tcPr>
          <w:p w14:paraId="5778E8C1" w14:textId="77777777" w:rsidR="00A4362F" w:rsidRPr="000D728A" w:rsidRDefault="00A4362F" w:rsidP="0040417A">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2</w:t>
            </w:r>
            <w:r w:rsidR="0040417A" w:rsidRPr="000D728A">
              <w:rPr>
                <w:rFonts w:ascii="Calibri" w:hAnsi="Calibri"/>
                <w:color w:val="000000"/>
                <w:sz w:val="22"/>
                <w:szCs w:val="22"/>
                <w:lang w:eastAsia="en-US"/>
              </w:rPr>
              <w:t>.5%</w:t>
            </w:r>
          </w:p>
        </w:tc>
        <w:tc>
          <w:tcPr>
            <w:tcW w:w="1104" w:type="dxa"/>
            <w:tcBorders>
              <w:top w:val="nil"/>
              <w:left w:val="single" w:sz="8" w:space="0" w:color="auto"/>
              <w:bottom w:val="single" w:sz="8" w:space="0" w:color="auto"/>
              <w:right w:val="single" w:sz="8" w:space="0" w:color="auto"/>
            </w:tcBorders>
            <w:shd w:val="clear" w:color="auto" w:fill="auto"/>
            <w:noWrap/>
            <w:vAlign w:val="bottom"/>
            <w:hideMark/>
          </w:tcPr>
          <w:p w14:paraId="5778E8C2" w14:textId="77777777" w:rsidR="00A4362F" w:rsidRPr="000D728A" w:rsidRDefault="00F46529"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w:t>
            </w:r>
            <w:r w:rsidR="00A4362F" w:rsidRPr="000D728A">
              <w:rPr>
                <w:rFonts w:ascii="Calibri" w:hAnsi="Calibri"/>
                <w:color w:val="000000"/>
                <w:sz w:val="22"/>
                <w:szCs w:val="22"/>
                <w:lang w:eastAsia="en-US"/>
              </w:rPr>
              <w:t>0.00</w:t>
            </w:r>
            <w:r w:rsidRPr="000D728A">
              <w:rPr>
                <w:rFonts w:ascii="Calibri" w:hAnsi="Calibri"/>
                <w:color w:val="000000"/>
                <w:sz w:val="22"/>
                <w:szCs w:val="22"/>
                <w:lang w:eastAsia="en-US"/>
              </w:rPr>
              <w:t>4)</w:t>
            </w:r>
          </w:p>
        </w:tc>
        <w:tc>
          <w:tcPr>
            <w:tcW w:w="1095" w:type="dxa"/>
            <w:tcBorders>
              <w:top w:val="nil"/>
              <w:left w:val="nil"/>
              <w:bottom w:val="single" w:sz="8" w:space="0" w:color="auto"/>
              <w:right w:val="nil"/>
            </w:tcBorders>
            <w:shd w:val="clear" w:color="auto" w:fill="auto"/>
            <w:noWrap/>
            <w:vAlign w:val="bottom"/>
            <w:hideMark/>
          </w:tcPr>
          <w:p w14:paraId="5778E8C3"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32106</w:t>
            </w:r>
          </w:p>
        </w:tc>
        <w:tc>
          <w:tcPr>
            <w:tcW w:w="1118" w:type="dxa"/>
            <w:tcBorders>
              <w:top w:val="nil"/>
              <w:left w:val="single" w:sz="8" w:space="0" w:color="auto"/>
              <w:bottom w:val="single" w:sz="8" w:space="0" w:color="auto"/>
              <w:right w:val="single" w:sz="8" w:space="0" w:color="auto"/>
            </w:tcBorders>
            <w:shd w:val="clear" w:color="auto" w:fill="auto"/>
            <w:noWrap/>
            <w:vAlign w:val="bottom"/>
            <w:hideMark/>
          </w:tcPr>
          <w:p w14:paraId="5778E8C4" w14:textId="77777777" w:rsidR="00A4362F" w:rsidRPr="000D728A" w:rsidRDefault="00A4362F" w:rsidP="00A4362F">
            <w:pPr>
              <w:spacing w:before="0"/>
              <w:ind w:left="0"/>
              <w:jc w:val="center"/>
              <w:rPr>
                <w:rFonts w:ascii="Calibri" w:hAnsi="Calibri"/>
                <w:color w:val="000000"/>
                <w:sz w:val="22"/>
                <w:szCs w:val="22"/>
                <w:lang w:eastAsia="en-US"/>
              </w:rPr>
            </w:pPr>
            <w:r w:rsidRPr="000D728A">
              <w:rPr>
                <w:rFonts w:ascii="Calibri" w:hAnsi="Calibri"/>
                <w:color w:val="000000"/>
                <w:sz w:val="22"/>
                <w:szCs w:val="22"/>
                <w:lang w:eastAsia="en-US"/>
              </w:rPr>
              <w:t>0.0856</w:t>
            </w:r>
          </w:p>
        </w:tc>
      </w:tr>
    </w:tbl>
    <w:p w14:paraId="5778E8C6" w14:textId="77777777" w:rsidR="00B72AB2" w:rsidRPr="000D728A" w:rsidRDefault="00B72AB2" w:rsidP="00A4362F">
      <w:pPr>
        <w:rPr>
          <w:rFonts w:cs="Arial"/>
        </w:rPr>
      </w:pPr>
      <w:r w:rsidRPr="000D728A">
        <w:rPr>
          <w:rFonts w:cs="Arial"/>
          <w:sz w:val="18"/>
          <w:szCs w:val="18"/>
        </w:rPr>
        <w:lastRenderedPageBreak/>
        <w:t xml:space="preserve">Notes: Logit model. *** 0.01 significance level, ** 0.05 significance level. S.E. = Standard errors (in parentheses). R-Squared = </w:t>
      </w:r>
      <w:r w:rsidRPr="000D728A">
        <w:rPr>
          <w:rFonts w:cs="Arial"/>
          <w:i/>
          <w:sz w:val="18"/>
          <w:szCs w:val="18"/>
        </w:rPr>
        <w:t>Psuedo</w:t>
      </w:r>
      <w:r w:rsidRPr="000D728A">
        <w:rPr>
          <w:rFonts w:cs="Arial"/>
          <w:sz w:val="18"/>
          <w:szCs w:val="18"/>
        </w:rPr>
        <w:t xml:space="preserve"> </w:t>
      </w:r>
      <w:r w:rsidRPr="000D728A">
        <w:rPr>
          <w:rFonts w:cs="Arial"/>
          <w:i/>
          <w:sz w:val="18"/>
          <w:szCs w:val="18"/>
        </w:rPr>
        <w:t>R-Squared</w:t>
      </w:r>
      <w:r w:rsidRPr="000D728A">
        <w:rPr>
          <w:rFonts w:cs="Arial"/>
          <w:sz w:val="18"/>
          <w:szCs w:val="18"/>
        </w:rPr>
        <w:t>. Probability impacts calculated at the sample mean values of the other covariates. Probability = increase in likelihood of reporting good health.</w:t>
      </w:r>
    </w:p>
    <w:p w14:paraId="5778E8C7" w14:textId="77777777" w:rsidR="00B72AB2" w:rsidRPr="000D728A" w:rsidRDefault="00B72AB2" w:rsidP="00B72AB2">
      <w:pPr>
        <w:rPr>
          <w:rFonts w:cs="Arial"/>
          <w:b/>
        </w:rPr>
      </w:pPr>
    </w:p>
    <w:p w14:paraId="5778E8C8" w14:textId="77777777" w:rsidR="00B72AB2" w:rsidRPr="000D728A" w:rsidRDefault="00B72AB2" w:rsidP="00B72AB2">
      <w:pPr>
        <w:rPr>
          <w:rFonts w:cs="Arial"/>
          <w:b/>
        </w:rPr>
      </w:pPr>
      <w:r w:rsidRPr="000D728A">
        <w:rPr>
          <w:rFonts w:cs="Arial"/>
          <w:b/>
        </w:rPr>
        <w:t>Distributional impacts</w:t>
      </w:r>
    </w:p>
    <w:p w14:paraId="5778E8C9" w14:textId="77777777" w:rsidR="00B72AB2" w:rsidRPr="000D728A" w:rsidRDefault="00B72AB2" w:rsidP="00B72AB2">
      <w:pPr>
        <w:rPr>
          <w:rFonts w:cs="Arial"/>
        </w:rPr>
      </w:pPr>
      <w:r w:rsidRPr="000D728A">
        <w:rPr>
          <w:rFonts w:cs="Arial"/>
          <w:b/>
        </w:rPr>
        <w:t>The effects of playing any sports, or of engaging in any arts, on volunteering depends on gender and age</w:t>
      </w:r>
      <w:r w:rsidRPr="000D728A">
        <w:rPr>
          <w:rFonts w:cs="Arial"/>
        </w:rPr>
        <w:t>. Playing any sport and being male is associated with 3.9% higher likelihood of volunteering frequently (significant at the 1% level), and playing any sport and being in the high age group is associated with 2.6% higher likelihood of volunteering frequently. Engaging in any art and being male is associated with 2.1% higher likelihood of volunteering frequently, and engaging in any art and being in the high age group is associated with 10% higher likelihood of volunteering frequently.</w:t>
      </w:r>
    </w:p>
    <w:p w14:paraId="5778E8CA" w14:textId="77777777" w:rsidR="00B72AB2" w:rsidRPr="000D728A" w:rsidRDefault="00B72AB2" w:rsidP="00B72AB2">
      <w:pPr>
        <w:rPr>
          <w:rFonts w:cs="Arial"/>
        </w:rPr>
      </w:pPr>
    </w:p>
    <w:p w14:paraId="5778E8CB" w14:textId="77777777" w:rsidR="00B72AB2" w:rsidRPr="000D728A" w:rsidRDefault="00B72AB2" w:rsidP="00B72AB2">
      <w:pPr>
        <w:rPr>
          <w:rFonts w:cs="Arial"/>
        </w:rPr>
      </w:pPr>
      <w:r w:rsidRPr="000D728A">
        <w:rPr>
          <w:rFonts w:cs="Arial"/>
        </w:rPr>
        <w:t>The effect of being an audience member at an art event on volunteering frequently depends on age - being an audience member and being in the high age group is associated with 6.5% higher likelihood of volunteering frequently.</w:t>
      </w:r>
    </w:p>
    <w:p w14:paraId="5778E8CC" w14:textId="77777777" w:rsidR="00B72AB2" w:rsidRPr="000D728A" w:rsidRDefault="00B72AB2" w:rsidP="00B72AB2">
      <w:pPr>
        <w:rPr>
          <w:rFonts w:cs="Arial"/>
        </w:rPr>
      </w:pPr>
    </w:p>
    <w:p w14:paraId="5778E8CD" w14:textId="77777777" w:rsidR="00B72AB2" w:rsidRPr="000D728A" w:rsidRDefault="00B72AB2" w:rsidP="00B72AB2">
      <w:pPr>
        <w:rPr>
          <w:rFonts w:cs="Arial"/>
        </w:rPr>
      </w:pPr>
      <w:r w:rsidRPr="000D728A">
        <w:rPr>
          <w:rFonts w:cs="Arial"/>
          <w:b/>
        </w:rPr>
        <w:t xml:space="preserve">The effect of participating in team sports on volunteering depends on gender and income. </w:t>
      </w:r>
      <w:r w:rsidRPr="000D728A">
        <w:rPr>
          <w:rFonts w:cs="Arial"/>
        </w:rPr>
        <w:t xml:space="preserve">Participating in team sports and being male is associated with a 3.4% higher likelihood of volunteering frequently. Participating in team sports and being in the high income group is associated with 6.3% higher likelihood of volunteering frequently.  </w:t>
      </w:r>
    </w:p>
    <w:p w14:paraId="5778E8CE" w14:textId="77777777" w:rsidR="00B72AB2" w:rsidRPr="000D728A" w:rsidRDefault="00B72AB2" w:rsidP="00B72AB2">
      <w:pPr>
        <w:rPr>
          <w:rFonts w:cs="Arial"/>
        </w:rPr>
      </w:pPr>
    </w:p>
    <w:p w14:paraId="5778E8CF" w14:textId="77777777" w:rsidR="00B72AB2" w:rsidRPr="000D728A" w:rsidRDefault="00B72AB2" w:rsidP="00B72AB2">
      <w:pPr>
        <w:rPr>
          <w:rFonts w:cs="Arial"/>
        </w:rPr>
      </w:pPr>
      <w:r w:rsidRPr="000D728A">
        <w:rPr>
          <w:rFonts w:cs="Arial"/>
          <w:b/>
        </w:rPr>
        <w:t>The effect of individual sports on volunteering depends on gender and age</w:t>
      </w:r>
      <w:r w:rsidRPr="000D728A">
        <w:rPr>
          <w:rFonts w:cs="Arial"/>
        </w:rPr>
        <w:t>. Playing individual sports and being male is associated with 2% higher likelihood of volunteering frequently. Playing individual sports and being in the high age group is associated with 1.1% higher likelihood of volunteering frequently.</w:t>
      </w:r>
    </w:p>
    <w:p w14:paraId="5778E8D0" w14:textId="77777777" w:rsidR="00B72AB2" w:rsidRPr="000D728A" w:rsidRDefault="00B72AB2" w:rsidP="00B72AB2">
      <w:pPr>
        <w:rPr>
          <w:rFonts w:cs="Arial"/>
        </w:rPr>
      </w:pPr>
    </w:p>
    <w:p w14:paraId="5778E8D1" w14:textId="77777777" w:rsidR="00B72AB2" w:rsidRPr="000D728A" w:rsidRDefault="00B72AB2" w:rsidP="00B72AB2">
      <w:pPr>
        <w:rPr>
          <w:rFonts w:cs="Arial"/>
          <w:b/>
        </w:rPr>
      </w:pPr>
      <w:r w:rsidRPr="000D728A">
        <w:rPr>
          <w:rFonts w:cs="Arial"/>
          <w:b/>
        </w:rPr>
        <w:t xml:space="preserve">C.4.2 Charitable giving </w:t>
      </w:r>
    </w:p>
    <w:p w14:paraId="5778E8D2" w14:textId="77777777" w:rsidR="00B72AB2" w:rsidRPr="000D728A" w:rsidRDefault="00B72AB2" w:rsidP="00B72AB2">
      <w:pPr>
        <w:rPr>
          <w:rFonts w:cs="Arial"/>
        </w:rPr>
      </w:pPr>
      <w:r w:rsidRPr="000D728A">
        <w:rPr>
          <w:rFonts w:cs="Arial"/>
          <w:b/>
        </w:rPr>
        <w:t>Participating in any sport is associated with a £25 increase in charitable donations over the last year and engaging in any arts with a £50 increase.</w:t>
      </w:r>
      <w:r w:rsidRPr="000D728A">
        <w:rPr>
          <w:rFonts w:cs="Arial"/>
        </w:rPr>
        <w:t xml:space="preserve"> Participating in team sports is associated with a £21 increase in charitable donations and in individual sports with a £23 increase in charitable donations. Being an arts audience member is associated with a £26 increase in charitable donations and participating in the arts is associated with a £37 increase. </w:t>
      </w:r>
    </w:p>
    <w:p w14:paraId="5778E8D3" w14:textId="77777777" w:rsidR="00B72AB2" w:rsidRPr="000D728A" w:rsidRDefault="00B72AB2" w:rsidP="00B72AB2">
      <w:pPr>
        <w:rPr>
          <w:rFonts w:cs="Arial"/>
        </w:rPr>
      </w:pPr>
    </w:p>
    <w:p w14:paraId="5778E8D4" w14:textId="2CCA5C8D" w:rsidR="00B72AB2" w:rsidRPr="000D728A" w:rsidRDefault="00B72AB2" w:rsidP="00B72AB2">
      <w:pPr>
        <w:rPr>
          <w:rFonts w:cs="Arial"/>
        </w:rPr>
      </w:pPr>
      <w:r w:rsidRPr="000D728A">
        <w:rPr>
          <w:rFonts w:cs="Arial"/>
        </w:rPr>
        <w:t>When we break up the arts variables, participating in drama is associated with a</w:t>
      </w:r>
      <w:r w:rsidR="00433D52">
        <w:rPr>
          <w:rFonts w:cs="Arial"/>
        </w:rPr>
        <w:t>n</w:t>
      </w:r>
      <w:r w:rsidRPr="000D728A">
        <w:rPr>
          <w:rFonts w:cs="Arial"/>
        </w:rPr>
        <w:t xml:space="preserve"> £83 increase in charitable donations, participating in music is associated with a £27 increase in charitable donations and participating in words-related art activities with a £32 increase. Being an audience </w:t>
      </w:r>
      <w:r w:rsidRPr="000D728A">
        <w:rPr>
          <w:rFonts w:cs="Arial"/>
        </w:rPr>
        <w:lastRenderedPageBreak/>
        <w:t xml:space="preserve">member at an exhibition is associated with a £20 increase in charitable giving and being an audience member of a dance event is associated with a £35 increase. </w:t>
      </w:r>
    </w:p>
    <w:p w14:paraId="5778E8D5" w14:textId="77777777" w:rsidR="00B72AB2" w:rsidRPr="000D728A" w:rsidRDefault="00B72AB2" w:rsidP="00B72AB2">
      <w:pPr>
        <w:rPr>
          <w:rFonts w:cs="Arial"/>
          <w:b/>
          <w:sz w:val="32"/>
        </w:rPr>
      </w:pPr>
    </w:p>
    <w:p w14:paraId="5778E8D6" w14:textId="77777777" w:rsidR="00B72AB2" w:rsidRPr="000D728A" w:rsidRDefault="00B72AB2" w:rsidP="00B72AB2">
      <w:pPr>
        <w:rPr>
          <w:rFonts w:cs="Arial"/>
          <w:b/>
        </w:rPr>
      </w:pPr>
      <w:r w:rsidRPr="000D728A">
        <w:rPr>
          <w:rFonts w:cs="Arial"/>
          <w:b/>
        </w:rPr>
        <w:t>Table 16. Effects of culture and sport on charitable giving</w:t>
      </w:r>
    </w:p>
    <w:tbl>
      <w:tblPr>
        <w:tblW w:w="7679" w:type="dxa"/>
        <w:tblInd w:w="2093"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860"/>
        <w:gridCol w:w="1206"/>
        <w:gridCol w:w="960"/>
        <w:gridCol w:w="1200"/>
        <w:gridCol w:w="1453"/>
      </w:tblGrid>
      <w:tr w:rsidR="00A4362F" w:rsidRPr="000D728A" w14:paraId="5778E8DC" w14:textId="77777777" w:rsidTr="00C244CD">
        <w:trPr>
          <w:trHeight w:val="315"/>
        </w:trPr>
        <w:tc>
          <w:tcPr>
            <w:tcW w:w="2860" w:type="dxa"/>
            <w:shd w:val="clear" w:color="000000" w:fill="0070C0"/>
            <w:noWrap/>
            <w:vAlign w:val="bottom"/>
            <w:hideMark/>
          </w:tcPr>
          <w:p w14:paraId="5778E8D7" w14:textId="77777777" w:rsidR="00A4362F" w:rsidRPr="000D728A" w:rsidRDefault="00A4362F" w:rsidP="00A4362F">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Model &amp; variables</w:t>
            </w:r>
          </w:p>
        </w:tc>
        <w:tc>
          <w:tcPr>
            <w:tcW w:w="1206" w:type="dxa"/>
            <w:shd w:val="clear" w:color="000000" w:fill="0070C0"/>
            <w:noWrap/>
            <w:vAlign w:val="bottom"/>
            <w:hideMark/>
          </w:tcPr>
          <w:p w14:paraId="5778E8D8" w14:textId="77777777" w:rsidR="00A4362F" w:rsidRPr="000D728A" w:rsidRDefault="00A4362F" w:rsidP="00A4362F">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Coefficient</w:t>
            </w:r>
          </w:p>
        </w:tc>
        <w:tc>
          <w:tcPr>
            <w:tcW w:w="960" w:type="dxa"/>
            <w:shd w:val="clear" w:color="000000" w:fill="0070C0"/>
            <w:noWrap/>
            <w:vAlign w:val="bottom"/>
            <w:hideMark/>
          </w:tcPr>
          <w:p w14:paraId="5778E8D9" w14:textId="77777777" w:rsidR="00A4362F" w:rsidRPr="000D728A" w:rsidRDefault="00A4362F" w:rsidP="00A4362F">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S.E.</w:t>
            </w:r>
          </w:p>
        </w:tc>
        <w:tc>
          <w:tcPr>
            <w:tcW w:w="1200" w:type="dxa"/>
            <w:shd w:val="clear" w:color="000000" w:fill="0070C0"/>
            <w:noWrap/>
            <w:vAlign w:val="bottom"/>
            <w:hideMark/>
          </w:tcPr>
          <w:p w14:paraId="5778E8DA" w14:textId="77777777" w:rsidR="00A4362F" w:rsidRPr="000D728A" w:rsidRDefault="00A4362F" w:rsidP="00A4362F">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Sample size</w:t>
            </w:r>
          </w:p>
        </w:tc>
        <w:tc>
          <w:tcPr>
            <w:tcW w:w="1453" w:type="dxa"/>
            <w:shd w:val="clear" w:color="000000" w:fill="0070C0"/>
            <w:noWrap/>
            <w:vAlign w:val="bottom"/>
            <w:hideMark/>
          </w:tcPr>
          <w:p w14:paraId="5778E8DB" w14:textId="77777777" w:rsidR="00A4362F" w:rsidRPr="000D728A" w:rsidRDefault="00A4362F" w:rsidP="00A4362F">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R-Squared</w:t>
            </w:r>
          </w:p>
        </w:tc>
      </w:tr>
      <w:tr w:rsidR="00A4362F" w:rsidRPr="000D728A" w14:paraId="5778E8E2" w14:textId="77777777" w:rsidTr="00C244CD">
        <w:trPr>
          <w:trHeight w:val="330"/>
        </w:trPr>
        <w:tc>
          <w:tcPr>
            <w:tcW w:w="2860" w:type="dxa"/>
            <w:shd w:val="clear" w:color="000000" w:fill="0070C0"/>
            <w:noWrap/>
            <w:vAlign w:val="bottom"/>
            <w:hideMark/>
          </w:tcPr>
          <w:p w14:paraId="5778E8DD" w14:textId="77777777" w:rsidR="00A4362F" w:rsidRPr="000D728A" w:rsidRDefault="00A4362F" w:rsidP="00A4362F">
            <w:pPr>
              <w:spacing w:before="0"/>
              <w:ind w:left="0"/>
              <w:rPr>
                <w:rFonts w:ascii="Calibri" w:hAnsi="Calibri" w:cs="Calibri"/>
                <w:b/>
                <w:bCs/>
                <w:color w:val="FFFFFF"/>
                <w:sz w:val="22"/>
                <w:szCs w:val="22"/>
              </w:rPr>
            </w:pPr>
            <w:r w:rsidRPr="000D728A">
              <w:rPr>
                <w:rFonts w:ascii="Calibri" w:hAnsi="Calibri" w:cs="Calibri"/>
                <w:b/>
                <w:bCs/>
                <w:color w:val="FFFFFF"/>
                <w:sz w:val="22"/>
                <w:szCs w:val="22"/>
              </w:rPr>
              <w:t>Sports</w:t>
            </w:r>
          </w:p>
        </w:tc>
        <w:tc>
          <w:tcPr>
            <w:tcW w:w="1206" w:type="dxa"/>
            <w:shd w:val="clear" w:color="000000" w:fill="0070C0"/>
            <w:noWrap/>
            <w:vAlign w:val="bottom"/>
            <w:hideMark/>
          </w:tcPr>
          <w:p w14:paraId="5778E8DE" w14:textId="77777777" w:rsidR="00A4362F" w:rsidRPr="000D728A" w:rsidRDefault="00A4362F" w:rsidP="00A4362F">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 </w:t>
            </w:r>
          </w:p>
        </w:tc>
        <w:tc>
          <w:tcPr>
            <w:tcW w:w="960" w:type="dxa"/>
            <w:shd w:val="clear" w:color="000000" w:fill="0070C0"/>
            <w:noWrap/>
            <w:vAlign w:val="bottom"/>
            <w:hideMark/>
          </w:tcPr>
          <w:p w14:paraId="5778E8DF" w14:textId="77777777" w:rsidR="00A4362F" w:rsidRPr="000D728A" w:rsidRDefault="00A4362F" w:rsidP="00A4362F">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 </w:t>
            </w:r>
          </w:p>
        </w:tc>
        <w:tc>
          <w:tcPr>
            <w:tcW w:w="1200" w:type="dxa"/>
            <w:shd w:val="clear" w:color="000000" w:fill="0070C0"/>
            <w:noWrap/>
            <w:vAlign w:val="bottom"/>
            <w:hideMark/>
          </w:tcPr>
          <w:p w14:paraId="5778E8E0" w14:textId="77777777" w:rsidR="00A4362F" w:rsidRPr="000D728A" w:rsidRDefault="00A4362F" w:rsidP="00A4362F">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 </w:t>
            </w:r>
          </w:p>
        </w:tc>
        <w:tc>
          <w:tcPr>
            <w:tcW w:w="1453" w:type="dxa"/>
            <w:shd w:val="clear" w:color="000000" w:fill="0070C0"/>
            <w:noWrap/>
            <w:vAlign w:val="bottom"/>
            <w:hideMark/>
          </w:tcPr>
          <w:p w14:paraId="5778E8E1" w14:textId="77777777" w:rsidR="00A4362F" w:rsidRPr="000D728A" w:rsidRDefault="00A4362F" w:rsidP="00A4362F">
            <w:pPr>
              <w:spacing w:before="0"/>
              <w:ind w:left="0"/>
              <w:jc w:val="center"/>
              <w:rPr>
                <w:rFonts w:ascii="Calibri" w:hAnsi="Calibri" w:cs="Calibri"/>
                <w:b/>
                <w:bCs/>
                <w:color w:val="FFFFFF"/>
                <w:sz w:val="22"/>
                <w:szCs w:val="22"/>
              </w:rPr>
            </w:pPr>
            <w:r w:rsidRPr="000D728A">
              <w:rPr>
                <w:rFonts w:ascii="Calibri" w:hAnsi="Calibri" w:cs="Calibri"/>
                <w:b/>
                <w:bCs/>
                <w:color w:val="FFFFFF"/>
                <w:sz w:val="22"/>
                <w:szCs w:val="22"/>
              </w:rPr>
              <w:t> </w:t>
            </w:r>
          </w:p>
        </w:tc>
      </w:tr>
      <w:tr w:rsidR="00A4362F" w:rsidRPr="000D728A" w14:paraId="5778E8E8" w14:textId="77777777" w:rsidTr="00C244CD">
        <w:trPr>
          <w:trHeight w:val="315"/>
        </w:trPr>
        <w:tc>
          <w:tcPr>
            <w:tcW w:w="2860" w:type="dxa"/>
            <w:shd w:val="clear" w:color="auto" w:fill="auto"/>
            <w:noWrap/>
            <w:vAlign w:val="bottom"/>
            <w:hideMark/>
          </w:tcPr>
          <w:p w14:paraId="5778E8E3" w14:textId="77777777" w:rsidR="00A4362F" w:rsidRPr="000D728A" w:rsidRDefault="00A4362F" w:rsidP="00A4362F">
            <w:pPr>
              <w:spacing w:before="0"/>
              <w:ind w:left="0"/>
              <w:rPr>
                <w:rFonts w:ascii="Calibri" w:hAnsi="Calibri" w:cs="Calibri"/>
                <w:i/>
                <w:iCs/>
                <w:sz w:val="22"/>
                <w:szCs w:val="22"/>
              </w:rPr>
            </w:pPr>
            <w:r w:rsidRPr="000D728A">
              <w:rPr>
                <w:rFonts w:ascii="Calibri" w:hAnsi="Calibri" w:cs="Calibri"/>
                <w:i/>
                <w:iCs/>
                <w:sz w:val="22"/>
                <w:szCs w:val="22"/>
              </w:rPr>
              <w:t>All sports</w:t>
            </w:r>
          </w:p>
        </w:tc>
        <w:tc>
          <w:tcPr>
            <w:tcW w:w="1206" w:type="dxa"/>
            <w:shd w:val="clear" w:color="auto" w:fill="auto"/>
            <w:noWrap/>
            <w:vAlign w:val="bottom"/>
            <w:hideMark/>
          </w:tcPr>
          <w:p w14:paraId="5778E8E4" w14:textId="77777777" w:rsidR="00A4362F" w:rsidRPr="000D728A" w:rsidRDefault="00A4362F" w:rsidP="00A4362F">
            <w:pPr>
              <w:spacing w:before="0"/>
              <w:ind w:left="0"/>
              <w:rPr>
                <w:rFonts w:ascii="Calibri" w:hAnsi="Calibri" w:cs="Calibri"/>
                <w:sz w:val="22"/>
                <w:szCs w:val="22"/>
              </w:rPr>
            </w:pPr>
            <w:r w:rsidRPr="000D728A">
              <w:rPr>
                <w:rFonts w:ascii="Calibri" w:eastAsia="MS Mincho" w:hAnsi="Calibri" w:cs="Calibri"/>
                <w:lang w:eastAsia="en-US"/>
              </w:rPr>
              <w:t>£25.15</w:t>
            </w:r>
            <w:r w:rsidRPr="000D728A">
              <w:rPr>
                <w:rFonts w:ascii="Calibri" w:hAnsi="Calibri" w:cs="Calibri"/>
                <w:sz w:val="22"/>
                <w:szCs w:val="22"/>
              </w:rPr>
              <w:t>**</w:t>
            </w:r>
          </w:p>
        </w:tc>
        <w:tc>
          <w:tcPr>
            <w:tcW w:w="960" w:type="dxa"/>
            <w:shd w:val="clear" w:color="auto" w:fill="auto"/>
            <w:noWrap/>
            <w:vAlign w:val="bottom"/>
            <w:hideMark/>
          </w:tcPr>
          <w:p w14:paraId="5778E8E5" w14:textId="77777777" w:rsidR="00A4362F" w:rsidRPr="000D728A" w:rsidRDefault="00A4362F" w:rsidP="00A4362F">
            <w:pPr>
              <w:spacing w:before="0"/>
              <w:ind w:left="0"/>
              <w:jc w:val="center"/>
              <w:rPr>
                <w:rFonts w:ascii="Calibri" w:hAnsi="Calibri" w:cs="Calibri"/>
                <w:sz w:val="22"/>
                <w:szCs w:val="22"/>
              </w:rPr>
            </w:pPr>
            <w:r w:rsidRPr="000D728A">
              <w:rPr>
                <w:rFonts w:ascii="Calibri" w:hAnsi="Calibri" w:cs="Calibri"/>
                <w:sz w:val="22"/>
                <w:szCs w:val="22"/>
              </w:rPr>
              <w:t>(7.59)</w:t>
            </w:r>
          </w:p>
        </w:tc>
        <w:tc>
          <w:tcPr>
            <w:tcW w:w="1200" w:type="dxa"/>
            <w:shd w:val="clear" w:color="auto" w:fill="auto"/>
            <w:noWrap/>
            <w:vAlign w:val="bottom"/>
            <w:hideMark/>
          </w:tcPr>
          <w:p w14:paraId="5778E8E6" w14:textId="77777777" w:rsidR="00A4362F" w:rsidRPr="000D728A" w:rsidRDefault="00A4362F" w:rsidP="00A4362F">
            <w:pPr>
              <w:spacing w:before="0"/>
              <w:ind w:left="0"/>
              <w:jc w:val="center"/>
              <w:rPr>
                <w:rFonts w:ascii="Calibri" w:hAnsi="Calibri" w:cs="Calibri"/>
                <w:sz w:val="22"/>
                <w:szCs w:val="22"/>
              </w:rPr>
            </w:pPr>
            <w:r w:rsidRPr="000D728A">
              <w:rPr>
                <w:rFonts w:ascii="Calibri" w:hAnsi="Calibri" w:cs="Calibri"/>
                <w:sz w:val="22"/>
                <w:szCs w:val="22"/>
              </w:rPr>
              <w:t>20839</w:t>
            </w:r>
          </w:p>
        </w:tc>
        <w:tc>
          <w:tcPr>
            <w:tcW w:w="1453" w:type="dxa"/>
            <w:shd w:val="clear" w:color="auto" w:fill="auto"/>
            <w:noWrap/>
            <w:vAlign w:val="bottom"/>
            <w:hideMark/>
          </w:tcPr>
          <w:p w14:paraId="5778E8E7" w14:textId="77777777" w:rsidR="00A4362F" w:rsidRPr="000D728A" w:rsidRDefault="00A4362F" w:rsidP="00A4362F">
            <w:pPr>
              <w:spacing w:before="0"/>
              <w:ind w:left="0"/>
              <w:jc w:val="center"/>
              <w:rPr>
                <w:rFonts w:ascii="Calibri" w:hAnsi="Calibri" w:cs="Calibri"/>
                <w:sz w:val="22"/>
                <w:szCs w:val="22"/>
              </w:rPr>
            </w:pPr>
            <w:r w:rsidRPr="000D728A">
              <w:rPr>
                <w:rFonts w:ascii="Calibri" w:hAnsi="Calibri" w:cs="Calibri"/>
                <w:sz w:val="22"/>
                <w:szCs w:val="22"/>
              </w:rPr>
              <w:t>0.065</w:t>
            </w:r>
          </w:p>
        </w:tc>
      </w:tr>
      <w:tr w:rsidR="00A4362F" w:rsidRPr="000D728A" w14:paraId="5778E8EE" w14:textId="77777777" w:rsidTr="00C244CD">
        <w:trPr>
          <w:trHeight w:val="300"/>
        </w:trPr>
        <w:tc>
          <w:tcPr>
            <w:tcW w:w="2860" w:type="dxa"/>
            <w:shd w:val="clear" w:color="auto" w:fill="auto"/>
            <w:noWrap/>
            <w:vAlign w:val="bottom"/>
            <w:hideMark/>
          </w:tcPr>
          <w:p w14:paraId="5778E8E9" w14:textId="77777777" w:rsidR="00A4362F" w:rsidRPr="000D728A" w:rsidRDefault="00A4362F" w:rsidP="00A4362F">
            <w:pPr>
              <w:spacing w:before="0"/>
              <w:ind w:left="0"/>
              <w:rPr>
                <w:rFonts w:ascii="Calibri" w:hAnsi="Calibri" w:cs="Calibri"/>
                <w:iCs/>
                <w:color w:val="000000"/>
                <w:sz w:val="22"/>
                <w:szCs w:val="22"/>
              </w:rPr>
            </w:pPr>
            <w:r w:rsidRPr="000D728A">
              <w:rPr>
                <w:rFonts w:ascii="Calibri" w:hAnsi="Calibri" w:cs="Calibri"/>
                <w:iCs/>
                <w:color w:val="000000"/>
                <w:sz w:val="22"/>
                <w:szCs w:val="22"/>
              </w:rPr>
              <w:t>Team sports</w:t>
            </w:r>
          </w:p>
        </w:tc>
        <w:tc>
          <w:tcPr>
            <w:tcW w:w="1206" w:type="dxa"/>
            <w:shd w:val="clear" w:color="auto" w:fill="auto"/>
            <w:noWrap/>
            <w:vAlign w:val="bottom"/>
            <w:hideMark/>
          </w:tcPr>
          <w:p w14:paraId="5778E8EA" w14:textId="77777777" w:rsidR="00A4362F" w:rsidRPr="000D728A" w:rsidRDefault="00A4362F" w:rsidP="00A4362F">
            <w:pPr>
              <w:spacing w:before="0"/>
              <w:ind w:left="0"/>
              <w:rPr>
                <w:rFonts w:ascii="Calibri" w:hAnsi="Calibri" w:cs="Calibri"/>
                <w:sz w:val="22"/>
                <w:szCs w:val="22"/>
              </w:rPr>
            </w:pPr>
            <w:r w:rsidRPr="000D728A">
              <w:rPr>
                <w:rFonts w:ascii="Calibri" w:eastAsia="MS Mincho" w:hAnsi="Calibri" w:cs="Calibri"/>
                <w:lang w:eastAsia="en-US"/>
              </w:rPr>
              <w:t>£</w:t>
            </w:r>
            <w:r w:rsidRPr="000D728A">
              <w:rPr>
                <w:rFonts w:ascii="Calibri" w:hAnsi="Calibri" w:cs="Calibri"/>
                <w:sz w:val="22"/>
                <w:szCs w:val="22"/>
              </w:rPr>
              <w:t>20.90**</w:t>
            </w:r>
          </w:p>
        </w:tc>
        <w:tc>
          <w:tcPr>
            <w:tcW w:w="960" w:type="dxa"/>
            <w:shd w:val="clear" w:color="auto" w:fill="auto"/>
            <w:noWrap/>
            <w:vAlign w:val="bottom"/>
            <w:hideMark/>
          </w:tcPr>
          <w:p w14:paraId="5778E8EB" w14:textId="77777777" w:rsidR="00A4362F" w:rsidRPr="000D728A" w:rsidRDefault="00A4362F" w:rsidP="00A4362F">
            <w:pPr>
              <w:spacing w:before="0"/>
              <w:ind w:left="0"/>
              <w:jc w:val="center"/>
              <w:rPr>
                <w:rFonts w:ascii="Calibri" w:hAnsi="Calibri" w:cs="Calibri"/>
                <w:sz w:val="22"/>
                <w:szCs w:val="22"/>
              </w:rPr>
            </w:pPr>
            <w:r w:rsidRPr="000D728A">
              <w:rPr>
                <w:rFonts w:ascii="Calibri" w:hAnsi="Calibri" w:cs="Calibri"/>
                <w:sz w:val="22"/>
                <w:szCs w:val="22"/>
              </w:rPr>
              <w:t>(10.31)</w:t>
            </w:r>
          </w:p>
        </w:tc>
        <w:tc>
          <w:tcPr>
            <w:tcW w:w="1200" w:type="dxa"/>
            <w:shd w:val="clear" w:color="auto" w:fill="auto"/>
            <w:noWrap/>
            <w:vAlign w:val="bottom"/>
            <w:hideMark/>
          </w:tcPr>
          <w:p w14:paraId="5778E8EC" w14:textId="77777777" w:rsidR="00A4362F" w:rsidRPr="000D728A" w:rsidRDefault="00A4362F" w:rsidP="00A4362F">
            <w:pPr>
              <w:spacing w:before="0"/>
              <w:ind w:left="0"/>
              <w:jc w:val="center"/>
              <w:rPr>
                <w:rFonts w:ascii="Calibri" w:hAnsi="Calibri" w:cs="Calibri"/>
                <w:sz w:val="22"/>
                <w:szCs w:val="22"/>
              </w:rPr>
            </w:pPr>
            <w:r w:rsidRPr="000D728A">
              <w:rPr>
                <w:rFonts w:ascii="Calibri" w:hAnsi="Calibri" w:cs="Calibri"/>
                <w:sz w:val="22"/>
                <w:szCs w:val="22"/>
              </w:rPr>
              <w:t>20839</w:t>
            </w:r>
          </w:p>
        </w:tc>
        <w:tc>
          <w:tcPr>
            <w:tcW w:w="1453" w:type="dxa"/>
            <w:shd w:val="clear" w:color="auto" w:fill="auto"/>
            <w:noWrap/>
            <w:vAlign w:val="bottom"/>
            <w:hideMark/>
          </w:tcPr>
          <w:p w14:paraId="5778E8ED" w14:textId="77777777" w:rsidR="00A4362F" w:rsidRPr="000D728A" w:rsidRDefault="00A4362F" w:rsidP="00A4362F">
            <w:pPr>
              <w:spacing w:before="0"/>
              <w:ind w:left="0"/>
              <w:jc w:val="center"/>
              <w:rPr>
                <w:rFonts w:ascii="Calibri" w:hAnsi="Calibri" w:cs="Calibri"/>
                <w:sz w:val="22"/>
                <w:szCs w:val="22"/>
              </w:rPr>
            </w:pPr>
            <w:r w:rsidRPr="000D728A">
              <w:rPr>
                <w:rFonts w:ascii="Calibri" w:hAnsi="Calibri" w:cs="Calibri"/>
                <w:sz w:val="22"/>
                <w:szCs w:val="22"/>
              </w:rPr>
              <w:t>0.066</w:t>
            </w:r>
          </w:p>
        </w:tc>
      </w:tr>
      <w:tr w:rsidR="00A4362F" w:rsidRPr="000D728A" w14:paraId="5778E8F4" w14:textId="77777777" w:rsidTr="00C244CD">
        <w:trPr>
          <w:trHeight w:val="300"/>
        </w:trPr>
        <w:tc>
          <w:tcPr>
            <w:tcW w:w="2860" w:type="dxa"/>
            <w:shd w:val="clear" w:color="auto" w:fill="auto"/>
            <w:noWrap/>
            <w:vAlign w:val="bottom"/>
            <w:hideMark/>
          </w:tcPr>
          <w:p w14:paraId="5778E8EF" w14:textId="77777777" w:rsidR="00A4362F" w:rsidRPr="000D728A" w:rsidRDefault="00A4362F" w:rsidP="00A4362F">
            <w:pPr>
              <w:spacing w:before="0"/>
              <w:ind w:left="0"/>
              <w:rPr>
                <w:rFonts w:ascii="Calibri" w:hAnsi="Calibri" w:cs="Calibri"/>
                <w:iCs/>
                <w:color w:val="000000"/>
                <w:sz w:val="22"/>
                <w:szCs w:val="22"/>
              </w:rPr>
            </w:pPr>
            <w:r w:rsidRPr="000D728A">
              <w:rPr>
                <w:rFonts w:ascii="Calibri" w:hAnsi="Calibri" w:cs="Calibri"/>
                <w:iCs/>
                <w:color w:val="000000"/>
                <w:sz w:val="22"/>
                <w:szCs w:val="22"/>
              </w:rPr>
              <w:t>Individual sports</w:t>
            </w:r>
          </w:p>
        </w:tc>
        <w:tc>
          <w:tcPr>
            <w:tcW w:w="1206" w:type="dxa"/>
            <w:shd w:val="clear" w:color="auto" w:fill="auto"/>
            <w:noWrap/>
            <w:vAlign w:val="bottom"/>
            <w:hideMark/>
          </w:tcPr>
          <w:p w14:paraId="5778E8F0" w14:textId="77777777" w:rsidR="00A4362F" w:rsidRPr="000D728A" w:rsidRDefault="00A4362F" w:rsidP="00A4362F">
            <w:pPr>
              <w:spacing w:before="0"/>
              <w:ind w:left="0"/>
              <w:rPr>
                <w:rFonts w:ascii="Calibri" w:hAnsi="Calibri" w:cs="Calibri"/>
                <w:sz w:val="22"/>
                <w:szCs w:val="22"/>
              </w:rPr>
            </w:pPr>
            <w:r w:rsidRPr="000D728A">
              <w:rPr>
                <w:rFonts w:ascii="Calibri" w:eastAsia="MS Mincho" w:hAnsi="Calibri" w:cs="Calibri"/>
                <w:lang w:eastAsia="en-US"/>
              </w:rPr>
              <w:t>£</w:t>
            </w:r>
            <w:r w:rsidRPr="000D728A">
              <w:rPr>
                <w:rFonts w:ascii="Calibri" w:hAnsi="Calibri" w:cs="Calibri"/>
                <w:sz w:val="22"/>
                <w:szCs w:val="22"/>
              </w:rPr>
              <w:t>23.50**</w:t>
            </w:r>
          </w:p>
        </w:tc>
        <w:tc>
          <w:tcPr>
            <w:tcW w:w="960" w:type="dxa"/>
            <w:shd w:val="clear" w:color="auto" w:fill="auto"/>
            <w:noWrap/>
            <w:vAlign w:val="bottom"/>
            <w:hideMark/>
          </w:tcPr>
          <w:p w14:paraId="5778E8F1" w14:textId="77777777" w:rsidR="00A4362F" w:rsidRPr="000D728A" w:rsidRDefault="00A4362F" w:rsidP="00A4362F">
            <w:pPr>
              <w:spacing w:before="0"/>
              <w:ind w:left="0"/>
              <w:jc w:val="center"/>
              <w:rPr>
                <w:rFonts w:ascii="Calibri" w:hAnsi="Calibri" w:cs="Calibri"/>
                <w:sz w:val="22"/>
                <w:szCs w:val="22"/>
              </w:rPr>
            </w:pPr>
            <w:r w:rsidRPr="000D728A">
              <w:rPr>
                <w:rFonts w:ascii="Calibri" w:hAnsi="Calibri" w:cs="Calibri"/>
                <w:sz w:val="22"/>
                <w:szCs w:val="22"/>
              </w:rPr>
              <w:t>(7.42)</w:t>
            </w:r>
          </w:p>
        </w:tc>
        <w:tc>
          <w:tcPr>
            <w:tcW w:w="1200" w:type="dxa"/>
            <w:shd w:val="clear" w:color="auto" w:fill="auto"/>
            <w:noWrap/>
            <w:vAlign w:val="bottom"/>
            <w:hideMark/>
          </w:tcPr>
          <w:p w14:paraId="5778E8F2" w14:textId="77777777" w:rsidR="00A4362F" w:rsidRPr="000D728A" w:rsidRDefault="00A4362F" w:rsidP="00A4362F">
            <w:pPr>
              <w:spacing w:before="0"/>
              <w:ind w:left="0"/>
              <w:jc w:val="center"/>
              <w:rPr>
                <w:rFonts w:ascii="Calibri" w:hAnsi="Calibri" w:cs="Calibri"/>
                <w:sz w:val="22"/>
                <w:szCs w:val="22"/>
              </w:rPr>
            </w:pPr>
            <w:r w:rsidRPr="000D728A">
              <w:rPr>
                <w:rFonts w:ascii="Calibri" w:hAnsi="Calibri" w:cs="Calibri"/>
                <w:sz w:val="22"/>
                <w:szCs w:val="22"/>
              </w:rPr>
              <w:t>20839</w:t>
            </w:r>
          </w:p>
        </w:tc>
        <w:tc>
          <w:tcPr>
            <w:tcW w:w="1453" w:type="dxa"/>
            <w:shd w:val="clear" w:color="auto" w:fill="auto"/>
            <w:noWrap/>
            <w:vAlign w:val="bottom"/>
            <w:hideMark/>
          </w:tcPr>
          <w:p w14:paraId="5778E8F3" w14:textId="77777777" w:rsidR="00A4362F" w:rsidRPr="000D728A" w:rsidRDefault="00A4362F" w:rsidP="00A4362F">
            <w:pPr>
              <w:spacing w:before="0"/>
              <w:ind w:left="0"/>
              <w:jc w:val="center"/>
              <w:rPr>
                <w:rFonts w:ascii="Calibri" w:hAnsi="Calibri" w:cs="Calibri"/>
                <w:sz w:val="22"/>
                <w:szCs w:val="22"/>
              </w:rPr>
            </w:pPr>
            <w:r w:rsidRPr="000D728A">
              <w:rPr>
                <w:rFonts w:ascii="Calibri" w:hAnsi="Calibri" w:cs="Calibri"/>
                <w:sz w:val="22"/>
                <w:szCs w:val="22"/>
              </w:rPr>
              <w:t>0.066</w:t>
            </w:r>
          </w:p>
        </w:tc>
      </w:tr>
      <w:tr w:rsidR="00A4362F" w:rsidRPr="000D728A" w14:paraId="5778E8FA" w14:textId="77777777" w:rsidTr="00C244CD">
        <w:trPr>
          <w:trHeight w:val="300"/>
        </w:trPr>
        <w:tc>
          <w:tcPr>
            <w:tcW w:w="2860" w:type="dxa"/>
            <w:shd w:val="clear" w:color="000000" w:fill="0070C0"/>
            <w:noWrap/>
            <w:vAlign w:val="bottom"/>
            <w:hideMark/>
          </w:tcPr>
          <w:p w14:paraId="5778E8F5" w14:textId="77777777" w:rsidR="00A4362F" w:rsidRPr="000D728A" w:rsidRDefault="00A4362F" w:rsidP="00A4362F">
            <w:pPr>
              <w:spacing w:before="0"/>
              <w:ind w:left="0"/>
              <w:rPr>
                <w:rFonts w:ascii="Calibri" w:hAnsi="Calibri" w:cs="Calibri"/>
                <w:i/>
                <w:iCs/>
                <w:color w:val="000000"/>
                <w:sz w:val="22"/>
                <w:szCs w:val="22"/>
              </w:rPr>
            </w:pPr>
            <w:r w:rsidRPr="000D728A">
              <w:rPr>
                <w:rFonts w:ascii="Calibri" w:hAnsi="Calibri" w:cs="Calibri"/>
                <w:b/>
                <w:bCs/>
                <w:color w:val="FFFFFF"/>
                <w:sz w:val="22"/>
                <w:szCs w:val="22"/>
              </w:rPr>
              <w:t>Culture</w:t>
            </w:r>
          </w:p>
        </w:tc>
        <w:tc>
          <w:tcPr>
            <w:tcW w:w="1206" w:type="dxa"/>
            <w:shd w:val="clear" w:color="000000" w:fill="0070C0"/>
            <w:noWrap/>
            <w:vAlign w:val="bottom"/>
            <w:hideMark/>
          </w:tcPr>
          <w:p w14:paraId="5778E8F6" w14:textId="77777777" w:rsidR="00A4362F" w:rsidRPr="000D728A" w:rsidRDefault="00A4362F" w:rsidP="00A4362F">
            <w:pPr>
              <w:spacing w:before="0"/>
              <w:ind w:left="0"/>
              <w:rPr>
                <w:rFonts w:ascii="Calibri" w:hAnsi="Calibri" w:cs="Calibri"/>
                <w:sz w:val="22"/>
                <w:szCs w:val="22"/>
              </w:rPr>
            </w:pPr>
            <w:r w:rsidRPr="000D728A">
              <w:rPr>
                <w:rFonts w:ascii="Calibri" w:hAnsi="Calibri" w:cs="Calibri"/>
                <w:color w:val="FFFFFF"/>
                <w:sz w:val="22"/>
                <w:szCs w:val="22"/>
              </w:rPr>
              <w:t> </w:t>
            </w:r>
          </w:p>
        </w:tc>
        <w:tc>
          <w:tcPr>
            <w:tcW w:w="960" w:type="dxa"/>
            <w:shd w:val="clear" w:color="000000" w:fill="0070C0"/>
            <w:noWrap/>
            <w:vAlign w:val="bottom"/>
            <w:hideMark/>
          </w:tcPr>
          <w:p w14:paraId="5778E8F7" w14:textId="77777777" w:rsidR="00A4362F" w:rsidRPr="000D728A" w:rsidRDefault="00A4362F" w:rsidP="00A4362F">
            <w:pPr>
              <w:spacing w:before="0"/>
              <w:ind w:left="0"/>
              <w:jc w:val="center"/>
              <w:rPr>
                <w:rFonts w:ascii="Calibri" w:hAnsi="Calibri" w:cs="Calibri"/>
                <w:sz w:val="22"/>
                <w:szCs w:val="22"/>
              </w:rPr>
            </w:pPr>
            <w:r w:rsidRPr="000D728A">
              <w:rPr>
                <w:rFonts w:ascii="Calibri" w:hAnsi="Calibri" w:cs="Calibri"/>
                <w:color w:val="FFFFFF"/>
                <w:sz w:val="22"/>
                <w:szCs w:val="22"/>
              </w:rPr>
              <w:t> </w:t>
            </w:r>
          </w:p>
        </w:tc>
        <w:tc>
          <w:tcPr>
            <w:tcW w:w="1200" w:type="dxa"/>
            <w:shd w:val="clear" w:color="000000" w:fill="0070C0"/>
            <w:noWrap/>
            <w:vAlign w:val="bottom"/>
            <w:hideMark/>
          </w:tcPr>
          <w:p w14:paraId="5778E8F8" w14:textId="77777777" w:rsidR="00A4362F" w:rsidRPr="000D728A" w:rsidRDefault="00A4362F" w:rsidP="00A4362F">
            <w:pPr>
              <w:spacing w:before="0"/>
              <w:ind w:left="0"/>
              <w:jc w:val="center"/>
              <w:rPr>
                <w:rFonts w:ascii="Calibri" w:hAnsi="Calibri" w:cs="Calibri"/>
                <w:sz w:val="22"/>
                <w:szCs w:val="22"/>
              </w:rPr>
            </w:pPr>
            <w:r w:rsidRPr="000D728A">
              <w:rPr>
                <w:rFonts w:ascii="Calibri" w:hAnsi="Calibri" w:cs="Calibri"/>
                <w:color w:val="FFFFFF"/>
                <w:sz w:val="22"/>
                <w:szCs w:val="22"/>
              </w:rPr>
              <w:t> </w:t>
            </w:r>
          </w:p>
        </w:tc>
        <w:tc>
          <w:tcPr>
            <w:tcW w:w="1453" w:type="dxa"/>
            <w:shd w:val="clear" w:color="000000" w:fill="0070C0"/>
            <w:noWrap/>
            <w:vAlign w:val="bottom"/>
            <w:hideMark/>
          </w:tcPr>
          <w:p w14:paraId="5778E8F9" w14:textId="77777777" w:rsidR="00A4362F" w:rsidRPr="000D728A" w:rsidRDefault="00A4362F" w:rsidP="00A4362F">
            <w:pPr>
              <w:spacing w:before="0"/>
              <w:ind w:left="0"/>
              <w:jc w:val="center"/>
              <w:rPr>
                <w:rFonts w:ascii="Calibri" w:hAnsi="Calibri" w:cs="Calibri"/>
                <w:sz w:val="22"/>
                <w:szCs w:val="22"/>
              </w:rPr>
            </w:pPr>
            <w:r w:rsidRPr="000D728A">
              <w:rPr>
                <w:rFonts w:ascii="Calibri" w:hAnsi="Calibri" w:cs="Calibri"/>
                <w:color w:val="FFFFFF"/>
                <w:sz w:val="22"/>
                <w:szCs w:val="22"/>
              </w:rPr>
              <w:t> </w:t>
            </w:r>
          </w:p>
        </w:tc>
      </w:tr>
      <w:tr w:rsidR="00F46529" w:rsidRPr="000D728A" w14:paraId="5778E900" w14:textId="77777777" w:rsidTr="00C244CD">
        <w:trPr>
          <w:trHeight w:val="300"/>
        </w:trPr>
        <w:tc>
          <w:tcPr>
            <w:tcW w:w="2860" w:type="dxa"/>
            <w:shd w:val="clear" w:color="auto" w:fill="auto"/>
            <w:noWrap/>
            <w:vAlign w:val="bottom"/>
            <w:hideMark/>
          </w:tcPr>
          <w:p w14:paraId="5778E8FB" w14:textId="77777777" w:rsidR="00F46529" w:rsidRPr="000D728A" w:rsidRDefault="00F46529" w:rsidP="00DC78D9">
            <w:pPr>
              <w:spacing w:before="0"/>
              <w:ind w:left="0"/>
              <w:rPr>
                <w:rFonts w:ascii="Calibri" w:hAnsi="Calibri" w:cs="Calibri"/>
                <w:i/>
                <w:iCs/>
                <w:color w:val="000000"/>
                <w:sz w:val="22"/>
                <w:szCs w:val="22"/>
              </w:rPr>
            </w:pPr>
            <w:r w:rsidRPr="000D728A">
              <w:rPr>
                <w:rFonts w:ascii="Calibri" w:hAnsi="Calibri" w:cs="Calibri"/>
                <w:i/>
                <w:iCs/>
                <w:color w:val="000000"/>
                <w:sz w:val="22"/>
                <w:szCs w:val="22"/>
              </w:rPr>
              <w:t>All arts</w:t>
            </w:r>
          </w:p>
        </w:tc>
        <w:tc>
          <w:tcPr>
            <w:tcW w:w="1206" w:type="dxa"/>
            <w:shd w:val="clear" w:color="auto" w:fill="auto"/>
            <w:noWrap/>
            <w:vAlign w:val="bottom"/>
            <w:hideMark/>
          </w:tcPr>
          <w:p w14:paraId="5778E8FC" w14:textId="77777777" w:rsidR="00F46529" w:rsidRPr="000D728A" w:rsidRDefault="00F46529" w:rsidP="00DC78D9">
            <w:pPr>
              <w:spacing w:before="0"/>
              <w:ind w:left="0"/>
              <w:rPr>
                <w:rFonts w:ascii="Calibri" w:hAnsi="Calibri" w:cs="Calibri"/>
                <w:sz w:val="22"/>
                <w:szCs w:val="22"/>
              </w:rPr>
            </w:pPr>
            <w:r w:rsidRPr="000D728A">
              <w:rPr>
                <w:rFonts w:ascii="Calibri" w:eastAsia="MS Mincho" w:hAnsi="Calibri" w:cs="Calibri"/>
                <w:lang w:eastAsia="en-US"/>
              </w:rPr>
              <w:t>£</w:t>
            </w:r>
            <w:r w:rsidRPr="000D728A">
              <w:rPr>
                <w:rFonts w:ascii="Calibri" w:hAnsi="Calibri" w:cs="Calibri"/>
                <w:sz w:val="22"/>
                <w:szCs w:val="22"/>
              </w:rPr>
              <w:t>49.94***</w:t>
            </w:r>
          </w:p>
        </w:tc>
        <w:tc>
          <w:tcPr>
            <w:tcW w:w="960" w:type="dxa"/>
            <w:shd w:val="clear" w:color="auto" w:fill="auto"/>
            <w:noWrap/>
            <w:vAlign w:val="bottom"/>
            <w:hideMark/>
          </w:tcPr>
          <w:p w14:paraId="5778E8FD" w14:textId="77777777" w:rsidR="00F46529" w:rsidRPr="000D728A" w:rsidRDefault="00F46529" w:rsidP="00DC78D9">
            <w:pPr>
              <w:spacing w:before="0"/>
              <w:ind w:left="0"/>
              <w:jc w:val="center"/>
              <w:rPr>
                <w:rFonts w:ascii="Calibri" w:hAnsi="Calibri" w:cs="Calibri"/>
                <w:sz w:val="22"/>
                <w:szCs w:val="22"/>
              </w:rPr>
            </w:pPr>
            <w:r w:rsidRPr="000D728A">
              <w:rPr>
                <w:rFonts w:ascii="Calibri" w:hAnsi="Calibri" w:cs="Calibri"/>
                <w:sz w:val="22"/>
                <w:szCs w:val="22"/>
              </w:rPr>
              <w:t>(9.36)</w:t>
            </w:r>
          </w:p>
        </w:tc>
        <w:tc>
          <w:tcPr>
            <w:tcW w:w="1200" w:type="dxa"/>
            <w:shd w:val="clear" w:color="auto" w:fill="auto"/>
            <w:noWrap/>
            <w:vAlign w:val="bottom"/>
            <w:hideMark/>
          </w:tcPr>
          <w:p w14:paraId="5778E8FE" w14:textId="77777777" w:rsidR="00F46529" w:rsidRPr="000D728A" w:rsidRDefault="00F46529" w:rsidP="00DC78D9">
            <w:pPr>
              <w:spacing w:before="0"/>
              <w:ind w:left="0"/>
              <w:jc w:val="center"/>
              <w:rPr>
                <w:rFonts w:ascii="Calibri" w:hAnsi="Calibri" w:cs="Calibri"/>
                <w:sz w:val="22"/>
                <w:szCs w:val="22"/>
              </w:rPr>
            </w:pPr>
            <w:r w:rsidRPr="000D728A">
              <w:rPr>
                <w:rFonts w:ascii="Calibri" w:hAnsi="Calibri" w:cs="Calibri"/>
                <w:sz w:val="22"/>
                <w:szCs w:val="22"/>
              </w:rPr>
              <w:t>20839</w:t>
            </w:r>
          </w:p>
        </w:tc>
        <w:tc>
          <w:tcPr>
            <w:tcW w:w="1453" w:type="dxa"/>
            <w:shd w:val="clear" w:color="auto" w:fill="auto"/>
            <w:noWrap/>
            <w:vAlign w:val="bottom"/>
            <w:hideMark/>
          </w:tcPr>
          <w:p w14:paraId="5778E8FF" w14:textId="77777777" w:rsidR="00F46529" w:rsidRPr="000D728A" w:rsidRDefault="00F46529" w:rsidP="00DC78D9">
            <w:pPr>
              <w:spacing w:before="0"/>
              <w:ind w:left="0"/>
              <w:jc w:val="center"/>
              <w:rPr>
                <w:rFonts w:ascii="Calibri" w:hAnsi="Calibri" w:cs="Calibri"/>
                <w:sz w:val="22"/>
                <w:szCs w:val="22"/>
              </w:rPr>
            </w:pPr>
            <w:r w:rsidRPr="000D728A">
              <w:rPr>
                <w:rFonts w:ascii="Calibri" w:hAnsi="Calibri" w:cs="Calibri"/>
                <w:sz w:val="22"/>
                <w:szCs w:val="22"/>
              </w:rPr>
              <w:t>0.065</w:t>
            </w:r>
          </w:p>
        </w:tc>
      </w:tr>
      <w:tr w:rsidR="00A4362F" w:rsidRPr="000D728A" w14:paraId="5778E906" w14:textId="77777777" w:rsidTr="00C244CD">
        <w:trPr>
          <w:trHeight w:val="300"/>
        </w:trPr>
        <w:tc>
          <w:tcPr>
            <w:tcW w:w="2860" w:type="dxa"/>
            <w:shd w:val="clear" w:color="auto" w:fill="auto"/>
            <w:noWrap/>
            <w:vAlign w:val="bottom"/>
            <w:hideMark/>
          </w:tcPr>
          <w:p w14:paraId="5778E901" w14:textId="77777777" w:rsidR="00A4362F" w:rsidRPr="000D728A" w:rsidRDefault="00A4362F" w:rsidP="00A4362F">
            <w:pPr>
              <w:spacing w:before="0"/>
              <w:ind w:left="0"/>
              <w:rPr>
                <w:rFonts w:ascii="Calibri" w:hAnsi="Calibri" w:cs="Calibri"/>
                <w:iCs/>
                <w:color w:val="000000"/>
                <w:sz w:val="22"/>
                <w:szCs w:val="22"/>
              </w:rPr>
            </w:pPr>
            <w:r w:rsidRPr="000D728A">
              <w:rPr>
                <w:rFonts w:ascii="Calibri" w:hAnsi="Calibri" w:cs="Calibri"/>
                <w:iCs/>
                <w:color w:val="000000"/>
                <w:sz w:val="22"/>
                <w:szCs w:val="22"/>
              </w:rPr>
              <w:t>All audience arts</w:t>
            </w:r>
          </w:p>
        </w:tc>
        <w:tc>
          <w:tcPr>
            <w:tcW w:w="1206" w:type="dxa"/>
            <w:shd w:val="clear" w:color="auto" w:fill="auto"/>
            <w:noWrap/>
            <w:vAlign w:val="bottom"/>
            <w:hideMark/>
          </w:tcPr>
          <w:p w14:paraId="5778E902" w14:textId="77777777" w:rsidR="00A4362F" w:rsidRPr="000D728A" w:rsidRDefault="00A4362F" w:rsidP="00A4362F">
            <w:pPr>
              <w:spacing w:before="0"/>
              <w:ind w:left="0"/>
              <w:rPr>
                <w:rFonts w:ascii="Calibri" w:hAnsi="Calibri" w:cs="Calibri"/>
                <w:sz w:val="22"/>
                <w:szCs w:val="22"/>
              </w:rPr>
            </w:pPr>
            <w:r w:rsidRPr="000D728A">
              <w:rPr>
                <w:rFonts w:ascii="Calibri" w:eastAsia="MS Mincho" w:hAnsi="Calibri" w:cs="Calibri"/>
                <w:lang w:eastAsia="en-US"/>
              </w:rPr>
              <w:t>£</w:t>
            </w:r>
            <w:r w:rsidRPr="000D728A">
              <w:rPr>
                <w:rFonts w:ascii="Calibri" w:hAnsi="Calibri" w:cs="Calibri"/>
                <w:sz w:val="22"/>
                <w:szCs w:val="22"/>
              </w:rPr>
              <w:t>25.77***</w:t>
            </w:r>
          </w:p>
        </w:tc>
        <w:tc>
          <w:tcPr>
            <w:tcW w:w="960" w:type="dxa"/>
            <w:shd w:val="clear" w:color="auto" w:fill="auto"/>
            <w:noWrap/>
            <w:vAlign w:val="bottom"/>
            <w:hideMark/>
          </w:tcPr>
          <w:p w14:paraId="5778E903" w14:textId="77777777" w:rsidR="00A4362F" w:rsidRPr="000D728A" w:rsidRDefault="00A4362F" w:rsidP="00A4362F">
            <w:pPr>
              <w:spacing w:before="0"/>
              <w:ind w:left="0"/>
              <w:jc w:val="center"/>
              <w:rPr>
                <w:rFonts w:ascii="Calibri" w:hAnsi="Calibri" w:cs="Calibri"/>
                <w:sz w:val="22"/>
                <w:szCs w:val="22"/>
              </w:rPr>
            </w:pPr>
            <w:r w:rsidRPr="000D728A">
              <w:rPr>
                <w:rFonts w:ascii="Calibri" w:hAnsi="Calibri" w:cs="Calibri"/>
                <w:sz w:val="22"/>
                <w:szCs w:val="22"/>
              </w:rPr>
              <w:t>(8.86)</w:t>
            </w:r>
          </w:p>
        </w:tc>
        <w:tc>
          <w:tcPr>
            <w:tcW w:w="1200" w:type="dxa"/>
            <w:shd w:val="clear" w:color="auto" w:fill="auto"/>
            <w:noWrap/>
            <w:vAlign w:val="bottom"/>
            <w:hideMark/>
          </w:tcPr>
          <w:p w14:paraId="5778E904" w14:textId="77777777" w:rsidR="00A4362F" w:rsidRPr="000D728A" w:rsidRDefault="00A4362F" w:rsidP="00A4362F">
            <w:pPr>
              <w:spacing w:before="0"/>
              <w:ind w:left="0"/>
              <w:jc w:val="center"/>
              <w:rPr>
                <w:rFonts w:ascii="Calibri" w:hAnsi="Calibri" w:cs="Calibri"/>
                <w:sz w:val="22"/>
                <w:szCs w:val="22"/>
              </w:rPr>
            </w:pPr>
            <w:r w:rsidRPr="000D728A">
              <w:rPr>
                <w:rFonts w:ascii="Calibri" w:hAnsi="Calibri" w:cs="Calibri"/>
                <w:sz w:val="22"/>
                <w:szCs w:val="22"/>
              </w:rPr>
              <w:t>32111</w:t>
            </w:r>
          </w:p>
        </w:tc>
        <w:tc>
          <w:tcPr>
            <w:tcW w:w="1453" w:type="dxa"/>
            <w:shd w:val="clear" w:color="auto" w:fill="auto"/>
            <w:noWrap/>
            <w:vAlign w:val="bottom"/>
            <w:hideMark/>
          </w:tcPr>
          <w:p w14:paraId="5778E905" w14:textId="77777777" w:rsidR="00A4362F" w:rsidRPr="000D728A" w:rsidRDefault="00A4362F" w:rsidP="00A4362F">
            <w:pPr>
              <w:spacing w:before="0"/>
              <w:ind w:left="0"/>
              <w:jc w:val="center"/>
              <w:rPr>
                <w:rFonts w:ascii="Calibri" w:hAnsi="Calibri" w:cs="Calibri"/>
                <w:sz w:val="22"/>
                <w:szCs w:val="22"/>
              </w:rPr>
            </w:pPr>
            <w:r w:rsidRPr="000D728A">
              <w:rPr>
                <w:rFonts w:ascii="Calibri" w:hAnsi="Calibri" w:cs="Calibri"/>
                <w:sz w:val="22"/>
                <w:szCs w:val="22"/>
              </w:rPr>
              <w:t>0.067</w:t>
            </w:r>
          </w:p>
        </w:tc>
      </w:tr>
      <w:tr w:rsidR="00A4362F" w:rsidRPr="000D728A" w14:paraId="5778E90C" w14:textId="77777777" w:rsidTr="00C244CD">
        <w:trPr>
          <w:trHeight w:val="300"/>
        </w:trPr>
        <w:tc>
          <w:tcPr>
            <w:tcW w:w="2860" w:type="dxa"/>
            <w:shd w:val="clear" w:color="auto" w:fill="auto"/>
            <w:noWrap/>
            <w:vAlign w:val="bottom"/>
            <w:hideMark/>
          </w:tcPr>
          <w:p w14:paraId="5778E907" w14:textId="77777777" w:rsidR="00A4362F" w:rsidRPr="000D728A" w:rsidRDefault="00A4362F" w:rsidP="00A4362F">
            <w:pPr>
              <w:spacing w:before="0"/>
              <w:ind w:left="0"/>
              <w:rPr>
                <w:rFonts w:ascii="Calibri" w:hAnsi="Calibri" w:cs="Calibri"/>
                <w:iCs/>
                <w:color w:val="000000"/>
                <w:sz w:val="22"/>
                <w:szCs w:val="22"/>
              </w:rPr>
            </w:pPr>
            <w:r w:rsidRPr="000D728A">
              <w:rPr>
                <w:rFonts w:ascii="Calibri" w:hAnsi="Calibri" w:cs="Calibri"/>
                <w:iCs/>
                <w:color w:val="000000"/>
                <w:sz w:val="22"/>
                <w:szCs w:val="22"/>
              </w:rPr>
              <w:t>All participation arts</w:t>
            </w:r>
          </w:p>
        </w:tc>
        <w:tc>
          <w:tcPr>
            <w:tcW w:w="1206" w:type="dxa"/>
            <w:shd w:val="clear" w:color="auto" w:fill="auto"/>
            <w:noWrap/>
            <w:vAlign w:val="bottom"/>
            <w:hideMark/>
          </w:tcPr>
          <w:p w14:paraId="5778E908" w14:textId="77777777" w:rsidR="00A4362F" w:rsidRPr="000D728A" w:rsidRDefault="00A4362F" w:rsidP="00A4362F">
            <w:pPr>
              <w:spacing w:before="0"/>
              <w:ind w:left="0"/>
              <w:rPr>
                <w:rFonts w:ascii="Calibri" w:hAnsi="Calibri" w:cs="Calibri"/>
                <w:sz w:val="22"/>
                <w:szCs w:val="22"/>
              </w:rPr>
            </w:pPr>
            <w:r w:rsidRPr="000D728A">
              <w:rPr>
                <w:rFonts w:ascii="Calibri" w:eastAsia="MS Mincho" w:hAnsi="Calibri" w:cs="Calibri"/>
                <w:lang w:eastAsia="en-US"/>
              </w:rPr>
              <w:t>£</w:t>
            </w:r>
            <w:r w:rsidRPr="000D728A">
              <w:rPr>
                <w:rFonts w:ascii="Calibri" w:hAnsi="Calibri" w:cs="Calibri"/>
                <w:color w:val="000000"/>
                <w:sz w:val="22"/>
                <w:szCs w:val="22"/>
              </w:rPr>
              <w:t>37.33***</w:t>
            </w:r>
          </w:p>
        </w:tc>
        <w:tc>
          <w:tcPr>
            <w:tcW w:w="960" w:type="dxa"/>
            <w:shd w:val="clear" w:color="auto" w:fill="auto"/>
            <w:noWrap/>
            <w:vAlign w:val="bottom"/>
            <w:hideMark/>
          </w:tcPr>
          <w:p w14:paraId="5778E909" w14:textId="77777777" w:rsidR="00A4362F" w:rsidRPr="000D728A" w:rsidRDefault="00A4362F" w:rsidP="00A4362F">
            <w:pPr>
              <w:spacing w:before="0"/>
              <w:ind w:left="0"/>
              <w:jc w:val="center"/>
              <w:rPr>
                <w:rFonts w:ascii="Calibri" w:hAnsi="Calibri" w:cs="Calibri"/>
                <w:sz w:val="22"/>
                <w:szCs w:val="22"/>
              </w:rPr>
            </w:pPr>
            <w:r w:rsidRPr="000D728A">
              <w:rPr>
                <w:rFonts w:ascii="Calibri" w:hAnsi="Calibri" w:cs="Calibri"/>
                <w:color w:val="000000"/>
                <w:sz w:val="22"/>
                <w:szCs w:val="22"/>
              </w:rPr>
              <w:t>(7.25)</w:t>
            </w:r>
          </w:p>
        </w:tc>
        <w:tc>
          <w:tcPr>
            <w:tcW w:w="1200" w:type="dxa"/>
            <w:shd w:val="clear" w:color="auto" w:fill="auto"/>
            <w:noWrap/>
            <w:vAlign w:val="bottom"/>
            <w:hideMark/>
          </w:tcPr>
          <w:p w14:paraId="5778E90A" w14:textId="77777777" w:rsidR="00A4362F" w:rsidRPr="000D728A" w:rsidRDefault="00A4362F" w:rsidP="00A4362F">
            <w:pPr>
              <w:spacing w:before="0"/>
              <w:ind w:left="0"/>
              <w:jc w:val="center"/>
              <w:rPr>
                <w:rFonts w:ascii="Calibri" w:hAnsi="Calibri" w:cs="Calibri"/>
                <w:sz w:val="22"/>
                <w:szCs w:val="22"/>
              </w:rPr>
            </w:pPr>
            <w:r w:rsidRPr="000D728A">
              <w:rPr>
                <w:rFonts w:ascii="Calibri" w:hAnsi="Calibri" w:cs="Calibri"/>
                <w:color w:val="000000"/>
                <w:sz w:val="22"/>
                <w:szCs w:val="22"/>
              </w:rPr>
              <w:t>32111</w:t>
            </w:r>
          </w:p>
        </w:tc>
        <w:tc>
          <w:tcPr>
            <w:tcW w:w="1453" w:type="dxa"/>
            <w:shd w:val="clear" w:color="auto" w:fill="auto"/>
            <w:noWrap/>
            <w:vAlign w:val="bottom"/>
            <w:hideMark/>
          </w:tcPr>
          <w:p w14:paraId="5778E90B" w14:textId="77777777" w:rsidR="00A4362F" w:rsidRPr="000D728A" w:rsidRDefault="00A4362F" w:rsidP="00A4362F">
            <w:pPr>
              <w:spacing w:before="0"/>
              <w:ind w:left="0"/>
              <w:jc w:val="center"/>
              <w:rPr>
                <w:rFonts w:ascii="Calibri" w:hAnsi="Calibri" w:cs="Calibri"/>
                <w:sz w:val="22"/>
                <w:szCs w:val="22"/>
              </w:rPr>
            </w:pPr>
            <w:r w:rsidRPr="000D728A">
              <w:rPr>
                <w:rFonts w:ascii="Calibri" w:hAnsi="Calibri" w:cs="Calibri"/>
                <w:color w:val="000000"/>
                <w:sz w:val="22"/>
                <w:szCs w:val="22"/>
              </w:rPr>
              <w:t>0.067</w:t>
            </w:r>
          </w:p>
        </w:tc>
      </w:tr>
      <w:tr w:rsidR="00A4362F" w:rsidRPr="000D728A" w14:paraId="5778E912" w14:textId="77777777" w:rsidTr="00C244CD">
        <w:trPr>
          <w:trHeight w:val="300"/>
        </w:trPr>
        <w:tc>
          <w:tcPr>
            <w:tcW w:w="2860" w:type="dxa"/>
            <w:shd w:val="clear" w:color="auto" w:fill="auto"/>
            <w:noWrap/>
            <w:vAlign w:val="bottom"/>
            <w:hideMark/>
          </w:tcPr>
          <w:p w14:paraId="5778E90D" w14:textId="77777777" w:rsidR="00A4362F" w:rsidRPr="000D728A" w:rsidRDefault="00A4362F" w:rsidP="00A4362F">
            <w:pPr>
              <w:spacing w:before="0"/>
              <w:ind w:left="0"/>
              <w:rPr>
                <w:rFonts w:ascii="Calibri" w:hAnsi="Calibri" w:cs="Calibri"/>
                <w:i/>
                <w:iCs/>
                <w:color w:val="000000"/>
                <w:sz w:val="22"/>
                <w:szCs w:val="22"/>
              </w:rPr>
            </w:pPr>
            <w:r w:rsidRPr="000D728A">
              <w:rPr>
                <w:rFonts w:ascii="Calibri" w:hAnsi="Calibri" w:cs="Calibri"/>
                <w:b/>
                <w:bCs/>
                <w:color w:val="000000"/>
                <w:sz w:val="22"/>
                <w:szCs w:val="22"/>
              </w:rPr>
              <w:t>Audience</w:t>
            </w:r>
          </w:p>
        </w:tc>
        <w:tc>
          <w:tcPr>
            <w:tcW w:w="1206" w:type="dxa"/>
            <w:shd w:val="clear" w:color="auto" w:fill="auto"/>
            <w:noWrap/>
            <w:vAlign w:val="bottom"/>
            <w:hideMark/>
          </w:tcPr>
          <w:p w14:paraId="5778E90E" w14:textId="77777777" w:rsidR="00A4362F" w:rsidRPr="000D728A" w:rsidRDefault="00A4362F" w:rsidP="00A4362F">
            <w:pPr>
              <w:spacing w:before="0"/>
              <w:ind w:left="0"/>
              <w:rPr>
                <w:rFonts w:ascii="Calibri" w:hAnsi="Calibri" w:cs="Calibri"/>
                <w:sz w:val="22"/>
                <w:szCs w:val="22"/>
              </w:rPr>
            </w:pPr>
          </w:p>
        </w:tc>
        <w:tc>
          <w:tcPr>
            <w:tcW w:w="960" w:type="dxa"/>
            <w:shd w:val="clear" w:color="auto" w:fill="auto"/>
            <w:noWrap/>
            <w:vAlign w:val="bottom"/>
            <w:hideMark/>
          </w:tcPr>
          <w:p w14:paraId="5778E90F" w14:textId="77777777" w:rsidR="00A4362F" w:rsidRPr="000D728A" w:rsidRDefault="00A4362F" w:rsidP="00A4362F">
            <w:pPr>
              <w:spacing w:before="0"/>
              <w:ind w:left="0"/>
              <w:jc w:val="center"/>
              <w:rPr>
                <w:rFonts w:ascii="Calibri" w:hAnsi="Calibri" w:cs="Calibri"/>
                <w:sz w:val="22"/>
                <w:szCs w:val="22"/>
              </w:rPr>
            </w:pPr>
          </w:p>
        </w:tc>
        <w:tc>
          <w:tcPr>
            <w:tcW w:w="1200" w:type="dxa"/>
            <w:shd w:val="clear" w:color="auto" w:fill="auto"/>
            <w:noWrap/>
            <w:vAlign w:val="bottom"/>
            <w:hideMark/>
          </w:tcPr>
          <w:p w14:paraId="5778E910" w14:textId="77777777" w:rsidR="00A4362F" w:rsidRPr="000D728A" w:rsidRDefault="00A4362F" w:rsidP="00A4362F">
            <w:pPr>
              <w:spacing w:before="0"/>
              <w:ind w:left="0"/>
              <w:jc w:val="center"/>
              <w:rPr>
                <w:rFonts w:ascii="Calibri" w:hAnsi="Calibri" w:cs="Calibri"/>
                <w:sz w:val="22"/>
                <w:szCs w:val="22"/>
              </w:rPr>
            </w:pPr>
          </w:p>
        </w:tc>
        <w:tc>
          <w:tcPr>
            <w:tcW w:w="1453" w:type="dxa"/>
            <w:shd w:val="clear" w:color="auto" w:fill="auto"/>
            <w:noWrap/>
            <w:vAlign w:val="bottom"/>
            <w:hideMark/>
          </w:tcPr>
          <w:p w14:paraId="5778E911" w14:textId="77777777" w:rsidR="00A4362F" w:rsidRPr="000D728A" w:rsidRDefault="00A4362F" w:rsidP="00A4362F">
            <w:pPr>
              <w:spacing w:before="0"/>
              <w:ind w:left="0"/>
              <w:jc w:val="center"/>
              <w:rPr>
                <w:rFonts w:ascii="Calibri" w:hAnsi="Calibri" w:cs="Calibri"/>
                <w:sz w:val="22"/>
                <w:szCs w:val="22"/>
              </w:rPr>
            </w:pPr>
          </w:p>
        </w:tc>
      </w:tr>
      <w:tr w:rsidR="00A4362F" w:rsidRPr="000D728A" w14:paraId="5778E918" w14:textId="77777777" w:rsidTr="00C244CD">
        <w:trPr>
          <w:trHeight w:val="300"/>
        </w:trPr>
        <w:tc>
          <w:tcPr>
            <w:tcW w:w="2860" w:type="dxa"/>
            <w:shd w:val="clear" w:color="auto" w:fill="auto"/>
            <w:noWrap/>
            <w:vAlign w:val="bottom"/>
            <w:hideMark/>
          </w:tcPr>
          <w:p w14:paraId="5778E913" w14:textId="77777777" w:rsidR="00A4362F" w:rsidRPr="000D728A" w:rsidRDefault="00A4362F" w:rsidP="00A4362F">
            <w:pPr>
              <w:spacing w:before="0"/>
              <w:ind w:left="0"/>
              <w:rPr>
                <w:rFonts w:ascii="Calibri" w:hAnsi="Calibri" w:cs="Calibri"/>
                <w:iCs/>
                <w:color w:val="000000"/>
                <w:sz w:val="22"/>
                <w:szCs w:val="22"/>
              </w:rPr>
            </w:pPr>
            <w:r w:rsidRPr="000D728A">
              <w:rPr>
                <w:rFonts w:ascii="Calibri" w:hAnsi="Calibri" w:cs="Calibri"/>
                <w:iCs/>
                <w:color w:val="000000"/>
                <w:sz w:val="22"/>
                <w:szCs w:val="22"/>
              </w:rPr>
              <w:t>Exhibitions</w:t>
            </w:r>
          </w:p>
        </w:tc>
        <w:tc>
          <w:tcPr>
            <w:tcW w:w="1206" w:type="dxa"/>
            <w:shd w:val="clear" w:color="auto" w:fill="auto"/>
            <w:noWrap/>
            <w:vAlign w:val="bottom"/>
            <w:hideMark/>
          </w:tcPr>
          <w:p w14:paraId="5778E914" w14:textId="77777777" w:rsidR="00A4362F" w:rsidRPr="000D728A" w:rsidRDefault="00A4362F" w:rsidP="00A4362F">
            <w:pPr>
              <w:spacing w:before="0"/>
              <w:ind w:left="0"/>
              <w:rPr>
                <w:rFonts w:ascii="Calibri" w:hAnsi="Calibri" w:cs="Calibri"/>
                <w:sz w:val="22"/>
                <w:szCs w:val="22"/>
              </w:rPr>
            </w:pPr>
            <w:r w:rsidRPr="000D728A">
              <w:rPr>
                <w:rFonts w:ascii="Calibri" w:eastAsia="MS Mincho" w:hAnsi="Calibri" w:cs="Calibri"/>
                <w:lang w:eastAsia="en-US"/>
              </w:rPr>
              <w:t>£</w:t>
            </w:r>
            <w:r w:rsidRPr="000D728A">
              <w:rPr>
                <w:rFonts w:ascii="Calibri" w:hAnsi="Calibri" w:cs="Calibri"/>
                <w:color w:val="000000"/>
                <w:sz w:val="22"/>
                <w:szCs w:val="22"/>
              </w:rPr>
              <w:t>19.89**</w:t>
            </w:r>
          </w:p>
        </w:tc>
        <w:tc>
          <w:tcPr>
            <w:tcW w:w="960" w:type="dxa"/>
            <w:shd w:val="clear" w:color="auto" w:fill="auto"/>
            <w:noWrap/>
            <w:vAlign w:val="bottom"/>
            <w:hideMark/>
          </w:tcPr>
          <w:p w14:paraId="5778E915" w14:textId="77777777" w:rsidR="00A4362F" w:rsidRPr="000D728A" w:rsidRDefault="00A4362F" w:rsidP="00A4362F">
            <w:pPr>
              <w:spacing w:before="0"/>
              <w:ind w:left="0"/>
              <w:jc w:val="center"/>
              <w:rPr>
                <w:rFonts w:ascii="Calibri" w:hAnsi="Calibri" w:cs="Calibri"/>
                <w:sz w:val="22"/>
                <w:szCs w:val="22"/>
              </w:rPr>
            </w:pPr>
            <w:r w:rsidRPr="000D728A">
              <w:rPr>
                <w:rFonts w:ascii="Calibri" w:hAnsi="Calibri" w:cs="Calibri"/>
                <w:color w:val="000000"/>
                <w:sz w:val="22"/>
                <w:szCs w:val="22"/>
              </w:rPr>
              <w:t>(8.36) </w:t>
            </w:r>
          </w:p>
        </w:tc>
        <w:tc>
          <w:tcPr>
            <w:tcW w:w="1200" w:type="dxa"/>
            <w:shd w:val="clear" w:color="auto" w:fill="auto"/>
            <w:noWrap/>
            <w:vAlign w:val="bottom"/>
            <w:hideMark/>
          </w:tcPr>
          <w:p w14:paraId="5778E916" w14:textId="77777777" w:rsidR="00A4362F" w:rsidRPr="000D728A" w:rsidRDefault="00A4362F" w:rsidP="00A4362F">
            <w:pPr>
              <w:spacing w:before="0"/>
              <w:ind w:left="0"/>
              <w:jc w:val="center"/>
              <w:rPr>
                <w:rFonts w:ascii="Calibri" w:hAnsi="Calibri" w:cs="Calibri"/>
                <w:sz w:val="22"/>
                <w:szCs w:val="22"/>
              </w:rPr>
            </w:pPr>
            <w:r w:rsidRPr="000D728A">
              <w:rPr>
                <w:rFonts w:ascii="Calibri" w:hAnsi="Calibri" w:cs="Calibri"/>
                <w:color w:val="000000"/>
                <w:sz w:val="22"/>
                <w:szCs w:val="22"/>
              </w:rPr>
              <w:t> </w:t>
            </w:r>
            <w:r w:rsidRPr="000D728A">
              <w:rPr>
                <w:rFonts w:ascii="Calibri" w:hAnsi="Calibri" w:cs="Calibri"/>
                <w:sz w:val="22"/>
                <w:szCs w:val="22"/>
              </w:rPr>
              <w:t>32106</w:t>
            </w:r>
          </w:p>
        </w:tc>
        <w:tc>
          <w:tcPr>
            <w:tcW w:w="1453" w:type="dxa"/>
            <w:shd w:val="clear" w:color="auto" w:fill="auto"/>
            <w:noWrap/>
            <w:vAlign w:val="bottom"/>
            <w:hideMark/>
          </w:tcPr>
          <w:p w14:paraId="5778E917" w14:textId="77777777" w:rsidR="00A4362F" w:rsidRPr="000D728A" w:rsidRDefault="00A4362F" w:rsidP="00A4362F">
            <w:pPr>
              <w:spacing w:before="0"/>
              <w:ind w:left="0"/>
              <w:jc w:val="center"/>
              <w:rPr>
                <w:rFonts w:ascii="Calibri" w:hAnsi="Calibri" w:cs="Calibri"/>
                <w:sz w:val="22"/>
                <w:szCs w:val="22"/>
              </w:rPr>
            </w:pPr>
            <w:r w:rsidRPr="000D728A">
              <w:rPr>
                <w:rFonts w:ascii="Calibri" w:hAnsi="Calibri" w:cs="Calibri"/>
                <w:sz w:val="22"/>
                <w:szCs w:val="22"/>
              </w:rPr>
              <w:t>0.086</w:t>
            </w:r>
            <w:r w:rsidRPr="000D728A">
              <w:rPr>
                <w:rFonts w:ascii="Calibri" w:hAnsi="Calibri" w:cs="Calibri"/>
                <w:color w:val="000000"/>
                <w:sz w:val="22"/>
                <w:szCs w:val="22"/>
              </w:rPr>
              <w:t> </w:t>
            </w:r>
          </w:p>
        </w:tc>
      </w:tr>
      <w:tr w:rsidR="00A4362F" w:rsidRPr="000D728A" w14:paraId="5778E91E" w14:textId="77777777" w:rsidTr="00C244CD">
        <w:trPr>
          <w:trHeight w:val="300"/>
        </w:trPr>
        <w:tc>
          <w:tcPr>
            <w:tcW w:w="2860" w:type="dxa"/>
            <w:shd w:val="clear" w:color="auto" w:fill="auto"/>
            <w:noWrap/>
            <w:vAlign w:val="bottom"/>
            <w:hideMark/>
          </w:tcPr>
          <w:p w14:paraId="5778E919" w14:textId="77777777" w:rsidR="00A4362F" w:rsidRPr="000D728A" w:rsidRDefault="00A4362F" w:rsidP="00A4362F">
            <w:pPr>
              <w:spacing w:before="0"/>
              <w:ind w:left="0"/>
              <w:rPr>
                <w:rFonts w:ascii="Calibri" w:hAnsi="Calibri" w:cs="Calibri"/>
                <w:iCs/>
                <w:color w:val="000000"/>
                <w:sz w:val="22"/>
                <w:szCs w:val="22"/>
              </w:rPr>
            </w:pPr>
            <w:r w:rsidRPr="000D728A">
              <w:rPr>
                <w:rFonts w:ascii="Calibri" w:hAnsi="Calibri" w:cs="Calibri"/>
                <w:iCs/>
                <w:color w:val="000000"/>
                <w:sz w:val="22"/>
                <w:szCs w:val="22"/>
              </w:rPr>
              <w:t>Dance</w:t>
            </w:r>
          </w:p>
        </w:tc>
        <w:tc>
          <w:tcPr>
            <w:tcW w:w="1206" w:type="dxa"/>
            <w:shd w:val="clear" w:color="auto" w:fill="auto"/>
            <w:noWrap/>
            <w:vAlign w:val="bottom"/>
            <w:hideMark/>
          </w:tcPr>
          <w:p w14:paraId="5778E91A" w14:textId="77777777" w:rsidR="00A4362F" w:rsidRPr="000D728A" w:rsidRDefault="00A4362F" w:rsidP="00A4362F">
            <w:pPr>
              <w:spacing w:before="0"/>
              <w:ind w:left="0"/>
              <w:rPr>
                <w:rFonts w:ascii="Calibri" w:hAnsi="Calibri" w:cs="Calibri"/>
                <w:sz w:val="22"/>
                <w:szCs w:val="22"/>
              </w:rPr>
            </w:pPr>
            <w:r w:rsidRPr="000D728A">
              <w:rPr>
                <w:rFonts w:ascii="Calibri" w:eastAsia="MS Mincho" w:hAnsi="Calibri" w:cs="Calibri"/>
                <w:lang w:eastAsia="en-US"/>
              </w:rPr>
              <w:t>£</w:t>
            </w:r>
            <w:r w:rsidRPr="000D728A">
              <w:rPr>
                <w:rFonts w:ascii="Calibri" w:hAnsi="Calibri" w:cs="Calibri"/>
                <w:color w:val="000000"/>
                <w:sz w:val="22"/>
                <w:szCs w:val="22"/>
              </w:rPr>
              <w:t>34.92**</w:t>
            </w:r>
          </w:p>
        </w:tc>
        <w:tc>
          <w:tcPr>
            <w:tcW w:w="960" w:type="dxa"/>
            <w:shd w:val="clear" w:color="auto" w:fill="auto"/>
            <w:noWrap/>
            <w:vAlign w:val="bottom"/>
            <w:hideMark/>
          </w:tcPr>
          <w:p w14:paraId="5778E91B" w14:textId="77777777" w:rsidR="00A4362F" w:rsidRPr="000D728A" w:rsidRDefault="00A4362F" w:rsidP="00A4362F">
            <w:pPr>
              <w:spacing w:before="0"/>
              <w:ind w:left="0"/>
              <w:jc w:val="center"/>
              <w:rPr>
                <w:rFonts w:ascii="Calibri" w:hAnsi="Calibri" w:cs="Calibri"/>
                <w:sz w:val="22"/>
                <w:szCs w:val="22"/>
              </w:rPr>
            </w:pPr>
            <w:r w:rsidRPr="000D728A">
              <w:rPr>
                <w:rFonts w:ascii="Calibri" w:hAnsi="Calibri" w:cs="Calibri"/>
                <w:color w:val="000000"/>
                <w:sz w:val="22"/>
                <w:szCs w:val="22"/>
              </w:rPr>
              <w:t>(14.35)</w:t>
            </w:r>
          </w:p>
        </w:tc>
        <w:tc>
          <w:tcPr>
            <w:tcW w:w="1200" w:type="dxa"/>
            <w:shd w:val="clear" w:color="auto" w:fill="auto"/>
            <w:noWrap/>
            <w:vAlign w:val="bottom"/>
            <w:hideMark/>
          </w:tcPr>
          <w:p w14:paraId="5778E91C" w14:textId="77777777" w:rsidR="00A4362F" w:rsidRPr="000D728A" w:rsidRDefault="00A4362F" w:rsidP="00A4362F">
            <w:pPr>
              <w:spacing w:before="0"/>
              <w:ind w:left="0"/>
              <w:jc w:val="center"/>
              <w:rPr>
                <w:rFonts w:ascii="Calibri" w:hAnsi="Calibri" w:cs="Calibri"/>
                <w:sz w:val="22"/>
                <w:szCs w:val="22"/>
              </w:rPr>
            </w:pPr>
            <w:r w:rsidRPr="000D728A">
              <w:rPr>
                <w:rFonts w:ascii="Calibri" w:hAnsi="Calibri" w:cs="Calibri"/>
                <w:sz w:val="22"/>
                <w:szCs w:val="22"/>
              </w:rPr>
              <w:t>32106</w:t>
            </w:r>
          </w:p>
        </w:tc>
        <w:tc>
          <w:tcPr>
            <w:tcW w:w="1453" w:type="dxa"/>
            <w:shd w:val="clear" w:color="auto" w:fill="auto"/>
            <w:noWrap/>
            <w:vAlign w:val="bottom"/>
            <w:hideMark/>
          </w:tcPr>
          <w:p w14:paraId="5778E91D" w14:textId="77777777" w:rsidR="00A4362F" w:rsidRPr="000D728A" w:rsidRDefault="00A4362F" w:rsidP="00A4362F">
            <w:pPr>
              <w:spacing w:before="0"/>
              <w:ind w:left="0"/>
              <w:jc w:val="center"/>
              <w:rPr>
                <w:rFonts w:ascii="Calibri" w:hAnsi="Calibri" w:cs="Calibri"/>
                <w:sz w:val="22"/>
                <w:szCs w:val="22"/>
              </w:rPr>
            </w:pPr>
            <w:r w:rsidRPr="000D728A">
              <w:rPr>
                <w:rFonts w:ascii="Calibri" w:hAnsi="Calibri" w:cs="Calibri"/>
                <w:sz w:val="22"/>
                <w:szCs w:val="22"/>
              </w:rPr>
              <w:t>0.086</w:t>
            </w:r>
          </w:p>
        </w:tc>
      </w:tr>
      <w:tr w:rsidR="00A4362F" w:rsidRPr="000D728A" w14:paraId="5778E924" w14:textId="77777777" w:rsidTr="00C244CD">
        <w:trPr>
          <w:trHeight w:val="300"/>
        </w:trPr>
        <w:tc>
          <w:tcPr>
            <w:tcW w:w="2860" w:type="dxa"/>
            <w:shd w:val="clear" w:color="auto" w:fill="auto"/>
            <w:noWrap/>
            <w:vAlign w:val="bottom"/>
            <w:hideMark/>
          </w:tcPr>
          <w:p w14:paraId="5778E91F" w14:textId="77777777" w:rsidR="00A4362F" w:rsidRPr="000D728A" w:rsidRDefault="00A4362F" w:rsidP="00A4362F">
            <w:pPr>
              <w:spacing w:before="0"/>
              <w:ind w:left="0"/>
              <w:rPr>
                <w:rFonts w:ascii="Calibri" w:hAnsi="Calibri" w:cs="Calibri"/>
                <w:b/>
                <w:bCs/>
                <w:color w:val="FFFFFF"/>
                <w:sz w:val="22"/>
                <w:szCs w:val="22"/>
              </w:rPr>
            </w:pPr>
            <w:r w:rsidRPr="000D728A">
              <w:rPr>
                <w:rFonts w:ascii="Calibri" w:hAnsi="Calibri" w:cs="Calibri"/>
                <w:b/>
                <w:bCs/>
                <w:color w:val="000000"/>
                <w:sz w:val="22"/>
                <w:szCs w:val="22"/>
              </w:rPr>
              <w:t>Participation</w:t>
            </w:r>
          </w:p>
        </w:tc>
        <w:tc>
          <w:tcPr>
            <w:tcW w:w="1206" w:type="dxa"/>
            <w:shd w:val="clear" w:color="auto" w:fill="auto"/>
            <w:noWrap/>
            <w:vAlign w:val="bottom"/>
            <w:hideMark/>
          </w:tcPr>
          <w:p w14:paraId="5778E920" w14:textId="77777777" w:rsidR="00A4362F" w:rsidRPr="000D728A" w:rsidRDefault="00A4362F" w:rsidP="00A4362F">
            <w:pPr>
              <w:spacing w:before="0"/>
              <w:ind w:left="0"/>
              <w:jc w:val="center"/>
              <w:rPr>
                <w:rFonts w:ascii="Calibri" w:hAnsi="Calibri" w:cs="Calibri"/>
                <w:color w:val="FFFFFF"/>
                <w:sz w:val="22"/>
                <w:szCs w:val="22"/>
              </w:rPr>
            </w:pPr>
            <w:r w:rsidRPr="000D728A">
              <w:rPr>
                <w:rFonts w:ascii="Calibri" w:hAnsi="Calibri" w:cs="Calibri"/>
                <w:color w:val="000000"/>
                <w:sz w:val="22"/>
                <w:szCs w:val="22"/>
              </w:rPr>
              <w:t> </w:t>
            </w:r>
          </w:p>
        </w:tc>
        <w:tc>
          <w:tcPr>
            <w:tcW w:w="960" w:type="dxa"/>
            <w:shd w:val="clear" w:color="auto" w:fill="auto"/>
            <w:noWrap/>
            <w:vAlign w:val="bottom"/>
            <w:hideMark/>
          </w:tcPr>
          <w:p w14:paraId="5778E921" w14:textId="77777777" w:rsidR="00A4362F" w:rsidRPr="000D728A" w:rsidRDefault="00A4362F" w:rsidP="00A4362F">
            <w:pPr>
              <w:spacing w:before="0"/>
              <w:ind w:left="0"/>
              <w:jc w:val="center"/>
              <w:rPr>
                <w:rFonts w:ascii="Calibri" w:hAnsi="Calibri" w:cs="Calibri"/>
                <w:color w:val="FFFFFF"/>
                <w:sz w:val="22"/>
                <w:szCs w:val="22"/>
              </w:rPr>
            </w:pPr>
            <w:r w:rsidRPr="000D728A">
              <w:rPr>
                <w:rFonts w:ascii="Calibri" w:hAnsi="Calibri" w:cs="Calibri"/>
                <w:color w:val="000000"/>
                <w:sz w:val="22"/>
                <w:szCs w:val="22"/>
              </w:rPr>
              <w:t> </w:t>
            </w:r>
          </w:p>
        </w:tc>
        <w:tc>
          <w:tcPr>
            <w:tcW w:w="1200" w:type="dxa"/>
            <w:shd w:val="clear" w:color="auto" w:fill="auto"/>
            <w:noWrap/>
            <w:vAlign w:val="bottom"/>
            <w:hideMark/>
          </w:tcPr>
          <w:p w14:paraId="5778E922" w14:textId="77777777" w:rsidR="00A4362F" w:rsidRPr="000D728A" w:rsidRDefault="00A4362F" w:rsidP="00A4362F">
            <w:pPr>
              <w:spacing w:before="0"/>
              <w:ind w:left="0"/>
              <w:jc w:val="center"/>
              <w:rPr>
                <w:rFonts w:ascii="Calibri" w:hAnsi="Calibri" w:cs="Calibri"/>
                <w:color w:val="FFFFFF"/>
                <w:sz w:val="22"/>
                <w:szCs w:val="22"/>
              </w:rPr>
            </w:pPr>
            <w:r w:rsidRPr="000D728A">
              <w:rPr>
                <w:rFonts w:ascii="Calibri" w:hAnsi="Calibri" w:cs="Calibri"/>
                <w:color w:val="000000"/>
                <w:sz w:val="22"/>
                <w:szCs w:val="22"/>
              </w:rPr>
              <w:t> </w:t>
            </w:r>
          </w:p>
        </w:tc>
        <w:tc>
          <w:tcPr>
            <w:tcW w:w="1453" w:type="dxa"/>
            <w:shd w:val="clear" w:color="auto" w:fill="auto"/>
            <w:noWrap/>
            <w:vAlign w:val="bottom"/>
            <w:hideMark/>
          </w:tcPr>
          <w:p w14:paraId="5778E923" w14:textId="77777777" w:rsidR="00A4362F" w:rsidRPr="000D728A" w:rsidRDefault="00A4362F" w:rsidP="00A4362F">
            <w:pPr>
              <w:spacing w:before="0"/>
              <w:ind w:left="0"/>
              <w:jc w:val="center"/>
              <w:rPr>
                <w:rFonts w:ascii="Calibri" w:hAnsi="Calibri" w:cs="Calibri"/>
                <w:color w:val="FFFFFF"/>
                <w:sz w:val="22"/>
                <w:szCs w:val="22"/>
              </w:rPr>
            </w:pPr>
            <w:r w:rsidRPr="000D728A">
              <w:rPr>
                <w:rFonts w:ascii="Calibri" w:hAnsi="Calibri" w:cs="Calibri"/>
                <w:color w:val="000000"/>
                <w:sz w:val="22"/>
                <w:szCs w:val="22"/>
              </w:rPr>
              <w:t> </w:t>
            </w:r>
          </w:p>
        </w:tc>
      </w:tr>
      <w:tr w:rsidR="00A4362F" w:rsidRPr="000D728A" w14:paraId="5778E92A" w14:textId="77777777" w:rsidTr="00C244CD">
        <w:trPr>
          <w:trHeight w:val="300"/>
        </w:trPr>
        <w:tc>
          <w:tcPr>
            <w:tcW w:w="2860" w:type="dxa"/>
            <w:shd w:val="clear" w:color="auto" w:fill="auto"/>
            <w:noWrap/>
            <w:vAlign w:val="bottom"/>
            <w:hideMark/>
          </w:tcPr>
          <w:p w14:paraId="5778E925" w14:textId="77777777" w:rsidR="00A4362F" w:rsidRPr="000D728A" w:rsidRDefault="00A4362F" w:rsidP="00A4362F">
            <w:pPr>
              <w:spacing w:before="0"/>
              <w:ind w:left="0"/>
              <w:rPr>
                <w:rFonts w:ascii="Calibri" w:hAnsi="Calibri" w:cs="Calibri"/>
                <w:iCs/>
                <w:color w:val="000000"/>
                <w:sz w:val="22"/>
                <w:szCs w:val="22"/>
              </w:rPr>
            </w:pPr>
            <w:r w:rsidRPr="000D728A">
              <w:rPr>
                <w:rFonts w:ascii="Calibri" w:hAnsi="Calibri" w:cs="Calibri"/>
                <w:iCs/>
                <w:color w:val="000000"/>
                <w:sz w:val="22"/>
                <w:szCs w:val="22"/>
              </w:rPr>
              <w:t>Drama</w:t>
            </w:r>
            <w:r w:rsidRPr="000D728A">
              <w:rPr>
                <w:rFonts w:ascii="Calibri" w:hAnsi="Calibri" w:cs="Calibri"/>
                <w:b/>
                <w:bCs/>
                <w:color w:val="000000"/>
                <w:sz w:val="22"/>
                <w:szCs w:val="22"/>
              </w:rPr>
              <w:t xml:space="preserve"> </w:t>
            </w:r>
          </w:p>
        </w:tc>
        <w:tc>
          <w:tcPr>
            <w:tcW w:w="1206" w:type="dxa"/>
            <w:shd w:val="clear" w:color="auto" w:fill="auto"/>
            <w:noWrap/>
            <w:vAlign w:val="bottom"/>
            <w:hideMark/>
          </w:tcPr>
          <w:p w14:paraId="5778E926" w14:textId="77777777" w:rsidR="00A4362F" w:rsidRPr="000D728A" w:rsidRDefault="00A4362F" w:rsidP="00A4362F">
            <w:pPr>
              <w:spacing w:before="0"/>
              <w:ind w:left="0"/>
              <w:rPr>
                <w:rFonts w:ascii="Calibri" w:hAnsi="Calibri" w:cs="Calibri"/>
                <w:color w:val="000000"/>
                <w:sz w:val="22"/>
                <w:szCs w:val="22"/>
              </w:rPr>
            </w:pPr>
            <w:r w:rsidRPr="000D728A">
              <w:rPr>
                <w:rFonts w:ascii="Calibri" w:eastAsia="MS Mincho" w:hAnsi="Calibri" w:cs="Calibri"/>
                <w:lang w:eastAsia="en-US"/>
              </w:rPr>
              <w:t>£</w:t>
            </w:r>
            <w:r w:rsidRPr="000D728A">
              <w:rPr>
                <w:rFonts w:ascii="Calibri" w:hAnsi="Calibri" w:cs="Calibri"/>
                <w:color w:val="000000"/>
                <w:sz w:val="22"/>
                <w:szCs w:val="22"/>
              </w:rPr>
              <w:t>83.83***</w:t>
            </w:r>
          </w:p>
        </w:tc>
        <w:tc>
          <w:tcPr>
            <w:tcW w:w="960" w:type="dxa"/>
            <w:shd w:val="clear" w:color="auto" w:fill="auto"/>
            <w:noWrap/>
            <w:vAlign w:val="bottom"/>
            <w:hideMark/>
          </w:tcPr>
          <w:p w14:paraId="5778E927" w14:textId="77777777" w:rsidR="00A4362F" w:rsidRPr="000D728A" w:rsidRDefault="00A4362F" w:rsidP="00A4362F">
            <w:pPr>
              <w:spacing w:before="0"/>
              <w:ind w:left="0"/>
              <w:jc w:val="center"/>
              <w:rPr>
                <w:rFonts w:ascii="Calibri" w:hAnsi="Calibri" w:cs="Calibri"/>
                <w:color w:val="000000"/>
                <w:sz w:val="22"/>
                <w:szCs w:val="22"/>
              </w:rPr>
            </w:pPr>
            <w:r w:rsidRPr="000D728A">
              <w:rPr>
                <w:rFonts w:ascii="Calibri" w:hAnsi="Calibri" w:cs="Calibri"/>
                <w:color w:val="000000"/>
                <w:sz w:val="22"/>
                <w:szCs w:val="22"/>
              </w:rPr>
              <w:t>(14.94)</w:t>
            </w:r>
          </w:p>
        </w:tc>
        <w:tc>
          <w:tcPr>
            <w:tcW w:w="1200" w:type="dxa"/>
            <w:shd w:val="clear" w:color="auto" w:fill="auto"/>
            <w:noWrap/>
            <w:vAlign w:val="bottom"/>
            <w:hideMark/>
          </w:tcPr>
          <w:p w14:paraId="5778E928" w14:textId="77777777" w:rsidR="00A4362F" w:rsidRPr="000D728A" w:rsidRDefault="00A4362F" w:rsidP="00A4362F">
            <w:pPr>
              <w:spacing w:before="0"/>
              <w:ind w:left="0"/>
              <w:jc w:val="center"/>
              <w:rPr>
                <w:rFonts w:ascii="Calibri" w:hAnsi="Calibri" w:cs="Calibri"/>
                <w:color w:val="000000"/>
                <w:sz w:val="22"/>
                <w:szCs w:val="22"/>
              </w:rPr>
            </w:pPr>
            <w:r w:rsidRPr="000D728A">
              <w:rPr>
                <w:rFonts w:ascii="Calibri" w:hAnsi="Calibri" w:cs="Calibri"/>
                <w:sz w:val="22"/>
                <w:szCs w:val="22"/>
              </w:rPr>
              <w:t>32106</w:t>
            </w:r>
          </w:p>
        </w:tc>
        <w:tc>
          <w:tcPr>
            <w:tcW w:w="1453" w:type="dxa"/>
            <w:shd w:val="clear" w:color="auto" w:fill="auto"/>
            <w:noWrap/>
            <w:vAlign w:val="bottom"/>
            <w:hideMark/>
          </w:tcPr>
          <w:p w14:paraId="5778E929" w14:textId="77777777" w:rsidR="00A4362F" w:rsidRPr="000D728A" w:rsidRDefault="00A4362F" w:rsidP="00A4362F">
            <w:pPr>
              <w:spacing w:before="0"/>
              <w:ind w:left="0"/>
              <w:jc w:val="center"/>
              <w:rPr>
                <w:rFonts w:ascii="Calibri" w:hAnsi="Calibri" w:cs="Calibri"/>
                <w:color w:val="000000"/>
                <w:sz w:val="22"/>
                <w:szCs w:val="22"/>
              </w:rPr>
            </w:pPr>
            <w:r w:rsidRPr="000D728A">
              <w:rPr>
                <w:rFonts w:ascii="Calibri" w:hAnsi="Calibri" w:cs="Calibri"/>
                <w:sz w:val="22"/>
                <w:szCs w:val="22"/>
              </w:rPr>
              <w:t>0.086</w:t>
            </w:r>
          </w:p>
        </w:tc>
      </w:tr>
      <w:tr w:rsidR="00A4362F" w:rsidRPr="000D728A" w14:paraId="5778E930" w14:textId="77777777" w:rsidTr="00C244CD">
        <w:trPr>
          <w:trHeight w:val="300"/>
        </w:trPr>
        <w:tc>
          <w:tcPr>
            <w:tcW w:w="2860" w:type="dxa"/>
            <w:shd w:val="clear" w:color="auto" w:fill="auto"/>
            <w:noWrap/>
            <w:vAlign w:val="bottom"/>
            <w:hideMark/>
          </w:tcPr>
          <w:p w14:paraId="5778E92B" w14:textId="77777777" w:rsidR="00A4362F" w:rsidRPr="000D728A" w:rsidRDefault="00A4362F" w:rsidP="00A4362F">
            <w:pPr>
              <w:spacing w:before="0"/>
              <w:ind w:left="0"/>
              <w:rPr>
                <w:rFonts w:ascii="Calibri" w:hAnsi="Calibri" w:cs="Calibri"/>
                <w:iCs/>
                <w:color w:val="000000"/>
                <w:sz w:val="22"/>
                <w:szCs w:val="22"/>
              </w:rPr>
            </w:pPr>
            <w:r w:rsidRPr="000D728A">
              <w:rPr>
                <w:rFonts w:ascii="Calibri" w:hAnsi="Calibri" w:cs="Calibri"/>
                <w:iCs/>
                <w:color w:val="000000"/>
                <w:sz w:val="22"/>
                <w:szCs w:val="22"/>
              </w:rPr>
              <w:t>Music</w:t>
            </w:r>
            <w:r w:rsidRPr="000D728A">
              <w:rPr>
                <w:rFonts w:ascii="Calibri" w:hAnsi="Calibri" w:cs="Calibri"/>
                <w:b/>
                <w:bCs/>
                <w:color w:val="000000"/>
                <w:sz w:val="22"/>
                <w:szCs w:val="22"/>
              </w:rPr>
              <w:t xml:space="preserve"> </w:t>
            </w:r>
          </w:p>
        </w:tc>
        <w:tc>
          <w:tcPr>
            <w:tcW w:w="1206" w:type="dxa"/>
            <w:shd w:val="clear" w:color="auto" w:fill="auto"/>
            <w:noWrap/>
            <w:vAlign w:val="bottom"/>
            <w:hideMark/>
          </w:tcPr>
          <w:p w14:paraId="5778E92C" w14:textId="77777777" w:rsidR="00A4362F" w:rsidRPr="000D728A" w:rsidRDefault="00A4362F" w:rsidP="00A4362F">
            <w:pPr>
              <w:spacing w:before="0"/>
              <w:ind w:left="0"/>
              <w:rPr>
                <w:rFonts w:ascii="Calibri" w:hAnsi="Calibri" w:cs="Calibri"/>
                <w:color w:val="000000"/>
                <w:sz w:val="22"/>
                <w:szCs w:val="22"/>
              </w:rPr>
            </w:pPr>
            <w:r w:rsidRPr="000D728A">
              <w:rPr>
                <w:rFonts w:ascii="Calibri" w:eastAsia="MS Mincho" w:hAnsi="Calibri" w:cs="Calibri"/>
                <w:lang w:eastAsia="en-US"/>
              </w:rPr>
              <w:t>£</w:t>
            </w:r>
            <w:r w:rsidRPr="000D728A">
              <w:rPr>
                <w:rFonts w:ascii="Calibri" w:hAnsi="Calibri" w:cs="Calibri"/>
                <w:color w:val="000000"/>
                <w:sz w:val="22"/>
                <w:szCs w:val="22"/>
              </w:rPr>
              <w:t>26.81***</w:t>
            </w:r>
          </w:p>
        </w:tc>
        <w:tc>
          <w:tcPr>
            <w:tcW w:w="960" w:type="dxa"/>
            <w:shd w:val="clear" w:color="auto" w:fill="auto"/>
            <w:noWrap/>
            <w:vAlign w:val="bottom"/>
            <w:hideMark/>
          </w:tcPr>
          <w:p w14:paraId="5778E92D" w14:textId="77777777" w:rsidR="00A4362F" w:rsidRPr="000D728A" w:rsidRDefault="00A4362F" w:rsidP="00A4362F">
            <w:pPr>
              <w:spacing w:before="0"/>
              <w:ind w:left="0"/>
              <w:jc w:val="center"/>
              <w:rPr>
                <w:rFonts w:ascii="Calibri" w:hAnsi="Calibri" w:cs="Calibri"/>
                <w:color w:val="000000"/>
                <w:sz w:val="22"/>
                <w:szCs w:val="22"/>
              </w:rPr>
            </w:pPr>
            <w:r w:rsidRPr="000D728A">
              <w:rPr>
                <w:rFonts w:ascii="Calibri" w:hAnsi="Calibri" w:cs="Calibri"/>
                <w:color w:val="000000"/>
                <w:sz w:val="22"/>
                <w:szCs w:val="22"/>
              </w:rPr>
              <w:t>(13.92)</w:t>
            </w:r>
          </w:p>
        </w:tc>
        <w:tc>
          <w:tcPr>
            <w:tcW w:w="1200" w:type="dxa"/>
            <w:shd w:val="clear" w:color="auto" w:fill="auto"/>
            <w:noWrap/>
            <w:vAlign w:val="bottom"/>
            <w:hideMark/>
          </w:tcPr>
          <w:p w14:paraId="5778E92E" w14:textId="77777777" w:rsidR="00A4362F" w:rsidRPr="000D728A" w:rsidRDefault="00A4362F" w:rsidP="00A4362F">
            <w:pPr>
              <w:spacing w:before="0"/>
              <w:ind w:left="0"/>
              <w:jc w:val="center"/>
              <w:rPr>
                <w:rFonts w:ascii="Calibri" w:hAnsi="Calibri" w:cs="Calibri"/>
                <w:color w:val="000000"/>
                <w:sz w:val="22"/>
                <w:szCs w:val="22"/>
              </w:rPr>
            </w:pPr>
            <w:r w:rsidRPr="000D728A">
              <w:rPr>
                <w:rFonts w:ascii="Calibri" w:hAnsi="Calibri" w:cs="Calibri"/>
                <w:sz w:val="22"/>
                <w:szCs w:val="22"/>
              </w:rPr>
              <w:t>32106</w:t>
            </w:r>
          </w:p>
        </w:tc>
        <w:tc>
          <w:tcPr>
            <w:tcW w:w="1453" w:type="dxa"/>
            <w:shd w:val="clear" w:color="auto" w:fill="auto"/>
            <w:noWrap/>
            <w:vAlign w:val="bottom"/>
            <w:hideMark/>
          </w:tcPr>
          <w:p w14:paraId="5778E92F" w14:textId="77777777" w:rsidR="00A4362F" w:rsidRPr="000D728A" w:rsidRDefault="00A4362F" w:rsidP="00A4362F">
            <w:pPr>
              <w:spacing w:before="0"/>
              <w:ind w:left="0"/>
              <w:jc w:val="center"/>
              <w:rPr>
                <w:rFonts w:ascii="Calibri" w:hAnsi="Calibri" w:cs="Calibri"/>
                <w:color w:val="000000"/>
                <w:sz w:val="22"/>
                <w:szCs w:val="22"/>
              </w:rPr>
            </w:pPr>
            <w:r w:rsidRPr="000D728A">
              <w:rPr>
                <w:rFonts w:ascii="Calibri" w:hAnsi="Calibri" w:cs="Calibri"/>
                <w:sz w:val="22"/>
                <w:szCs w:val="22"/>
              </w:rPr>
              <w:t>0.086</w:t>
            </w:r>
          </w:p>
        </w:tc>
      </w:tr>
      <w:tr w:rsidR="00A4362F" w:rsidRPr="000D728A" w14:paraId="5778E936" w14:textId="77777777" w:rsidTr="00C244CD">
        <w:trPr>
          <w:trHeight w:val="300"/>
        </w:trPr>
        <w:tc>
          <w:tcPr>
            <w:tcW w:w="2860" w:type="dxa"/>
            <w:shd w:val="clear" w:color="auto" w:fill="auto"/>
            <w:noWrap/>
            <w:vAlign w:val="bottom"/>
            <w:hideMark/>
          </w:tcPr>
          <w:p w14:paraId="5778E931" w14:textId="77777777" w:rsidR="00A4362F" w:rsidRPr="000D728A" w:rsidRDefault="00A4362F" w:rsidP="00A4362F">
            <w:pPr>
              <w:spacing w:before="0"/>
              <w:ind w:left="0"/>
              <w:rPr>
                <w:rFonts w:ascii="Calibri" w:hAnsi="Calibri" w:cs="Calibri"/>
                <w:iCs/>
                <w:color w:val="000000"/>
                <w:sz w:val="22"/>
                <w:szCs w:val="22"/>
              </w:rPr>
            </w:pPr>
            <w:r w:rsidRPr="000D728A">
              <w:rPr>
                <w:rFonts w:ascii="Calibri" w:hAnsi="Calibri" w:cs="Calibri"/>
                <w:iCs/>
                <w:color w:val="000000"/>
                <w:sz w:val="22"/>
                <w:szCs w:val="22"/>
              </w:rPr>
              <w:t>Literature</w:t>
            </w:r>
            <w:r w:rsidRPr="000D728A">
              <w:rPr>
                <w:rFonts w:ascii="Calibri" w:hAnsi="Calibri" w:cs="Calibri"/>
                <w:b/>
                <w:bCs/>
                <w:color w:val="000000"/>
                <w:sz w:val="22"/>
                <w:szCs w:val="22"/>
              </w:rPr>
              <w:t xml:space="preserve"> </w:t>
            </w:r>
          </w:p>
        </w:tc>
        <w:tc>
          <w:tcPr>
            <w:tcW w:w="1206" w:type="dxa"/>
            <w:shd w:val="clear" w:color="auto" w:fill="auto"/>
            <w:noWrap/>
            <w:vAlign w:val="bottom"/>
            <w:hideMark/>
          </w:tcPr>
          <w:p w14:paraId="5778E932" w14:textId="77777777" w:rsidR="00A4362F" w:rsidRPr="000D728A" w:rsidRDefault="00A4362F" w:rsidP="00A4362F">
            <w:pPr>
              <w:spacing w:before="0"/>
              <w:ind w:left="0"/>
              <w:rPr>
                <w:rFonts w:ascii="Calibri" w:hAnsi="Calibri" w:cs="Calibri"/>
                <w:color w:val="000000"/>
                <w:sz w:val="22"/>
                <w:szCs w:val="22"/>
              </w:rPr>
            </w:pPr>
            <w:r w:rsidRPr="000D728A">
              <w:rPr>
                <w:rFonts w:ascii="Calibri" w:eastAsia="MS Mincho" w:hAnsi="Calibri" w:cs="Calibri"/>
                <w:lang w:eastAsia="en-US"/>
              </w:rPr>
              <w:t>£</w:t>
            </w:r>
            <w:r w:rsidRPr="000D728A">
              <w:rPr>
                <w:rFonts w:ascii="Calibri" w:hAnsi="Calibri" w:cs="Calibri"/>
                <w:color w:val="000000"/>
                <w:sz w:val="22"/>
                <w:szCs w:val="22"/>
              </w:rPr>
              <w:t>32.48***</w:t>
            </w:r>
          </w:p>
        </w:tc>
        <w:tc>
          <w:tcPr>
            <w:tcW w:w="960" w:type="dxa"/>
            <w:shd w:val="clear" w:color="auto" w:fill="auto"/>
            <w:noWrap/>
            <w:vAlign w:val="bottom"/>
            <w:hideMark/>
          </w:tcPr>
          <w:p w14:paraId="5778E933" w14:textId="77777777" w:rsidR="00A4362F" w:rsidRPr="000D728A" w:rsidRDefault="00A4362F" w:rsidP="00A4362F">
            <w:pPr>
              <w:spacing w:before="0"/>
              <w:ind w:left="0"/>
              <w:jc w:val="center"/>
              <w:rPr>
                <w:rFonts w:ascii="Calibri" w:hAnsi="Calibri" w:cs="Calibri"/>
                <w:color w:val="000000"/>
                <w:sz w:val="22"/>
                <w:szCs w:val="22"/>
              </w:rPr>
            </w:pPr>
            <w:r w:rsidRPr="000D728A">
              <w:rPr>
                <w:rFonts w:ascii="Calibri" w:hAnsi="Calibri" w:cs="Calibri"/>
                <w:color w:val="000000"/>
                <w:sz w:val="22"/>
                <w:szCs w:val="22"/>
              </w:rPr>
              <w:t>(6.57)</w:t>
            </w:r>
          </w:p>
        </w:tc>
        <w:tc>
          <w:tcPr>
            <w:tcW w:w="1200" w:type="dxa"/>
            <w:shd w:val="clear" w:color="auto" w:fill="auto"/>
            <w:noWrap/>
            <w:vAlign w:val="bottom"/>
            <w:hideMark/>
          </w:tcPr>
          <w:p w14:paraId="5778E934" w14:textId="77777777" w:rsidR="00A4362F" w:rsidRPr="000D728A" w:rsidRDefault="00A4362F" w:rsidP="00A4362F">
            <w:pPr>
              <w:spacing w:before="0"/>
              <w:ind w:left="0"/>
              <w:jc w:val="center"/>
              <w:rPr>
                <w:rFonts w:ascii="Calibri" w:hAnsi="Calibri" w:cs="Calibri"/>
                <w:color w:val="000000"/>
                <w:sz w:val="22"/>
                <w:szCs w:val="22"/>
              </w:rPr>
            </w:pPr>
            <w:r w:rsidRPr="000D728A">
              <w:rPr>
                <w:rFonts w:ascii="Calibri" w:hAnsi="Calibri" w:cs="Calibri"/>
                <w:sz w:val="22"/>
                <w:szCs w:val="22"/>
              </w:rPr>
              <w:t>32106</w:t>
            </w:r>
          </w:p>
        </w:tc>
        <w:tc>
          <w:tcPr>
            <w:tcW w:w="1453" w:type="dxa"/>
            <w:shd w:val="clear" w:color="auto" w:fill="auto"/>
            <w:noWrap/>
            <w:vAlign w:val="bottom"/>
            <w:hideMark/>
          </w:tcPr>
          <w:p w14:paraId="5778E935" w14:textId="77777777" w:rsidR="00A4362F" w:rsidRPr="000D728A" w:rsidRDefault="00A4362F" w:rsidP="00A4362F">
            <w:pPr>
              <w:spacing w:before="0"/>
              <w:ind w:left="0"/>
              <w:jc w:val="center"/>
              <w:rPr>
                <w:rFonts w:ascii="Calibri" w:hAnsi="Calibri" w:cs="Calibri"/>
                <w:color w:val="000000"/>
                <w:sz w:val="22"/>
                <w:szCs w:val="22"/>
              </w:rPr>
            </w:pPr>
            <w:r w:rsidRPr="000D728A">
              <w:rPr>
                <w:rFonts w:ascii="Calibri" w:hAnsi="Calibri" w:cs="Calibri"/>
                <w:sz w:val="22"/>
                <w:szCs w:val="22"/>
              </w:rPr>
              <w:t>0.086</w:t>
            </w:r>
          </w:p>
        </w:tc>
      </w:tr>
    </w:tbl>
    <w:p w14:paraId="5778E937" w14:textId="77777777" w:rsidR="00B72AB2" w:rsidRPr="000D728A" w:rsidRDefault="00B72AB2" w:rsidP="00A4362F">
      <w:pPr>
        <w:rPr>
          <w:rFonts w:cs="Arial"/>
        </w:rPr>
      </w:pPr>
      <w:r w:rsidRPr="000D728A">
        <w:rPr>
          <w:rFonts w:cs="Arial"/>
          <w:sz w:val="18"/>
          <w:szCs w:val="18"/>
        </w:rPr>
        <w:t xml:space="preserve">Notes: OLS model. *** 0.01 significance level, ** 0.05 significance level. S.E. = Standard errors (in parentheses). R-Squared = </w:t>
      </w:r>
      <w:r w:rsidRPr="000D728A">
        <w:rPr>
          <w:rFonts w:cs="Arial"/>
          <w:i/>
          <w:sz w:val="18"/>
          <w:szCs w:val="18"/>
        </w:rPr>
        <w:t>Psuedo</w:t>
      </w:r>
      <w:r w:rsidRPr="000D728A">
        <w:rPr>
          <w:rFonts w:cs="Arial"/>
          <w:sz w:val="18"/>
          <w:szCs w:val="18"/>
        </w:rPr>
        <w:t xml:space="preserve"> </w:t>
      </w:r>
      <w:r w:rsidRPr="000D728A">
        <w:rPr>
          <w:rFonts w:cs="Arial"/>
          <w:i/>
          <w:sz w:val="18"/>
          <w:szCs w:val="18"/>
        </w:rPr>
        <w:t>R-Squared</w:t>
      </w:r>
      <w:r w:rsidRPr="000D728A">
        <w:rPr>
          <w:rFonts w:cs="Arial"/>
          <w:sz w:val="18"/>
          <w:szCs w:val="18"/>
        </w:rPr>
        <w:t>. Probability impacts calculated at the sample mean values of the other covariates. Probability = increase in likelihood of reporting good health.</w:t>
      </w:r>
    </w:p>
    <w:p w14:paraId="5778E938" w14:textId="77777777" w:rsidR="00B72AB2" w:rsidRPr="000D728A" w:rsidRDefault="00B72AB2" w:rsidP="00B72AB2">
      <w:pPr>
        <w:rPr>
          <w:rFonts w:cs="Arial"/>
          <w:b/>
          <w:sz w:val="32"/>
        </w:rPr>
      </w:pPr>
    </w:p>
    <w:p w14:paraId="5778E939" w14:textId="77777777" w:rsidR="00B72AB2" w:rsidRPr="000D728A" w:rsidRDefault="00B72AB2" w:rsidP="00B72AB2">
      <w:pPr>
        <w:rPr>
          <w:rFonts w:cs="Arial"/>
          <w:b/>
        </w:rPr>
      </w:pPr>
      <w:r w:rsidRPr="000D728A">
        <w:rPr>
          <w:rFonts w:cs="Arial"/>
          <w:b/>
        </w:rPr>
        <w:t>Distributional impacts</w:t>
      </w:r>
    </w:p>
    <w:p w14:paraId="5778E93A" w14:textId="77777777" w:rsidR="00B72AB2" w:rsidRPr="000D728A" w:rsidRDefault="00B72AB2" w:rsidP="00B72AB2">
      <w:pPr>
        <w:rPr>
          <w:rFonts w:cs="Arial"/>
        </w:rPr>
      </w:pPr>
      <w:r w:rsidRPr="000D728A">
        <w:rPr>
          <w:rFonts w:cs="Arial"/>
          <w:b/>
        </w:rPr>
        <w:t>The effect of engaging in any of the arts depends on gender.</w:t>
      </w:r>
      <w:r w:rsidRPr="000D728A">
        <w:rPr>
          <w:rFonts w:cs="Arial"/>
        </w:rPr>
        <w:t xml:space="preserve"> Being male and engaging in any of the arts is associated with £60 more charitable donations.</w:t>
      </w:r>
    </w:p>
    <w:p w14:paraId="5778E93B" w14:textId="77777777" w:rsidR="00B72AB2" w:rsidRPr="000D728A" w:rsidRDefault="00B72AB2" w:rsidP="003F57EB">
      <w:pPr>
        <w:ind w:left="0"/>
        <w:rPr>
          <w:rFonts w:cs="Arial"/>
          <w:b/>
        </w:rPr>
      </w:pPr>
    </w:p>
    <w:p w14:paraId="5778E93C" w14:textId="77777777" w:rsidR="00B72AB2" w:rsidRPr="000D728A" w:rsidRDefault="00B72AB2" w:rsidP="00B72AB2">
      <w:pPr>
        <w:rPr>
          <w:rFonts w:cs="Arial"/>
          <w:b/>
        </w:rPr>
      </w:pPr>
      <w:r w:rsidRPr="000D728A">
        <w:rPr>
          <w:rFonts w:cs="Arial"/>
          <w:b/>
        </w:rPr>
        <w:t>C.4.3 Indicative financial impacts</w:t>
      </w:r>
    </w:p>
    <w:p w14:paraId="5778E93D" w14:textId="77777777" w:rsidR="00B72AB2" w:rsidRPr="000D728A" w:rsidRDefault="00B72AB2" w:rsidP="00B72AB2">
      <w:pPr>
        <w:rPr>
          <w:rFonts w:cs="Arial"/>
        </w:rPr>
      </w:pPr>
      <w:r w:rsidRPr="000D728A">
        <w:rPr>
          <w:rFonts w:cs="Arial"/>
        </w:rPr>
        <w:t xml:space="preserve">The value of these impacts can be assessed </w:t>
      </w:r>
      <w:r w:rsidR="004E3870" w:rsidRPr="000D728A">
        <w:rPr>
          <w:rFonts w:cs="Arial"/>
        </w:rPr>
        <w:t xml:space="preserve">by </w:t>
      </w:r>
      <w:r w:rsidRPr="000D728A">
        <w:rPr>
          <w:rFonts w:cs="Arial"/>
        </w:rPr>
        <w:t>aggregating the increases in charitable donations due to participation in culture and sport set out in Table 16. For instance, if due to an intervention nationally 10,000 additional people take part in music then we could assume that this leads to a £0.3m increase in charitable giving.  Similarly, it could be assumed that the same increase in sports participation following an intervention would lead to a £0.25m increase in charitable giving.</w:t>
      </w:r>
    </w:p>
    <w:p w14:paraId="5778E93E" w14:textId="77777777" w:rsidR="000B1FC6" w:rsidRPr="000D728A" w:rsidRDefault="000B1FC6">
      <w:pPr>
        <w:spacing w:before="0"/>
        <w:ind w:left="0"/>
        <w:rPr>
          <w:rFonts w:cs="Arial"/>
        </w:rPr>
      </w:pPr>
    </w:p>
    <w:p w14:paraId="5778E93F" w14:textId="77777777" w:rsidR="000B1FC6" w:rsidRPr="000D728A" w:rsidRDefault="000B1FC6" w:rsidP="000B1FC6">
      <w:pPr>
        <w:pStyle w:val="Heading1Numbered"/>
        <w:numPr>
          <w:ilvl w:val="0"/>
          <w:numId w:val="0"/>
        </w:numPr>
        <w:rPr>
          <w:rFonts w:cs="Arial"/>
        </w:rPr>
      </w:pPr>
      <w:bookmarkStart w:id="10" w:name="_Toc385423142"/>
      <w:r w:rsidRPr="000D728A">
        <w:rPr>
          <w:rFonts w:cs="Arial"/>
        </w:rPr>
        <w:lastRenderedPageBreak/>
        <w:t>Annex D: Further research</w:t>
      </w:r>
      <w:bookmarkEnd w:id="10"/>
    </w:p>
    <w:p w14:paraId="5778E940" w14:textId="77777777" w:rsidR="003F57EB" w:rsidRPr="000D728A" w:rsidRDefault="003F57EB" w:rsidP="003F57EB">
      <w:pPr>
        <w:rPr>
          <w:rFonts w:cs="Arial"/>
        </w:rPr>
      </w:pPr>
      <w:r w:rsidRPr="000D728A">
        <w:rPr>
          <w:rFonts w:cs="Arial"/>
          <w:b/>
        </w:rPr>
        <w:t>Going forward, research in this area should aim to more conclusively address the issue of causality.</w:t>
      </w:r>
      <w:r w:rsidRPr="000D728A">
        <w:rPr>
          <w:rFonts w:cs="Arial"/>
        </w:rPr>
        <w:t xml:space="preserve"> Longitudinal data (either from subsequent waves of Understanding Society or from the new element of the Taking Part survey) are useful as we can control for some unobservable factors (those factors that do not change over time) through use of fixed effects regression analysis. Longitudinal data should not be seen as a panacea for the question of causality, however, because they cannot solve for the effect of unobservable factors that are not constant over time (such as people’s preferences), which means that we still may not be able to attribute causality fully.</w:t>
      </w:r>
    </w:p>
    <w:p w14:paraId="5778E941" w14:textId="77777777" w:rsidR="003F57EB" w:rsidRPr="000D728A" w:rsidRDefault="003F57EB" w:rsidP="003F57EB">
      <w:pPr>
        <w:rPr>
          <w:rFonts w:cs="Arial"/>
        </w:rPr>
      </w:pPr>
    </w:p>
    <w:p w14:paraId="5778E942" w14:textId="77777777" w:rsidR="003F57EB" w:rsidRPr="000D728A" w:rsidRDefault="003F57EB" w:rsidP="003F57EB">
      <w:pPr>
        <w:rPr>
          <w:rFonts w:cs="Arial"/>
        </w:rPr>
      </w:pPr>
      <w:r w:rsidRPr="000D728A">
        <w:rPr>
          <w:rFonts w:cs="Arial"/>
        </w:rPr>
        <w:t xml:space="preserve">In order to conclusively address direction of causality issues, further work of the following type would be recommended.  </w:t>
      </w:r>
      <w:r w:rsidRPr="000D728A">
        <w:rPr>
          <w:rFonts w:cs="Arial"/>
          <w:b/>
        </w:rPr>
        <w:t xml:space="preserve">Experimental methods - </w:t>
      </w:r>
      <w:r w:rsidRPr="000D728A">
        <w:rPr>
          <w:rFonts w:cs="Arial"/>
        </w:rPr>
        <w:t>whereby engagement in culture and sport is randomly assigned</w:t>
      </w:r>
      <w:r w:rsidRPr="000D728A">
        <w:rPr>
          <w:rFonts w:cs="Arial"/>
          <w:b/>
        </w:rPr>
        <w:t xml:space="preserve"> </w:t>
      </w:r>
      <w:r w:rsidRPr="000D728A">
        <w:rPr>
          <w:rFonts w:cs="Arial"/>
        </w:rPr>
        <w:t>– will allow us to single out</w:t>
      </w:r>
      <w:r w:rsidRPr="000D728A">
        <w:rPr>
          <w:rFonts w:cs="Arial"/>
          <w:b/>
        </w:rPr>
        <w:t xml:space="preserve"> </w:t>
      </w:r>
      <w:r w:rsidRPr="000D728A">
        <w:rPr>
          <w:rFonts w:cs="Arial"/>
        </w:rPr>
        <w:t xml:space="preserve">the effects of engagement and participation, although this may be difficult in practice due to non-compliance. However, this can be overcome somewhat by use of methods that randomise </w:t>
      </w:r>
      <w:r w:rsidRPr="000D728A">
        <w:rPr>
          <w:rFonts w:cs="Arial"/>
          <w:i/>
        </w:rPr>
        <w:t>encouragement</w:t>
      </w:r>
      <w:r w:rsidRPr="000D728A">
        <w:rPr>
          <w:rFonts w:cs="Arial"/>
        </w:rPr>
        <w:t xml:space="preserve"> </w:t>
      </w:r>
      <w:r w:rsidRPr="000D728A">
        <w:rPr>
          <w:rFonts w:cs="Arial"/>
          <w:i/>
        </w:rPr>
        <w:t>to participate</w:t>
      </w:r>
      <w:r w:rsidRPr="000D728A">
        <w:rPr>
          <w:rFonts w:cs="Arial"/>
        </w:rPr>
        <w:t xml:space="preserve"> in sporting and cultural activities instead - this might be through the provision of vouchers for free entry in to exhibits, art classes or sporting events. Encouragement designs allow people to ultimately decide whether they want to participate or not and they have been conducted to test the effect of adult learning on job outcomes in Switzerland (Schwerdt et al, 2012) for example. </w:t>
      </w:r>
    </w:p>
    <w:p w14:paraId="5778E943" w14:textId="77777777" w:rsidR="003F57EB" w:rsidRPr="000D728A" w:rsidRDefault="003F57EB" w:rsidP="003F57EB">
      <w:pPr>
        <w:rPr>
          <w:rFonts w:cs="Arial"/>
        </w:rPr>
      </w:pPr>
    </w:p>
    <w:p w14:paraId="5778E944" w14:textId="77777777" w:rsidR="003F57EB" w:rsidRPr="000D728A" w:rsidRDefault="003F57EB" w:rsidP="003F57EB">
      <w:pPr>
        <w:rPr>
          <w:rFonts w:cs="Arial"/>
        </w:rPr>
      </w:pPr>
      <w:r w:rsidRPr="000D728A">
        <w:rPr>
          <w:rFonts w:cs="Arial"/>
        </w:rPr>
        <w:t xml:space="preserve">Alternatively robust causal estimates can also be derived from </w:t>
      </w:r>
      <w:r w:rsidRPr="000D728A">
        <w:rPr>
          <w:rFonts w:cs="Arial"/>
          <w:b/>
        </w:rPr>
        <w:t>regression discontinuity design (RDD) methods</w:t>
      </w:r>
      <w:r w:rsidRPr="000D728A">
        <w:rPr>
          <w:rFonts w:cs="Arial"/>
        </w:rPr>
        <w:t xml:space="preserve">, whereby eligibility to participate in cultural and sporting activities is based on a single (pre-determined) observable criterion, such as frequency of engagement in the previous month or level of household income and here the intervention can be targeted at those groups in need or that are disadvantaged. </w:t>
      </w:r>
    </w:p>
    <w:p w14:paraId="5778E945" w14:textId="77777777" w:rsidR="000B1FC6" w:rsidRPr="000D728A" w:rsidRDefault="000B1FC6">
      <w:pPr>
        <w:spacing w:before="0"/>
        <w:ind w:left="0"/>
        <w:rPr>
          <w:rFonts w:cs="Arial"/>
        </w:rPr>
      </w:pPr>
    </w:p>
    <w:p w14:paraId="5778E946" w14:textId="77777777" w:rsidR="000B1FC6" w:rsidRPr="000D728A" w:rsidRDefault="000B1FC6" w:rsidP="000B1FC6">
      <w:pPr>
        <w:pStyle w:val="Heading1Numbered"/>
        <w:numPr>
          <w:ilvl w:val="0"/>
          <w:numId w:val="0"/>
        </w:numPr>
        <w:rPr>
          <w:rFonts w:cs="Arial"/>
        </w:rPr>
      </w:pPr>
      <w:bookmarkStart w:id="11" w:name="_Toc385423143"/>
      <w:r w:rsidRPr="000D728A">
        <w:rPr>
          <w:rFonts w:cs="Arial"/>
        </w:rPr>
        <w:lastRenderedPageBreak/>
        <w:t>Annex E: References</w:t>
      </w:r>
      <w:bookmarkEnd w:id="11"/>
    </w:p>
    <w:p w14:paraId="5778E947" w14:textId="77777777" w:rsidR="00F46529" w:rsidRPr="000D728A" w:rsidRDefault="00F46529" w:rsidP="00B72AB2">
      <w:pPr>
        <w:pStyle w:val="Bibliography"/>
        <w:rPr>
          <w:rFonts w:cs="Arial"/>
        </w:rPr>
      </w:pPr>
      <w:r w:rsidRPr="000D728A">
        <w:rPr>
          <w:rFonts w:cs="Arial"/>
        </w:rPr>
        <w:t>This section presents the combined list of references for both papers produced based on the reporting of the LSE authors.</w:t>
      </w:r>
    </w:p>
    <w:p w14:paraId="5778E948" w14:textId="77777777" w:rsidR="00F46529" w:rsidRPr="000D728A" w:rsidRDefault="00F46529" w:rsidP="00F46529"/>
    <w:p w14:paraId="5778E949" w14:textId="77777777" w:rsidR="00B72AB2" w:rsidRPr="000D728A" w:rsidRDefault="000C3F5E" w:rsidP="00B72AB2">
      <w:pPr>
        <w:pStyle w:val="Bibliography"/>
        <w:rPr>
          <w:rFonts w:cs="Arial"/>
        </w:rPr>
      </w:pPr>
      <w:r w:rsidRPr="000D728A">
        <w:rPr>
          <w:rFonts w:cs="Arial"/>
        </w:rPr>
        <w:fldChar w:fldCharType="begin"/>
      </w:r>
      <w:r w:rsidR="00B72AB2" w:rsidRPr="000D728A">
        <w:rPr>
          <w:rFonts w:cs="Arial"/>
        </w:rPr>
        <w:instrText xml:space="preserve"> ADDIN ZOTERO_BIBL {"uncited":[["http://zotero.org/users/1148429/items/66E9D627"],["http://zotero.org/users/1148429/items/EV22TT7X"],["http://zotero.org/users/1148429/items/QASMTT85"],["http://zotero.org/users/1148429/items/SBWQ8DBG"],["http://zotero.org/users/1148429/items/Q8KBUIE9"],["http://zotero.org/users/1148429/items/SKRZUDXM"],["http://zotero.org/users/1148429/items/JX8DAZPG"],["http://zotero.org/users/1148429/items/7ICR8WGG"],["http://zotero.org/users/1148429/items/UTPS52J8"],["http://zotero.org/users/1148429/items/9C3XIICF"],["http://zotero.org/users/1148429/items/VCU8HNQZ"],["http://zotero.org/users/1148429/items/47QMN7XF"],["http://zotero.org/users/1148429/items/5RZ4IBJ7"],["http://zotero.org/users/1148429/items/57Z3R4UD"],["http://zotero.org/users/1148429/items/M8MKB426"],["http://zotero.org/users/1148429/items/X2WFGCIZ"],["http://zotero.org/users/1148429/items/HJNVG42J"],["http://zotero.org/users/1148429/items/PW877U9E"],["http://zotero.org/users/1148429/items/EXI7X8E6"],["http://zotero.org/users/1148429/items/ECAUK35C"],["http://zotero.org/users/1148429/items/NWNBN4DN"],["http://zotero.org/users/1148429/items/IQAZQTDP"],["http://zotero.org/users/1148429/items/CBKCSX7A"],["http://zotero.org/users/1148429/items/WHDMZAMZ"],["http://zotero.org/users/1148429/items/2MV5QIPF"],["http://zotero.org/users/1148429/items/82Q3CPHQ"],["http://zotero.org/users/1148429/items/TWIMRVUM"],["http://zotero.org/users/1148429/items/D8GFHW7Z"],["http://zotero.org/users/1148429/items/3EQQW8FP"],["http://zotero.org/users/1148429/items/2TPR8U35"],["http://zotero.org/users/1148429/items/5AQJABSI"],["http://zotero.org/users/1148429/items/BTUXTRC8"],["http://zotero.org/users/1148429/items/SVZJCIXX"],["http://zotero.org/users/1148429/items/4VM5KTVH"],["http://zotero.org/users/1148429/items/DTZTAQ86"]],"omitted":[["http://zotero.org/users/1148429/items/JGNV87W8"],["http://zotero.org/users/1148429/items/VDQQDNSC"],["http://zotero.org/users/1148429/items/968GH9T8"],["http://zotero.org/users/1148429/items/M5DJ4KET"],["http://zotero.org/users/1148429/items/ET9I76HQ"],["http://zotero.org/users/1148429/items/C27R9CCH"]],"custom":[]} CSL_BIBLIOGRAPHY </w:instrText>
      </w:r>
      <w:r w:rsidRPr="000D728A">
        <w:rPr>
          <w:rFonts w:cs="Arial"/>
        </w:rPr>
        <w:fldChar w:fldCharType="separate"/>
      </w:r>
      <w:r w:rsidR="00B72AB2" w:rsidRPr="000D728A">
        <w:rPr>
          <w:rFonts w:cs="Arial"/>
        </w:rPr>
        <w:t xml:space="preserve">Andersen, Lars Bo, Peter Schnohr, Marianne Schroll, and Hans Ole Hein. 2000. “All-cause Mortality Associated with Physical Activity During Leisure Time, Work, Sports, and Cycling to Work.” </w:t>
      </w:r>
      <w:r w:rsidR="00B72AB2" w:rsidRPr="000D728A">
        <w:rPr>
          <w:rFonts w:cs="Arial"/>
          <w:i/>
          <w:iCs/>
        </w:rPr>
        <w:t>Archives of Internal Medicine</w:t>
      </w:r>
      <w:r w:rsidR="00B72AB2" w:rsidRPr="000D728A">
        <w:rPr>
          <w:rFonts w:cs="Arial"/>
        </w:rPr>
        <w:t xml:space="preserve"> 160 (11): 1621.</w:t>
      </w:r>
    </w:p>
    <w:p w14:paraId="5778E94A" w14:textId="77777777" w:rsidR="00B72AB2" w:rsidRPr="000D728A" w:rsidRDefault="00B72AB2" w:rsidP="00B72AB2">
      <w:pPr>
        <w:pStyle w:val="Bibliography"/>
        <w:rPr>
          <w:rFonts w:cs="Arial"/>
        </w:rPr>
      </w:pPr>
      <w:r w:rsidRPr="000D728A">
        <w:rPr>
          <w:rFonts w:cs="Arial"/>
        </w:rPr>
        <w:t xml:space="preserve">Apouey, B., and A. E. Clark. 2009. “Winning Big but Feeling No Better? The Effect of Lottery Prizes on Physical and Mental Health.” </w:t>
      </w:r>
      <w:r w:rsidRPr="000D728A">
        <w:rPr>
          <w:rFonts w:cs="Arial"/>
          <w:i/>
          <w:iCs/>
        </w:rPr>
        <w:t>PSE Working Papers</w:t>
      </w:r>
      <w:r w:rsidRPr="000D728A">
        <w:rPr>
          <w:rFonts w:cs="Arial"/>
        </w:rPr>
        <w:t>.</w:t>
      </w:r>
    </w:p>
    <w:p w14:paraId="5778E94B" w14:textId="77777777" w:rsidR="00B72AB2" w:rsidRPr="000D728A" w:rsidRDefault="00B72AB2" w:rsidP="00B72AB2">
      <w:pPr>
        <w:pStyle w:val="Bibliography"/>
        <w:rPr>
          <w:rFonts w:cs="Arial"/>
        </w:rPr>
      </w:pPr>
      <w:r w:rsidRPr="000D728A">
        <w:rPr>
          <w:rFonts w:cs="Arial"/>
        </w:rPr>
        <w:t xml:space="preserve">Bockstael, E. Nancy, and Kenneth E. McConnell. 1980. “Calculating Equivalent and Compensating Variation for Natural Resource Facilities.” </w:t>
      </w:r>
      <w:r w:rsidRPr="000D728A">
        <w:rPr>
          <w:rFonts w:cs="Arial"/>
          <w:i/>
          <w:iCs/>
        </w:rPr>
        <w:t>Land Economics</w:t>
      </w:r>
      <w:r w:rsidRPr="000D728A">
        <w:rPr>
          <w:rFonts w:cs="Arial"/>
        </w:rPr>
        <w:t xml:space="preserve"> 56 (1): 56–63.</w:t>
      </w:r>
    </w:p>
    <w:p w14:paraId="5778E94C" w14:textId="77777777" w:rsidR="00B72AB2" w:rsidRPr="000D728A" w:rsidRDefault="00B72AB2" w:rsidP="00B72AB2">
      <w:pPr>
        <w:pStyle w:val="Bibliography"/>
        <w:rPr>
          <w:rFonts w:cs="Arial"/>
        </w:rPr>
      </w:pPr>
      <w:r w:rsidRPr="000D728A">
        <w:rPr>
          <w:rFonts w:cs="Arial"/>
        </w:rPr>
        <w:t xml:space="preserve">Bygren, L., B. Konlaan and S. Johansson. 1996b. “Attendance at Cultural Events, Reading Books or Periodicals, and Making Music or Singing in a Choir as Determinants for Survival: Swedish Interview Survey of Living Conditions.” </w:t>
      </w:r>
      <w:r w:rsidRPr="000D728A">
        <w:rPr>
          <w:rFonts w:cs="Arial"/>
          <w:i/>
          <w:iCs/>
        </w:rPr>
        <w:t>BMJ</w:t>
      </w:r>
      <w:r w:rsidRPr="000D728A">
        <w:rPr>
          <w:rFonts w:cs="Arial"/>
        </w:rPr>
        <w:t xml:space="preserve"> 313 (7072): 1577–1580.</w:t>
      </w:r>
    </w:p>
    <w:p w14:paraId="5778E94D" w14:textId="77777777" w:rsidR="00B72AB2" w:rsidRPr="000D728A" w:rsidRDefault="00B72AB2" w:rsidP="00B72AB2">
      <w:pPr>
        <w:pStyle w:val="Bibliography"/>
        <w:rPr>
          <w:rFonts w:cs="Arial"/>
        </w:rPr>
      </w:pPr>
      <w:r w:rsidRPr="000D728A">
        <w:rPr>
          <w:rFonts w:cs="Arial"/>
        </w:rPr>
        <w:t xml:space="preserve">Carroll, James, Siobhan McCarthy, and Carol Newman. 2005. “An Econometric Analysis of Charitable Donations in the Republic of Ireland.” </w:t>
      </w:r>
      <w:r w:rsidRPr="000D728A">
        <w:rPr>
          <w:rFonts w:cs="Arial"/>
          <w:i/>
          <w:iCs/>
        </w:rPr>
        <w:t>Economic and Social Review</w:t>
      </w:r>
      <w:r w:rsidRPr="000D728A">
        <w:rPr>
          <w:rFonts w:cs="Arial"/>
        </w:rPr>
        <w:t xml:space="preserve"> 36 (3): 229.</w:t>
      </w:r>
    </w:p>
    <w:p w14:paraId="5778E94E" w14:textId="77777777" w:rsidR="00B72AB2" w:rsidRPr="000D728A" w:rsidRDefault="00B72AB2" w:rsidP="00B72AB2">
      <w:pPr>
        <w:pStyle w:val="Bibliography"/>
        <w:rPr>
          <w:rFonts w:cs="Arial"/>
        </w:rPr>
      </w:pPr>
      <w:r w:rsidRPr="000D728A">
        <w:rPr>
          <w:rFonts w:cs="Arial"/>
        </w:rPr>
        <w:t>“CASE Programme: Understanding the Drivers, Impacts and Value of Engagement in Culture and Sport - Publications - Inside Government - GOV.UK.” 2013. Accessed April 16. https://www.gov.uk/government/publications/case-programme-understanding-the-drivers-impacts-and-value-of-engagement-in-culture-and-sport.</w:t>
      </w:r>
    </w:p>
    <w:p w14:paraId="5778E94F" w14:textId="77777777" w:rsidR="00B72AB2" w:rsidRPr="000D728A" w:rsidRDefault="00B72AB2" w:rsidP="00B72AB2">
      <w:pPr>
        <w:pStyle w:val="Bibliography"/>
        <w:rPr>
          <w:rFonts w:cs="Arial"/>
        </w:rPr>
      </w:pPr>
      <w:r w:rsidRPr="000D728A">
        <w:rPr>
          <w:rFonts w:cs="Arial"/>
        </w:rPr>
        <w:t xml:space="preserve">Clark, A. E., and A. J. Oswald. 2002. “A Simple Statistical Method for Measuring How Life Events Affect Happiness.” </w:t>
      </w:r>
      <w:r w:rsidRPr="000D728A">
        <w:rPr>
          <w:rFonts w:cs="Arial"/>
          <w:i/>
          <w:iCs/>
        </w:rPr>
        <w:t>International Journal of Epidemiology</w:t>
      </w:r>
      <w:r w:rsidRPr="000D728A">
        <w:rPr>
          <w:rFonts w:cs="Arial"/>
        </w:rPr>
        <w:t xml:space="preserve"> 31: 1139–1144.</w:t>
      </w:r>
    </w:p>
    <w:p w14:paraId="5778E950" w14:textId="77777777" w:rsidR="00B72AB2" w:rsidRPr="000D728A" w:rsidRDefault="00B72AB2" w:rsidP="00B72AB2">
      <w:pPr>
        <w:pStyle w:val="Bibliography"/>
        <w:rPr>
          <w:rFonts w:cs="Arial"/>
        </w:rPr>
      </w:pPr>
      <w:r w:rsidRPr="000D728A">
        <w:rPr>
          <w:rFonts w:cs="Arial"/>
        </w:rPr>
        <w:t xml:space="preserve">Clark, Andrew E. 2001. “What Really Matters in a Job? Hedonic Measurement Using Quit Data.” </w:t>
      </w:r>
      <w:r w:rsidRPr="000D728A">
        <w:rPr>
          <w:rFonts w:cs="Arial"/>
          <w:i/>
          <w:iCs/>
        </w:rPr>
        <w:t>Labour Economics</w:t>
      </w:r>
      <w:r w:rsidRPr="000D728A">
        <w:rPr>
          <w:rFonts w:cs="Arial"/>
        </w:rPr>
        <w:t xml:space="preserve"> 8 (2): 223–242. doi:10.1016/s0927-5371(01)00031-8.</w:t>
      </w:r>
    </w:p>
    <w:p w14:paraId="5778E951" w14:textId="77777777" w:rsidR="00B72AB2" w:rsidRPr="000D728A" w:rsidRDefault="00B72AB2" w:rsidP="00B72AB2">
      <w:pPr>
        <w:pStyle w:val="Bibliography"/>
        <w:rPr>
          <w:rFonts w:cs="Arial"/>
        </w:rPr>
      </w:pPr>
      <w:r w:rsidRPr="000D728A">
        <w:rPr>
          <w:rFonts w:cs="Arial"/>
        </w:rPr>
        <w:t xml:space="preserve">Colombino, Ugo, and Annamaria Nese. 2009. “Preference Heterogeneity in Relation to Museum Services.” </w:t>
      </w:r>
      <w:r w:rsidRPr="000D728A">
        <w:rPr>
          <w:rFonts w:cs="Arial"/>
          <w:i/>
          <w:iCs/>
        </w:rPr>
        <w:t>Tourism Economics</w:t>
      </w:r>
      <w:r w:rsidRPr="000D728A">
        <w:rPr>
          <w:rFonts w:cs="Arial"/>
        </w:rPr>
        <w:t xml:space="preserve"> 15 (2): 381–395.</w:t>
      </w:r>
    </w:p>
    <w:p w14:paraId="5778E952" w14:textId="77777777" w:rsidR="00B72AB2" w:rsidRPr="000D728A" w:rsidRDefault="00B72AB2" w:rsidP="00B72AB2">
      <w:pPr>
        <w:pStyle w:val="Bibliography"/>
        <w:rPr>
          <w:rFonts w:cs="Arial"/>
        </w:rPr>
      </w:pPr>
      <w:r w:rsidRPr="000D728A">
        <w:rPr>
          <w:rFonts w:cs="Arial"/>
        </w:rPr>
        <w:t xml:space="preserve">DeNeve, K., and H. Cooper. 1998. “The Happy Personality: Traits and A Meta-Analysis of 137 Personality Subjective Well-Being.” </w:t>
      </w:r>
      <w:r w:rsidRPr="000D728A">
        <w:rPr>
          <w:rFonts w:cs="Arial"/>
          <w:i/>
          <w:iCs/>
        </w:rPr>
        <w:t>Psychological Bulletin</w:t>
      </w:r>
      <w:r w:rsidRPr="000D728A">
        <w:rPr>
          <w:rFonts w:cs="Arial"/>
        </w:rPr>
        <w:t xml:space="preserve"> 124 (2): 197–229.</w:t>
      </w:r>
    </w:p>
    <w:p w14:paraId="5778E953" w14:textId="77777777" w:rsidR="00B72AB2" w:rsidRPr="000D728A" w:rsidRDefault="00B72AB2" w:rsidP="00B72AB2">
      <w:pPr>
        <w:pStyle w:val="Bibliography"/>
        <w:rPr>
          <w:rFonts w:cs="Arial"/>
        </w:rPr>
      </w:pPr>
      <w:r w:rsidRPr="000D728A">
        <w:rPr>
          <w:rFonts w:cs="Arial"/>
        </w:rPr>
        <w:lastRenderedPageBreak/>
        <w:t xml:space="preserve">Dolan, Paul, and Daniel Kahneman. 2008. “Interpretations Of Utility And Their Implications For The Valuation Of Health*.” </w:t>
      </w:r>
      <w:r w:rsidRPr="000D728A">
        <w:rPr>
          <w:rFonts w:cs="Arial"/>
          <w:i/>
          <w:iCs/>
        </w:rPr>
        <w:t>The Economic Journal</w:t>
      </w:r>
      <w:r w:rsidRPr="000D728A">
        <w:rPr>
          <w:rFonts w:cs="Arial"/>
        </w:rPr>
        <w:t xml:space="preserve"> 118 (525): 215–234. doi:10.1111/j.1468-0297.2007.02110.x.</w:t>
      </w:r>
    </w:p>
    <w:p w14:paraId="5778E954" w14:textId="77777777" w:rsidR="00B72AB2" w:rsidRPr="000D728A" w:rsidRDefault="00B72AB2" w:rsidP="00B72AB2">
      <w:pPr>
        <w:pStyle w:val="Bibliography"/>
        <w:rPr>
          <w:rFonts w:cs="Arial"/>
        </w:rPr>
      </w:pPr>
      <w:r w:rsidRPr="000D728A">
        <w:rPr>
          <w:rFonts w:cs="Arial"/>
        </w:rPr>
        <w:t>Dolan, Paul, and Daniel Fujiwara. 2012. “Valuing Adult Learning: Comparing Wellbeing Valuation to Contingent Valuation.” http://dera.ioe.ac.uk/15995/1/12-1127-valuing-adult-learning-comparing-wellbeing-to-contingent.pdf.</w:t>
      </w:r>
    </w:p>
    <w:p w14:paraId="5778E955" w14:textId="77777777" w:rsidR="00B72AB2" w:rsidRPr="000D728A" w:rsidRDefault="00B72AB2" w:rsidP="00B72AB2">
      <w:pPr>
        <w:pStyle w:val="Bibliography"/>
        <w:rPr>
          <w:rFonts w:cs="Arial"/>
        </w:rPr>
      </w:pPr>
      <w:r w:rsidRPr="000D728A">
        <w:rPr>
          <w:rFonts w:cs="Arial"/>
        </w:rPr>
        <w:t xml:space="preserve">Ferrer-i-Carbonell, A., and P. Frijters. 2004. “How Important Is Methodology for the Estimates of the Determinants of Happiness?” </w:t>
      </w:r>
      <w:r w:rsidRPr="000D728A">
        <w:rPr>
          <w:rFonts w:cs="Arial"/>
          <w:i/>
          <w:iCs/>
        </w:rPr>
        <w:t>The Economic Journal</w:t>
      </w:r>
      <w:r w:rsidRPr="000D728A">
        <w:rPr>
          <w:rFonts w:cs="Arial"/>
        </w:rPr>
        <w:t xml:space="preserve"> 114: 641–659.</w:t>
      </w:r>
    </w:p>
    <w:p w14:paraId="5778E956" w14:textId="77777777" w:rsidR="00B72AB2" w:rsidRPr="000D728A" w:rsidRDefault="00B72AB2" w:rsidP="00B72AB2">
      <w:pPr>
        <w:pStyle w:val="Bibliography"/>
        <w:rPr>
          <w:rFonts w:cs="Arial"/>
        </w:rPr>
      </w:pPr>
      <w:r w:rsidRPr="000D728A">
        <w:rPr>
          <w:rFonts w:cs="Arial"/>
        </w:rPr>
        <w:t>Fujiwara, D. 2013(a). “Museums and Happiness: The Value of Participating in Museums and the Arts”. Forthcoming report for the Happy Museums Project.</w:t>
      </w:r>
    </w:p>
    <w:p w14:paraId="5778E957" w14:textId="77777777" w:rsidR="00B72AB2" w:rsidRPr="000D728A" w:rsidRDefault="00B72AB2" w:rsidP="00B72AB2">
      <w:pPr>
        <w:pStyle w:val="Bibliography"/>
        <w:rPr>
          <w:rFonts w:cs="Arial"/>
        </w:rPr>
      </w:pPr>
      <w:r w:rsidRPr="000D728A">
        <w:rPr>
          <w:rFonts w:cs="Arial"/>
        </w:rPr>
        <w:t xml:space="preserve">Fujiwara, D. 2013 (b). “The Social Impact of Housing Providers.” </w:t>
      </w:r>
      <w:r w:rsidRPr="000D728A">
        <w:rPr>
          <w:rFonts w:cs="Arial"/>
          <w:i/>
          <w:iCs/>
        </w:rPr>
        <w:t>HACT</w:t>
      </w:r>
      <w:r w:rsidRPr="000D728A">
        <w:rPr>
          <w:rFonts w:cs="Arial"/>
        </w:rPr>
        <w:t>.</w:t>
      </w:r>
    </w:p>
    <w:p w14:paraId="5778E958" w14:textId="77777777" w:rsidR="00B72AB2" w:rsidRPr="000D728A" w:rsidRDefault="00B72AB2" w:rsidP="00B72AB2">
      <w:pPr>
        <w:rPr>
          <w:rFonts w:cs="Arial"/>
        </w:rPr>
      </w:pPr>
      <w:r w:rsidRPr="000D728A">
        <w:rPr>
          <w:rFonts w:cs="Arial"/>
        </w:rPr>
        <w:t>Fujiwara, D. 2013 (c). Museums and Happiness: The value of participating in museums and the arts. The Happy Museum Project publication.</w:t>
      </w:r>
    </w:p>
    <w:p w14:paraId="5778E959" w14:textId="77777777" w:rsidR="00B72AB2" w:rsidRPr="000D728A" w:rsidRDefault="00B72AB2" w:rsidP="00B72AB2">
      <w:pPr>
        <w:pStyle w:val="Bibliography"/>
        <w:rPr>
          <w:rFonts w:cs="Arial"/>
        </w:rPr>
      </w:pPr>
      <w:r w:rsidRPr="000D728A">
        <w:rPr>
          <w:rFonts w:cs="Arial"/>
        </w:rPr>
        <w:t xml:space="preserve">Fujiwara, D., and R. Campbell. 2011. </w:t>
      </w:r>
      <w:r w:rsidRPr="000D728A">
        <w:rPr>
          <w:rFonts w:cs="Arial"/>
          <w:i/>
          <w:iCs/>
        </w:rPr>
        <w:t>Valuation Techniques for Social Cost-Benefit Analysis: Stated Preference, Revealed Preference and Subjective Well-Being Approaches</w:t>
      </w:r>
      <w:r w:rsidRPr="000D728A">
        <w:rPr>
          <w:rFonts w:cs="Arial"/>
        </w:rPr>
        <w:t>.</w:t>
      </w:r>
    </w:p>
    <w:p w14:paraId="5778E95A" w14:textId="77777777" w:rsidR="00B72AB2" w:rsidRPr="000D728A" w:rsidRDefault="00B72AB2" w:rsidP="00B72AB2">
      <w:pPr>
        <w:pStyle w:val="Bibliography"/>
        <w:rPr>
          <w:rFonts w:cs="Arial"/>
        </w:rPr>
      </w:pPr>
      <w:r w:rsidRPr="000D728A">
        <w:rPr>
          <w:rFonts w:cs="Arial"/>
        </w:rPr>
        <w:t xml:space="preserve">Gardner, Jonathan, and Andrew J. Oswald. 2007. “Money and Mental Wellbeing: A Longitudinal Study of Medium-sized Lottery Wins.” </w:t>
      </w:r>
      <w:r w:rsidRPr="000D728A">
        <w:rPr>
          <w:rFonts w:cs="Arial"/>
          <w:i/>
          <w:iCs/>
        </w:rPr>
        <w:t>Journal of Health Economics</w:t>
      </w:r>
      <w:r w:rsidRPr="000D728A">
        <w:rPr>
          <w:rFonts w:cs="Arial"/>
        </w:rPr>
        <w:t xml:space="preserve"> 26 (1): 49–60.</w:t>
      </w:r>
    </w:p>
    <w:p w14:paraId="5778E95B" w14:textId="77777777" w:rsidR="00B72AB2" w:rsidRPr="000D728A" w:rsidRDefault="00B72AB2" w:rsidP="00B72AB2">
      <w:pPr>
        <w:pStyle w:val="Bibliography"/>
        <w:rPr>
          <w:rFonts w:cs="Arial"/>
        </w:rPr>
      </w:pPr>
      <w:r w:rsidRPr="000D728A">
        <w:rPr>
          <w:rFonts w:cs="Arial"/>
        </w:rPr>
        <w:t xml:space="preserve">Heuvel, S. G. van den, H. C. Boshuizen, V. H. Hildebrandt, B. M. Blatter, G. A. Ariëns, and P. M. Bongers. 2005. “Effect of Sporting Activity on Absenteeism in a Working Population.” </w:t>
      </w:r>
      <w:r w:rsidRPr="000D728A">
        <w:rPr>
          <w:rFonts w:cs="Arial"/>
          <w:i/>
          <w:iCs/>
        </w:rPr>
        <w:t>British Journal of Sports Medicine</w:t>
      </w:r>
      <w:r w:rsidRPr="000D728A">
        <w:rPr>
          <w:rFonts w:cs="Arial"/>
        </w:rPr>
        <w:t xml:space="preserve"> 39 (3) (March 1): e15–e15. doi:10.1136/bjsm.2004.013052.</w:t>
      </w:r>
    </w:p>
    <w:p w14:paraId="5778E95C" w14:textId="77777777" w:rsidR="00B72AB2" w:rsidRPr="000D728A" w:rsidRDefault="00B72AB2" w:rsidP="00B72AB2">
      <w:pPr>
        <w:pStyle w:val="Bibliography"/>
        <w:rPr>
          <w:rFonts w:cs="Arial"/>
        </w:rPr>
      </w:pPr>
      <w:r w:rsidRPr="000D728A">
        <w:rPr>
          <w:rFonts w:cs="Arial"/>
        </w:rPr>
        <w:t xml:space="preserve">Hicks, J. R., and R. G. D. Allen. 1934. “A Reconsideration of the Theory of Value. Part I.” </w:t>
      </w:r>
      <w:r w:rsidRPr="000D728A">
        <w:rPr>
          <w:rFonts w:cs="Arial"/>
          <w:i/>
          <w:iCs/>
        </w:rPr>
        <w:t>Economica</w:t>
      </w:r>
      <w:r w:rsidRPr="000D728A">
        <w:rPr>
          <w:rFonts w:cs="Arial"/>
        </w:rPr>
        <w:t xml:space="preserve"> 1 (1): 52–76.</w:t>
      </w:r>
    </w:p>
    <w:p w14:paraId="5778E95D" w14:textId="77777777" w:rsidR="00B72AB2" w:rsidRPr="000D728A" w:rsidRDefault="00B72AB2" w:rsidP="00B72AB2">
      <w:pPr>
        <w:pStyle w:val="Bibliography"/>
        <w:rPr>
          <w:rFonts w:cs="Arial"/>
        </w:rPr>
      </w:pPr>
      <w:r w:rsidRPr="000D728A">
        <w:rPr>
          <w:rFonts w:cs="Arial"/>
        </w:rPr>
        <w:t>HM Treasury 2003, updated 2011. “The Green Book: Appraisal and Evaluation in Central Government.” http://www.hm-treasury.gov.uk/data_greenbook_index.htm.</w:t>
      </w:r>
    </w:p>
    <w:p w14:paraId="5778E95E" w14:textId="77777777" w:rsidR="00B72AB2" w:rsidRPr="000D728A" w:rsidRDefault="00B72AB2" w:rsidP="00B72AB2">
      <w:pPr>
        <w:pStyle w:val="Bibliography"/>
        <w:rPr>
          <w:rFonts w:cs="Arial"/>
        </w:rPr>
      </w:pPr>
      <w:r w:rsidRPr="000D728A">
        <w:rPr>
          <w:rFonts w:cs="Arial"/>
        </w:rPr>
        <w:t xml:space="preserve">Jeannotte, M. Sharon. 2003. “Singing Alone? The Contribution of Cultural Capital to Social Cohesion and Sustainable Communities.” </w:t>
      </w:r>
      <w:r w:rsidRPr="000D728A">
        <w:rPr>
          <w:rFonts w:cs="Arial"/>
          <w:i/>
          <w:iCs/>
        </w:rPr>
        <w:t>The International Journal of Cultural Policy</w:t>
      </w:r>
      <w:r w:rsidRPr="000D728A">
        <w:rPr>
          <w:rFonts w:cs="Arial"/>
        </w:rPr>
        <w:t xml:space="preserve"> 9 (1): 35–49.</w:t>
      </w:r>
    </w:p>
    <w:p w14:paraId="5778E95F" w14:textId="77777777" w:rsidR="00B72AB2" w:rsidRPr="000D728A" w:rsidRDefault="00B72AB2" w:rsidP="00B72AB2">
      <w:pPr>
        <w:pStyle w:val="Bibliography"/>
        <w:rPr>
          <w:rFonts w:cs="Arial"/>
        </w:rPr>
      </w:pPr>
      <w:r w:rsidRPr="000D728A">
        <w:rPr>
          <w:rFonts w:cs="Arial"/>
        </w:rPr>
        <w:t xml:space="preserve">Konlaan, BB, N Björby, LO Bygren, G Weissglas, LG Karlsson, and M Widmark. 2000. “Attendance at Cultural Events and Physical Exercise and Health: a Randomized Controlled Study.” </w:t>
      </w:r>
      <w:r w:rsidRPr="000D728A">
        <w:rPr>
          <w:rFonts w:cs="Arial"/>
          <w:i/>
          <w:iCs/>
        </w:rPr>
        <w:t>Public Health</w:t>
      </w:r>
      <w:r w:rsidRPr="000D728A">
        <w:rPr>
          <w:rFonts w:cs="Arial"/>
        </w:rPr>
        <w:t xml:space="preserve"> 114 (5) (September): 316–319. doi:10.1038/sj.ph.1900670.</w:t>
      </w:r>
    </w:p>
    <w:p w14:paraId="5778E960" w14:textId="77777777" w:rsidR="00B72AB2" w:rsidRPr="000D728A" w:rsidRDefault="00B72AB2" w:rsidP="00B72AB2">
      <w:pPr>
        <w:pStyle w:val="Bibliography"/>
        <w:rPr>
          <w:rFonts w:cs="Arial"/>
        </w:rPr>
      </w:pPr>
      <w:r w:rsidRPr="000D728A">
        <w:rPr>
          <w:rFonts w:cs="Arial"/>
        </w:rPr>
        <w:t xml:space="preserve">Krueger, Alan B., and David A. Schkade. 2008. “The Reliability of Subjective Well-being Measures.” </w:t>
      </w:r>
      <w:r w:rsidRPr="000D728A">
        <w:rPr>
          <w:rFonts w:cs="Arial"/>
          <w:i/>
          <w:iCs/>
        </w:rPr>
        <w:t>Journal of Public Economics</w:t>
      </w:r>
      <w:r w:rsidRPr="000D728A">
        <w:rPr>
          <w:rFonts w:cs="Arial"/>
        </w:rPr>
        <w:t xml:space="preserve"> 92 (8-9): 1833–1845.</w:t>
      </w:r>
    </w:p>
    <w:p w14:paraId="5778E961" w14:textId="77777777" w:rsidR="00B72AB2" w:rsidRPr="000D728A" w:rsidRDefault="00B72AB2" w:rsidP="00B72AB2">
      <w:pPr>
        <w:pStyle w:val="Bibliography"/>
        <w:rPr>
          <w:rFonts w:cs="Arial"/>
        </w:rPr>
      </w:pPr>
      <w:r w:rsidRPr="000D728A">
        <w:rPr>
          <w:rFonts w:cs="Arial"/>
        </w:rPr>
        <w:t xml:space="preserve">Krustrup, P., J. J. Nielsen, B. R. Krustrup, J. F. Christensen, H. Pedersen, M. B. Randers, P. Aagaard, A.-M. Petersen, L. Nybo, and J. Bangsbo. 2009. “Recreational Soccer Is an Effective Health-promoting Activity for </w:t>
      </w:r>
      <w:r w:rsidRPr="000D728A">
        <w:rPr>
          <w:rFonts w:cs="Arial"/>
        </w:rPr>
        <w:lastRenderedPageBreak/>
        <w:t xml:space="preserve">Untrained Men.” </w:t>
      </w:r>
      <w:r w:rsidRPr="000D728A">
        <w:rPr>
          <w:rFonts w:cs="Arial"/>
          <w:i/>
          <w:iCs/>
        </w:rPr>
        <w:t>British Journal of Sports Medicine</w:t>
      </w:r>
      <w:r w:rsidRPr="000D728A">
        <w:rPr>
          <w:rFonts w:cs="Arial"/>
        </w:rPr>
        <w:t xml:space="preserve"> 43 (11) (October 1): 825–831. doi:10.1136/bjsm.2008.053124.</w:t>
      </w:r>
    </w:p>
    <w:p w14:paraId="5778E962" w14:textId="77777777" w:rsidR="00B72AB2" w:rsidRPr="000D728A" w:rsidRDefault="00B72AB2" w:rsidP="00B72AB2">
      <w:pPr>
        <w:pStyle w:val="Bibliography"/>
        <w:rPr>
          <w:rFonts w:cs="Arial"/>
        </w:rPr>
      </w:pPr>
      <w:r w:rsidRPr="000D728A">
        <w:rPr>
          <w:rFonts w:cs="Arial"/>
        </w:rPr>
        <w:t xml:space="preserve">Lindahl, M. 2002. “Estimating the Effect of Income on Health and Mortality Using Lottery Prizes as Exogenous Source of Variation in Income.” </w:t>
      </w:r>
      <w:r w:rsidRPr="000D728A">
        <w:rPr>
          <w:rFonts w:cs="Arial"/>
          <w:i/>
          <w:iCs/>
        </w:rPr>
        <w:t>IZA Discussion Paper</w:t>
      </w:r>
      <w:r w:rsidRPr="000D728A">
        <w:rPr>
          <w:rFonts w:cs="Arial"/>
        </w:rPr>
        <w:t xml:space="preserve"> 442.</w:t>
      </w:r>
    </w:p>
    <w:p w14:paraId="5778E963" w14:textId="77777777" w:rsidR="00B72AB2" w:rsidRPr="000D728A" w:rsidRDefault="00B72AB2" w:rsidP="00B72AB2">
      <w:pPr>
        <w:pStyle w:val="Bibliography"/>
        <w:rPr>
          <w:rFonts w:cs="Arial"/>
        </w:rPr>
      </w:pPr>
      <w:r w:rsidRPr="000D728A">
        <w:rPr>
          <w:rFonts w:cs="Arial"/>
        </w:rPr>
        <w:t xml:space="preserve">Lopez, Mark Hugo, and Kimberlee Moore. 2006. “Participation in Sports and Civic Engagement.” </w:t>
      </w:r>
      <w:r w:rsidRPr="000D728A">
        <w:rPr>
          <w:rFonts w:cs="Arial"/>
          <w:i/>
          <w:iCs/>
        </w:rPr>
        <w:t>The Center for Information &amp; Research on Civic Learning &amp; Engagement</w:t>
      </w:r>
      <w:r w:rsidRPr="000D728A">
        <w:rPr>
          <w:rFonts w:cs="Arial"/>
        </w:rPr>
        <w:t>. http://civicyouth.org/PopUps/FactSheets/FS_06_Sports_and_Civic_Engagement.pdf.</w:t>
      </w:r>
    </w:p>
    <w:p w14:paraId="5778E964" w14:textId="77777777" w:rsidR="00B72AB2" w:rsidRPr="000D728A" w:rsidRDefault="00B72AB2" w:rsidP="00B72AB2">
      <w:pPr>
        <w:pStyle w:val="Bibliography"/>
        <w:rPr>
          <w:rFonts w:cs="Arial"/>
        </w:rPr>
      </w:pPr>
      <w:r w:rsidRPr="000D728A">
        <w:rPr>
          <w:rFonts w:cs="Arial"/>
        </w:rPr>
        <w:t>Matarasso, F, and S. Halls. 1998. “Vital Signs: Mapping Community Arts in Belfast”. Stroud, Comedia.</w:t>
      </w:r>
    </w:p>
    <w:p w14:paraId="5778E965" w14:textId="77777777" w:rsidR="00B72AB2" w:rsidRPr="000D728A" w:rsidRDefault="00B72AB2" w:rsidP="00B72AB2">
      <w:pPr>
        <w:pStyle w:val="Bibliography"/>
        <w:rPr>
          <w:rFonts w:cs="Arial"/>
        </w:rPr>
      </w:pPr>
      <w:r w:rsidRPr="000D728A">
        <w:rPr>
          <w:rFonts w:cs="Arial"/>
        </w:rPr>
        <w:t xml:space="preserve">Matarasso, Francois. 1996. </w:t>
      </w:r>
      <w:r w:rsidRPr="000D728A">
        <w:rPr>
          <w:rFonts w:cs="Arial"/>
          <w:i/>
          <w:iCs/>
        </w:rPr>
        <w:t>Northern Lights: The Social Impact of the Feisean (Gaelic Festivals)</w:t>
      </w:r>
      <w:r w:rsidRPr="000D728A">
        <w:rPr>
          <w:rFonts w:cs="Arial"/>
        </w:rPr>
        <w:t>. Comedia Publications Limited.</w:t>
      </w:r>
    </w:p>
    <w:p w14:paraId="5778E966" w14:textId="77777777" w:rsidR="00B72AB2" w:rsidRPr="000D728A" w:rsidRDefault="00B72AB2" w:rsidP="00B72AB2">
      <w:pPr>
        <w:pStyle w:val="Bibliography"/>
        <w:rPr>
          <w:rFonts w:cs="Arial"/>
        </w:rPr>
      </w:pPr>
      <w:r w:rsidRPr="000D728A">
        <w:rPr>
          <w:rFonts w:cs="Arial"/>
        </w:rPr>
        <w:t xml:space="preserve">———. 1997. </w:t>
      </w:r>
      <w:r w:rsidRPr="000D728A">
        <w:rPr>
          <w:rFonts w:cs="Arial"/>
          <w:i/>
          <w:iCs/>
        </w:rPr>
        <w:t>Use or Ornament? the Social Impact of Participation in the Arts.</w:t>
      </w:r>
      <w:r w:rsidRPr="000D728A">
        <w:rPr>
          <w:rFonts w:cs="Arial"/>
        </w:rPr>
        <w:t xml:space="preserve"> Comedia Publishing Group. http://www.cabdirect.org/abstracts/19971807617.html.</w:t>
      </w:r>
    </w:p>
    <w:p w14:paraId="5778E967" w14:textId="77777777" w:rsidR="00B72AB2" w:rsidRPr="000D728A" w:rsidRDefault="00B72AB2" w:rsidP="00B72AB2">
      <w:pPr>
        <w:pStyle w:val="Bibliography"/>
        <w:rPr>
          <w:rFonts w:cs="Arial"/>
        </w:rPr>
      </w:pPr>
      <w:r w:rsidRPr="000D728A">
        <w:rPr>
          <w:rFonts w:cs="Arial"/>
        </w:rPr>
        <w:t xml:space="preserve">Murphy, Simon Mark, Rhiannon Tudor Edwards, Nefyn Williams, Larry Raisanen, Graham Moore, Pat Linck, Natalia Hounsome, Nafees Ud Din, and Laurence Moore. 2012. “An Evaluation of the Effectiveness and Cost Effectiveness of the National Exercise Referral Scheme in Wales, UK: a Randomised Controlled Trial of a Public Health Policy Initiative.” </w:t>
      </w:r>
      <w:r w:rsidRPr="000D728A">
        <w:rPr>
          <w:rFonts w:cs="Arial"/>
          <w:i/>
          <w:iCs/>
        </w:rPr>
        <w:t>Journal of Epidemiology and Community Health</w:t>
      </w:r>
      <w:r w:rsidRPr="000D728A">
        <w:rPr>
          <w:rFonts w:cs="Arial"/>
        </w:rPr>
        <w:t xml:space="preserve"> 66 (8) (August 1): 745–753. doi:10.1136/jech-2011-200689.</w:t>
      </w:r>
    </w:p>
    <w:p w14:paraId="5778E968" w14:textId="77777777" w:rsidR="00B72AB2" w:rsidRPr="000D728A" w:rsidRDefault="00B72AB2" w:rsidP="00B72AB2">
      <w:pPr>
        <w:pStyle w:val="Bibliography"/>
        <w:rPr>
          <w:rFonts w:cs="Arial"/>
        </w:rPr>
      </w:pPr>
      <w:r w:rsidRPr="000D728A">
        <w:rPr>
          <w:rFonts w:cs="Arial"/>
        </w:rPr>
        <w:t xml:space="preserve">Nichols, Bonnie. 2005. </w:t>
      </w:r>
      <w:r w:rsidRPr="000D728A">
        <w:rPr>
          <w:rFonts w:cs="Arial"/>
          <w:i/>
          <w:iCs/>
        </w:rPr>
        <w:t>Arts and Leisure Activities: Evidence from the 2002 Survey of Public Participation in the Arts</w:t>
      </w:r>
      <w:r w:rsidRPr="000D728A">
        <w:rPr>
          <w:rFonts w:cs="Arial"/>
        </w:rPr>
        <w:t>. National Endowment for the Arts. http://arts.endow.gov/research/Notes/89.pdf.</w:t>
      </w:r>
    </w:p>
    <w:p w14:paraId="5778E969" w14:textId="77777777" w:rsidR="00B72AB2" w:rsidRPr="000D728A" w:rsidRDefault="00B72AB2" w:rsidP="00B72AB2">
      <w:pPr>
        <w:pStyle w:val="Bibliography"/>
        <w:rPr>
          <w:rFonts w:cs="Arial"/>
        </w:rPr>
      </w:pPr>
      <w:r w:rsidRPr="000D728A">
        <w:rPr>
          <w:rFonts w:cs="Arial"/>
        </w:rPr>
        <w:t xml:space="preserve">———. 2007. “Volunteering and Performing Arts Attendance: More Evidence from the SPPA.” </w:t>
      </w:r>
      <w:r w:rsidRPr="000D728A">
        <w:rPr>
          <w:rFonts w:cs="Arial"/>
          <w:i/>
          <w:iCs/>
        </w:rPr>
        <w:t>National Endowment for the Arts</w:t>
      </w:r>
      <w:r w:rsidRPr="000D728A">
        <w:rPr>
          <w:rFonts w:cs="Arial"/>
        </w:rPr>
        <w:t>. http://www.nea.gov/research/notes/94.pdf.</w:t>
      </w:r>
    </w:p>
    <w:p w14:paraId="5778E96A" w14:textId="77777777" w:rsidR="00B72AB2" w:rsidRPr="000D728A" w:rsidRDefault="00B72AB2" w:rsidP="00B72AB2">
      <w:pPr>
        <w:rPr>
          <w:rFonts w:cs="Arial"/>
        </w:rPr>
      </w:pPr>
      <w:r w:rsidRPr="000D728A">
        <w:rPr>
          <w:rFonts w:cs="Arial"/>
        </w:rPr>
        <w:t>Office for National Statistics, 2013. "Middle Income Households, 1977-2010/11". http://www.ons.gov.uk/ons/dcp171776_303386.pdf.</w:t>
      </w:r>
    </w:p>
    <w:p w14:paraId="5778E96B" w14:textId="77777777" w:rsidR="00B72AB2" w:rsidRPr="000D728A" w:rsidRDefault="00B72AB2" w:rsidP="00B72AB2">
      <w:pPr>
        <w:pStyle w:val="Bibliography"/>
        <w:rPr>
          <w:rFonts w:cs="Arial"/>
        </w:rPr>
      </w:pPr>
      <w:r w:rsidRPr="000D728A">
        <w:rPr>
          <w:rFonts w:cs="Arial"/>
        </w:rPr>
        <w:t xml:space="preserve">Pischke, J. 2010. “Money and Happiness: Evidence from the Industry Wage Structure.” </w:t>
      </w:r>
      <w:r w:rsidRPr="000D728A">
        <w:rPr>
          <w:rFonts w:cs="Arial"/>
          <w:i/>
          <w:iCs/>
        </w:rPr>
        <w:t>CEP Discussion Papers</w:t>
      </w:r>
      <w:r w:rsidRPr="000D728A">
        <w:rPr>
          <w:rFonts w:cs="Arial"/>
        </w:rPr>
        <w:t xml:space="preserve"> CEPDP1051.</w:t>
      </w:r>
    </w:p>
    <w:p w14:paraId="5778E96C" w14:textId="77777777" w:rsidR="00B72AB2" w:rsidRPr="000D728A" w:rsidRDefault="00B72AB2" w:rsidP="00B72AB2">
      <w:pPr>
        <w:pStyle w:val="Bibliography"/>
        <w:rPr>
          <w:rFonts w:cs="Arial"/>
        </w:rPr>
      </w:pPr>
      <w:r w:rsidRPr="000D728A">
        <w:rPr>
          <w:rFonts w:cs="Arial"/>
        </w:rPr>
        <w:t xml:space="preserve">Renton, A., G. Phillips, N. Daykin, G. Yu, K. Taylor, and M. Petticrew. 2012. “Think of Your Art-eries: Arts Participation, Behavioural Cardiovascular Risk Factors and Mental Well-being in Deprived Communities in London.” </w:t>
      </w:r>
      <w:r w:rsidRPr="000D728A">
        <w:rPr>
          <w:rFonts w:cs="Arial"/>
          <w:i/>
          <w:iCs/>
        </w:rPr>
        <w:t>Public Health</w:t>
      </w:r>
      <w:r w:rsidRPr="000D728A">
        <w:rPr>
          <w:rFonts w:cs="Arial"/>
        </w:rPr>
        <w:t xml:space="preserve"> 126, Supplement 1 (September 1): S57–S64. doi:10.1016/j.puhe.2012.05.025.</w:t>
      </w:r>
    </w:p>
    <w:p w14:paraId="5778E96D" w14:textId="77777777" w:rsidR="00B72AB2" w:rsidRPr="000D728A" w:rsidRDefault="00B72AB2" w:rsidP="00B72AB2">
      <w:pPr>
        <w:pStyle w:val="Bibliography"/>
        <w:rPr>
          <w:rFonts w:cs="Arial"/>
        </w:rPr>
      </w:pPr>
      <w:r w:rsidRPr="000D728A">
        <w:rPr>
          <w:rFonts w:cs="Arial"/>
        </w:rPr>
        <w:t>Ruuskanen, Timo. 2013. “Statistics Finland - Adult Education Survey 2006.” Accessed February 17. http://www.stat.fi/til/aku/2006/05/aku_2006_05_2010-02-04_tie_002_en.html.</w:t>
      </w:r>
    </w:p>
    <w:p w14:paraId="5778E96E" w14:textId="77777777" w:rsidR="00B72AB2" w:rsidRPr="000D728A" w:rsidRDefault="00B72AB2" w:rsidP="00B72AB2">
      <w:pPr>
        <w:pStyle w:val="Bibliography"/>
        <w:rPr>
          <w:rFonts w:cs="Arial"/>
        </w:rPr>
      </w:pPr>
      <w:r w:rsidRPr="000D728A">
        <w:rPr>
          <w:rFonts w:cs="Arial"/>
        </w:rPr>
        <w:t xml:space="preserve">Sabia, S., Al Dugravot, M. Kivimaki, E. Brunner, M. Shipley and A. Singh-Manoux. 2012. “Effect of Intensity and Type of Physical Activity on Mortality: Results from the Whitehall II Cohort Study.” </w:t>
      </w:r>
      <w:r w:rsidRPr="000D728A">
        <w:rPr>
          <w:rFonts w:cs="Arial"/>
          <w:i/>
          <w:iCs/>
        </w:rPr>
        <w:t>Journal Information</w:t>
      </w:r>
      <w:r w:rsidRPr="000D728A">
        <w:rPr>
          <w:rFonts w:cs="Arial"/>
        </w:rPr>
        <w:t xml:space="preserve"> </w:t>
      </w:r>
      <w:r w:rsidRPr="000D728A">
        <w:rPr>
          <w:rFonts w:cs="Arial"/>
        </w:rPr>
        <w:lastRenderedPageBreak/>
        <w:t>102 (4). http://ajph.aphapublications.org/doi/abs/10.2105/AJPH.2011.300257.</w:t>
      </w:r>
    </w:p>
    <w:p w14:paraId="5778E96F" w14:textId="77777777" w:rsidR="00B72AB2" w:rsidRPr="000D728A" w:rsidRDefault="00B72AB2" w:rsidP="00B72AB2">
      <w:pPr>
        <w:pStyle w:val="Bibliography"/>
        <w:rPr>
          <w:rFonts w:cs="Arial"/>
        </w:rPr>
      </w:pPr>
      <w:r w:rsidRPr="000D728A">
        <w:rPr>
          <w:rFonts w:cs="Arial"/>
        </w:rPr>
        <w:t xml:space="preserve">Sandvik, Ed, Ed Diener, and Larry Seidlitz. 1993. “Subjective Well-Being: The Convergence and Stability of Self-Report and Non-Self-Report Measures.” </w:t>
      </w:r>
      <w:r w:rsidRPr="000D728A">
        <w:rPr>
          <w:rFonts w:cs="Arial"/>
          <w:i/>
          <w:iCs/>
        </w:rPr>
        <w:t>Journal of Personality</w:t>
      </w:r>
      <w:r w:rsidRPr="000D728A">
        <w:rPr>
          <w:rFonts w:cs="Arial"/>
        </w:rPr>
        <w:t xml:space="preserve"> 61 (3): 317–342.</w:t>
      </w:r>
    </w:p>
    <w:p w14:paraId="5778E970" w14:textId="77777777" w:rsidR="00B72AB2" w:rsidRPr="000D728A" w:rsidRDefault="00B72AB2" w:rsidP="00B72AB2">
      <w:pPr>
        <w:pStyle w:val="Bibliography"/>
        <w:rPr>
          <w:rFonts w:cs="Arial"/>
        </w:rPr>
      </w:pPr>
      <w:r w:rsidRPr="000D728A">
        <w:rPr>
          <w:rFonts w:cs="Arial"/>
        </w:rPr>
        <w:t xml:space="preserve">Sargant, Naomi, and Fiona Aldridge. 2002. </w:t>
      </w:r>
      <w:r w:rsidRPr="000D728A">
        <w:rPr>
          <w:rFonts w:cs="Arial"/>
          <w:i/>
          <w:iCs/>
        </w:rPr>
        <w:t>Adult Learning and Social Division: a Persistent Pattern</w:t>
      </w:r>
      <w:r w:rsidRPr="000D728A">
        <w:rPr>
          <w:rFonts w:cs="Arial"/>
        </w:rPr>
        <w:t>. Vol. 1. NIACE Leicester. http://www.niace.org.uk/sites/default/files/documents/publications/5.33-Adult-learning-and-social-division-Vol-1.pdf.</w:t>
      </w:r>
    </w:p>
    <w:p w14:paraId="5778E971" w14:textId="77777777" w:rsidR="00B72AB2" w:rsidRPr="000D728A" w:rsidRDefault="00B72AB2" w:rsidP="00B72AB2">
      <w:pPr>
        <w:pStyle w:val="Bibliography"/>
        <w:rPr>
          <w:rFonts w:cs="Arial"/>
        </w:rPr>
      </w:pPr>
      <w:r w:rsidRPr="000D728A">
        <w:rPr>
          <w:rFonts w:cs="Arial"/>
        </w:rPr>
        <w:t xml:space="preserve">Schwerdt, Guido, Dolores Messer, Ludger Woessmann, and Stefan C. Wolter. 2012. “The Impact of an Adult Education Voucher Program: Evidence from a Randomized Field Experiment.” </w:t>
      </w:r>
      <w:r w:rsidRPr="000D728A">
        <w:rPr>
          <w:rFonts w:cs="Arial"/>
          <w:i/>
          <w:iCs/>
        </w:rPr>
        <w:t>Journal of Public Economics</w:t>
      </w:r>
      <w:r w:rsidRPr="000D728A">
        <w:rPr>
          <w:rFonts w:cs="Arial"/>
        </w:rPr>
        <w:t xml:space="preserve"> 96 (7–8) (August): 569–583. doi:10.1016/j.jpubeco.2012.03.001.</w:t>
      </w:r>
    </w:p>
    <w:p w14:paraId="5778E972" w14:textId="77777777" w:rsidR="00B72AB2" w:rsidRPr="000D728A" w:rsidRDefault="00B72AB2" w:rsidP="00B72AB2">
      <w:pPr>
        <w:pStyle w:val="Bibliography"/>
        <w:rPr>
          <w:rFonts w:cs="Arial"/>
        </w:rPr>
      </w:pPr>
      <w:r w:rsidRPr="000D728A">
        <w:rPr>
          <w:rFonts w:cs="Arial"/>
        </w:rPr>
        <w:t xml:space="preserve">Tsiotsou, Rodoula. 1998. “Motivations for Donation to Athletic Programs.” </w:t>
      </w:r>
      <w:r w:rsidRPr="000D728A">
        <w:rPr>
          <w:rFonts w:cs="Arial"/>
          <w:i/>
          <w:iCs/>
        </w:rPr>
        <w:t>The Cyber-Journal of Sport Marketing</w:t>
      </w:r>
      <w:r w:rsidRPr="000D728A">
        <w:rPr>
          <w:rFonts w:cs="Arial"/>
        </w:rPr>
        <w:t xml:space="preserve"> 2 (2): 1–13.</w:t>
      </w:r>
    </w:p>
    <w:p w14:paraId="5778E973" w14:textId="77777777" w:rsidR="00B72AB2" w:rsidRPr="000D728A" w:rsidRDefault="00B72AB2" w:rsidP="00B72AB2">
      <w:pPr>
        <w:pStyle w:val="Bibliography"/>
        <w:rPr>
          <w:rFonts w:cs="Arial"/>
        </w:rPr>
      </w:pPr>
      <w:r w:rsidRPr="000D728A">
        <w:rPr>
          <w:rFonts w:cs="Arial"/>
        </w:rPr>
        <w:t xml:space="preserve">Urry, Heather L., Jack B. Nitschke, Isa Dolski, Daren C. Jackson, Kim M. Dalton, Corrina J. Mueller, Melissa A. Rosenkranz, Carol D. Ryff, H. Singer Burton, and Richard J. Davidson. 2004. “Making a Life Worth Living: Neural Correlates of Well-Being.” </w:t>
      </w:r>
      <w:r w:rsidRPr="000D728A">
        <w:rPr>
          <w:rFonts w:cs="Arial"/>
          <w:i/>
          <w:iCs/>
        </w:rPr>
        <w:t>Psychological Science</w:t>
      </w:r>
      <w:r w:rsidRPr="000D728A">
        <w:rPr>
          <w:rFonts w:cs="Arial"/>
        </w:rPr>
        <w:t xml:space="preserve"> 15 (6): 367–372.</w:t>
      </w:r>
    </w:p>
    <w:p w14:paraId="5778E974" w14:textId="77777777" w:rsidR="00B72AB2" w:rsidRPr="000D728A" w:rsidRDefault="00B72AB2" w:rsidP="00B72AB2">
      <w:pPr>
        <w:pStyle w:val="Bibliography"/>
        <w:rPr>
          <w:rFonts w:cs="Arial"/>
        </w:rPr>
      </w:pPr>
      <w:r w:rsidRPr="000D728A">
        <w:rPr>
          <w:rFonts w:cs="Arial"/>
        </w:rPr>
        <w:t xml:space="preserve">Williams, Deidre. 1997. “How the Arts Measure Up: Australian Research into Social Impact.” </w:t>
      </w:r>
      <w:r w:rsidRPr="000D728A">
        <w:rPr>
          <w:rFonts w:cs="Arial"/>
          <w:i/>
          <w:iCs/>
        </w:rPr>
        <w:t>The Social Impact of Arts Programmes, Working Paper</w:t>
      </w:r>
      <w:r w:rsidRPr="000D728A">
        <w:rPr>
          <w:rFonts w:cs="Arial"/>
        </w:rPr>
        <w:t xml:space="preserve"> 8. http://www.opengrey.eu/item/display/10068/376885.</w:t>
      </w:r>
    </w:p>
    <w:p w14:paraId="5778E975" w14:textId="77777777" w:rsidR="00B72AB2" w:rsidRPr="000D728A" w:rsidRDefault="00B72AB2" w:rsidP="00B72AB2">
      <w:pPr>
        <w:pStyle w:val="Bibliography"/>
        <w:rPr>
          <w:rFonts w:cs="Arial"/>
        </w:rPr>
      </w:pPr>
      <w:r w:rsidRPr="000D728A">
        <w:rPr>
          <w:rFonts w:cs="Arial"/>
        </w:rPr>
        <w:t xml:space="preserve">Wilson, T. D., and D. T. Gilbert. 2003. “Affective Forecasting.” </w:t>
      </w:r>
      <w:r w:rsidRPr="000D728A">
        <w:rPr>
          <w:rFonts w:cs="Arial"/>
          <w:i/>
          <w:iCs/>
        </w:rPr>
        <w:t>Advances in Experimental Social Psychology</w:t>
      </w:r>
      <w:r w:rsidRPr="000D728A">
        <w:rPr>
          <w:rFonts w:cs="Arial"/>
        </w:rPr>
        <w:t xml:space="preserve"> 35: 345–411.</w:t>
      </w:r>
    </w:p>
    <w:p w14:paraId="5778E976" w14:textId="77777777" w:rsidR="000B1FC6" w:rsidRPr="00D67C9B" w:rsidRDefault="000C3F5E" w:rsidP="00B72AB2">
      <w:pPr>
        <w:spacing w:before="0"/>
        <w:ind w:left="0"/>
        <w:rPr>
          <w:rFonts w:cs="Arial"/>
        </w:rPr>
      </w:pPr>
      <w:r w:rsidRPr="000D728A">
        <w:rPr>
          <w:rFonts w:cs="Arial"/>
        </w:rPr>
        <w:fldChar w:fldCharType="end"/>
      </w:r>
    </w:p>
    <w:p w14:paraId="5778E977" w14:textId="0FA3BF4E" w:rsidR="00125909" w:rsidRPr="00D67C9B" w:rsidRDefault="00BD592B" w:rsidP="0051143B">
      <w:pPr>
        <w:ind w:left="0"/>
        <w:rPr>
          <w:rFonts w:cs="Arial"/>
        </w:rPr>
      </w:pPr>
      <w:r w:rsidRPr="00D67C9B">
        <w:rPr>
          <w:rFonts w:cs="Arial"/>
          <w:noProof/>
        </w:rPr>
        <w:drawing>
          <wp:anchor distT="0" distB="0" distL="114300" distR="114300" simplePos="0" relativeHeight="251665920" behindDoc="0" locked="0" layoutInCell="0" allowOverlap="1" wp14:anchorId="5778E97C" wp14:editId="5778E97D">
            <wp:simplePos x="0" y="0"/>
            <wp:positionH relativeFrom="page">
              <wp:posOffset>504190</wp:posOffset>
            </wp:positionH>
            <wp:positionV relativeFrom="page">
              <wp:posOffset>8448675</wp:posOffset>
            </wp:positionV>
            <wp:extent cx="1638000" cy="1191600"/>
            <wp:effectExtent l="0" t="0" r="63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000" cy="1191600"/>
                    </a:xfrm>
                    <a:prstGeom prst="rect">
                      <a:avLst/>
                    </a:prstGeom>
                    <a:noFill/>
                    <a:ln>
                      <a:noFill/>
                    </a:ln>
                  </pic:spPr>
                </pic:pic>
              </a:graphicData>
            </a:graphic>
          </wp:anchor>
        </w:drawing>
      </w:r>
      <w:r w:rsidR="00A97CFB">
        <w:rPr>
          <w:rFonts w:cs="Arial"/>
          <w:noProof/>
        </w:rPr>
        <mc:AlternateContent>
          <mc:Choice Requires="wps">
            <w:drawing>
              <wp:anchor distT="0" distB="0" distL="114300" distR="114300" simplePos="0" relativeHeight="251658752" behindDoc="0" locked="0" layoutInCell="1" allowOverlap="1" wp14:anchorId="5778E97E" wp14:editId="473677EE">
                <wp:simplePos x="0" y="0"/>
                <wp:positionH relativeFrom="column">
                  <wp:posOffset>-107950</wp:posOffset>
                </wp:positionH>
                <wp:positionV relativeFrom="paragraph">
                  <wp:posOffset>8834120</wp:posOffset>
                </wp:positionV>
                <wp:extent cx="2520315" cy="687705"/>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687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78E9B6" w14:textId="77777777" w:rsidR="001008F7" w:rsidRPr="00E97289" w:rsidRDefault="001008F7" w:rsidP="00E97289">
                            <w:pPr>
                              <w:pStyle w:val="WebAddress"/>
                              <w:rPr>
                                <w:b w:val="0"/>
                              </w:rPr>
                            </w:pPr>
                            <w:r w:rsidRPr="00E97289">
                              <w:rPr>
                                <w:b w:val="0"/>
                              </w:rPr>
                              <w:t>4th Floor, 100 Parliament Street</w:t>
                            </w:r>
                          </w:p>
                          <w:p w14:paraId="5778E9B7" w14:textId="77777777" w:rsidR="001008F7" w:rsidRDefault="001008F7" w:rsidP="00E97289">
                            <w:pPr>
                              <w:pStyle w:val="WebAddress"/>
                              <w:rPr>
                                <w:b w:val="0"/>
                              </w:rPr>
                            </w:pPr>
                            <w:r w:rsidRPr="00E97289">
                              <w:rPr>
                                <w:b w:val="0"/>
                              </w:rPr>
                              <w:t>London SW1A 2BQ</w:t>
                            </w:r>
                          </w:p>
                          <w:p w14:paraId="5778E9B8" w14:textId="77777777" w:rsidR="001008F7" w:rsidRDefault="001008F7" w:rsidP="00E97289">
                            <w:pPr>
                              <w:pStyle w:val="WebAddress"/>
                            </w:pPr>
                            <w:r w:rsidRPr="00E97289">
                              <w:t>www.gov.uk/dcms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8.5pt;margin-top:695.6pt;width:198.45pt;height:5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" stroked="f">
                <v:textbox>
                  <w:txbxContent>
                    <w:p w14:paraId="5778E9B6" w14:textId="77777777" w:rsidR="001008F7" w:rsidRPr="00E97289" w:rsidRDefault="001008F7" w:rsidP="00E97289">
                      <w:pPr>
                        <w:pStyle w:val="WebAddress"/>
                        <w:rPr>
                          <w:b w:val="0"/>
                        </w:rPr>
                      </w:pPr>
                      <w:r w:rsidRPr="00E97289">
                        <w:rPr>
                          <w:b w:val="0"/>
                        </w:rPr>
                        <w:t>4th Floor, 100 Parliament Street</w:t>
                      </w:r>
                    </w:p>
                    <w:p w14:paraId="5778E9B7" w14:textId="77777777" w:rsidR="001008F7" w:rsidRDefault="001008F7" w:rsidP="00E97289">
                      <w:pPr>
                        <w:pStyle w:val="WebAddress"/>
                        <w:rPr>
                          <w:b w:val="0"/>
                        </w:rPr>
                      </w:pPr>
                      <w:r w:rsidRPr="00E97289">
                        <w:rPr>
                          <w:b w:val="0"/>
                        </w:rPr>
                        <w:t>London SW1A 2BQ</w:t>
                      </w:r>
                    </w:p>
                    <w:p w14:paraId="5778E9B8" w14:textId="77777777" w:rsidR="001008F7" w:rsidRDefault="001008F7" w:rsidP="00E97289">
                      <w:pPr>
                        <w:pStyle w:val="WebAddress"/>
                      </w:pPr>
                      <w:r w:rsidRPr="00E97289">
                        <w:t>www.gov.uk/dcms</w:t>
                      </w:r>
                    </w:p>
                  </w:txbxContent>
                </v:textbox>
              </v:shape>
            </w:pict>
          </mc:Fallback>
        </mc:AlternateContent>
      </w:r>
    </w:p>
    <w:sectPr w:rsidR="00125909" w:rsidRPr="00D67C9B" w:rsidSect="002D3E77">
      <w:headerReference w:type="even" r:id="rId14"/>
      <w:type w:val="evenPage"/>
      <w:pgSz w:w="11906" w:h="16838" w:code="9"/>
      <w:pgMar w:top="1418"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8E984" w14:textId="77777777" w:rsidR="001008F7" w:rsidRDefault="001008F7" w:rsidP="00FD27B8">
      <w:pPr>
        <w:pStyle w:val="Header"/>
      </w:pPr>
      <w:r>
        <w:separator/>
      </w:r>
    </w:p>
    <w:p w14:paraId="5778E985" w14:textId="77777777" w:rsidR="001008F7" w:rsidRDefault="001008F7"/>
  </w:endnote>
  <w:endnote w:type="continuationSeparator" w:id="0">
    <w:p w14:paraId="5778E986" w14:textId="77777777" w:rsidR="001008F7" w:rsidRDefault="001008F7" w:rsidP="00FD27B8">
      <w:pPr>
        <w:pStyle w:val="Header"/>
      </w:pPr>
      <w:r>
        <w:continuationSeparator/>
      </w:r>
    </w:p>
    <w:p w14:paraId="5778E987" w14:textId="77777777" w:rsidR="001008F7" w:rsidRDefault="001008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8E980" w14:textId="77777777" w:rsidR="001008F7" w:rsidRDefault="001008F7" w:rsidP="00FD27B8">
      <w:pPr>
        <w:pStyle w:val="Header"/>
      </w:pPr>
    </w:p>
    <w:p w14:paraId="5778E981" w14:textId="77777777" w:rsidR="001008F7" w:rsidRDefault="001008F7"/>
  </w:footnote>
  <w:footnote w:type="continuationSeparator" w:id="0">
    <w:p w14:paraId="5778E982" w14:textId="77777777" w:rsidR="001008F7" w:rsidRDefault="001008F7" w:rsidP="00FD27B8">
      <w:pPr>
        <w:pStyle w:val="Header"/>
      </w:pPr>
      <w:r>
        <w:continuationSeparator/>
      </w:r>
    </w:p>
    <w:p w14:paraId="5778E983" w14:textId="77777777" w:rsidR="001008F7" w:rsidRDefault="001008F7"/>
  </w:footnote>
  <w:footnote w:id="1">
    <w:p w14:paraId="5778E9A3" w14:textId="77777777" w:rsidR="001008F7" w:rsidRPr="007C1414" w:rsidRDefault="001008F7" w:rsidP="00C22F61">
      <w:pPr>
        <w:pStyle w:val="FootnoteText"/>
        <w:rPr>
          <w:rFonts w:asciiTheme="majorHAnsi" w:hAnsiTheme="majorHAnsi" w:cstheme="majorHAnsi"/>
        </w:rPr>
      </w:pPr>
      <w:r w:rsidRPr="00F848A9">
        <w:rPr>
          <w:rStyle w:val="FootnoteReference"/>
        </w:rPr>
        <w:footnoteRef/>
      </w:r>
      <w:r w:rsidRPr="007C1414">
        <w:rPr>
          <w:rFonts w:asciiTheme="majorHAnsi" w:hAnsiTheme="majorHAnsi" w:cstheme="majorHAnsi"/>
        </w:rPr>
        <w:t xml:space="preserve"> We have called this issue ‘distributional impacts’. They are also known as heterogenous impacts in the policy evaluation literature.</w:t>
      </w:r>
    </w:p>
  </w:footnote>
  <w:footnote w:id="2">
    <w:p w14:paraId="5778E9A6" w14:textId="664FA0A3" w:rsidR="001008F7" w:rsidRPr="00C244CD" w:rsidRDefault="001008F7" w:rsidP="00C244CD">
      <w:pPr>
        <w:pStyle w:val="FootnoteText"/>
        <w:rPr>
          <w:rFonts w:asciiTheme="majorHAnsi" w:hAnsiTheme="majorHAnsi" w:cstheme="majorHAnsi"/>
        </w:rPr>
      </w:pPr>
      <w:r w:rsidRPr="00F848A9">
        <w:rPr>
          <w:rStyle w:val="FootnoteReference"/>
        </w:rPr>
        <w:footnoteRef/>
      </w:r>
      <w:hyperlink r:id="rId1" w:history="1">
        <w:r w:rsidRPr="007C1414">
          <w:rPr>
            <w:rStyle w:val="Hyperlink"/>
            <w:rFonts w:asciiTheme="majorHAnsi" w:hAnsiTheme="majorHAnsi" w:cstheme="majorHAnsi"/>
          </w:rPr>
          <w:t>http://www.northwest.nhs.uk/document_uploads/Choose%20Well/A4_feeling_unwell_posters.pdf</w:t>
        </w:r>
      </w:hyperlink>
    </w:p>
  </w:footnote>
  <w:footnote w:id="3">
    <w:p w14:paraId="5778E9A7" w14:textId="77777777" w:rsidR="001008F7" w:rsidRPr="000F4B4E" w:rsidRDefault="001008F7" w:rsidP="00B72AB2">
      <w:pPr>
        <w:pStyle w:val="FootnoteText"/>
        <w:rPr>
          <w:rFonts w:asciiTheme="majorHAnsi" w:hAnsiTheme="majorHAnsi" w:cstheme="majorHAnsi"/>
        </w:rPr>
      </w:pPr>
      <w:r w:rsidRPr="001A00A5">
        <w:rPr>
          <w:rStyle w:val="FootnoteReference"/>
        </w:rPr>
        <w:footnoteRef/>
      </w:r>
      <w:r w:rsidRPr="000F4B4E">
        <w:rPr>
          <w:rFonts w:asciiTheme="majorHAnsi" w:hAnsiTheme="majorHAnsi" w:cstheme="majorHAnsi"/>
        </w:rPr>
        <w:t xml:space="preserve"> </w:t>
      </w:r>
      <w:hyperlink r:id="rId2" w:history="1">
        <w:r w:rsidRPr="000F4B4E">
          <w:rPr>
            <w:rStyle w:val="Hyperlink"/>
            <w:rFonts w:asciiTheme="majorHAnsi" w:hAnsiTheme="majorHAnsi" w:cstheme="majorHAnsi"/>
          </w:rPr>
          <w:t>http://www.nhsconfed.org/priorities/political-engagement/Pages/NHS-statistics.aspx</w:t>
        </w:r>
      </w:hyperlink>
    </w:p>
    <w:p w14:paraId="5778E9A8" w14:textId="77777777" w:rsidR="001008F7" w:rsidRDefault="001008F7" w:rsidP="00B72AB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1008F7" w14:paraId="5778E989" w14:textId="77777777" w:rsidTr="00A35E9E">
      <w:tc>
        <w:tcPr>
          <w:tcW w:w="10080" w:type="dxa"/>
        </w:tcPr>
        <w:p w14:paraId="5778E988" w14:textId="77777777" w:rsidR="001008F7" w:rsidRDefault="001008F7">
          <w:pPr>
            <w:pStyle w:val="Header"/>
          </w:pPr>
          <w:r>
            <w:t>Department for Culture, Media and Sport</w:t>
          </w:r>
        </w:p>
      </w:tc>
    </w:tr>
    <w:tr w:rsidR="001008F7" w14:paraId="5778E98B" w14:textId="77777777" w:rsidTr="00A35E9E">
      <w:tc>
        <w:tcPr>
          <w:tcW w:w="10080" w:type="dxa"/>
        </w:tcPr>
        <w:p w14:paraId="5778E98A" w14:textId="77777777" w:rsidR="001008F7" w:rsidRDefault="001008F7" w:rsidP="00F51926">
          <w:pPr>
            <w:pStyle w:val="HeaderBold"/>
          </w:pPr>
          <w:r>
            <w:t>DocumentTitle</w:t>
          </w:r>
        </w:p>
      </w:tc>
    </w:tr>
  </w:tbl>
  <w:p w14:paraId="5778E98C" w14:textId="77777777" w:rsidR="001008F7" w:rsidRDefault="001008F7" w:rsidP="00A35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1008F7" w14:paraId="5778E98E" w14:textId="77777777" w:rsidTr="00A35E9E">
      <w:tc>
        <w:tcPr>
          <w:tcW w:w="10080" w:type="dxa"/>
        </w:tcPr>
        <w:p w14:paraId="5778E98D" w14:textId="1AE61C57" w:rsidR="001008F7" w:rsidRDefault="001008F7" w:rsidP="00FA3AF7">
          <w:pPr>
            <w:pStyle w:val="Header"/>
          </w:pPr>
        </w:p>
      </w:tc>
    </w:tr>
    <w:tr w:rsidR="001008F7" w14:paraId="5778E990" w14:textId="77777777" w:rsidTr="00A35E9E">
      <w:tc>
        <w:tcPr>
          <w:tcW w:w="10080" w:type="dxa"/>
        </w:tcPr>
        <w:p w14:paraId="5778E98F" w14:textId="15E66E67" w:rsidR="001008F7" w:rsidRDefault="001008F7" w:rsidP="00F51926">
          <w:pPr>
            <w:pStyle w:val="HeaderBold"/>
          </w:pPr>
        </w:p>
      </w:tc>
    </w:tr>
  </w:tbl>
  <w:p w14:paraId="5778E991" w14:textId="77777777" w:rsidR="001008F7" w:rsidRDefault="001008F7" w:rsidP="00A35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9360"/>
    </w:tblGrid>
    <w:tr w:rsidR="001008F7" w14:paraId="5778E994" w14:textId="77777777" w:rsidTr="00645DC4">
      <w:tc>
        <w:tcPr>
          <w:tcW w:w="648" w:type="dxa"/>
        </w:tcPr>
        <w:p w14:paraId="5778E992" w14:textId="3363C079" w:rsidR="001008F7" w:rsidRDefault="00A97CFB" w:rsidP="004E5986">
          <w:pPr>
            <w:pStyle w:val="Header"/>
            <w:jc w:val="right"/>
          </w:pPr>
          <w:r>
            <w:rPr>
              <w:noProof/>
            </w:rPr>
            <mc:AlternateContent>
              <mc:Choice Requires="wps">
                <w:drawing>
                  <wp:anchor distT="0" distB="0" distL="114300" distR="114300" simplePos="0" relativeHeight="251658240" behindDoc="0" locked="0" layoutInCell="1" allowOverlap="1" wp14:anchorId="5778E9A1" wp14:editId="11E25857">
                    <wp:simplePos x="0" y="0"/>
                    <wp:positionH relativeFrom="column">
                      <wp:posOffset>-1905</wp:posOffset>
                    </wp:positionH>
                    <wp:positionV relativeFrom="paragraph">
                      <wp:posOffset>-17780</wp:posOffset>
                    </wp:positionV>
                    <wp:extent cx="288290" cy="288290"/>
                    <wp:effectExtent l="0" t="0" r="16510" b="1651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5778E9B9" w14:textId="77777777" w:rsidR="001008F7" w:rsidRDefault="001008F7" w:rsidP="00FE5D2B">
                                <w:pPr>
                                  <w:pStyle w:val="HeaderBold"/>
                                  <w:jc w:val="center"/>
                                </w:pPr>
                                <w:r>
                                  <w:fldChar w:fldCharType="begin"/>
                                </w:r>
                                <w:r>
                                  <w:instrText xml:space="preserve"> PAGE  \* Arabic  \* MERGEFORMAT </w:instrText>
                                </w:r>
                                <w:r>
                                  <w:fldChar w:fldCharType="separate"/>
                                </w:r>
                                <w:r w:rsidR="00A97CFB">
                                  <w:rPr>
                                    <w:noProof/>
                                  </w:rPr>
                                  <w:t>4</w:t>
                                </w:r>
                                <w:r>
                                  <w:rPr>
                                    <w:noProof/>
                                  </w:rP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5pt;margin-top:-1.4pt;width:22.7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" strokeweight=".5pt">
                    <v:textbox inset="1mm,.5mm,1mm">
                      <w:txbxContent>
                        <w:p w14:paraId="5778E9B9" w14:textId="77777777" w:rsidR="001008F7" w:rsidRDefault="001008F7" w:rsidP="00FE5D2B">
                          <w:pPr>
                            <w:pStyle w:val="HeaderBold"/>
                            <w:jc w:val="center"/>
                          </w:pPr>
                          <w:r>
                            <w:fldChar w:fldCharType="begin"/>
                          </w:r>
                          <w:r>
                            <w:instrText xml:space="preserve"> PAGE  \* Arabic  \* MERGEFORMAT </w:instrText>
                          </w:r>
                          <w:r>
                            <w:fldChar w:fldCharType="separate"/>
                          </w:r>
                          <w:r w:rsidR="00A97CFB">
                            <w:rPr>
                              <w:noProof/>
                            </w:rPr>
                            <w:t>4</w:t>
                          </w:r>
                          <w:r>
                            <w:rPr>
                              <w:noProof/>
                            </w:rPr>
                            <w:fldChar w:fldCharType="end"/>
                          </w:r>
                        </w:p>
                      </w:txbxContent>
                    </v:textbox>
                  </v:shape>
                </w:pict>
              </mc:Fallback>
            </mc:AlternateContent>
          </w:r>
        </w:p>
      </w:tc>
      <w:tc>
        <w:tcPr>
          <w:tcW w:w="9360" w:type="dxa"/>
        </w:tcPr>
        <w:p w14:paraId="5778E993" w14:textId="77777777" w:rsidR="001008F7" w:rsidRDefault="001008F7" w:rsidP="001B13C9">
          <w:pPr>
            <w:pStyle w:val="Header"/>
          </w:pPr>
          <w:r>
            <w:t>Department for Culture, Media &amp; Sport</w:t>
          </w:r>
        </w:p>
      </w:tc>
    </w:tr>
    <w:tr w:rsidR="001008F7" w14:paraId="5778E997" w14:textId="77777777" w:rsidTr="00645DC4">
      <w:tc>
        <w:tcPr>
          <w:tcW w:w="648" w:type="dxa"/>
        </w:tcPr>
        <w:p w14:paraId="5778E995" w14:textId="77777777" w:rsidR="001008F7" w:rsidRDefault="001008F7" w:rsidP="004E5986">
          <w:pPr>
            <w:pStyle w:val="HeaderBold"/>
            <w:jc w:val="right"/>
          </w:pPr>
        </w:p>
      </w:tc>
      <w:tc>
        <w:tcPr>
          <w:tcW w:w="9360" w:type="dxa"/>
        </w:tcPr>
        <w:p w14:paraId="5778E996" w14:textId="77777777" w:rsidR="001008F7" w:rsidRDefault="001008F7" w:rsidP="00645DC4">
          <w:pPr>
            <w:pStyle w:val="HeaderBold"/>
          </w:pPr>
          <w:r>
            <w:t>Quantifying the Social Impacts of Culture and Sport</w:t>
          </w:r>
        </w:p>
      </w:tc>
    </w:tr>
  </w:tbl>
  <w:p w14:paraId="5778E998" w14:textId="77777777" w:rsidR="001008F7" w:rsidRDefault="001008F7" w:rsidP="00A35E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9"/>
      <w:gridCol w:w="791"/>
    </w:tblGrid>
    <w:tr w:rsidR="001008F7" w14:paraId="5778E99B" w14:textId="77777777" w:rsidTr="00645DC4">
      <w:tc>
        <w:tcPr>
          <w:tcW w:w="8618" w:type="dxa"/>
        </w:tcPr>
        <w:p w14:paraId="5778E999" w14:textId="77777777" w:rsidR="001008F7" w:rsidRDefault="001008F7" w:rsidP="001B13C9">
          <w:pPr>
            <w:pStyle w:val="Header"/>
            <w:jc w:val="right"/>
          </w:pPr>
          <w:r>
            <w:t>Department for Culture, Media &amp; Sport</w:t>
          </w:r>
        </w:p>
      </w:tc>
      <w:tc>
        <w:tcPr>
          <w:tcW w:w="720" w:type="dxa"/>
        </w:tcPr>
        <w:p w14:paraId="5778E99A" w14:textId="42501A24" w:rsidR="001008F7" w:rsidRDefault="00A97CFB">
          <w:pPr>
            <w:pStyle w:val="Header"/>
          </w:pPr>
          <w:r>
            <w:rPr>
              <w:noProof/>
            </w:rPr>
            <mc:AlternateContent>
              <mc:Choice Requires="wps">
                <w:drawing>
                  <wp:anchor distT="0" distB="0" distL="114300" distR="114300" simplePos="0" relativeHeight="251657216" behindDoc="0" locked="0" layoutInCell="1" allowOverlap="1" wp14:anchorId="5778E9A2" wp14:editId="2ABD7C23">
                    <wp:simplePos x="0" y="0"/>
                    <wp:positionH relativeFrom="column">
                      <wp:posOffset>45720</wp:posOffset>
                    </wp:positionH>
                    <wp:positionV relativeFrom="paragraph">
                      <wp:posOffset>-11430</wp:posOffset>
                    </wp:positionV>
                    <wp:extent cx="288290" cy="288290"/>
                    <wp:effectExtent l="0" t="0" r="16510" b="1651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5778E9BA" w14:textId="77777777" w:rsidR="001008F7" w:rsidRDefault="001008F7" w:rsidP="00FE5D2B">
                                <w:pPr>
                                  <w:pStyle w:val="HeaderBold"/>
                                  <w:jc w:val="center"/>
                                </w:pPr>
                                <w:r>
                                  <w:fldChar w:fldCharType="begin"/>
                                </w:r>
                                <w:r>
                                  <w:instrText xml:space="preserve"> PAGE  \* Arabic  \* MERGEFORMAT </w:instrText>
                                </w:r>
                                <w:r>
                                  <w:fldChar w:fldCharType="separate"/>
                                </w:r>
                                <w:r w:rsidR="00A97CFB">
                                  <w:rPr>
                                    <w:noProof/>
                                  </w:rPr>
                                  <w:t>31</w:t>
                                </w:r>
                                <w:r>
                                  <w:rPr>
                                    <w:noProof/>
                                  </w:rP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3.6pt;margin-top:-.9pt;width:22.7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" strokeweight=".5pt">
                    <v:textbox inset="1mm,.5mm,1mm">
                      <w:txbxContent>
                        <w:p w14:paraId="5778E9BA" w14:textId="77777777" w:rsidR="001008F7" w:rsidRDefault="001008F7" w:rsidP="00FE5D2B">
                          <w:pPr>
                            <w:pStyle w:val="HeaderBold"/>
                            <w:jc w:val="center"/>
                          </w:pPr>
                          <w:r>
                            <w:fldChar w:fldCharType="begin"/>
                          </w:r>
                          <w:r>
                            <w:instrText xml:space="preserve"> PAGE  \* Arabic  \* MERGEFORMAT </w:instrText>
                          </w:r>
                          <w:r>
                            <w:fldChar w:fldCharType="separate"/>
                          </w:r>
                          <w:r w:rsidR="00A97CFB">
                            <w:rPr>
                              <w:noProof/>
                            </w:rPr>
                            <w:t>31</w:t>
                          </w:r>
                          <w:r>
                            <w:rPr>
                              <w:noProof/>
                            </w:rPr>
                            <w:fldChar w:fldCharType="end"/>
                          </w:r>
                        </w:p>
                      </w:txbxContent>
                    </v:textbox>
                  </v:shape>
                </w:pict>
              </mc:Fallback>
            </mc:AlternateContent>
          </w:r>
        </w:p>
      </w:tc>
    </w:tr>
    <w:tr w:rsidR="001008F7" w14:paraId="5778E99E" w14:textId="77777777" w:rsidTr="00645DC4">
      <w:tc>
        <w:tcPr>
          <w:tcW w:w="8618" w:type="dxa"/>
        </w:tcPr>
        <w:p w14:paraId="5778E99C" w14:textId="77777777" w:rsidR="001008F7" w:rsidRDefault="001008F7" w:rsidP="00645DC4">
          <w:pPr>
            <w:pStyle w:val="HeaderBold"/>
            <w:jc w:val="right"/>
          </w:pPr>
          <w:r>
            <w:t>Quantifying the Social Impacts of Culture and Sport</w:t>
          </w:r>
        </w:p>
      </w:tc>
      <w:tc>
        <w:tcPr>
          <w:tcW w:w="720" w:type="dxa"/>
        </w:tcPr>
        <w:p w14:paraId="5778E99D" w14:textId="77777777" w:rsidR="001008F7" w:rsidRDefault="001008F7" w:rsidP="001663B0">
          <w:pPr>
            <w:pStyle w:val="HeaderBold"/>
          </w:pPr>
        </w:p>
      </w:tc>
    </w:tr>
  </w:tbl>
  <w:p w14:paraId="5778E99F" w14:textId="77777777" w:rsidR="001008F7" w:rsidRDefault="001008F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9360"/>
    </w:tblGrid>
    <w:tr w:rsidR="00E74F0C" w14:paraId="05F0DAF3" w14:textId="77777777" w:rsidTr="00A16BBF">
      <w:tc>
        <w:tcPr>
          <w:tcW w:w="648" w:type="dxa"/>
        </w:tcPr>
        <w:p w14:paraId="7FE6F8D1" w14:textId="3CE96EBB" w:rsidR="00E74F0C" w:rsidRDefault="00A97CFB" w:rsidP="00A16BBF">
          <w:pPr>
            <w:pStyle w:val="Header"/>
            <w:jc w:val="right"/>
          </w:pPr>
          <w:r>
            <w:rPr>
              <w:noProof/>
            </w:rPr>
            <mc:AlternateContent>
              <mc:Choice Requires="wps">
                <w:drawing>
                  <wp:anchor distT="0" distB="0" distL="114300" distR="114300" simplePos="0" relativeHeight="251660288" behindDoc="0" locked="0" layoutInCell="1" allowOverlap="1" wp14:anchorId="174C243A" wp14:editId="68C73281">
                    <wp:simplePos x="0" y="0"/>
                    <wp:positionH relativeFrom="column">
                      <wp:posOffset>-1905</wp:posOffset>
                    </wp:positionH>
                    <wp:positionV relativeFrom="paragraph">
                      <wp:posOffset>-17780</wp:posOffset>
                    </wp:positionV>
                    <wp:extent cx="288290" cy="288290"/>
                    <wp:effectExtent l="0" t="0" r="16510" b="1651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5F1691DF" w14:textId="77777777" w:rsidR="00E74F0C" w:rsidRDefault="00E74F0C" w:rsidP="00E74F0C">
                                <w:pPr>
                                  <w:pStyle w:val="HeaderBold"/>
                                  <w:jc w:val="center"/>
                                </w:pPr>
                                <w:r>
                                  <w:fldChar w:fldCharType="begin"/>
                                </w:r>
                                <w:r>
                                  <w:instrText xml:space="preserve"> PAGE  \* Arabic  \* MERGEFORMAT </w:instrText>
                                </w:r>
                                <w:r>
                                  <w:fldChar w:fldCharType="separate"/>
                                </w:r>
                                <w:r w:rsidR="00A97CFB">
                                  <w:rPr>
                                    <w:noProof/>
                                  </w:rPr>
                                  <w:t>32</w:t>
                                </w:r>
                                <w:r>
                                  <w:rPr>
                                    <w:noProof/>
                                  </w:rP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15pt;margin-top:-1.4pt;width:22.7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" strokeweight=".5pt">
                    <v:textbox inset="1mm,.5mm,1mm">
                      <w:txbxContent>
                        <w:p w14:paraId="5F1691DF" w14:textId="77777777" w:rsidR="00E74F0C" w:rsidRDefault="00E74F0C" w:rsidP="00E74F0C">
                          <w:pPr>
                            <w:pStyle w:val="HeaderBold"/>
                            <w:jc w:val="center"/>
                          </w:pPr>
                          <w:r>
                            <w:fldChar w:fldCharType="begin"/>
                          </w:r>
                          <w:r>
                            <w:instrText xml:space="preserve"> PAGE  \* Arabic  \* MERGEFORMAT </w:instrText>
                          </w:r>
                          <w:r>
                            <w:fldChar w:fldCharType="separate"/>
                          </w:r>
                          <w:r w:rsidR="00A97CFB">
                            <w:rPr>
                              <w:noProof/>
                            </w:rPr>
                            <w:t>32</w:t>
                          </w:r>
                          <w:r>
                            <w:rPr>
                              <w:noProof/>
                            </w:rPr>
                            <w:fldChar w:fldCharType="end"/>
                          </w:r>
                        </w:p>
                      </w:txbxContent>
                    </v:textbox>
                  </v:shape>
                </w:pict>
              </mc:Fallback>
            </mc:AlternateContent>
          </w:r>
        </w:p>
      </w:tc>
      <w:tc>
        <w:tcPr>
          <w:tcW w:w="9360" w:type="dxa"/>
        </w:tcPr>
        <w:p w14:paraId="5AE45DD7" w14:textId="77777777" w:rsidR="00E74F0C" w:rsidRDefault="00E74F0C" w:rsidP="00A16BBF">
          <w:pPr>
            <w:pStyle w:val="Header"/>
          </w:pPr>
          <w:r>
            <w:t>Department for Culture, Media &amp; Sport</w:t>
          </w:r>
        </w:p>
      </w:tc>
    </w:tr>
    <w:tr w:rsidR="00E74F0C" w14:paraId="6C649253" w14:textId="77777777" w:rsidTr="00A16BBF">
      <w:tc>
        <w:tcPr>
          <w:tcW w:w="648" w:type="dxa"/>
        </w:tcPr>
        <w:p w14:paraId="040C4797" w14:textId="77777777" w:rsidR="00E74F0C" w:rsidRDefault="00E74F0C" w:rsidP="00A16BBF">
          <w:pPr>
            <w:pStyle w:val="HeaderBold"/>
            <w:jc w:val="right"/>
          </w:pPr>
        </w:p>
      </w:tc>
      <w:tc>
        <w:tcPr>
          <w:tcW w:w="9360" w:type="dxa"/>
        </w:tcPr>
        <w:p w14:paraId="66231EE1" w14:textId="77777777" w:rsidR="00E74F0C" w:rsidRDefault="00E74F0C" w:rsidP="00A16BBF">
          <w:pPr>
            <w:pStyle w:val="HeaderBold"/>
          </w:pPr>
          <w:r>
            <w:t>Quantifying the Social Impacts of Culture and Sport</w:t>
          </w:r>
        </w:p>
      </w:tc>
    </w:tr>
  </w:tbl>
  <w:p w14:paraId="06956143" w14:textId="77777777" w:rsidR="00E74F0C" w:rsidRDefault="00E74F0C" w:rsidP="00E74F0C">
    <w:pPr>
      <w:pStyle w:val="Header"/>
    </w:pPr>
  </w:p>
  <w:p w14:paraId="5778E9A0" w14:textId="77777777" w:rsidR="001008F7" w:rsidRDefault="001008F7" w:rsidP="00A35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FE24EAC"/>
    <w:lvl w:ilvl="0">
      <w:start w:val="1"/>
      <w:numFmt w:val="decimal"/>
      <w:lvlText w:val="%1."/>
      <w:lvlJc w:val="left"/>
      <w:pPr>
        <w:tabs>
          <w:tab w:val="num" w:pos="926"/>
        </w:tabs>
        <w:ind w:left="926" w:hanging="360"/>
      </w:pPr>
    </w:lvl>
  </w:abstractNum>
  <w:abstractNum w:abstractNumId="1">
    <w:nsid w:val="FFFFFF82"/>
    <w:multiLevelType w:val="singleLevel"/>
    <w:tmpl w:val="01880074"/>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AC34FBCE"/>
    <w:lvl w:ilvl="0">
      <w:start w:val="1"/>
      <w:numFmt w:val="bullet"/>
      <w:lvlText w:val=""/>
      <w:lvlJc w:val="left"/>
      <w:pPr>
        <w:tabs>
          <w:tab w:val="num" w:pos="1494"/>
        </w:tabs>
        <w:ind w:left="1418" w:hanging="284"/>
      </w:pPr>
      <w:rPr>
        <w:rFonts w:ascii="Symbol" w:hAnsi="Symbol" w:hint="default"/>
      </w:rPr>
    </w:lvl>
  </w:abstractNum>
  <w:abstractNum w:abstractNumId="3">
    <w:nsid w:val="FFFFFF89"/>
    <w:multiLevelType w:val="singleLevel"/>
    <w:tmpl w:val="2DB877AE"/>
    <w:lvl w:ilvl="0">
      <w:start w:val="1"/>
      <w:numFmt w:val="bullet"/>
      <w:pStyle w:val="ListBullet"/>
      <w:lvlText w:val=""/>
      <w:lvlJc w:val="left"/>
      <w:pPr>
        <w:tabs>
          <w:tab w:val="num" w:pos="2381"/>
        </w:tabs>
        <w:ind w:left="2381" w:hanging="453"/>
      </w:pPr>
      <w:rPr>
        <w:rFonts w:ascii="Symbol" w:hAnsi="Symbol" w:hint="default"/>
      </w:rPr>
    </w:lvl>
  </w:abstractNum>
  <w:abstractNum w:abstractNumId="4">
    <w:nsid w:val="00CD6E0D"/>
    <w:multiLevelType w:val="hybridMultilevel"/>
    <w:tmpl w:val="8FDEC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A93883"/>
    <w:multiLevelType w:val="hybridMultilevel"/>
    <w:tmpl w:val="55E0052C"/>
    <w:lvl w:ilvl="0" w:tplc="08090001">
      <w:start w:val="1"/>
      <w:numFmt w:val="bullet"/>
      <w:lvlText w:val=""/>
      <w:lvlJc w:val="left"/>
      <w:pPr>
        <w:ind w:left="2288" w:hanging="360"/>
      </w:pPr>
      <w:rPr>
        <w:rFonts w:ascii="Symbol" w:hAnsi="Symbol" w:hint="default"/>
      </w:rPr>
    </w:lvl>
    <w:lvl w:ilvl="1" w:tplc="08090019" w:tentative="1">
      <w:start w:val="1"/>
      <w:numFmt w:val="lowerLetter"/>
      <w:lvlText w:val="%2."/>
      <w:lvlJc w:val="left"/>
      <w:pPr>
        <w:ind w:left="3008" w:hanging="360"/>
      </w:pPr>
    </w:lvl>
    <w:lvl w:ilvl="2" w:tplc="0809001B" w:tentative="1">
      <w:start w:val="1"/>
      <w:numFmt w:val="lowerRoman"/>
      <w:lvlText w:val="%3."/>
      <w:lvlJc w:val="right"/>
      <w:pPr>
        <w:ind w:left="3728" w:hanging="180"/>
      </w:pPr>
    </w:lvl>
    <w:lvl w:ilvl="3" w:tplc="0809000F" w:tentative="1">
      <w:start w:val="1"/>
      <w:numFmt w:val="decimal"/>
      <w:lvlText w:val="%4."/>
      <w:lvlJc w:val="left"/>
      <w:pPr>
        <w:ind w:left="4448" w:hanging="360"/>
      </w:pPr>
    </w:lvl>
    <w:lvl w:ilvl="4" w:tplc="08090019" w:tentative="1">
      <w:start w:val="1"/>
      <w:numFmt w:val="lowerLetter"/>
      <w:lvlText w:val="%5."/>
      <w:lvlJc w:val="left"/>
      <w:pPr>
        <w:ind w:left="5168" w:hanging="360"/>
      </w:pPr>
    </w:lvl>
    <w:lvl w:ilvl="5" w:tplc="0809001B" w:tentative="1">
      <w:start w:val="1"/>
      <w:numFmt w:val="lowerRoman"/>
      <w:lvlText w:val="%6."/>
      <w:lvlJc w:val="right"/>
      <w:pPr>
        <w:ind w:left="5888" w:hanging="180"/>
      </w:pPr>
    </w:lvl>
    <w:lvl w:ilvl="6" w:tplc="0809000F" w:tentative="1">
      <w:start w:val="1"/>
      <w:numFmt w:val="decimal"/>
      <w:lvlText w:val="%7."/>
      <w:lvlJc w:val="left"/>
      <w:pPr>
        <w:ind w:left="6608" w:hanging="360"/>
      </w:pPr>
    </w:lvl>
    <w:lvl w:ilvl="7" w:tplc="08090019" w:tentative="1">
      <w:start w:val="1"/>
      <w:numFmt w:val="lowerLetter"/>
      <w:lvlText w:val="%8."/>
      <w:lvlJc w:val="left"/>
      <w:pPr>
        <w:ind w:left="7328" w:hanging="360"/>
      </w:pPr>
    </w:lvl>
    <w:lvl w:ilvl="8" w:tplc="0809001B" w:tentative="1">
      <w:start w:val="1"/>
      <w:numFmt w:val="lowerRoman"/>
      <w:lvlText w:val="%9."/>
      <w:lvlJc w:val="right"/>
      <w:pPr>
        <w:ind w:left="8048" w:hanging="180"/>
      </w:pPr>
    </w:lvl>
  </w:abstractNum>
  <w:abstractNum w:abstractNumId="6">
    <w:nsid w:val="06BA4A6A"/>
    <w:multiLevelType w:val="hybridMultilevel"/>
    <w:tmpl w:val="FB56BF12"/>
    <w:lvl w:ilvl="0" w:tplc="08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7">
    <w:nsid w:val="08485210"/>
    <w:multiLevelType w:val="hybridMultilevel"/>
    <w:tmpl w:val="D856D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DC904F4"/>
    <w:multiLevelType w:val="hybridMultilevel"/>
    <w:tmpl w:val="7BECA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F71F2D"/>
    <w:multiLevelType w:val="multilevel"/>
    <w:tmpl w:val="CAAE0C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Roman"/>
      <w:isLgl/>
      <w:lvlText w:val="%1.%2.%3."/>
      <w:lvlJc w:val="left"/>
      <w:pPr>
        <w:ind w:left="1440" w:hanging="10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B280637"/>
    <w:multiLevelType w:val="hybridMultilevel"/>
    <w:tmpl w:val="179AB092"/>
    <w:lvl w:ilvl="0" w:tplc="DB90C138">
      <w:start w:val="2"/>
      <w:numFmt w:val="decimal"/>
      <w:lvlText w:val="%1."/>
      <w:lvlJc w:val="left"/>
      <w:pPr>
        <w:ind w:left="1080" w:hanging="360"/>
      </w:pPr>
      <w:rPr>
        <w:rFonts w:asciiTheme="majorHAnsi" w:hAnsiTheme="majorHAnsi" w:cstheme="maj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CE11032"/>
    <w:multiLevelType w:val="hybridMultilevel"/>
    <w:tmpl w:val="74C2D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64007D"/>
    <w:multiLevelType w:val="hybridMultilevel"/>
    <w:tmpl w:val="E8545EBC"/>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3">
    <w:nsid w:val="2189429B"/>
    <w:multiLevelType w:val="hybridMultilevel"/>
    <w:tmpl w:val="1B8876AC"/>
    <w:lvl w:ilvl="0" w:tplc="261EA5DC">
      <w:start w:val="1"/>
      <w:numFmt w:val="decimal"/>
      <w:lvlText w:val="%1."/>
      <w:lvlJc w:val="left"/>
      <w:pPr>
        <w:ind w:left="1080" w:hanging="360"/>
      </w:pPr>
      <w:rPr>
        <w:rFonts w:ascii="Times New Roman" w:eastAsia="Times New Roman" w:hAnsi="Times New Roman" w:cs="Times New Roman"/>
        <w:b w:val="0"/>
        <w:color w:val="FF0000"/>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34D6710"/>
    <w:multiLevelType w:val="hybridMultilevel"/>
    <w:tmpl w:val="22766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F04781"/>
    <w:multiLevelType w:val="hybridMultilevel"/>
    <w:tmpl w:val="EB8AAD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28E63247"/>
    <w:multiLevelType w:val="multilevel"/>
    <w:tmpl w:val="6DB8CB66"/>
    <w:lvl w:ilvl="0">
      <w:start w:val="1"/>
      <w:numFmt w:val="decimal"/>
      <w:suff w:val="space"/>
      <w:lvlText w:val="%1:"/>
      <w:lvlJc w:val="left"/>
      <w:pPr>
        <w:ind w:left="851" w:firstLine="0"/>
      </w:pPr>
      <w:rPr>
        <w:rFonts w:hint="default"/>
      </w:rPr>
    </w:lvl>
    <w:lvl w:ilvl="1">
      <w:start w:val="1"/>
      <w:numFmt w:val="decimal"/>
      <w:lvlText w:val="%1.%2"/>
      <w:lvlJc w:val="left"/>
      <w:pPr>
        <w:tabs>
          <w:tab w:val="num" w:pos="851"/>
        </w:tabs>
        <w:ind w:left="851" w:hanging="851"/>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7">
    <w:nsid w:val="2CC544C3"/>
    <w:multiLevelType w:val="hybridMultilevel"/>
    <w:tmpl w:val="1E40E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03C1A17"/>
    <w:multiLevelType w:val="multilevel"/>
    <w:tmpl w:val="858E3526"/>
    <w:lvl w:ilvl="0">
      <w:start w:val="1"/>
      <w:numFmt w:val="decimal"/>
      <w:pStyle w:val="Heading1Numbered"/>
      <w:suff w:val="space"/>
      <w:lvlText w:val="Chapter %1:"/>
      <w:lvlJc w:val="left"/>
      <w:pPr>
        <w:ind w:left="0" w:firstLine="0"/>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1080"/>
        </w:tabs>
        <w:ind w:left="851" w:hanging="851"/>
      </w:pPr>
      <w:rPr>
        <w:rFonts w:hint="default"/>
      </w:rPr>
    </w:lvl>
    <w:lvl w:ilvl="3">
      <w:start w:val="1"/>
      <w:numFmt w:val="decimal"/>
      <w:pStyle w:val="Heading4Numbered"/>
      <w:lvlText w:val="%1.%2.%3.%4"/>
      <w:lvlJc w:val="left"/>
      <w:pPr>
        <w:tabs>
          <w:tab w:val="num" w:pos="1440"/>
        </w:tabs>
        <w:ind w:left="1440" w:hanging="1440"/>
      </w:pPr>
      <w:rPr>
        <w:rFonts w:hint="default"/>
      </w:rPr>
    </w:lvl>
    <w:lvl w:ilvl="4">
      <w:start w:val="1"/>
      <w:numFmt w:val="decimal"/>
      <w:pStyle w:val="Heading5Numbered"/>
      <w:lvlText w:val="%1.%2.%3.%4.%5"/>
      <w:lvlJc w:val="left"/>
      <w:pPr>
        <w:tabs>
          <w:tab w:val="num" w:pos="1800"/>
        </w:tabs>
        <w:ind w:left="1800" w:hanging="1800"/>
      </w:pPr>
      <w:rPr>
        <w:rFonts w:hint="default"/>
      </w:rPr>
    </w:lvl>
    <w:lvl w:ilvl="5">
      <w:start w:val="1"/>
      <w:numFmt w:val="decimal"/>
      <w:pStyle w:val="Heading6Numbered"/>
      <w:lvlText w:val="%1.%2.%3.%4.%5.%6"/>
      <w:lvlJc w:val="left"/>
      <w:pPr>
        <w:tabs>
          <w:tab w:val="num" w:pos="2160"/>
        </w:tabs>
        <w:ind w:left="2160" w:hanging="2160"/>
      </w:pPr>
      <w:rPr>
        <w:rFonts w:hint="default"/>
      </w:rPr>
    </w:lvl>
    <w:lvl w:ilvl="6">
      <w:start w:val="1"/>
      <w:numFmt w:val="decimal"/>
      <w:pStyle w:val="Heading7Numbered"/>
      <w:lvlText w:val="%1.%2.%3.%4.%5.%6.%7"/>
      <w:lvlJc w:val="left"/>
      <w:pPr>
        <w:tabs>
          <w:tab w:val="num" w:pos="2520"/>
        </w:tabs>
        <w:ind w:left="2520" w:hanging="2520"/>
      </w:pPr>
      <w:rPr>
        <w:rFonts w:hint="default"/>
      </w:rPr>
    </w:lvl>
    <w:lvl w:ilvl="7">
      <w:start w:val="1"/>
      <w:numFmt w:val="decimal"/>
      <w:pStyle w:val="Heading8Numbered"/>
      <w:lvlText w:val="%1.%2.%3.%4.%5.%6.%7.%8"/>
      <w:lvlJc w:val="left"/>
      <w:pPr>
        <w:tabs>
          <w:tab w:val="num" w:pos="2880"/>
        </w:tabs>
        <w:ind w:left="2880" w:hanging="2880"/>
      </w:pPr>
      <w:rPr>
        <w:rFonts w:hint="default"/>
      </w:rPr>
    </w:lvl>
    <w:lvl w:ilvl="8">
      <w:start w:val="1"/>
      <w:numFmt w:val="decimal"/>
      <w:pStyle w:val="Heading9Numbered"/>
      <w:lvlText w:val="%1.%2.%3.%4.%5.%6.%7.%8.%9"/>
      <w:lvlJc w:val="left"/>
      <w:pPr>
        <w:tabs>
          <w:tab w:val="num" w:pos="3240"/>
        </w:tabs>
        <w:ind w:left="3240" w:hanging="3240"/>
      </w:pPr>
      <w:rPr>
        <w:rFonts w:hint="default"/>
      </w:rPr>
    </w:lvl>
  </w:abstractNum>
  <w:abstractNum w:abstractNumId="19">
    <w:nsid w:val="36C71DD1"/>
    <w:multiLevelType w:val="hybridMultilevel"/>
    <w:tmpl w:val="B97AED04"/>
    <w:lvl w:ilvl="0" w:tplc="D5CCAAB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D631A2"/>
    <w:multiLevelType w:val="hybridMultilevel"/>
    <w:tmpl w:val="BF885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483BF6"/>
    <w:multiLevelType w:val="multilevel"/>
    <w:tmpl w:val="6652CD9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41AB0F89"/>
    <w:multiLevelType w:val="hybridMultilevel"/>
    <w:tmpl w:val="6E82F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090C65"/>
    <w:multiLevelType w:val="hybridMultilevel"/>
    <w:tmpl w:val="6B3A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B82932"/>
    <w:multiLevelType w:val="hybridMultilevel"/>
    <w:tmpl w:val="D512BC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41E0101"/>
    <w:multiLevelType w:val="hybridMultilevel"/>
    <w:tmpl w:val="3EA4AAD4"/>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6">
    <w:nsid w:val="44FE0097"/>
    <w:multiLevelType w:val="hybridMultilevel"/>
    <w:tmpl w:val="4B3EE0AC"/>
    <w:lvl w:ilvl="0" w:tplc="1368BD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67E1277"/>
    <w:multiLevelType w:val="hybridMultilevel"/>
    <w:tmpl w:val="10CE1146"/>
    <w:lvl w:ilvl="0" w:tplc="21C84844">
      <w:start w:val="1"/>
      <w:numFmt w:val="decimal"/>
      <w:lvlText w:val="%1."/>
      <w:lvlJc w:val="left"/>
      <w:pPr>
        <w:ind w:left="1080" w:hanging="360"/>
      </w:pPr>
      <w:rPr>
        <w:rFonts w:asciiTheme="majorHAnsi" w:eastAsiaTheme="minorEastAsia" w:hAnsiTheme="majorHAnsi" w:cstheme="majorHAnsi"/>
        <w:b w:val="0"/>
        <w:color w:val="FF0000"/>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46DC3948"/>
    <w:multiLevelType w:val="hybridMultilevel"/>
    <w:tmpl w:val="5D9EE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4F5910"/>
    <w:multiLevelType w:val="hybridMultilevel"/>
    <w:tmpl w:val="E6DE863C"/>
    <w:lvl w:ilvl="0" w:tplc="08090001">
      <w:start w:val="1"/>
      <w:numFmt w:val="bullet"/>
      <w:lvlText w:val=""/>
      <w:lvlJc w:val="left"/>
      <w:pPr>
        <w:ind w:left="2648" w:hanging="360"/>
      </w:pPr>
      <w:rPr>
        <w:rFonts w:ascii="Symbol" w:hAnsi="Symbol" w:hint="default"/>
      </w:rPr>
    </w:lvl>
    <w:lvl w:ilvl="1" w:tplc="08090003" w:tentative="1">
      <w:start w:val="1"/>
      <w:numFmt w:val="bullet"/>
      <w:lvlText w:val="o"/>
      <w:lvlJc w:val="left"/>
      <w:pPr>
        <w:ind w:left="3368" w:hanging="360"/>
      </w:pPr>
      <w:rPr>
        <w:rFonts w:ascii="Courier New" w:hAnsi="Courier New" w:cs="Courier New" w:hint="default"/>
      </w:rPr>
    </w:lvl>
    <w:lvl w:ilvl="2" w:tplc="08090005" w:tentative="1">
      <w:start w:val="1"/>
      <w:numFmt w:val="bullet"/>
      <w:lvlText w:val=""/>
      <w:lvlJc w:val="left"/>
      <w:pPr>
        <w:ind w:left="4088" w:hanging="360"/>
      </w:pPr>
      <w:rPr>
        <w:rFonts w:ascii="Wingdings" w:hAnsi="Wingdings" w:hint="default"/>
      </w:rPr>
    </w:lvl>
    <w:lvl w:ilvl="3" w:tplc="08090001" w:tentative="1">
      <w:start w:val="1"/>
      <w:numFmt w:val="bullet"/>
      <w:lvlText w:val=""/>
      <w:lvlJc w:val="left"/>
      <w:pPr>
        <w:ind w:left="4808" w:hanging="360"/>
      </w:pPr>
      <w:rPr>
        <w:rFonts w:ascii="Symbol" w:hAnsi="Symbol" w:hint="default"/>
      </w:rPr>
    </w:lvl>
    <w:lvl w:ilvl="4" w:tplc="08090003" w:tentative="1">
      <w:start w:val="1"/>
      <w:numFmt w:val="bullet"/>
      <w:lvlText w:val="o"/>
      <w:lvlJc w:val="left"/>
      <w:pPr>
        <w:ind w:left="5528" w:hanging="360"/>
      </w:pPr>
      <w:rPr>
        <w:rFonts w:ascii="Courier New" w:hAnsi="Courier New" w:cs="Courier New" w:hint="default"/>
      </w:rPr>
    </w:lvl>
    <w:lvl w:ilvl="5" w:tplc="08090005" w:tentative="1">
      <w:start w:val="1"/>
      <w:numFmt w:val="bullet"/>
      <w:lvlText w:val=""/>
      <w:lvlJc w:val="left"/>
      <w:pPr>
        <w:ind w:left="6248" w:hanging="360"/>
      </w:pPr>
      <w:rPr>
        <w:rFonts w:ascii="Wingdings" w:hAnsi="Wingdings" w:hint="default"/>
      </w:rPr>
    </w:lvl>
    <w:lvl w:ilvl="6" w:tplc="08090001" w:tentative="1">
      <w:start w:val="1"/>
      <w:numFmt w:val="bullet"/>
      <w:lvlText w:val=""/>
      <w:lvlJc w:val="left"/>
      <w:pPr>
        <w:ind w:left="6968" w:hanging="360"/>
      </w:pPr>
      <w:rPr>
        <w:rFonts w:ascii="Symbol" w:hAnsi="Symbol" w:hint="default"/>
      </w:rPr>
    </w:lvl>
    <w:lvl w:ilvl="7" w:tplc="08090003" w:tentative="1">
      <w:start w:val="1"/>
      <w:numFmt w:val="bullet"/>
      <w:lvlText w:val="o"/>
      <w:lvlJc w:val="left"/>
      <w:pPr>
        <w:ind w:left="7688" w:hanging="360"/>
      </w:pPr>
      <w:rPr>
        <w:rFonts w:ascii="Courier New" w:hAnsi="Courier New" w:cs="Courier New" w:hint="default"/>
      </w:rPr>
    </w:lvl>
    <w:lvl w:ilvl="8" w:tplc="08090005" w:tentative="1">
      <w:start w:val="1"/>
      <w:numFmt w:val="bullet"/>
      <w:lvlText w:val=""/>
      <w:lvlJc w:val="left"/>
      <w:pPr>
        <w:ind w:left="8408" w:hanging="360"/>
      </w:pPr>
      <w:rPr>
        <w:rFonts w:ascii="Wingdings" w:hAnsi="Wingdings" w:hint="default"/>
      </w:rPr>
    </w:lvl>
  </w:abstractNum>
  <w:abstractNum w:abstractNumId="30">
    <w:nsid w:val="4DBC6C33"/>
    <w:multiLevelType w:val="hybridMultilevel"/>
    <w:tmpl w:val="004CC018"/>
    <w:lvl w:ilvl="0" w:tplc="CA8C0C1C">
      <w:start w:val="1"/>
      <w:numFmt w:val="decimal"/>
      <w:lvlText w:val="%1."/>
      <w:lvlJc w:val="left"/>
      <w:pPr>
        <w:ind w:left="1080" w:hanging="360"/>
      </w:pPr>
      <w:rPr>
        <w:rFonts w:asciiTheme="majorHAnsi" w:eastAsiaTheme="minorEastAsia" w:hAnsiTheme="majorHAnsi" w:cstheme="majorHAnsi"/>
        <w:b w:val="0"/>
        <w:color w:val="FF0000"/>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4F7B646B"/>
    <w:multiLevelType w:val="hybridMultilevel"/>
    <w:tmpl w:val="A2284348"/>
    <w:lvl w:ilvl="0" w:tplc="57A611A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5013EC6"/>
    <w:multiLevelType w:val="hybridMultilevel"/>
    <w:tmpl w:val="5E8ED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558579B"/>
    <w:multiLevelType w:val="hybridMultilevel"/>
    <w:tmpl w:val="152CB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A20D20"/>
    <w:multiLevelType w:val="hybridMultilevel"/>
    <w:tmpl w:val="74C2D1AC"/>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nsid w:val="61D332D4"/>
    <w:multiLevelType w:val="multilevel"/>
    <w:tmpl w:val="F700509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640571B0"/>
    <w:multiLevelType w:val="hybridMultilevel"/>
    <w:tmpl w:val="06F8A6FA"/>
    <w:lvl w:ilvl="0" w:tplc="540CA0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83E693E"/>
    <w:multiLevelType w:val="hybridMultilevel"/>
    <w:tmpl w:val="9B187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A4D698E"/>
    <w:multiLevelType w:val="multilevel"/>
    <w:tmpl w:val="B01A4A42"/>
    <w:name w:val="Numbered Headings"/>
    <w:lvl w:ilvl="0">
      <w:start w:val="1"/>
      <w:numFmt w:val="upperLetter"/>
      <w:pStyle w:val="Heading1Appendix"/>
      <w:suff w:val="space"/>
      <w:lvlText w:val="Appendix %1:"/>
      <w:lvlJc w:val="left"/>
      <w:pPr>
        <w:ind w:left="0" w:firstLine="0"/>
      </w:pPr>
      <w:rPr>
        <w:rFonts w:hint="default"/>
      </w:rPr>
    </w:lvl>
    <w:lvl w:ilvl="1">
      <w:start w:val="1"/>
      <w:numFmt w:val="decimal"/>
      <w:pStyle w:val="Heading2Appendix"/>
      <w:lvlText w:val="%1.%2"/>
      <w:lvlJc w:val="left"/>
      <w:pPr>
        <w:tabs>
          <w:tab w:val="num" w:pos="851"/>
        </w:tabs>
        <w:ind w:left="851" w:hanging="851"/>
      </w:pPr>
      <w:rPr>
        <w:rFonts w:hint="default"/>
      </w:rPr>
    </w:lvl>
    <w:lvl w:ilvl="2">
      <w:start w:val="1"/>
      <w:numFmt w:val="decimal"/>
      <w:pStyle w:val="Heading3Appendix"/>
      <w:lvlText w:val="%1.%2.%3"/>
      <w:lvlJc w:val="left"/>
      <w:pPr>
        <w:tabs>
          <w:tab w:val="num" w:pos="1080"/>
        </w:tabs>
        <w:ind w:left="851" w:hanging="851"/>
      </w:pPr>
      <w:rPr>
        <w:rFonts w:hint="default"/>
      </w:rPr>
    </w:lvl>
    <w:lvl w:ilvl="3">
      <w:start w:val="1"/>
      <w:numFmt w:val="decimal"/>
      <w:pStyle w:val="Heading4Appendix"/>
      <w:lvlText w:val="%1.%2.%3.%4"/>
      <w:lvlJc w:val="left"/>
      <w:pPr>
        <w:tabs>
          <w:tab w:val="num" w:pos="2291"/>
        </w:tabs>
        <w:ind w:left="1440" w:hanging="1440"/>
      </w:pPr>
      <w:rPr>
        <w:rFonts w:hint="default"/>
      </w:rPr>
    </w:lvl>
    <w:lvl w:ilvl="4">
      <w:start w:val="1"/>
      <w:numFmt w:val="decimal"/>
      <w:pStyle w:val="Heading5Appendix"/>
      <w:lvlText w:val="%1.%2.%3.%4.%5"/>
      <w:lvlJc w:val="left"/>
      <w:pPr>
        <w:tabs>
          <w:tab w:val="num" w:pos="2651"/>
        </w:tabs>
        <w:ind w:left="1800" w:hanging="1800"/>
      </w:pPr>
      <w:rPr>
        <w:rFonts w:hint="default"/>
      </w:rPr>
    </w:lvl>
    <w:lvl w:ilvl="5">
      <w:start w:val="1"/>
      <w:numFmt w:val="decimal"/>
      <w:pStyle w:val="Heading6Appendix"/>
      <w:lvlText w:val="%1.%2.%3.%4.%5.%6"/>
      <w:lvlJc w:val="left"/>
      <w:pPr>
        <w:tabs>
          <w:tab w:val="num" w:pos="3011"/>
        </w:tabs>
        <w:ind w:left="2160" w:hanging="2160"/>
      </w:pPr>
      <w:rPr>
        <w:rFonts w:hint="default"/>
      </w:rPr>
    </w:lvl>
    <w:lvl w:ilvl="6">
      <w:start w:val="1"/>
      <w:numFmt w:val="decimal"/>
      <w:pStyle w:val="Heading7Appendix"/>
      <w:lvlText w:val="%1.%2.%3.%4.%5.%6.%7"/>
      <w:lvlJc w:val="left"/>
      <w:pPr>
        <w:tabs>
          <w:tab w:val="num" w:pos="3371"/>
        </w:tabs>
        <w:ind w:left="2520" w:hanging="2520"/>
      </w:pPr>
      <w:rPr>
        <w:rFonts w:hint="default"/>
      </w:rPr>
    </w:lvl>
    <w:lvl w:ilvl="7">
      <w:start w:val="1"/>
      <w:numFmt w:val="decimal"/>
      <w:pStyle w:val="Heading8Appendix"/>
      <w:lvlText w:val="%1.%2.%3.%4.%5.%6.%7.%8"/>
      <w:lvlJc w:val="left"/>
      <w:pPr>
        <w:tabs>
          <w:tab w:val="num" w:pos="3731"/>
        </w:tabs>
        <w:ind w:left="2880" w:hanging="2880"/>
      </w:pPr>
      <w:rPr>
        <w:rFonts w:hint="default"/>
      </w:rPr>
    </w:lvl>
    <w:lvl w:ilvl="8">
      <w:start w:val="1"/>
      <w:numFmt w:val="decimal"/>
      <w:pStyle w:val="Heading9Appendix"/>
      <w:lvlText w:val="%1.%2.%3.%4.%5.%6.%7.%8.%9"/>
      <w:lvlJc w:val="left"/>
      <w:pPr>
        <w:tabs>
          <w:tab w:val="num" w:pos="4091"/>
        </w:tabs>
        <w:ind w:left="3240" w:hanging="3240"/>
      </w:pPr>
      <w:rPr>
        <w:rFonts w:hint="default"/>
      </w:rPr>
    </w:lvl>
  </w:abstractNum>
  <w:abstractNum w:abstractNumId="39">
    <w:nsid w:val="6AEB7550"/>
    <w:multiLevelType w:val="hybridMultilevel"/>
    <w:tmpl w:val="57967E9A"/>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F1A12B3"/>
    <w:multiLevelType w:val="hybridMultilevel"/>
    <w:tmpl w:val="BABE8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2C00FF"/>
    <w:multiLevelType w:val="multilevel"/>
    <w:tmpl w:val="004CC018"/>
    <w:lvl w:ilvl="0">
      <w:start w:val="1"/>
      <w:numFmt w:val="decimal"/>
      <w:lvlText w:val="%1."/>
      <w:lvlJc w:val="left"/>
      <w:pPr>
        <w:ind w:left="1080" w:hanging="360"/>
      </w:pPr>
      <w:rPr>
        <w:rFonts w:asciiTheme="majorHAnsi" w:eastAsiaTheme="minorEastAsia" w:hAnsiTheme="majorHAnsi" w:cstheme="majorHAnsi"/>
        <w:b w:val="0"/>
        <w:color w:val="FF0000"/>
        <w:u w:val="singl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nsid w:val="77C21BF0"/>
    <w:multiLevelType w:val="hybridMultilevel"/>
    <w:tmpl w:val="D512BC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8C03F16"/>
    <w:multiLevelType w:val="hybridMultilevel"/>
    <w:tmpl w:val="9BC45A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92A24CB"/>
    <w:multiLevelType w:val="hybridMultilevel"/>
    <w:tmpl w:val="374E3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C0C3A0D"/>
    <w:multiLevelType w:val="hybridMultilevel"/>
    <w:tmpl w:val="F4807428"/>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7ECD457C"/>
    <w:multiLevelType w:val="hybridMultilevel"/>
    <w:tmpl w:val="AF444FE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18"/>
  </w:num>
  <w:num w:numId="2">
    <w:abstractNumId w:val="16"/>
  </w:num>
  <w:num w:numId="3">
    <w:abstractNumId w:val="38"/>
  </w:num>
  <w:num w:numId="4">
    <w:abstractNumId w:val="0"/>
  </w:num>
  <w:num w:numId="5">
    <w:abstractNumId w:val="3"/>
  </w:num>
  <w:num w:numId="6">
    <w:abstractNumId w:val="6"/>
  </w:num>
  <w:num w:numId="7">
    <w:abstractNumId w:val="1"/>
  </w:num>
  <w:num w:numId="8">
    <w:abstractNumId w:val="2"/>
  </w:num>
  <w:num w:numId="9">
    <w:abstractNumId w:val="38"/>
  </w:num>
  <w:num w:numId="10">
    <w:abstractNumId w:val="18"/>
  </w:num>
  <w:num w:numId="11">
    <w:abstractNumId w:val="42"/>
  </w:num>
  <w:num w:numId="12">
    <w:abstractNumId w:val="20"/>
  </w:num>
  <w:num w:numId="13">
    <w:abstractNumId w:val="4"/>
  </w:num>
  <w:num w:numId="14">
    <w:abstractNumId w:val="23"/>
  </w:num>
  <w:num w:numId="15">
    <w:abstractNumId w:val="24"/>
  </w:num>
  <w:num w:numId="16">
    <w:abstractNumId w:val="22"/>
  </w:num>
  <w:num w:numId="17">
    <w:abstractNumId w:val="25"/>
  </w:num>
  <w:num w:numId="18">
    <w:abstractNumId w:val="15"/>
  </w:num>
  <w:num w:numId="19">
    <w:abstractNumId w:val="19"/>
  </w:num>
  <w:num w:numId="20">
    <w:abstractNumId w:val="8"/>
  </w:num>
  <w:num w:numId="21">
    <w:abstractNumId w:val="12"/>
  </w:num>
  <w:num w:numId="22">
    <w:abstractNumId w:val="17"/>
  </w:num>
  <w:num w:numId="23">
    <w:abstractNumId w:val="35"/>
  </w:num>
  <w:num w:numId="24">
    <w:abstractNumId w:val="9"/>
  </w:num>
  <w:num w:numId="25">
    <w:abstractNumId w:val="13"/>
  </w:num>
  <w:num w:numId="26">
    <w:abstractNumId w:val="31"/>
  </w:num>
  <w:num w:numId="27">
    <w:abstractNumId w:val="46"/>
  </w:num>
  <w:num w:numId="28">
    <w:abstractNumId w:val="14"/>
  </w:num>
  <w:num w:numId="29">
    <w:abstractNumId w:val="32"/>
  </w:num>
  <w:num w:numId="30">
    <w:abstractNumId w:val="33"/>
  </w:num>
  <w:num w:numId="31">
    <w:abstractNumId w:val="37"/>
  </w:num>
  <w:num w:numId="32">
    <w:abstractNumId w:val="40"/>
  </w:num>
  <w:num w:numId="33">
    <w:abstractNumId w:val="10"/>
  </w:num>
  <w:num w:numId="34">
    <w:abstractNumId w:val="30"/>
  </w:num>
  <w:num w:numId="35">
    <w:abstractNumId w:val="41"/>
  </w:num>
  <w:num w:numId="36">
    <w:abstractNumId w:val="34"/>
  </w:num>
  <w:num w:numId="37">
    <w:abstractNumId w:val="27"/>
  </w:num>
  <w:num w:numId="38">
    <w:abstractNumId w:val="21"/>
  </w:num>
  <w:num w:numId="39">
    <w:abstractNumId w:val="26"/>
  </w:num>
  <w:num w:numId="40">
    <w:abstractNumId w:val="36"/>
  </w:num>
  <w:num w:numId="41">
    <w:abstractNumId w:val="44"/>
  </w:num>
  <w:num w:numId="42">
    <w:abstractNumId w:val="28"/>
  </w:num>
  <w:num w:numId="43">
    <w:abstractNumId w:val="11"/>
  </w:num>
  <w:num w:numId="44">
    <w:abstractNumId w:val="43"/>
  </w:num>
  <w:num w:numId="45">
    <w:abstractNumId w:val="45"/>
  </w:num>
  <w:num w:numId="46">
    <w:abstractNumId w:val="39"/>
  </w:num>
  <w:num w:numId="47">
    <w:abstractNumId w:val="5"/>
  </w:num>
  <w:num w:numId="48">
    <w:abstractNumId w:val="29"/>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6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BD7"/>
    <w:rsid w:val="00015B61"/>
    <w:rsid w:val="000272A7"/>
    <w:rsid w:val="00041739"/>
    <w:rsid w:val="00042868"/>
    <w:rsid w:val="0004306B"/>
    <w:rsid w:val="00052A3E"/>
    <w:rsid w:val="00052AA1"/>
    <w:rsid w:val="00052F76"/>
    <w:rsid w:val="0005654A"/>
    <w:rsid w:val="00060D5C"/>
    <w:rsid w:val="0006321D"/>
    <w:rsid w:val="00070A1E"/>
    <w:rsid w:val="000718D4"/>
    <w:rsid w:val="00071BD7"/>
    <w:rsid w:val="0007598B"/>
    <w:rsid w:val="000809BF"/>
    <w:rsid w:val="00082A8E"/>
    <w:rsid w:val="000B1FC6"/>
    <w:rsid w:val="000C3F5E"/>
    <w:rsid w:val="000D728A"/>
    <w:rsid w:val="001008F7"/>
    <w:rsid w:val="001062B9"/>
    <w:rsid w:val="00111B1F"/>
    <w:rsid w:val="001145D3"/>
    <w:rsid w:val="00125909"/>
    <w:rsid w:val="00127774"/>
    <w:rsid w:val="00135142"/>
    <w:rsid w:val="001369EA"/>
    <w:rsid w:val="00155080"/>
    <w:rsid w:val="0015718A"/>
    <w:rsid w:val="00157A69"/>
    <w:rsid w:val="00157C15"/>
    <w:rsid w:val="001663B0"/>
    <w:rsid w:val="00187DF4"/>
    <w:rsid w:val="001B13C9"/>
    <w:rsid w:val="001C35F9"/>
    <w:rsid w:val="001D187C"/>
    <w:rsid w:val="001E1826"/>
    <w:rsid w:val="001E2003"/>
    <w:rsid w:val="001E4EE9"/>
    <w:rsid w:val="001F0A37"/>
    <w:rsid w:val="001F4ACA"/>
    <w:rsid w:val="00207A42"/>
    <w:rsid w:val="00210607"/>
    <w:rsid w:val="00217E2C"/>
    <w:rsid w:val="00220892"/>
    <w:rsid w:val="00223F10"/>
    <w:rsid w:val="0023155C"/>
    <w:rsid w:val="00232D34"/>
    <w:rsid w:val="0024027B"/>
    <w:rsid w:val="002436C4"/>
    <w:rsid w:val="00245AA5"/>
    <w:rsid w:val="00246FC5"/>
    <w:rsid w:val="00247145"/>
    <w:rsid w:val="00253104"/>
    <w:rsid w:val="00255C4F"/>
    <w:rsid w:val="002669C5"/>
    <w:rsid w:val="00267D9A"/>
    <w:rsid w:val="002700C9"/>
    <w:rsid w:val="002803C8"/>
    <w:rsid w:val="00281887"/>
    <w:rsid w:val="00283206"/>
    <w:rsid w:val="002941A0"/>
    <w:rsid w:val="002954D0"/>
    <w:rsid w:val="002A2D0A"/>
    <w:rsid w:val="002B19A2"/>
    <w:rsid w:val="002B1B33"/>
    <w:rsid w:val="002B5C17"/>
    <w:rsid w:val="002C1B99"/>
    <w:rsid w:val="002C5DF6"/>
    <w:rsid w:val="002D2A86"/>
    <w:rsid w:val="002D3E77"/>
    <w:rsid w:val="002D772A"/>
    <w:rsid w:val="002E2379"/>
    <w:rsid w:val="002E391C"/>
    <w:rsid w:val="002E512C"/>
    <w:rsid w:val="002E649F"/>
    <w:rsid w:val="002F2BE6"/>
    <w:rsid w:val="002F2EBC"/>
    <w:rsid w:val="002F69CC"/>
    <w:rsid w:val="0035631A"/>
    <w:rsid w:val="003566D9"/>
    <w:rsid w:val="003774A1"/>
    <w:rsid w:val="00384AD0"/>
    <w:rsid w:val="003970CC"/>
    <w:rsid w:val="003A11CC"/>
    <w:rsid w:val="003A3FA0"/>
    <w:rsid w:val="003B01BF"/>
    <w:rsid w:val="003C5C92"/>
    <w:rsid w:val="003D0F1C"/>
    <w:rsid w:val="003D7B62"/>
    <w:rsid w:val="003E2C43"/>
    <w:rsid w:val="003E5929"/>
    <w:rsid w:val="003F0099"/>
    <w:rsid w:val="003F4A6A"/>
    <w:rsid w:val="003F57EB"/>
    <w:rsid w:val="003F720D"/>
    <w:rsid w:val="00401173"/>
    <w:rsid w:val="00401C56"/>
    <w:rsid w:val="0040417A"/>
    <w:rsid w:val="00404E0B"/>
    <w:rsid w:val="004052AB"/>
    <w:rsid w:val="004075A3"/>
    <w:rsid w:val="004247E4"/>
    <w:rsid w:val="00433D52"/>
    <w:rsid w:val="00435158"/>
    <w:rsid w:val="0044002E"/>
    <w:rsid w:val="004563B9"/>
    <w:rsid w:val="00477478"/>
    <w:rsid w:val="00492820"/>
    <w:rsid w:val="00493B5C"/>
    <w:rsid w:val="00494FE2"/>
    <w:rsid w:val="004955F8"/>
    <w:rsid w:val="00496A1D"/>
    <w:rsid w:val="0049714D"/>
    <w:rsid w:val="00497E55"/>
    <w:rsid w:val="004A5B9D"/>
    <w:rsid w:val="004A627C"/>
    <w:rsid w:val="004B23D5"/>
    <w:rsid w:val="004B7EBD"/>
    <w:rsid w:val="004C2265"/>
    <w:rsid w:val="004D1595"/>
    <w:rsid w:val="004D6E11"/>
    <w:rsid w:val="004E3870"/>
    <w:rsid w:val="004E584F"/>
    <w:rsid w:val="004E5986"/>
    <w:rsid w:val="0051143B"/>
    <w:rsid w:val="00525BB3"/>
    <w:rsid w:val="00542840"/>
    <w:rsid w:val="00550F5A"/>
    <w:rsid w:val="00577B52"/>
    <w:rsid w:val="00577D31"/>
    <w:rsid w:val="00583CF2"/>
    <w:rsid w:val="005A51C7"/>
    <w:rsid w:val="005A5D21"/>
    <w:rsid w:val="005A76B6"/>
    <w:rsid w:val="005B04B7"/>
    <w:rsid w:val="005B39EB"/>
    <w:rsid w:val="005B3AFA"/>
    <w:rsid w:val="005C0743"/>
    <w:rsid w:val="005C4984"/>
    <w:rsid w:val="005D1207"/>
    <w:rsid w:val="005D3906"/>
    <w:rsid w:val="005E09C7"/>
    <w:rsid w:val="005E2EFA"/>
    <w:rsid w:val="005E332B"/>
    <w:rsid w:val="005F27B1"/>
    <w:rsid w:val="00606109"/>
    <w:rsid w:val="00631751"/>
    <w:rsid w:val="006351E3"/>
    <w:rsid w:val="00642D1B"/>
    <w:rsid w:val="00645DC4"/>
    <w:rsid w:val="00650B64"/>
    <w:rsid w:val="006702A6"/>
    <w:rsid w:val="00671E89"/>
    <w:rsid w:val="0068195C"/>
    <w:rsid w:val="0069013D"/>
    <w:rsid w:val="006A58FE"/>
    <w:rsid w:val="006A5E7F"/>
    <w:rsid w:val="006B438D"/>
    <w:rsid w:val="006B7645"/>
    <w:rsid w:val="006C1D0C"/>
    <w:rsid w:val="006C33E3"/>
    <w:rsid w:val="00702421"/>
    <w:rsid w:val="007060BA"/>
    <w:rsid w:val="007065AC"/>
    <w:rsid w:val="00710B0E"/>
    <w:rsid w:val="00711B6E"/>
    <w:rsid w:val="007161D5"/>
    <w:rsid w:val="00720ECD"/>
    <w:rsid w:val="00724E7C"/>
    <w:rsid w:val="00726EC3"/>
    <w:rsid w:val="0074412B"/>
    <w:rsid w:val="00746AE3"/>
    <w:rsid w:val="00760628"/>
    <w:rsid w:val="00761E9A"/>
    <w:rsid w:val="00767F75"/>
    <w:rsid w:val="007A182D"/>
    <w:rsid w:val="007A4A49"/>
    <w:rsid w:val="007B1027"/>
    <w:rsid w:val="007C12E9"/>
    <w:rsid w:val="007D12BA"/>
    <w:rsid w:val="007D2BEF"/>
    <w:rsid w:val="007D35B7"/>
    <w:rsid w:val="007D38A0"/>
    <w:rsid w:val="007D67A2"/>
    <w:rsid w:val="007E0CCE"/>
    <w:rsid w:val="007F75E6"/>
    <w:rsid w:val="00804C12"/>
    <w:rsid w:val="00812DA1"/>
    <w:rsid w:val="0084105C"/>
    <w:rsid w:val="00841BC2"/>
    <w:rsid w:val="008500BD"/>
    <w:rsid w:val="00861A6B"/>
    <w:rsid w:val="00870449"/>
    <w:rsid w:val="008A4F4F"/>
    <w:rsid w:val="008B1C05"/>
    <w:rsid w:val="008D1852"/>
    <w:rsid w:val="008D2A8C"/>
    <w:rsid w:val="008D3B91"/>
    <w:rsid w:val="008D7B48"/>
    <w:rsid w:val="009042D3"/>
    <w:rsid w:val="00911BF5"/>
    <w:rsid w:val="00920EAC"/>
    <w:rsid w:val="0092196E"/>
    <w:rsid w:val="00921ECE"/>
    <w:rsid w:val="00922617"/>
    <w:rsid w:val="009253DB"/>
    <w:rsid w:val="00933613"/>
    <w:rsid w:val="00942EA8"/>
    <w:rsid w:val="009456CE"/>
    <w:rsid w:val="00950AEB"/>
    <w:rsid w:val="00954F65"/>
    <w:rsid w:val="00962D11"/>
    <w:rsid w:val="0097556C"/>
    <w:rsid w:val="0098056D"/>
    <w:rsid w:val="00987BD5"/>
    <w:rsid w:val="009928AD"/>
    <w:rsid w:val="00996262"/>
    <w:rsid w:val="009B069B"/>
    <w:rsid w:val="009B3D14"/>
    <w:rsid w:val="009C1B73"/>
    <w:rsid w:val="009C4DEC"/>
    <w:rsid w:val="009E1A86"/>
    <w:rsid w:val="009E78C9"/>
    <w:rsid w:val="00A0654F"/>
    <w:rsid w:val="00A26019"/>
    <w:rsid w:val="00A35E9E"/>
    <w:rsid w:val="00A4362F"/>
    <w:rsid w:val="00A56E1C"/>
    <w:rsid w:val="00A677F3"/>
    <w:rsid w:val="00A71451"/>
    <w:rsid w:val="00A7769D"/>
    <w:rsid w:val="00A9448C"/>
    <w:rsid w:val="00A97CFB"/>
    <w:rsid w:val="00AA0178"/>
    <w:rsid w:val="00AA5705"/>
    <w:rsid w:val="00AB2AB1"/>
    <w:rsid w:val="00AE2A0A"/>
    <w:rsid w:val="00AE7933"/>
    <w:rsid w:val="00AF150D"/>
    <w:rsid w:val="00AF50C8"/>
    <w:rsid w:val="00AF775C"/>
    <w:rsid w:val="00B11880"/>
    <w:rsid w:val="00B15705"/>
    <w:rsid w:val="00B16196"/>
    <w:rsid w:val="00B22864"/>
    <w:rsid w:val="00B36397"/>
    <w:rsid w:val="00B4688B"/>
    <w:rsid w:val="00B52CB1"/>
    <w:rsid w:val="00B5482B"/>
    <w:rsid w:val="00B72AB2"/>
    <w:rsid w:val="00B91E98"/>
    <w:rsid w:val="00B928E4"/>
    <w:rsid w:val="00BA715A"/>
    <w:rsid w:val="00BC770A"/>
    <w:rsid w:val="00BD09C3"/>
    <w:rsid w:val="00BD3C7C"/>
    <w:rsid w:val="00BD3D34"/>
    <w:rsid w:val="00BD592B"/>
    <w:rsid w:val="00BE4A27"/>
    <w:rsid w:val="00BF5395"/>
    <w:rsid w:val="00C01BDF"/>
    <w:rsid w:val="00C03131"/>
    <w:rsid w:val="00C07DC1"/>
    <w:rsid w:val="00C1036E"/>
    <w:rsid w:val="00C17844"/>
    <w:rsid w:val="00C20DBB"/>
    <w:rsid w:val="00C22F61"/>
    <w:rsid w:val="00C244CD"/>
    <w:rsid w:val="00C426BB"/>
    <w:rsid w:val="00C52E8C"/>
    <w:rsid w:val="00C6497E"/>
    <w:rsid w:val="00C713C3"/>
    <w:rsid w:val="00C748D0"/>
    <w:rsid w:val="00C767AD"/>
    <w:rsid w:val="00C95C8D"/>
    <w:rsid w:val="00CC02EF"/>
    <w:rsid w:val="00CC1B2D"/>
    <w:rsid w:val="00CE0A8D"/>
    <w:rsid w:val="00CE51DC"/>
    <w:rsid w:val="00CF0597"/>
    <w:rsid w:val="00CF096A"/>
    <w:rsid w:val="00D03D99"/>
    <w:rsid w:val="00D04FA6"/>
    <w:rsid w:val="00D05FBF"/>
    <w:rsid w:val="00D1194B"/>
    <w:rsid w:val="00D134B1"/>
    <w:rsid w:val="00D255EF"/>
    <w:rsid w:val="00D26423"/>
    <w:rsid w:val="00D2732F"/>
    <w:rsid w:val="00D315E2"/>
    <w:rsid w:val="00D35203"/>
    <w:rsid w:val="00D4258B"/>
    <w:rsid w:val="00D507F2"/>
    <w:rsid w:val="00D51AB6"/>
    <w:rsid w:val="00D6339E"/>
    <w:rsid w:val="00D64443"/>
    <w:rsid w:val="00D67C9B"/>
    <w:rsid w:val="00D73CC1"/>
    <w:rsid w:val="00D804E9"/>
    <w:rsid w:val="00D8513B"/>
    <w:rsid w:val="00D9489F"/>
    <w:rsid w:val="00DA248B"/>
    <w:rsid w:val="00DA7BB4"/>
    <w:rsid w:val="00DB69E8"/>
    <w:rsid w:val="00DC78D9"/>
    <w:rsid w:val="00DD00FC"/>
    <w:rsid w:val="00DD1098"/>
    <w:rsid w:val="00DD4B6B"/>
    <w:rsid w:val="00DE0B98"/>
    <w:rsid w:val="00DE4BD9"/>
    <w:rsid w:val="00DE5CAA"/>
    <w:rsid w:val="00DF26B0"/>
    <w:rsid w:val="00E033EA"/>
    <w:rsid w:val="00E06BD7"/>
    <w:rsid w:val="00E1082D"/>
    <w:rsid w:val="00E15968"/>
    <w:rsid w:val="00E27C51"/>
    <w:rsid w:val="00E41EE6"/>
    <w:rsid w:val="00E62E9B"/>
    <w:rsid w:val="00E74F0C"/>
    <w:rsid w:val="00E7796B"/>
    <w:rsid w:val="00E8218E"/>
    <w:rsid w:val="00E916EB"/>
    <w:rsid w:val="00E92CC8"/>
    <w:rsid w:val="00E94D71"/>
    <w:rsid w:val="00E97289"/>
    <w:rsid w:val="00EB35BA"/>
    <w:rsid w:val="00EC0841"/>
    <w:rsid w:val="00EC6521"/>
    <w:rsid w:val="00EF4A0F"/>
    <w:rsid w:val="00EF55CC"/>
    <w:rsid w:val="00F02588"/>
    <w:rsid w:val="00F05B3D"/>
    <w:rsid w:val="00F066E3"/>
    <w:rsid w:val="00F13670"/>
    <w:rsid w:val="00F21E39"/>
    <w:rsid w:val="00F234B1"/>
    <w:rsid w:val="00F42092"/>
    <w:rsid w:val="00F46529"/>
    <w:rsid w:val="00F51926"/>
    <w:rsid w:val="00F545C4"/>
    <w:rsid w:val="00F56A9E"/>
    <w:rsid w:val="00F62412"/>
    <w:rsid w:val="00F666D9"/>
    <w:rsid w:val="00F70D9F"/>
    <w:rsid w:val="00F72C23"/>
    <w:rsid w:val="00F80452"/>
    <w:rsid w:val="00F878CE"/>
    <w:rsid w:val="00F95388"/>
    <w:rsid w:val="00F9791D"/>
    <w:rsid w:val="00FA396B"/>
    <w:rsid w:val="00FA3AF7"/>
    <w:rsid w:val="00FA526F"/>
    <w:rsid w:val="00FA57BC"/>
    <w:rsid w:val="00FA5A08"/>
    <w:rsid w:val="00FA5E3F"/>
    <w:rsid w:val="00FA70E5"/>
    <w:rsid w:val="00FB4543"/>
    <w:rsid w:val="00FB74E7"/>
    <w:rsid w:val="00FD125B"/>
    <w:rsid w:val="00FD27B8"/>
    <w:rsid w:val="00FD50E3"/>
    <w:rsid w:val="00FD63D7"/>
    <w:rsid w:val="00FD7232"/>
    <w:rsid w:val="00FE10BB"/>
    <w:rsid w:val="00FE5D2B"/>
    <w:rsid w:val="00FE67DE"/>
    <w:rsid w:val="00FE6E85"/>
    <w:rsid w:val="00FF2A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14:docId w14:val="5778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258B"/>
    <w:pPr>
      <w:spacing w:before="120"/>
      <w:ind w:left="1928"/>
    </w:pPr>
  </w:style>
  <w:style w:type="paragraph" w:styleId="Heading1">
    <w:name w:val="heading 1"/>
    <w:basedOn w:val="Normal"/>
    <w:next w:val="Normal"/>
    <w:link w:val="Heading1Char"/>
    <w:uiPriority w:val="9"/>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D187C"/>
    <w:pPr>
      <w:pBdr>
        <w:top w:val="single" w:sz="4" w:space="6" w:color="auto"/>
      </w:pBdr>
    </w:pPr>
    <w:rPr>
      <w:sz w:val="20"/>
      <w:szCs w:val="20"/>
    </w:rPr>
  </w:style>
  <w:style w:type="character" w:styleId="FootnoteReference">
    <w:name w:val="footnote reference"/>
    <w:basedOn w:val="DefaultParagraphFont"/>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link w:val="HeaderChar"/>
    <w:uiPriority w:val="99"/>
    <w:rsid w:val="00A35E9E"/>
    <w:pPr>
      <w:tabs>
        <w:tab w:val="right" w:pos="10206"/>
      </w:tabs>
      <w:spacing w:before="0"/>
      <w:ind w:left="0"/>
    </w:pPr>
    <w:rPr>
      <w:sz w:val="18"/>
    </w:rPr>
  </w:style>
  <w:style w:type="paragraph" w:styleId="Footer">
    <w:name w:val="footer"/>
    <w:basedOn w:val="Normal"/>
    <w:link w:val="FooterChar"/>
    <w:uiPriority w:val="99"/>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left" w:pos="851"/>
      </w:tabs>
    </w:pPr>
  </w:style>
  <w:style w:type="paragraph" w:styleId="TOC1">
    <w:name w:val="toc 1"/>
    <w:basedOn w:val="Normal"/>
    <w:next w:val="Normal"/>
    <w:uiPriority w:val="39"/>
    <w:rsid w:val="00996262"/>
    <w:pPr>
      <w:spacing w:after="120"/>
    </w:pPr>
  </w:style>
  <w:style w:type="paragraph" w:styleId="TOC2">
    <w:name w:val="toc 2"/>
    <w:basedOn w:val="TOC1"/>
    <w:next w:val="Normal"/>
    <w:uiPriority w:val="39"/>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uiPriority w:val="99"/>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left" w:pos="851"/>
      </w:tabs>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left" w:pos="1134"/>
      </w:tabs>
    </w:pPr>
  </w:style>
  <w:style w:type="paragraph" w:customStyle="1" w:styleId="Heading6Numbered">
    <w:name w:val="Heading 6 Numbered"/>
    <w:basedOn w:val="Heading6"/>
    <w:next w:val="Normal"/>
    <w:rsid w:val="005C0743"/>
    <w:pPr>
      <w:numPr>
        <w:ilvl w:val="5"/>
        <w:numId w:val="1"/>
      </w:numPr>
      <w:tabs>
        <w:tab w:val="left" w:pos="1134"/>
      </w:tabs>
    </w:pPr>
  </w:style>
  <w:style w:type="paragraph" w:customStyle="1" w:styleId="Heading7Numbered">
    <w:name w:val="Heading 7 Numbered"/>
    <w:basedOn w:val="Heading7"/>
    <w:next w:val="Normal"/>
    <w:rsid w:val="005C0743"/>
    <w:pPr>
      <w:numPr>
        <w:ilvl w:val="6"/>
        <w:numId w:val="1"/>
      </w:numPr>
      <w:tabs>
        <w:tab w:val="left" w:pos="1418"/>
      </w:tabs>
    </w:pPr>
  </w:style>
  <w:style w:type="paragraph" w:customStyle="1" w:styleId="Heading8Numbered">
    <w:name w:val="Heading 8 Numbered"/>
    <w:basedOn w:val="Heading8"/>
    <w:next w:val="Normal"/>
    <w:rsid w:val="005C0743"/>
    <w:pPr>
      <w:numPr>
        <w:ilvl w:val="7"/>
        <w:numId w:val="1"/>
      </w:numPr>
      <w:tabs>
        <w:tab w:val="left" w:pos="1701"/>
      </w:tabs>
    </w:pPr>
  </w:style>
  <w:style w:type="paragraph" w:customStyle="1" w:styleId="Heading9Numbered">
    <w:name w:val="Heading 9 Numbered"/>
    <w:basedOn w:val="Heading9"/>
    <w:next w:val="Normal"/>
    <w:rsid w:val="005C0743"/>
    <w:pPr>
      <w:numPr>
        <w:ilvl w:val="8"/>
        <w:numId w:val="1"/>
      </w:numPr>
      <w:tabs>
        <w:tab w:val="left" w:pos="1985"/>
      </w:tabs>
    </w:pPr>
  </w:style>
  <w:style w:type="paragraph" w:styleId="TOCHeading">
    <w:name w:val="TOC Heading"/>
    <w:basedOn w:val="Heading1"/>
    <w:uiPriority w:val="39"/>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BalloonText">
    <w:name w:val="Balloon Text"/>
    <w:basedOn w:val="Normal"/>
    <w:link w:val="BalloonTextChar"/>
    <w:uiPriority w:val="99"/>
    <w:rsid w:val="00EF4A0F"/>
    <w:pPr>
      <w:spacing w:before="0"/>
    </w:pPr>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F51926"/>
    <w:rPr>
      <w:b/>
    </w:rPr>
  </w:style>
  <w:style w:type="character" w:customStyle="1" w:styleId="BalloonTextChar">
    <w:name w:val="Balloon Text Char"/>
    <w:basedOn w:val="DefaultParagraphFont"/>
    <w:link w:val="BalloonText"/>
    <w:uiPriority w:val="99"/>
    <w:rsid w:val="00EF4A0F"/>
    <w:rPr>
      <w:rFonts w:ascii="Tahoma" w:hAnsi="Tahoma" w:cs="Tahoma"/>
      <w:sz w:val="16"/>
      <w:szCs w:val="16"/>
      <w:lang w:eastAsia="en-US"/>
    </w:rPr>
  </w:style>
  <w:style w:type="paragraph" w:styleId="Bibliography">
    <w:name w:val="Bibliography"/>
    <w:basedOn w:val="Normal"/>
    <w:next w:val="Normal"/>
    <w:uiPriority w:val="37"/>
    <w:unhideWhenUsed/>
    <w:rsid w:val="00B72AB2"/>
  </w:style>
  <w:style w:type="character" w:customStyle="1" w:styleId="FootnoteTextChar">
    <w:name w:val="Footnote Text Char"/>
    <w:basedOn w:val="DefaultParagraphFont"/>
    <w:link w:val="FootnoteText"/>
    <w:rsid w:val="00B72AB2"/>
    <w:rPr>
      <w:sz w:val="20"/>
      <w:szCs w:val="20"/>
    </w:rPr>
  </w:style>
  <w:style w:type="character" w:styleId="PlaceholderText">
    <w:name w:val="Placeholder Text"/>
    <w:basedOn w:val="DefaultParagraphFont"/>
    <w:uiPriority w:val="99"/>
    <w:semiHidden/>
    <w:rsid w:val="00B72AB2"/>
    <w:rPr>
      <w:color w:val="808080"/>
    </w:rPr>
  </w:style>
  <w:style w:type="paragraph" w:styleId="ListParagraph">
    <w:name w:val="List Paragraph"/>
    <w:basedOn w:val="Normal"/>
    <w:uiPriority w:val="34"/>
    <w:qFormat/>
    <w:rsid w:val="00B72AB2"/>
    <w:pPr>
      <w:spacing w:before="0"/>
      <w:ind w:left="720"/>
      <w:contextualSpacing/>
    </w:pPr>
    <w:rPr>
      <w:rFonts w:asciiTheme="minorHAnsi" w:eastAsiaTheme="minorEastAsia" w:hAnsiTheme="minorHAnsi" w:cstheme="minorBidi"/>
      <w:lang w:val="en-US" w:eastAsia="en-US"/>
    </w:rPr>
  </w:style>
  <w:style w:type="character" w:customStyle="1" w:styleId="HeaderChar">
    <w:name w:val="Header Char"/>
    <w:basedOn w:val="DefaultParagraphFont"/>
    <w:link w:val="Header"/>
    <w:uiPriority w:val="99"/>
    <w:rsid w:val="00B72AB2"/>
    <w:rPr>
      <w:sz w:val="18"/>
    </w:rPr>
  </w:style>
  <w:style w:type="character" w:customStyle="1" w:styleId="FooterChar">
    <w:name w:val="Footer Char"/>
    <w:basedOn w:val="DefaultParagraphFont"/>
    <w:link w:val="Footer"/>
    <w:uiPriority w:val="99"/>
    <w:rsid w:val="00B72AB2"/>
  </w:style>
  <w:style w:type="character" w:styleId="EndnoteReference">
    <w:name w:val="endnote reference"/>
    <w:basedOn w:val="DefaultParagraphFont"/>
    <w:uiPriority w:val="99"/>
    <w:unhideWhenUsed/>
    <w:rsid w:val="00B72AB2"/>
    <w:rPr>
      <w:vertAlign w:val="superscript"/>
    </w:rPr>
  </w:style>
  <w:style w:type="character" w:customStyle="1" w:styleId="st">
    <w:name w:val="st"/>
    <w:basedOn w:val="DefaultParagraphFont"/>
    <w:rsid w:val="00B72AB2"/>
  </w:style>
  <w:style w:type="character" w:styleId="CommentReference">
    <w:name w:val="annotation reference"/>
    <w:basedOn w:val="DefaultParagraphFont"/>
    <w:uiPriority w:val="99"/>
    <w:unhideWhenUsed/>
    <w:rsid w:val="00B72AB2"/>
    <w:rPr>
      <w:sz w:val="16"/>
      <w:szCs w:val="16"/>
    </w:rPr>
  </w:style>
  <w:style w:type="paragraph" w:styleId="CommentText">
    <w:name w:val="annotation text"/>
    <w:basedOn w:val="Normal"/>
    <w:link w:val="CommentTextChar"/>
    <w:uiPriority w:val="99"/>
    <w:unhideWhenUsed/>
    <w:rsid w:val="00B72AB2"/>
    <w:pPr>
      <w:spacing w:before="0"/>
      <w:ind w:left="0"/>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B72AB2"/>
    <w:rPr>
      <w:rFonts w:asciiTheme="minorHAnsi" w:eastAsiaTheme="minorEastAsia" w:hAnsiTheme="minorHAnsi" w:cstheme="minorBidi"/>
      <w:sz w:val="20"/>
      <w:szCs w:val="20"/>
      <w:lang w:val="en-US" w:eastAsia="en-US"/>
    </w:rPr>
  </w:style>
  <w:style w:type="paragraph" w:styleId="CommentSubject">
    <w:name w:val="annotation subject"/>
    <w:basedOn w:val="CommentText"/>
    <w:next w:val="CommentText"/>
    <w:link w:val="CommentSubjectChar"/>
    <w:uiPriority w:val="99"/>
    <w:unhideWhenUsed/>
    <w:rsid w:val="00B72AB2"/>
    <w:rPr>
      <w:b/>
      <w:bCs/>
    </w:rPr>
  </w:style>
  <w:style w:type="character" w:customStyle="1" w:styleId="CommentSubjectChar">
    <w:name w:val="Comment Subject Char"/>
    <w:basedOn w:val="CommentTextChar"/>
    <w:link w:val="CommentSubject"/>
    <w:uiPriority w:val="99"/>
    <w:rsid w:val="00B72AB2"/>
    <w:rPr>
      <w:rFonts w:asciiTheme="minorHAnsi" w:eastAsiaTheme="minorEastAsia" w:hAnsiTheme="minorHAnsi" w:cstheme="minorBidi"/>
      <w:b/>
      <w:bCs/>
      <w:sz w:val="20"/>
      <w:szCs w:val="20"/>
      <w:lang w:val="en-US" w:eastAsia="en-US"/>
    </w:rPr>
  </w:style>
  <w:style w:type="paragraph" w:customStyle="1" w:styleId="Numbered">
    <w:name w:val="Numbered"/>
    <w:basedOn w:val="Normal"/>
    <w:rsid w:val="00B72AB2"/>
    <w:pPr>
      <w:widowControl w:val="0"/>
      <w:overflowPunct w:val="0"/>
      <w:autoSpaceDE w:val="0"/>
      <w:autoSpaceDN w:val="0"/>
      <w:adjustRightInd w:val="0"/>
      <w:spacing w:before="0" w:after="240"/>
      <w:ind w:left="0"/>
      <w:textAlignment w:val="baseline"/>
    </w:pPr>
    <w:rPr>
      <w:szCs w:val="20"/>
      <w:lang w:eastAsia="en-US"/>
    </w:rPr>
  </w:style>
  <w:style w:type="paragraph" w:styleId="Revision">
    <w:name w:val="Revision"/>
    <w:hidden/>
    <w:uiPriority w:val="99"/>
    <w:semiHidden/>
    <w:rsid w:val="00B72AB2"/>
    <w:rPr>
      <w:rFonts w:asciiTheme="minorHAnsi" w:eastAsiaTheme="minorEastAsia" w:hAnsiTheme="minorHAnsi" w:cstheme="minorBidi"/>
      <w:lang w:val="en-US" w:eastAsia="en-US"/>
    </w:rPr>
  </w:style>
  <w:style w:type="paragraph" w:styleId="PlainText">
    <w:name w:val="Plain Text"/>
    <w:basedOn w:val="Normal"/>
    <w:link w:val="PlainTextChar"/>
    <w:uiPriority w:val="99"/>
    <w:unhideWhenUsed/>
    <w:rsid w:val="00B72AB2"/>
    <w:pPr>
      <w:spacing w:before="0"/>
      <w:ind w:left="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B72AB2"/>
    <w:rPr>
      <w:rFonts w:ascii="Calibri" w:eastAsiaTheme="minorHAnsi" w:hAnsi="Calibri" w:cstheme="minorBidi"/>
      <w:sz w:val="22"/>
      <w:szCs w:val="21"/>
      <w:lang w:eastAsia="en-US"/>
    </w:rPr>
  </w:style>
  <w:style w:type="character" w:customStyle="1" w:styleId="Heading1Char">
    <w:name w:val="Heading 1 Char"/>
    <w:basedOn w:val="DefaultParagraphFont"/>
    <w:link w:val="Heading1"/>
    <w:uiPriority w:val="9"/>
    <w:rsid w:val="00B72AB2"/>
    <w:rPr>
      <w:sz w:val="56"/>
    </w:rPr>
  </w:style>
  <w:style w:type="paragraph" w:styleId="Date">
    <w:name w:val="Date"/>
    <w:basedOn w:val="Normal"/>
    <w:next w:val="Normal"/>
    <w:link w:val="DateChar"/>
    <w:rsid w:val="006B438D"/>
  </w:style>
  <w:style w:type="character" w:customStyle="1" w:styleId="DateChar">
    <w:name w:val="Date Char"/>
    <w:basedOn w:val="DefaultParagraphFont"/>
    <w:link w:val="Date"/>
    <w:rsid w:val="006B43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258B"/>
    <w:pPr>
      <w:spacing w:before="120"/>
      <w:ind w:left="1928"/>
    </w:pPr>
  </w:style>
  <w:style w:type="paragraph" w:styleId="Heading1">
    <w:name w:val="heading 1"/>
    <w:basedOn w:val="Normal"/>
    <w:next w:val="Normal"/>
    <w:link w:val="Heading1Char"/>
    <w:uiPriority w:val="9"/>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D187C"/>
    <w:pPr>
      <w:pBdr>
        <w:top w:val="single" w:sz="4" w:space="6" w:color="auto"/>
      </w:pBdr>
    </w:pPr>
    <w:rPr>
      <w:sz w:val="20"/>
      <w:szCs w:val="20"/>
    </w:rPr>
  </w:style>
  <w:style w:type="character" w:styleId="FootnoteReference">
    <w:name w:val="footnote reference"/>
    <w:basedOn w:val="DefaultParagraphFont"/>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link w:val="HeaderChar"/>
    <w:uiPriority w:val="99"/>
    <w:rsid w:val="00A35E9E"/>
    <w:pPr>
      <w:tabs>
        <w:tab w:val="right" w:pos="10206"/>
      </w:tabs>
      <w:spacing w:before="0"/>
      <w:ind w:left="0"/>
    </w:pPr>
    <w:rPr>
      <w:sz w:val="18"/>
    </w:rPr>
  </w:style>
  <w:style w:type="paragraph" w:styleId="Footer">
    <w:name w:val="footer"/>
    <w:basedOn w:val="Normal"/>
    <w:link w:val="FooterChar"/>
    <w:uiPriority w:val="99"/>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left" w:pos="851"/>
      </w:tabs>
    </w:pPr>
  </w:style>
  <w:style w:type="paragraph" w:styleId="TOC1">
    <w:name w:val="toc 1"/>
    <w:basedOn w:val="Normal"/>
    <w:next w:val="Normal"/>
    <w:uiPriority w:val="39"/>
    <w:rsid w:val="00996262"/>
    <w:pPr>
      <w:spacing w:after="120"/>
    </w:pPr>
  </w:style>
  <w:style w:type="paragraph" w:styleId="TOC2">
    <w:name w:val="toc 2"/>
    <w:basedOn w:val="TOC1"/>
    <w:next w:val="Normal"/>
    <w:uiPriority w:val="39"/>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uiPriority w:val="99"/>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left" w:pos="851"/>
      </w:tabs>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left" w:pos="1134"/>
      </w:tabs>
    </w:pPr>
  </w:style>
  <w:style w:type="paragraph" w:customStyle="1" w:styleId="Heading6Numbered">
    <w:name w:val="Heading 6 Numbered"/>
    <w:basedOn w:val="Heading6"/>
    <w:next w:val="Normal"/>
    <w:rsid w:val="005C0743"/>
    <w:pPr>
      <w:numPr>
        <w:ilvl w:val="5"/>
        <w:numId w:val="1"/>
      </w:numPr>
      <w:tabs>
        <w:tab w:val="left" w:pos="1134"/>
      </w:tabs>
    </w:pPr>
  </w:style>
  <w:style w:type="paragraph" w:customStyle="1" w:styleId="Heading7Numbered">
    <w:name w:val="Heading 7 Numbered"/>
    <w:basedOn w:val="Heading7"/>
    <w:next w:val="Normal"/>
    <w:rsid w:val="005C0743"/>
    <w:pPr>
      <w:numPr>
        <w:ilvl w:val="6"/>
        <w:numId w:val="1"/>
      </w:numPr>
      <w:tabs>
        <w:tab w:val="left" w:pos="1418"/>
      </w:tabs>
    </w:pPr>
  </w:style>
  <w:style w:type="paragraph" w:customStyle="1" w:styleId="Heading8Numbered">
    <w:name w:val="Heading 8 Numbered"/>
    <w:basedOn w:val="Heading8"/>
    <w:next w:val="Normal"/>
    <w:rsid w:val="005C0743"/>
    <w:pPr>
      <w:numPr>
        <w:ilvl w:val="7"/>
        <w:numId w:val="1"/>
      </w:numPr>
      <w:tabs>
        <w:tab w:val="left" w:pos="1701"/>
      </w:tabs>
    </w:pPr>
  </w:style>
  <w:style w:type="paragraph" w:customStyle="1" w:styleId="Heading9Numbered">
    <w:name w:val="Heading 9 Numbered"/>
    <w:basedOn w:val="Heading9"/>
    <w:next w:val="Normal"/>
    <w:rsid w:val="005C0743"/>
    <w:pPr>
      <w:numPr>
        <w:ilvl w:val="8"/>
        <w:numId w:val="1"/>
      </w:numPr>
      <w:tabs>
        <w:tab w:val="left" w:pos="1985"/>
      </w:tabs>
    </w:pPr>
  </w:style>
  <w:style w:type="paragraph" w:styleId="TOCHeading">
    <w:name w:val="TOC Heading"/>
    <w:basedOn w:val="Heading1"/>
    <w:uiPriority w:val="39"/>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BalloonText">
    <w:name w:val="Balloon Text"/>
    <w:basedOn w:val="Normal"/>
    <w:link w:val="BalloonTextChar"/>
    <w:uiPriority w:val="99"/>
    <w:rsid w:val="00EF4A0F"/>
    <w:pPr>
      <w:spacing w:before="0"/>
    </w:pPr>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F51926"/>
    <w:rPr>
      <w:b/>
    </w:rPr>
  </w:style>
  <w:style w:type="character" w:customStyle="1" w:styleId="BalloonTextChar">
    <w:name w:val="Balloon Text Char"/>
    <w:basedOn w:val="DefaultParagraphFont"/>
    <w:link w:val="BalloonText"/>
    <w:uiPriority w:val="99"/>
    <w:rsid w:val="00EF4A0F"/>
    <w:rPr>
      <w:rFonts w:ascii="Tahoma" w:hAnsi="Tahoma" w:cs="Tahoma"/>
      <w:sz w:val="16"/>
      <w:szCs w:val="16"/>
      <w:lang w:eastAsia="en-US"/>
    </w:rPr>
  </w:style>
  <w:style w:type="paragraph" w:styleId="Bibliography">
    <w:name w:val="Bibliography"/>
    <w:basedOn w:val="Normal"/>
    <w:next w:val="Normal"/>
    <w:uiPriority w:val="37"/>
    <w:unhideWhenUsed/>
    <w:rsid w:val="00B72AB2"/>
  </w:style>
  <w:style w:type="character" w:customStyle="1" w:styleId="FootnoteTextChar">
    <w:name w:val="Footnote Text Char"/>
    <w:basedOn w:val="DefaultParagraphFont"/>
    <w:link w:val="FootnoteText"/>
    <w:rsid w:val="00B72AB2"/>
    <w:rPr>
      <w:sz w:val="20"/>
      <w:szCs w:val="20"/>
    </w:rPr>
  </w:style>
  <w:style w:type="character" w:styleId="PlaceholderText">
    <w:name w:val="Placeholder Text"/>
    <w:basedOn w:val="DefaultParagraphFont"/>
    <w:uiPriority w:val="99"/>
    <w:semiHidden/>
    <w:rsid w:val="00B72AB2"/>
    <w:rPr>
      <w:color w:val="808080"/>
    </w:rPr>
  </w:style>
  <w:style w:type="paragraph" w:styleId="ListParagraph">
    <w:name w:val="List Paragraph"/>
    <w:basedOn w:val="Normal"/>
    <w:uiPriority w:val="34"/>
    <w:qFormat/>
    <w:rsid w:val="00B72AB2"/>
    <w:pPr>
      <w:spacing w:before="0"/>
      <w:ind w:left="720"/>
      <w:contextualSpacing/>
    </w:pPr>
    <w:rPr>
      <w:rFonts w:asciiTheme="minorHAnsi" w:eastAsiaTheme="minorEastAsia" w:hAnsiTheme="minorHAnsi" w:cstheme="minorBidi"/>
      <w:lang w:val="en-US" w:eastAsia="en-US"/>
    </w:rPr>
  </w:style>
  <w:style w:type="character" w:customStyle="1" w:styleId="HeaderChar">
    <w:name w:val="Header Char"/>
    <w:basedOn w:val="DefaultParagraphFont"/>
    <w:link w:val="Header"/>
    <w:uiPriority w:val="99"/>
    <w:rsid w:val="00B72AB2"/>
    <w:rPr>
      <w:sz w:val="18"/>
    </w:rPr>
  </w:style>
  <w:style w:type="character" w:customStyle="1" w:styleId="FooterChar">
    <w:name w:val="Footer Char"/>
    <w:basedOn w:val="DefaultParagraphFont"/>
    <w:link w:val="Footer"/>
    <w:uiPriority w:val="99"/>
    <w:rsid w:val="00B72AB2"/>
  </w:style>
  <w:style w:type="character" w:styleId="EndnoteReference">
    <w:name w:val="endnote reference"/>
    <w:basedOn w:val="DefaultParagraphFont"/>
    <w:uiPriority w:val="99"/>
    <w:unhideWhenUsed/>
    <w:rsid w:val="00B72AB2"/>
    <w:rPr>
      <w:vertAlign w:val="superscript"/>
    </w:rPr>
  </w:style>
  <w:style w:type="character" w:customStyle="1" w:styleId="st">
    <w:name w:val="st"/>
    <w:basedOn w:val="DefaultParagraphFont"/>
    <w:rsid w:val="00B72AB2"/>
  </w:style>
  <w:style w:type="character" w:styleId="CommentReference">
    <w:name w:val="annotation reference"/>
    <w:basedOn w:val="DefaultParagraphFont"/>
    <w:uiPriority w:val="99"/>
    <w:unhideWhenUsed/>
    <w:rsid w:val="00B72AB2"/>
    <w:rPr>
      <w:sz w:val="16"/>
      <w:szCs w:val="16"/>
    </w:rPr>
  </w:style>
  <w:style w:type="paragraph" w:styleId="CommentText">
    <w:name w:val="annotation text"/>
    <w:basedOn w:val="Normal"/>
    <w:link w:val="CommentTextChar"/>
    <w:uiPriority w:val="99"/>
    <w:unhideWhenUsed/>
    <w:rsid w:val="00B72AB2"/>
    <w:pPr>
      <w:spacing w:before="0"/>
      <w:ind w:left="0"/>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B72AB2"/>
    <w:rPr>
      <w:rFonts w:asciiTheme="minorHAnsi" w:eastAsiaTheme="minorEastAsia" w:hAnsiTheme="minorHAnsi" w:cstheme="minorBidi"/>
      <w:sz w:val="20"/>
      <w:szCs w:val="20"/>
      <w:lang w:val="en-US" w:eastAsia="en-US"/>
    </w:rPr>
  </w:style>
  <w:style w:type="paragraph" w:styleId="CommentSubject">
    <w:name w:val="annotation subject"/>
    <w:basedOn w:val="CommentText"/>
    <w:next w:val="CommentText"/>
    <w:link w:val="CommentSubjectChar"/>
    <w:uiPriority w:val="99"/>
    <w:unhideWhenUsed/>
    <w:rsid w:val="00B72AB2"/>
    <w:rPr>
      <w:b/>
      <w:bCs/>
    </w:rPr>
  </w:style>
  <w:style w:type="character" w:customStyle="1" w:styleId="CommentSubjectChar">
    <w:name w:val="Comment Subject Char"/>
    <w:basedOn w:val="CommentTextChar"/>
    <w:link w:val="CommentSubject"/>
    <w:uiPriority w:val="99"/>
    <w:rsid w:val="00B72AB2"/>
    <w:rPr>
      <w:rFonts w:asciiTheme="minorHAnsi" w:eastAsiaTheme="minorEastAsia" w:hAnsiTheme="minorHAnsi" w:cstheme="minorBidi"/>
      <w:b/>
      <w:bCs/>
      <w:sz w:val="20"/>
      <w:szCs w:val="20"/>
      <w:lang w:val="en-US" w:eastAsia="en-US"/>
    </w:rPr>
  </w:style>
  <w:style w:type="paragraph" w:customStyle="1" w:styleId="Numbered">
    <w:name w:val="Numbered"/>
    <w:basedOn w:val="Normal"/>
    <w:rsid w:val="00B72AB2"/>
    <w:pPr>
      <w:widowControl w:val="0"/>
      <w:overflowPunct w:val="0"/>
      <w:autoSpaceDE w:val="0"/>
      <w:autoSpaceDN w:val="0"/>
      <w:adjustRightInd w:val="0"/>
      <w:spacing w:before="0" w:after="240"/>
      <w:ind w:left="0"/>
      <w:textAlignment w:val="baseline"/>
    </w:pPr>
    <w:rPr>
      <w:szCs w:val="20"/>
      <w:lang w:eastAsia="en-US"/>
    </w:rPr>
  </w:style>
  <w:style w:type="paragraph" w:styleId="Revision">
    <w:name w:val="Revision"/>
    <w:hidden/>
    <w:uiPriority w:val="99"/>
    <w:semiHidden/>
    <w:rsid w:val="00B72AB2"/>
    <w:rPr>
      <w:rFonts w:asciiTheme="minorHAnsi" w:eastAsiaTheme="minorEastAsia" w:hAnsiTheme="minorHAnsi" w:cstheme="minorBidi"/>
      <w:lang w:val="en-US" w:eastAsia="en-US"/>
    </w:rPr>
  </w:style>
  <w:style w:type="paragraph" w:styleId="PlainText">
    <w:name w:val="Plain Text"/>
    <w:basedOn w:val="Normal"/>
    <w:link w:val="PlainTextChar"/>
    <w:uiPriority w:val="99"/>
    <w:unhideWhenUsed/>
    <w:rsid w:val="00B72AB2"/>
    <w:pPr>
      <w:spacing w:before="0"/>
      <w:ind w:left="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B72AB2"/>
    <w:rPr>
      <w:rFonts w:ascii="Calibri" w:eastAsiaTheme="minorHAnsi" w:hAnsi="Calibri" w:cstheme="minorBidi"/>
      <w:sz w:val="22"/>
      <w:szCs w:val="21"/>
      <w:lang w:eastAsia="en-US"/>
    </w:rPr>
  </w:style>
  <w:style w:type="character" w:customStyle="1" w:styleId="Heading1Char">
    <w:name w:val="Heading 1 Char"/>
    <w:basedOn w:val="DefaultParagraphFont"/>
    <w:link w:val="Heading1"/>
    <w:uiPriority w:val="9"/>
    <w:rsid w:val="00B72AB2"/>
    <w:rPr>
      <w:sz w:val="56"/>
    </w:rPr>
  </w:style>
  <w:style w:type="paragraph" w:styleId="Date">
    <w:name w:val="Date"/>
    <w:basedOn w:val="Normal"/>
    <w:next w:val="Normal"/>
    <w:link w:val="DateChar"/>
    <w:rsid w:val="006B438D"/>
  </w:style>
  <w:style w:type="character" w:customStyle="1" w:styleId="DateChar">
    <w:name w:val="Date Char"/>
    <w:basedOn w:val="DefaultParagraphFont"/>
    <w:link w:val="Date"/>
    <w:rsid w:val="006B4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31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2" Type="http://schemas.openxmlformats.org/officeDocument/2006/relationships/hyperlink" Target="http://www.nhsconfed.org/priorities/political-engagement/Pages/NHS-statistics.aspx" TargetMode="External"/><Relationship Id="rId1" Type="http://schemas.openxmlformats.org/officeDocument/2006/relationships/hyperlink" Target="http://www.northwest.nhs.uk/document_uploads/Choose%20Well/A4_feeling_unwell_poster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CMS\Standard%20DCMS\Publica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DE07E-C51C-4934-B5F7-F1FDA96A5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Publication.dotm</Template>
  <TotalTime>1</TotalTime>
  <Pages>32</Pages>
  <Words>11807</Words>
  <Characters>67302</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Department for Culture, Media and Sport</Company>
  <LinksUpToDate>false</LinksUpToDate>
  <CharactersWithSpaces>78952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Lee</dc:creator>
  <cp:lastModifiedBy>CAMERON, Douglas</cp:lastModifiedBy>
  <cp:revision>2</cp:revision>
  <cp:lastPrinted>2014-04-16T16:10:00Z</cp:lastPrinted>
  <dcterms:created xsi:type="dcterms:W3CDTF">2014-04-17T12:58:00Z</dcterms:created>
  <dcterms:modified xsi:type="dcterms:W3CDTF">2014-04-17T12:58:00Z</dcterms:modified>
</cp:coreProperties>
</file>