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F6" w:rsidRPr="00A618DA" w:rsidRDefault="002454F6" w:rsidP="002454F6">
      <w:pPr>
        <w:tabs>
          <w:tab w:val="left" w:pos="709"/>
        </w:tabs>
        <w:spacing w:after="200" w:line="276" w:lineRule="auto"/>
        <w:ind w:left="709" w:hanging="709"/>
        <w:textAlignment w:val="baseline"/>
        <w:rPr>
          <w:rFonts w:ascii="Arial" w:hAnsi="Arial" w:cs="Arial"/>
          <w:b/>
          <w:caps/>
          <w:sz w:val="22"/>
          <w:szCs w:val="22"/>
          <w:lang w:eastAsia="en-US"/>
        </w:rPr>
      </w:pPr>
      <w:r>
        <w:rPr>
          <w:rFonts w:ascii="Arial" w:hAnsi="Arial" w:cs="Arial"/>
          <w:b/>
          <w:caps/>
          <w:noProof/>
          <w:sz w:val="20"/>
        </w:rPr>
        <w:drawing>
          <wp:inline distT="0" distB="0" distL="0" distR="0" wp14:anchorId="45A5094B" wp14:editId="67625CC2">
            <wp:extent cx="1390650" cy="1114425"/>
            <wp:effectExtent l="0" t="0" r="0" b="9525"/>
            <wp:docPr id="2" name="Picture 2" descr="Description: HCA-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gov-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114425"/>
                    </a:xfrm>
                    <a:prstGeom prst="rect">
                      <a:avLst/>
                    </a:prstGeom>
                    <a:noFill/>
                    <a:ln>
                      <a:noFill/>
                    </a:ln>
                  </pic:spPr>
                </pic:pic>
              </a:graphicData>
            </a:graphic>
          </wp:inline>
        </w:drawing>
      </w:r>
    </w:p>
    <w:p w:rsidR="002454F6" w:rsidRDefault="002454F6" w:rsidP="002454F6">
      <w:r w:rsidRPr="00A618DA">
        <w:rPr>
          <w:rFonts w:ascii="Arial" w:eastAsia="Calibri" w:hAnsi="Arial" w:cs="Arial"/>
          <w:b/>
          <w:sz w:val="22"/>
          <w:szCs w:val="22"/>
          <w:lang w:eastAsia="en-US"/>
        </w:rPr>
        <w:t>The Social Housing Regulator</w:t>
      </w:r>
    </w:p>
    <w:p w:rsidR="002454F6" w:rsidRDefault="002454F6" w:rsidP="002454F6">
      <w:pPr>
        <w:rPr>
          <w:rFonts w:ascii="Arial" w:hAnsi="Arial" w:cs="Arial"/>
          <w:sz w:val="22"/>
          <w:szCs w:val="22"/>
        </w:rPr>
      </w:pPr>
    </w:p>
    <w:p w:rsidR="002454F6" w:rsidRPr="0080646E" w:rsidRDefault="002454F6" w:rsidP="002454F6">
      <w:pPr>
        <w:rPr>
          <w:rFonts w:ascii="Arial" w:hAnsi="Arial" w:cs="Arial"/>
          <w:sz w:val="22"/>
          <w:szCs w:val="22"/>
        </w:rPr>
      </w:pPr>
      <w:r w:rsidRPr="0080646E">
        <w:rPr>
          <w:rFonts w:ascii="Arial" w:hAnsi="Arial" w:cs="Arial"/>
          <w:sz w:val="22"/>
          <w:szCs w:val="22"/>
        </w:rPr>
        <w:t>1</w:t>
      </w:r>
      <w:r>
        <w:rPr>
          <w:rFonts w:ascii="Arial" w:hAnsi="Arial" w:cs="Arial"/>
          <w:sz w:val="22"/>
          <w:szCs w:val="22"/>
        </w:rPr>
        <w:t>4</w:t>
      </w:r>
      <w:r w:rsidRPr="0080646E">
        <w:rPr>
          <w:rFonts w:ascii="Arial" w:hAnsi="Arial" w:cs="Arial"/>
          <w:sz w:val="22"/>
          <w:szCs w:val="22"/>
        </w:rPr>
        <w:t xml:space="preserve"> August 2014</w:t>
      </w:r>
    </w:p>
    <w:p w:rsidR="002454F6" w:rsidRDefault="002454F6" w:rsidP="002454F6"/>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r w:rsidRPr="00302F74">
        <w:rPr>
          <w:rFonts w:ascii="Arial" w:hAnsi="Arial" w:cs="Arial"/>
          <w:sz w:val="22"/>
          <w:szCs w:val="22"/>
        </w:rPr>
        <w:t>Dear Chief Executive</w:t>
      </w:r>
    </w:p>
    <w:p w:rsidR="002454F6" w:rsidRPr="00302F74" w:rsidRDefault="002454F6" w:rsidP="002454F6">
      <w:pPr>
        <w:overflowPunct w:val="0"/>
        <w:autoSpaceDE w:val="0"/>
        <w:autoSpaceDN w:val="0"/>
        <w:adjustRightInd w:val="0"/>
        <w:ind w:left="180"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ind w:right="360"/>
        <w:jc w:val="both"/>
        <w:textAlignment w:val="baseline"/>
        <w:rPr>
          <w:rFonts w:ascii="Arial" w:hAnsi="Arial" w:cs="Arial"/>
          <w:b/>
          <w:sz w:val="22"/>
          <w:szCs w:val="22"/>
        </w:rPr>
      </w:pPr>
      <w:r w:rsidRPr="00302F74">
        <w:rPr>
          <w:rFonts w:ascii="Arial" w:hAnsi="Arial" w:cs="Arial"/>
          <w:b/>
          <w:sz w:val="22"/>
          <w:szCs w:val="22"/>
        </w:rPr>
        <w:t>Submission of Annual Accounts</w:t>
      </w:r>
    </w:p>
    <w:p w:rsidR="002454F6"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Default="002454F6" w:rsidP="002454F6">
      <w:pPr>
        <w:overflowPunct w:val="0"/>
        <w:autoSpaceDE w:val="0"/>
        <w:autoSpaceDN w:val="0"/>
        <w:adjustRightInd w:val="0"/>
        <w:ind w:right="360"/>
        <w:jc w:val="both"/>
        <w:textAlignment w:val="baseline"/>
        <w:rPr>
          <w:rFonts w:ascii="Arial" w:hAnsi="Arial" w:cs="Arial"/>
          <w:sz w:val="22"/>
          <w:szCs w:val="22"/>
        </w:rPr>
      </w:pPr>
      <w:r>
        <w:rPr>
          <w:rFonts w:ascii="Arial" w:hAnsi="Arial" w:cs="Arial"/>
          <w:sz w:val="22"/>
          <w:szCs w:val="22"/>
        </w:rPr>
        <w:t>We thought it would be helpful to write to all providers to remind them of the importance of submitting their annual accounts on a timely basis to the regulator. The accounts are one of our key sources of regulatory assurance and an important document for all your stakeholders.</w:t>
      </w:r>
    </w:p>
    <w:p w:rsidR="002454F6"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r>
        <w:rPr>
          <w:rFonts w:ascii="Arial" w:hAnsi="Arial" w:cs="Arial"/>
          <w:sz w:val="22"/>
          <w:szCs w:val="22"/>
        </w:rPr>
        <w:t xml:space="preserve">Providers must submit their accounts within six months of their </w:t>
      </w:r>
      <w:proofErr w:type="spellStart"/>
      <w:r>
        <w:rPr>
          <w:rFonts w:ascii="Arial" w:hAnsi="Arial" w:cs="Arial"/>
          <w:sz w:val="22"/>
          <w:szCs w:val="22"/>
        </w:rPr>
        <w:t>year end</w:t>
      </w:r>
      <w:proofErr w:type="spellEnd"/>
      <w:r>
        <w:rPr>
          <w:rFonts w:ascii="Arial" w:hAnsi="Arial" w:cs="Arial"/>
          <w:sz w:val="22"/>
          <w:szCs w:val="22"/>
        </w:rPr>
        <w:t xml:space="preserve"> as specified u</w:t>
      </w:r>
      <w:r w:rsidRPr="00302F74">
        <w:rPr>
          <w:rFonts w:ascii="Arial" w:hAnsi="Arial" w:cs="Arial"/>
          <w:sz w:val="22"/>
          <w:szCs w:val="22"/>
        </w:rPr>
        <w:t>nder Section 128 of the Housing and Regeneration Act 2008. For the majority of providers this means by the end of September.</w:t>
      </w:r>
      <w:r>
        <w:rPr>
          <w:rFonts w:ascii="Arial" w:hAnsi="Arial" w:cs="Arial"/>
          <w:sz w:val="22"/>
          <w:szCs w:val="22"/>
        </w:rPr>
        <w:t xml:space="preserve"> </w:t>
      </w:r>
      <w:r w:rsidRPr="00302F74">
        <w:rPr>
          <w:rFonts w:ascii="Arial" w:hAnsi="Arial" w:cs="Arial"/>
          <w:sz w:val="22"/>
          <w:szCs w:val="22"/>
        </w:rPr>
        <w:t xml:space="preserve">Guidance on submission of </w:t>
      </w:r>
      <w:proofErr w:type="gramStart"/>
      <w:r w:rsidRPr="00302F74">
        <w:rPr>
          <w:rFonts w:ascii="Arial" w:hAnsi="Arial" w:cs="Arial"/>
          <w:sz w:val="22"/>
          <w:szCs w:val="22"/>
        </w:rPr>
        <w:t>accounts,</w:t>
      </w:r>
      <w:proofErr w:type="gramEnd"/>
      <w:r w:rsidRPr="00302F74">
        <w:rPr>
          <w:rFonts w:ascii="Arial" w:hAnsi="Arial" w:cs="Arial"/>
          <w:sz w:val="22"/>
          <w:szCs w:val="22"/>
        </w:rPr>
        <w:t xml:space="preserve"> is available on the HCA website</w:t>
      </w:r>
      <w:r>
        <w:rPr>
          <w:rFonts w:ascii="Arial" w:hAnsi="Arial" w:cs="Arial"/>
          <w:sz w:val="22"/>
          <w:szCs w:val="22"/>
        </w:rPr>
        <w:t xml:space="preserve"> and</w:t>
      </w:r>
      <w:r w:rsidRPr="00302F74">
        <w:rPr>
          <w:rFonts w:ascii="Arial" w:hAnsi="Arial" w:cs="Arial"/>
          <w:sz w:val="22"/>
          <w:szCs w:val="22"/>
        </w:rPr>
        <w:t xml:space="preserve"> is reproduced below. </w:t>
      </w: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ind w:right="360"/>
        <w:jc w:val="both"/>
        <w:textAlignment w:val="baseline"/>
        <w:rPr>
          <w:rFonts w:ascii="Arial" w:eastAsia="Calibri" w:hAnsi="Arial" w:cs="Arial"/>
          <w:sz w:val="22"/>
          <w:szCs w:val="22"/>
          <w:lang w:eastAsia="en-US"/>
        </w:rPr>
      </w:pPr>
      <w:r w:rsidRPr="00302F74">
        <w:rPr>
          <w:rFonts w:ascii="Arial" w:hAnsi="Arial" w:cs="Arial"/>
          <w:sz w:val="22"/>
          <w:szCs w:val="22"/>
        </w:rPr>
        <w:t>The Regulator considers that submission of accurate, complete and timely returns is a fundamental responsibility of provider</w:t>
      </w:r>
      <w:r>
        <w:rPr>
          <w:rFonts w:ascii="Arial" w:hAnsi="Arial" w:cs="Arial"/>
          <w:sz w:val="22"/>
          <w:szCs w:val="22"/>
        </w:rPr>
        <w:t>s and a key part of the co-regulatory system.</w:t>
      </w:r>
      <w:r w:rsidRPr="00302F74">
        <w:rPr>
          <w:rFonts w:ascii="Arial" w:hAnsi="Arial" w:cs="Arial"/>
          <w:sz w:val="22"/>
          <w:szCs w:val="22"/>
        </w:rPr>
        <w:t xml:space="preserve"> </w:t>
      </w:r>
      <w:r w:rsidRPr="00302F74">
        <w:rPr>
          <w:rFonts w:ascii="Arial" w:eastAsia="Calibri" w:hAnsi="Arial" w:cs="Arial"/>
          <w:sz w:val="22"/>
          <w:szCs w:val="22"/>
          <w:lang w:eastAsia="en-US"/>
        </w:rPr>
        <w:t xml:space="preserve">We stressed the seriousness with which we </w:t>
      </w:r>
      <w:r>
        <w:rPr>
          <w:rFonts w:ascii="Arial" w:eastAsia="Calibri" w:hAnsi="Arial" w:cs="Arial"/>
          <w:sz w:val="22"/>
          <w:szCs w:val="22"/>
          <w:lang w:eastAsia="en-US"/>
        </w:rPr>
        <w:t>regard</w:t>
      </w:r>
      <w:r w:rsidRPr="00302F74">
        <w:rPr>
          <w:rFonts w:ascii="Arial" w:eastAsia="Calibri" w:hAnsi="Arial" w:cs="Arial"/>
          <w:sz w:val="22"/>
          <w:szCs w:val="22"/>
          <w:lang w:eastAsia="en-US"/>
        </w:rPr>
        <w:t xml:space="preserve"> late or poor quality returns in the Regulating the Standards document (re)published in January 2014 and letters sent to provider chief executives in March 2014. Those documents set out that the Regulator may reflect the submission of poor quality or late returns in its regulatory judgements on providers. </w:t>
      </w:r>
    </w:p>
    <w:p w:rsidR="002454F6" w:rsidRPr="00302F74" w:rsidRDefault="002454F6" w:rsidP="002454F6">
      <w:pPr>
        <w:overflowPunct w:val="0"/>
        <w:autoSpaceDE w:val="0"/>
        <w:autoSpaceDN w:val="0"/>
        <w:adjustRightInd w:val="0"/>
        <w:ind w:right="360"/>
        <w:jc w:val="both"/>
        <w:textAlignment w:val="baseline"/>
        <w:rPr>
          <w:rFonts w:ascii="Arial" w:eastAsia="Calibri" w:hAnsi="Arial" w:cs="Arial"/>
          <w:sz w:val="22"/>
          <w:szCs w:val="22"/>
          <w:lang w:eastAsia="en-US"/>
        </w:rPr>
      </w:pP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r w:rsidRPr="00302F74">
        <w:rPr>
          <w:rFonts w:ascii="Arial" w:hAnsi="Arial" w:cs="Arial"/>
          <w:sz w:val="22"/>
          <w:szCs w:val="22"/>
        </w:rPr>
        <w:t xml:space="preserve">In addition, in autumn 2014, the Regulator will introduce a system whereby those providers that have failed to submit their accounts in line with their statutory obligations will be publicised. That may be by issue of a Regulatory Notice applicable to an individual provider or by publication of a list of providers to the Regulator’s website. </w:t>
      </w: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r w:rsidRPr="00302F74">
        <w:rPr>
          <w:rFonts w:ascii="Arial" w:hAnsi="Arial" w:cs="Arial"/>
          <w:sz w:val="22"/>
          <w:szCs w:val="22"/>
        </w:rPr>
        <w:t xml:space="preserve">Should you have any queries relating to the submission of accounts please contact the Referrals &amp; Regulatory Enquiries Team at </w:t>
      </w:r>
      <w:hyperlink r:id="rId8" w:history="1">
        <w:r w:rsidRPr="00302F74">
          <w:rPr>
            <w:rFonts w:ascii="Arial" w:hAnsi="Arial" w:cs="Arial"/>
            <w:color w:val="0000FF"/>
            <w:sz w:val="22"/>
            <w:szCs w:val="22"/>
            <w:u w:val="single"/>
          </w:rPr>
          <w:t>mail@homesandcommunities.co.uk</w:t>
        </w:r>
      </w:hyperlink>
      <w:r w:rsidRPr="00302F74">
        <w:rPr>
          <w:rFonts w:ascii="Arial" w:hAnsi="Arial" w:cs="Arial"/>
          <w:sz w:val="22"/>
          <w:szCs w:val="22"/>
        </w:rPr>
        <w:t xml:space="preserve">  Tel: 0300 1234 500</w:t>
      </w: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r w:rsidRPr="00302F74">
        <w:rPr>
          <w:rFonts w:ascii="Arial" w:hAnsi="Arial" w:cs="Arial"/>
          <w:sz w:val="22"/>
          <w:szCs w:val="22"/>
        </w:rPr>
        <w:t>Yours faithfully,</w:t>
      </w: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r>
        <w:rPr>
          <w:rFonts w:cs="Calibri"/>
          <w:noProof/>
        </w:rPr>
        <w:drawing>
          <wp:inline distT="0" distB="0" distL="0" distR="0" wp14:anchorId="438D6880" wp14:editId="22EED12A">
            <wp:extent cx="2409825" cy="695325"/>
            <wp:effectExtent l="0" t="0" r="9525" b="9525"/>
            <wp:docPr id="1" name="Picture 1" descr="Description: Description: H:\My Documents\Walt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My Documents\Walter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95325"/>
                    </a:xfrm>
                    <a:prstGeom prst="rect">
                      <a:avLst/>
                    </a:prstGeom>
                    <a:noFill/>
                    <a:ln>
                      <a:noFill/>
                    </a:ln>
                  </pic:spPr>
                </pic:pic>
              </a:graphicData>
            </a:graphic>
          </wp:inline>
        </w:drawing>
      </w:r>
    </w:p>
    <w:p w:rsidR="002454F6" w:rsidRPr="00302F74" w:rsidRDefault="002454F6" w:rsidP="002454F6">
      <w:pPr>
        <w:overflowPunct w:val="0"/>
        <w:autoSpaceDE w:val="0"/>
        <w:autoSpaceDN w:val="0"/>
        <w:adjustRightInd w:val="0"/>
        <w:ind w:right="360"/>
        <w:jc w:val="both"/>
        <w:textAlignment w:val="baseline"/>
        <w:rPr>
          <w:rFonts w:ascii="Arial" w:hAnsi="Arial" w:cs="Arial"/>
          <w:sz w:val="22"/>
          <w:szCs w:val="22"/>
        </w:rPr>
      </w:pPr>
    </w:p>
    <w:p w:rsidR="002454F6" w:rsidRPr="00302F74" w:rsidRDefault="002454F6" w:rsidP="002454F6">
      <w:pPr>
        <w:overflowPunct w:val="0"/>
        <w:autoSpaceDE w:val="0"/>
        <w:autoSpaceDN w:val="0"/>
        <w:adjustRightInd w:val="0"/>
        <w:jc w:val="center"/>
        <w:textAlignment w:val="baseline"/>
        <w:rPr>
          <w:rFonts w:ascii="Arial" w:hAnsi="Arial" w:cs="Arial"/>
          <w:sz w:val="22"/>
          <w:szCs w:val="22"/>
        </w:rPr>
      </w:pPr>
    </w:p>
    <w:p w:rsidR="002454F6" w:rsidRPr="00302F74" w:rsidRDefault="002454F6" w:rsidP="002454F6">
      <w:pPr>
        <w:overflowPunct w:val="0"/>
        <w:autoSpaceDE w:val="0"/>
        <w:autoSpaceDN w:val="0"/>
        <w:adjustRightInd w:val="0"/>
        <w:textAlignment w:val="baseline"/>
        <w:rPr>
          <w:rFonts w:ascii="Arial" w:hAnsi="Arial" w:cs="Arial"/>
          <w:sz w:val="22"/>
          <w:szCs w:val="22"/>
        </w:rPr>
      </w:pPr>
      <w:r w:rsidRPr="00302F74">
        <w:rPr>
          <w:rFonts w:ascii="Arial" w:hAnsi="Arial" w:cs="Arial"/>
          <w:sz w:val="22"/>
          <w:szCs w:val="22"/>
        </w:rPr>
        <w:t>Jonathan Walters</w:t>
      </w:r>
    </w:p>
    <w:p w:rsidR="00E13D10" w:rsidRDefault="002454F6" w:rsidP="00E13D10">
      <w:pPr>
        <w:rPr>
          <w:rFonts w:ascii="Arial" w:hAnsi="Arial" w:cs="Arial"/>
          <w:sz w:val="22"/>
          <w:szCs w:val="22"/>
        </w:rPr>
      </w:pPr>
      <w:r w:rsidRPr="00302F74">
        <w:rPr>
          <w:rFonts w:ascii="Arial" w:hAnsi="Arial" w:cs="Arial"/>
          <w:sz w:val="22"/>
          <w:szCs w:val="22"/>
        </w:rPr>
        <w:t>Deputy Director, Strategy and Performance</w:t>
      </w:r>
      <w:r>
        <w:rPr>
          <w:rFonts w:ascii="Arial" w:hAnsi="Arial" w:cs="Arial"/>
          <w:sz w:val="22"/>
          <w:szCs w:val="22"/>
        </w:rPr>
        <w:t>, (Regulation)</w:t>
      </w:r>
      <w:bookmarkStart w:id="0" w:name="_GoBack"/>
      <w:bookmarkEnd w:id="0"/>
    </w:p>
    <w:p w:rsidR="00DD3E7F" w:rsidRPr="00E13D10" w:rsidRDefault="00DD3E7F">
      <w:pPr>
        <w:rPr>
          <w:rFonts w:ascii="Arial" w:hAnsi="Arial" w:cs="Arial"/>
          <w:sz w:val="22"/>
          <w:szCs w:val="22"/>
        </w:rPr>
      </w:pPr>
    </w:p>
    <w:sectPr w:rsidR="00DD3E7F" w:rsidRPr="00E13D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C2" w:rsidRDefault="00B71DC2" w:rsidP="00E13D10">
      <w:r>
        <w:separator/>
      </w:r>
    </w:p>
  </w:endnote>
  <w:endnote w:type="continuationSeparator" w:id="0">
    <w:p w:rsidR="00B71DC2" w:rsidRDefault="00B71DC2" w:rsidP="00E1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0" w:rsidRDefault="00E13D10" w:rsidP="00E13D10">
    <w:pPr>
      <w:pStyle w:val="Footer"/>
    </w:pPr>
    <w:bookmarkStart w:id="1" w:name="aliashAdvancedFooterprot1FooterEvenPages"/>
  </w:p>
  <w:bookmarkEnd w:id="1"/>
  <w:p w:rsidR="00E13D10" w:rsidRDefault="00E13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0" w:rsidRDefault="00E13D10" w:rsidP="00E13D10">
    <w:pPr>
      <w:pStyle w:val="Footer"/>
    </w:pPr>
    <w:bookmarkStart w:id="2" w:name="aliashAdvancedFooterprotec1FooterPrimary"/>
  </w:p>
  <w:bookmarkEnd w:id="2"/>
  <w:p w:rsidR="00E13D10" w:rsidRDefault="00E13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0" w:rsidRDefault="00E13D10" w:rsidP="00E13D10">
    <w:pPr>
      <w:pStyle w:val="Footer"/>
    </w:pPr>
    <w:bookmarkStart w:id="3" w:name="aliashAdvancedFooterprot1FooterFirstPage"/>
  </w:p>
  <w:bookmarkEnd w:id="3"/>
  <w:p w:rsidR="00E13D10" w:rsidRDefault="00E13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C2" w:rsidRDefault="00B71DC2" w:rsidP="00E13D10">
      <w:r>
        <w:separator/>
      </w:r>
    </w:p>
  </w:footnote>
  <w:footnote w:type="continuationSeparator" w:id="0">
    <w:p w:rsidR="00B71DC2" w:rsidRDefault="00B71DC2" w:rsidP="00E13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0" w:rsidRDefault="00E13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0" w:rsidRDefault="00E13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0" w:rsidRDefault="00E13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10"/>
    <w:rsid w:val="0010427A"/>
    <w:rsid w:val="002454F6"/>
    <w:rsid w:val="00893835"/>
    <w:rsid w:val="00976267"/>
    <w:rsid w:val="00B71DC2"/>
    <w:rsid w:val="00DD3E7F"/>
    <w:rsid w:val="00E10DE4"/>
    <w:rsid w:val="00E13D10"/>
    <w:rsid w:val="00EC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D10"/>
    <w:rPr>
      <w:rFonts w:ascii="Tahoma" w:hAnsi="Tahoma" w:cs="Tahoma"/>
      <w:sz w:val="16"/>
      <w:szCs w:val="16"/>
    </w:rPr>
  </w:style>
  <w:style w:type="character" w:customStyle="1" w:styleId="BalloonTextChar">
    <w:name w:val="Balloon Text Char"/>
    <w:basedOn w:val="DefaultParagraphFont"/>
    <w:link w:val="BalloonText"/>
    <w:uiPriority w:val="99"/>
    <w:semiHidden/>
    <w:rsid w:val="00E13D10"/>
    <w:rPr>
      <w:rFonts w:ascii="Tahoma" w:eastAsia="Times New Roman" w:hAnsi="Tahoma" w:cs="Tahoma"/>
      <w:sz w:val="16"/>
      <w:szCs w:val="16"/>
      <w:lang w:eastAsia="en-GB"/>
    </w:rPr>
  </w:style>
  <w:style w:type="paragraph" w:styleId="Header">
    <w:name w:val="header"/>
    <w:basedOn w:val="Normal"/>
    <w:link w:val="HeaderChar"/>
    <w:uiPriority w:val="99"/>
    <w:unhideWhenUsed/>
    <w:rsid w:val="00E13D10"/>
    <w:pPr>
      <w:tabs>
        <w:tab w:val="center" w:pos="4513"/>
        <w:tab w:val="right" w:pos="9026"/>
      </w:tabs>
    </w:pPr>
  </w:style>
  <w:style w:type="character" w:customStyle="1" w:styleId="HeaderChar">
    <w:name w:val="Header Char"/>
    <w:basedOn w:val="DefaultParagraphFont"/>
    <w:link w:val="Header"/>
    <w:uiPriority w:val="99"/>
    <w:rsid w:val="00E13D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13D10"/>
    <w:pPr>
      <w:tabs>
        <w:tab w:val="center" w:pos="4513"/>
        <w:tab w:val="right" w:pos="9026"/>
      </w:tabs>
    </w:pPr>
  </w:style>
  <w:style w:type="character" w:customStyle="1" w:styleId="FooterChar">
    <w:name w:val="Footer Char"/>
    <w:basedOn w:val="DefaultParagraphFont"/>
    <w:link w:val="Footer"/>
    <w:uiPriority w:val="99"/>
    <w:rsid w:val="00E13D1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D10"/>
    <w:rPr>
      <w:rFonts w:ascii="Tahoma" w:hAnsi="Tahoma" w:cs="Tahoma"/>
      <w:sz w:val="16"/>
      <w:szCs w:val="16"/>
    </w:rPr>
  </w:style>
  <w:style w:type="character" w:customStyle="1" w:styleId="BalloonTextChar">
    <w:name w:val="Balloon Text Char"/>
    <w:basedOn w:val="DefaultParagraphFont"/>
    <w:link w:val="BalloonText"/>
    <w:uiPriority w:val="99"/>
    <w:semiHidden/>
    <w:rsid w:val="00E13D10"/>
    <w:rPr>
      <w:rFonts w:ascii="Tahoma" w:eastAsia="Times New Roman" w:hAnsi="Tahoma" w:cs="Tahoma"/>
      <w:sz w:val="16"/>
      <w:szCs w:val="16"/>
      <w:lang w:eastAsia="en-GB"/>
    </w:rPr>
  </w:style>
  <w:style w:type="paragraph" w:styleId="Header">
    <w:name w:val="header"/>
    <w:basedOn w:val="Normal"/>
    <w:link w:val="HeaderChar"/>
    <w:uiPriority w:val="99"/>
    <w:unhideWhenUsed/>
    <w:rsid w:val="00E13D10"/>
    <w:pPr>
      <w:tabs>
        <w:tab w:val="center" w:pos="4513"/>
        <w:tab w:val="right" w:pos="9026"/>
      </w:tabs>
    </w:pPr>
  </w:style>
  <w:style w:type="character" w:customStyle="1" w:styleId="HeaderChar">
    <w:name w:val="Header Char"/>
    <w:basedOn w:val="DefaultParagraphFont"/>
    <w:link w:val="Header"/>
    <w:uiPriority w:val="99"/>
    <w:rsid w:val="00E13D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13D10"/>
    <w:pPr>
      <w:tabs>
        <w:tab w:val="center" w:pos="4513"/>
        <w:tab w:val="right" w:pos="9026"/>
      </w:tabs>
    </w:pPr>
  </w:style>
  <w:style w:type="character" w:customStyle="1" w:styleId="FooterChar">
    <w:name w:val="Footer Char"/>
    <w:basedOn w:val="DefaultParagraphFont"/>
    <w:link w:val="Footer"/>
    <w:uiPriority w:val="99"/>
    <w:rsid w:val="00E13D1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homesandcommunitie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Houghton</dc:creator>
  <cp:lastModifiedBy>Ros Poulson</cp:lastModifiedBy>
  <cp:revision>3</cp:revision>
  <dcterms:created xsi:type="dcterms:W3CDTF">2014-08-14T10:13:00Z</dcterms:created>
  <dcterms:modified xsi:type="dcterms:W3CDTF">2014-08-14T10:13:00Z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fb92ad0a-a6f1-43e9-be1f-7ea9453eea4b</vt:lpwstr>
  </property>
  <property fmtid="{D5CDD505-2E9C-101B-9397-08002B2CF9AE}" pid="3" name="HCAGPMS">
    <vt:lpwstr>OFFICIAL</vt:lpwstr>
  </property>
</Properties>
</file>