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16" w:type="dxa"/>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86"/>
        <w:gridCol w:w="2126"/>
        <w:gridCol w:w="2008"/>
        <w:gridCol w:w="1979"/>
        <w:gridCol w:w="2105"/>
        <w:gridCol w:w="12"/>
      </w:tblGrid>
      <w:tr w:rsidR="000006EB" w:rsidRPr="00F83412" w:rsidTr="00100919">
        <w:trPr>
          <w:trHeight w:hRule="exact" w:val="2709"/>
        </w:trPr>
        <w:tc>
          <w:tcPr>
            <w:tcW w:w="6118" w:type="dxa"/>
            <w:gridSpan w:val="3"/>
            <w:tcBorders>
              <w:top w:val="single" w:sz="4" w:space="0" w:color="auto"/>
              <w:bottom w:val="single" w:sz="4" w:space="0" w:color="auto"/>
            </w:tcBorders>
          </w:tcPr>
          <w:p w:rsidR="000006EB" w:rsidRPr="00F83412" w:rsidRDefault="000006EB" w:rsidP="007107D1">
            <w:pPr>
              <w:pStyle w:val="IAHeadLabel0"/>
              <w:spacing w:before="50"/>
              <w:ind w:left="113"/>
              <w:rPr>
                <w:color w:val="auto"/>
              </w:rPr>
            </w:pPr>
            <w:bookmarkStart w:id="0" w:name="_GoBack"/>
            <w:bookmarkEnd w:id="0"/>
            <w:r w:rsidRPr="00F83412">
              <w:rPr>
                <w:color w:val="auto"/>
              </w:rPr>
              <w:t>Title:</w:t>
            </w:r>
          </w:p>
          <w:bookmarkStart w:id="1" w:name="IATitle"/>
          <w:p w:rsidR="000006EB" w:rsidRPr="00F83412" w:rsidRDefault="000006EB" w:rsidP="008031EC">
            <w:pPr>
              <w:pStyle w:val="IATitle"/>
              <w:rPr>
                <w:rFonts w:cs="Times New Roman"/>
              </w:rPr>
            </w:pPr>
            <w:r w:rsidRPr="00F83412">
              <w:fldChar w:fldCharType="begin">
                <w:ffData>
                  <w:name w:val="IATitle"/>
                  <w:enabled/>
                  <w:calcOnExit w:val="0"/>
                  <w:textInput/>
                </w:ffData>
              </w:fldChar>
            </w:r>
            <w:r w:rsidRPr="00F83412">
              <w:instrText xml:space="preserve"> FORMTEXT </w:instrText>
            </w:r>
            <w:r w:rsidRPr="00F83412">
              <w:fldChar w:fldCharType="separate"/>
            </w:r>
            <w:r w:rsidRPr="00F83412">
              <w:t>Consultation on changes to the listed building consent sy</w:t>
            </w:r>
            <w:r w:rsidR="00981D4D">
              <w:t>s</w:t>
            </w:r>
            <w:r w:rsidRPr="00F83412">
              <w:t xml:space="preserve">tem </w:t>
            </w:r>
            <w:r w:rsidRPr="00F83412">
              <w:fldChar w:fldCharType="end"/>
            </w:r>
            <w:bookmarkEnd w:id="1"/>
          </w:p>
          <w:p w:rsidR="000006EB" w:rsidRPr="00733AAE" w:rsidRDefault="000006EB" w:rsidP="007107D1">
            <w:pPr>
              <w:pStyle w:val="IAHeadTitle"/>
              <w:ind w:left="113"/>
              <w:rPr>
                <w:rStyle w:val="IANoChar"/>
                <w:rFonts w:cs="Times New Roman"/>
                <w:i/>
                <w:color w:val="auto"/>
              </w:rPr>
            </w:pPr>
            <w:r w:rsidRPr="00F83412">
              <w:rPr>
                <w:sz w:val="20"/>
                <w:szCs w:val="20"/>
              </w:rPr>
              <w:t xml:space="preserve">IA No: </w:t>
            </w:r>
            <w:bookmarkStart w:id="2" w:name="IANo"/>
            <w:r w:rsidRPr="00F83412">
              <w:rPr>
                <w:rStyle w:val="IANoChar"/>
                <w:color w:val="auto"/>
              </w:rPr>
              <w:fldChar w:fldCharType="begin">
                <w:ffData>
                  <w:name w:val="IANo"/>
                  <w:enabled/>
                  <w:calcOnExit w:val="0"/>
                  <w:textInput>
                    <w:maxLength w:val="20"/>
                  </w:textInput>
                </w:ffData>
              </w:fldChar>
            </w:r>
            <w:r w:rsidRPr="00F83412">
              <w:rPr>
                <w:rStyle w:val="IANoChar"/>
                <w:color w:val="auto"/>
              </w:rPr>
              <w:instrText xml:space="preserve"> FORMTEXT </w:instrText>
            </w:r>
            <w:r w:rsidRPr="00F83412">
              <w:rPr>
                <w:rStyle w:val="IANoChar"/>
                <w:color w:val="auto"/>
              </w:rPr>
            </w:r>
            <w:r w:rsidRPr="00F83412">
              <w:rPr>
                <w:rStyle w:val="IANoChar"/>
                <w:color w:val="auto"/>
              </w:rPr>
              <w:fldChar w:fldCharType="separate"/>
            </w:r>
            <w:r w:rsidRPr="00F83412">
              <w:rPr>
                <w:rStyle w:val="IANoChar"/>
                <w:rFonts w:ascii="Arial Unicode MS" w:eastAsia="Arial Unicode MS" w:hAnsi="Arial Unicode MS" w:cs="Arial Unicode MS" w:hint="eastAsia"/>
                <w:color w:val="auto"/>
              </w:rPr>
              <w:t> </w:t>
            </w:r>
            <w:r w:rsidRPr="00F83412">
              <w:rPr>
                <w:rStyle w:val="IANoChar"/>
                <w:rFonts w:ascii="Arial Unicode MS" w:eastAsia="Arial Unicode MS" w:hAnsi="Arial Unicode MS" w:cs="Arial Unicode MS" w:hint="eastAsia"/>
                <w:color w:val="auto"/>
              </w:rPr>
              <w:t> </w:t>
            </w:r>
            <w:r w:rsidRPr="00F83412">
              <w:rPr>
                <w:rStyle w:val="IANoChar"/>
                <w:rFonts w:ascii="Arial Unicode MS" w:eastAsia="Arial Unicode MS" w:hAnsi="Arial Unicode MS" w:cs="Arial Unicode MS" w:hint="eastAsia"/>
                <w:color w:val="auto"/>
              </w:rPr>
              <w:t> </w:t>
            </w:r>
            <w:r w:rsidRPr="00F83412">
              <w:rPr>
                <w:rStyle w:val="IANoChar"/>
                <w:rFonts w:ascii="Arial Unicode MS" w:eastAsia="Arial Unicode MS" w:hAnsi="Arial Unicode MS" w:cs="Arial Unicode MS" w:hint="eastAsia"/>
                <w:color w:val="auto"/>
              </w:rPr>
              <w:t> </w:t>
            </w:r>
            <w:r w:rsidRPr="00F83412">
              <w:rPr>
                <w:rStyle w:val="IANoChar"/>
                <w:rFonts w:ascii="Arial Unicode MS" w:eastAsia="Arial Unicode MS" w:hAnsi="Arial Unicode MS" w:cs="Arial Unicode MS" w:hint="eastAsia"/>
                <w:color w:val="auto"/>
              </w:rPr>
              <w:t> </w:t>
            </w:r>
            <w:r w:rsidRPr="00F83412">
              <w:rPr>
                <w:rStyle w:val="IANoChar"/>
                <w:color w:val="auto"/>
              </w:rPr>
              <w:fldChar w:fldCharType="end"/>
            </w:r>
            <w:bookmarkEnd w:id="2"/>
            <w:r w:rsidR="00733AAE" w:rsidRPr="00733AAE">
              <w:rPr>
                <w:color w:val="000000"/>
                <w:sz w:val="22"/>
                <w:szCs w:val="22"/>
                <w:lang w:eastAsia="en-GB"/>
              </w:rPr>
              <w:t>DCMS055</w:t>
            </w:r>
          </w:p>
          <w:p w:rsidR="000006EB" w:rsidRPr="00F83412" w:rsidRDefault="000006EB" w:rsidP="007107D1">
            <w:pPr>
              <w:pStyle w:val="IAHeadLabel"/>
              <w:ind w:left="113"/>
              <w:rPr>
                <w:color w:val="auto"/>
              </w:rPr>
            </w:pPr>
            <w:r w:rsidRPr="00F83412">
              <w:rPr>
                <w:color w:val="auto"/>
              </w:rPr>
              <w:t>Lead department or agency:</w:t>
            </w:r>
          </w:p>
          <w:bookmarkStart w:id="3" w:name="IALeadDept"/>
          <w:p w:rsidR="000006EB" w:rsidRPr="00F83412" w:rsidRDefault="000006EB" w:rsidP="008031EC">
            <w:pPr>
              <w:pStyle w:val="IALeadDept"/>
              <w:rPr>
                <w:rFonts w:cs="Times New Roman"/>
              </w:rPr>
            </w:pPr>
            <w:r w:rsidRPr="00F83412">
              <w:fldChar w:fldCharType="begin">
                <w:ffData>
                  <w:name w:val="IALeadDept"/>
                  <w:enabled/>
                  <w:calcOnExit w:val="0"/>
                  <w:textInput>
                    <w:maxLength w:val="100"/>
                  </w:textInput>
                </w:ffData>
              </w:fldChar>
            </w:r>
            <w:r w:rsidRPr="00F83412">
              <w:instrText xml:space="preserve"> FORMTEXT </w:instrText>
            </w:r>
            <w:r w:rsidRPr="00F83412">
              <w:fldChar w:fldCharType="separate"/>
            </w:r>
            <w:r w:rsidRPr="00F83412">
              <w:rPr>
                <w:rFonts w:ascii="Arial Unicode MS" w:eastAsia="Arial Unicode MS" w:hAnsi="Arial Unicode MS" w:cs="Arial Unicode MS"/>
                <w:noProof/>
              </w:rPr>
              <w:t>DCMS</w:t>
            </w:r>
            <w:r w:rsidRPr="00F83412">
              <w:fldChar w:fldCharType="end"/>
            </w:r>
            <w:bookmarkEnd w:id="3"/>
          </w:p>
          <w:p w:rsidR="000006EB" w:rsidRPr="00F83412" w:rsidRDefault="000006EB" w:rsidP="007107D1">
            <w:pPr>
              <w:pStyle w:val="IATableLabel"/>
              <w:spacing w:after="0"/>
              <w:rPr>
                <w:color w:val="auto"/>
              </w:rPr>
            </w:pPr>
            <w:r w:rsidRPr="00F83412">
              <w:rPr>
                <w:color w:val="auto"/>
              </w:rPr>
              <w:t>Other departments or agencies:</w:t>
            </w:r>
          </w:p>
          <w:bookmarkStart w:id="4" w:name="IAOtherDepts"/>
          <w:p w:rsidR="000006EB" w:rsidRPr="00F83412" w:rsidRDefault="000006EB" w:rsidP="000556D4">
            <w:pPr>
              <w:pStyle w:val="IAOtherDepts"/>
              <w:rPr>
                <w:rFonts w:cs="Times New Roman"/>
                <w:color w:val="auto"/>
              </w:rPr>
            </w:pPr>
            <w:r w:rsidRPr="00F83412">
              <w:rPr>
                <w:color w:val="auto"/>
              </w:rPr>
              <w:fldChar w:fldCharType="begin">
                <w:ffData>
                  <w:name w:val="IAOtherDepts"/>
                  <w:enabled/>
                  <w:calcOnExit w:val="0"/>
                  <w:textInput>
                    <w:maxLength w:val="100"/>
                  </w:textInput>
                </w:ffData>
              </w:fldChar>
            </w:r>
            <w:r w:rsidRPr="00F83412">
              <w:rPr>
                <w:color w:val="auto"/>
              </w:rPr>
              <w:instrText xml:space="preserve"> FORMTEXT </w:instrText>
            </w:r>
            <w:r w:rsidRPr="00F83412">
              <w:rPr>
                <w:color w:val="auto"/>
              </w:rPr>
            </w:r>
            <w:r w:rsidRPr="00F83412">
              <w:rPr>
                <w:color w:val="auto"/>
              </w:rPr>
              <w:fldChar w:fldCharType="separate"/>
            </w:r>
            <w:r w:rsidRPr="00F83412">
              <w:rPr>
                <w:rFonts w:ascii="Arial Unicode MS" w:eastAsia="Arial Unicode MS" w:hAnsi="Arial Unicode MS" w:cs="Arial Unicode MS"/>
                <w:noProof/>
                <w:color w:val="auto"/>
              </w:rPr>
              <w:t>CLG, English Heritage</w:t>
            </w:r>
            <w:r w:rsidRPr="00F83412">
              <w:rPr>
                <w:color w:val="auto"/>
              </w:rPr>
              <w:fldChar w:fldCharType="end"/>
            </w:r>
            <w:bookmarkEnd w:id="4"/>
          </w:p>
        </w:tc>
        <w:tc>
          <w:tcPr>
            <w:tcW w:w="4098" w:type="dxa"/>
            <w:gridSpan w:val="3"/>
            <w:tcBorders>
              <w:top w:val="single" w:sz="4" w:space="0" w:color="auto"/>
              <w:bottom w:val="single" w:sz="4" w:space="0" w:color="auto"/>
            </w:tcBorders>
          </w:tcPr>
          <w:tbl>
            <w:tblPr>
              <w:tblW w:w="4088" w:type="dxa"/>
              <w:tblInd w:w="5" w:type="dxa"/>
              <w:tblBorders>
                <w:insideH w:val="single" w:sz="4" w:space="0" w:color="333333"/>
                <w:insideV w:val="single" w:sz="4" w:space="0" w:color="333333"/>
              </w:tblBorders>
              <w:tblLayout w:type="fixed"/>
              <w:tblCellMar>
                <w:left w:w="0" w:type="dxa"/>
                <w:right w:w="0" w:type="dxa"/>
              </w:tblCellMar>
              <w:tblLook w:val="01E0" w:firstRow="1" w:lastRow="1" w:firstColumn="1" w:lastColumn="1" w:noHBand="0" w:noVBand="0"/>
            </w:tblPr>
            <w:tblGrid>
              <w:gridCol w:w="4088"/>
            </w:tblGrid>
            <w:tr w:rsidR="000006EB" w:rsidRPr="00F83412" w:rsidTr="00100919">
              <w:trPr>
                <w:trHeight w:hRule="exact" w:val="714"/>
              </w:trPr>
              <w:tc>
                <w:tcPr>
                  <w:tcW w:w="4088" w:type="dxa"/>
                  <w:tcBorders>
                    <w:bottom w:val="single" w:sz="4" w:space="0" w:color="333333"/>
                  </w:tcBorders>
                  <w:shd w:val="clear" w:color="auto" w:fill="333333"/>
                  <w:vAlign w:val="center"/>
                </w:tcPr>
                <w:p w:rsidR="000006EB" w:rsidRPr="00F83412" w:rsidRDefault="00100919" w:rsidP="00E90731">
                  <w:pPr>
                    <w:pStyle w:val="Title"/>
                    <w:rPr>
                      <w:color w:val="auto"/>
                    </w:rPr>
                  </w:pPr>
                  <w:r>
                    <w:rPr>
                      <w:color w:val="auto"/>
                    </w:rPr>
                    <w:t xml:space="preserve">Validation </w:t>
                  </w:r>
                  <w:r w:rsidR="000006EB" w:rsidRPr="00F83412">
                    <w:rPr>
                      <w:color w:val="auto"/>
                    </w:rPr>
                    <w:t>Impact Assessment (IA)</w:t>
                  </w:r>
                </w:p>
              </w:tc>
            </w:tr>
            <w:tr w:rsidR="000006EB" w:rsidRPr="00F83412">
              <w:tc>
                <w:tcPr>
                  <w:tcW w:w="4088" w:type="dxa"/>
                  <w:tcBorders>
                    <w:top w:val="single" w:sz="4" w:space="0" w:color="333333"/>
                    <w:bottom w:val="single" w:sz="4" w:space="0" w:color="333333"/>
                  </w:tcBorders>
                </w:tcPr>
                <w:p w:rsidR="000006EB" w:rsidRPr="00F83412" w:rsidRDefault="000006EB" w:rsidP="00F06EF6">
                  <w:pPr>
                    <w:pStyle w:val="IATableLabel"/>
                    <w:rPr>
                      <w:rFonts w:cs="Times New Roman"/>
                      <w:color w:val="auto"/>
                    </w:rPr>
                  </w:pPr>
                  <w:r w:rsidRPr="00F83412">
                    <w:rPr>
                      <w:color w:val="auto"/>
                    </w:rPr>
                    <w:t>Date:</w:t>
                  </w:r>
                  <w:r w:rsidR="00BE214E">
                    <w:rPr>
                      <w:color w:val="auto"/>
                    </w:rPr>
                    <w:t xml:space="preserve"> </w:t>
                  </w:r>
                  <w:r w:rsidR="00A376E3">
                    <w:rPr>
                      <w:rStyle w:val="IADateChar"/>
                      <w:color w:val="auto"/>
                    </w:rPr>
                    <w:t>2</w:t>
                  </w:r>
                  <w:r w:rsidR="002E1B6D">
                    <w:rPr>
                      <w:rStyle w:val="IADateChar"/>
                      <w:color w:val="auto"/>
                    </w:rPr>
                    <w:t>5</w:t>
                  </w:r>
                  <w:r w:rsidR="00A376E3">
                    <w:rPr>
                      <w:rStyle w:val="IADateChar"/>
                      <w:color w:val="auto"/>
                    </w:rPr>
                    <w:t xml:space="preserve"> </w:t>
                  </w:r>
                  <w:r w:rsidR="00F06EF6">
                    <w:rPr>
                      <w:rStyle w:val="IADateChar"/>
                      <w:color w:val="auto"/>
                    </w:rPr>
                    <w:t>October</w:t>
                  </w:r>
                  <w:r w:rsidR="006D7007">
                    <w:rPr>
                      <w:rStyle w:val="IADateChar"/>
                      <w:color w:val="auto"/>
                    </w:rPr>
                    <w:t xml:space="preserve"> </w:t>
                  </w:r>
                  <w:r w:rsidR="00BE214E">
                    <w:rPr>
                      <w:rStyle w:val="IADateChar"/>
                      <w:color w:val="auto"/>
                    </w:rPr>
                    <w:t xml:space="preserve"> 2012</w:t>
                  </w:r>
                </w:p>
              </w:tc>
            </w:tr>
            <w:tr w:rsidR="000006EB" w:rsidRPr="00F83412" w:rsidTr="00100919">
              <w:trPr>
                <w:trHeight w:val="518"/>
              </w:trPr>
              <w:tc>
                <w:tcPr>
                  <w:tcW w:w="4088" w:type="dxa"/>
                  <w:tcBorders>
                    <w:top w:val="single" w:sz="4" w:space="0" w:color="333333"/>
                    <w:bottom w:val="single" w:sz="4" w:space="0" w:color="333333"/>
                  </w:tcBorders>
                </w:tcPr>
                <w:p w:rsidR="000006EB" w:rsidRPr="00F83412" w:rsidRDefault="000006EB" w:rsidP="002E1B6D">
                  <w:pPr>
                    <w:pStyle w:val="IATableLabel"/>
                    <w:rPr>
                      <w:rFonts w:cs="Times New Roman"/>
                      <w:color w:val="auto"/>
                    </w:rPr>
                  </w:pPr>
                  <w:bookmarkStart w:id="5" w:name="Stage"/>
                  <w:r w:rsidRPr="00F83412">
                    <w:rPr>
                      <w:color w:val="auto"/>
                    </w:rPr>
                    <w:t xml:space="preserve">Stage: </w:t>
                  </w:r>
                  <w:bookmarkEnd w:id="5"/>
                  <w:r w:rsidR="002E1B6D">
                    <w:rPr>
                      <w:rStyle w:val="IAStageChar"/>
                      <w:color w:val="auto"/>
                    </w:rPr>
                    <w:t xml:space="preserve"> Final </w:t>
                  </w:r>
                </w:p>
              </w:tc>
            </w:tr>
            <w:tr w:rsidR="000006EB" w:rsidRPr="00F83412" w:rsidTr="00100919">
              <w:trPr>
                <w:trHeight w:val="580"/>
              </w:trPr>
              <w:tc>
                <w:tcPr>
                  <w:tcW w:w="4088" w:type="dxa"/>
                  <w:tcBorders>
                    <w:top w:val="single" w:sz="4" w:space="0" w:color="333333"/>
                    <w:bottom w:val="single" w:sz="4" w:space="0" w:color="333333"/>
                  </w:tcBorders>
                </w:tcPr>
                <w:p w:rsidR="000006EB" w:rsidRPr="00F83412" w:rsidRDefault="000006EB" w:rsidP="00E90731">
                  <w:pPr>
                    <w:pStyle w:val="IATableLabel"/>
                    <w:rPr>
                      <w:rFonts w:cs="Times New Roman"/>
                      <w:color w:val="auto"/>
                    </w:rPr>
                  </w:pPr>
                  <w:r w:rsidRPr="00F83412">
                    <w:rPr>
                      <w:color w:val="auto"/>
                    </w:rPr>
                    <w:t>Source of intervention:</w:t>
                  </w:r>
                  <w:bookmarkStart w:id="6" w:name="IAInterSource"/>
                  <w:r w:rsidRPr="00F83412">
                    <w:rPr>
                      <w:rStyle w:val="IASOIChar"/>
                      <w:color w:val="auto"/>
                    </w:rPr>
                    <w:fldChar w:fldCharType="begin">
                      <w:ffData>
                        <w:name w:val="IAInterSource"/>
                        <w:enabled/>
                        <w:calcOnExit w:val="0"/>
                        <w:ddList>
                          <w:listEntry w:val="Domestic"/>
                          <w:listEntry w:val="EU"/>
                          <w:listEntry w:val="International"/>
                        </w:ddList>
                      </w:ffData>
                    </w:fldChar>
                  </w:r>
                  <w:r w:rsidRPr="00F83412">
                    <w:rPr>
                      <w:rStyle w:val="IASOIChar"/>
                      <w:color w:val="auto"/>
                    </w:rPr>
                    <w:instrText xml:space="preserve"> FORMDROPDOWN </w:instrText>
                  </w:r>
                  <w:r w:rsidRPr="00F83412">
                    <w:rPr>
                      <w:rStyle w:val="IASOIChar"/>
                      <w:color w:val="auto"/>
                    </w:rPr>
                  </w:r>
                  <w:r w:rsidRPr="00F83412">
                    <w:rPr>
                      <w:rStyle w:val="IASOIChar"/>
                      <w:color w:val="auto"/>
                    </w:rPr>
                    <w:fldChar w:fldCharType="end"/>
                  </w:r>
                  <w:bookmarkEnd w:id="6"/>
                </w:p>
              </w:tc>
            </w:tr>
            <w:tr w:rsidR="000006EB" w:rsidRPr="00F83412" w:rsidTr="00100919">
              <w:trPr>
                <w:trHeight w:val="628"/>
              </w:trPr>
              <w:tc>
                <w:tcPr>
                  <w:tcW w:w="4088" w:type="dxa"/>
                  <w:tcBorders>
                    <w:top w:val="single" w:sz="4" w:space="0" w:color="333333"/>
                    <w:bottom w:val="single" w:sz="4" w:space="0" w:color="333333"/>
                  </w:tcBorders>
                </w:tcPr>
                <w:p w:rsidR="000006EB" w:rsidRPr="00F83412" w:rsidRDefault="000006EB" w:rsidP="00E90731">
                  <w:pPr>
                    <w:pStyle w:val="IATableLabel"/>
                    <w:rPr>
                      <w:rFonts w:cs="Times New Roman"/>
                      <w:b w:val="0"/>
                      <w:bCs w:val="0"/>
                      <w:color w:val="auto"/>
                    </w:rPr>
                  </w:pPr>
                  <w:r w:rsidRPr="00F83412">
                    <w:rPr>
                      <w:color w:val="auto"/>
                    </w:rPr>
                    <w:t xml:space="preserve">Type of measure: </w:t>
                  </w:r>
                  <w:bookmarkStart w:id="7" w:name="IAMeasureType"/>
                  <w:r w:rsidRPr="00F83412">
                    <w:rPr>
                      <w:rStyle w:val="IATOMChar"/>
                      <w:color w:val="auto"/>
                    </w:rPr>
                    <w:fldChar w:fldCharType="begin">
                      <w:ffData>
                        <w:name w:val="IAMeasureType"/>
                        <w:enabled/>
                        <w:calcOnExit w:val="0"/>
                        <w:ddList>
                          <w:listEntry w:val="Primary legislation"/>
                          <w:listEntry w:val="Secondary legislation"/>
                          <w:listEntry w:val="Other"/>
                        </w:ddList>
                      </w:ffData>
                    </w:fldChar>
                  </w:r>
                  <w:r w:rsidRPr="00F83412">
                    <w:rPr>
                      <w:rStyle w:val="IATOMChar"/>
                      <w:color w:val="auto"/>
                    </w:rPr>
                    <w:instrText xml:space="preserve"> FORMDROPDOWN </w:instrText>
                  </w:r>
                  <w:r w:rsidRPr="00F83412">
                    <w:rPr>
                      <w:rStyle w:val="IATOMChar"/>
                      <w:color w:val="auto"/>
                    </w:rPr>
                  </w:r>
                  <w:r w:rsidRPr="00F83412">
                    <w:rPr>
                      <w:rStyle w:val="IATOMChar"/>
                      <w:color w:val="auto"/>
                    </w:rPr>
                    <w:fldChar w:fldCharType="end"/>
                  </w:r>
                  <w:bookmarkEnd w:id="7"/>
                </w:p>
              </w:tc>
            </w:tr>
            <w:tr w:rsidR="000006EB" w:rsidRPr="00F83412">
              <w:trPr>
                <w:trHeight w:val="1115"/>
              </w:trPr>
              <w:tc>
                <w:tcPr>
                  <w:tcW w:w="4088" w:type="dxa"/>
                  <w:tcBorders>
                    <w:top w:val="single" w:sz="4" w:space="0" w:color="333333"/>
                    <w:bottom w:val="single" w:sz="4" w:space="0" w:color="333333"/>
                  </w:tcBorders>
                </w:tcPr>
                <w:p w:rsidR="000006EB" w:rsidRPr="00F83412" w:rsidRDefault="000006EB" w:rsidP="000E5010">
                  <w:pPr>
                    <w:pStyle w:val="IATableLines"/>
                    <w:rPr>
                      <w:rFonts w:cs="Times New Roman"/>
                    </w:rPr>
                  </w:pPr>
                  <w:r w:rsidRPr="00F83412">
                    <w:rPr>
                      <w:b/>
                      <w:bCs/>
                      <w:sz w:val="20"/>
                      <w:szCs w:val="20"/>
                    </w:rPr>
                    <w:t>Contact for enquiries</w:t>
                  </w:r>
                  <w:r w:rsidRPr="00F83412">
                    <w:t>:</w:t>
                  </w:r>
                  <w:bookmarkStart w:id="8" w:name="IAEnquiryContacts"/>
                  <w:r w:rsidR="000E5010" w:rsidRPr="000E5010">
                    <w:rPr>
                      <w:sz w:val="20"/>
                      <w:szCs w:val="20"/>
                    </w:rPr>
                    <w:t>Sarah Buckingham 020 7211 6107</w:t>
                  </w:r>
                  <w:bookmarkEnd w:id="8"/>
                  <w:r w:rsidR="000E5010">
                    <w:rPr>
                      <w:rStyle w:val="IACOEChar"/>
                      <w:color w:val="auto"/>
                      <w:sz w:val="20"/>
                      <w:szCs w:val="20"/>
                    </w:rPr>
                    <w:t>/</w:t>
                  </w:r>
                  <w:r w:rsidR="000E5010" w:rsidRPr="000E5010">
                    <w:rPr>
                      <w:rStyle w:val="IACOEChar"/>
                      <w:b w:val="0"/>
                      <w:color w:val="auto"/>
                      <w:sz w:val="20"/>
                      <w:szCs w:val="20"/>
                    </w:rPr>
                    <w:t>Liz Ager</w:t>
                  </w:r>
                  <w:r w:rsidR="000E5010">
                    <w:rPr>
                      <w:rStyle w:val="IACOEChar"/>
                      <w:b w:val="0"/>
                      <w:color w:val="auto"/>
                      <w:sz w:val="20"/>
                      <w:szCs w:val="20"/>
                    </w:rPr>
                    <w:t xml:space="preserve"> 020 7211 2371</w:t>
                  </w:r>
                </w:p>
              </w:tc>
            </w:tr>
            <w:tr w:rsidR="000006EB" w:rsidRPr="00F83412">
              <w:trPr>
                <w:trHeight w:val="1115"/>
              </w:trPr>
              <w:tc>
                <w:tcPr>
                  <w:tcW w:w="4088" w:type="dxa"/>
                  <w:tcBorders>
                    <w:top w:val="single" w:sz="4" w:space="0" w:color="333333"/>
                    <w:bottom w:val="single" w:sz="4" w:space="0" w:color="333333"/>
                  </w:tcBorders>
                </w:tcPr>
                <w:p w:rsidR="000006EB" w:rsidRPr="00F83412" w:rsidRDefault="000006EB" w:rsidP="00A32793">
                  <w:pPr>
                    <w:pStyle w:val="IATableLines"/>
                    <w:rPr>
                      <w:rFonts w:cs="Times New Roman"/>
                      <w:b/>
                      <w:bCs/>
                      <w:sz w:val="20"/>
                      <w:szCs w:val="20"/>
                    </w:rPr>
                  </w:pPr>
                </w:p>
              </w:tc>
            </w:tr>
            <w:tr w:rsidR="000006EB" w:rsidRPr="00F83412">
              <w:trPr>
                <w:trHeight w:val="1115"/>
              </w:trPr>
              <w:tc>
                <w:tcPr>
                  <w:tcW w:w="4088" w:type="dxa"/>
                  <w:tcBorders>
                    <w:top w:val="single" w:sz="4" w:space="0" w:color="333333"/>
                    <w:bottom w:val="single" w:sz="4" w:space="0" w:color="333333"/>
                  </w:tcBorders>
                </w:tcPr>
                <w:p w:rsidR="000006EB" w:rsidRPr="00F83412" w:rsidRDefault="000006EB" w:rsidP="00A32793">
                  <w:pPr>
                    <w:pStyle w:val="IATableLines"/>
                    <w:rPr>
                      <w:rFonts w:cs="Times New Roman"/>
                      <w:b/>
                      <w:bCs/>
                      <w:sz w:val="20"/>
                      <w:szCs w:val="20"/>
                    </w:rPr>
                  </w:pPr>
                </w:p>
              </w:tc>
            </w:tr>
            <w:tr w:rsidR="000006EB" w:rsidRPr="00F83412">
              <w:trPr>
                <w:trHeight w:val="1115"/>
              </w:trPr>
              <w:tc>
                <w:tcPr>
                  <w:tcW w:w="4088" w:type="dxa"/>
                  <w:tcBorders>
                    <w:top w:val="single" w:sz="4" w:space="0" w:color="333333"/>
                    <w:bottom w:val="single" w:sz="4" w:space="0" w:color="333333"/>
                  </w:tcBorders>
                </w:tcPr>
                <w:p w:rsidR="000006EB" w:rsidRPr="00F83412" w:rsidRDefault="000006EB" w:rsidP="00A32793">
                  <w:pPr>
                    <w:pStyle w:val="IATableLines"/>
                    <w:rPr>
                      <w:rFonts w:cs="Times New Roman"/>
                      <w:b/>
                      <w:bCs/>
                      <w:sz w:val="20"/>
                      <w:szCs w:val="20"/>
                    </w:rPr>
                  </w:pPr>
                </w:p>
              </w:tc>
            </w:tr>
            <w:tr w:rsidR="000006EB" w:rsidRPr="00F83412">
              <w:trPr>
                <w:trHeight w:val="1115"/>
              </w:trPr>
              <w:tc>
                <w:tcPr>
                  <w:tcW w:w="4088" w:type="dxa"/>
                  <w:tcBorders>
                    <w:top w:val="single" w:sz="4" w:space="0" w:color="333333"/>
                    <w:bottom w:val="single" w:sz="4" w:space="0" w:color="333333"/>
                  </w:tcBorders>
                </w:tcPr>
                <w:p w:rsidR="000006EB" w:rsidRPr="00F83412" w:rsidRDefault="000006EB" w:rsidP="00A32793">
                  <w:pPr>
                    <w:pStyle w:val="IATableLines"/>
                    <w:rPr>
                      <w:rFonts w:cs="Times New Roman"/>
                      <w:b/>
                      <w:bCs/>
                      <w:sz w:val="20"/>
                      <w:szCs w:val="20"/>
                    </w:rPr>
                  </w:pPr>
                </w:p>
              </w:tc>
            </w:tr>
            <w:tr w:rsidR="000006EB" w:rsidRPr="00F83412">
              <w:trPr>
                <w:trHeight w:val="1115"/>
              </w:trPr>
              <w:tc>
                <w:tcPr>
                  <w:tcW w:w="4088" w:type="dxa"/>
                  <w:tcBorders>
                    <w:top w:val="single" w:sz="4" w:space="0" w:color="333333"/>
                    <w:bottom w:val="single" w:sz="4" w:space="0" w:color="333333"/>
                  </w:tcBorders>
                </w:tcPr>
                <w:p w:rsidR="000006EB" w:rsidRPr="00F83412" w:rsidRDefault="000006EB" w:rsidP="00A32793">
                  <w:pPr>
                    <w:pStyle w:val="IATableLines"/>
                    <w:rPr>
                      <w:rFonts w:cs="Times New Roman"/>
                      <w:b/>
                      <w:bCs/>
                      <w:sz w:val="20"/>
                      <w:szCs w:val="20"/>
                    </w:rPr>
                  </w:pPr>
                </w:p>
              </w:tc>
            </w:tr>
            <w:tr w:rsidR="000006EB" w:rsidRPr="00F83412">
              <w:trPr>
                <w:trHeight w:val="1115"/>
              </w:trPr>
              <w:tc>
                <w:tcPr>
                  <w:tcW w:w="4088" w:type="dxa"/>
                  <w:tcBorders>
                    <w:top w:val="single" w:sz="4" w:space="0" w:color="333333"/>
                  </w:tcBorders>
                </w:tcPr>
                <w:p w:rsidR="000006EB" w:rsidRPr="00F83412" w:rsidRDefault="000006EB" w:rsidP="00A32793">
                  <w:pPr>
                    <w:pStyle w:val="IATableLines"/>
                    <w:rPr>
                      <w:rFonts w:cs="Times New Roman"/>
                      <w:b/>
                      <w:bCs/>
                      <w:sz w:val="20"/>
                      <w:szCs w:val="20"/>
                    </w:rPr>
                  </w:pPr>
                </w:p>
              </w:tc>
            </w:tr>
          </w:tbl>
          <w:p w:rsidR="000006EB" w:rsidRPr="00F83412" w:rsidRDefault="000006EB">
            <w:pPr>
              <w:rPr>
                <w:rFonts w:eastAsia="SimSun"/>
              </w:rPr>
            </w:pPr>
          </w:p>
        </w:tc>
      </w:tr>
      <w:tr w:rsidR="000006EB" w:rsidRPr="00F83412" w:rsidTr="00100919">
        <w:trPr>
          <w:trHeight w:hRule="exact" w:val="422"/>
        </w:trPr>
        <w:tc>
          <w:tcPr>
            <w:tcW w:w="6118" w:type="dxa"/>
            <w:gridSpan w:val="3"/>
            <w:tcBorders>
              <w:top w:val="single" w:sz="4" w:space="0" w:color="auto"/>
              <w:left w:val="nil"/>
              <w:bottom w:val="single" w:sz="4" w:space="0" w:color="auto"/>
            </w:tcBorders>
          </w:tcPr>
          <w:p w:rsidR="000006EB" w:rsidRPr="00F83412" w:rsidRDefault="000006EB" w:rsidP="007107D1">
            <w:pPr>
              <w:pStyle w:val="Heading1"/>
              <w:spacing w:before="60"/>
              <w:rPr>
                <w:rFonts w:eastAsia="SimSun"/>
                <w:sz w:val="28"/>
                <w:szCs w:val="28"/>
              </w:rPr>
            </w:pPr>
            <w:r w:rsidRPr="00F83412">
              <w:rPr>
                <w:rFonts w:eastAsia="SimSun"/>
                <w:sz w:val="28"/>
                <w:szCs w:val="28"/>
              </w:rPr>
              <w:t xml:space="preserve">Summary: Intervention and Options </w:t>
            </w:r>
          </w:p>
          <w:p w:rsidR="000006EB" w:rsidRPr="00F83412" w:rsidRDefault="000006EB" w:rsidP="007107D1">
            <w:pPr>
              <w:pStyle w:val="IAHeadLabel0"/>
              <w:spacing w:before="50"/>
              <w:ind w:left="113"/>
              <w:rPr>
                <w:rFonts w:cs="Times New Roman"/>
                <w:color w:val="auto"/>
                <w:sz w:val="28"/>
                <w:szCs w:val="28"/>
              </w:rPr>
            </w:pPr>
          </w:p>
        </w:tc>
        <w:tc>
          <w:tcPr>
            <w:tcW w:w="4098" w:type="dxa"/>
            <w:gridSpan w:val="3"/>
            <w:tcBorders>
              <w:top w:val="single" w:sz="4" w:space="0" w:color="auto"/>
              <w:bottom w:val="single" w:sz="4" w:space="0" w:color="auto"/>
            </w:tcBorders>
            <w:shd w:val="clear" w:color="auto" w:fill="E0E0E0"/>
            <w:vAlign w:val="center"/>
          </w:tcPr>
          <w:p w:rsidR="000006EB" w:rsidRPr="00F83412" w:rsidRDefault="000006EB" w:rsidP="00F06EF6">
            <w:pPr>
              <w:pStyle w:val="Title"/>
              <w:rPr>
                <w:rFonts w:eastAsia="SimSun"/>
                <w:b/>
                <w:bCs/>
                <w:color w:val="auto"/>
                <w:sz w:val="24"/>
                <w:szCs w:val="24"/>
              </w:rPr>
            </w:pPr>
            <w:r w:rsidRPr="00F83412">
              <w:rPr>
                <w:rFonts w:eastAsia="SimSun"/>
                <w:b/>
                <w:bCs/>
                <w:color w:val="auto"/>
                <w:sz w:val="24"/>
                <w:szCs w:val="24"/>
              </w:rPr>
              <w:t>RPC:</w:t>
            </w:r>
            <w:r w:rsidR="002E1B6D">
              <w:rPr>
                <w:rStyle w:val="IARPCChar"/>
                <w:color w:val="auto"/>
              </w:rPr>
              <w:t xml:space="preserve"> OIOO sent </w:t>
            </w:r>
            <w:r w:rsidR="00F06EF6">
              <w:rPr>
                <w:rStyle w:val="IARPCChar"/>
                <w:color w:val="auto"/>
              </w:rPr>
              <w:t>for Validation</w:t>
            </w:r>
            <w:r w:rsidR="002E1B6D">
              <w:rPr>
                <w:rStyle w:val="IARPCChar"/>
                <w:color w:val="auto"/>
              </w:rPr>
              <w:t xml:space="preserve"> </w:t>
            </w:r>
          </w:p>
        </w:tc>
      </w:tr>
      <w:tr w:rsidR="000006EB" w:rsidRPr="00F83412" w:rsidTr="00100919">
        <w:trPr>
          <w:trHeight w:hRule="exact" w:val="145"/>
        </w:trPr>
        <w:tc>
          <w:tcPr>
            <w:tcW w:w="10216" w:type="dxa"/>
            <w:gridSpan w:val="6"/>
            <w:tcBorders>
              <w:top w:val="single" w:sz="4" w:space="0" w:color="auto"/>
              <w:left w:val="nil"/>
              <w:bottom w:val="nil"/>
            </w:tcBorders>
          </w:tcPr>
          <w:p w:rsidR="000006EB" w:rsidRPr="00F83412" w:rsidRDefault="000006EB" w:rsidP="00372A69">
            <w:pPr>
              <w:rPr>
                <w:rFonts w:eastAsia="SimSun"/>
              </w:rPr>
            </w:pPr>
          </w:p>
        </w:tc>
      </w:tr>
      <w:tr w:rsidR="000006EB" w:rsidRPr="00F83412">
        <w:tblPrEx>
          <w:tblBorders>
            <w:insideV w:val="none" w:sz="0" w:space="0" w:color="auto"/>
          </w:tblBorders>
        </w:tblPrEx>
        <w:trPr>
          <w:gridAfter w:val="1"/>
          <w:wAfter w:w="9" w:type="dxa"/>
          <w:trHeight w:hRule="exact" w:val="312"/>
        </w:trPr>
        <w:tc>
          <w:tcPr>
            <w:tcW w:w="10207" w:type="dxa"/>
            <w:gridSpan w:val="5"/>
            <w:tcBorders>
              <w:top w:val="single" w:sz="4" w:space="0" w:color="auto"/>
              <w:bottom w:val="nil"/>
            </w:tcBorders>
            <w:shd w:val="clear" w:color="auto" w:fill="E0E0E0"/>
          </w:tcPr>
          <w:p w:rsidR="000006EB" w:rsidRPr="00F83412" w:rsidRDefault="000006EB" w:rsidP="006A0557">
            <w:pPr>
              <w:pStyle w:val="IATableLabel"/>
              <w:ind w:left="0"/>
              <w:jc w:val="center"/>
              <w:rPr>
                <w:color w:val="auto"/>
              </w:rPr>
            </w:pPr>
            <w:r w:rsidRPr="00F83412">
              <w:rPr>
                <w:color w:val="auto"/>
              </w:rPr>
              <w:t>Cost of Preferred (or more likely) Option</w:t>
            </w:r>
          </w:p>
        </w:tc>
      </w:tr>
      <w:tr w:rsidR="000006EB" w:rsidRPr="00F83412">
        <w:tblPrEx>
          <w:tblBorders>
            <w:insideV w:val="none" w:sz="0" w:space="0" w:color="auto"/>
          </w:tblBorders>
        </w:tblPrEx>
        <w:trPr>
          <w:gridAfter w:val="1"/>
          <w:wAfter w:w="9" w:type="dxa"/>
          <w:trHeight w:hRule="exact" w:val="729"/>
        </w:trPr>
        <w:tc>
          <w:tcPr>
            <w:tcW w:w="1986" w:type="dxa"/>
            <w:tcBorders>
              <w:top w:val="single" w:sz="4" w:space="0" w:color="auto"/>
              <w:bottom w:val="nil"/>
              <w:right w:val="single" w:sz="4" w:space="0" w:color="auto"/>
            </w:tcBorders>
            <w:shd w:val="clear" w:color="auto" w:fill="E0E0E0"/>
            <w:vAlign w:val="center"/>
          </w:tcPr>
          <w:p w:rsidR="000006EB" w:rsidRPr="00F83412" w:rsidRDefault="000006EB" w:rsidP="006A0557">
            <w:pPr>
              <w:pStyle w:val="IATableLabel"/>
              <w:spacing w:before="0" w:after="0"/>
              <w:rPr>
                <w:color w:val="auto"/>
              </w:rPr>
            </w:pPr>
            <w:r w:rsidRPr="00F83412">
              <w:rPr>
                <w:color w:val="auto"/>
              </w:rPr>
              <w:t>Total Net Present Value</w:t>
            </w:r>
          </w:p>
        </w:tc>
        <w:tc>
          <w:tcPr>
            <w:tcW w:w="2126" w:type="dxa"/>
            <w:tcBorders>
              <w:top w:val="single" w:sz="4" w:space="0" w:color="auto"/>
              <w:bottom w:val="nil"/>
              <w:right w:val="single" w:sz="4" w:space="0" w:color="auto"/>
            </w:tcBorders>
            <w:shd w:val="clear" w:color="auto" w:fill="E0E0E0"/>
            <w:vAlign w:val="center"/>
          </w:tcPr>
          <w:p w:rsidR="000006EB" w:rsidRPr="00F83412" w:rsidRDefault="000006EB" w:rsidP="006A0557">
            <w:pPr>
              <w:pStyle w:val="IATableLabel"/>
              <w:spacing w:before="0" w:after="0"/>
              <w:rPr>
                <w:color w:val="auto"/>
              </w:rPr>
            </w:pPr>
            <w:r w:rsidRPr="00F83412">
              <w:rPr>
                <w:color w:val="auto"/>
              </w:rPr>
              <w:t>Business Net Present Value</w:t>
            </w:r>
          </w:p>
        </w:tc>
        <w:tc>
          <w:tcPr>
            <w:tcW w:w="2009" w:type="dxa"/>
            <w:tcBorders>
              <w:top w:val="single" w:sz="4" w:space="0" w:color="auto"/>
              <w:bottom w:val="nil"/>
              <w:right w:val="single" w:sz="4" w:space="0" w:color="auto"/>
            </w:tcBorders>
            <w:shd w:val="clear" w:color="auto" w:fill="E0E0E0"/>
            <w:vAlign w:val="center"/>
          </w:tcPr>
          <w:p w:rsidR="000006EB" w:rsidRPr="00F83412" w:rsidRDefault="000006EB" w:rsidP="006A0557">
            <w:pPr>
              <w:pStyle w:val="IATableLabel"/>
              <w:spacing w:before="0" w:after="0"/>
              <w:rPr>
                <w:color w:val="auto"/>
              </w:rPr>
            </w:pPr>
            <w:r w:rsidRPr="00F83412">
              <w:rPr>
                <w:color w:val="auto"/>
              </w:rPr>
              <w:t>Net cost to business per year</w:t>
            </w:r>
          </w:p>
          <w:p w:rsidR="000006EB" w:rsidRPr="00F83412" w:rsidRDefault="000006EB" w:rsidP="006A0557">
            <w:pPr>
              <w:pStyle w:val="IATableLabel"/>
              <w:spacing w:before="0" w:after="0"/>
              <w:rPr>
                <w:rFonts w:cs="Times New Roman"/>
                <w:color w:val="auto"/>
              </w:rPr>
            </w:pPr>
            <w:r w:rsidRPr="00F83412">
              <w:rPr>
                <w:b w:val="0"/>
                <w:bCs w:val="0"/>
                <w:color w:val="auto"/>
              </w:rPr>
              <w:t>(</w:t>
            </w:r>
            <w:r w:rsidRPr="00F83412">
              <w:rPr>
                <w:b w:val="0"/>
                <w:bCs w:val="0"/>
                <w:color w:val="auto"/>
                <w:sz w:val="16"/>
                <w:szCs w:val="16"/>
              </w:rPr>
              <w:t>EANCBon 2009 prices)</w:t>
            </w:r>
          </w:p>
        </w:tc>
        <w:tc>
          <w:tcPr>
            <w:tcW w:w="1980" w:type="dxa"/>
            <w:tcBorders>
              <w:top w:val="single" w:sz="4" w:space="0" w:color="auto"/>
              <w:left w:val="single" w:sz="4" w:space="0" w:color="auto"/>
              <w:bottom w:val="nil"/>
              <w:right w:val="nil"/>
            </w:tcBorders>
            <w:shd w:val="clear" w:color="auto" w:fill="E0E0E0"/>
            <w:vAlign w:val="center"/>
          </w:tcPr>
          <w:p w:rsidR="000006EB" w:rsidRPr="00F83412" w:rsidRDefault="000006EB" w:rsidP="006A0557">
            <w:pPr>
              <w:pStyle w:val="IATableLabel"/>
              <w:spacing w:before="0" w:after="0"/>
              <w:rPr>
                <w:color w:val="auto"/>
              </w:rPr>
            </w:pPr>
            <w:r w:rsidRPr="00F83412">
              <w:rPr>
                <w:color w:val="auto"/>
              </w:rPr>
              <w:t>In scope of One-In, One-Out?</w:t>
            </w:r>
          </w:p>
        </w:tc>
        <w:tc>
          <w:tcPr>
            <w:tcW w:w="2106" w:type="dxa"/>
            <w:tcBorders>
              <w:top w:val="single" w:sz="4" w:space="0" w:color="auto"/>
              <w:left w:val="nil"/>
              <w:bottom w:val="nil"/>
            </w:tcBorders>
            <w:shd w:val="clear" w:color="auto" w:fill="E0E0E0"/>
            <w:vAlign w:val="center"/>
          </w:tcPr>
          <w:p w:rsidR="000006EB" w:rsidRPr="00F83412" w:rsidRDefault="000006EB" w:rsidP="006A0557">
            <w:pPr>
              <w:pStyle w:val="IATableLabel"/>
              <w:spacing w:before="0" w:after="0"/>
              <w:ind w:left="0"/>
              <w:rPr>
                <w:color w:val="auto"/>
              </w:rPr>
            </w:pPr>
            <w:r w:rsidRPr="00F83412">
              <w:rPr>
                <w:color w:val="auto"/>
              </w:rPr>
              <w:t xml:space="preserve">  Measure qualifies as</w:t>
            </w:r>
          </w:p>
        </w:tc>
      </w:tr>
      <w:tr w:rsidR="000006EB" w:rsidRPr="00F83412">
        <w:tblPrEx>
          <w:tblBorders>
            <w:insideV w:val="none" w:sz="0" w:space="0" w:color="auto"/>
          </w:tblBorders>
        </w:tblPrEx>
        <w:trPr>
          <w:gridAfter w:val="1"/>
          <w:wAfter w:w="9" w:type="dxa"/>
          <w:trHeight w:hRule="exact" w:val="340"/>
        </w:trPr>
        <w:tc>
          <w:tcPr>
            <w:tcW w:w="1986" w:type="dxa"/>
            <w:tcBorders>
              <w:top w:val="nil"/>
              <w:bottom w:val="single" w:sz="4" w:space="0" w:color="auto"/>
              <w:right w:val="single" w:sz="4" w:space="0" w:color="auto"/>
            </w:tcBorders>
            <w:shd w:val="clear" w:color="auto" w:fill="E0E0E0"/>
            <w:vAlign w:val="center"/>
          </w:tcPr>
          <w:p w:rsidR="000006EB" w:rsidRPr="00F83412" w:rsidRDefault="00702D3E" w:rsidP="008369A3">
            <w:pPr>
              <w:pStyle w:val="IAIIOTNPV"/>
              <w:rPr>
                <w:rFonts w:cs="Times New Roman"/>
                <w:color w:val="auto"/>
              </w:rPr>
            </w:pPr>
            <w:r>
              <w:rPr>
                <w:color w:val="auto"/>
              </w:rPr>
              <w:t>£68.65</w:t>
            </w:r>
          </w:p>
        </w:tc>
        <w:tc>
          <w:tcPr>
            <w:tcW w:w="2126" w:type="dxa"/>
            <w:tcBorders>
              <w:top w:val="nil"/>
              <w:bottom w:val="single" w:sz="4" w:space="0" w:color="auto"/>
              <w:right w:val="single" w:sz="4" w:space="0" w:color="auto"/>
            </w:tcBorders>
            <w:shd w:val="clear" w:color="auto" w:fill="E0E0E0"/>
            <w:vAlign w:val="center"/>
          </w:tcPr>
          <w:p w:rsidR="000006EB" w:rsidRPr="00F83412" w:rsidRDefault="00702D3E" w:rsidP="00942695">
            <w:pPr>
              <w:pStyle w:val="IAIOBNPV"/>
              <w:rPr>
                <w:rFonts w:cs="Times New Roman"/>
                <w:color w:val="auto"/>
              </w:rPr>
            </w:pPr>
            <w:r>
              <w:rPr>
                <w:color w:val="auto"/>
              </w:rPr>
              <w:t>£</w:t>
            </w:r>
            <w:r w:rsidR="00942695">
              <w:rPr>
                <w:color w:val="auto"/>
              </w:rPr>
              <w:t>21.59</w:t>
            </w:r>
          </w:p>
        </w:tc>
        <w:bookmarkStart w:id="9" w:name="IANCTBPY"/>
        <w:tc>
          <w:tcPr>
            <w:tcW w:w="2009" w:type="dxa"/>
            <w:tcBorders>
              <w:top w:val="nil"/>
              <w:bottom w:val="single" w:sz="4" w:space="0" w:color="auto"/>
              <w:right w:val="single" w:sz="4" w:space="0" w:color="auto"/>
            </w:tcBorders>
            <w:shd w:val="clear" w:color="auto" w:fill="E0E0E0"/>
            <w:vAlign w:val="center"/>
          </w:tcPr>
          <w:p w:rsidR="000006EB" w:rsidRPr="00F83412" w:rsidRDefault="000006EB" w:rsidP="00942695">
            <w:pPr>
              <w:pStyle w:val="IAIONCTBPY"/>
              <w:rPr>
                <w:rFonts w:cs="Times New Roman"/>
                <w:color w:val="auto"/>
              </w:rPr>
            </w:pPr>
            <w:r w:rsidRPr="00F83412">
              <w:rPr>
                <w:color w:val="auto"/>
              </w:rPr>
              <w:fldChar w:fldCharType="begin">
                <w:ffData>
                  <w:name w:val="IANCTBPY"/>
                  <w:enabled/>
                  <w:calcOnExit w:val="0"/>
                  <w:textInput>
                    <w:default w:val="£m"/>
                    <w:maxLength w:val="9"/>
                  </w:textInput>
                </w:ffData>
              </w:fldChar>
            </w:r>
            <w:r w:rsidRPr="00F83412">
              <w:rPr>
                <w:color w:val="auto"/>
              </w:rPr>
              <w:instrText xml:space="preserve"> FORMTEXT </w:instrText>
            </w:r>
            <w:r w:rsidRPr="00F83412">
              <w:rPr>
                <w:color w:val="auto"/>
              </w:rPr>
            </w:r>
            <w:r w:rsidRPr="00F83412">
              <w:rPr>
                <w:color w:val="auto"/>
              </w:rPr>
              <w:fldChar w:fldCharType="separate"/>
            </w:r>
            <w:r w:rsidRPr="00F83412">
              <w:rPr>
                <w:noProof/>
                <w:color w:val="auto"/>
              </w:rPr>
              <w:t>£</w:t>
            </w:r>
            <w:r w:rsidR="00702D3E">
              <w:rPr>
                <w:noProof/>
                <w:color w:val="auto"/>
              </w:rPr>
              <w:t>-</w:t>
            </w:r>
            <w:r w:rsidR="00942695">
              <w:rPr>
                <w:noProof/>
                <w:color w:val="auto"/>
              </w:rPr>
              <w:t>2.51</w:t>
            </w:r>
            <w:r w:rsidRPr="00F83412">
              <w:rPr>
                <w:color w:val="auto"/>
              </w:rPr>
              <w:fldChar w:fldCharType="end"/>
            </w:r>
            <w:bookmarkEnd w:id="9"/>
          </w:p>
        </w:tc>
        <w:tc>
          <w:tcPr>
            <w:tcW w:w="1980" w:type="dxa"/>
            <w:tcBorders>
              <w:top w:val="nil"/>
              <w:left w:val="single" w:sz="4" w:space="0" w:color="auto"/>
              <w:bottom w:val="single" w:sz="4" w:space="0" w:color="auto"/>
              <w:right w:val="single" w:sz="4" w:space="0" w:color="auto"/>
            </w:tcBorders>
            <w:shd w:val="clear" w:color="auto" w:fill="E0E0E0"/>
            <w:vAlign w:val="center"/>
          </w:tcPr>
          <w:p w:rsidR="000006EB" w:rsidRPr="00F83412" w:rsidRDefault="000E5010" w:rsidP="008369A3">
            <w:pPr>
              <w:pStyle w:val="IAIOInScopeInOut"/>
              <w:rPr>
                <w:rFonts w:cs="Times New Roman"/>
                <w:color w:val="auto"/>
              </w:rPr>
            </w:pPr>
            <w:r>
              <w:rPr>
                <w:color w:val="auto"/>
              </w:rPr>
              <w:t>Yes</w:t>
            </w:r>
          </w:p>
        </w:tc>
        <w:bookmarkStart w:id="10" w:name="IAPrefMQ"/>
        <w:tc>
          <w:tcPr>
            <w:tcW w:w="2106" w:type="dxa"/>
            <w:tcBorders>
              <w:top w:val="nil"/>
              <w:left w:val="single" w:sz="4" w:space="0" w:color="auto"/>
              <w:bottom w:val="single" w:sz="4" w:space="0" w:color="auto"/>
            </w:tcBorders>
            <w:shd w:val="clear" w:color="auto" w:fill="E0E0E0"/>
            <w:vAlign w:val="center"/>
          </w:tcPr>
          <w:p w:rsidR="000006EB" w:rsidRPr="00F83412" w:rsidRDefault="00BE214E" w:rsidP="008369A3">
            <w:pPr>
              <w:pStyle w:val="IAIOPrefMQ"/>
              <w:rPr>
                <w:rFonts w:cs="Times New Roman"/>
                <w:color w:val="auto"/>
              </w:rPr>
            </w:pPr>
            <w:r>
              <w:rPr>
                <w:color w:val="auto"/>
              </w:rPr>
              <w:fldChar w:fldCharType="begin">
                <w:ffData>
                  <w:name w:val="IAPrefMQ"/>
                  <w:enabled/>
                  <w:calcOnExit w:val="0"/>
                  <w:ddList>
                    <w:listEntry w:val="OUT"/>
                  </w:ddList>
                </w:ffData>
              </w:fldChar>
            </w:r>
            <w:r>
              <w:rPr>
                <w:color w:val="auto"/>
              </w:rPr>
              <w:instrText xml:space="preserve"> FORMDROPDOWN </w:instrText>
            </w:r>
            <w:r>
              <w:rPr>
                <w:color w:val="auto"/>
              </w:rPr>
            </w:r>
            <w:r>
              <w:rPr>
                <w:color w:val="auto"/>
              </w:rPr>
              <w:fldChar w:fldCharType="end"/>
            </w:r>
            <w:bookmarkEnd w:id="10"/>
          </w:p>
        </w:tc>
      </w:tr>
      <w:tr w:rsidR="000006EB" w:rsidRPr="00F83412">
        <w:tblPrEx>
          <w:tblBorders>
            <w:insideV w:val="none" w:sz="0" w:space="0" w:color="auto"/>
          </w:tblBorders>
        </w:tblPrEx>
        <w:trPr>
          <w:gridAfter w:val="1"/>
          <w:wAfter w:w="9" w:type="dxa"/>
          <w:trHeight w:hRule="exact" w:val="90"/>
        </w:trPr>
        <w:tc>
          <w:tcPr>
            <w:tcW w:w="10207" w:type="dxa"/>
            <w:gridSpan w:val="5"/>
            <w:tcBorders>
              <w:top w:val="nil"/>
              <w:left w:val="nil"/>
              <w:bottom w:val="single" w:sz="4" w:space="0" w:color="auto"/>
              <w:right w:val="nil"/>
            </w:tcBorders>
          </w:tcPr>
          <w:p w:rsidR="000006EB" w:rsidRPr="00F83412" w:rsidRDefault="000006EB" w:rsidP="00EA0B74">
            <w:pPr>
              <w:pStyle w:val="IATableLabel"/>
              <w:rPr>
                <w:rFonts w:cs="Times New Roman"/>
                <w:color w:val="auto"/>
              </w:rPr>
            </w:pPr>
          </w:p>
        </w:tc>
      </w:tr>
      <w:tr w:rsidR="000006EB" w:rsidRPr="00F83412">
        <w:tblPrEx>
          <w:tblBorders>
            <w:insideV w:val="none" w:sz="0" w:space="0" w:color="auto"/>
          </w:tblBorders>
        </w:tblPrEx>
        <w:trPr>
          <w:gridAfter w:val="1"/>
          <w:wAfter w:w="9" w:type="dxa"/>
          <w:trHeight w:hRule="exact" w:val="2262"/>
        </w:trPr>
        <w:tc>
          <w:tcPr>
            <w:tcW w:w="10207" w:type="dxa"/>
            <w:gridSpan w:val="5"/>
            <w:tcBorders>
              <w:top w:val="single" w:sz="4" w:space="0" w:color="auto"/>
              <w:bottom w:val="single" w:sz="4" w:space="0" w:color="auto"/>
            </w:tcBorders>
          </w:tcPr>
          <w:p w:rsidR="000006EB" w:rsidRPr="00F83412" w:rsidRDefault="000006EB" w:rsidP="008369A3">
            <w:pPr>
              <w:pStyle w:val="IAIOQ1"/>
              <w:rPr>
                <w:color w:val="auto"/>
              </w:rPr>
            </w:pPr>
            <w:bookmarkStart w:id="11" w:name="Summary1"/>
            <w:r w:rsidRPr="00F83412">
              <w:rPr>
                <w:color w:val="auto"/>
              </w:rPr>
              <w:t>What is the problem under consideration? Why is government intervention necessary?</w:t>
            </w:r>
            <w:bookmarkEnd w:id="11"/>
          </w:p>
          <w:bookmarkStart w:id="12" w:name="IAIOA1"/>
          <w:p w:rsidR="00733AAE" w:rsidRPr="00F83412" w:rsidRDefault="000006EB" w:rsidP="00733AAE">
            <w:pPr>
              <w:pStyle w:val="IAIOA1"/>
              <w:rPr>
                <w:rFonts w:cs="Times New Roman"/>
              </w:rPr>
            </w:pPr>
            <w:r w:rsidRPr="00F83412">
              <w:fldChar w:fldCharType="begin">
                <w:ffData>
                  <w:name w:val="IAIOA1"/>
                  <w:enabled/>
                  <w:calcOnExit w:val="0"/>
                  <w:textInput>
                    <w:default w:val="Maximum of 7 lines"/>
                    <w:maxLength w:val="800"/>
                  </w:textInput>
                </w:ffData>
              </w:fldChar>
            </w:r>
            <w:r w:rsidRPr="00F83412">
              <w:instrText xml:space="preserve"> FORMTEXT </w:instrText>
            </w:r>
            <w:r w:rsidRPr="00F83412">
              <w:fldChar w:fldCharType="separate"/>
            </w:r>
            <w:r w:rsidRPr="00F83412">
              <w:t xml:space="preserve">To protect special interest, </w:t>
            </w:r>
            <w:r w:rsidRPr="00F83412">
              <w:rPr>
                <w:noProof/>
              </w:rPr>
              <w:t xml:space="preserve">Listed Building Consent (LBC) is required in law for works to a listed building which will affect its character as one of special architectural or historic interest.  This requirement is inconsistently interpreted, bringing into the control process works which have no or limited impact on special interest, imposing burdens on local planning authorities, owners and developers.  Government committed in its response to the Penfold Review to exploring the options for legal change  to reduce the numbers of full LBC cases where special interest is only minimally impacted, or to introduce lighter-touch mechanisms for gaining consent. </w:t>
            </w:r>
            <w:r w:rsidRPr="00F83412">
              <w:fldChar w:fldCharType="end"/>
            </w:r>
            <w:bookmarkEnd w:id="12"/>
          </w:p>
        </w:tc>
      </w:tr>
    </w:tbl>
    <w:p w:rsidR="000006EB" w:rsidRPr="00F83412" w:rsidRDefault="000006EB" w:rsidP="007208D9">
      <w:pPr>
        <w:pStyle w:val="IASpacer"/>
        <w:rPr>
          <w:rFonts w:cs="Times New Roman"/>
        </w:rPr>
      </w:pPr>
    </w:p>
    <w:tbl>
      <w:tblPr>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0215"/>
      </w:tblGrid>
      <w:tr w:rsidR="000006EB" w:rsidRPr="00F83412" w:rsidTr="00100919">
        <w:trPr>
          <w:trHeight w:hRule="exact" w:val="2399"/>
        </w:trPr>
        <w:tc>
          <w:tcPr>
            <w:tcW w:w="10214" w:type="dxa"/>
            <w:tcBorders>
              <w:top w:val="single" w:sz="4" w:space="0" w:color="auto"/>
              <w:bottom w:val="single" w:sz="4" w:space="0" w:color="auto"/>
            </w:tcBorders>
          </w:tcPr>
          <w:p w:rsidR="000006EB" w:rsidRPr="00F83412" w:rsidRDefault="000006EB" w:rsidP="008369A3">
            <w:pPr>
              <w:pStyle w:val="IAIOQ2"/>
              <w:rPr>
                <w:color w:val="auto"/>
              </w:rPr>
            </w:pPr>
            <w:bookmarkStart w:id="13" w:name="Summary2"/>
            <w:r w:rsidRPr="00F83412">
              <w:rPr>
                <w:color w:val="auto"/>
              </w:rPr>
              <w:t>What are the policy objectives and the intended effects?</w:t>
            </w:r>
            <w:bookmarkEnd w:id="13"/>
          </w:p>
          <w:bookmarkStart w:id="14" w:name="IAIOA2"/>
          <w:p w:rsidR="000006EB" w:rsidRPr="00F83412" w:rsidRDefault="000006EB" w:rsidP="00C03EF5">
            <w:pPr>
              <w:pStyle w:val="IATableLines"/>
              <w:rPr>
                <w:rFonts w:cs="Times New Roman"/>
              </w:rPr>
            </w:pPr>
            <w:r w:rsidRPr="00F83412">
              <w:fldChar w:fldCharType="begin">
                <w:ffData>
                  <w:name w:val="IAIOA2"/>
                  <w:enabled/>
                  <w:calcOnExit w:val="0"/>
                  <w:textInput>
                    <w:default w:val="Maximum of 7 lines"/>
                    <w:maxLength w:val="800"/>
                  </w:textInput>
                </w:ffData>
              </w:fldChar>
            </w:r>
            <w:r w:rsidRPr="00F83412">
              <w:instrText xml:space="preserve"> FORMTEXT </w:instrText>
            </w:r>
            <w:r w:rsidRPr="00F83412">
              <w:fldChar w:fldCharType="separate"/>
            </w:r>
            <w:r w:rsidRPr="00F83412">
              <w:t xml:space="preserve">1) Introduction of a light-touch approach for approving works to </w:t>
            </w:r>
            <w:r w:rsidR="007F71FE">
              <w:t xml:space="preserve">listed buildings through </w:t>
            </w:r>
            <w:r w:rsidRPr="00F83412">
              <w:t xml:space="preserve">a system of national local and national class consents for defined assets and defined works.  2) To enable local planning authorities to give a definitive opinion on the need or otherwise for  LBC through the introduction of a certificate of lawful works.  3) To enable accredited independent agents to act as expert adviser to local authorities on LBC applications, </w:t>
            </w:r>
            <w:r w:rsidR="00072196">
              <w:t>in lieu of in</w:t>
            </w:r>
            <w:r w:rsidR="00962CA2">
              <w:t>-</w:t>
            </w:r>
            <w:r w:rsidR="00072196">
              <w:t>house ad</w:t>
            </w:r>
            <w:r w:rsidR="00962CA2">
              <w:t>vice, if the applicant so wishes</w:t>
            </w:r>
            <w:r w:rsidR="00072196">
              <w:t xml:space="preserve">.  </w:t>
            </w:r>
            <w:r w:rsidRPr="00F83412">
              <w:fldChar w:fldCharType="end"/>
            </w:r>
            <w:bookmarkEnd w:id="14"/>
          </w:p>
        </w:tc>
      </w:tr>
    </w:tbl>
    <w:p w:rsidR="000006EB" w:rsidRPr="00F83412" w:rsidRDefault="000006EB" w:rsidP="007208D9">
      <w:pPr>
        <w:pStyle w:val="IASpacer"/>
        <w:rPr>
          <w:rFonts w:cs="Times New Roman"/>
        </w:rPr>
      </w:pPr>
    </w:p>
    <w:tbl>
      <w:tblPr>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0215"/>
      </w:tblGrid>
      <w:tr w:rsidR="000006EB" w:rsidRPr="00F83412" w:rsidTr="00574FA9">
        <w:trPr>
          <w:trHeight w:hRule="exact" w:val="2464"/>
        </w:trPr>
        <w:tc>
          <w:tcPr>
            <w:tcW w:w="9648" w:type="dxa"/>
            <w:tcBorders>
              <w:top w:val="single" w:sz="4" w:space="0" w:color="auto"/>
              <w:bottom w:val="single" w:sz="4" w:space="0" w:color="auto"/>
            </w:tcBorders>
          </w:tcPr>
          <w:p w:rsidR="000006EB" w:rsidRPr="00574FA9" w:rsidRDefault="000006EB" w:rsidP="00574FA9">
            <w:pPr>
              <w:pStyle w:val="IAIOQ3"/>
              <w:rPr>
                <w:noProof/>
              </w:rPr>
            </w:pPr>
            <w:bookmarkStart w:id="15" w:name="Summary3"/>
            <w:r w:rsidRPr="00F83412">
              <w:rPr>
                <w:color w:val="auto"/>
              </w:rPr>
              <w:t>What policy options have been considered, including any alternatives to regulation? Please justify preferred option (further details in Evidence Base)</w:t>
            </w:r>
            <w:bookmarkStart w:id="16" w:name="IAIOA3"/>
            <w:r w:rsidRPr="00574FA9">
              <w:fldChar w:fldCharType="begin">
                <w:ffData>
                  <w:name w:val="IAIOA3"/>
                  <w:enabled/>
                  <w:calcOnExit w:val="0"/>
                  <w:textInput>
                    <w:default w:val="Maximum of 10 lines"/>
                    <w:maxLength w:val="1100"/>
                  </w:textInput>
                </w:ffData>
              </w:fldChar>
            </w:r>
            <w:r w:rsidRPr="00574FA9">
              <w:instrText xml:space="preserve"> FORMTEXT </w:instrText>
            </w:r>
            <w:r w:rsidRPr="00574FA9">
              <w:fldChar w:fldCharType="separate"/>
            </w:r>
          </w:p>
          <w:p w:rsidR="00A87947" w:rsidRPr="00574FA9" w:rsidRDefault="00A87947" w:rsidP="00DA46D2">
            <w:pPr>
              <w:pStyle w:val="IATableLines"/>
              <w:rPr>
                <w:noProof/>
              </w:rPr>
            </w:pPr>
          </w:p>
          <w:p w:rsidR="002E7EE6" w:rsidRPr="00574FA9" w:rsidRDefault="00A87947" w:rsidP="002E7EE6">
            <w:pPr>
              <w:pStyle w:val="IATableLines"/>
              <w:numPr>
                <w:ilvl w:val="0"/>
                <w:numId w:val="43"/>
              </w:numPr>
              <w:rPr>
                <w:noProof/>
              </w:rPr>
            </w:pPr>
            <w:r w:rsidRPr="00574FA9">
              <w:rPr>
                <w:noProof/>
              </w:rPr>
              <w:t>Introduce proposals to create a system o</w:t>
            </w:r>
            <w:r w:rsidR="00574FA9" w:rsidRPr="00574FA9">
              <w:rPr>
                <w:noProof/>
              </w:rPr>
              <w:t>f local/national class consents.</w:t>
            </w:r>
          </w:p>
          <w:p w:rsidR="00574FA9" w:rsidRPr="00574FA9" w:rsidRDefault="000006EB" w:rsidP="002E7EE6">
            <w:pPr>
              <w:pStyle w:val="IATableLines"/>
              <w:numPr>
                <w:ilvl w:val="0"/>
                <w:numId w:val="43"/>
              </w:numPr>
              <w:rPr>
                <w:noProof/>
              </w:rPr>
            </w:pPr>
            <w:r w:rsidRPr="00574FA9">
              <w:rPr>
                <w:noProof/>
              </w:rPr>
              <w:t>Introduce proposals to create a certificate of la</w:t>
            </w:r>
            <w:r w:rsidR="00574FA9" w:rsidRPr="00574FA9">
              <w:rPr>
                <w:noProof/>
              </w:rPr>
              <w:t>wful works for listed buildings</w:t>
            </w:r>
            <w:r w:rsidRPr="00574FA9">
              <w:rPr>
                <w:noProof/>
              </w:rPr>
              <w:t xml:space="preserve">  </w:t>
            </w:r>
          </w:p>
          <w:p w:rsidR="000006EB" w:rsidRPr="00574FA9" w:rsidRDefault="000006EB" w:rsidP="002E7EE6">
            <w:pPr>
              <w:pStyle w:val="IATableLines"/>
              <w:numPr>
                <w:ilvl w:val="0"/>
                <w:numId w:val="43"/>
              </w:numPr>
              <w:rPr>
                <w:noProof/>
              </w:rPr>
            </w:pPr>
            <w:r w:rsidRPr="00574FA9">
              <w:rPr>
                <w:noProof/>
              </w:rPr>
              <w:t>Introduce new powers for accredited indepen</w:t>
            </w:r>
            <w:r w:rsidR="00571AC6">
              <w:rPr>
                <w:noProof/>
              </w:rPr>
              <w:t>dent agents to act on LBC cases, if the applicant wishes</w:t>
            </w:r>
            <w:r w:rsidRPr="00574FA9">
              <w:rPr>
                <w:noProof/>
              </w:rPr>
              <w:t xml:space="preserve"> </w:t>
            </w:r>
          </w:p>
          <w:p w:rsidR="000006EB" w:rsidRPr="00574FA9" w:rsidRDefault="000006EB" w:rsidP="00C03EF5">
            <w:pPr>
              <w:pStyle w:val="IATableLines"/>
              <w:ind w:left="720"/>
              <w:rPr>
                <w:noProof/>
              </w:rPr>
            </w:pPr>
          </w:p>
          <w:p w:rsidR="00941865" w:rsidRPr="00574FA9" w:rsidRDefault="00941865" w:rsidP="0089782B">
            <w:pPr>
              <w:pStyle w:val="IATableLines"/>
              <w:ind w:left="720"/>
              <w:rPr>
                <w:noProof/>
              </w:rPr>
            </w:pPr>
          </w:p>
          <w:p w:rsidR="000006EB" w:rsidRPr="00F83412" w:rsidRDefault="000006EB" w:rsidP="00702D3E">
            <w:pPr>
              <w:pStyle w:val="IATableLines"/>
              <w:ind w:left="147"/>
              <w:rPr>
                <w:rFonts w:cs="Times New Roman"/>
              </w:rPr>
            </w:pPr>
            <w:r w:rsidRPr="00574FA9">
              <w:rPr>
                <w:noProof/>
              </w:rPr>
              <w:t xml:space="preserve">   </w:t>
            </w:r>
            <w:r w:rsidRPr="00574FA9">
              <w:fldChar w:fldCharType="end"/>
            </w:r>
            <w:bookmarkEnd w:id="16"/>
          </w:p>
        </w:tc>
      </w:tr>
    </w:tbl>
    <w:p w:rsidR="000006EB" w:rsidRPr="00F83412" w:rsidRDefault="000006EB">
      <w:pPr>
        <w:pStyle w:val="IASpacer2"/>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290"/>
        <w:gridCol w:w="984"/>
        <w:gridCol w:w="983"/>
        <w:gridCol w:w="983"/>
        <w:gridCol w:w="347"/>
        <w:gridCol w:w="633"/>
        <w:gridCol w:w="983"/>
        <w:gridCol w:w="12"/>
      </w:tblGrid>
      <w:tr w:rsidR="000006EB" w:rsidRPr="00F83412">
        <w:tc>
          <w:tcPr>
            <w:tcW w:w="5000" w:type="pct"/>
            <w:gridSpan w:val="8"/>
          </w:tcPr>
          <w:p w:rsidR="000006EB" w:rsidRPr="00F83412" w:rsidRDefault="000006EB" w:rsidP="00CF5888">
            <w:pPr>
              <w:pStyle w:val="IATableLabel"/>
              <w:rPr>
                <w:rFonts w:cs="Times New Roman"/>
                <w:b w:val="0"/>
                <w:bCs w:val="0"/>
                <w:color w:val="auto"/>
                <w:sz w:val="22"/>
                <w:szCs w:val="22"/>
              </w:rPr>
            </w:pPr>
            <w:r w:rsidRPr="00F83412">
              <w:rPr>
                <w:color w:val="auto"/>
              </w:rPr>
              <w:t xml:space="preserve">Will the policy be reviewed?   </w:t>
            </w:r>
            <w:r w:rsidRPr="00F83412">
              <w:rPr>
                <w:b w:val="0"/>
                <w:bCs w:val="0"/>
                <w:color w:val="auto"/>
                <w:sz w:val="22"/>
                <w:szCs w:val="22"/>
              </w:rPr>
              <w:t>It will be reviewed.</w:t>
            </w:r>
            <w:r w:rsidRPr="00F83412">
              <w:rPr>
                <w:color w:val="auto"/>
              </w:rPr>
              <w:t xml:space="preserve">  If applicable, set review date:  </w:t>
            </w:r>
            <w:r w:rsidRPr="00F83412">
              <w:rPr>
                <w:rStyle w:val="IAIOReviewMonthChar"/>
                <w:color w:val="auto"/>
                <w:sz w:val="20"/>
                <w:szCs w:val="20"/>
              </w:rPr>
              <w:t>Five years after implementation</w:t>
            </w:r>
          </w:p>
        </w:tc>
      </w:tr>
      <w:tr w:rsidR="000006EB" w:rsidRPr="00F83412">
        <w:trPr>
          <w:gridAfter w:val="1"/>
          <w:wAfter w:w="14" w:type="dxa"/>
          <w:trHeight w:hRule="exact" w:val="340"/>
        </w:trPr>
        <w:tc>
          <w:tcPr>
            <w:tcW w:w="7252" w:type="dxa"/>
            <w:gridSpan w:val="3"/>
            <w:shd w:val="clear" w:color="auto" w:fill="E0E0E0"/>
            <w:vAlign w:val="center"/>
          </w:tcPr>
          <w:p w:rsidR="000006EB" w:rsidRPr="00F83412" w:rsidRDefault="000006EB" w:rsidP="006A0557">
            <w:pPr>
              <w:pStyle w:val="IATableText"/>
              <w:spacing w:before="0" w:after="0"/>
              <w:rPr>
                <w:sz w:val="20"/>
                <w:szCs w:val="20"/>
              </w:rPr>
            </w:pPr>
            <w:bookmarkStart w:id="17" w:name="Summary4"/>
            <w:bookmarkEnd w:id="15"/>
            <w:r w:rsidRPr="00F83412">
              <w:rPr>
                <w:sz w:val="20"/>
                <w:szCs w:val="20"/>
              </w:rPr>
              <w:t>Does implementation go beyond minimum EU requirements?</w:t>
            </w:r>
          </w:p>
        </w:tc>
        <w:bookmarkStart w:id="18" w:name="IACheckEU"/>
        <w:tc>
          <w:tcPr>
            <w:tcW w:w="2949" w:type="dxa"/>
            <w:gridSpan w:val="4"/>
            <w:shd w:val="clear" w:color="auto" w:fill="E0E0E0"/>
            <w:vAlign w:val="center"/>
          </w:tcPr>
          <w:p w:rsidR="000006EB" w:rsidRPr="00F83412" w:rsidRDefault="000006EB" w:rsidP="00F91F5A">
            <w:pPr>
              <w:pStyle w:val="IAIOCheckEU"/>
              <w:rPr>
                <w:rFonts w:cs="Times New Roman"/>
              </w:rPr>
            </w:pPr>
            <w:r w:rsidRPr="00F83412">
              <w:fldChar w:fldCharType="begin">
                <w:ffData>
                  <w:name w:val="IACheckEU"/>
                  <w:enabled/>
                  <w:calcOnExit w:val="0"/>
                  <w:ddList>
                    <w:result w:val="3"/>
                    <w:listEntry w:val="Yes / No / N/A"/>
                    <w:listEntry w:val="Yes"/>
                    <w:listEntry w:val="No"/>
                    <w:listEntry w:val="N/A"/>
                  </w:ddList>
                </w:ffData>
              </w:fldChar>
            </w:r>
            <w:r w:rsidRPr="00F83412">
              <w:instrText xml:space="preserve"> FORMDROPDOWN </w:instrText>
            </w:r>
            <w:r w:rsidRPr="00F83412">
              <w:fldChar w:fldCharType="end"/>
            </w:r>
            <w:bookmarkEnd w:id="18"/>
          </w:p>
        </w:tc>
      </w:tr>
      <w:tr w:rsidR="000006EB" w:rsidRPr="00F83412">
        <w:trPr>
          <w:gridAfter w:val="1"/>
          <w:wAfter w:w="14" w:type="dxa"/>
          <w:trHeight w:val="460"/>
        </w:trPr>
        <w:tc>
          <w:tcPr>
            <w:tcW w:w="5286" w:type="dxa"/>
            <w:shd w:val="clear" w:color="auto" w:fill="E0E0E0"/>
            <w:vAlign w:val="center"/>
          </w:tcPr>
          <w:p w:rsidR="000006EB" w:rsidRPr="00F83412" w:rsidRDefault="000006EB" w:rsidP="006A0557">
            <w:pPr>
              <w:pStyle w:val="IATableText"/>
              <w:spacing w:before="0" w:after="0"/>
              <w:rPr>
                <w:sz w:val="20"/>
                <w:szCs w:val="20"/>
              </w:rPr>
            </w:pPr>
            <w:r w:rsidRPr="00F83412">
              <w:rPr>
                <w:sz w:val="20"/>
                <w:szCs w:val="20"/>
              </w:rPr>
              <w:t>Are any of these organisations in scope? If Micros not exempted set out reason in Evidence Base.</w:t>
            </w:r>
          </w:p>
        </w:tc>
        <w:tc>
          <w:tcPr>
            <w:tcW w:w="983" w:type="dxa"/>
            <w:shd w:val="clear" w:color="auto" w:fill="E0E0E0"/>
            <w:vAlign w:val="center"/>
          </w:tcPr>
          <w:p w:rsidR="000006EB" w:rsidRPr="00F83412" w:rsidRDefault="000006EB" w:rsidP="006A0557">
            <w:pPr>
              <w:pStyle w:val="IATableLines"/>
              <w:rPr>
                <w:rFonts w:cs="Times New Roman"/>
                <w:b/>
                <w:bCs/>
                <w:sz w:val="20"/>
                <w:szCs w:val="20"/>
              </w:rPr>
            </w:pPr>
            <w:r w:rsidRPr="00F83412">
              <w:rPr>
                <w:b/>
                <w:bCs/>
                <w:sz w:val="20"/>
                <w:szCs w:val="20"/>
              </w:rPr>
              <w:t>Micro</w:t>
            </w:r>
            <w:bookmarkStart w:id="19" w:name="IACheckMicro"/>
            <w:r w:rsidRPr="00F83412">
              <w:rPr>
                <w:rStyle w:val="IAIOCheckMicroChar"/>
                <w:color w:val="auto"/>
                <w:sz w:val="20"/>
                <w:szCs w:val="20"/>
              </w:rPr>
              <w:fldChar w:fldCharType="begin">
                <w:ffData>
                  <w:name w:val="IACheckMicro"/>
                  <w:enabled/>
                  <w:calcOnExit w:val="0"/>
                  <w:ddList>
                    <w:result w:val="1"/>
                    <w:listEntry w:val="Yes/No"/>
                    <w:listEntry w:val="Yes"/>
                    <w:listEntry w:val="No"/>
                  </w:ddList>
                </w:ffData>
              </w:fldChar>
            </w:r>
            <w:r w:rsidRPr="00F83412">
              <w:rPr>
                <w:rStyle w:val="IAIOCheckMicroChar"/>
                <w:color w:val="auto"/>
                <w:sz w:val="20"/>
                <w:szCs w:val="20"/>
              </w:rPr>
              <w:instrText xml:space="preserve"> FORMDROPDOWN </w:instrText>
            </w:r>
            <w:r w:rsidRPr="00F83412">
              <w:rPr>
                <w:rStyle w:val="IAIOCheckMicroChar"/>
                <w:color w:val="auto"/>
                <w:sz w:val="20"/>
                <w:szCs w:val="20"/>
              </w:rPr>
            </w:r>
            <w:r w:rsidRPr="00F83412">
              <w:rPr>
                <w:rStyle w:val="IAIOCheckMicroChar"/>
                <w:color w:val="auto"/>
                <w:sz w:val="20"/>
                <w:szCs w:val="20"/>
              </w:rPr>
              <w:fldChar w:fldCharType="end"/>
            </w:r>
            <w:bookmarkEnd w:id="19"/>
          </w:p>
        </w:tc>
        <w:tc>
          <w:tcPr>
            <w:tcW w:w="983" w:type="dxa"/>
            <w:shd w:val="clear" w:color="auto" w:fill="E0E0E0"/>
            <w:vAlign w:val="center"/>
          </w:tcPr>
          <w:p w:rsidR="000006EB" w:rsidRPr="00F83412" w:rsidRDefault="000006EB" w:rsidP="006A0557">
            <w:pPr>
              <w:pStyle w:val="IATableLines"/>
              <w:rPr>
                <w:b/>
                <w:bCs/>
                <w:sz w:val="20"/>
                <w:szCs w:val="20"/>
              </w:rPr>
            </w:pPr>
            <w:r w:rsidRPr="00F83412">
              <w:rPr>
                <w:b/>
                <w:bCs/>
                <w:sz w:val="20"/>
                <w:szCs w:val="20"/>
              </w:rPr>
              <w:t>&lt; 20</w:t>
            </w:r>
          </w:p>
          <w:bookmarkStart w:id="20" w:name="IACheck20"/>
          <w:p w:rsidR="000006EB" w:rsidRPr="00F83412" w:rsidRDefault="000006EB" w:rsidP="00D478C9">
            <w:pPr>
              <w:pStyle w:val="IAIOCheck20"/>
              <w:rPr>
                <w:rFonts w:cs="Times New Roman"/>
                <w:b/>
                <w:bCs/>
              </w:rPr>
            </w:pPr>
            <w:r w:rsidRPr="00F83412">
              <w:fldChar w:fldCharType="begin">
                <w:ffData>
                  <w:name w:val="IACheck20"/>
                  <w:enabled/>
                  <w:calcOnExit w:val="0"/>
                  <w:ddList>
                    <w:result w:val="1"/>
                    <w:listEntry w:val="Yes/No"/>
                    <w:listEntry w:val="Yes"/>
                    <w:listEntry w:val="No"/>
                  </w:ddList>
                </w:ffData>
              </w:fldChar>
            </w:r>
            <w:r w:rsidRPr="00F83412">
              <w:instrText xml:space="preserve"> FORMDROPDOWN </w:instrText>
            </w:r>
            <w:r w:rsidRPr="00F83412">
              <w:fldChar w:fldCharType="end"/>
            </w:r>
            <w:bookmarkEnd w:id="20"/>
          </w:p>
        </w:tc>
        <w:tc>
          <w:tcPr>
            <w:tcW w:w="983" w:type="dxa"/>
            <w:shd w:val="clear" w:color="auto" w:fill="E0E0E0"/>
            <w:vAlign w:val="center"/>
          </w:tcPr>
          <w:p w:rsidR="000006EB" w:rsidRPr="00F83412" w:rsidRDefault="000006EB" w:rsidP="006A0557">
            <w:pPr>
              <w:pStyle w:val="IATableLines"/>
              <w:rPr>
                <w:rFonts w:cs="Times New Roman"/>
                <w:b/>
                <w:bCs/>
                <w:sz w:val="20"/>
                <w:szCs w:val="20"/>
              </w:rPr>
            </w:pPr>
            <w:r w:rsidRPr="00F83412">
              <w:rPr>
                <w:b/>
                <w:bCs/>
                <w:sz w:val="20"/>
                <w:szCs w:val="20"/>
              </w:rPr>
              <w:t>Small</w:t>
            </w:r>
            <w:bookmarkStart w:id="21" w:name="IACheckSmall"/>
            <w:r w:rsidRPr="00F83412">
              <w:rPr>
                <w:rStyle w:val="IAIOCheckSmallChar"/>
                <w:color w:val="auto"/>
                <w:sz w:val="20"/>
                <w:szCs w:val="20"/>
              </w:rPr>
              <w:fldChar w:fldCharType="begin">
                <w:ffData>
                  <w:name w:val="IACheckSmall"/>
                  <w:enabled/>
                  <w:calcOnExit w:val="0"/>
                  <w:ddList>
                    <w:result w:val="1"/>
                    <w:listEntry w:val="Yes/No"/>
                    <w:listEntry w:val="Yes"/>
                    <w:listEntry w:val="No"/>
                  </w:ddList>
                </w:ffData>
              </w:fldChar>
            </w:r>
            <w:r w:rsidRPr="00F83412">
              <w:rPr>
                <w:rStyle w:val="IAIOCheckSmallChar"/>
                <w:color w:val="auto"/>
                <w:sz w:val="20"/>
                <w:szCs w:val="20"/>
              </w:rPr>
              <w:instrText xml:space="preserve"> FORMDROPDOWN </w:instrText>
            </w:r>
            <w:r w:rsidRPr="00F83412">
              <w:rPr>
                <w:rStyle w:val="IAIOCheckSmallChar"/>
                <w:color w:val="auto"/>
                <w:sz w:val="20"/>
                <w:szCs w:val="20"/>
              </w:rPr>
            </w:r>
            <w:r w:rsidRPr="00F83412">
              <w:rPr>
                <w:rStyle w:val="IAIOCheckSmallChar"/>
                <w:color w:val="auto"/>
                <w:sz w:val="20"/>
                <w:szCs w:val="20"/>
              </w:rPr>
              <w:fldChar w:fldCharType="end"/>
            </w:r>
            <w:bookmarkEnd w:id="21"/>
          </w:p>
        </w:tc>
        <w:tc>
          <w:tcPr>
            <w:tcW w:w="983" w:type="dxa"/>
            <w:gridSpan w:val="2"/>
            <w:shd w:val="clear" w:color="auto" w:fill="E0E0E0"/>
            <w:vAlign w:val="center"/>
          </w:tcPr>
          <w:p w:rsidR="000006EB" w:rsidRPr="00F83412" w:rsidRDefault="000006EB" w:rsidP="006A0557">
            <w:pPr>
              <w:pStyle w:val="IATableLines"/>
              <w:rPr>
                <w:rFonts w:cs="Times New Roman"/>
                <w:b/>
                <w:bCs/>
                <w:sz w:val="20"/>
                <w:szCs w:val="20"/>
              </w:rPr>
            </w:pPr>
            <w:r w:rsidRPr="00F83412">
              <w:rPr>
                <w:b/>
                <w:bCs/>
                <w:sz w:val="20"/>
                <w:szCs w:val="20"/>
              </w:rPr>
              <w:t>Medium</w:t>
            </w:r>
            <w:bookmarkStart w:id="22" w:name="IACheckMedium"/>
            <w:r w:rsidRPr="00F83412">
              <w:rPr>
                <w:rStyle w:val="IAIOCheckMediumChar"/>
                <w:color w:val="auto"/>
                <w:sz w:val="20"/>
                <w:szCs w:val="20"/>
              </w:rPr>
              <w:fldChar w:fldCharType="begin">
                <w:ffData>
                  <w:name w:val="IACheckMedium"/>
                  <w:enabled/>
                  <w:calcOnExit w:val="0"/>
                  <w:ddList>
                    <w:result w:val="1"/>
                    <w:listEntry w:val="Yes/No"/>
                    <w:listEntry w:val="Yes"/>
                    <w:listEntry w:val="No"/>
                  </w:ddList>
                </w:ffData>
              </w:fldChar>
            </w:r>
            <w:r w:rsidRPr="00F83412">
              <w:rPr>
                <w:rStyle w:val="IAIOCheckMediumChar"/>
                <w:color w:val="auto"/>
                <w:sz w:val="20"/>
                <w:szCs w:val="20"/>
              </w:rPr>
              <w:instrText xml:space="preserve"> FORMDROPDOWN </w:instrText>
            </w:r>
            <w:r w:rsidRPr="00F83412">
              <w:rPr>
                <w:rStyle w:val="IAIOCheckMediumChar"/>
                <w:color w:val="auto"/>
                <w:sz w:val="20"/>
                <w:szCs w:val="20"/>
              </w:rPr>
            </w:r>
            <w:r w:rsidRPr="00F83412">
              <w:rPr>
                <w:rStyle w:val="IAIOCheckMediumChar"/>
                <w:color w:val="auto"/>
                <w:sz w:val="20"/>
                <w:szCs w:val="20"/>
              </w:rPr>
              <w:fldChar w:fldCharType="end"/>
            </w:r>
            <w:bookmarkEnd w:id="22"/>
          </w:p>
        </w:tc>
        <w:tc>
          <w:tcPr>
            <w:tcW w:w="983" w:type="dxa"/>
            <w:shd w:val="clear" w:color="auto" w:fill="E0E0E0"/>
            <w:vAlign w:val="center"/>
          </w:tcPr>
          <w:p w:rsidR="000006EB" w:rsidRPr="00F83412" w:rsidRDefault="000006EB" w:rsidP="006A0557">
            <w:pPr>
              <w:pStyle w:val="IATableLines"/>
              <w:rPr>
                <w:rFonts w:cs="Times New Roman"/>
                <w:b/>
                <w:bCs/>
                <w:sz w:val="20"/>
                <w:szCs w:val="20"/>
              </w:rPr>
            </w:pPr>
            <w:r w:rsidRPr="00F83412">
              <w:rPr>
                <w:b/>
                <w:bCs/>
                <w:sz w:val="20"/>
                <w:szCs w:val="20"/>
              </w:rPr>
              <w:t>Large</w:t>
            </w:r>
            <w:bookmarkStart w:id="23" w:name="IACheckLarge"/>
            <w:r w:rsidRPr="00F83412">
              <w:rPr>
                <w:rStyle w:val="IAIOCheckLargeChar"/>
                <w:color w:val="auto"/>
                <w:sz w:val="20"/>
                <w:szCs w:val="20"/>
              </w:rPr>
              <w:fldChar w:fldCharType="begin">
                <w:ffData>
                  <w:name w:val="IACheckLarge"/>
                  <w:enabled/>
                  <w:calcOnExit w:val="0"/>
                  <w:ddList>
                    <w:result w:val="1"/>
                    <w:listEntry w:val="Yes/No"/>
                    <w:listEntry w:val="Yes"/>
                    <w:listEntry w:val="No"/>
                  </w:ddList>
                </w:ffData>
              </w:fldChar>
            </w:r>
            <w:r w:rsidRPr="00F83412">
              <w:rPr>
                <w:rStyle w:val="IAIOCheckLargeChar"/>
                <w:color w:val="auto"/>
                <w:sz w:val="20"/>
                <w:szCs w:val="20"/>
              </w:rPr>
              <w:instrText xml:space="preserve"> FORMDROPDOWN </w:instrText>
            </w:r>
            <w:r w:rsidRPr="00F83412">
              <w:rPr>
                <w:rStyle w:val="IAIOCheckLargeChar"/>
                <w:color w:val="auto"/>
                <w:sz w:val="20"/>
                <w:szCs w:val="20"/>
              </w:rPr>
            </w:r>
            <w:r w:rsidRPr="00F83412">
              <w:rPr>
                <w:rStyle w:val="IAIOCheckLargeChar"/>
                <w:color w:val="auto"/>
                <w:sz w:val="20"/>
                <w:szCs w:val="20"/>
              </w:rPr>
              <w:fldChar w:fldCharType="end"/>
            </w:r>
            <w:bookmarkEnd w:id="23"/>
          </w:p>
        </w:tc>
      </w:tr>
      <w:tr w:rsidR="000006EB" w:rsidRPr="00F83412">
        <w:trPr>
          <w:gridAfter w:val="1"/>
          <w:wAfter w:w="14" w:type="dxa"/>
          <w:trHeight w:hRule="exact" w:val="567"/>
        </w:trPr>
        <w:tc>
          <w:tcPr>
            <w:tcW w:w="7252" w:type="dxa"/>
            <w:gridSpan w:val="3"/>
            <w:shd w:val="clear" w:color="auto" w:fill="E0E0E0"/>
            <w:vAlign w:val="center"/>
          </w:tcPr>
          <w:p w:rsidR="000006EB" w:rsidRPr="00F83412" w:rsidRDefault="000006EB" w:rsidP="006A0557">
            <w:pPr>
              <w:pStyle w:val="IATableText"/>
              <w:spacing w:before="0" w:after="0"/>
              <w:rPr>
                <w:rFonts w:eastAsia="Times New Roman" w:cs="Times New Roman"/>
                <w:sz w:val="16"/>
                <w:szCs w:val="16"/>
              </w:rPr>
            </w:pPr>
            <w:r w:rsidRPr="00F83412">
              <w:rPr>
                <w:sz w:val="20"/>
                <w:szCs w:val="20"/>
              </w:rPr>
              <w:t xml:space="preserve">What is the CO2 equivalent change in greenhouse gas emissions? </w:t>
            </w:r>
            <w:r w:rsidRPr="00F83412">
              <w:rPr>
                <w:sz w:val="20"/>
                <w:szCs w:val="20"/>
              </w:rPr>
              <w:br/>
              <w:t>(Million tonnes CO2 equivalent)</w:t>
            </w:r>
          </w:p>
        </w:tc>
        <w:tc>
          <w:tcPr>
            <w:tcW w:w="1331" w:type="dxa"/>
            <w:gridSpan w:val="2"/>
            <w:shd w:val="clear" w:color="auto" w:fill="E0E0E0"/>
          </w:tcPr>
          <w:p w:rsidR="000006EB" w:rsidRPr="00F83412" w:rsidRDefault="000006EB" w:rsidP="00DA46D2">
            <w:pPr>
              <w:pStyle w:val="IATableLabel"/>
              <w:rPr>
                <w:rFonts w:cs="Times New Roman"/>
                <w:color w:val="auto"/>
              </w:rPr>
            </w:pPr>
            <w:r w:rsidRPr="00F83412">
              <w:rPr>
                <w:color w:val="auto"/>
              </w:rPr>
              <w:t xml:space="preserve">Traded:   </w:t>
            </w:r>
            <w:r w:rsidRPr="00F83412">
              <w:rPr>
                <w:color w:val="auto"/>
              </w:rPr>
              <w:br/>
            </w:r>
            <w:bookmarkStart w:id="24" w:name="IACO2Traded"/>
            <w:r w:rsidRPr="00F83412">
              <w:rPr>
                <w:rStyle w:val="IAIOCO2TradedChar"/>
                <w:color w:val="auto"/>
              </w:rPr>
              <w:fldChar w:fldCharType="begin">
                <w:ffData>
                  <w:name w:val="IACO2Traded"/>
                  <w:enabled/>
                  <w:calcOnExit w:val="0"/>
                  <w:textInput>
                    <w:maxLength w:val="8"/>
                  </w:textInput>
                </w:ffData>
              </w:fldChar>
            </w:r>
            <w:r w:rsidRPr="00F83412">
              <w:rPr>
                <w:rStyle w:val="IAIOCO2TradedChar"/>
                <w:color w:val="auto"/>
              </w:rPr>
              <w:instrText xml:space="preserve"> FORMTEXT </w:instrText>
            </w:r>
            <w:r w:rsidRPr="00F83412">
              <w:rPr>
                <w:rStyle w:val="IAIOCO2TradedChar"/>
                <w:color w:val="auto"/>
              </w:rPr>
            </w:r>
            <w:r w:rsidRPr="00F83412">
              <w:rPr>
                <w:rStyle w:val="IAIOCO2TradedChar"/>
                <w:color w:val="auto"/>
              </w:rPr>
              <w:fldChar w:fldCharType="separate"/>
            </w:r>
            <w:r w:rsidRPr="00F83412">
              <w:rPr>
                <w:rStyle w:val="IAIOCO2TradedChar"/>
                <w:rFonts w:ascii="Arial Unicode MS" w:eastAsia="Arial Unicode MS" w:hAnsi="Arial Unicode MS" w:cs="Arial Unicode MS"/>
                <w:color w:val="auto"/>
              </w:rPr>
              <w:t>N/a</w:t>
            </w:r>
            <w:r w:rsidRPr="00F83412">
              <w:rPr>
                <w:rStyle w:val="IAIOCO2TradedChar"/>
                <w:color w:val="auto"/>
              </w:rPr>
              <w:fldChar w:fldCharType="end"/>
            </w:r>
            <w:bookmarkEnd w:id="24"/>
          </w:p>
        </w:tc>
        <w:tc>
          <w:tcPr>
            <w:tcW w:w="1618" w:type="dxa"/>
            <w:gridSpan w:val="2"/>
            <w:shd w:val="clear" w:color="auto" w:fill="E0E0E0"/>
          </w:tcPr>
          <w:p w:rsidR="000006EB" w:rsidRPr="00F83412" w:rsidRDefault="000006EB" w:rsidP="00DA46D2">
            <w:pPr>
              <w:pStyle w:val="IATableLabel"/>
              <w:rPr>
                <w:rFonts w:cs="Times New Roman"/>
                <w:color w:val="auto"/>
              </w:rPr>
            </w:pPr>
            <w:r w:rsidRPr="00F83412">
              <w:rPr>
                <w:color w:val="auto"/>
              </w:rPr>
              <w:t>Non-traded:</w:t>
            </w:r>
            <w:r w:rsidRPr="00F83412">
              <w:rPr>
                <w:color w:val="auto"/>
              </w:rPr>
              <w:br/>
            </w:r>
            <w:bookmarkStart w:id="25" w:name="IACO2NonTraded"/>
            <w:r w:rsidRPr="00F83412">
              <w:rPr>
                <w:rStyle w:val="IAIOCO2NonTradedChar"/>
                <w:color w:val="auto"/>
              </w:rPr>
              <w:fldChar w:fldCharType="begin">
                <w:ffData>
                  <w:name w:val="IACO2NonTraded"/>
                  <w:enabled/>
                  <w:calcOnExit w:val="0"/>
                  <w:textInput>
                    <w:maxLength w:val="8"/>
                  </w:textInput>
                </w:ffData>
              </w:fldChar>
            </w:r>
            <w:r w:rsidRPr="00F83412">
              <w:rPr>
                <w:rStyle w:val="IAIOCO2NonTradedChar"/>
                <w:color w:val="auto"/>
              </w:rPr>
              <w:instrText xml:space="preserve"> FORMTEXT </w:instrText>
            </w:r>
            <w:r w:rsidRPr="00F83412">
              <w:rPr>
                <w:rStyle w:val="IAIOCO2NonTradedChar"/>
                <w:color w:val="auto"/>
              </w:rPr>
            </w:r>
            <w:r w:rsidRPr="00F83412">
              <w:rPr>
                <w:rStyle w:val="IAIOCO2NonTradedChar"/>
                <w:color w:val="auto"/>
              </w:rPr>
              <w:fldChar w:fldCharType="separate"/>
            </w:r>
            <w:r w:rsidRPr="00F83412">
              <w:rPr>
                <w:rStyle w:val="IAIOCO2NonTradedChar"/>
                <w:rFonts w:ascii="Arial Unicode MS" w:eastAsia="Arial Unicode MS" w:hAnsi="Arial Unicode MS" w:cs="Arial Unicode MS"/>
                <w:color w:val="auto"/>
              </w:rPr>
              <w:t>N/a</w:t>
            </w:r>
            <w:r w:rsidRPr="00F83412">
              <w:rPr>
                <w:rStyle w:val="IAIOCO2NonTradedChar"/>
                <w:color w:val="auto"/>
              </w:rPr>
              <w:fldChar w:fldCharType="end"/>
            </w:r>
            <w:bookmarkEnd w:id="25"/>
          </w:p>
        </w:tc>
      </w:tr>
    </w:tbl>
    <w:p w:rsidR="000006EB" w:rsidRPr="00F83412" w:rsidRDefault="000006EB">
      <w:pPr>
        <w:pStyle w:val="IASpacer"/>
        <w:rPr>
          <w:rFonts w:cs="Times New Roman"/>
        </w:rPr>
      </w:pPr>
    </w:p>
    <w:bookmarkEnd w:id="17"/>
    <w:p w:rsidR="000006EB" w:rsidRPr="00F83412" w:rsidRDefault="000006EB" w:rsidP="00C67CDD">
      <w:pPr>
        <w:sectPr w:rsidR="000006EB" w:rsidRPr="00F83412" w:rsidSect="00CF671F">
          <w:footerReference w:type="default" r:id="rId9"/>
          <w:footnotePr>
            <w:numRestart w:val="eachSect"/>
          </w:footnotePr>
          <w:pgSz w:w="11907" w:h="16840" w:code="9"/>
          <w:pgMar w:top="680" w:right="851" w:bottom="680" w:left="851" w:header="284" w:footer="284" w:gutter="0"/>
          <w:cols w:space="708"/>
          <w:docGrid w:linePitch="360"/>
        </w:sectPr>
      </w:pPr>
    </w:p>
    <w:p w:rsidR="000006EB" w:rsidRPr="00F83412" w:rsidRDefault="000006EB" w:rsidP="000019B2">
      <w:pPr>
        <w:pStyle w:val="IAHeadLabel"/>
        <w:spacing w:before="50"/>
        <w:rPr>
          <w:color w:val="auto"/>
        </w:rPr>
      </w:pPr>
    </w:p>
    <w:p w:rsidR="000006EB" w:rsidRPr="00F83412" w:rsidRDefault="000006EB" w:rsidP="0026409E">
      <w:pPr>
        <w:pStyle w:val="Heading1"/>
        <w:spacing w:before="0"/>
      </w:pPr>
      <w:bookmarkStart w:id="27" w:name="EvidenceBulletEnd"/>
      <w:bookmarkEnd w:id="27"/>
      <w:r w:rsidRPr="00F83412">
        <w:t>Summary: Analysis &amp; Evidence</w:t>
      </w:r>
      <w:r w:rsidRPr="00F83412">
        <w:tab/>
      </w:r>
    </w:p>
    <w:p w:rsidR="000006EB" w:rsidRPr="00F83412" w:rsidRDefault="000006EB" w:rsidP="0026409E">
      <w:pPr>
        <w:pStyle w:val="IAHeadLabel"/>
        <w:spacing w:before="50"/>
        <w:rPr>
          <w:rFonts w:cs="Times New Roman"/>
          <w:color w:val="auto"/>
        </w:rPr>
      </w:pPr>
      <w:r w:rsidRPr="00F83412">
        <w:rPr>
          <w:color w:val="auto"/>
        </w:rPr>
        <w:t xml:space="preserve">Description: </w:t>
      </w:r>
      <w:r w:rsidR="002E1B6D">
        <w:rPr>
          <w:rStyle w:val="IAPODescriptionCharChar"/>
          <w:color w:val="auto"/>
        </w:rPr>
        <w:t>All Measures</w:t>
      </w:r>
    </w:p>
    <w:p w:rsidR="000006EB" w:rsidRPr="00F83412" w:rsidRDefault="000006EB" w:rsidP="0026409E">
      <w:pPr>
        <w:pStyle w:val="IAHeadLabel"/>
        <w:spacing w:before="50"/>
        <w:rPr>
          <w:color w:val="auto"/>
        </w:rPr>
      </w:pPr>
      <w:r w:rsidRPr="00F83412">
        <w:rPr>
          <w:color w:val="auto"/>
        </w:rPr>
        <w:t>FULL ECONOMIC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65"/>
        <w:gridCol w:w="1260"/>
        <w:gridCol w:w="1440"/>
        <w:gridCol w:w="1800"/>
        <w:gridCol w:w="1827"/>
        <w:gridCol w:w="2633"/>
      </w:tblGrid>
      <w:tr w:rsidR="000006EB" w:rsidRPr="00F83412">
        <w:trPr>
          <w:trHeight w:hRule="exact" w:val="312"/>
        </w:trPr>
        <w:tc>
          <w:tcPr>
            <w:tcW w:w="1265" w:type="dxa"/>
            <w:vMerge w:val="restart"/>
          </w:tcPr>
          <w:p w:rsidR="000006EB" w:rsidRPr="00F83412" w:rsidRDefault="000006EB" w:rsidP="004509E6">
            <w:pPr>
              <w:pStyle w:val="POPBY"/>
              <w:rPr>
                <w:rFonts w:cs="Times New Roman"/>
                <w:color w:val="auto"/>
              </w:rPr>
            </w:pPr>
            <w:r w:rsidRPr="00F83412">
              <w:rPr>
                <w:color w:val="auto"/>
              </w:rPr>
              <w:t>Price Base Year</w:t>
            </w:r>
            <w:r w:rsidRPr="00F83412">
              <w:rPr>
                <w:rFonts w:ascii="Arial Unicode MS" w:hAnsi="Arial Unicode MS" w:cs="Arial Unicode MS"/>
                <w:b w:val="0"/>
                <w:bCs w:val="0"/>
                <w:color w:val="auto"/>
              </w:rPr>
              <w:t xml:space="preserve"> </w:t>
            </w:r>
            <w:r w:rsidRPr="00F83412">
              <w:rPr>
                <w:b w:val="0"/>
                <w:bCs w:val="0"/>
                <w:color w:val="auto"/>
              </w:rPr>
              <w:t>2009</w:t>
            </w:r>
          </w:p>
        </w:tc>
        <w:tc>
          <w:tcPr>
            <w:tcW w:w="1260" w:type="dxa"/>
            <w:vMerge w:val="restart"/>
          </w:tcPr>
          <w:p w:rsidR="000006EB" w:rsidRPr="00F83412" w:rsidRDefault="000006EB" w:rsidP="004509E6">
            <w:pPr>
              <w:pStyle w:val="POPVBY"/>
              <w:rPr>
                <w:rFonts w:cs="Times New Roman"/>
                <w:color w:val="auto"/>
              </w:rPr>
            </w:pPr>
            <w:r w:rsidRPr="00F83412">
              <w:rPr>
                <w:color w:val="auto"/>
              </w:rPr>
              <w:t>PV Base Year</w:t>
            </w:r>
            <w:r w:rsidRPr="00F83412">
              <w:rPr>
                <w:b w:val="0"/>
                <w:bCs w:val="0"/>
                <w:color w:val="auto"/>
              </w:rPr>
              <w:t>2013</w:t>
            </w:r>
          </w:p>
        </w:tc>
        <w:tc>
          <w:tcPr>
            <w:tcW w:w="1440" w:type="dxa"/>
            <w:vMerge w:val="restart"/>
            <w:tcBorders>
              <w:right w:val="single" w:sz="12" w:space="0" w:color="auto"/>
            </w:tcBorders>
          </w:tcPr>
          <w:p w:rsidR="000006EB" w:rsidRPr="00F83412" w:rsidRDefault="000006EB" w:rsidP="0026409E">
            <w:pPr>
              <w:pStyle w:val="POTPY"/>
              <w:rPr>
                <w:rFonts w:cs="Times New Roman"/>
                <w:color w:val="auto"/>
              </w:rPr>
            </w:pPr>
            <w:r w:rsidRPr="00F83412">
              <w:rPr>
                <w:color w:val="auto"/>
              </w:rPr>
              <w:t>Time Period Years</w:t>
            </w:r>
            <w:r w:rsidRPr="00F83412">
              <w:rPr>
                <w:b w:val="0"/>
                <w:bCs w:val="0"/>
                <w:color w:val="auto"/>
                <w:sz w:val="22"/>
                <w:szCs w:val="22"/>
              </w:rPr>
              <w:t xml:space="preserve"> 10 </w:t>
            </w:r>
          </w:p>
        </w:tc>
        <w:tc>
          <w:tcPr>
            <w:tcW w:w="6260" w:type="dxa"/>
            <w:gridSpan w:val="3"/>
            <w:tcBorders>
              <w:top w:val="single" w:sz="12" w:space="0" w:color="auto"/>
              <w:left w:val="single" w:sz="12" w:space="0" w:color="auto"/>
              <w:right w:val="single" w:sz="12" w:space="0" w:color="auto"/>
            </w:tcBorders>
            <w:shd w:val="clear" w:color="auto" w:fill="FFFFFF"/>
          </w:tcPr>
          <w:p w:rsidR="000006EB" w:rsidRPr="00F83412" w:rsidRDefault="000006EB" w:rsidP="0026409E">
            <w:pPr>
              <w:pStyle w:val="IATableLabel"/>
              <w:jc w:val="center"/>
              <w:rPr>
                <w:color w:val="auto"/>
              </w:rPr>
            </w:pPr>
            <w:r w:rsidRPr="00F83412">
              <w:rPr>
                <w:color w:val="auto"/>
              </w:rPr>
              <w:t>Net Benefit (Present Value (PV)) (£m)</w:t>
            </w:r>
          </w:p>
        </w:tc>
      </w:tr>
      <w:tr w:rsidR="000006EB" w:rsidRPr="00F83412">
        <w:trPr>
          <w:trHeight w:hRule="exact" w:val="340"/>
        </w:trPr>
        <w:tc>
          <w:tcPr>
            <w:tcW w:w="1265" w:type="dxa"/>
            <w:vMerge/>
          </w:tcPr>
          <w:p w:rsidR="000006EB" w:rsidRPr="00F83412" w:rsidRDefault="000006EB" w:rsidP="0026409E">
            <w:pPr>
              <w:pStyle w:val="IATableNotes"/>
              <w:ind w:left="0"/>
              <w:rPr>
                <w:rFonts w:cs="Times New Roman"/>
                <w:b/>
                <w:bCs/>
                <w:sz w:val="20"/>
                <w:szCs w:val="20"/>
              </w:rPr>
            </w:pPr>
          </w:p>
        </w:tc>
        <w:tc>
          <w:tcPr>
            <w:tcW w:w="1260" w:type="dxa"/>
            <w:vMerge/>
          </w:tcPr>
          <w:p w:rsidR="000006EB" w:rsidRPr="00F83412" w:rsidRDefault="000006EB" w:rsidP="0026409E">
            <w:pPr>
              <w:pStyle w:val="IATableNotes"/>
              <w:ind w:left="0"/>
              <w:rPr>
                <w:rFonts w:cs="Times New Roman"/>
                <w:b/>
                <w:bCs/>
                <w:sz w:val="20"/>
                <w:szCs w:val="20"/>
              </w:rPr>
            </w:pPr>
          </w:p>
        </w:tc>
        <w:tc>
          <w:tcPr>
            <w:tcW w:w="1440" w:type="dxa"/>
            <w:vMerge/>
            <w:tcBorders>
              <w:right w:val="single" w:sz="12" w:space="0" w:color="auto"/>
            </w:tcBorders>
          </w:tcPr>
          <w:p w:rsidR="000006EB" w:rsidRPr="00F83412" w:rsidRDefault="000006EB" w:rsidP="0026409E">
            <w:pPr>
              <w:pStyle w:val="IATableNotes"/>
              <w:ind w:left="0"/>
              <w:rPr>
                <w:rFonts w:cs="Times New Roman"/>
                <w:b/>
                <w:bCs/>
                <w:sz w:val="20"/>
                <w:szCs w:val="20"/>
              </w:rPr>
            </w:pPr>
          </w:p>
        </w:tc>
        <w:tc>
          <w:tcPr>
            <w:tcW w:w="1800" w:type="dxa"/>
            <w:tcBorders>
              <w:left w:val="single" w:sz="12" w:space="0" w:color="auto"/>
              <w:bottom w:val="single" w:sz="12" w:space="0" w:color="auto"/>
            </w:tcBorders>
          </w:tcPr>
          <w:p w:rsidR="000006EB" w:rsidRPr="00F83412" w:rsidRDefault="000006EB" w:rsidP="00CB2E94">
            <w:pPr>
              <w:pStyle w:val="IATableLabel"/>
              <w:rPr>
                <w:color w:val="auto"/>
              </w:rPr>
            </w:pPr>
            <w:r w:rsidRPr="00F83412">
              <w:rPr>
                <w:color w:val="auto"/>
              </w:rPr>
              <w:t>Low:</w:t>
            </w:r>
          </w:p>
        </w:tc>
        <w:tc>
          <w:tcPr>
            <w:tcW w:w="1827" w:type="dxa"/>
            <w:tcBorders>
              <w:bottom w:val="single" w:sz="12" w:space="0" w:color="auto"/>
              <w:right w:val="single" w:sz="12" w:space="0" w:color="auto"/>
            </w:tcBorders>
          </w:tcPr>
          <w:p w:rsidR="000006EB" w:rsidRPr="00F83412" w:rsidRDefault="000006EB" w:rsidP="00CB2E94">
            <w:pPr>
              <w:pStyle w:val="IATableLabel"/>
              <w:rPr>
                <w:color w:val="auto"/>
              </w:rPr>
            </w:pPr>
            <w:r w:rsidRPr="00F83412">
              <w:rPr>
                <w:color w:val="auto"/>
              </w:rPr>
              <w:t>High:</w:t>
            </w:r>
          </w:p>
        </w:tc>
        <w:tc>
          <w:tcPr>
            <w:tcW w:w="2633" w:type="dxa"/>
            <w:tcBorders>
              <w:top w:val="single" w:sz="12" w:space="0" w:color="auto"/>
              <w:left w:val="single" w:sz="12" w:space="0" w:color="auto"/>
              <w:bottom w:val="single" w:sz="12" w:space="0" w:color="auto"/>
              <w:right w:val="single" w:sz="12" w:space="0" w:color="auto"/>
            </w:tcBorders>
            <w:shd w:val="clear" w:color="auto" w:fill="FFFFFF"/>
          </w:tcPr>
          <w:p w:rsidR="000006EB" w:rsidRPr="00F83412" w:rsidRDefault="000006EB" w:rsidP="002E1B6D">
            <w:pPr>
              <w:pStyle w:val="IATableLabel"/>
              <w:rPr>
                <w:rFonts w:cs="Times New Roman"/>
                <w:color w:val="auto"/>
              </w:rPr>
            </w:pPr>
            <w:r w:rsidRPr="00F83412">
              <w:rPr>
                <w:color w:val="auto"/>
              </w:rPr>
              <w:t>Best Estimate:</w:t>
            </w:r>
            <w:r w:rsidR="002E1B6D">
              <w:rPr>
                <w:rStyle w:val="PONBBestEstChar"/>
                <w:color w:val="auto"/>
                <w:sz w:val="20"/>
                <w:szCs w:val="20"/>
              </w:rPr>
              <w:t>68.65</w:t>
            </w:r>
          </w:p>
        </w:tc>
      </w:tr>
    </w:tbl>
    <w:p w:rsidR="000006EB" w:rsidRPr="00F83412" w:rsidRDefault="000006EB" w:rsidP="0026409E">
      <w:pPr>
        <w:pStyle w:val="IASpacer"/>
        <w:rPr>
          <w:rFonts w:cs="Times New Roman"/>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1995"/>
        <w:gridCol w:w="1949"/>
        <w:gridCol w:w="790"/>
        <w:gridCol w:w="2865"/>
        <w:gridCol w:w="1776"/>
        <w:gridCol w:w="860"/>
      </w:tblGrid>
      <w:tr w:rsidR="000006EB" w:rsidRPr="00F83412">
        <w:trPr>
          <w:trHeight w:hRule="exact" w:val="567"/>
        </w:trPr>
        <w:tc>
          <w:tcPr>
            <w:tcW w:w="1995" w:type="dxa"/>
            <w:tcBorders>
              <w:top w:val="single" w:sz="12" w:space="0" w:color="auto"/>
            </w:tcBorders>
            <w:shd w:val="clear" w:color="auto" w:fill="FFFFFF"/>
          </w:tcPr>
          <w:p w:rsidR="000006EB" w:rsidRPr="00F83412" w:rsidRDefault="000006EB" w:rsidP="0026409E">
            <w:pPr>
              <w:pStyle w:val="IATableLabel"/>
              <w:rPr>
                <w:color w:val="auto"/>
                <w:sz w:val="24"/>
                <w:szCs w:val="24"/>
              </w:rPr>
            </w:pPr>
            <w:r w:rsidRPr="00F83412">
              <w:rPr>
                <w:color w:val="auto"/>
                <w:sz w:val="24"/>
                <w:szCs w:val="24"/>
              </w:rPr>
              <w:t>COSTS (£m)</w:t>
            </w:r>
          </w:p>
        </w:tc>
        <w:tc>
          <w:tcPr>
            <w:tcW w:w="2739" w:type="dxa"/>
            <w:gridSpan w:val="2"/>
            <w:tcBorders>
              <w:top w:val="single" w:sz="12" w:space="0" w:color="auto"/>
            </w:tcBorders>
          </w:tcPr>
          <w:p w:rsidR="000006EB" w:rsidRPr="00F83412" w:rsidRDefault="000006EB" w:rsidP="0026409E">
            <w:pPr>
              <w:pStyle w:val="IATableLabel"/>
              <w:tabs>
                <w:tab w:val="right" w:pos="1800"/>
                <w:tab w:val="center" w:pos="2340"/>
              </w:tabs>
              <w:jc w:val="right"/>
              <w:rPr>
                <w:rFonts w:cs="Times New Roman"/>
                <w:color w:val="auto"/>
              </w:rPr>
            </w:pPr>
            <w:r w:rsidRPr="00F83412">
              <w:rPr>
                <w:color w:val="auto"/>
              </w:rPr>
              <w:t xml:space="preserve">Total Transition </w:t>
            </w:r>
            <w:r w:rsidRPr="00F83412">
              <w:rPr>
                <w:color w:val="auto"/>
              </w:rPr>
              <w:br/>
            </w:r>
            <w:r w:rsidRPr="00F83412">
              <w:rPr>
                <w:color w:val="auto"/>
              </w:rPr>
              <w:tab/>
            </w:r>
            <w:r w:rsidRPr="00F83412">
              <w:rPr>
                <w:b w:val="0"/>
                <w:bCs w:val="0"/>
                <w:color w:val="auto"/>
                <w:sz w:val="18"/>
                <w:szCs w:val="18"/>
              </w:rPr>
              <w:t>(Constant Price)</w:t>
            </w:r>
            <w:r w:rsidRPr="00F83412">
              <w:rPr>
                <w:rFonts w:cs="Times New Roman"/>
                <w:color w:val="auto"/>
              </w:rPr>
              <w:tab/>
            </w:r>
            <w:r w:rsidRPr="00F83412">
              <w:rPr>
                <w:b w:val="0"/>
                <w:bCs w:val="0"/>
                <w:color w:val="auto"/>
                <w:sz w:val="18"/>
                <w:szCs w:val="18"/>
              </w:rPr>
              <w:t>Years</w:t>
            </w:r>
          </w:p>
          <w:p w:rsidR="000006EB" w:rsidRPr="00F83412" w:rsidRDefault="000006EB" w:rsidP="0026409E">
            <w:pPr>
              <w:pStyle w:val="IATableLabel"/>
              <w:jc w:val="right"/>
              <w:rPr>
                <w:rFonts w:cs="Times New Roman"/>
                <w:color w:val="auto"/>
              </w:rPr>
            </w:pPr>
            <w:r w:rsidRPr="00F83412">
              <w:rPr>
                <w:rFonts w:cs="Times New Roman"/>
                <w:color w:val="auto"/>
              </w:rPr>
              <w:br/>
            </w:r>
          </w:p>
        </w:tc>
        <w:tc>
          <w:tcPr>
            <w:tcW w:w="2865" w:type="dxa"/>
            <w:tcBorders>
              <w:top w:val="single" w:sz="12" w:space="0" w:color="auto"/>
              <w:right w:val="single" w:sz="12" w:space="0" w:color="auto"/>
            </w:tcBorders>
          </w:tcPr>
          <w:p w:rsidR="000006EB" w:rsidRPr="00F83412" w:rsidRDefault="000006EB" w:rsidP="0026409E">
            <w:pPr>
              <w:pStyle w:val="IATableLabel"/>
              <w:jc w:val="right"/>
              <w:rPr>
                <w:rFonts w:cs="Times New Roman"/>
                <w:color w:val="auto"/>
              </w:rPr>
            </w:pPr>
            <w:r w:rsidRPr="00F83412">
              <w:rPr>
                <w:color w:val="auto"/>
              </w:rPr>
              <w:t>Average Annual</w:t>
            </w:r>
            <w:r w:rsidRPr="00F83412">
              <w:rPr>
                <w:color w:val="auto"/>
              </w:rPr>
              <w:br/>
            </w:r>
            <w:r w:rsidRPr="00F83412">
              <w:rPr>
                <w:b w:val="0"/>
                <w:bCs w:val="0"/>
                <w:color w:val="auto"/>
                <w:sz w:val="18"/>
                <w:szCs w:val="18"/>
              </w:rPr>
              <w:t>(excl. Transition) (Constant Price)</w:t>
            </w:r>
          </w:p>
        </w:tc>
        <w:tc>
          <w:tcPr>
            <w:tcW w:w="2636" w:type="dxa"/>
            <w:gridSpan w:val="2"/>
            <w:tcBorders>
              <w:top w:val="single" w:sz="12" w:space="0" w:color="auto"/>
              <w:left w:val="single" w:sz="12" w:space="0" w:color="auto"/>
            </w:tcBorders>
          </w:tcPr>
          <w:p w:rsidR="000006EB" w:rsidRPr="00F83412" w:rsidRDefault="000006EB" w:rsidP="0026409E">
            <w:pPr>
              <w:pStyle w:val="IATableLabel"/>
              <w:jc w:val="right"/>
              <w:rPr>
                <w:rFonts w:cs="Times New Roman"/>
                <w:color w:val="auto"/>
              </w:rPr>
            </w:pPr>
            <w:r w:rsidRPr="00F83412">
              <w:rPr>
                <w:color w:val="auto"/>
              </w:rPr>
              <w:t>Total Cost</w:t>
            </w:r>
            <w:r w:rsidRPr="00F83412">
              <w:rPr>
                <w:rFonts w:cs="Times New Roman"/>
                <w:b w:val="0"/>
                <w:bCs w:val="0"/>
                <w:color w:val="auto"/>
                <w:sz w:val="18"/>
                <w:szCs w:val="18"/>
              </w:rPr>
              <w:br/>
            </w:r>
            <w:r w:rsidRPr="00F83412">
              <w:rPr>
                <w:b w:val="0"/>
                <w:bCs w:val="0"/>
                <w:color w:val="auto"/>
                <w:sz w:val="18"/>
                <w:szCs w:val="18"/>
              </w:rPr>
              <w:t>(Present Value)</w:t>
            </w:r>
          </w:p>
        </w:tc>
      </w:tr>
      <w:tr w:rsidR="000006EB" w:rsidRPr="00F83412">
        <w:trPr>
          <w:trHeight w:hRule="exact" w:val="348"/>
        </w:trPr>
        <w:tc>
          <w:tcPr>
            <w:tcW w:w="1995" w:type="dxa"/>
            <w:vAlign w:val="center"/>
          </w:tcPr>
          <w:p w:rsidR="000006EB" w:rsidRPr="00F83412" w:rsidRDefault="000006EB" w:rsidP="0026409E">
            <w:pPr>
              <w:pStyle w:val="IATableLabel"/>
              <w:rPr>
                <w:color w:val="auto"/>
              </w:rPr>
            </w:pPr>
            <w:r w:rsidRPr="00F83412">
              <w:rPr>
                <w:color w:val="auto"/>
              </w:rPr>
              <w:t xml:space="preserve">Low </w:t>
            </w:r>
          </w:p>
        </w:tc>
        <w:tc>
          <w:tcPr>
            <w:tcW w:w="1949" w:type="dxa"/>
            <w:vAlign w:val="center"/>
          </w:tcPr>
          <w:p w:rsidR="000006EB" w:rsidRPr="00F83412" w:rsidRDefault="000006EB" w:rsidP="0026409E">
            <w:pPr>
              <w:pStyle w:val="POTTCostsLow"/>
              <w:rPr>
                <w:rFonts w:cs="Times New Roman"/>
              </w:rPr>
            </w:pPr>
          </w:p>
        </w:tc>
        <w:tc>
          <w:tcPr>
            <w:tcW w:w="790" w:type="dxa"/>
            <w:vMerge w:val="restart"/>
            <w:vAlign w:val="center"/>
          </w:tcPr>
          <w:p w:rsidR="000006EB" w:rsidRPr="00F83412" w:rsidRDefault="000006EB" w:rsidP="0026409E">
            <w:pPr>
              <w:pStyle w:val="POTTCostsYear"/>
              <w:rPr>
                <w:rFonts w:cs="Times New Roman"/>
              </w:rPr>
            </w:pPr>
          </w:p>
        </w:tc>
        <w:tc>
          <w:tcPr>
            <w:tcW w:w="2865" w:type="dxa"/>
            <w:tcBorders>
              <w:right w:val="single" w:sz="12" w:space="0" w:color="auto"/>
            </w:tcBorders>
            <w:vAlign w:val="center"/>
          </w:tcPr>
          <w:p w:rsidR="000006EB" w:rsidRPr="00F83412" w:rsidRDefault="000006EB" w:rsidP="0026409E">
            <w:pPr>
              <w:pStyle w:val="POAACostsLow"/>
              <w:rPr>
                <w:rFonts w:cs="Times New Roman"/>
              </w:rPr>
            </w:pPr>
          </w:p>
        </w:tc>
        <w:tc>
          <w:tcPr>
            <w:tcW w:w="2636" w:type="dxa"/>
            <w:gridSpan w:val="2"/>
            <w:tcBorders>
              <w:left w:val="single" w:sz="12" w:space="0" w:color="auto"/>
            </w:tcBorders>
            <w:vAlign w:val="center"/>
          </w:tcPr>
          <w:p w:rsidR="000006EB" w:rsidRPr="00F83412" w:rsidRDefault="000006EB" w:rsidP="0026409E">
            <w:pPr>
              <w:pStyle w:val="POTCCostsLow"/>
              <w:rPr>
                <w:rFonts w:cs="Times New Roman"/>
              </w:rPr>
            </w:pPr>
          </w:p>
        </w:tc>
      </w:tr>
      <w:tr w:rsidR="000006EB" w:rsidRPr="00F83412">
        <w:trPr>
          <w:trHeight w:hRule="exact" w:val="348"/>
        </w:trPr>
        <w:tc>
          <w:tcPr>
            <w:tcW w:w="1995" w:type="dxa"/>
            <w:tcBorders>
              <w:bottom w:val="single" w:sz="12" w:space="0" w:color="auto"/>
            </w:tcBorders>
            <w:vAlign w:val="center"/>
          </w:tcPr>
          <w:p w:rsidR="000006EB" w:rsidRPr="00F83412" w:rsidRDefault="000006EB" w:rsidP="0026409E">
            <w:pPr>
              <w:pStyle w:val="IATableLabel"/>
              <w:rPr>
                <w:color w:val="auto"/>
              </w:rPr>
            </w:pPr>
            <w:r w:rsidRPr="00F83412">
              <w:rPr>
                <w:color w:val="auto"/>
              </w:rPr>
              <w:t xml:space="preserve">High </w:t>
            </w:r>
          </w:p>
        </w:tc>
        <w:tc>
          <w:tcPr>
            <w:tcW w:w="1949" w:type="dxa"/>
            <w:tcBorders>
              <w:bottom w:val="single" w:sz="12" w:space="0" w:color="auto"/>
            </w:tcBorders>
            <w:vAlign w:val="center"/>
          </w:tcPr>
          <w:p w:rsidR="000006EB" w:rsidRPr="00F83412" w:rsidRDefault="000006EB" w:rsidP="0026409E">
            <w:pPr>
              <w:pStyle w:val="POTTCostsHigh"/>
              <w:rPr>
                <w:rFonts w:cs="Times New Roman"/>
              </w:rPr>
            </w:pPr>
          </w:p>
        </w:tc>
        <w:tc>
          <w:tcPr>
            <w:tcW w:w="790" w:type="dxa"/>
            <w:vMerge/>
            <w:shd w:val="clear" w:color="auto" w:fill="FFFFFF"/>
            <w:vAlign w:val="center"/>
          </w:tcPr>
          <w:p w:rsidR="000006EB" w:rsidRPr="00F83412" w:rsidRDefault="000006EB" w:rsidP="0026409E">
            <w:pPr>
              <w:pStyle w:val="IATableText"/>
              <w:jc w:val="right"/>
              <w:rPr>
                <w:rFonts w:cs="Times New Roman"/>
              </w:rPr>
            </w:pPr>
          </w:p>
        </w:tc>
        <w:tc>
          <w:tcPr>
            <w:tcW w:w="2865" w:type="dxa"/>
            <w:tcBorders>
              <w:bottom w:val="single" w:sz="12" w:space="0" w:color="auto"/>
              <w:right w:val="single" w:sz="12" w:space="0" w:color="auto"/>
            </w:tcBorders>
            <w:vAlign w:val="center"/>
          </w:tcPr>
          <w:p w:rsidR="000006EB" w:rsidRPr="00F83412" w:rsidRDefault="000006EB" w:rsidP="0026409E">
            <w:pPr>
              <w:pStyle w:val="POAACostsHigh"/>
              <w:rPr>
                <w:rFonts w:cs="Times New Roman"/>
              </w:rPr>
            </w:pPr>
          </w:p>
        </w:tc>
        <w:tc>
          <w:tcPr>
            <w:tcW w:w="2636" w:type="dxa"/>
            <w:gridSpan w:val="2"/>
            <w:tcBorders>
              <w:left w:val="single" w:sz="12" w:space="0" w:color="auto"/>
              <w:bottom w:val="single" w:sz="12" w:space="0" w:color="auto"/>
            </w:tcBorders>
            <w:vAlign w:val="center"/>
          </w:tcPr>
          <w:p w:rsidR="000006EB" w:rsidRPr="00F83412" w:rsidRDefault="000006EB" w:rsidP="0026409E">
            <w:pPr>
              <w:pStyle w:val="POTCCostsHigh"/>
              <w:rPr>
                <w:rFonts w:cs="Times New Roman"/>
              </w:rPr>
            </w:pPr>
          </w:p>
        </w:tc>
      </w:tr>
      <w:tr w:rsidR="000006EB" w:rsidRPr="00F83412">
        <w:trPr>
          <w:trHeight w:hRule="exact" w:val="348"/>
        </w:trPr>
        <w:tc>
          <w:tcPr>
            <w:tcW w:w="1995" w:type="dxa"/>
            <w:tcBorders>
              <w:top w:val="single" w:sz="12" w:space="0" w:color="auto"/>
              <w:bottom w:val="single" w:sz="12" w:space="0" w:color="auto"/>
              <w:right w:val="single" w:sz="12" w:space="0" w:color="auto"/>
            </w:tcBorders>
            <w:shd w:val="clear" w:color="auto" w:fill="FFFFFF"/>
            <w:vAlign w:val="center"/>
          </w:tcPr>
          <w:p w:rsidR="000006EB" w:rsidRPr="00F83412" w:rsidRDefault="000006EB" w:rsidP="0026409E">
            <w:pPr>
              <w:pStyle w:val="IATableLabel"/>
              <w:rPr>
                <w:color w:val="auto"/>
              </w:rPr>
            </w:pPr>
            <w:r w:rsidRPr="00F83412">
              <w:rPr>
                <w:color w:val="auto"/>
              </w:rPr>
              <w:t>Best Estimate</w:t>
            </w:r>
          </w:p>
          <w:p w:rsidR="000006EB" w:rsidRPr="00F83412" w:rsidRDefault="000006EB" w:rsidP="000E5010">
            <w:pPr>
              <w:pStyle w:val="IATableNotes"/>
              <w:spacing w:beforeLines="40" w:before="96"/>
              <w:ind w:left="0" w:right="-22"/>
              <w:jc w:val="center"/>
              <w:rPr>
                <w:rFonts w:cs="Times New Roman"/>
                <w:b/>
                <w:bCs/>
                <w:sz w:val="20"/>
                <w:szCs w:val="20"/>
              </w:rPr>
            </w:pPr>
          </w:p>
        </w:tc>
        <w:tc>
          <w:tcPr>
            <w:tcW w:w="1949" w:type="dxa"/>
            <w:tcBorders>
              <w:top w:val="single" w:sz="12" w:space="0" w:color="auto"/>
              <w:left w:val="single" w:sz="12" w:space="0" w:color="auto"/>
              <w:bottom w:val="single" w:sz="12" w:space="0" w:color="auto"/>
              <w:right w:val="single" w:sz="12" w:space="0" w:color="auto"/>
            </w:tcBorders>
            <w:shd w:val="clear" w:color="auto" w:fill="FFFFFF"/>
            <w:vAlign w:val="center"/>
          </w:tcPr>
          <w:p w:rsidR="000006EB" w:rsidRPr="00F83412" w:rsidRDefault="002E1B6D" w:rsidP="0026409E">
            <w:pPr>
              <w:pStyle w:val="POTTCostsBest"/>
              <w:rPr>
                <w:rFonts w:cs="Times New Roman"/>
              </w:rPr>
            </w:pPr>
            <w:r>
              <w:t>1</w:t>
            </w:r>
            <w:r w:rsidR="000006EB" w:rsidRPr="00F83412">
              <w:fldChar w:fldCharType="begin">
                <w:ffData>
                  <w:name w:val="Text51"/>
                  <w:enabled/>
                  <w:calcOnExit w:val="0"/>
                  <w:textInput>
                    <w:maxLength w:val="14"/>
                  </w:textInput>
                </w:ffData>
              </w:fldChar>
            </w:r>
            <w:r w:rsidR="000006EB" w:rsidRPr="00F83412">
              <w:instrText xml:space="preserve"> FORMTEXT </w:instrText>
            </w:r>
            <w:r w:rsidR="000006EB" w:rsidRPr="00F83412">
              <w:fldChar w:fldCharType="separate"/>
            </w:r>
            <w:r w:rsidR="000006EB" w:rsidRPr="00F83412">
              <w:t> </w:t>
            </w:r>
            <w:r w:rsidR="000006EB" w:rsidRPr="00F83412">
              <w:t> </w:t>
            </w:r>
            <w:r w:rsidR="000006EB" w:rsidRPr="00F83412">
              <w:t> </w:t>
            </w:r>
            <w:r w:rsidR="000006EB" w:rsidRPr="00F83412">
              <w:t> </w:t>
            </w:r>
            <w:r w:rsidR="000006EB" w:rsidRPr="00F83412">
              <w:t> </w:t>
            </w:r>
            <w:r w:rsidR="000006EB" w:rsidRPr="00F83412">
              <w:fldChar w:fldCharType="end"/>
            </w:r>
          </w:p>
        </w:tc>
        <w:tc>
          <w:tcPr>
            <w:tcW w:w="790" w:type="dxa"/>
            <w:vMerge/>
            <w:tcBorders>
              <w:left w:val="single" w:sz="12" w:space="0" w:color="auto"/>
              <w:right w:val="single" w:sz="12" w:space="0" w:color="auto"/>
            </w:tcBorders>
            <w:shd w:val="clear" w:color="auto" w:fill="FFFFFF"/>
            <w:vAlign w:val="center"/>
          </w:tcPr>
          <w:p w:rsidR="000006EB" w:rsidRPr="00F83412" w:rsidRDefault="000006EB" w:rsidP="0026409E">
            <w:pPr>
              <w:pStyle w:val="IATableText"/>
              <w:jc w:val="right"/>
              <w:rPr>
                <w:rFonts w:cs="Times New Roman"/>
              </w:rPr>
            </w:pPr>
          </w:p>
        </w:tc>
        <w:tc>
          <w:tcPr>
            <w:tcW w:w="2865" w:type="dxa"/>
            <w:tcBorders>
              <w:top w:val="single" w:sz="12" w:space="0" w:color="auto"/>
              <w:left w:val="single" w:sz="12" w:space="0" w:color="auto"/>
              <w:bottom w:val="single" w:sz="12" w:space="0" w:color="auto"/>
              <w:right w:val="single" w:sz="12" w:space="0" w:color="auto"/>
            </w:tcBorders>
            <w:shd w:val="clear" w:color="auto" w:fill="FFFFFF"/>
            <w:vAlign w:val="center"/>
          </w:tcPr>
          <w:p w:rsidR="000006EB" w:rsidRPr="00F83412" w:rsidRDefault="002E1B6D" w:rsidP="0026409E">
            <w:pPr>
              <w:pStyle w:val="POAACostsBest"/>
              <w:rPr>
                <w:rFonts w:cs="Times New Roman"/>
              </w:rPr>
            </w:pPr>
            <w:r>
              <w:t>2.7</w:t>
            </w:r>
            <w:r w:rsidR="000006EB" w:rsidRPr="00F83412">
              <w:fldChar w:fldCharType="begin">
                <w:ffData>
                  <w:name w:val="Text51"/>
                  <w:enabled/>
                  <w:calcOnExit w:val="0"/>
                  <w:textInput>
                    <w:maxLength w:val="14"/>
                  </w:textInput>
                </w:ffData>
              </w:fldChar>
            </w:r>
            <w:r w:rsidR="000006EB" w:rsidRPr="00F83412">
              <w:instrText xml:space="preserve"> FORMTEXT </w:instrText>
            </w:r>
            <w:r w:rsidR="000006EB" w:rsidRPr="00F83412">
              <w:fldChar w:fldCharType="separate"/>
            </w:r>
            <w:r w:rsidR="000006EB" w:rsidRPr="00F83412">
              <w:t> </w:t>
            </w:r>
            <w:r w:rsidR="000006EB" w:rsidRPr="00F83412">
              <w:t> </w:t>
            </w:r>
            <w:r w:rsidR="000006EB" w:rsidRPr="00F83412">
              <w:t> </w:t>
            </w:r>
            <w:r w:rsidR="000006EB" w:rsidRPr="00F83412">
              <w:t> </w:t>
            </w:r>
            <w:r w:rsidR="000006EB" w:rsidRPr="00F83412">
              <w:t> </w:t>
            </w:r>
            <w:r w:rsidR="000006EB" w:rsidRPr="00F83412">
              <w:fldChar w:fldCharType="end"/>
            </w:r>
          </w:p>
        </w:tc>
        <w:tc>
          <w:tcPr>
            <w:tcW w:w="2636" w:type="dxa"/>
            <w:gridSpan w:val="2"/>
            <w:tcBorders>
              <w:top w:val="single" w:sz="12" w:space="0" w:color="auto"/>
              <w:left w:val="single" w:sz="12" w:space="0" w:color="auto"/>
              <w:bottom w:val="single" w:sz="12" w:space="0" w:color="auto"/>
            </w:tcBorders>
            <w:shd w:val="clear" w:color="auto" w:fill="FFFFFF"/>
            <w:vAlign w:val="center"/>
          </w:tcPr>
          <w:p w:rsidR="000006EB" w:rsidRPr="00F83412" w:rsidRDefault="002E1B6D" w:rsidP="0026409E">
            <w:pPr>
              <w:pStyle w:val="POTCCostsBest"/>
              <w:rPr>
                <w:rFonts w:cs="Times New Roman"/>
              </w:rPr>
            </w:pPr>
            <w:r>
              <w:rPr>
                <w:b w:val="0"/>
                <w:bCs w:val="0"/>
              </w:rPr>
              <w:t>24.5</w:t>
            </w:r>
            <w:r w:rsidR="000006EB" w:rsidRPr="00F83412">
              <w:rPr>
                <w:b w:val="0"/>
                <w:bCs w:val="0"/>
              </w:rPr>
              <w:fldChar w:fldCharType="begin">
                <w:ffData>
                  <w:name w:val="Text54"/>
                  <w:enabled/>
                  <w:calcOnExit w:val="0"/>
                  <w:textInput>
                    <w:maxLength w:val="14"/>
                  </w:textInput>
                </w:ffData>
              </w:fldChar>
            </w:r>
            <w:r w:rsidR="000006EB" w:rsidRPr="00F83412">
              <w:rPr>
                <w:b w:val="0"/>
                <w:bCs w:val="0"/>
              </w:rPr>
              <w:instrText xml:space="preserve"> FORMTEXT </w:instrText>
            </w:r>
            <w:r w:rsidR="000006EB" w:rsidRPr="00F83412">
              <w:rPr>
                <w:b w:val="0"/>
                <w:bCs w:val="0"/>
              </w:rPr>
            </w:r>
            <w:r w:rsidR="000006EB" w:rsidRPr="00F83412">
              <w:rPr>
                <w:b w:val="0"/>
                <w:bCs w:val="0"/>
              </w:rPr>
              <w:fldChar w:fldCharType="separate"/>
            </w:r>
            <w:r w:rsidR="000006EB" w:rsidRPr="00F83412">
              <w:t> </w:t>
            </w:r>
            <w:r w:rsidR="000006EB" w:rsidRPr="00F83412">
              <w:t> </w:t>
            </w:r>
            <w:r w:rsidR="000006EB" w:rsidRPr="00F83412">
              <w:t> </w:t>
            </w:r>
            <w:r w:rsidR="000006EB" w:rsidRPr="00F83412">
              <w:t> </w:t>
            </w:r>
            <w:r w:rsidR="000006EB" w:rsidRPr="00F83412">
              <w:t> </w:t>
            </w:r>
            <w:r w:rsidR="000006EB" w:rsidRPr="00F83412">
              <w:rPr>
                <w:b w:val="0"/>
                <w:bCs w:val="0"/>
              </w:rPr>
              <w:fldChar w:fldCharType="end"/>
            </w:r>
          </w:p>
        </w:tc>
      </w:tr>
      <w:tr w:rsidR="000006EB" w:rsidRPr="00F83412">
        <w:trPr>
          <w:trHeight w:hRule="exact" w:val="1701"/>
        </w:trPr>
        <w:tc>
          <w:tcPr>
            <w:tcW w:w="10235" w:type="dxa"/>
            <w:gridSpan w:val="6"/>
          </w:tcPr>
          <w:p w:rsidR="000006EB" w:rsidRPr="00F83412" w:rsidRDefault="00827B25" w:rsidP="00827B25">
            <w:pPr>
              <w:pStyle w:val="IAPOA1"/>
              <w:ind w:left="0"/>
            </w:pPr>
            <w:r w:rsidRPr="00F83412">
              <w:t>Optional cost to owners/developers to pay for accredited agents taking on role from LPA.</w:t>
            </w:r>
            <w:r>
              <w:t xml:space="preserve">  </w:t>
            </w:r>
            <w:r w:rsidRPr="00F83412">
              <w:t>Evidence shows that 27% of owners/developers currently don’t use agents, it is therefore assumed that this 27% may need to use agents (although this is optional so the lowest cost could be zero).</w:t>
            </w:r>
            <w:r>
              <w:t xml:space="preserve">  </w:t>
            </w:r>
            <w:r w:rsidRPr="00F83412">
              <w:t>).</w:t>
            </w:r>
            <w:r>
              <w:t xml:space="preserve">  73% of owners/developers do use agents, and would experience neutral or greater costs – it would not be possible to quantify these.  I</w:t>
            </w:r>
            <w:r w:rsidRPr="00F83412">
              <w:t>t is assumed not all the cost will transfer to</w:t>
            </w:r>
            <w:r>
              <w:t xml:space="preserve"> the </w:t>
            </w:r>
            <w:r w:rsidRPr="00F83412">
              <w:t>applicant as the LPA still has a role to play.</w:t>
            </w:r>
          </w:p>
        </w:tc>
      </w:tr>
      <w:tr w:rsidR="000006EB" w:rsidRPr="00F83412" w:rsidTr="002E7EE6">
        <w:trPr>
          <w:trHeight w:hRule="exact" w:val="1146"/>
        </w:trPr>
        <w:tc>
          <w:tcPr>
            <w:tcW w:w="10235" w:type="dxa"/>
            <w:gridSpan w:val="6"/>
            <w:tcBorders>
              <w:bottom w:val="single" w:sz="12" w:space="0" w:color="auto"/>
            </w:tcBorders>
          </w:tcPr>
          <w:p w:rsidR="000006EB" w:rsidRPr="00F83412" w:rsidRDefault="000006EB" w:rsidP="0026409E">
            <w:pPr>
              <w:pStyle w:val="IAPOQ2"/>
              <w:rPr>
                <w:color w:val="auto"/>
              </w:rPr>
            </w:pPr>
            <w:r w:rsidRPr="00F83412">
              <w:rPr>
                <w:color w:val="auto"/>
              </w:rPr>
              <w:t xml:space="preserve">Other key non-monetised costs by ‘main affected groups’ </w:t>
            </w:r>
          </w:p>
          <w:p w:rsidR="000006EB" w:rsidRPr="00F83412" w:rsidRDefault="000006EB" w:rsidP="0026409E">
            <w:pPr>
              <w:pStyle w:val="IAPOA2"/>
              <w:rPr>
                <w:rFonts w:cs="Times New Roman"/>
              </w:rPr>
            </w:pPr>
          </w:p>
          <w:p w:rsidR="00827B25" w:rsidRPr="00F83412" w:rsidRDefault="00827B25" w:rsidP="00827B25">
            <w:pPr>
              <w:pStyle w:val="IAPOA2"/>
            </w:pPr>
            <w:r w:rsidRPr="00F83412">
              <w:t>Small additional administrative burden for LPAs to gran</w:t>
            </w:r>
            <w:r>
              <w:t>t Certificates of Lawful Works</w:t>
            </w:r>
          </w:p>
          <w:p w:rsidR="000006EB" w:rsidRPr="00F83412" w:rsidRDefault="00827B25" w:rsidP="00827B25">
            <w:pPr>
              <w:pStyle w:val="IAPOA2"/>
            </w:pPr>
            <w:r w:rsidRPr="00F83412">
              <w:t>Small cost to owners/developers in applying for Certificates of Lawful Works</w:t>
            </w:r>
          </w:p>
        </w:tc>
      </w:tr>
      <w:tr w:rsidR="000006EB" w:rsidRPr="00F83412">
        <w:trPr>
          <w:trHeight w:hRule="exact" w:val="567"/>
        </w:trPr>
        <w:tc>
          <w:tcPr>
            <w:tcW w:w="1995" w:type="dxa"/>
            <w:shd w:val="clear" w:color="auto" w:fill="FFFFFF"/>
          </w:tcPr>
          <w:p w:rsidR="000006EB" w:rsidRPr="00F83412" w:rsidRDefault="000006EB" w:rsidP="0026409E">
            <w:pPr>
              <w:pStyle w:val="IATableLabel"/>
              <w:rPr>
                <w:color w:val="auto"/>
                <w:sz w:val="24"/>
                <w:szCs w:val="24"/>
              </w:rPr>
            </w:pPr>
            <w:r w:rsidRPr="00F83412">
              <w:rPr>
                <w:color w:val="auto"/>
                <w:sz w:val="24"/>
                <w:szCs w:val="24"/>
              </w:rPr>
              <w:t>BENEFITS (£m)</w:t>
            </w:r>
          </w:p>
        </w:tc>
        <w:tc>
          <w:tcPr>
            <w:tcW w:w="2739" w:type="dxa"/>
            <w:gridSpan w:val="2"/>
            <w:tcBorders>
              <w:top w:val="single" w:sz="12" w:space="0" w:color="auto"/>
            </w:tcBorders>
          </w:tcPr>
          <w:p w:rsidR="000006EB" w:rsidRPr="00F83412" w:rsidRDefault="000006EB" w:rsidP="0026409E">
            <w:pPr>
              <w:pStyle w:val="IATableLabel"/>
              <w:tabs>
                <w:tab w:val="right" w:pos="1797"/>
                <w:tab w:val="center" w:pos="2340"/>
              </w:tabs>
              <w:jc w:val="right"/>
              <w:rPr>
                <w:rFonts w:cs="Times New Roman"/>
                <w:color w:val="auto"/>
              </w:rPr>
            </w:pPr>
            <w:r w:rsidRPr="00F83412">
              <w:rPr>
                <w:color w:val="auto"/>
              </w:rPr>
              <w:t xml:space="preserve">Total Transition </w:t>
            </w:r>
            <w:r w:rsidRPr="00F83412">
              <w:rPr>
                <w:color w:val="auto"/>
              </w:rPr>
              <w:br/>
            </w:r>
            <w:r w:rsidRPr="00F83412">
              <w:rPr>
                <w:color w:val="auto"/>
              </w:rPr>
              <w:tab/>
            </w:r>
            <w:r w:rsidRPr="00F83412">
              <w:rPr>
                <w:b w:val="0"/>
                <w:bCs w:val="0"/>
                <w:color w:val="auto"/>
                <w:sz w:val="18"/>
                <w:szCs w:val="18"/>
              </w:rPr>
              <w:t>(Constant Price)</w:t>
            </w:r>
            <w:r w:rsidRPr="00F83412">
              <w:rPr>
                <w:rFonts w:cs="Times New Roman"/>
                <w:color w:val="auto"/>
              </w:rPr>
              <w:tab/>
            </w:r>
            <w:r w:rsidRPr="00F83412">
              <w:rPr>
                <w:b w:val="0"/>
                <w:bCs w:val="0"/>
                <w:color w:val="auto"/>
                <w:sz w:val="18"/>
                <w:szCs w:val="18"/>
              </w:rPr>
              <w:t>Years</w:t>
            </w:r>
          </w:p>
          <w:p w:rsidR="000006EB" w:rsidRPr="00F83412" w:rsidRDefault="000006EB" w:rsidP="0026409E">
            <w:pPr>
              <w:pStyle w:val="IATableLabel"/>
              <w:jc w:val="right"/>
              <w:rPr>
                <w:rFonts w:cs="Times New Roman"/>
                <w:color w:val="auto"/>
              </w:rPr>
            </w:pPr>
            <w:r w:rsidRPr="00F83412">
              <w:rPr>
                <w:rFonts w:cs="Times New Roman"/>
                <w:color w:val="auto"/>
              </w:rPr>
              <w:br/>
            </w:r>
          </w:p>
        </w:tc>
        <w:tc>
          <w:tcPr>
            <w:tcW w:w="2865" w:type="dxa"/>
            <w:tcBorders>
              <w:right w:val="single" w:sz="12" w:space="0" w:color="auto"/>
            </w:tcBorders>
          </w:tcPr>
          <w:p w:rsidR="000006EB" w:rsidRPr="00F83412" w:rsidRDefault="000006EB" w:rsidP="0026409E">
            <w:pPr>
              <w:pStyle w:val="IATableLabel"/>
              <w:jc w:val="right"/>
              <w:rPr>
                <w:rFonts w:cs="Times New Roman"/>
                <w:color w:val="auto"/>
              </w:rPr>
            </w:pPr>
            <w:r w:rsidRPr="00F83412">
              <w:rPr>
                <w:color w:val="auto"/>
              </w:rPr>
              <w:t>Average Annual</w:t>
            </w:r>
            <w:r w:rsidRPr="00F83412">
              <w:rPr>
                <w:color w:val="auto"/>
              </w:rPr>
              <w:br/>
            </w:r>
            <w:r w:rsidRPr="00F83412">
              <w:rPr>
                <w:b w:val="0"/>
                <w:bCs w:val="0"/>
                <w:color w:val="auto"/>
                <w:sz w:val="18"/>
                <w:szCs w:val="18"/>
              </w:rPr>
              <w:t>(excl. Transition) (Constant Price)</w:t>
            </w:r>
          </w:p>
        </w:tc>
        <w:tc>
          <w:tcPr>
            <w:tcW w:w="2636" w:type="dxa"/>
            <w:gridSpan w:val="2"/>
            <w:tcBorders>
              <w:top w:val="single" w:sz="12" w:space="0" w:color="auto"/>
              <w:left w:val="single" w:sz="12" w:space="0" w:color="auto"/>
            </w:tcBorders>
          </w:tcPr>
          <w:p w:rsidR="000006EB" w:rsidRPr="00F83412" w:rsidRDefault="000006EB" w:rsidP="0026409E">
            <w:pPr>
              <w:pStyle w:val="IATableLabel"/>
              <w:jc w:val="right"/>
              <w:rPr>
                <w:rFonts w:cs="Times New Roman"/>
                <w:color w:val="auto"/>
              </w:rPr>
            </w:pPr>
            <w:r w:rsidRPr="00F83412">
              <w:rPr>
                <w:color w:val="auto"/>
              </w:rPr>
              <w:t>Total Benefit</w:t>
            </w:r>
            <w:r w:rsidRPr="00F83412">
              <w:rPr>
                <w:rFonts w:cs="Times New Roman"/>
                <w:b w:val="0"/>
                <w:bCs w:val="0"/>
                <w:color w:val="auto"/>
                <w:sz w:val="18"/>
                <w:szCs w:val="18"/>
              </w:rPr>
              <w:br/>
            </w:r>
            <w:r w:rsidRPr="00F83412">
              <w:rPr>
                <w:b w:val="0"/>
                <w:bCs w:val="0"/>
                <w:color w:val="auto"/>
                <w:sz w:val="18"/>
                <w:szCs w:val="18"/>
              </w:rPr>
              <w:t>(Present Value)</w:t>
            </w:r>
          </w:p>
        </w:tc>
      </w:tr>
      <w:tr w:rsidR="000006EB" w:rsidRPr="00F83412">
        <w:trPr>
          <w:trHeight w:hRule="exact" w:val="348"/>
        </w:trPr>
        <w:tc>
          <w:tcPr>
            <w:tcW w:w="1995" w:type="dxa"/>
            <w:vAlign w:val="center"/>
          </w:tcPr>
          <w:p w:rsidR="000006EB" w:rsidRPr="00F83412" w:rsidRDefault="000006EB" w:rsidP="0026409E">
            <w:pPr>
              <w:pStyle w:val="IATableLabel"/>
              <w:rPr>
                <w:color w:val="auto"/>
              </w:rPr>
            </w:pPr>
            <w:r w:rsidRPr="00F83412">
              <w:rPr>
                <w:color w:val="auto"/>
              </w:rPr>
              <w:t xml:space="preserve">Low </w:t>
            </w:r>
          </w:p>
        </w:tc>
        <w:tc>
          <w:tcPr>
            <w:tcW w:w="1949" w:type="dxa"/>
            <w:vAlign w:val="center"/>
          </w:tcPr>
          <w:p w:rsidR="000006EB" w:rsidRPr="00F83412" w:rsidRDefault="000006EB" w:rsidP="0026409E">
            <w:pPr>
              <w:pStyle w:val="POTTBenLow"/>
              <w:rPr>
                <w:rFonts w:cs="Times New Roman"/>
              </w:rPr>
            </w:pPr>
          </w:p>
        </w:tc>
        <w:tc>
          <w:tcPr>
            <w:tcW w:w="790" w:type="dxa"/>
            <w:vMerge w:val="restart"/>
            <w:vAlign w:val="center"/>
          </w:tcPr>
          <w:p w:rsidR="000006EB" w:rsidRPr="00F83412" w:rsidRDefault="000006EB" w:rsidP="0026409E">
            <w:pPr>
              <w:pStyle w:val="IATableText"/>
              <w:jc w:val="center"/>
              <w:rPr>
                <w:rFonts w:cs="Times New Roman"/>
              </w:rPr>
            </w:pPr>
          </w:p>
        </w:tc>
        <w:tc>
          <w:tcPr>
            <w:tcW w:w="2865" w:type="dxa"/>
            <w:tcBorders>
              <w:right w:val="single" w:sz="12" w:space="0" w:color="auto"/>
            </w:tcBorders>
            <w:vAlign w:val="center"/>
          </w:tcPr>
          <w:p w:rsidR="000006EB" w:rsidRPr="00F83412" w:rsidRDefault="000006EB" w:rsidP="0026409E">
            <w:pPr>
              <w:pStyle w:val="POAABenLow"/>
              <w:rPr>
                <w:rFonts w:cs="Times New Roman"/>
              </w:rPr>
            </w:pPr>
          </w:p>
        </w:tc>
        <w:tc>
          <w:tcPr>
            <w:tcW w:w="2636" w:type="dxa"/>
            <w:gridSpan w:val="2"/>
            <w:tcBorders>
              <w:left w:val="single" w:sz="12" w:space="0" w:color="auto"/>
            </w:tcBorders>
            <w:vAlign w:val="center"/>
          </w:tcPr>
          <w:p w:rsidR="000006EB" w:rsidRPr="00F83412" w:rsidRDefault="000006EB" w:rsidP="0026409E">
            <w:pPr>
              <w:pStyle w:val="POTBBenLow"/>
              <w:rPr>
                <w:rFonts w:cs="Times New Roman"/>
              </w:rPr>
            </w:pPr>
          </w:p>
        </w:tc>
      </w:tr>
      <w:tr w:rsidR="000006EB" w:rsidRPr="00F83412">
        <w:trPr>
          <w:trHeight w:hRule="exact" w:val="348"/>
        </w:trPr>
        <w:tc>
          <w:tcPr>
            <w:tcW w:w="1995" w:type="dxa"/>
            <w:tcBorders>
              <w:bottom w:val="single" w:sz="12" w:space="0" w:color="auto"/>
            </w:tcBorders>
            <w:vAlign w:val="center"/>
          </w:tcPr>
          <w:p w:rsidR="000006EB" w:rsidRPr="00F83412" w:rsidRDefault="000006EB" w:rsidP="0026409E">
            <w:pPr>
              <w:pStyle w:val="IATableLabel"/>
              <w:rPr>
                <w:color w:val="auto"/>
              </w:rPr>
            </w:pPr>
            <w:r w:rsidRPr="00F83412">
              <w:rPr>
                <w:color w:val="auto"/>
              </w:rPr>
              <w:t xml:space="preserve">High </w:t>
            </w:r>
          </w:p>
        </w:tc>
        <w:tc>
          <w:tcPr>
            <w:tcW w:w="1949" w:type="dxa"/>
            <w:tcBorders>
              <w:bottom w:val="single" w:sz="12" w:space="0" w:color="auto"/>
            </w:tcBorders>
            <w:vAlign w:val="center"/>
          </w:tcPr>
          <w:p w:rsidR="000006EB" w:rsidRPr="00F83412" w:rsidRDefault="000006EB" w:rsidP="0026409E">
            <w:pPr>
              <w:pStyle w:val="POTTBenHigh"/>
              <w:rPr>
                <w:rFonts w:cs="Times New Roman"/>
              </w:rPr>
            </w:pPr>
          </w:p>
        </w:tc>
        <w:tc>
          <w:tcPr>
            <w:tcW w:w="790" w:type="dxa"/>
            <w:vMerge/>
            <w:shd w:val="clear" w:color="auto" w:fill="FFFFFF"/>
            <w:vAlign w:val="center"/>
          </w:tcPr>
          <w:p w:rsidR="000006EB" w:rsidRPr="00F83412" w:rsidRDefault="000006EB" w:rsidP="0026409E">
            <w:pPr>
              <w:pStyle w:val="IATableText"/>
              <w:jc w:val="right"/>
              <w:rPr>
                <w:rFonts w:cs="Times New Roman"/>
              </w:rPr>
            </w:pPr>
          </w:p>
        </w:tc>
        <w:tc>
          <w:tcPr>
            <w:tcW w:w="2865" w:type="dxa"/>
            <w:tcBorders>
              <w:bottom w:val="single" w:sz="12" w:space="0" w:color="auto"/>
              <w:right w:val="single" w:sz="12" w:space="0" w:color="auto"/>
            </w:tcBorders>
            <w:vAlign w:val="center"/>
          </w:tcPr>
          <w:p w:rsidR="000006EB" w:rsidRPr="00F83412" w:rsidRDefault="000006EB" w:rsidP="0026409E">
            <w:pPr>
              <w:pStyle w:val="POAABenHigh"/>
              <w:rPr>
                <w:rFonts w:cs="Times New Roman"/>
              </w:rPr>
            </w:pPr>
          </w:p>
        </w:tc>
        <w:tc>
          <w:tcPr>
            <w:tcW w:w="2636" w:type="dxa"/>
            <w:gridSpan w:val="2"/>
            <w:tcBorders>
              <w:left w:val="single" w:sz="12" w:space="0" w:color="auto"/>
              <w:bottom w:val="single" w:sz="12" w:space="0" w:color="auto"/>
            </w:tcBorders>
            <w:vAlign w:val="center"/>
          </w:tcPr>
          <w:p w:rsidR="000006EB" w:rsidRPr="00F83412" w:rsidRDefault="000006EB" w:rsidP="0026409E">
            <w:pPr>
              <w:pStyle w:val="POTBBenHigh"/>
              <w:rPr>
                <w:rFonts w:cs="Times New Roman"/>
              </w:rPr>
            </w:pPr>
          </w:p>
        </w:tc>
      </w:tr>
      <w:tr w:rsidR="000006EB" w:rsidRPr="00F83412">
        <w:trPr>
          <w:trHeight w:hRule="exact" w:val="348"/>
        </w:trPr>
        <w:tc>
          <w:tcPr>
            <w:tcW w:w="1995" w:type="dxa"/>
            <w:tcBorders>
              <w:top w:val="single" w:sz="12" w:space="0" w:color="auto"/>
              <w:bottom w:val="single" w:sz="12" w:space="0" w:color="auto"/>
              <w:right w:val="single" w:sz="12" w:space="0" w:color="auto"/>
            </w:tcBorders>
            <w:shd w:val="clear" w:color="auto" w:fill="FFFFFF"/>
            <w:vAlign w:val="center"/>
          </w:tcPr>
          <w:p w:rsidR="000006EB" w:rsidRPr="00F83412" w:rsidRDefault="000006EB" w:rsidP="0026409E">
            <w:pPr>
              <w:pStyle w:val="IATableLabel"/>
              <w:rPr>
                <w:color w:val="auto"/>
              </w:rPr>
            </w:pPr>
            <w:r w:rsidRPr="00F83412">
              <w:rPr>
                <w:color w:val="auto"/>
              </w:rPr>
              <w:t>Best Estimate</w:t>
            </w:r>
          </w:p>
          <w:p w:rsidR="000006EB" w:rsidRPr="00F83412" w:rsidRDefault="000006EB" w:rsidP="000E5010">
            <w:pPr>
              <w:pStyle w:val="IATableNotes"/>
              <w:spacing w:beforeLines="40" w:before="96"/>
              <w:ind w:left="0" w:right="-22"/>
              <w:jc w:val="center"/>
              <w:rPr>
                <w:rFonts w:cs="Times New Roman"/>
                <w:b/>
                <w:bCs/>
                <w:sz w:val="20"/>
                <w:szCs w:val="20"/>
              </w:rPr>
            </w:pPr>
          </w:p>
        </w:tc>
        <w:tc>
          <w:tcPr>
            <w:tcW w:w="1949" w:type="dxa"/>
            <w:tcBorders>
              <w:top w:val="single" w:sz="12" w:space="0" w:color="auto"/>
              <w:left w:val="single" w:sz="12" w:space="0" w:color="auto"/>
              <w:bottom w:val="single" w:sz="12" w:space="0" w:color="auto"/>
              <w:right w:val="single" w:sz="12" w:space="0" w:color="auto"/>
            </w:tcBorders>
            <w:shd w:val="clear" w:color="auto" w:fill="FFFFFF"/>
            <w:vAlign w:val="center"/>
          </w:tcPr>
          <w:p w:rsidR="000006EB" w:rsidRPr="00F83412" w:rsidRDefault="000006EB" w:rsidP="0026409E">
            <w:pPr>
              <w:pStyle w:val="POTTBenBest"/>
              <w:rPr>
                <w:rFonts w:cs="Times New Roman"/>
              </w:rPr>
            </w:pPr>
          </w:p>
        </w:tc>
        <w:tc>
          <w:tcPr>
            <w:tcW w:w="790" w:type="dxa"/>
            <w:vMerge/>
            <w:tcBorders>
              <w:left w:val="single" w:sz="12" w:space="0" w:color="auto"/>
              <w:right w:val="single" w:sz="12" w:space="0" w:color="auto"/>
            </w:tcBorders>
            <w:shd w:val="clear" w:color="auto" w:fill="FFFFFF"/>
            <w:vAlign w:val="center"/>
          </w:tcPr>
          <w:p w:rsidR="000006EB" w:rsidRPr="00F83412" w:rsidRDefault="000006EB" w:rsidP="0026409E">
            <w:pPr>
              <w:pStyle w:val="IATableText"/>
              <w:jc w:val="right"/>
              <w:rPr>
                <w:rFonts w:cs="Times New Roman"/>
              </w:rPr>
            </w:pPr>
          </w:p>
        </w:tc>
        <w:tc>
          <w:tcPr>
            <w:tcW w:w="2865" w:type="dxa"/>
            <w:tcBorders>
              <w:top w:val="single" w:sz="12" w:space="0" w:color="auto"/>
              <w:left w:val="single" w:sz="12" w:space="0" w:color="auto"/>
              <w:bottom w:val="single" w:sz="12" w:space="0" w:color="auto"/>
              <w:right w:val="single" w:sz="12" w:space="0" w:color="auto"/>
            </w:tcBorders>
            <w:shd w:val="clear" w:color="auto" w:fill="FFFFFF"/>
            <w:vAlign w:val="center"/>
          </w:tcPr>
          <w:p w:rsidR="000006EB" w:rsidRPr="00F83412" w:rsidRDefault="002E1B6D" w:rsidP="0026409E">
            <w:pPr>
              <w:pStyle w:val="POAABenBest"/>
            </w:pPr>
            <w:r>
              <w:t>11.4</w:t>
            </w:r>
          </w:p>
        </w:tc>
        <w:tc>
          <w:tcPr>
            <w:tcW w:w="2636" w:type="dxa"/>
            <w:gridSpan w:val="2"/>
            <w:tcBorders>
              <w:top w:val="single" w:sz="12" w:space="0" w:color="auto"/>
              <w:left w:val="single" w:sz="12" w:space="0" w:color="auto"/>
              <w:bottom w:val="single" w:sz="12" w:space="0" w:color="auto"/>
            </w:tcBorders>
            <w:shd w:val="clear" w:color="auto" w:fill="FFFFFF"/>
            <w:vAlign w:val="center"/>
          </w:tcPr>
          <w:p w:rsidR="000006EB" w:rsidRPr="00F83412" w:rsidRDefault="002E1B6D" w:rsidP="004509E6">
            <w:pPr>
              <w:pStyle w:val="POTBBenBest"/>
            </w:pPr>
            <w:r>
              <w:t>93.2</w:t>
            </w:r>
          </w:p>
        </w:tc>
      </w:tr>
      <w:tr w:rsidR="000006EB" w:rsidRPr="00F83412" w:rsidTr="002E7EE6">
        <w:trPr>
          <w:trHeight w:hRule="exact" w:val="2221"/>
        </w:trPr>
        <w:tc>
          <w:tcPr>
            <w:tcW w:w="10235" w:type="dxa"/>
            <w:gridSpan w:val="6"/>
          </w:tcPr>
          <w:p w:rsidR="000006EB" w:rsidRPr="00F83412" w:rsidRDefault="000006EB" w:rsidP="0026409E">
            <w:pPr>
              <w:pStyle w:val="IPPOQ3"/>
              <w:rPr>
                <w:color w:val="auto"/>
              </w:rPr>
            </w:pPr>
            <w:r w:rsidRPr="00F83412">
              <w:rPr>
                <w:color w:val="auto"/>
              </w:rPr>
              <w:t xml:space="preserve">Description and scale of key monetised benefits by ‘main affected groups’ </w:t>
            </w:r>
          </w:p>
          <w:p w:rsidR="000006EB" w:rsidRDefault="000006EB" w:rsidP="0026409E">
            <w:pPr>
              <w:pStyle w:val="IAPOA3"/>
            </w:pPr>
            <w:r w:rsidRPr="00F83412">
              <w:t>Savings for owners/developers from having to make fewer full applications for LBC.</w:t>
            </w:r>
            <w:r w:rsidR="00827B25">
              <w:t xml:space="preserve"> </w:t>
            </w:r>
            <w:r w:rsidRPr="00F83412">
              <w:t>Savings for local planning authorities from having to determine fewer ful</w:t>
            </w:r>
            <w:r w:rsidR="007F71FE">
              <w:t>l applications for LBC</w:t>
            </w:r>
            <w:r w:rsidRPr="00F83412">
              <w:t xml:space="preserve">.  </w:t>
            </w:r>
            <w:r w:rsidR="007F71FE">
              <w:t>Some s</w:t>
            </w:r>
            <w:r w:rsidRPr="00F83412">
              <w:t>aving</w:t>
            </w:r>
            <w:r w:rsidR="00C35CDA">
              <w:t>s</w:t>
            </w:r>
            <w:r w:rsidRPr="00F83412">
              <w:t xml:space="preserve"> are not fully realised as LPA still needs to be notified, we have assumed half days work by LPA and applicant.</w:t>
            </w:r>
            <w:r w:rsidR="00827B25">
              <w:t xml:space="preserve"> </w:t>
            </w:r>
            <w:r w:rsidR="00827B25" w:rsidRPr="00F83412">
              <w:t>Savings to LPAs as their role for cases involving accredited agent recommendation becomes one of scrutinising and signing off rather than detailed assessment and recommendation. This benefit has only been assumed for 27% of applicants</w:t>
            </w:r>
            <w:r w:rsidR="007F71FE">
              <w:t>.</w:t>
            </w:r>
          </w:p>
          <w:p w:rsidR="00827B25" w:rsidRPr="00F83412" w:rsidRDefault="00827B25" w:rsidP="0026409E">
            <w:pPr>
              <w:pStyle w:val="IAPOA3"/>
            </w:pPr>
          </w:p>
          <w:p w:rsidR="000006EB" w:rsidRPr="00F83412" w:rsidRDefault="000006EB" w:rsidP="0026409E">
            <w:pPr>
              <w:pStyle w:val="IAPOA3"/>
              <w:rPr>
                <w:rFonts w:cs="Times New Roman"/>
              </w:rPr>
            </w:pPr>
          </w:p>
        </w:tc>
      </w:tr>
      <w:tr w:rsidR="000006EB" w:rsidRPr="00F83412">
        <w:trPr>
          <w:trHeight w:hRule="exact" w:val="1701"/>
        </w:trPr>
        <w:tc>
          <w:tcPr>
            <w:tcW w:w="10235" w:type="dxa"/>
            <w:gridSpan w:val="6"/>
          </w:tcPr>
          <w:p w:rsidR="000006EB" w:rsidRPr="00F83412" w:rsidRDefault="000006EB" w:rsidP="0026409E">
            <w:pPr>
              <w:pStyle w:val="IAPOQ4"/>
              <w:rPr>
                <w:color w:val="auto"/>
              </w:rPr>
            </w:pPr>
            <w:r w:rsidRPr="00F83412">
              <w:rPr>
                <w:color w:val="auto"/>
              </w:rPr>
              <w:t xml:space="preserve">Other key non-monetised benefits by ‘main affected groups’ </w:t>
            </w:r>
          </w:p>
          <w:p w:rsidR="000006EB" w:rsidRPr="00F83412" w:rsidRDefault="000006EB" w:rsidP="00720415">
            <w:pPr>
              <w:pStyle w:val="IAPOA4"/>
            </w:pPr>
            <w:r w:rsidRPr="00F83412">
              <w:t>Faster turnover and earlier certainty for owners/developers over proposals affecting listed buildings.</w:t>
            </w:r>
            <w:r w:rsidR="00827B25" w:rsidRPr="00F83412">
              <w:t xml:space="preserve"> Local planning authorities freer to give informal views on whether or not LBC required, leading to fewer formal submissions of any kind.</w:t>
            </w:r>
            <w:r w:rsidR="00827B25">
              <w:t xml:space="preserve"> </w:t>
            </w:r>
            <w:r w:rsidR="00827B25" w:rsidRPr="00F83412">
              <w:t>Earlier engagement of conservation expertise in developments through use of accredited agents, earlier clarity about acceptability of proposals, and therefore, more certainty for owners about gaining LBC, and quicker process.</w:t>
            </w:r>
          </w:p>
        </w:tc>
      </w:tr>
      <w:tr w:rsidR="000006EB" w:rsidRPr="00F83412">
        <w:trPr>
          <w:trHeight w:hRule="exact" w:val="346"/>
        </w:trPr>
        <w:tc>
          <w:tcPr>
            <w:tcW w:w="9375" w:type="dxa"/>
            <w:gridSpan w:val="5"/>
            <w:tcBorders>
              <w:bottom w:val="nil"/>
            </w:tcBorders>
          </w:tcPr>
          <w:p w:rsidR="000006EB" w:rsidRPr="00F83412" w:rsidRDefault="000006EB" w:rsidP="0026409E">
            <w:pPr>
              <w:pStyle w:val="IATableLabel"/>
              <w:tabs>
                <w:tab w:val="left" w:pos="7655"/>
              </w:tabs>
              <w:rPr>
                <w:color w:val="auto"/>
              </w:rPr>
            </w:pPr>
            <w:r w:rsidRPr="00F83412">
              <w:rPr>
                <w:rStyle w:val="IAPOQ5Char"/>
                <w:color w:val="auto"/>
              </w:rPr>
              <w:t>Key assumptions/sensitivities/risks</w:t>
            </w:r>
            <w:r w:rsidRPr="00F83412">
              <w:rPr>
                <w:rFonts w:cs="Times New Roman"/>
                <w:color w:val="auto"/>
              </w:rPr>
              <w:tab/>
            </w:r>
            <w:r w:rsidRPr="00F83412">
              <w:rPr>
                <w:color w:val="auto"/>
              </w:rPr>
              <w:t>Discount rate (%)</w:t>
            </w:r>
          </w:p>
          <w:p w:rsidR="000006EB" w:rsidRPr="00F83412" w:rsidRDefault="000006EB" w:rsidP="0026409E">
            <w:pPr>
              <w:pStyle w:val="IATableLabel"/>
              <w:rPr>
                <w:rFonts w:cs="Times New Roman"/>
                <w:color w:val="auto"/>
              </w:rPr>
            </w:pPr>
          </w:p>
        </w:tc>
        <w:tc>
          <w:tcPr>
            <w:tcW w:w="860" w:type="dxa"/>
            <w:tcBorders>
              <w:bottom w:val="single" w:sz="4" w:space="0" w:color="auto"/>
            </w:tcBorders>
          </w:tcPr>
          <w:p w:rsidR="000006EB" w:rsidRPr="00F83412" w:rsidRDefault="000006EB" w:rsidP="0026409E">
            <w:pPr>
              <w:pStyle w:val="IAPODisRate"/>
              <w:rPr>
                <w:color w:val="auto"/>
              </w:rPr>
            </w:pPr>
            <w:r w:rsidRPr="00F83412">
              <w:rPr>
                <w:color w:val="auto"/>
              </w:rPr>
              <w:t>3.5</w:t>
            </w:r>
          </w:p>
        </w:tc>
      </w:tr>
      <w:tr w:rsidR="000006EB" w:rsidRPr="00F83412">
        <w:trPr>
          <w:trHeight w:hRule="exact" w:val="1507"/>
        </w:trPr>
        <w:tc>
          <w:tcPr>
            <w:tcW w:w="10235" w:type="dxa"/>
            <w:gridSpan w:val="6"/>
            <w:tcBorders>
              <w:top w:val="nil"/>
              <w:bottom w:val="single" w:sz="12" w:space="0" w:color="auto"/>
            </w:tcBorders>
          </w:tcPr>
          <w:p w:rsidR="000006EB" w:rsidRPr="00F83412" w:rsidRDefault="000006EB" w:rsidP="0026409E">
            <w:pPr>
              <w:pStyle w:val="IAPOA5"/>
              <w:rPr>
                <w:rFonts w:cs="Times New Roman"/>
              </w:rPr>
            </w:pPr>
          </w:p>
          <w:p w:rsidR="000006EB" w:rsidRPr="00F83412" w:rsidRDefault="000006EB" w:rsidP="0026409E">
            <w:pPr>
              <w:pStyle w:val="IAPOA5"/>
            </w:pPr>
            <w:r w:rsidRPr="00F83412">
              <w:t>It is assumed that DCMS, English Heritage and LPAs will be resourced to carry out administrative duties effectively and efficiently.</w:t>
            </w:r>
          </w:p>
          <w:p w:rsidR="000006EB" w:rsidRPr="00F83412" w:rsidRDefault="000006EB" w:rsidP="0026409E">
            <w:pPr>
              <w:pStyle w:val="IAPOA5"/>
            </w:pPr>
            <w:r w:rsidRPr="00F83412">
              <w:t>It is assumed that the number of proposals generating applications for LBC in the future does not deviate from current trends.</w:t>
            </w:r>
          </w:p>
        </w:tc>
      </w:tr>
    </w:tbl>
    <w:p w:rsidR="000006EB" w:rsidRPr="00F83412" w:rsidRDefault="000006EB" w:rsidP="0026409E">
      <w:pPr>
        <w:pStyle w:val="IASpacer"/>
        <w:rPr>
          <w:rFonts w:cs="Times New Roman"/>
        </w:rPr>
      </w:pPr>
    </w:p>
    <w:p w:rsidR="000006EB" w:rsidRPr="00F83412" w:rsidRDefault="000006EB" w:rsidP="0026409E">
      <w:pPr>
        <w:pStyle w:val="IAHeadLabel"/>
        <w:spacing w:before="50"/>
        <w:rPr>
          <w:color w:val="auto"/>
        </w:rPr>
      </w:pPr>
      <w:r w:rsidRPr="00F83412">
        <w:rPr>
          <w:color w:val="auto"/>
        </w:rPr>
        <w:t>BUSINESS  ASSESSMENT (Option 1)</w:t>
      </w:r>
    </w:p>
    <w:tbl>
      <w:tblPr>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990"/>
        <w:gridCol w:w="2155"/>
        <w:gridCol w:w="1980"/>
        <w:gridCol w:w="1980"/>
        <w:gridCol w:w="2110"/>
      </w:tblGrid>
      <w:tr w:rsidR="000006EB" w:rsidRPr="00F83412">
        <w:trPr>
          <w:trHeight w:hRule="exact" w:val="312"/>
        </w:trPr>
        <w:tc>
          <w:tcPr>
            <w:tcW w:w="6125" w:type="dxa"/>
            <w:gridSpan w:val="3"/>
            <w:tcBorders>
              <w:top w:val="single" w:sz="4" w:space="0" w:color="auto"/>
              <w:bottom w:val="nil"/>
              <w:right w:val="single" w:sz="4" w:space="0" w:color="auto"/>
            </w:tcBorders>
          </w:tcPr>
          <w:p w:rsidR="000006EB" w:rsidRPr="00F83412" w:rsidRDefault="000006EB" w:rsidP="0026409E">
            <w:pPr>
              <w:pStyle w:val="IATableLabel"/>
              <w:rPr>
                <w:color w:val="auto"/>
              </w:rPr>
            </w:pPr>
            <w:r w:rsidRPr="00F83412">
              <w:rPr>
                <w:color w:val="auto"/>
              </w:rPr>
              <w:t xml:space="preserve">Direct impact on business (Equivalent Annual) £m: </w:t>
            </w:r>
          </w:p>
        </w:tc>
        <w:tc>
          <w:tcPr>
            <w:tcW w:w="1980" w:type="dxa"/>
            <w:tcBorders>
              <w:top w:val="single" w:sz="4" w:space="0" w:color="auto"/>
              <w:left w:val="single" w:sz="4" w:space="0" w:color="auto"/>
              <w:bottom w:val="nil"/>
              <w:right w:val="nil"/>
            </w:tcBorders>
          </w:tcPr>
          <w:p w:rsidR="000006EB" w:rsidRPr="00F83412" w:rsidRDefault="000006EB" w:rsidP="0026409E">
            <w:pPr>
              <w:pStyle w:val="IATableLabel"/>
              <w:rPr>
                <w:color w:val="auto"/>
              </w:rPr>
            </w:pPr>
            <w:r w:rsidRPr="00F83412">
              <w:rPr>
                <w:color w:val="auto"/>
              </w:rPr>
              <w:t>In scope of OIOO?</w:t>
            </w:r>
          </w:p>
        </w:tc>
        <w:tc>
          <w:tcPr>
            <w:tcW w:w="2110" w:type="dxa"/>
            <w:tcBorders>
              <w:top w:val="single" w:sz="4" w:space="0" w:color="auto"/>
              <w:left w:val="nil"/>
              <w:bottom w:val="nil"/>
            </w:tcBorders>
          </w:tcPr>
          <w:p w:rsidR="000006EB" w:rsidRPr="00F83412" w:rsidRDefault="000006EB" w:rsidP="0026409E">
            <w:pPr>
              <w:pStyle w:val="IATableLabel"/>
              <w:ind w:left="0"/>
              <w:rPr>
                <w:color w:val="auto"/>
              </w:rPr>
            </w:pPr>
            <w:r w:rsidRPr="00F83412">
              <w:rPr>
                <w:color w:val="auto"/>
              </w:rPr>
              <w:t xml:space="preserve">  Measure qualifies as</w:t>
            </w:r>
          </w:p>
        </w:tc>
      </w:tr>
      <w:tr w:rsidR="000006EB" w:rsidRPr="00F83412">
        <w:trPr>
          <w:trHeight w:hRule="exact" w:val="340"/>
        </w:trPr>
        <w:tc>
          <w:tcPr>
            <w:tcW w:w="1990" w:type="dxa"/>
            <w:tcBorders>
              <w:top w:val="nil"/>
              <w:bottom w:val="single" w:sz="4" w:space="0" w:color="auto"/>
              <w:right w:val="single" w:sz="4" w:space="0" w:color="auto"/>
            </w:tcBorders>
            <w:shd w:val="clear" w:color="auto" w:fill="FFFFFF"/>
          </w:tcPr>
          <w:p w:rsidR="000006EB" w:rsidRPr="00F83412" w:rsidRDefault="000006EB" w:rsidP="002E7EE6">
            <w:pPr>
              <w:pStyle w:val="IATableLabel"/>
              <w:rPr>
                <w:rFonts w:cs="Times New Roman"/>
                <w:color w:val="auto"/>
              </w:rPr>
            </w:pPr>
            <w:r w:rsidRPr="00F83412">
              <w:rPr>
                <w:color w:val="auto"/>
              </w:rPr>
              <w:t xml:space="preserve">Costs: </w:t>
            </w:r>
            <w:r w:rsidR="002E7EE6">
              <w:rPr>
                <w:rStyle w:val="IAPODICostChar"/>
                <w:color w:val="auto"/>
              </w:rPr>
              <w:t>0</w:t>
            </w:r>
          </w:p>
        </w:tc>
        <w:tc>
          <w:tcPr>
            <w:tcW w:w="2155" w:type="dxa"/>
            <w:tcBorders>
              <w:top w:val="nil"/>
              <w:bottom w:val="single" w:sz="4" w:space="0" w:color="auto"/>
              <w:right w:val="single" w:sz="4" w:space="0" w:color="auto"/>
            </w:tcBorders>
            <w:shd w:val="clear" w:color="auto" w:fill="FFFFFF"/>
          </w:tcPr>
          <w:p w:rsidR="000006EB" w:rsidRPr="00F83412" w:rsidRDefault="000006EB" w:rsidP="00941865">
            <w:pPr>
              <w:pStyle w:val="IATableLabel"/>
              <w:rPr>
                <w:rFonts w:cs="Times New Roman"/>
                <w:color w:val="auto"/>
              </w:rPr>
            </w:pPr>
            <w:r w:rsidRPr="00F83412">
              <w:rPr>
                <w:color w:val="auto"/>
              </w:rPr>
              <w:t xml:space="preserve">Benefits: </w:t>
            </w:r>
            <w:r w:rsidR="00941865">
              <w:rPr>
                <w:rStyle w:val="IAPODIBenChar"/>
                <w:color w:val="auto"/>
              </w:rPr>
              <w:t>2.5</w:t>
            </w:r>
          </w:p>
        </w:tc>
        <w:tc>
          <w:tcPr>
            <w:tcW w:w="1980" w:type="dxa"/>
            <w:tcBorders>
              <w:top w:val="nil"/>
              <w:bottom w:val="single" w:sz="4" w:space="0" w:color="auto"/>
              <w:right w:val="single" w:sz="4" w:space="0" w:color="auto"/>
            </w:tcBorders>
            <w:shd w:val="clear" w:color="auto" w:fill="FFFFFF"/>
          </w:tcPr>
          <w:p w:rsidR="000006EB" w:rsidRPr="00F83412" w:rsidRDefault="000006EB" w:rsidP="002E7EE6">
            <w:pPr>
              <w:pStyle w:val="IATableLabel"/>
              <w:rPr>
                <w:rFonts w:cs="Times New Roman"/>
                <w:color w:val="auto"/>
              </w:rPr>
            </w:pPr>
            <w:r w:rsidRPr="00F83412">
              <w:rPr>
                <w:color w:val="auto"/>
              </w:rPr>
              <w:t xml:space="preserve">Net: </w:t>
            </w:r>
            <w:r w:rsidR="002E7EE6">
              <w:rPr>
                <w:rStyle w:val="IAPODINetChar"/>
                <w:color w:val="auto"/>
              </w:rPr>
              <w:t>2.5</w:t>
            </w:r>
          </w:p>
        </w:tc>
        <w:tc>
          <w:tcPr>
            <w:tcW w:w="1980" w:type="dxa"/>
            <w:tcBorders>
              <w:top w:val="nil"/>
              <w:left w:val="single" w:sz="4" w:space="0" w:color="auto"/>
              <w:bottom w:val="single" w:sz="4" w:space="0" w:color="auto"/>
              <w:right w:val="single" w:sz="4" w:space="0" w:color="auto"/>
            </w:tcBorders>
            <w:shd w:val="clear" w:color="auto" w:fill="FFFFFF"/>
          </w:tcPr>
          <w:p w:rsidR="000006EB" w:rsidRPr="00F83412" w:rsidRDefault="000006EB" w:rsidP="0026409E">
            <w:pPr>
              <w:pStyle w:val="IAPODIOIOO"/>
              <w:rPr>
                <w:color w:val="auto"/>
              </w:rPr>
            </w:pPr>
            <w:r w:rsidRPr="00F83412">
              <w:rPr>
                <w:color w:val="auto"/>
              </w:rPr>
              <w:t>Yes</w:t>
            </w:r>
          </w:p>
        </w:tc>
        <w:tc>
          <w:tcPr>
            <w:tcW w:w="2110" w:type="dxa"/>
            <w:tcBorders>
              <w:top w:val="nil"/>
              <w:left w:val="single" w:sz="4" w:space="0" w:color="auto"/>
              <w:bottom w:val="single" w:sz="4" w:space="0" w:color="auto"/>
            </w:tcBorders>
          </w:tcPr>
          <w:p w:rsidR="000006EB" w:rsidRPr="00F83412" w:rsidRDefault="000006EB" w:rsidP="0077708F">
            <w:pPr>
              <w:pStyle w:val="IAPODIMQ"/>
              <w:ind w:left="0"/>
              <w:rPr>
                <w:color w:val="auto"/>
              </w:rPr>
            </w:pPr>
            <w:r w:rsidRPr="00F83412">
              <w:rPr>
                <w:color w:val="auto"/>
              </w:rPr>
              <w:t xml:space="preserve">  OUT</w:t>
            </w:r>
          </w:p>
        </w:tc>
      </w:tr>
    </w:tbl>
    <w:p w:rsidR="000006EB" w:rsidRPr="00F83412" w:rsidRDefault="000006EB" w:rsidP="0026409E">
      <w:pPr>
        <w:pStyle w:val="Heading1"/>
        <w:spacing w:before="0"/>
      </w:pPr>
    </w:p>
    <w:p w:rsidR="000006EB" w:rsidRPr="00F83412" w:rsidRDefault="000006EB" w:rsidP="0026409E">
      <w:pPr>
        <w:pStyle w:val="IASpacer"/>
        <w:rPr>
          <w:rFonts w:cs="Times New Roman"/>
        </w:rPr>
      </w:pPr>
    </w:p>
    <w:p w:rsidR="000006EB" w:rsidRPr="00F83412" w:rsidRDefault="000006EB" w:rsidP="0026409E">
      <w:pPr>
        <w:pStyle w:val="IASpacer"/>
        <w:rPr>
          <w:rFonts w:cs="Times New Roman"/>
        </w:rPr>
      </w:pPr>
    </w:p>
    <w:p w:rsidR="000006EB" w:rsidRPr="00F83412" w:rsidRDefault="000006EB" w:rsidP="0026409E">
      <w:pPr>
        <w:pStyle w:val="IAHeadLabel"/>
        <w:spacing w:before="50"/>
        <w:rPr>
          <w:color w:val="auto"/>
        </w:rPr>
      </w:pPr>
    </w:p>
    <w:p w:rsidR="000006EB" w:rsidRPr="00F83412" w:rsidRDefault="000006EB" w:rsidP="00EB2B0F">
      <w:pPr>
        <w:pStyle w:val="Heading1"/>
        <w:spacing w:before="0"/>
      </w:pPr>
      <w:r w:rsidRPr="00F83412">
        <w:t>Evidence Base (for summary sheets)</w:t>
      </w:r>
    </w:p>
    <w:p w:rsidR="000006EB" w:rsidRPr="00F83412" w:rsidRDefault="000006EB" w:rsidP="00EB2B0F">
      <w:pPr>
        <w:pStyle w:val="EBBullet"/>
        <w:keepNext/>
        <w:numPr>
          <w:ilvl w:val="0"/>
          <w:numId w:val="0"/>
        </w:numPr>
        <w:spacing w:after="0"/>
        <w:ind w:left="284" w:hanging="284"/>
        <w:rPr>
          <w:b/>
          <w:bCs/>
          <w:color w:val="auto"/>
          <w:sz w:val="32"/>
          <w:szCs w:val="32"/>
        </w:rPr>
      </w:pPr>
    </w:p>
    <w:p w:rsidR="000006EB" w:rsidRPr="00F83412" w:rsidRDefault="000006EB" w:rsidP="00EB2B0F">
      <w:pPr>
        <w:pStyle w:val="EBBullet"/>
        <w:keepNext/>
        <w:numPr>
          <w:ilvl w:val="0"/>
          <w:numId w:val="0"/>
        </w:numPr>
        <w:spacing w:after="0"/>
        <w:ind w:left="284" w:hanging="284"/>
        <w:rPr>
          <w:b/>
          <w:bCs/>
          <w:color w:val="auto"/>
          <w:sz w:val="32"/>
          <w:szCs w:val="32"/>
        </w:rPr>
      </w:pPr>
      <w:r w:rsidRPr="00F83412">
        <w:rPr>
          <w:b/>
          <w:bCs/>
          <w:color w:val="auto"/>
          <w:sz w:val="32"/>
          <w:szCs w:val="32"/>
        </w:rPr>
        <w:t>The Penfold Review of Non-Planning Consents</w:t>
      </w:r>
    </w:p>
    <w:p w:rsidR="000006EB" w:rsidRPr="00F83412" w:rsidRDefault="000006EB" w:rsidP="00EB2B0F">
      <w:pPr>
        <w:pStyle w:val="EBBullet"/>
        <w:keepNext/>
        <w:numPr>
          <w:ilvl w:val="0"/>
          <w:numId w:val="0"/>
        </w:numPr>
        <w:spacing w:after="0"/>
        <w:ind w:left="284" w:hanging="284"/>
        <w:rPr>
          <w:b/>
          <w:bCs/>
          <w:color w:val="auto"/>
          <w:sz w:val="32"/>
          <w:szCs w:val="32"/>
        </w:rPr>
      </w:pPr>
    </w:p>
    <w:p w:rsidR="000006EB" w:rsidRPr="00F83412" w:rsidRDefault="000006EB" w:rsidP="00304925">
      <w:pPr>
        <w:pStyle w:val="EBBullet"/>
        <w:keepNext/>
        <w:numPr>
          <w:ilvl w:val="0"/>
          <w:numId w:val="0"/>
        </w:numPr>
        <w:spacing w:after="0"/>
        <w:jc w:val="both"/>
        <w:rPr>
          <w:color w:val="auto"/>
          <w:sz w:val="23"/>
          <w:szCs w:val="23"/>
        </w:rPr>
      </w:pPr>
      <w:r w:rsidRPr="00F83412">
        <w:rPr>
          <w:color w:val="auto"/>
          <w:sz w:val="23"/>
          <w:szCs w:val="23"/>
        </w:rPr>
        <w:t>The Penfold Review of non-planning consents published in July 2010 examined the various consents that are required by developers alongside or after planning permission, such as environmental permits, highways orders and heritage consents, as a parallel exercise to reform of the planning system itself.  These development consents were acknowledged to deliver key economic, social and environmental benefits – for example protecting the best of the historic environment – but were found to time-consuming for businesses and sometimes an additional and unplanned for burden. The Review therefore made recommendations for streamlining these processes and improving the service which consenting organisations offer their customers.</w:t>
      </w:r>
    </w:p>
    <w:p w:rsidR="000006EB" w:rsidRPr="00F83412" w:rsidRDefault="000006EB" w:rsidP="00304925">
      <w:pPr>
        <w:pStyle w:val="EBBullet"/>
        <w:keepNext/>
        <w:numPr>
          <w:ilvl w:val="0"/>
          <w:numId w:val="0"/>
        </w:numPr>
        <w:spacing w:after="0"/>
        <w:jc w:val="both"/>
        <w:rPr>
          <w:color w:val="auto"/>
          <w:sz w:val="23"/>
          <w:szCs w:val="23"/>
        </w:rPr>
      </w:pPr>
    </w:p>
    <w:p w:rsidR="000006EB" w:rsidRPr="00F83412" w:rsidRDefault="000006EB" w:rsidP="00304925">
      <w:pPr>
        <w:pStyle w:val="Default"/>
        <w:jc w:val="both"/>
        <w:rPr>
          <w:color w:val="auto"/>
          <w:sz w:val="22"/>
          <w:szCs w:val="22"/>
        </w:rPr>
      </w:pPr>
      <w:r w:rsidRPr="00F83412">
        <w:rPr>
          <w:color w:val="auto"/>
          <w:sz w:val="23"/>
          <w:szCs w:val="23"/>
        </w:rPr>
        <w:t xml:space="preserve">The Government accepted the recommendations of the Penfold Review, and in November 2011 published a programme, </w:t>
      </w:r>
      <w:hyperlink r:id="rId10" w:history="1">
        <w:r w:rsidRPr="00F83412">
          <w:rPr>
            <w:rStyle w:val="Hyperlink"/>
            <w:sz w:val="22"/>
            <w:szCs w:val="22"/>
          </w:rPr>
          <w:t>'Implementation of the Penfold Review'</w:t>
        </w:r>
      </w:hyperlink>
      <w:r w:rsidRPr="00F83412">
        <w:rPr>
          <w:color w:val="auto"/>
          <w:sz w:val="22"/>
          <w:szCs w:val="22"/>
        </w:rPr>
        <w:t xml:space="preserve"> (BIS, November 2011) to put in place the recommended reforms, stating: </w:t>
      </w:r>
    </w:p>
    <w:p w:rsidR="000006EB" w:rsidRPr="00F83412" w:rsidRDefault="000006EB" w:rsidP="00EB2B0F">
      <w:pPr>
        <w:pStyle w:val="Default"/>
        <w:jc w:val="both"/>
        <w:rPr>
          <w:color w:val="auto"/>
          <w:sz w:val="22"/>
          <w:szCs w:val="22"/>
        </w:rPr>
      </w:pPr>
    </w:p>
    <w:p w:rsidR="000006EB" w:rsidRPr="00F83412" w:rsidRDefault="000006EB" w:rsidP="00EB2B0F">
      <w:pPr>
        <w:pStyle w:val="Default"/>
        <w:ind w:left="720"/>
        <w:jc w:val="both"/>
        <w:rPr>
          <w:i/>
          <w:iCs/>
          <w:color w:val="auto"/>
          <w:sz w:val="22"/>
          <w:szCs w:val="22"/>
        </w:rPr>
      </w:pPr>
      <w:r w:rsidRPr="00F83412">
        <w:rPr>
          <w:i/>
          <w:iCs/>
          <w:color w:val="auto"/>
          <w:sz w:val="22"/>
          <w:szCs w:val="22"/>
        </w:rPr>
        <w:t xml:space="preserve">“The Autumn Statement set out the action that the Government is taking to promote economic growth and enhance the competitiveness of the business environment in the UK. </w:t>
      </w:r>
    </w:p>
    <w:p w:rsidR="000006EB" w:rsidRPr="00F83412" w:rsidRDefault="000006EB" w:rsidP="00EB2B0F">
      <w:pPr>
        <w:pStyle w:val="Default"/>
        <w:ind w:left="720"/>
        <w:jc w:val="both"/>
        <w:rPr>
          <w:i/>
          <w:iCs/>
          <w:color w:val="auto"/>
          <w:sz w:val="22"/>
          <w:szCs w:val="22"/>
        </w:rPr>
      </w:pPr>
    </w:p>
    <w:p w:rsidR="000006EB" w:rsidRPr="00F83412" w:rsidRDefault="000006EB" w:rsidP="00EB2B0F">
      <w:pPr>
        <w:pStyle w:val="Default"/>
        <w:ind w:left="720"/>
        <w:jc w:val="both"/>
        <w:rPr>
          <w:i/>
          <w:iCs/>
          <w:color w:val="auto"/>
          <w:sz w:val="22"/>
          <w:szCs w:val="22"/>
        </w:rPr>
      </w:pPr>
      <w:r w:rsidRPr="00F83412">
        <w:rPr>
          <w:i/>
          <w:iCs/>
          <w:color w:val="auto"/>
          <w:sz w:val="22"/>
          <w:szCs w:val="22"/>
        </w:rPr>
        <w:t xml:space="preserve">An important part of this agenda is reforming the planning system.  The Government has already made substantial progress through the Localism Act and the publication of the draft National Planning Policy Framework, which sets out a presumption in favour of sustainable development. </w:t>
      </w:r>
    </w:p>
    <w:p w:rsidR="000006EB" w:rsidRPr="00F83412" w:rsidRDefault="000006EB" w:rsidP="00EB2B0F">
      <w:pPr>
        <w:pStyle w:val="Default"/>
        <w:ind w:left="720"/>
        <w:jc w:val="both"/>
        <w:rPr>
          <w:i/>
          <w:iCs/>
          <w:color w:val="auto"/>
          <w:sz w:val="22"/>
          <w:szCs w:val="22"/>
        </w:rPr>
      </w:pPr>
    </w:p>
    <w:p w:rsidR="000006EB" w:rsidRPr="00F83412" w:rsidRDefault="000006EB" w:rsidP="00EB2B0F">
      <w:pPr>
        <w:pStyle w:val="Default"/>
        <w:ind w:left="720"/>
        <w:jc w:val="both"/>
        <w:rPr>
          <w:i/>
          <w:iCs/>
          <w:color w:val="auto"/>
          <w:sz w:val="22"/>
          <w:szCs w:val="22"/>
        </w:rPr>
      </w:pPr>
      <w:r w:rsidRPr="00F83412">
        <w:rPr>
          <w:i/>
          <w:iCs/>
          <w:color w:val="auto"/>
          <w:sz w:val="22"/>
          <w:szCs w:val="22"/>
        </w:rPr>
        <w:t xml:space="preserve">In addition to the planning system, there are several consent regimes that businesses must apply for, depending on how they wish to develop or operate properties. These ‘development consents’ deliver significant economic, social and environmental benefits – such as maintaining our heritage, tackling climate change, and ensuring a well-functioning road network. However, the Penfold Review found these consents to be “numerous and complex”, and that they could create delay, uncertainty and costs to business. </w:t>
      </w:r>
    </w:p>
    <w:p w:rsidR="000006EB" w:rsidRPr="00F83412" w:rsidRDefault="000006EB" w:rsidP="00EB2B0F">
      <w:pPr>
        <w:pStyle w:val="Default"/>
        <w:ind w:left="720"/>
        <w:jc w:val="both"/>
        <w:rPr>
          <w:i/>
          <w:iCs/>
          <w:color w:val="auto"/>
          <w:sz w:val="22"/>
          <w:szCs w:val="22"/>
        </w:rPr>
      </w:pPr>
    </w:p>
    <w:p w:rsidR="000006EB" w:rsidRPr="00F83412" w:rsidRDefault="000006EB" w:rsidP="00EB2B0F">
      <w:pPr>
        <w:pStyle w:val="Default"/>
        <w:ind w:left="720"/>
        <w:jc w:val="both"/>
        <w:rPr>
          <w:i/>
          <w:iCs/>
          <w:color w:val="auto"/>
          <w:sz w:val="22"/>
          <w:szCs w:val="22"/>
        </w:rPr>
      </w:pPr>
      <w:r w:rsidRPr="00F83412">
        <w:rPr>
          <w:i/>
          <w:iCs/>
          <w:color w:val="auto"/>
          <w:sz w:val="22"/>
          <w:szCs w:val="22"/>
        </w:rPr>
        <w:t xml:space="preserve">The Government’s aim is to support growth and competiveness by ensuring these regimes operate in the most flexible and simplified way possible, whilst delivering the benefits they were established to achieve. The Government has therefore announced a further programme to: </w:t>
      </w:r>
    </w:p>
    <w:p w:rsidR="000006EB" w:rsidRPr="00F83412" w:rsidRDefault="000006EB" w:rsidP="00EB2B0F">
      <w:pPr>
        <w:pStyle w:val="Default"/>
        <w:ind w:left="720"/>
        <w:jc w:val="both"/>
        <w:rPr>
          <w:i/>
          <w:iCs/>
          <w:color w:val="auto"/>
          <w:sz w:val="22"/>
          <w:szCs w:val="22"/>
        </w:rPr>
      </w:pPr>
    </w:p>
    <w:p w:rsidR="000006EB" w:rsidRPr="00F83412" w:rsidRDefault="000006EB" w:rsidP="00EB2B0F">
      <w:pPr>
        <w:pStyle w:val="Default"/>
        <w:numPr>
          <w:ilvl w:val="0"/>
          <w:numId w:val="23"/>
        </w:numPr>
        <w:ind w:firstLine="0"/>
        <w:jc w:val="both"/>
        <w:rPr>
          <w:i/>
          <w:iCs/>
          <w:color w:val="auto"/>
          <w:sz w:val="22"/>
          <w:szCs w:val="22"/>
        </w:rPr>
      </w:pPr>
      <w:r w:rsidRPr="00F83412">
        <w:rPr>
          <w:i/>
          <w:iCs/>
          <w:color w:val="auto"/>
          <w:sz w:val="22"/>
          <w:szCs w:val="22"/>
        </w:rPr>
        <w:t xml:space="preserve">scrap unnecessary development consents and simplify others; </w:t>
      </w:r>
    </w:p>
    <w:p w:rsidR="000006EB" w:rsidRPr="00F83412" w:rsidRDefault="000006EB" w:rsidP="00EB2B0F">
      <w:pPr>
        <w:pStyle w:val="Default"/>
        <w:numPr>
          <w:ilvl w:val="0"/>
          <w:numId w:val="23"/>
        </w:numPr>
        <w:ind w:left="1429" w:hanging="709"/>
        <w:jc w:val="both"/>
        <w:rPr>
          <w:i/>
          <w:iCs/>
          <w:color w:val="auto"/>
          <w:sz w:val="22"/>
          <w:szCs w:val="22"/>
        </w:rPr>
      </w:pPr>
      <w:r w:rsidRPr="00F83412">
        <w:rPr>
          <w:i/>
          <w:iCs/>
          <w:color w:val="auto"/>
          <w:sz w:val="22"/>
          <w:szCs w:val="22"/>
        </w:rPr>
        <w:t xml:space="preserve">reform the remits and working practices of the public bodies granting or advising on development consents; </w:t>
      </w:r>
    </w:p>
    <w:p w:rsidR="000006EB" w:rsidRPr="00F83412" w:rsidRDefault="000006EB" w:rsidP="00EB2B0F">
      <w:pPr>
        <w:pStyle w:val="Default"/>
        <w:numPr>
          <w:ilvl w:val="0"/>
          <w:numId w:val="23"/>
        </w:numPr>
        <w:ind w:firstLine="0"/>
        <w:jc w:val="both"/>
        <w:rPr>
          <w:i/>
          <w:iCs/>
          <w:color w:val="auto"/>
          <w:sz w:val="22"/>
          <w:szCs w:val="22"/>
        </w:rPr>
      </w:pPr>
      <w:r w:rsidRPr="00F83412">
        <w:rPr>
          <w:i/>
          <w:iCs/>
          <w:color w:val="auto"/>
          <w:sz w:val="22"/>
          <w:szCs w:val="22"/>
        </w:rPr>
        <w:t xml:space="preserve">set a clear timescale for deciding development consent applications; and </w:t>
      </w:r>
    </w:p>
    <w:p w:rsidR="000006EB" w:rsidRPr="00F83412" w:rsidRDefault="000006EB" w:rsidP="00EB2B0F">
      <w:pPr>
        <w:pStyle w:val="Default"/>
        <w:numPr>
          <w:ilvl w:val="0"/>
          <w:numId w:val="23"/>
        </w:numPr>
        <w:ind w:firstLine="0"/>
        <w:jc w:val="both"/>
        <w:rPr>
          <w:i/>
          <w:iCs/>
          <w:color w:val="auto"/>
          <w:sz w:val="22"/>
          <w:szCs w:val="22"/>
        </w:rPr>
      </w:pPr>
      <w:r w:rsidRPr="00F83412">
        <w:rPr>
          <w:i/>
          <w:iCs/>
          <w:color w:val="auto"/>
          <w:sz w:val="22"/>
          <w:szCs w:val="22"/>
        </w:rPr>
        <w:t xml:space="preserve">make it easier to apply for development consents. </w:t>
      </w:r>
    </w:p>
    <w:p w:rsidR="000006EB" w:rsidRPr="00F83412" w:rsidRDefault="000006EB" w:rsidP="00EB2B0F">
      <w:pPr>
        <w:pStyle w:val="Default"/>
        <w:ind w:left="720"/>
        <w:jc w:val="both"/>
        <w:rPr>
          <w:i/>
          <w:iCs/>
          <w:color w:val="auto"/>
          <w:sz w:val="22"/>
          <w:szCs w:val="22"/>
        </w:rPr>
      </w:pPr>
    </w:p>
    <w:p w:rsidR="000006EB" w:rsidRPr="00F83412" w:rsidRDefault="000006EB" w:rsidP="00EB2B0F">
      <w:pPr>
        <w:pStyle w:val="Default"/>
        <w:ind w:left="720"/>
        <w:jc w:val="both"/>
        <w:rPr>
          <w:i/>
          <w:iCs/>
          <w:color w:val="auto"/>
          <w:sz w:val="22"/>
          <w:szCs w:val="22"/>
        </w:rPr>
      </w:pPr>
      <w:r w:rsidRPr="00F83412">
        <w:rPr>
          <w:i/>
          <w:iCs/>
          <w:color w:val="auto"/>
          <w:sz w:val="22"/>
          <w:szCs w:val="22"/>
        </w:rPr>
        <w:t xml:space="preserve">Taken together, the measures in this programme will reduce costs and bureaucracy, speed the process up and increase certainty; and ensure the regulatory benefits delivered by development consents are achieved with the minimum of burden.” </w:t>
      </w:r>
    </w:p>
    <w:p w:rsidR="000006EB" w:rsidRPr="00F83412" w:rsidRDefault="000006EB" w:rsidP="00EB2B0F">
      <w:pPr>
        <w:pStyle w:val="Default"/>
        <w:ind w:left="720"/>
        <w:jc w:val="both"/>
        <w:rPr>
          <w:i/>
          <w:iCs/>
          <w:color w:val="auto"/>
          <w:sz w:val="22"/>
          <w:szCs w:val="22"/>
        </w:rPr>
      </w:pPr>
    </w:p>
    <w:p w:rsidR="00D53613" w:rsidRDefault="00D53613" w:rsidP="00EB2B0F">
      <w:pPr>
        <w:pStyle w:val="Default"/>
        <w:jc w:val="both"/>
        <w:rPr>
          <w:b/>
          <w:bCs/>
          <w:color w:val="auto"/>
          <w:sz w:val="22"/>
          <w:szCs w:val="22"/>
        </w:rPr>
      </w:pPr>
    </w:p>
    <w:p w:rsidR="000006EB" w:rsidRPr="00F83412" w:rsidRDefault="000006EB" w:rsidP="00EB2B0F">
      <w:pPr>
        <w:pStyle w:val="Default"/>
        <w:jc w:val="both"/>
        <w:rPr>
          <w:b/>
          <w:bCs/>
          <w:color w:val="auto"/>
          <w:sz w:val="22"/>
          <w:szCs w:val="22"/>
        </w:rPr>
      </w:pPr>
      <w:r w:rsidRPr="00F83412">
        <w:rPr>
          <w:b/>
          <w:bCs/>
          <w:color w:val="auto"/>
          <w:sz w:val="22"/>
          <w:szCs w:val="22"/>
        </w:rPr>
        <w:t xml:space="preserve">Actions B1 – B3 of the action plan set out in “Implementation of the Penfold Review” commit Government to consultation on a number of options for legislative reform of the statutory heritage protection system;  </w:t>
      </w:r>
    </w:p>
    <w:p w:rsidR="000006EB" w:rsidRPr="00F83412" w:rsidRDefault="000006EB" w:rsidP="00EB2B0F">
      <w:pPr>
        <w:pStyle w:val="Default"/>
        <w:jc w:val="both"/>
        <w:rPr>
          <w:color w:val="auto"/>
          <w:sz w:val="22"/>
          <w:szCs w:val="22"/>
        </w:rPr>
      </w:pPr>
    </w:p>
    <w:p w:rsidR="000006EB" w:rsidRPr="00F83412" w:rsidRDefault="000006EB" w:rsidP="00475192">
      <w:pPr>
        <w:pStyle w:val="Default"/>
        <w:ind w:left="357" w:hanging="357"/>
        <w:rPr>
          <w:i/>
          <w:iCs/>
          <w:color w:val="auto"/>
          <w:sz w:val="23"/>
          <w:szCs w:val="23"/>
        </w:rPr>
      </w:pPr>
      <w:r w:rsidRPr="00F83412">
        <w:rPr>
          <w:i/>
          <w:iCs/>
          <w:color w:val="auto"/>
          <w:sz w:val="23"/>
          <w:szCs w:val="23"/>
        </w:rPr>
        <w:t xml:space="preserve">B1 Nearly nine out of ten applications for Listed Building Consent are approved. A more risk-based approach would focus enforcement on those applications most likely to impact a building’s special interest, enabling a lighter touch approach for non-controversial applications. This would lighten the burden on developers whilst allowing public agencies to focus their resources on higher risk applications. Therefore </w:t>
      </w:r>
      <w:r w:rsidRPr="00F83412">
        <w:rPr>
          <w:b/>
          <w:bCs/>
          <w:i/>
          <w:iCs/>
          <w:color w:val="auto"/>
          <w:sz w:val="23"/>
          <w:szCs w:val="23"/>
        </w:rPr>
        <w:t>the Government will consult on options for introducing a system of prior-approval for specified types of works to listed buildings</w:t>
      </w:r>
      <w:r w:rsidRPr="00F83412">
        <w:rPr>
          <w:i/>
          <w:iCs/>
          <w:color w:val="auto"/>
          <w:sz w:val="23"/>
          <w:szCs w:val="23"/>
        </w:rPr>
        <w:t xml:space="preserve">. Under the system Listed Building Consent would be deemed granted if the local planning authority does not respond to a developer’s notification by requesting a full application within a specified time period. </w:t>
      </w:r>
    </w:p>
    <w:p w:rsidR="000006EB" w:rsidRPr="00F83412" w:rsidRDefault="000006EB" w:rsidP="00475192">
      <w:pPr>
        <w:pStyle w:val="Default"/>
        <w:ind w:left="357" w:hanging="357"/>
        <w:rPr>
          <w:i/>
          <w:iCs/>
          <w:color w:val="auto"/>
          <w:sz w:val="23"/>
          <w:szCs w:val="23"/>
        </w:rPr>
      </w:pPr>
      <w:r w:rsidRPr="00F83412">
        <w:rPr>
          <w:i/>
          <w:iCs/>
          <w:color w:val="auto"/>
          <w:sz w:val="23"/>
          <w:szCs w:val="23"/>
        </w:rPr>
        <w:t xml:space="preserve">B2 Local authorities rely upon their conservation officers to provide advice on granting Listed Building Consent. To expand the market for that advice and increase choice and flexibility for developers, </w:t>
      </w:r>
      <w:r w:rsidRPr="00F83412">
        <w:rPr>
          <w:b/>
          <w:bCs/>
          <w:i/>
          <w:iCs/>
          <w:color w:val="auto"/>
          <w:sz w:val="23"/>
          <w:szCs w:val="23"/>
        </w:rPr>
        <w:t>the Government will consult on options for allowing certification of applications for Listed Building Consent by accredited independent agents</w:t>
      </w:r>
      <w:r w:rsidRPr="00F83412">
        <w:rPr>
          <w:i/>
          <w:iCs/>
          <w:color w:val="auto"/>
          <w:sz w:val="23"/>
          <w:szCs w:val="23"/>
        </w:rPr>
        <w:t xml:space="preserve">. </w:t>
      </w:r>
    </w:p>
    <w:p w:rsidR="000006EB" w:rsidRPr="00F83412" w:rsidRDefault="000006EB" w:rsidP="00475192">
      <w:pPr>
        <w:pStyle w:val="Default"/>
        <w:ind w:left="357" w:hanging="357"/>
        <w:rPr>
          <w:i/>
          <w:iCs/>
          <w:color w:val="auto"/>
          <w:sz w:val="23"/>
          <w:szCs w:val="23"/>
        </w:rPr>
      </w:pPr>
      <w:r w:rsidRPr="00F83412">
        <w:rPr>
          <w:i/>
          <w:iCs/>
          <w:color w:val="auto"/>
          <w:sz w:val="23"/>
          <w:szCs w:val="23"/>
        </w:rPr>
        <w:t xml:space="preserve">B3 To provide greater certainty to the owners of listed buildings and reduce the cost to local authorities of enforcement, </w:t>
      </w:r>
      <w:r w:rsidRPr="00F83412">
        <w:rPr>
          <w:b/>
          <w:bCs/>
          <w:i/>
          <w:iCs/>
          <w:color w:val="auto"/>
          <w:sz w:val="23"/>
          <w:szCs w:val="23"/>
        </w:rPr>
        <w:t>the Government will consult on legally defining circumstances in which minimum compensation should be payable when listed buildings are subject to compulsory purchase</w:t>
      </w:r>
      <w:r w:rsidRPr="00F83412">
        <w:rPr>
          <w:i/>
          <w:iCs/>
          <w:color w:val="auto"/>
          <w:sz w:val="23"/>
          <w:szCs w:val="23"/>
        </w:rPr>
        <w:t xml:space="preserve">. </w:t>
      </w:r>
    </w:p>
    <w:p w:rsidR="000006EB" w:rsidRPr="00F83412" w:rsidRDefault="000006EB" w:rsidP="00475192">
      <w:pPr>
        <w:pStyle w:val="Default"/>
        <w:ind w:left="357" w:hanging="357"/>
        <w:rPr>
          <w:color w:val="auto"/>
          <w:sz w:val="23"/>
          <w:szCs w:val="23"/>
        </w:rPr>
      </w:pPr>
    </w:p>
    <w:p w:rsidR="000006EB" w:rsidRPr="00F83412" w:rsidRDefault="000006EB" w:rsidP="00475192">
      <w:pPr>
        <w:pStyle w:val="Default"/>
        <w:jc w:val="both"/>
        <w:rPr>
          <w:b/>
          <w:bCs/>
          <w:color w:val="auto"/>
          <w:sz w:val="22"/>
          <w:szCs w:val="22"/>
        </w:rPr>
      </w:pPr>
      <w:r w:rsidRPr="00F83412">
        <w:rPr>
          <w:b/>
          <w:bCs/>
          <w:color w:val="auto"/>
          <w:sz w:val="22"/>
          <w:szCs w:val="22"/>
        </w:rPr>
        <w:t xml:space="preserve">These actions would be implemented by </w:t>
      </w:r>
      <w:r w:rsidR="003975BC">
        <w:rPr>
          <w:b/>
          <w:bCs/>
          <w:color w:val="auto"/>
          <w:sz w:val="22"/>
          <w:szCs w:val="22"/>
        </w:rPr>
        <w:t>the measure set out in this impact assessment.</w:t>
      </w:r>
    </w:p>
    <w:p w:rsidR="000006EB" w:rsidRPr="00F83412" w:rsidRDefault="000006EB" w:rsidP="00EB2B0F">
      <w:pPr>
        <w:pStyle w:val="EBBullet"/>
        <w:keepNext/>
        <w:numPr>
          <w:ilvl w:val="0"/>
          <w:numId w:val="0"/>
        </w:numPr>
        <w:spacing w:after="0"/>
        <w:ind w:left="284" w:hanging="284"/>
        <w:rPr>
          <w:b/>
          <w:bCs/>
          <w:color w:val="auto"/>
          <w:sz w:val="32"/>
          <w:szCs w:val="32"/>
        </w:rPr>
      </w:pPr>
    </w:p>
    <w:p w:rsidR="00D53613" w:rsidRDefault="00D53613" w:rsidP="00EB2B0F">
      <w:pPr>
        <w:pStyle w:val="Default"/>
        <w:jc w:val="both"/>
        <w:rPr>
          <w:b/>
          <w:bCs/>
          <w:color w:val="auto"/>
          <w:sz w:val="32"/>
          <w:szCs w:val="32"/>
        </w:rPr>
      </w:pPr>
    </w:p>
    <w:p w:rsidR="000006EB" w:rsidRPr="00F83412" w:rsidRDefault="000006EB" w:rsidP="00EB2B0F">
      <w:pPr>
        <w:pStyle w:val="Default"/>
        <w:jc w:val="both"/>
        <w:rPr>
          <w:b/>
          <w:bCs/>
          <w:color w:val="auto"/>
          <w:sz w:val="32"/>
          <w:szCs w:val="32"/>
        </w:rPr>
      </w:pPr>
      <w:r w:rsidRPr="00F83412">
        <w:rPr>
          <w:b/>
          <w:bCs/>
          <w:color w:val="auto"/>
          <w:sz w:val="32"/>
          <w:szCs w:val="32"/>
        </w:rPr>
        <w:t>The heritage protection system</w:t>
      </w:r>
    </w:p>
    <w:p w:rsidR="000006EB" w:rsidRDefault="000006EB" w:rsidP="00EB2B0F">
      <w:pPr>
        <w:pStyle w:val="Default"/>
        <w:jc w:val="both"/>
        <w:rPr>
          <w:b/>
          <w:bCs/>
          <w:color w:val="auto"/>
          <w:sz w:val="32"/>
          <w:szCs w:val="32"/>
        </w:rPr>
      </w:pPr>
    </w:p>
    <w:p w:rsidR="000006EB" w:rsidRPr="00F83412" w:rsidRDefault="000006EB" w:rsidP="00F83412">
      <w:pPr>
        <w:pStyle w:val="Default"/>
        <w:jc w:val="both"/>
        <w:rPr>
          <w:color w:val="auto"/>
          <w:sz w:val="22"/>
          <w:szCs w:val="22"/>
        </w:rPr>
      </w:pPr>
      <w:r w:rsidRPr="00F83412">
        <w:rPr>
          <w:color w:val="auto"/>
          <w:sz w:val="22"/>
          <w:szCs w:val="22"/>
        </w:rPr>
        <w:t>In relation to terrestrial heritage assets in England, the key elements of the statutory heritage protection system are set out in:</w:t>
      </w:r>
    </w:p>
    <w:p w:rsidR="000006EB" w:rsidRPr="00F83412" w:rsidRDefault="000006EB" w:rsidP="00F83412">
      <w:pPr>
        <w:pStyle w:val="Default"/>
        <w:jc w:val="both"/>
        <w:rPr>
          <w:color w:val="auto"/>
          <w:sz w:val="22"/>
          <w:szCs w:val="22"/>
        </w:rPr>
      </w:pPr>
    </w:p>
    <w:p w:rsidR="000006EB" w:rsidRPr="00F83412" w:rsidRDefault="000006EB" w:rsidP="00F83412">
      <w:pPr>
        <w:numPr>
          <w:ilvl w:val="0"/>
          <w:numId w:val="22"/>
        </w:numPr>
        <w:ind w:right="-1"/>
        <w:jc w:val="both"/>
        <w:rPr>
          <w:sz w:val="22"/>
          <w:szCs w:val="22"/>
        </w:rPr>
      </w:pPr>
      <w:r w:rsidRPr="00F83412">
        <w:rPr>
          <w:sz w:val="22"/>
          <w:szCs w:val="22"/>
        </w:rPr>
        <w:t xml:space="preserve">the </w:t>
      </w:r>
      <w:hyperlink r:id="rId11" w:history="1">
        <w:r w:rsidRPr="00F83412">
          <w:rPr>
            <w:rStyle w:val="Hyperlink"/>
            <w:sz w:val="22"/>
            <w:szCs w:val="22"/>
          </w:rPr>
          <w:t>Ancient Monuments and Archaeological Areas Act 1979</w:t>
        </w:r>
      </w:hyperlink>
      <w:r w:rsidRPr="00F83412">
        <w:rPr>
          <w:sz w:val="22"/>
          <w:szCs w:val="22"/>
        </w:rPr>
        <w:t>, which provides for the designation of nationally important archaeological and historical sites and monuments as Scheduled Monuments (and establishes the Scheduled Monument Consent (SMC) regime to control works to them); and</w:t>
      </w:r>
    </w:p>
    <w:p w:rsidR="000006EB" w:rsidRPr="00F83412" w:rsidRDefault="000006EB" w:rsidP="00F83412">
      <w:pPr>
        <w:numPr>
          <w:ilvl w:val="0"/>
          <w:numId w:val="22"/>
        </w:numPr>
        <w:ind w:right="-1"/>
        <w:jc w:val="both"/>
        <w:rPr>
          <w:sz w:val="22"/>
          <w:szCs w:val="22"/>
        </w:rPr>
      </w:pPr>
      <w:r w:rsidRPr="00F83412">
        <w:rPr>
          <w:sz w:val="22"/>
          <w:szCs w:val="22"/>
        </w:rPr>
        <w:t>the</w:t>
      </w:r>
      <w:r w:rsidRPr="00F83412">
        <w:t xml:space="preserve"> </w:t>
      </w:r>
      <w:hyperlink r:id="rId12" w:history="1">
        <w:r w:rsidRPr="00F83412">
          <w:rPr>
            <w:rStyle w:val="Hyperlink"/>
            <w:sz w:val="22"/>
            <w:szCs w:val="22"/>
            <w:lang w:eastAsia="en-GB"/>
          </w:rPr>
          <w:t>Planning (Listed Buildings and Conservation Areas) Act 1990</w:t>
        </w:r>
      </w:hyperlink>
      <w:r w:rsidRPr="00F83412">
        <w:rPr>
          <w:sz w:val="22"/>
          <w:szCs w:val="22"/>
        </w:rPr>
        <w:t xml:space="preserve">, </w:t>
      </w:r>
      <w:r>
        <w:rPr>
          <w:sz w:val="22"/>
          <w:szCs w:val="22"/>
        </w:rPr>
        <w:t xml:space="preserve">(the 1990 Act) </w:t>
      </w:r>
      <w:r w:rsidRPr="00F83412">
        <w:rPr>
          <w:sz w:val="22"/>
          <w:szCs w:val="22"/>
        </w:rPr>
        <w:t>which provides for the designation of buildings of special historic or architectural interest as Listed Buildings (and establishes the Listed Building Consent (LBC) regime to control works to them).</w:t>
      </w:r>
    </w:p>
    <w:p w:rsidR="000006EB" w:rsidRDefault="000006EB" w:rsidP="00F83412">
      <w:pPr>
        <w:pStyle w:val="Default"/>
        <w:jc w:val="both"/>
        <w:rPr>
          <w:color w:val="auto"/>
          <w:sz w:val="22"/>
          <w:szCs w:val="22"/>
        </w:rPr>
      </w:pPr>
    </w:p>
    <w:p w:rsidR="000006EB" w:rsidRPr="00F83412" w:rsidRDefault="000006EB" w:rsidP="00694D87">
      <w:pPr>
        <w:pStyle w:val="Default"/>
        <w:jc w:val="both"/>
        <w:rPr>
          <w:rFonts w:ascii="Verdana" w:hAnsi="Verdana" w:cs="Verdana"/>
        </w:rPr>
      </w:pPr>
      <w:r>
        <w:rPr>
          <w:color w:val="auto"/>
          <w:sz w:val="22"/>
          <w:szCs w:val="22"/>
        </w:rPr>
        <w:t xml:space="preserve">The 1990 Act establishes a two-part system for firstly identifying, “listing”, buildings which are judged to be of national importance in terms of their special architectural or historic interest, and, secondly, protecting them through a system of control which ensures that any changes made to them will be mindful of that special interest.   </w:t>
      </w:r>
    </w:p>
    <w:p w:rsidR="000006EB" w:rsidRPr="00694D87" w:rsidRDefault="000006EB" w:rsidP="00694D87">
      <w:pPr>
        <w:autoSpaceDE w:val="0"/>
        <w:autoSpaceDN w:val="0"/>
        <w:adjustRightInd w:val="0"/>
        <w:jc w:val="both"/>
        <w:rPr>
          <w:sz w:val="22"/>
          <w:szCs w:val="22"/>
          <w:lang w:eastAsia="en-GB"/>
        </w:rPr>
      </w:pPr>
    </w:p>
    <w:p w:rsidR="000006EB" w:rsidRPr="00694D87" w:rsidRDefault="000006EB" w:rsidP="00694D87">
      <w:pPr>
        <w:autoSpaceDE w:val="0"/>
        <w:autoSpaceDN w:val="0"/>
        <w:adjustRightInd w:val="0"/>
        <w:jc w:val="both"/>
        <w:rPr>
          <w:sz w:val="22"/>
          <w:szCs w:val="22"/>
          <w:lang w:eastAsia="en-GB"/>
        </w:rPr>
      </w:pPr>
      <w:r w:rsidRPr="00694D87">
        <w:rPr>
          <w:sz w:val="22"/>
          <w:szCs w:val="22"/>
          <w:lang w:eastAsia="en-GB"/>
        </w:rPr>
        <w:t xml:space="preserve">A 'listed building' is a building, object or structure that has been judged to be of national importance in terms of architectural or historic interest and included on a special register, called the National Heritage List for England.  Compiled by the Department for Culture, Media and Sports (DCMS), under the provisions of the 1990 Act, the list includes a wide variety of structures, from castles and cathedrals to milestones and village pumps.  When a building is listed, it is listed in its entirety, which means that both the exterior and the interior are protected. In addition, any object or structure fixed to the building, and any object or structure within the curtilage of the building, which although not fixed to the building, forms part of the land and has done so since before 1 July 1948, are treated as part of the listed building. </w:t>
      </w:r>
    </w:p>
    <w:p w:rsidR="000006EB" w:rsidRPr="00694D87" w:rsidRDefault="000006EB" w:rsidP="00694D87">
      <w:pPr>
        <w:autoSpaceDE w:val="0"/>
        <w:autoSpaceDN w:val="0"/>
        <w:adjustRightInd w:val="0"/>
        <w:jc w:val="both"/>
        <w:rPr>
          <w:b/>
          <w:bCs/>
          <w:sz w:val="22"/>
          <w:szCs w:val="22"/>
          <w:lang w:eastAsia="en-GB"/>
        </w:rPr>
      </w:pPr>
    </w:p>
    <w:p w:rsidR="000006EB" w:rsidRPr="00694D87" w:rsidRDefault="000006EB" w:rsidP="00694D87">
      <w:pPr>
        <w:autoSpaceDE w:val="0"/>
        <w:autoSpaceDN w:val="0"/>
        <w:adjustRightInd w:val="0"/>
        <w:jc w:val="both"/>
        <w:rPr>
          <w:sz w:val="22"/>
          <w:szCs w:val="22"/>
          <w:lang w:eastAsia="en-GB"/>
        </w:rPr>
      </w:pPr>
      <w:r w:rsidRPr="00694D87">
        <w:rPr>
          <w:sz w:val="22"/>
          <w:szCs w:val="22"/>
          <w:lang w:eastAsia="en-GB"/>
        </w:rPr>
        <w:t xml:space="preserve">Listed building control is a type of planning control, which protects buildings of special architectural or historical interest. These controls are in addition to any planning regulations which would normally apply.  Listed building status can also result in the requirement for planning permission where it wouldn’t ordinarily be required - for example, the erection of means of enclosure. </w:t>
      </w:r>
    </w:p>
    <w:p w:rsidR="000006EB" w:rsidRPr="00694D87" w:rsidRDefault="000006EB" w:rsidP="00694D87">
      <w:pPr>
        <w:pStyle w:val="Default"/>
        <w:jc w:val="both"/>
        <w:rPr>
          <w:color w:val="auto"/>
          <w:sz w:val="22"/>
          <w:szCs w:val="22"/>
        </w:rPr>
      </w:pPr>
      <w:r w:rsidRPr="00694D87">
        <w:rPr>
          <w:color w:val="auto"/>
          <w:sz w:val="22"/>
          <w:szCs w:val="22"/>
        </w:rPr>
        <w:t>This special form of control is intended to prevent the unrestricted demolition, alteration or extension of a listed building without the express consent of the local planning authority or the Secretary of State.  The controls apply to any works for the demolition of a listed building, or for its alteration or extension, in any way which is likely to affect its character as a building of special architectural or historical interest.</w:t>
      </w:r>
    </w:p>
    <w:p w:rsidR="000006EB" w:rsidRDefault="000006EB" w:rsidP="00694D87">
      <w:pPr>
        <w:pStyle w:val="Default"/>
        <w:jc w:val="both"/>
        <w:rPr>
          <w:color w:val="auto"/>
          <w:sz w:val="22"/>
          <w:szCs w:val="22"/>
        </w:rPr>
      </w:pPr>
    </w:p>
    <w:p w:rsidR="00457365" w:rsidRDefault="00457365" w:rsidP="00694D87">
      <w:pPr>
        <w:pStyle w:val="Default"/>
        <w:jc w:val="both"/>
        <w:rPr>
          <w:color w:val="auto"/>
          <w:sz w:val="22"/>
          <w:szCs w:val="22"/>
        </w:rPr>
      </w:pPr>
      <w:r>
        <w:rPr>
          <w:color w:val="auto"/>
          <w:sz w:val="22"/>
          <w:szCs w:val="22"/>
        </w:rPr>
        <w:t>The existing legislation in the 1990 Act is prescriptive, and provides that applications for LBC must be made to the local planning authority, must  contain various particulars, as set out in the 1990 Regulations, and the LPA must give written consent.  Legislation would  be required to give effect to any of the consultation proposals, as these provisions may be effected.</w:t>
      </w:r>
    </w:p>
    <w:p w:rsidR="00457365" w:rsidRDefault="00457365" w:rsidP="00694D87">
      <w:pPr>
        <w:pStyle w:val="Default"/>
        <w:jc w:val="both"/>
        <w:rPr>
          <w:color w:val="auto"/>
          <w:sz w:val="22"/>
          <w:szCs w:val="22"/>
        </w:rPr>
      </w:pPr>
    </w:p>
    <w:p w:rsidR="000006EB" w:rsidRPr="00F83412" w:rsidRDefault="000006EB" w:rsidP="00694D87">
      <w:pPr>
        <w:pStyle w:val="EBBodyPara"/>
        <w:spacing w:after="0"/>
        <w:jc w:val="both"/>
        <w:rPr>
          <w:color w:val="auto"/>
        </w:rPr>
      </w:pPr>
      <w:r w:rsidRPr="00694D87">
        <w:rPr>
          <w:color w:val="auto"/>
        </w:rPr>
        <w:t>There are currently</w:t>
      </w:r>
      <w:r w:rsidRPr="00F83412">
        <w:rPr>
          <w:color w:val="auto"/>
        </w:rPr>
        <w:t xml:space="preserve"> c375,000 Listed Buildings and c20,000 Scheduled Monuments in England.</w:t>
      </w:r>
    </w:p>
    <w:p w:rsidR="000006EB" w:rsidRPr="00F83412" w:rsidRDefault="000006EB" w:rsidP="00EB2B0F">
      <w:pPr>
        <w:pStyle w:val="Default"/>
        <w:jc w:val="both"/>
        <w:rPr>
          <w:b/>
          <w:bCs/>
          <w:color w:val="auto"/>
          <w:sz w:val="32"/>
          <w:szCs w:val="32"/>
        </w:rPr>
      </w:pPr>
    </w:p>
    <w:p w:rsidR="00457365" w:rsidRDefault="00457365" w:rsidP="00EB2B0F">
      <w:pPr>
        <w:pStyle w:val="Heading1"/>
        <w:shd w:val="clear" w:color="auto" w:fill="FFFFFF"/>
        <w:spacing w:before="0" w:after="0"/>
      </w:pPr>
    </w:p>
    <w:p w:rsidR="00457365" w:rsidRDefault="00457365" w:rsidP="00EB2B0F">
      <w:pPr>
        <w:pStyle w:val="Heading1"/>
        <w:shd w:val="clear" w:color="auto" w:fill="FFFFFF"/>
        <w:spacing w:before="0" w:after="0"/>
      </w:pPr>
    </w:p>
    <w:p w:rsidR="000006EB" w:rsidRPr="00F83412" w:rsidRDefault="00242383" w:rsidP="00EB2B0F">
      <w:pPr>
        <w:pStyle w:val="Heading1"/>
        <w:shd w:val="clear" w:color="auto" w:fill="FFFFFF"/>
        <w:spacing w:before="0" w:after="0"/>
        <w:rPr>
          <w:rFonts w:ascii="Arial" w:hAnsi="Arial" w:cs="Arial"/>
          <w:b w:val="0"/>
          <w:bCs w:val="0"/>
          <w:spacing w:val="0"/>
          <w:kern w:val="0"/>
          <w:sz w:val="22"/>
          <w:szCs w:val="22"/>
          <w:lang w:eastAsia="en-GB"/>
        </w:rPr>
      </w:pPr>
      <w:hyperlink r:id="rId13" w:history="1">
        <w:r w:rsidR="000006EB" w:rsidRPr="00F83412">
          <w:rPr>
            <w:rStyle w:val="Hyperlink"/>
            <w:rFonts w:ascii="Arial" w:hAnsi="Arial" w:cs="Arial"/>
            <w:b w:val="0"/>
            <w:bCs w:val="0"/>
            <w:spacing w:val="0"/>
            <w:kern w:val="0"/>
            <w:sz w:val="22"/>
            <w:szCs w:val="22"/>
            <w:lang w:eastAsia="en-GB"/>
          </w:rPr>
          <w:t>The Government’s Statement on the Historic Environment for England</w:t>
        </w:r>
      </w:hyperlink>
      <w:r w:rsidR="000006EB" w:rsidRPr="00F83412">
        <w:rPr>
          <w:rFonts w:ascii="Arial" w:hAnsi="Arial" w:cs="Arial"/>
          <w:b w:val="0"/>
          <w:bCs w:val="0"/>
          <w:spacing w:val="0"/>
          <w:kern w:val="0"/>
          <w:sz w:val="22"/>
          <w:szCs w:val="22"/>
          <w:lang w:eastAsia="en-GB"/>
        </w:rPr>
        <w:t xml:space="preserve"> (DCMS, 2010) states that:</w:t>
      </w:r>
    </w:p>
    <w:p w:rsidR="000006EB" w:rsidRPr="00F83412" w:rsidRDefault="000006EB" w:rsidP="00EB2B0F">
      <w:pPr>
        <w:pStyle w:val="Default"/>
        <w:jc w:val="both"/>
        <w:rPr>
          <w:color w:val="auto"/>
          <w:sz w:val="22"/>
          <w:szCs w:val="22"/>
        </w:rPr>
      </w:pPr>
    </w:p>
    <w:p w:rsidR="000006EB" w:rsidRPr="00F83412" w:rsidRDefault="000006EB" w:rsidP="00EB2B0F">
      <w:pPr>
        <w:pStyle w:val="CM24"/>
        <w:ind w:left="720"/>
        <w:jc w:val="both"/>
        <w:rPr>
          <w:rFonts w:ascii="Arial" w:hAnsi="Arial" w:cs="Arial"/>
          <w:i/>
          <w:iCs/>
          <w:sz w:val="22"/>
          <w:szCs w:val="22"/>
        </w:rPr>
      </w:pPr>
      <w:r w:rsidRPr="00F83412">
        <w:rPr>
          <w:rFonts w:ascii="Arial" w:hAnsi="Arial" w:cs="Arial"/>
          <w:i/>
          <w:iCs/>
          <w:sz w:val="22"/>
          <w:szCs w:val="22"/>
        </w:rPr>
        <w:t xml:space="preserve">The Government believes that the historic environment is an asset of enormous cultural, social, economic and environmental value. It makes a very real contribution to our quality of life and the quality of our places. We recognise that while some of today’s achievements may become tomorrow’s heritage our existing heritage assets are also simply irreplaceable. </w:t>
      </w:r>
    </w:p>
    <w:p w:rsidR="000006EB" w:rsidRPr="00F83412" w:rsidRDefault="000006EB" w:rsidP="00EB2B0F">
      <w:pPr>
        <w:pStyle w:val="CM24"/>
        <w:ind w:left="720"/>
        <w:jc w:val="both"/>
        <w:rPr>
          <w:rFonts w:ascii="Arial" w:hAnsi="Arial" w:cs="Arial"/>
          <w:i/>
          <w:iCs/>
          <w:sz w:val="22"/>
          <w:szCs w:val="22"/>
        </w:rPr>
      </w:pPr>
    </w:p>
    <w:p w:rsidR="000006EB" w:rsidRPr="00F83412" w:rsidRDefault="000006EB" w:rsidP="00EB2B0F">
      <w:pPr>
        <w:pStyle w:val="CM24"/>
        <w:ind w:left="720"/>
        <w:jc w:val="both"/>
        <w:rPr>
          <w:rFonts w:ascii="Arial" w:hAnsi="Arial" w:cs="Arial"/>
          <w:i/>
          <w:iCs/>
          <w:sz w:val="22"/>
          <w:szCs w:val="22"/>
        </w:rPr>
      </w:pPr>
      <w:r w:rsidRPr="00F83412">
        <w:rPr>
          <w:rFonts w:ascii="Arial" w:hAnsi="Arial" w:cs="Arial"/>
          <w:i/>
          <w:iCs/>
          <w:sz w:val="22"/>
          <w:szCs w:val="22"/>
        </w:rPr>
        <w:t xml:space="preserve">We realise the importance of understanding, conserving, and where appropriate, enhancing the markers of our past. We believe in encouraging a wider involvement in our heritage, in order to ensure that everyone, both today and in the future, has an opportunity to discover their connection to those who have come before. </w:t>
      </w:r>
    </w:p>
    <w:p w:rsidR="000006EB" w:rsidRPr="00F83412" w:rsidRDefault="000006EB" w:rsidP="00EB2B0F">
      <w:pPr>
        <w:pStyle w:val="CM24"/>
        <w:ind w:left="720"/>
        <w:jc w:val="both"/>
        <w:rPr>
          <w:rFonts w:ascii="Arial" w:hAnsi="Arial" w:cs="Arial"/>
          <w:i/>
          <w:iCs/>
          <w:sz w:val="22"/>
          <w:szCs w:val="22"/>
        </w:rPr>
      </w:pPr>
    </w:p>
    <w:p w:rsidR="000006EB" w:rsidRPr="00F83412" w:rsidRDefault="000006EB" w:rsidP="00EB2B0F">
      <w:pPr>
        <w:pStyle w:val="CM24"/>
        <w:ind w:left="720"/>
        <w:jc w:val="both"/>
        <w:rPr>
          <w:rFonts w:ascii="Arial" w:hAnsi="Arial" w:cs="Arial"/>
          <w:i/>
          <w:iCs/>
          <w:sz w:val="22"/>
          <w:szCs w:val="22"/>
        </w:rPr>
      </w:pPr>
      <w:r w:rsidRPr="00F83412">
        <w:rPr>
          <w:rFonts w:ascii="Arial" w:hAnsi="Arial" w:cs="Arial"/>
          <w:i/>
          <w:iCs/>
          <w:sz w:val="22"/>
          <w:szCs w:val="22"/>
        </w:rPr>
        <w:t xml:space="preserve">Aside from its inherent cultural value, the historic environment also has an important role to play in helping Government to achieve many of its broader goals. It can be a powerful driver for economic growth, attracting investment and tourism, and providing a focus for successful regeneration. Alongside the best in new design, it is an essential element in creating distinctive, enjoyable and successful places in which to live and work. Heritage can be a significant focus for the local community, helping to bring people together, to define local identities and to foster a new understanding of ourselves and those around us. </w:t>
      </w:r>
    </w:p>
    <w:p w:rsidR="000006EB" w:rsidRPr="00F83412" w:rsidRDefault="000006EB" w:rsidP="00EB2B0F">
      <w:pPr>
        <w:pStyle w:val="CM24"/>
        <w:ind w:left="720" w:right="147"/>
        <w:jc w:val="both"/>
        <w:rPr>
          <w:rFonts w:ascii="Arial" w:hAnsi="Arial" w:cs="Arial"/>
          <w:i/>
          <w:iCs/>
          <w:sz w:val="22"/>
          <w:szCs w:val="22"/>
        </w:rPr>
      </w:pPr>
    </w:p>
    <w:p w:rsidR="000006EB" w:rsidRPr="00F83412" w:rsidRDefault="000006EB" w:rsidP="00EB2B0F">
      <w:pPr>
        <w:pStyle w:val="CM24"/>
        <w:ind w:left="720" w:right="147"/>
        <w:jc w:val="both"/>
        <w:rPr>
          <w:rFonts w:ascii="Arial" w:hAnsi="Arial" w:cs="Arial"/>
          <w:i/>
          <w:iCs/>
          <w:sz w:val="22"/>
          <w:szCs w:val="22"/>
        </w:rPr>
      </w:pPr>
      <w:r w:rsidRPr="00F83412">
        <w:rPr>
          <w:rFonts w:ascii="Arial" w:hAnsi="Arial" w:cs="Arial"/>
          <w:i/>
          <w:iCs/>
          <w:sz w:val="22"/>
          <w:szCs w:val="22"/>
        </w:rPr>
        <w:t xml:space="preserve">The historic environment even has a role to play in assisting us to meet one of the greatest challenges we face for the future. By promoting the inherent sustainability of historic buildings and their surroundings and by learning from them and the other types of evidence left by the low carbon economies of the past, we can make real progress in helping to mitigate and adapt to climate change. </w:t>
      </w:r>
    </w:p>
    <w:p w:rsidR="000006EB" w:rsidRPr="00F83412" w:rsidRDefault="000006EB" w:rsidP="00EB2B0F">
      <w:pPr>
        <w:pStyle w:val="Default"/>
        <w:ind w:left="720"/>
        <w:jc w:val="both"/>
        <w:rPr>
          <w:i/>
          <w:iCs/>
          <w:color w:val="auto"/>
          <w:sz w:val="22"/>
          <w:szCs w:val="22"/>
        </w:rPr>
      </w:pPr>
    </w:p>
    <w:p w:rsidR="000006EB" w:rsidRPr="00F83412" w:rsidRDefault="000006EB" w:rsidP="00EB2B0F">
      <w:pPr>
        <w:pStyle w:val="Default"/>
        <w:ind w:left="720"/>
        <w:jc w:val="both"/>
        <w:rPr>
          <w:i/>
          <w:iCs/>
          <w:color w:val="auto"/>
          <w:sz w:val="22"/>
          <w:szCs w:val="22"/>
        </w:rPr>
      </w:pPr>
      <w:r w:rsidRPr="00F83412">
        <w:rPr>
          <w:i/>
          <w:iCs/>
          <w:color w:val="auto"/>
          <w:sz w:val="22"/>
          <w:szCs w:val="22"/>
        </w:rPr>
        <w:t>To fully realise all this potential, however, it is vital not only that those who actively manage the historic environment, but also all those who have the potential to impact on it, recognise the contribution it can make to our collective aims.</w:t>
      </w:r>
    </w:p>
    <w:p w:rsidR="000006EB" w:rsidRPr="00F83412" w:rsidRDefault="000006EB" w:rsidP="00EB2B0F">
      <w:pPr>
        <w:pStyle w:val="Default"/>
        <w:jc w:val="both"/>
        <w:rPr>
          <w:color w:val="auto"/>
          <w:sz w:val="22"/>
          <w:szCs w:val="22"/>
        </w:rPr>
      </w:pPr>
    </w:p>
    <w:p w:rsidR="000006EB" w:rsidRPr="00F83412" w:rsidRDefault="000006EB" w:rsidP="00EB2B0F">
      <w:pPr>
        <w:pStyle w:val="CM24"/>
        <w:ind w:left="720" w:right="187"/>
        <w:jc w:val="both"/>
        <w:rPr>
          <w:rFonts w:ascii="Arial" w:hAnsi="Arial" w:cs="Arial"/>
          <w:i/>
          <w:iCs/>
          <w:sz w:val="22"/>
          <w:szCs w:val="22"/>
        </w:rPr>
      </w:pPr>
      <w:r w:rsidRPr="00F83412">
        <w:rPr>
          <w:rFonts w:ascii="Arial" w:hAnsi="Arial" w:cs="Arial"/>
          <w:i/>
          <w:iCs/>
          <w:sz w:val="22"/>
          <w:szCs w:val="22"/>
        </w:rPr>
        <w:t xml:space="preserve">At the same time we must recognise that change is inevitable. While it is right to provide protection and support for our past, this must be managed intelligently, with an appropriate balance of priorities and an understanding of what could be gained or lost. </w:t>
      </w:r>
    </w:p>
    <w:p w:rsidR="000006EB" w:rsidRPr="00F83412" w:rsidRDefault="000006EB" w:rsidP="00EB2B0F">
      <w:pPr>
        <w:pStyle w:val="CM24"/>
        <w:ind w:left="720"/>
        <w:jc w:val="both"/>
        <w:rPr>
          <w:rFonts w:ascii="Arial" w:hAnsi="Arial" w:cs="Arial"/>
          <w:i/>
          <w:iCs/>
          <w:sz w:val="22"/>
          <w:szCs w:val="22"/>
        </w:rPr>
      </w:pPr>
    </w:p>
    <w:p w:rsidR="000006EB" w:rsidRPr="00F83412" w:rsidRDefault="000006EB" w:rsidP="00EB2B0F">
      <w:pPr>
        <w:pStyle w:val="CM24"/>
        <w:ind w:left="720"/>
        <w:jc w:val="both"/>
        <w:rPr>
          <w:rFonts w:ascii="Arial" w:hAnsi="Arial" w:cs="Arial"/>
          <w:i/>
          <w:iCs/>
          <w:sz w:val="22"/>
          <w:szCs w:val="22"/>
        </w:rPr>
      </w:pPr>
      <w:r w:rsidRPr="00F83412">
        <w:rPr>
          <w:rFonts w:ascii="Arial" w:hAnsi="Arial" w:cs="Arial"/>
          <w:i/>
          <w:iCs/>
          <w:sz w:val="22"/>
          <w:szCs w:val="22"/>
        </w:rPr>
        <w:t xml:space="preserve">For Government this work starts, but does not end, with our statutory responsibilities for heritage protection; the designation and consent systems for heritage assets, and the management of the planning process. In shaping places, Government at all levels must give priority to creating high quality environments for those who use them, developing and implementing policies which seek to retain local distinctiveness and give due weight to the obligation to protect, enhance and promote the historic environment. </w:t>
      </w:r>
    </w:p>
    <w:p w:rsidR="000006EB" w:rsidRPr="00F83412" w:rsidRDefault="000006EB" w:rsidP="00EB2B0F">
      <w:pPr>
        <w:pStyle w:val="Default"/>
        <w:jc w:val="both"/>
        <w:rPr>
          <w:color w:val="auto"/>
          <w:sz w:val="22"/>
          <w:szCs w:val="22"/>
        </w:rPr>
      </w:pPr>
    </w:p>
    <w:p w:rsidR="000006EB" w:rsidRPr="00F83412" w:rsidRDefault="000006EB" w:rsidP="00EB2B0F">
      <w:pPr>
        <w:pStyle w:val="Default"/>
        <w:jc w:val="both"/>
        <w:rPr>
          <w:color w:val="auto"/>
          <w:sz w:val="22"/>
          <w:szCs w:val="22"/>
        </w:rPr>
      </w:pPr>
      <w:r w:rsidRPr="00F83412">
        <w:rPr>
          <w:color w:val="auto"/>
          <w:sz w:val="22"/>
          <w:szCs w:val="22"/>
        </w:rPr>
        <w:t xml:space="preserve">The second of the six strategic aims set out in the Government Statement on the Historic Environment for England is to “ensure that all heritage assets are afforded an appropriate and effective level of protection, while allowing, where appropriate, for well managed and intelligent change”.  </w:t>
      </w:r>
    </w:p>
    <w:p w:rsidR="000006EB" w:rsidRPr="00F83412" w:rsidRDefault="000006EB" w:rsidP="00EB2B0F">
      <w:pPr>
        <w:pStyle w:val="Default"/>
        <w:jc w:val="both"/>
        <w:rPr>
          <w:color w:val="auto"/>
          <w:sz w:val="22"/>
          <w:szCs w:val="22"/>
        </w:rPr>
      </w:pPr>
    </w:p>
    <w:p w:rsidR="000006EB" w:rsidRDefault="000006EB" w:rsidP="00EB2B0F">
      <w:pPr>
        <w:pStyle w:val="EBBodyPara"/>
        <w:spacing w:after="0"/>
        <w:jc w:val="both"/>
        <w:rPr>
          <w:b/>
          <w:bCs/>
          <w:color w:val="auto"/>
          <w:sz w:val="24"/>
          <w:szCs w:val="24"/>
        </w:rPr>
      </w:pPr>
    </w:p>
    <w:p w:rsidR="000006EB" w:rsidRPr="00F83412" w:rsidRDefault="000006EB" w:rsidP="00EB2B0F">
      <w:pPr>
        <w:pStyle w:val="EBBodyPara"/>
        <w:spacing w:after="0"/>
        <w:jc w:val="both"/>
        <w:rPr>
          <w:b/>
          <w:bCs/>
          <w:color w:val="auto"/>
          <w:sz w:val="24"/>
          <w:szCs w:val="24"/>
        </w:rPr>
      </w:pPr>
      <w:r w:rsidRPr="00F83412">
        <w:rPr>
          <w:b/>
          <w:bCs/>
          <w:color w:val="auto"/>
          <w:sz w:val="24"/>
          <w:szCs w:val="24"/>
        </w:rPr>
        <w:t>Micro Businesses Exemption</w:t>
      </w:r>
    </w:p>
    <w:p w:rsidR="000006EB" w:rsidRPr="00F83412" w:rsidRDefault="000006EB" w:rsidP="00EB2B0F">
      <w:pPr>
        <w:pStyle w:val="EBBodyPara"/>
        <w:spacing w:after="0"/>
        <w:jc w:val="both"/>
        <w:rPr>
          <w:b/>
          <w:bCs/>
          <w:color w:val="auto"/>
          <w:sz w:val="24"/>
          <w:szCs w:val="24"/>
        </w:rPr>
      </w:pPr>
    </w:p>
    <w:p w:rsidR="000006EB" w:rsidRPr="00F83412" w:rsidRDefault="000006EB" w:rsidP="00EB2B0F">
      <w:pPr>
        <w:pStyle w:val="EBBodyPara"/>
        <w:spacing w:after="0"/>
        <w:jc w:val="both"/>
        <w:rPr>
          <w:color w:val="auto"/>
        </w:rPr>
      </w:pPr>
      <w:r w:rsidRPr="00F83412">
        <w:rPr>
          <w:color w:val="auto"/>
        </w:rPr>
        <w:t xml:space="preserve">It is proposed that micro businesses should </w:t>
      </w:r>
      <w:r w:rsidRPr="00F83412">
        <w:rPr>
          <w:color w:val="auto"/>
          <w:u w:val="single"/>
        </w:rPr>
        <w:t>not</w:t>
      </w:r>
      <w:r w:rsidRPr="00F83412">
        <w:rPr>
          <w:color w:val="auto"/>
        </w:rPr>
        <w:t xml:space="preserve"> be exempt from the proposed reforms.</w:t>
      </w:r>
    </w:p>
    <w:p w:rsidR="000006EB" w:rsidRPr="00F83412" w:rsidRDefault="000006EB" w:rsidP="00EB2B0F">
      <w:pPr>
        <w:pStyle w:val="EBBodyPara"/>
        <w:spacing w:after="0"/>
        <w:jc w:val="both"/>
        <w:rPr>
          <w:color w:val="auto"/>
        </w:rPr>
      </w:pPr>
    </w:p>
    <w:p w:rsidR="000006EB" w:rsidRPr="00F83412" w:rsidRDefault="000006EB" w:rsidP="00D56A9C">
      <w:pPr>
        <w:pStyle w:val="EBBodyPara"/>
        <w:spacing w:after="0"/>
        <w:jc w:val="both"/>
        <w:rPr>
          <w:color w:val="auto"/>
        </w:rPr>
      </w:pPr>
      <w:r w:rsidRPr="00F83412">
        <w:rPr>
          <w:color w:val="auto"/>
        </w:rPr>
        <w:t>These reforms are deregulatory in nature.</w:t>
      </w:r>
      <w:r w:rsidR="002E1B6D">
        <w:rPr>
          <w:color w:val="auto"/>
        </w:rPr>
        <w:t xml:space="preserve"> Any </w:t>
      </w:r>
      <w:r w:rsidR="003975BC">
        <w:rPr>
          <w:color w:val="auto"/>
        </w:rPr>
        <w:t>measures</w:t>
      </w:r>
      <w:r w:rsidR="002E1B6D">
        <w:rPr>
          <w:color w:val="auto"/>
        </w:rPr>
        <w:t xml:space="preserve"> that do impose a cost on business are optional</w:t>
      </w:r>
      <w:r w:rsidR="003975BC">
        <w:rPr>
          <w:color w:val="auto"/>
        </w:rPr>
        <w:t>, and any change to minimum compensation in regard C</w:t>
      </w:r>
      <w:r w:rsidR="002E1B6D">
        <w:rPr>
          <w:color w:val="auto"/>
        </w:rPr>
        <w:t xml:space="preserve">POs </w:t>
      </w:r>
      <w:r w:rsidR="003975BC">
        <w:rPr>
          <w:color w:val="auto"/>
        </w:rPr>
        <w:t>will be at the discretion discretionary of</w:t>
      </w:r>
      <w:r w:rsidR="002E1B6D">
        <w:rPr>
          <w:color w:val="auto"/>
        </w:rPr>
        <w:t xml:space="preserve"> local authorities.</w:t>
      </w:r>
    </w:p>
    <w:p w:rsidR="000006EB" w:rsidRPr="00F83412" w:rsidRDefault="000006EB" w:rsidP="00D56A9C">
      <w:pPr>
        <w:pStyle w:val="EBBodyPara"/>
        <w:spacing w:after="0"/>
        <w:jc w:val="both"/>
        <w:rPr>
          <w:color w:val="auto"/>
        </w:rPr>
      </w:pPr>
    </w:p>
    <w:p w:rsidR="000006EB" w:rsidRPr="00F83412" w:rsidRDefault="000006EB" w:rsidP="00D56A9C">
      <w:pPr>
        <w:pStyle w:val="EBBodyPara"/>
        <w:spacing w:after="0"/>
        <w:jc w:val="both"/>
        <w:rPr>
          <w:color w:val="auto"/>
        </w:rPr>
      </w:pPr>
    </w:p>
    <w:p w:rsidR="000006EB" w:rsidRDefault="000006EB" w:rsidP="00D56A9C">
      <w:pPr>
        <w:pStyle w:val="EBBodyPara"/>
        <w:spacing w:after="0"/>
        <w:jc w:val="both"/>
        <w:rPr>
          <w:b/>
          <w:bCs/>
          <w:color w:val="auto"/>
          <w:sz w:val="32"/>
          <w:szCs w:val="32"/>
        </w:rPr>
      </w:pPr>
    </w:p>
    <w:p w:rsidR="000006EB" w:rsidRDefault="000006EB" w:rsidP="00D56A9C">
      <w:pPr>
        <w:pStyle w:val="EBBodyPara"/>
        <w:spacing w:after="0"/>
        <w:jc w:val="both"/>
        <w:rPr>
          <w:b/>
          <w:bCs/>
          <w:color w:val="auto"/>
          <w:sz w:val="32"/>
          <w:szCs w:val="32"/>
        </w:rPr>
      </w:pPr>
    </w:p>
    <w:p w:rsidR="000006EB" w:rsidRDefault="000006EB" w:rsidP="00D56A9C">
      <w:pPr>
        <w:pStyle w:val="EBBodyPara"/>
        <w:spacing w:after="0"/>
        <w:jc w:val="both"/>
        <w:rPr>
          <w:b/>
          <w:bCs/>
          <w:color w:val="auto"/>
          <w:sz w:val="32"/>
          <w:szCs w:val="32"/>
        </w:rPr>
      </w:pPr>
    </w:p>
    <w:p w:rsidR="000006EB" w:rsidRDefault="000006EB" w:rsidP="00D56A9C">
      <w:pPr>
        <w:pStyle w:val="EBBodyPara"/>
        <w:spacing w:after="0"/>
        <w:jc w:val="both"/>
        <w:rPr>
          <w:b/>
          <w:bCs/>
          <w:color w:val="auto"/>
          <w:sz w:val="32"/>
          <w:szCs w:val="32"/>
        </w:rPr>
      </w:pPr>
    </w:p>
    <w:p w:rsidR="000006EB" w:rsidRPr="00F83412" w:rsidRDefault="0012193A" w:rsidP="00D56A9C">
      <w:pPr>
        <w:pStyle w:val="EBBodyPara"/>
        <w:spacing w:after="0"/>
        <w:jc w:val="both"/>
        <w:rPr>
          <w:b/>
          <w:bCs/>
          <w:color w:val="auto"/>
          <w:sz w:val="32"/>
          <w:szCs w:val="32"/>
        </w:rPr>
      </w:pPr>
      <w:r>
        <w:rPr>
          <w:b/>
          <w:bCs/>
          <w:color w:val="auto"/>
          <w:sz w:val="32"/>
          <w:szCs w:val="32"/>
        </w:rPr>
        <w:t>Measures</w:t>
      </w:r>
    </w:p>
    <w:p w:rsidR="000006EB" w:rsidRPr="00F83412" w:rsidRDefault="000006EB" w:rsidP="00D56A9C">
      <w:pPr>
        <w:pStyle w:val="EBBodyPara"/>
        <w:spacing w:after="0"/>
        <w:jc w:val="both"/>
        <w:rPr>
          <w:color w:val="auto"/>
        </w:rPr>
      </w:pPr>
    </w:p>
    <w:p w:rsidR="000006EB" w:rsidRPr="00F83412" w:rsidRDefault="000006EB" w:rsidP="00D56A9C">
      <w:pPr>
        <w:pStyle w:val="EBBodyPara"/>
        <w:spacing w:after="0"/>
        <w:jc w:val="both"/>
        <w:rPr>
          <w:color w:val="auto"/>
        </w:rPr>
      </w:pPr>
      <w:r w:rsidRPr="00F83412">
        <w:rPr>
          <w:color w:val="auto"/>
        </w:rPr>
        <w:t xml:space="preserve">The </w:t>
      </w:r>
      <w:r w:rsidR="0089782B">
        <w:rPr>
          <w:color w:val="auto"/>
        </w:rPr>
        <w:t xml:space="preserve">measure </w:t>
      </w:r>
      <w:r w:rsidR="0089782B" w:rsidRPr="00F83412">
        <w:rPr>
          <w:color w:val="auto"/>
        </w:rPr>
        <w:t>set</w:t>
      </w:r>
      <w:r w:rsidR="0089782B">
        <w:rPr>
          <w:color w:val="auto"/>
        </w:rPr>
        <w:t xml:space="preserve"> out</w:t>
      </w:r>
      <w:r w:rsidR="002E1B6D">
        <w:rPr>
          <w:color w:val="auto"/>
        </w:rPr>
        <w:t xml:space="preserve"> below </w:t>
      </w:r>
      <w:r w:rsidRPr="00F83412">
        <w:rPr>
          <w:color w:val="auto"/>
        </w:rPr>
        <w:t xml:space="preserve">will help to deliver Government’s strategic aim for heritage protection by improving operation of the consent regime set out in the 1990 Act, by: </w:t>
      </w:r>
    </w:p>
    <w:p w:rsidR="000006EB" w:rsidRPr="00F83412" w:rsidRDefault="000006EB" w:rsidP="00D56A9C">
      <w:pPr>
        <w:pStyle w:val="EBBodyPara"/>
        <w:spacing w:after="0"/>
        <w:jc w:val="both"/>
        <w:rPr>
          <w:color w:val="auto"/>
        </w:rPr>
      </w:pPr>
    </w:p>
    <w:p w:rsidR="000006EB" w:rsidRPr="00F83412" w:rsidRDefault="000006EB" w:rsidP="00D56A9C">
      <w:pPr>
        <w:pStyle w:val="IATableLines"/>
        <w:numPr>
          <w:ilvl w:val="0"/>
          <w:numId w:val="35"/>
        </w:numPr>
        <w:jc w:val="both"/>
        <w:rPr>
          <w:noProof/>
        </w:rPr>
      </w:pPr>
      <w:r w:rsidRPr="00F83412">
        <w:rPr>
          <w:noProof/>
        </w:rPr>
        <w:t>Reducing the numbers of full applications for Listed Building Consent, where the works applied for have little or limited impact on special interest;</w:t>
      </w:r>
    </w:p>
    <w:p w:rsidR="000006EB" w:rsidRPr="00F83412" w:rsidRDefault="000006EB" w:rsidP="00D56A9C">
      <w:pPr>
        <w:pStyle w:val="IATableLines"/>
        <w:ind w:left="0"/>
        <w:jc w:val="both"/>
        <w:rPr>
          <w:rFonts w:cs="Times New Roman"/>
          <w:noProof/>
        </w:rPr>
      </w:pPr>
    </w:p>
    <w:p w:rsidR="000006EB" w:rsidRPr="00F83412" w:rsidRDefault="000006EB" w:rsidP="00D56A9C">
      <w:pPr>
        <w:pStyle w:val="IATableLines"/>
        <w:numPr>
          <w:ilvl w:val="0"/>
          <w:numId w:val="35"/>
        </w:numPr>
        <w:jc w:val="both"/>
        <w:rPr>
          <w:noProof/>
        </w:rPr>
      </w:pPr>
      <w:r w:rsidRPr="00F83412">
        <w:rPr>
          <w:noProof/>
        </w:rPr>
        <w:t>Reducing the number of unnecessary applications for Listed Building Consent, where there is no impact on special interest;</w:t>
      </w:r>
    </w:p>
    <w:p w:rsidR="000006EB" w:rsidRPr="00F83412" w:rsidRDefault="000006EB" w:rsidP="00D56A9C">
      <w:pPr>
        <w:pStyle w:val="IATableLines"/>
        <w:ind w:left="0"/>
        <w:jc w:val="both"/>
        <w:rPr>
          <w:rFonts w:cs="Times New Roman"/>
          <w:noProof/>
        </w:rPr>
      </w:pPr>
    </w:p>
    <w:p w:rsidR="000006EB" w:rsidRPr="00F83412" w:rsidRDefault="000006EB" w:rsidP="00D56A9C">
      <w:pPr>
        <w:pStyle w:val="IATableLines"/>
        <w:numPr>
          <w:ilvl w:val="0"/>
          <w:numId w:val="35"/>
        </w:numPr>
        <w:jc w:val="both"/>
        <w:rPr>
          <w:noProof/>
        </w:rPr>
      </w:pPr>
      <w:r w:rsidRPr="00F83412">
        <w:rPr>
          <w:noProof/>
        </w:rPr>
        <w:t>Introducing flexible approaches to determining Listed Building Consent to reduce burdens on local planning authorities and owners or developers of listed buildings.</w:t>
      </w:r>
    </w:p>
    <w:p w:rsidR="000006EB" w:rsidRPr="00F83412" w:rsidRDefault="000006EB" w:rsidP="00D56A9C">
      <w:pPr>
        <w:pStyle w:val="EBBodyPara"/>
        <w:spacing w:after="0"/>
        <w:jc w:val="both"/>
        <w:rPr>
          <w:color w:val="auto"/>
        </w:rPr>
      </w:pPr>
    </w:p>
    <w:p w:rsidR="000006EB" w:rsidRDefault="00457365" w:rsidP="00D56A9C">
      <w:pPr>
        <w:pStyle w:val="EBBodyPara"/>
        <w:spacing w:after="0"/>
        <w:jc w:val="both"/>
        <w:rPr>
          <w:color w:val="auto"/>
        </w:rPr>
      </w:pPr>
      <w:r>
        <w:rPr>
          <w:color w:val="auto"/>
        </w:rPr>
        <w:t>Legislation would be required to achieve these changes.</w:t>
      </w:r>
    </w:p>
    <w:p w:rsidR="00457365" w:rsidRPr="00F83412" w:rsidRDefault="00457365" w:rsidP="00D56A9C">
      <w:pPr>
        <w:pStyle w:val="EBBodyPara"/>
        <w:spacing w:after="0"/>
        <w:jc w:val="both"/>
        <w:rPr>
          <w:color w:val="auto"/>
        </w:rPr>
      </w:pPr>
    </w:p>
    <w:p w:rsidR="000006EB" w:rsidRPr="00F83412" w:rsidRDefault="002E1B6D" w:rsidP="00D56A9C">
      <w:pPr>
        <w:pStyle w:val="IATableLines"/>
        <w:ind w:left="0"/>
        <w:jc w:val="both"/>
        <w:rPr>
          <w:noProof/>
        </w:rPr>
      </w:pPr>
      <w:r>
        <w:rPr>
          <w:noProof/>
        </w:rPr>
        <w:t>Measures</w:t>
      </w:r>
      <w:r w:rsidRPr="00F83412">
        <w:rPr>
          <w:noProof/>
        </w:rPr>
        <w:t xml:space="preserve"> </w:t>
      </w:r>
      <w:r w:rsidR="000B7D7C">
        <w:rPr>
          <w:noProof/>
        </w:rPr>
        <w:t xml:space="preserve"> </w:t>
      </w:r>
      <w:r w:rsidR="002E7EE6">
        <w:rPr>
          <w:noProof/>
        </w:rPr>
        <w:t xml:space="preserve">1 </w:t>
      </w:r>
      <w:r w:rsidR="002E7EE6" w:rsidRPr="00F83412">
        <w:rPr>
          <w:noProof/>
        </w:rPr>
        <w:t xml:space="preserve"> </w:t>
      </w:r>
      <w:r w:rsidR="000006EB" w:rsidRPr="00F83412">
        <w:rPr>
          <w:noProof/>
        </w:rPr>
        <w:t>look</w:t>
      </w:r>
      <w:r w:rsidR="00D374F1">
        <w:rPr>
          <w:noProof/>
        </w:rPr>
        <w:t>s</w:t>
      </w:r>
      <w:r w:rsidR="000006EB" w:rsidRPr="00F83412">
        <w:rPr>
          <w:noProof/>
        </w:rPr>
        <w:t xml:space="preserve">  to reduc</w:t>
      </w:r>
      <w:r w:rsidR="00D374F1">
        <w:rPr>
          <w:noProof/>
        </w:rPr>
        <w:t>e</w:t>
      </w:r>
      <w:r w:rsidR="000006EB" w:rsidRPr="00F83412">
        <w:rPr>
          <w:noProof/>
        </w:rPr>
        <w:t xml:space="preserve"> the number of full applications for Listed Building Consent through, a system of local and national class consents whereby the local authority unilaterally determines that certain works to listed buildings will not longer require consent.  </w:t>
      </w:r>
    </w:p>
    <w:p w:rsidR="000006EB" w:rsidRPr="00F83412" w:rsidRDefault="000006EB" w:rsidP="00D56A9C">
      <w:pPr>
        <w:pStyle w:val="IATableLines"/>
        <w:ind w:left="0"/>
        <w:jc w:val="both"/>
        <w:rPr>
          <w:rFonts w:cs="Times New Roman"/>
          <w:noProof/>
        </w:rPr>
      </w:pPr>
    </w:p>
    <w:p w:rsidR="000006EB" w:rsidRPr="00F83412" w:rsidRDefault="00D374F1" w:rsidP="00D56A9C">
      <w:pPr>
        <w:pStyle w:val="IATableLines"/>
        <w:ind w:left="0"/>
        <w:jc w:val="both"/>
        <w:rPr>
          <w:noProof/>
        </w:rPr>
      </w:pPr>
      <w:r>
        <w:rPr>
          <w:noProof/>
        </w:rPr>
        <w:t>Measure</w:t>
      </w:r>
      <w:r w:rsidR="000006EB" w:rsidRPr="00F83412">
        <w:rPr>
          <w:noProof/>
        </w:rPr>
        <w:t xml:space="preserve"> </w:t>
      </w:r>
      <w:r>
        <w:rPr>
          <w:noProof/>
        </w:rPr>
        <w:t>2</w:t>
      </w:r>
      <w:r w:rsidR="000006EB" w:rsidRPr="00F83412">
        <w:rPr>
          <w:noProof/>
        </w:rPr>
        <w:t xml:space="preserve"> introduces proposals to create a certificate of lawful works for listed buildings, intended to give prospective applicants a formal view on whether or not an application for listed building consent will be required, intended to remedy the current situation whereby the lack of such a formal mechanisms means that applications for LBC may be submitted even where the works have no impact on special interest.</w:t>
      </w:r>
    </w:p>
    <w:p w:rsidR="000006EB" w:rsidRPr="00F83412" w:rsidRDefault="000006EB" w:rsidP="00D56A9C">
      <w:pPr>
        <w:pStyle w:val="IATableLines"/>
        <w:ind w:left="0"/>
        <w:jc w:val="both"/>
        <w:rPr>
          <w:rFonts w:cs="Times New Roman"/>
          <w:noProof/>
        </w:rPr>
      </w:pPr>
    </w:p>
    <w:p w:rsidR="00D374F1" w:rsidRPr="00F83412" w:rsidRDefault="00D374F1" w:rsidP="00D56A9C">
      <w:pPr>
        <w:pStyle w:val="IATableLines"/>
        <w:ind w:left="0"/>
        <w:jc w:val="both"/>
        <w:rPr>
          <w:noProof/>
        </w:rPr>
      </w:pPr>
      <w:r>
        <w:rPr>
          <w:noProof/>
        </w:rPr>
        <w:t>Measure</w:t>
      </w:r>
      <w:r w:rsidRPr="00F83412">
        <w:rPr>
          <w:noProof/>
        </w:rPr>
        <w:t xml:space="preserve"> </w:t>
      </w:r>
      <w:r>
        <w:rPr>
          <w:noProof/>
        </w:rPr>
        <w:t>3</w:t>
      </w:r>
      <w:r w:rsidR="000006EB" w:rsidRPr="00F83412">
        <w:rPr>
          <w:noProof/>
        </w:rPr>
        <w:t xml:space="preserve"> look</w:t>
      </w:r>
      <w:r w:rsidR="00072196">
        <w:rPr>
          <w:noProof/>
        </w:rPr>
        <w:t>s</w:t>
      </w:r>
      <w:r w:rsidR="000006EB" w:rsidRPr="00F83412">
        <w:rPr>
          <w:noProof/>
        </w:rPr>
        <w:t xml:space="preserve"> at </w:t>
      </w:r>
      <w:r w:rsidR="00072196">
        <w:rPr>
          <w:noProof/>
        </w:rPr>
        <w:t xml:space="preserve">a </w:t>
      </w:r>
      <w:r w:rsidR="000006EB" w:rsidRPr="00F83412">
        <w:rPr>
          <w:noProof/>
        </w:rPr>
        <w:t xml:space="preserve">proposal </w:t>
      </w:r>
      <w:r w:rsidR="00072196">
        <w:rPr>
          <w:noProof/>
        </w:rPr>
        <w:t xml:space="preserve">to </w:t>
      </w:r>
      <w:r w:rsidR="000006EB" w:rsidRPr="00F83412">
        <w:rPr>
          <w:noProof/>
        </w:rPr>
        <w:t xml:space="preserve">expand the range of expertise that may be fed into the determination of LBC and opening up determination to accredited independent agents.  </w:t>
      </w:r>
      <w:r w:rsidR="00072196">
        <w:rPr>
          <w:noProof/>
        </w:rPr>
        <w:t xml:space="preserve">It </w:t>
      </w:r>
      <w:r w:rsidR="000006EB" w:rsidRPr="00F83412">
        <w:rPr>
          <w:noProof/>
        </w:rPr>
        <w:t>ascribes such agents a role as independent witnesses making a recommendation to the local planning authority,</w:t>
      </w:r>
      <w:r w:rsidR="00072196">
        <w:rPr>
          <w:noProof/>
        </w:rPr>
        <w:t xml:space="preserve"> which they would then normally be expected to take into account.  </w:t>
      </w:r>
      <w:r w:rsidR="000006EB" w:rsidRPr="00F83412">
        <w:rPr>
          <w:noProof/>
        </w:rPr>
        <w:t xml:space="preserve"> </w:t>
      </w:r>
      <w:r w:rsidR="00571AC6">
        <w:rPr>
          <w:noProof/>
        </w:rPr>
        <w:t>It would be optional for applicants to use accredited agents.</w:t>
      </w:r>
    </w:p>
    <w:p w:rsidR="000006EB" w:rsidRPr="00F83412" w:rsidRDefault="000006EB" w:rsidP="00D56A9C">
      <w:pPr>
        <w:pStyle w:val="IATableLines"/>
        <w:ind w:left="0"/>
        <w:jc w:val="both"/>
        <w:rPr>
          <w:rFonts w:cs="Times New Roman"/>
          <w:noProof/>
        </w:rPr>
      </w:pPr>
    </w:p>
    <w:p w:rsidR="00D374F1" w:rsidRDefault="00D374F1" w:rsidP="001F3DD5">
      <w:pPr>
        <w:pStyle w:val="IATableLines"/>
        <w:ind w:left="0"/>
        <w:jc w:val="both"/>
      </w:pPr>
    </w:p>
    <w:p w:rsidR="00574FA9" w:rsidRDefault="00574FA9" w:rsidP="001F3DD5">
      <w:pPr>
        <w:pStyle w:val="IATableLines"/>
        <w:ind w:left="0"/>
        <w:jc w:val="both"/>
      </w:pPr>
    </w:p>
    <w:p w:rsidR="000006EB" w:rsidRDefault="000006EB" w:rsidP="001F3DD5">
      <w:pPr>
        <w:pStyle w:val="IATableLines"/>
        <w:ind w:left="0"/>
        <w:jc w:val="both"/>
        <w:rPr>
          <w:b/>
          <w:bCs/>
          <w:sz w:val="32"/>
          <w:szCs w:val="32"/>
        </w:rPr>
      </w:pPr>
      <w:r w:rsidRPr="00F83412">
        <w:rPr>
          <w:b/>
          <w:bCs/>
          <w:sz w:val="32"/>
          <w:szCs w:val="32"/>
        </w:rPr>
        <w:t>“Do nothing” scenari</w:t>
      </w:r>
      <w:r>
        <w:rPr>
          <w:b/>
          <w:bCs/>
          <w:sz w:val="32"/>
          <w:szCs w:val="32"/>
        </w:rPr>
        <w:t>o</w:t>
      </w:r>
    </w:p>
    <w:p w:rsidR="000006EB" w:rsidRDefault="000006EB" w:rsidP="001F3DD5">
      <w:pPr>
        <w:pStyle w:val="IATableLines"/>
        <w:ind w:left="0"/>
        <w:jc w:val="both"/>
        <w:rPr>
          <w:b/>
          <w:bCs/>
          <w:sz w:val="32"/>
          <w:szCs w:val="32"/>
        </w:rPr>
      </w:pPr>
    </w:p>
    <w:p w:rsidR="000006EB" w:rsidRDefault="000006EB" w:rsidP="00BC50A5">
      <w:pPr>
        <w:pStyle w:val="IATableLines"/>
        <w:ind w:left="0"/>
        <w:jc w:val="both"/>
      </w:pPr>
      <w:r w:rsidRPr="00F83412">
        <w:t xml:space="preserve">There would be no additional costs or benefits from not implementing the proposals outlined </w:t>
      </w:r>
      <w:r w:rsidR="003975BC">
        <w:t>above</w:t>
      </w:r>
      <w:r w:rsidRPr="00F83412">
        <w:t>.  However potential efficiency savings for the owners and managers of heritage assets, for local planning authorities and for business (particularly developers) would not be realised -  nor would the wider public benefits of a better targeted heritage protection system.  Government would also be seen to be failing to implement measures that it has already announced.</w:t>
      </w:r>
    </w:p>
    <w:p w:rsidR="00457365" w:rsidRDefault="00457365" w:rsidP="00BC50A5">
      <w:pPr>
        <w:pStyle w:val="IATableLines"/>
        <w:ind w:left="0"/>
        <w:jc w:val="both"/>
      </w:pPr>
    </w:p>
    <w:p w:rsidR="00457365" w:rsidRDefault="00457365" w:rsidP="00BC50A5">
      <w:pPr>
        <w:pStyle w:val="IATableLines"/>
        <w:ind w:left="0"/>
        <w:jc w:val="both"/>
        <w:rPr>
          <w:rFonts w:cs="Times New Roman"/>
        </w:rPr>
      </w:pPr>
      <w:r>
        <w:t xml:space="preserve">Existing arrangements for non-statutory </w:t>
      </w:r>
      <w:r w:rsidR="0064694F">
        <w:t>Heritage Partnership Agreements have proven to be successful on a small scale to date, while provisions for Statutory Management Agreements in the Enterprise and Regulatory Reform Bill presents an opportunity to expand this approach to reducing numbers of LBC applications for minor or repetitive works.</w:t>
      </w:r>
    </w:p>
    <w:p w:rsidR="000006EB" w:rsidRDefault="000006EB" w:rsidP="00BC50A5">
      <w:pPr>
        <w:pStyle w:val="IATableLines"/>
        <w:ind w:left="0"/>
        <w:jc w:val="both"/>
        <w:rPr>
          <w:rFonts w:cs="Times New Roman"/>
          <w:b/>
          <w:bCs/>
          <w:sz w:val="32"/>
          <w:szCs w:val="32"/>
        </w:rPr>
      </w:pPr>
    </w:p>
    <w:p w:rsidR="00D53613" w:rsidRPr="00F83412" w:rsidRDefault="00D53613" w:rsidP="00BC50A5">
      <w:pPr>
        <w:pStyle w:val="IATableLines"/>
        <w:ind w:left="0"/>
        <w:jc w:val="both"/>
        <w:rPr>
          <w:rFonts w:cs="Times New Roman"/>
          <w:b/>
          <w:bCs/>
          <w:sz w:val="32"/>
          <w:szCs w:val="32"/>
        </w:rPr>
      </w:pPr>
    </w:p>
    <w:p w:rsidR="000006EB" w:rsidRPr="00F83412" w:rsidRDefault="000006EB" w:rsidP="00ED24F2">
      <w:pPr>
        <w:jc w:val="both"/>
      </w:pPr>
    </w:p>
    <w:p w:rsidR="000006EB" w:rsidRPr="00F83412" w:rsidRDefault="00D374F1" w:rsidP="000B7D7C">
      <w:pPr>
        <w:pStyle w:val="EBBodyPara"/>
        <w:keepNext/>
        <w:spacing w:after="0"/>
        <w:jc w:val="both"/>
        <w:rPr>
          <w:b/>
          <w:bCs/>
          <w:sz w:val="32"/>
          <w:szCs w:val="32"/>
        </w:rPr>
      </w:pPr>
      <w:r>
        <w:rPr>
          <w:b/>
          <w:bCs/>
          <w:color w:val="auto"/>
          <w:sz w:val="32"/>
          <w:szCs w:val="32"/>
        </w:rPr>
        <w:t xml:space="preserve">1) </w:t>
      </w:r>
      <w:r w:rsidR="000B7D7C" w:rsidRPr="00F83412">
        <w:rPr>
          <w:b/>
          <w:bCs/>
          <w:color w:val="auto"/>
          <w:sz w:val="32"/>
          <w:szCs w:val="32"/>
        </w:rPr>
        <w:t xml:space="preserve">Reducing the number of full listed building consents for works with limited impact on special interest </w:t>
      </w:r>
      <w:r w:rsidR="000B7D7C">
        <w:rPr>
          <w:b/>
          <w:bCs/>
          <w:color w:val="auto"/>
          <w:sz w:val="32"/>
          <w:szCs w:val="32"/>
        </w:rPr>
        <w:t xml:space="preserve">through a </w:t>
      </w:r>
      <w:r w:rsidR="000B7D7C" w:rsidRPr="00F83412">
        <w:rPr>
          <w:b/>
          <w:bCs/>
          <w:color w:val="auto"/>
          <w:sz w:val="32"/>
          <w:szCs w:val="32"/>
        </w:rPr>
        <w:t xml:space="preserve">system of </w:t>
      </w:r>
      <w:r w:rsidR="000006EB" w:rsidRPr="00F83412">
        <w:rPr>
          <w:b/>
          <w:bCs/>
          <w:sz w:val="32"/>
          <w:szCs w:val="32"/>
        </w:rPr>
        <w:t>local and national class consents</w:t>
      </w:r>
    </w:p>
    <w:p w:rsidR="000006EB" w:rsidRPr="00F83412" w:rsidRDefault="000006EB" w:rsidP="00ED24F2">
      <w:pPr>
        <w:jc w:val="both"/>
        <w:rPr>
          <w:b/>
          <w:bCs/>
          <w:sz w:val="32"/>
          <w:szCs w:val="32"/>
        </w:rPr>
      </w:pPr>
    </w:p>
    <w:p w:rsidR="00D53613" w:rsidRDefault="00D53613" w:rsidP="00ED24F2">
      <w:pPr>
        <w:jc w:val="both"/>
        <w:rPr>
          <w:b/>
          <w:bCs/>
        </w:rPr>
      </w:pPr>
    </w:p>
    <w:p w:rsidR="000006EB" w:rsidRPr="00F83412" w:rsidRDefault="000006EB" w:rsidP="00ED24F2">
      <w:pPr>
        <w:jc w:val="both"/>
        <w:rPr>
          <w:b/>
          <w:bCs/>
        </w:rPr>
      </w:pPr>
      <w:r w:rsidRPr="00F83412">
        <w:rPr>
          <w:b/>
          <w:bCs/>
        </w:rPr>
        <w:t>Objective</w:t>
      </w:r>
    </w:p>
    <w:p w:rsidR="000006EB" w:rsidRPr="00F83412" w:rsidRDefault="000006EB" w:rsidP="00ED24F2">
      <w:pPr>
        <w:jc w:val="both"/>
        <w:rPr>
          <w:b/>
          <w:bCs/>
        </w:rPr>
      </w:pPr>
    </w:p>
    <w:p w:rsidR="000006EB" w:rsidRPr="00F83412" w:rsidRDefault="002769BA" w:rsidP="00812F43">
      <w:pPr>
        <w:jc w:val="both"/>
        <w:rPr>
          <w:sz w:val="22"/>
          <w:szCs w:val="22"/>
        </w:rPr>
      </w:pPr>
      <w:r>
        <w:rPr>
          <w:sz w:val="22"/>
          <w:szCs w:val="22"/>
        </w:rPr>
        <w:t>Legislation to introduce a</w:t>
      </w:r>
      <w:r w:rsidR="000006EB" w:rsidRPr="00F83412">
        <w:rPr>
          <w:sz w:val="22"/>
          <w:szCs w:val="22"/>
        </w:rPr>
        <w:t xml:space="preserve"> system of locally or nationally created class consents for defined works to defined groups of assets would be able to reduce the number of listed building consents for works with limited impact on special interest.  A more bespoke system would allow a light touch for a range of works which have minor or acceptable impact on the special interest of known categories of listed building, but could not, without risk to special interest, be applied nationally.  This approach has the potential to reduce regulation and lift burdens by removing altogether any requirement to consider, make or process an application. </w:t>
      </w:r>
    </w:p>
    <w:p w:rsidR="000006EB" w:rsidRPr="00F83412" w:rsidRDefault="000006EB" w:rsidP="00812F43">
      <w:pPr>
        <w:jc w:val="both"/>
        <w:rPr>
          <w:sz w:val="22"/>
          <w:szCs w:val="22"/>
        </w:rPr>
      </w:pPr>
    </w:p>
    <w:p w:rsidR="000006EB" w:rsidRPr="00F83412" w:rsidRDefault="000006EB" w:rsidP="00812F43">
      <w:pPr>
        <w:jc w:val="both"/>
        <w:rPr>
          <w:sz w:val="22"/>
          <w:szCs w:val="22"/>
        </w:rPr>
      </w:pPr>
      <w:r w:rsidRPr="00F83412">
        <w:rPr>
          <w:sz w:val="22"/>
          <w:szCs w:val="22"/>
        </w:rPr>
        <w:t xml:space="preserve">What is proposed is legislation to allow local planning authorities unilaterally to grant consent in advance for certain defined works to types or areas of heritage assets within their jurisdiction.  It is also proposed that the Secretary of State, advised by English Heritage, be enabled to grant a class consent for an area or group of assets that cross local authority boundaries for a defined class or classes of works.  </w:t>
      </w:r>
    </w:p>
    <w:p w:rsidR="000006EB" w:rsidRPr="00F83412" w:rsidRDefault="000006EB" w:rsidP="00594960">
      <w:pPr>
        <w:pStyle w:val="EBBodyPara"/>
        <w:keepNext/>
        <w:spacing w:after="0"/>
        <w:jc w:val="both"/>
        <w:rPr>
          <w:color w:val="auto"/>
        </w:rPr>
      </w:pPr>
    </w:p>
    <w:p w:rsidR="00D53613" w:rsidRDefault="00D53613" w:rsidP="00594960">
      <w:pPr>
        <w:pStyle w:val="EBBodyPara"/>
        <w:keepNext/>
        <w:spacing w:after="0"/>
        <w:jc w:val="both"/>
        <w:rPr>
          <w:b/>
          <w:bCs/>
          <w:color w:val="auto"/>
          <w:sz w:val="24"/>
          <w:szCs w:val="24"/>
        </w:rPr>
      </w:pPr>
    </w:p>
    <w:p w:rsidR="000006EB" w:rsidRPr="00F83412" w:rsidRDefault="000006EB" w:rsidP="00594960">
      <w:pPr>
        <w:pStyle w:val="EBBodyPara"/>
        <w:keepNext/>
        <w:spacing w:after="0"/>
        <w:jc w:val="both"/>
        <w:rPr>
          <w:b/>
          <w:bCs/>
          <w:color w:val="auto"/>
          <w:sz w:val="24"/>
          <w:szCs w:val="24"/>
        </w:rPr>
      </w:pPr>
      <w:r w:rsidRPr="00F83412">
        <w:rPr>
          <w:b/>
          <w:bCs/>
          <w:color w:val="auto"/>
          <w:sz w:val="24"/>
          <w:szCs w:val="24"/>
        </w:rPr>
        <w:t>Costs and Benefits</w:t>
      </w:r>
    </w:p>
    <w:p w:rsidR="000006EB" w:rsidRPr="00F83412" w:rsidRDefault="000006EB" w:rsidP="00594960">
      <w:pPr>
        <w:pStyle w:val="EBBodyPara"/>
        <w:keepNext/>
        <w:spacing w:after="0"/>
        <w:jc w:val="both"/>
        <w:rPr>
          <w:color w:val="auto"/>
          <w:u w:val="single"/>
        </w:rPr>
      </w:pPr>
    </w:p>
    <w:p w:rsidR="000006EB" w:rsidRPr="00F83412" w:rsidRDefault="000006EB" w:rsidP="00594960">
      <w:pPr>
        <w:pStyle w:val="EBBodyPara"/>
        <w:keepNext/>
        <w:spacing w:after="0"/>
        <w:jc w:val="both"/>
        <w:rPr>
          <w:color w:val="auto"/>
          <w:u w:val="single"/>
        </w:rPr>
      </w:pPr>
      <w:r w:rsidRPr="00F83412">
        <w:rPr>
          <w:color w:val="auto"/>
          <w:u w:val="single"/>
        </w:rPr>
        <w:t>Consent activity</w:t>
      </w:r>
    </w:p>
    <w:p w:rsidR="00DB344E" w:rsidRPr="00F83412" w:rsidRDefault="00DB344E" w:rsidP="00DB344E">
      <w:pPr>
        <w:pStyle w:val="ListParagraph"/>
        <w:spacing w:after="0" w:line="240" w:lineRule="auto"/>
        <w:ind w:left="0"/>
        <w:jc w:val="both"/>
        <w:rPr>
          <w:rFonts w:ascii="Arial" w:hAnsi="Arial" w:cs="Arial"/>
          <w:u w:val="single"/>
        </w:rPr>
      </w:pPr>
    </w:p>
    <w:p w:rsidR="004F04A9" w:rsidRDefault="004F04A9" w:rsidP="004F04A9">
      <w:pPr>
        <w:pStyle w:val="ListParagraph"/>
        <w:spacing w:after="0" w:line="240" w:lineRule="auto"/>
        <w:ind w:left="0"/>
        <w:jc w:val="both"/>
        <w:rPr>
          <w:rFonts w:ascii="Arial" w:hAnsi="Arial" w:cs="Arial"/>
        </w:rPr>
      </w:pPr>
      <w:r w:rsidRPr="00F83412">
        <w:rPr>
          <w:rFonts w:ascii="Arial" w:hAnsi="Arial" w:cs="Arial"/>
        </w:rPr>
        <w:t>There are currently around 30, 000 applications per year for Listed Building Consent.  Research commissioned by English Heritage and the HLF indicates that around 90% of LBC applications are for small schemes (costing less than £100, 000) or minor works (around 20% of total LBC applications)</w:t>
      </w:r>
      <w:r w:rsidRPr="00F83412">
        <w:rPr>
          <w:rStyle w:val="FootnoteReference"/>
          <w:rFonts w:ascii="Arial" w:hAnsi="Arial" w:cs="Arial"/>
        </w:rPr>
        <w:footnoteReference w:id="1"/>
      </w:r>
      <w:r w:rsidRPr="00F83412">
        <w:rPr>
          <w:rFonts w:ascii="Arial" w:hAnsi="Arial" w:cs="Arial"/>
        </w:rPr>
        <w:t xml:space="preserve">. The same study confirms statistics that a very high proportion of LBC applications – around 95% in the sample examined - are approved.  </w:t>
      </w:r>
    </w:p>
    <w:p w:rsidR="004F04A9" w:rsidRPr="00F83412" w:rsidRDefault="004F04A9" w:rsidP="004F04A9">
      <w:pPr>
        <w:pStyle w:val="ListParagraph"/>
        <w:spacing w:after="0" w:line="240" w:lineRule="auto"/>
        <w:ind w:left="0"/>
        <w:jc w:val="both"/>
        <w:rPr>
          <w:rFonts w:ascii="Arial" w:hAnsi="Arial" w:cs="Arial"/>
        </w:rPr>
      </w:pPr>
    </w:p>
    <w:tbl>
      <w:tblPr>
        <w:tblStyle w:val="TableGrid"/>
        <w:tblW w:w="0" w:type="auto"/>
        <w:tblLook w:val="01E0" w:firstRow="1" w:lastRow="1" w:firstColumn="1" w:lastColumn="1" w:noHBand="0" w:noVBand="0"/>
      </w:tblPr>
      <w:tblGrid>
        <w:gridCol w:w="2448"/>
        <w:gridCol w:w="1080"/>
        <w:gridCol w:w="720"/>
        <w:gridCol w:w="1260"/>
        <w:gridCol w:w="2520"/>
        <w:gridCol w:w="1068"/>
        <w:gridCol w:w="711"/>
      </w:tblGrid>
      <w:tr w:rsidR="00DB344E" w:rsidRPr="00F83412" w:rsidTr="00574FA9">
        <w:tc>
          <w:tcPr>
            <w:tcW w:w="2448" w:type="dxa"/>
            <w:tcBorders>
              <w:top w:val="nil"/>
              <w:bottom w:val="nil"/>
              <w:right w:val="nil"/>
            </w:tcBorders>
          </w:tcPr>
          <w:p w:rsidR="00DB344E" w:rsidRPr="00F83412" w:rsidRDefault="00DB344E" w:rsidP="00574FA9">
            <w:pPr>
              <w:pStyle w:val="ListParagraph"/>
              <w:spacing w:after="0" w:line="240" w:lineRule="auto"/>
              <w:ind w:left="0"/>
              <w:jc w:val="both"/>
              <w:rPr>
                <w:b/>
                <w:bCs/>
              </w:rPr>
            </w:pPr>
            <w:r w:rsidRPr="00F83412">
              <w:rPr>
                <w:b/>
                <w:bCs/>
              </w:rPr>
              <w:t xml:space="preserve">Subject </w:t>
            </w:r>
          </w:p>
        </w:tc>
        <w:tc>
          <w:tcPr>
            <w:tcW w:w="1080" w:type="dxa"/>
            <w:tcBorders>
              <w:top w:val="nil"/>
              <w:left w:val="nil"/>
              <w:bottom w:val="nil"/>
              <w:right w:val="nil"/>
            </w:tcBorders>
          </w:tcPr>
          <w:p w:rsidR="00DB344E" w:rsidRPr="00F83412" w:rsidRDefault="00DB344E" w:rsidP="00574FA9">
            <w:pPr>
              <w:pStyle w:val="ListParagraph"/>
              <w:spacing w:after="0" w:line="240" w:lineRule="auto"/>
              <w:ind w:left="0"/>
              <w:jc w:val="right"/>
              <w:rPr>
                <w:b/>
                <w:bCs/>
              </w:rPr>
            </w:pPr>
            <w:r w:rsidRPr="00F83412">
              <w:rPr>
                <w:b/>
                <w:bCs/>
              </w:rPr>
              <w:t>Number</w:t>
            </w:r>
          </w:p>
        </w:tc>
        <w:tc>
          <w:tcPr>
            <w:tcW w:w="720" w:type="dxa"/>
            <w:tcBorders>
              <w:top w:val="nil"/>
              <w:left w:val="nil"/>
              <w:bottom w:val="nil"/>
              <w:right w:val="nil"/>
            </w:tcBorders>
          </w:tcPr>
          <w:p w:rsidR="00DB344E" w:rsidRPr="00F83412" w:rsidRDefault="00DB344E" w:rsidP="00574FA9">
            <w:pPr>
              <w:pStyle w:val="ListParagraph"/>
              <w:spacing w:after="0" w:line="240" w:lineRule="auto"/>
              <w:ind w:left="0"/>
              <w:jc w:val="right"/>
              <w:rPr>
                <w:b/>
                <w:bCs/>
              </w:rPr>
            </w:pPr>
            <w:r w:rsidRPr="00F83412">
              <w:rPr>
                <w:b/>
                <w:bCs/>
              </w:rPr>
              <w:t>%</w:t>
            </w:r>
          </w:p>
        </w:tc>
        <w:tc>
          <w:tcPr>
            <w:tcW w:w="1260" w:type="dxa"/>
            <w:tcBorders>
              <w:top w:val="nil"/>
              <w:left w:val="nil"/>
              <w:bottom w:val="nil"/>
            </w:tcBorders>
          </w:tcPr>
          <w:p w:rsidR="00DB344E" w:rsidRPr="00F83412" w:rsidRDefault="00DB344E" w:rsidP="00574FA9">
            <w:pPr>
              <w:pStyle w:val="ListParagraph"/>
              <w:spacing w:after="0" w:line="240" w:lineRule="auto"/>
              <w:ind w:left="0"/>
              <w:jc w:val="both"/>
              <w:rPr>
                <w:b/>
                <w:bCs/>
              </w:rPr>
            </w:pPr>
          </w:p>
        </w:tc>
        <w:tc>
          <w:tcPr>
            <w:tcW w:w="2520" w:type="dxa"/>
            <w:tcBorders>
              <w:top w:val="nil"/>
              <w:bottom w:val="nil"/>
              <w:right w:val="nil"/>
            </w:tcBorders>
          </w:tcPr>
          <w:p w:rsidR="00DB344E" w:rsidRPr="00F83412" w:rsidRDefault="00DB344E" w:rsidP="00574FA9">
            <w:pPr>
              <w:pStyle w:val="ListParagraph"/>
              <w:spacing w:after="0" w:line="240" w:lineRule="auto"/>
              <w:ind w:left="0"/>
              <w:jc w:val="both"/>
              <w:rPr>
                <w:b/>
                <w:bCs/>
              </w:rPr>
            </w:pPr>
            <w:r w:rsidRPr="00F83412">
              <w:rPr>
                <w:b/>
                <w:bCs/>
              </w:rPr>
              <w:t>Subject</w:t>
            </w:r>
          </w:p>
        </w:tc>
        <w:tc>
          <w:tcPr>
            <w:tcW w:w="1068" w:type="dxa"/>
            <w:tcBorders>
              <w:top w:val="nil"/>
              <w:left w:val="nil"/>
              <w:bottom w:val="nil"/>
              <w:right w:val="nil"/>
            </w:tcBorders>
          </w:tcPr>
          <w:p w:rsidR="00DB344E" w:rsidRPr="00F83412" w:rsidRDefault="00DB344E" w:rsidP="00574FA9">
            <w:pPr>
              <w:pStyle w:val="ListParagraph"/>
              <w:spacing w:after="0" w:line="240" w:lineRule="auto"/>
              <w:ind w:left="0"/>
              <w:jc w:val="right"/>
              <w:rPr>
                <w:b/>
                <w:bCs/>
              </w:rPr>
            </w:pPr>
            <w:r w:rsidRPr="00F83412">
              <w:rPr>
                <w:b/>
                <w:bCs/>
              </w:rPr>
              <w:t>Number</w:t>
            </w:r>
          </w:p>
        </w:tc>
        <w:tc>
          <w:tcPr>
            <w:tcW w:w="711" w:type="dxa"/>
            <w:tcBorders>
              <w:top w:val="nil"/>
              <w:left w:val="nil"/>
              <w:bottom w:val="nil"/>
              <w:right w:val="nil"/>
            </w:tcBorders>
          </w:tcPr>
          <w:p w:rsidR="00DB344E" w:rsidRPr="00F83412" w:rsidRDefault="00DB344E" w:rsidP="00574FA9">
            <w:pPr>
              <w:pStyle w:val="ListParagraph"/>
              <w:spacing w:after="0" w:line="240" w:lineRule="auto"/>
              <w:ind w:left="0"/>
              <w:jc w:val="right"/>
              <w:rPr>
                <w:b/>
                <w:bCs/>
              </w:rPr>
            </w:pPr>
            <w:r w:rsidRPr="00F83412">
              <w:rPr>
                <w:b/>
                <w:bCs/>
              </w:rPr>
              <w:t>%</w:t>
            </w:r>
          </w:p>
        </w:tc>
      </w:tr>
      <w:tr w:rsidR="00DB344E" w:rsidRPr="00F83412" w:rsidTr="00574FA9">
        <w:tc>
          <w:tcPr>
            <w:tcW w:w="2448" w:type="dxa"/>
            <w:tcBorders>
              <w:top w:val="nil"/>
              <w:bottom w:val="nil"/>
              <w:right w:val="nil"/>
            </w:tcBorders>
          </w:tcPr>
          <w:p w:rsidR="00DB344E" w:rsidRPr="00F83412" w:rsidRDefault="00DB344E" w:rsidP="00574FA9">
            <w:pPr>
              <w:pStyle w:val="ListParagraph"/>
              <w:spacing w:after="0" w:line="240" w:lineRule="auto"/>
              <w:ind w:left="0"/>
              <w:jc w:val="both"/>
            </w:pPr>
            <w:r w:rsidRPr="00F83412">
              <w:t xml:space="preserve">Sign  </w:t>
            </w:r>
          </w:p>
          <w:p w:rsidR="00DB344E" w:rsidRPr="00F83412" w:rsidRDefault="00DB344E" w:rsidP="00574FA9">
            <w:pPr>
              <w:pStyle w:val="ListParagraph"/>
              <w:spacing w:after="0" w:line="240" w:lineRule="auto"/>
              <w:ind w:left="0"/>
              <w:jc w:val="both"/>
            </w:pPr>
            <w:r w:rsidRPr="00F83412">
              <w:t xml:space="preserve">Windows </w:t>
            </w:r>
          </w:p>
          <w:p w:rsidR="00DB344E" w:rsidRPr="00F83412" w:rsidRDefault="00DB344E" w:rsidP="00574FA9">
            <w:pPr>
              <w:pStyle w:val="ListParagraph"/>
              <w:spacing w:after="0" w:line="240" w:lineRule="auto"/>
              <w:ind w:left="0"/>
              <w:jc w:val="both"/>
            </w:pPr>
            <w:r w:rsidRPr="00F83412">
              <w:t xml:space="preserve">Roof Repairs/Windows </w:t>
            </w:r>
          </w:p>
          <w:p w:rsidR="00DB344E" w:rsidRPr="00F83412" w:rsidRDefault="00DB344E" w:rsidP="00574FA9">
            <w:pPr>
              <w:pStyle w:val="ListParagraph"/>
              <w:spacing w:after="0" w:line="240" w:lineRule="auto"/>
              <w:ind w:left="0"/>
              <w:jc w:val="both"/>
            </w:pPr>
            <w:r w:rsidRPr="00F83412">
              <w:t xml:space="preserve">Doors </w:t>
            </w:r>
          </w:p>
          <w:p w:rsidR="00DB344E" w:rsidRPr="00F83412" w:rsidRDefault="00DB344E" w:rsidP="00574FA9">
            <w:pPr>
              <w:pStyle w:val="ListParagraph"/>
              <w:spacing w:after="0" w:line="240" w:lineRule="auto"/>
              <w:ind w:left="0"/>
              <w:jc w:val="both"/>
            </w:pPr>
            <w:r w:rsidRPr="00F83412">
              <w:t xml:space="preserve">Wall  </w:t>
            </w:r>
          </w:p>
          <w:p w:rsidR="00DB344E" w:rsidRPr="00F83412" w:rsidRDefault="00DB344E" w:rsidP="00574FA9">
            <w:pPr>
              <w:pStyle w:val="ListParagraph"/>
              <w:spacing w:after="0" w:line="240" w:lineRule="auto"/>
              <w:ind w:left="0"/>
              <w:jc w:val="both"/>
            </w:pPr>
            <w:r w:rsidRPr="00F83412">
              <w:t xml:space="preserve">Lights </w:t>
            </w:r>
          </w:p>
          <w:p w:rsidR="00DB344E" w:rsidRPr="00F83412" w:rsidRDefault="00DB344E" w:rsidP="00574FA9">
            <w:pPr>
              <w:pStyle w:val="ListParagraph"/>
              <w:spacing w:after="0" w:line="240" w:lineRule="auto"/>
              <w:ind w:left="0"/>
              <w:jc w:val="both"/>
            </w:pPr>
            <w:r w:rsidRPr="00F83412">
              <w:t xml:space="preserve">Miscellenous </w:t>
            </w:r>
          </w:p>
          <w:p w:rsidR="00DB344E" w:rsidRPr="00F83412" w:rsidRDefault="00DB344E" w:rsidP="00574FA9">
            <w:pPr>
              <w:pStyle w:val="ListParagraph"/>
              <w:spacing w:after="0" w:line="240" w:lineRule="auto"/>
              <w:ind w:left="0"/>
              <w:jc w:val="both"/>
            </w:pPr>
            <w:r w:rsidRPr="00F83412">
              <w:t xml:space="preserve">Awning/Canopies </w:t>
            </w:r>
          </w:p>
          <w:p w:rsidR="00DB344E" w:rsidRPr="00F83412" w:rsidRDefault="00DB344E" w:rsidP="00574FA9">
            <w:pPr>
              <w:pStyle w:val="ListParagraph"/>
              <w:spacing w:after="0" w:line="240" w:lineRule="auto"/>
              <w:ind w:left="0"/>
              <w:jc w:val="both"/>
            </w:pPr>
            <w:r w:rsidRPr="00F83412">
              <w:t xml:space="preserve">Boundary Wall   </w:t>
            </w:r>
          </w:p>
          <w:p w:rsidR="00DB344E" w:rsidRPr="00F83412" w:rsidRDefault="00DB344E" w:rsidP="00574FA9">
            <w:pPr>
              <w:pStyle w:val="ListParagraph"/>
              <w:spacing w:after="0" w:line="240" w:lineRule="auto"/>
              <w:ind w:left="0"/>
              <w:jc w:val="both"/>
              <w:rPr>
                <w:rFonts w:ascii="Arial" w:hAnsi="Arial" w:cs="Arial"/>
              </w:rPr>
            </w:pPr>
            <w:r w:rsidRPr="00F83412">
              <w:t xml:space="preserve">Door/Window  </w:t>
            </w:r>
          </w:p>
          <w:p w:rsidR="00DB344E" w:rsidRPr="00F83412" w:rsidRDefault="00DB344E" w:rsidP="00574FA9">
            <w:pPr>
              <w:pStyle w:val="ListParagraph"/>
              <w:spacing w:after="0" w:line="240" w:lineRule="auto"/>
              <w:ind w:left="0"/>
              <w:jc w:val="both"/>
            </w:pPr>
            <w:r w:rsidRPr="00F83412">
              <w:t xml:space="preserve">Bathroom/Kitchen  </w:t>
            </w:r>
          </w:p>
        </w:tc>
        <w:tc>
          <w:tcPr>
            <w:tcW w:w="1080" w:type="dxa"/>
            <w:tcBorders>
              <w:top w:val="nil"/>
              <w:left w:val="nil"/>
              <w:bottom w:val="nil"/>
              <w:right w:val="nil"/>
            </w:tcBorders>
          </w:tcPr>
          <w:p w:rsidR="00DB344E" w:rsidRPr="00F83412" w:rsidRDefault="00DB344E" w:rsidP="00574FA9">
            <w:pPr>
              <w:pStyle w:val="ListParagraph"/>
              <w:spacing w:after="0" w:line="240" w:lineRule="auto"/>
              <w:ind w:left="0"/>
              <w:jc w:val="right"/>
            </w:pPr>
            <w:r w:rsidRPr="00F83412">
              <w:t>294</w:t>
            </w:r>
          </w:p>
          <w:p w:rsidR="00DB344E" w:rsidRPr="00F83412" w:rsidRDefault="00DB344E" w:rsidP="00574FA9">
            <w:pPr>
              <w:pStyle w:val="ListParagraph"/>
              <w:spacing w:after="0" w:line="240" w:lineRule="auto"/>
              <w:ind w:left="0"/>
              <w:jc w:val="right"/>
            </w:pPr>
            <w:r w:rsidRPr="00F83412">
              <w:t>105</w:t>
            </w:r>
          </w:p>
          <w:p w:rsidR="00DB344E" w:rsidRPr="00F83412" w:rsidRDefault="00DB344E" w:rsidP="00574FA9">
            <w:pPr>
              <w:pStyle w:val="ListParagraph"/>
              <w:spacing w:after="0" w:line="240" w:lineRule="auto"/>
              <w:ind w:left="0"/>
              <w:jc w:val="right"/>
            </w:pPr>
            <w:r w:rsidRPr="00F83412">
              <w:t>68</w:t>
            </w:r>
          </w:p>
          <w:p w:rsidR="00DB344E" w:rsidRPr="00F83412" w:rsidRDefault="00DB344E" w:rsidP="00574FA9">
            <w:pPr>
              <w:pStyle w:val="ListParagraph"/>
              <w:spacing w:after="0" w:line="240" w:lineRule="auto"/>
              <w:ind w:left="0"/>
              <w:jc w:val="right"/>
            </w:pPr>
            <w:r w:rsidRPr="00F83412">
              <w:t xml:space="preserve">62 </w:t>
            </w:r>
          </w:p>
          <w:p w:rsidR="00DB344E" w:rsidRPr="00F83412" w:rsidRDefault="00DB344E" w:rsidP="00574FA9">
            <w:pPr>
              <w:pStyle w:val="ListParagraph"/>
              <w:spacing w:after="0" w:line="240" w:lineRule="auto"/>
              <w:ind w:left="0"/>
              <w:jc w:val="right"/>
            </w:pPr>
            <w:r w:rsidRPr="00F83412">
              <w:t>35</w:t>
            </w:r>
          </w:p>
          <w:p w:rsidR="00DB344E" w:rsidRPr="00F83412" w:rsidRDefault="00DB344E" w:rsidP="00574FA9">
            <w:pPr>
              <w:pStyle w:val="ListParagraph"/>
              <w:spacing w:after="0" w:line="240" w:lineRule="auto"/>
              <w:ind w:left="0"/>
              <w:jc w:val="right"/>
            </w:pPr>
            <w:r w:rsidRPr="00F83412">
              <w:t xml:space="preserve">33 </w:t>
            </w:r>
          </w:p>
          <w:p w:rsidR="00DB344E" w:rsidRPr="00F83412" w:rsidRDefault="00DB344E" w:rsidP="00574FA9">
            <w:pPr>
              <w:pStyle w:val="ListParagraph"/>
              <w:spacing w:after="0" w:line="240" w:lineRule="auto"/>
              <w:ind w:left="0"/>
              <w:jc w:val="right"/>
            </w:pPr>
            <w:r w:rsidRPr="00F83412">
              <w:t>27</w:t>
            </w:r>
          </w:p>
          <w:p w:rsidR="00DB344E" w:rsidRPr="00F83412" w:rsidRDefault="00DB344E" w:rsidP="00574FA9">
            <w:pPr>
              <w:pStyle w:val="ListParagraph"/>
              <w:spacing w:after="0" w:line="240" w:lineRule="auto"/>
              <w:ind w:left="0"/>
              <w:jc w:val="right"/>
            </w:pPr>
            <w:r w:rsidRPr="00F83412">
              <w:t xml:space="preserve">18 </w:t>
            </w:r>
          </w:p>
          <w:p w:rsidR="00DB344E" w:rsidRPr="00F83412" w:rsidRDefault="00DB344E" w:rsidP="00574FA9">
            <w:pPr>
              <w:pStyle w:val="ListParagraph"/>
              <w:spacing w:after="0" w:line="240" w:lineRule="auto"/>
              <w:ind w:left="0"/>
              <w:jc w:val="right"/>
            </w:pPr>
            <w:r w:rsidRPr="00F83412">
              <w:t>14</w:t>
            </w:r>
          </w:p>
          <w:p w:rsidR="00DB344E" w:rsidRPr="00F83412" w:rsidRDefault="00DB344E" w:rsidP="00574FA9">
            <w:pPr>
              <w:pStyle w:val="ListParagraph"/>
              <w:spacing w:after="0" w:line="240" w:lineRule="auto"/>
              <w:ind w:left="0"/>
              <w:jc w:val="right"/>
            </w:pPr>
            <w:r w:rsidRPr="00F83412">
              <w:t>14</w:t>
            </w:r>
          </w:p>
          <w:p w:rsidR="00DB344E" w:rsidRPr="00F83412" w:rsidRDefault="00DB344E" w:rsidP="00574FA9">
            <w:pPr>
              <w:pStyle w:val="ListParagraph"/>
              <w:spacing w:after="0" w:line="240" w:lineRule="auto"/>
              <w:ind w:left="0"/>
              <w:jc w:val="right"/>
            </w:pPr>
            <w:r w:rsidRPr="00F83412">
              <w:t>13</w:t>
            </w:r>
          </w:p>
        </w:tc>
        <w:tc>
          <w:tcPr>
            <w:tcW w:w="720" w:type="dxa"/>
            <w:tcBorders>
              <w:top w:val="nil"/>
              <w:left w:val="nil"/>
              <w:bottom w:val="nil"/>
              <w:right w:val="nil"/>
            </w:tcBorders>
          </w:tcPr>
          <w:p w:rsidR="00DB344E" w:rsidRPr="00F83412" w:rsidRDefault="00DB344E" w:rsidP="00574FA9">
            <w:pPr>
              <w:pStyle w:val="ListParagraph"/>
              <w:spacing w:after="0" w:line="240" w:lineRule="auto"/>
              <w:ind w:left="0"/>
              <w:jc w:val="right"/>
            </w:pPr>
            <w:r w:rsidRPr="00F83412">
              <w:t>39%</w:t>
            </w:r>
          </w:p>
          <w:p w:rsidR="00DB344E" w:rsidRPr="00F83412" w:rsidRDefault="00DB344E" w:rsidP="00574FA9">
            <w:pPr>
              <w:pStyle w:val="ListParagraph"/>
              <w:spacing w:after="0" w:line="240" w:lineRule="auto"/>
              <w:ind w:left="0"/>
              <w:jc w:val="right"/>
            </w:pPr>
            <w:r w:rsidRPr="00F83412">
              <w:t>14%</w:t>
            </w:r>
          </w:p>
          <w:p w:rsidR="00DB344E" w:rsidRPr="00F83412" w:rsidRDefault="00DB344E" w:rsidP="00574FA9">
            <w:pPr>
              <w:pStyle w:val="ListParagraph"/>
              <w:spacing w:after="0" w:line="240" w:lineRule="auto"/>
              <w:ind w:left="0"/>
              <w:jc w:val="right"/>
            </w:pPr>
            <w:r w:rsidRPr="00F83412">
              <w:t>9%</w:t>
            </w:r>
          </w:p>
          <w:p w:rsidR="00DB344E" w:rsidRPr="00F83412" w:rsidRDefault="00DB344E" w:rsidP="00574FA9">
            <w:pPr>
              <w:pStyle w:val="ListParagraph"/>
              <w:spacing w:after="0" w:line="240" w:lineRule="auto"/>
              <w:ind w:left="0"/>
              <w:jc w:val="right"/>
            </w:pPr>
            <w:r w:rsidRPr="00F83412">
              <w:t>8%</w:t>
            </w:r>
          </w:p>
          <w:p w:rsidR="00DB344E" w:rsidRPr="00F83412" w:rsidRDefault="00DB344E" w:rsidP="00574FA9">
            <w:pPr>
              <w:pStyle w:val="ListParagraph"/>
              <w:spacing w:after="0" w:line="240" w:lineRule="auto"/>
              <w:ind w:left="0"/>
              <w:jc w:val="right"/>
            </w:pPr>
            <w:r w:rsidRPr="00F83412">
              <w:t>5%</w:t>
            </w:r>
          </w:p>
          <w:p w:rsidR="00DB344E" w:rsidRPr="00F83412" w:rsidRDefault="00DB344E" w:rsidP="00574FA9">
            <w:pPr>
              <w:pStyle w:val="ListParagraph"/>
              <w:spacing w:after="0" w:line="240" w:lineRule="auto"/>
              <w:ind w:left="0"/>
              <w:jc w:val="right"/>
            </w:pPr>
            <w:r w:rsidRPr="00F83412">
              <w:t>4%</w:t>
            </w:r>
          </w:p>
          <w:p w:rsidR="00DB344E" w:rsidRPr="00F83412" w:rsidRDefault="00DB344E" w:rsidP="00574FA9">
            <w:pPr>
              <w:pStyle w:val="ListParagraph"/>
              <w:spacing w:after="0" w:line="240" w:lineRule="auto"/>
              <w:ind w:left="0"/>
              <w:jc w:val="right"/>
            </w:pPr>
            <w:r w:rsidRPr="00F83412">
              <w:t>4%</w:t>
            </w:r>
          </w:p>
          <w:p w:rsidR="00DB344E" w:rsidRPr="00F83412" w:rsidRDefault="00DB344E" w:rsidP="00574FA9">
            <w:pPr>
              <w:pStyle w:val="ListParagraph"/>
              <w:spacing w:after="0" w:line="240" w:lineRule="auto"/>
              <w:ind w:left="0"/>
              <w:jc w:val="right"/>
            </w:pPr>
            <w:r w:rsidRPr="00F83412">
              <w:t>2%</w:t>
            </w:r>
          </w:p>
          <w:p w:rsidR="00DB344E" w:rsidRPr="00F83412" w:rsidRDefault="00DB344E" w:rsidP="00574FA9">
            <w:pPr>
              <w:pStyle w:val="ListParagraph"/>
              <w:spacing w:after="0" w:line="240" w:lineRule="auto"/>
              <w:ind w:left="0"/>
              <w:jc w:val="right"/>
            </w:pPr>
            <w:r w:rsidRPr="00F83412">
              <w:t>2%</w:t>
            </w:r>
          </w:p>
          <w:p w:rsidR="00DB344E" w:rsidRPr="00F83412" w:rsidRDefault="00DB344E" w:rsidP="00574FA9">
            <w:pPr>
              <w:pStyle w:val="ListParagraph"/>
              <w:spacing w:after="0" w:line="240" w:lineRule="auto"/>
              <w:ind w:left="0"/>
              <w:jc w:val="right"/>
            </w:pPr>
            <w:r w:rsidRPr="00F83412">
              <w:t>2%</w:t>
            </w:r>
          </w:p>
          <w:p w:rsidR="00DB344E" w:rsidRPr="00F83412" w:rsidRDefault="00DB344E" w:rsidP="00574FA9">
            <w:pPr>
              <w:pStyle w:val="ListParagraph"/>
              <w:spacing w:after="0" w:line="240" w:lineRule="auto"/>
              <w:ind w:left="0"/>
              <w:jc w:val="right"/>
            </w:pPr>
            <w:r w:rsidRPr="00F83412">
              <w:t>2%</w:t>
            </w:r>
          </w:p>
        </w:tc>
        <w:tc>
          <w:tcPr>
            <w:tcW w:w="1260" w:type="dxa"/>
            <w:tcBorders>
              <w:top w:val="nil"/>
              <w:left w:val="nil"/>
              <w:bottom w:val="nil"/>
            </w:tcBorders>
          </w:tcPr>
          <w:p w:rsidR="00DB344E" w:rsidRPr="00F83412" w:rsidRDefault="00DB344E" w:rsidP="00574FA9">
            <w:pPr>
              <w:pStyle w:val="ListParagraph"/>
              <w:spacing w:after="0" w:line="240" w:lineRule="auto"/>
              <w:ind w:left="0"/>
              <w:jc w:val="both"/>
            </w:pPr>
          </w:p>
        </w:tc>
        <w:tc>
          <w:tcPr>
            <w:tcW w:w="2520" w:type="dxa"/>
            <w:tcBorders>
              <w:top w:val="nil"/>
              <w:bottom w:val="nil"/>
              <w:right w:val="nil"/>
            </w:tcBorders>
          </w:tcPr>
          <w:p w:rsidR="00DB344E" w:rsidRPr="00F83412" w:rsidRDefault="00DB344E" w:rsidP="00574FA9">
            <w:pPr>
              <w:pStyle w:val="ListParagraph"/>
              <w:spacing w:after="0" w:line="240" w:lineRule="auto"/>
              <w:ind w:left="0"/>
              <w:jc w:val="both"/>
            </w:pPr>
            <w:r w:rsidRPr="00F83412">
              <w:t xml:space="preserve">Signs + Other </w:t>
            </w:r>
          </w:p>
          <w:p w:rsidR="00DB344E" w:rsidRPr="00F83412" w:rsidRDefault="00DB344E" w:rsidP="00574FA9">
            <w:pPr>
              <w:pStyle w:val="ListParagraph"/>
              <w:spacing w:after="0" w:line="240" w:lineRule="auto"/>
              <w:ind w:left="0"/>
              <w:jc w:val="both"/>
            </w:pPr>
            <w:r w:rsidRPr="00F83412">
              <w:t xml:space="preserve">Gate </w:t>
            </w:r>
          </w:p>
          <w:p w:rsidR="00DB344E" w:rsidRPr="00F83412" w:rsidRDefault="00DB344E" w:rsidP="00574FA9">
            <w:pPr>
              <w:pStyle w:val="ListParagraph"/>
              <w:spacing w:after="0" w:line="240" w:lineRule="auto"/>
              <w:ind w:left="0"/>
              <w:jc w:val="both"/>
            </w:pPr>
            <w:r w:rsidRPr="00F83412">
              <w:t xml:space="preserve">Opening  </w:t>
            </w:r>
          </w:p>
          <w:p w:rsidR="00DB344E" w:rsidRPr="00F83412" w:rsidRDefault="00DB344E" w:rsidP="00574FA9">
            <w:pPr>
              <w:pStyle w:val="ListParagraph"/>
              <w:spacing w:after="0" w:line="240" w:lineRule="auto"/>
              <w:ind w:left="0"/>
              <w:jc w:val="both"/>
            </w:pPr>
            <w:r w:rsidRPr="00F83412">
              <w:t xml:space="preserve">Railings </w:t>
            </w:r>
          </w:p>
          <w:p w:rsidR="00DB344E" w:rsidRPr="00F83412" w:rsidRDefault="00DB344E" w:rsidP="00574FA9">
            <w:pPr>
              <w:pStyle w:val="ListParagraph"/>
              <w:spacing w:after="0" w:line="240" w:lineRule="auto"/>
              <w:ind w:left="0"/>
              <w:jc w:val="both"/>
            </w:pPr>
            <w:r w:rsidRPr="00F83412">
              <w:t xml:space="preserve">Access </w:t>
            </w:r>
          </w:p>
          <w:p w:rsidR="00DB344E" w:rsidRPr="00F83412" w:rsidRDefault="00DB344E" w:rsidP="00574FA9">
            <w:pPr>
              <w:pStyle w:val="ListParagraph"/>
              <w:spacing w:after="0" w:line="240" w:lineRule="auto"/>
              <w:ind w:left="0"/>
              <w:jc w:val="both"/>
            </w:pPr>
            <w:r w:rsidRPr="00F83412">
              <w:t xml:space="preserve">Flag Pole </w:t>
            </w:r>
          </w:p>
          <w:p w:rsidR="00DB344E" w:rsidRPr="00F83412" w:rsidRDefault="00DB344E" w:rsidP="00574FA9">
            <w:pPr>
              <w:pStyle w:val="ListParagraph"/>
              <w:spacing w:after="0" w:line="240" w:lineRule="auto"/>
              <w:ind w:left="0"/>
            </w:pPr>
            <w:r w:rsidRPr="00F83412">
              <w:t xml:space="preserve">Photovoltaic  Panels Conservatory </w:t>
            </w:r>
          </w:p>
          <w:p w:rsidR="00DB344E" w:rsidRPr="00F83412" w:rsidRDefault="00DB344E" w:rsidP="00574FA9">
            <w:pPr>
              <w:pStyle w:val="ListParagraph"/>
              <w:spacing w:after="0" w:line="240" w:lineRule="auto"/>
              <w:ind w:left="0"/>
              <w:jc w:val="both"/>
            </w:pPr>
            <w:r w:rsidRPr="00F83412">
              <w:t xml:space="preserve">Banner </w:t>
            </w:r>
          </w:p>
          <w:p w:rsidR="00DB344E" w:rsidRPr="00F83412" w:rsidRDefault="00DB344E" w:rsidP="00574FA9">
            <w:pPr>
              <w:pStyle w:val="ListParagraph"/>
              <w:spacing w:after="0" w:line="240" w:lineRule="auto"/>
              <w:ind w:left="0"/>
              <w:jc w:val="both"/>
            </w:pPr>
            <w:r w:rsidRPr="00F83412">
              <w:t xml:space="preserve">Mezzanine </w:t>
            </w:r>
          </w:p>
          <w:p w:rsidR="00DB344E" w:rsidRPr="00F83412" w:rsidRDefault="00DB344E" w:rsidP="00574FA9">
            <w:pPr>
              <w:pStyle w:val="ListParagraph"/>
              <w:spacing w:after="0" w:line="240" w:lineRule="auto"/>
              <w:ind w:left="0"/>
              <w:jc w:val="both"/>
            </w:pPr>
            <w:r w:rsidRPr="00F83412">
              <w:t xml:space="preserve">Balustrade </w:t>
            </w:r>
          </w:p>
        </w:tc>
        <w:tc>
          <w:tcPr>
            <w:tcW w:w="1068" w:type="dxa"/>
            <w:tcBorders>
              <w:top w:val="nil"/>
              <w:left w:val="nil"/>
              <w:bottom w:val="nil"/>
              <w:right w:val="nil"/>
            </w:tcBorders>
          </w:tcPr>
          <w:p w:rsidR="00DB344E" w:rsidRPr="00F83412" w:rsidRDefault="00DB344E" w:rsidP="00574FA9">
            <w:pPr>
              <w:pStyle w:val="ListParagraph"/>
              <w:spacing w:after="0" w:line="240" w:lineRule="auto"/>
              <w:ind w:left="0"/>
              <w:jc w:val="right"/>
            </w:pPr>
            <w:r w:rsidRPr="00F83412">
              <w:t xml:space="preserve">13 </w:t>
            </w:r>
          </w:p>
          <w:p w:rsidR="00DB344E" w:rsidRPr="00F83412" w:rsidRDefault="00DB344E" w:rsidP="00574FA9">
            <w:pPr>
              <w:pStyle w:val="ListParagraph"/>
              <w:spacing w:after="0" w:line="240" w:lineRule="auto"/>
              <w:ind w:left="0"/>
              <w:jc w:val="right"/>
            </w:pPr>
            <w:r w:rsidRPr="00F83412">
              <w:t xml:space="preserve">10 </w:t>
            </w:r>
          </w:p>
          <w:p w:rsidR="00DB344E" w:rsidRPr="00F83412" w:rsidRDefault="00DB344E" w:rsidP="00574FA9">
            <w:pPr>
              <w:pStyle w:val="ListParagraph"/>
              <w:spacing w:after="0" w:line="240" w:lineRule="auto"/>
              <w:ind w:left="0"/>
              <w:jc w:val="right"/>
            </w:pPr>
            <w:r w:rsidRPr="00F83412">
              <w:t>7</w:t>
            </w:r>
          </w:p>
          <w:p w:rsidR="00DB344E" w:rsidRPr="00F83412" w:rsidRDefault="00DB344E" w:rsidP="00574FA9">
            <w:pPr>
              <w:pStyle w:val="ListParagraph"/>
              <w:spacing w:after="0" w:line="240" w:lineRule="auto"/>
              <w:ind w:left="0"/>
              <w:jc w:val="right"/>
            </w:pPr>
            <w:r w:rsidRPr="00F83412">
              <w:t xml:space="preserve">7 </w:t>
            </w:r>
          </w:p>
          <w:p w:rsidR="00DB344E" w:rsidRPr="00F83412" w:rsidRDefault="00DB344E" w:rsidP="00574FA9">
            <w:pPr>
              <w:pStyle w:val="ListParagraph"/>
              <w:spacing w:after="0" w:line="240" w:lineRule="auto"/>
              <w:ind w:left="0"/>
              <w:jc w:val="right"/>
            </w:pPr>
            <w:r w:rsidRPr="00F83412">
              <w:t>6</w:t>
            </w:r>
          </w:p>
          <w:p w:rsidR="00DB344E" w:rsidRPr="00F83412" w:rsidRDefault="00DB344E" w:rsidP="00574FA9">
            <w:pPr>
              <w:pStyle w:val="ListParagraph"/>
              <w:spacing w:after="0" w:line="240" w:lineRule="auto"/>
              <w:ind w:left="0"/>
              <w:jc w:val="right"/>
            </w:pPr>
            <w:r w:rsidRPr="00F83412">
              <w:t xml:space="preserve">6 </w:t>
            </w:r>
          </w:p>
          <w:p w:rsidR="00DB344E" w:rsidRPr="00F83412" w:rsidRDefault="00DB344E" w:rsidP="00574FA9">
            <w:pPr>
              <w:pStyle w:val="ListParagraph"/>
              <w:spacing w:after="0" w:line="240" w:lineRule="auto"/>
              <w:ind w:left="0"/>
              <w:jc w:val="right"/>
            </w:pPr>
            <w:r w:rsidRPr="00F83412">
              <w:t xml:space="preserve">6 </w:t>
            </w:r>
          </w:p>
          <w:p w:rsidR="00DB344E" w:rsidRPr="00F83412" w:rsidRDefault="00DB344E" w:rsidP="00574FA9">
            <w:pPr>
              <w:pStyle w:val="ListParagraph"/>
              <w:spacing w:after="0" w:line="240" w:lineRule="auto"/>
              <w:ind w:left="0"/>
              <w:jc w:val="right"/>
            </w:pPr>
            <w:r w:rsidRPr="00F83412">
              <w:t xml:space="preserve">5 </w:t>
            </w:r>
          </w:p>
          <w:p w:rsidR="00DB344E" w:rsidRPr="00F83412" w:rsidRDefault="00DB344E" w:rsidP="00574FA9">
            <w:pPr>
              <w:pStyle w:val="ListParagraph"/>
              <w:spacing w:after="0" w:line="240" w:lineRule="auto"/>
              <w:ind w:left="0"/>
              <w:jc w:val="right"/>
            </w:pPr>
            <w:r w:rsidRPr="00F83412">
              <w:t xml:space="preserve">4 </w:t>
            </w:r>
          </w:p>
          <w:p w:rsidR="00DB344E" w:rsidRPr="00F83412" w:rsidRDefault="00DB344E" w:rsidP="00574FA9">
            <w:pPr>
              <w:pStyle w:val="ListParagraph"/>
              <w:spacing w:after="0" w:line="240" w:lineRule="auto"/>
              <w:ind w:left="0"/>
              <w:jc w:val="right"/>
            </w:pPr>
            <w:r w:rsidRPr="00F83412">
              <w:t xml:space="preserve">4 </w:t>
            </w:r>
          </w:p>
          <w:p w:rsidR="00DB344E" w:rsidRPr="00F83412" w:rsidRDefault="00DB344E" w:rsidP="00574FA9">
            <w:pPr>
              <w:pStyle w:val="ListParagraph"/>
              <w:spacing w:after="0" w:line="240" w:lineRule="auto"/>
              <w:ind w:left="0"/>
              <w:jc w:val="right"/>
            </w:pPr>
            <w:r w:rsidRPr="00F83412">
              <w:t xml:space="preserve">3 </w:t>
            </w:r>
          </w:p>
        </w:tc>
        <w:tc>
          <w:tcPr>
            <w:tcW w:w="711" w:type="dxa"/>
            <w:tcBorders>
              <w:top w:val="nil"/>
              <w:left w:val="nil"/>
              <w:bottom w:val="nil"/>
              <w:right w:val="nil"/>
            </w:tcBorders>
          </w:tcPr>
          <w:p w:rsidR="00DB344E" w:rsidRPr="00F83412" w:rsidRDefault="00DB344E" w:rsidP="00574FA9">
            <w:pPr>
              <w:pStyle w:val="ListParagraph"/>
              <w:spacing w:after="0" w:line="240" w:lineRule="auto"/>
              <w:ind w:left="0"/>
              <w:jc w:val="right"/>
            </w:pPr>
            <w:r w:rsidRPr="00F83412">
              <w:t>2%</w:t>
            </w:r>
          </w:p>
          <w:p w:rsidR="00DB344E" w:rsidRPr="00F83412" w:rsidRDefault="00DB344E" w:rsidP="00574FA9">
            <w:pPr>
              <w:pStyle w:val="ListParagraph"/>
              <w:spacing w:after="0" w:line="240" w:lineRule="auto"/>
              <w:ind w:left="0"/>
              <w:jc w:val="right"/>
            </w:pPr>
            <w:r w:rsidRPr="00F83412">
              <w:t>1%</w:t>
            </w:r>
          </w:p>
          <w:p w:rsidR="00DB344E" w:rsidRPr="00F83412" w:rsidRDefault="00DB344E" w:rsidP="00574FA9">
            <w:pPr>
              <w:pStyle w:val="ListParagraph"/>
              <w:spacing w:after="0" w:line="240" w:lineRule="auto"/>
              <w:ind w:left="0"/>
              <w:jc w:val="right"/>
            </w:pPr>
            <w:r w:rsidRPr="00F83412">
              <w:t>1%</w:t>
            </w:r>
          </w:p>
          <w:p w:rsidR="00DB344E" w:rsidRPr="00F83412" w:rsidRDefault="00DB344E" w:rsidP="00574FA9">
            <w:pPr>
              <w:pStyle w:val="ListParagraph"/>
              <w:spacing w:after="0" w:line="240" w:lineRule="auto"/>
              <w:ind w:left="0"/>
              <w:jc w:val="right"/>
            </w:pPr>
            <w:r w:rsidRPr="00F83412">
              <w:t>1%</w:t>
            </w:r>
          </w:p>
          <w:p w:rsidR="00DB344E" w:rsidRPr="00F83412" w:rsidRDefault="00DB344E" w:rsidP="00574FA9">
            <w:pPr>
              <w:pStyle w:val="ListParagraph"/>
              <w:spacing w:after="0" w:line="240" w:lineRule="auto"/>
              <w:ind w:left="0"/>
              <w:jc w:val="right"/>
            </w:pPr>
            <w:r w:rsidRPr="00F83412">
              <w:t>1%</w:t>
            </w:r>
          </w:p>
          <w:p w:rsidR="00DB344E" w:rsidRPr="00F83412" w:rsidRDefault="00DB344E" w:rsidP="00574FA9">
            <w:pPr>
              <w:pStyle w:val="ListParagraph"/>
              <w:spacing w:after="0" w:line="240" w:lineRule="auto"/>
              <w:ind w:left="0"/>
              <w:jc w:val="right"/>
            </w:pPr>
            <w:r w:rsidRPr="00F83412">
              <w:t>1%</w:t>
            </w:r>
          </w:p>
          <w:p w:rsidR="00DB344E" w:rsidRPr="00F83412" w:rsidRDefault="00DB344E" w:rsidP="00574FA9">
            <w:pPr>
              <w:pStyle w:val="ListParagraph"/>
              <w:spacing w:after="0" w:line="240" w:lineRule="auto"/>
              <w:ind w:left="0"/>
              <w:jc w:val="right"/>
            </w:pPr>
            <w:r w:rsidRPr="00F83412">
              <w:t>1%</w:t>
            </w:r>
          </w:p>
          <w:p w:rsidR="00DB344E" w:rsidRPr="00F83412" w:rsidRDefault="00DB344E" w:rsidP="00574FA9">
            <w:pPr>
              <w:pStyle w:val="ListParagraph"/>
              <w:spacing w:after="0" w:line="240" w:lineRule="auto"/>
              <w:ind w:left="0"/>
              <w:jc w:val="right"/>
            </w:pPr>
            <w:r w:rsidRPr="00F83412">
              <w:t>1%</w:t>
            </w:r>
          </w:p>
          <w:p w:rsidR="00DB344E" w:rsidRPr="00F83412" w:rsidRDefault="00DB344E" w:rsidP="00574FA9">
            <w:pPr>
              <w:pStyle w:val="ListParagraph"/>
              <w:spacing w:after="0" w:line="240" w:lineRule="auto"/>
              <w:ind w:left="0"/>
              <w:jc w:val="right"/>
            </w:pPr>
            <w:r w:rsidRPr="00F83412">
              <w:t>1%</w:t>
            </w:r>
          </w:p>
          <w:p w:rsidR="00DB344E" w:rsidRPr="00F83412" w:rsidRDefault="00DB344E" w:rsidP="00574FA9">
            <w:pPr>
              <w:pStyle w:val="ListParagraph"/>
              <w:spacing w:after="0" w:line="240" w:lineRule="auto"/>
              <w:ind w:left="0"/>
              <w:jc w:val="right"/>
            </w:pPr>
            <w:r w:rsidRPr="00F83412">
              <w:t>1%</w:t>
            </w:r>
          </w:p>
          <w:p w:rsidR="00DB344E" w:rsidRPr="00F83412" w:rsidRDefault="00DB344E" w:rsidP="00574FA9">
            <w:pPr>
              <w:pStyle w:val="ListParagraph"/>
              <w:spacing w:after="0" w:line="240" w:lineRule="auto"/>
              <w:ind w:left="0"/>
              <w:jc w:val="right"/>
            </w:pPr>
            <w:r w:rsidRPr="00F83412">
              <w:t>0%</w:t>
            </w:r>
          </w:p>
        </w:tc>
      </w:tr>
      <w:tr w:rsidR="00DB344E" w:rsidRPr="00F83412" w:rsidTr="00574FA9">
        <w:tc>
          <w:tcPr>
            <w:tcW w:w="2448" w:type="dxa"/>
            <w:tcBorders>
              <w:top w:val="nil"/>
              <w:bottom w:val="nil"/>
              <w:right w:val="nil"/>
            </w:tcBorders>
          </w:tcPr>
          <w:p w:rsidR="00DB344E" w:rsidRPr="00F83412" w:rsidRDefault="00DB344E" w:rsidP="00574FA9">
            <w:pPr>
              <w:pStyle w:val="ListParagraph"/>
              <w:spacing w:after="0" w:line="240" w:lineRule="auto"/>
              <w:ind w:left="0"/>
              <w:jc w:val="both"/>
            </w:pPr>
          </w:p>
        </w:tc>
        <w:tc>
          <w:tcPr>
            <w:tcW w:w="1080" w:type="dxa"/>
            <w:tcBorders>
              <w:top w:val="nil"/>
              <w:left w:val="nil"/>
              <w:bottom w:val="nil"/>
              <w:right w:val="nil"/>
            </w:tcBorders>
          </w:tcPr>
          <w:p w:rsidR="00DB344E" w:rsidRPr="00F83412" w:rsidRDefault="00DB344E" w:rsidP="00574FA9">
            <w:pPr>
              <w:pStyle w:val="ListParagraph"/>
              <w:spacing w:after="0" w:line="240" w:lineRule="auto"/>
              <w:ind w:left="0"/>
              <w:jc w:val="right"/>
            </w:pPr>
          </w:p>
        </w:tc>
        <w:tc>
          <w:tcPr>
            <w:tcW w:w="720" w:type="dxa"/>
            <w:tcBorders>
              <w:top w:val="nil"/>
              <w:left w:val="nil"/>
              <w:bottom w:val="nil"/>
              <w:right w:val="nil"/>
            </w:tcBorders>
          </w:tcPr>
          <w:p w:rsidR="00DB344E" w:rsidRPr="00F83412" w:rsidRDefault="00DB344E" w:rsidP="00574FA9">
            <w:pPr>
              <w:pStyle w:val="ListParagraph"/>
              <w:spacing w:after="0" w:line="240" w:lineRule="auto"/>
              <w:ind w:left="0"/>
              <w:jc w:val="right"/>
            </w:pPr>
          </w:p>
        </w:tc>
        <w:tc>
          <w:tcPr>
            <w:tcW w:w="1260" w:type="dxa"/>
            <w:tcBorders>
              <w:top w:val="nil"/>
              <w:left w:val="nil"/>
              <w:bottom w:val="nil"/>
            </w:tcBorders>
          </w:tcPr>
          <w:p w:rsidR="00DB344E" w:rsidRPr="00F83412" w:rsidRDefault="00DB344E" w:rsidP="00574FA9">
            <w:pPr>
              <w:pStyle w:val="ListParagraph"/>
              <w:spacing w:after="0" w:line="240" w:lineRule="auto"/>
              <w:ind w:left="0"/>
              <w:jc w:val="both"/>
            </w:pPr>
          </w:p>
        </w:tc>
        <w:tc>
          <w:tcPr>
            <w:tcW w:w="2520" w:type="dxa"/>
            <w:tcBorders>
              <w:top w:val="nil"/>
              <w:bottom w:val="nil"/>
              <w:right w:val="nil"/>
            </w:tcBorders>
          </w:tcPr>
          <w:p w:rsidR="00DB344E" w:rsidRPr="00F83412" w:rsidRDefault="00DB344E" w:rsidP="00574FA9">
            <w:pPr>
              <w:pStyle w:val="ListParagraph"/>
              <w:spacing w:after="0" w:line="240" w:lineRule="auto"/>
              <w:ind w:left="0"/>
              <w:jc w:val="both"/>
              <w:rPr>
                <w:b/>
                <w:bCs/>
              </w:rPr>
            </w:pPr>
            <w:r w:rsidRPr="00F83412">
              <w:rPr>
                <w:b/>
                <w:bCs/>
              </w:rPr>
              <w:t xml:space="preserve">Total: </w:t>
            </w:r>
          </w:p>
        </w:tc>
        <w:tc>
          <w:tcPr>
            <w:tcW w:w="1068" w:type="dxa"/>
            <w:tcBorders>
              <w:top w:val="nil"/>
              <w:left w:val="nil"/>
              <w:bottom w:val="nil"/>
              <w:right w:val="nil"/>
            </w:tcBorders>
          </w:tcPr>
          <w:p w:rsidR="00DB344E" w:rsidRPr="00F83412" w:rsidRDefault="00DB344E" w:rsidP="00574FA9">
            <w:pPr>
              <w:pStyle w:val="ListParagraph"/>
              <w:spacing w:after="0" w:line="240" w:lineRule="auto"/>
              <w:ind w:left="0"/>
              <w:jc w:val="right"/>
              <w:rPr>
                <w:b/>
                <w:bCs/>
              </w:rPr>
            </w:pPr>
            <w:r w:rsidRPr="00F83412">
              <w:rPr>
                <w:b/>
                <w:bCs/>
              </w:rPr>
              <w:t xml:space="preserve">754 </w:t>
            </w:r>
          </w:p>
        </w:tc>
        <w:tc>
          <w:tcPr>
            <w:tcW w:w="711" w:type="dxa"/>
            <w:tcBorders>
              <w:top w:val="nil"/>
              <w:left w:val="nil"/>
              <w:bottom w:val="nil"/>
              <w:right w:val="nil"/>
            </w:tcBorders>
          </w:tcPr>
          <w:p w:rsidR="00DB344E" w:rsidRPr="00F83412" w:rsidRDefault="00DB344E" w:rsidP="00574FA9">
            <w:pPr>
              <w:pStyle w:val="ListParagraph"/>
              <w:spacing w:after="0" w:line="240" w:lineRule="auto"/>
              <w:ind w:left="0"/>
              <w:jc w:val="right"/>
              <w:rPr>
                <w:b/>
                <w:bCs/>
              </w:rPr>
            </w:pPr>
            <w:r w:rsidRPr="00F83412">
              <w:rPr>
                <w:b/>
                <w:bCs/>
              </w:rPr>
              <w:t>100%</w:t>
            </w:r>
          </w:p>
        </w:tc>
      </w:tr>
    </w:tbl>
    <w:p w:rsidR="00DB344E" w:rsidRPr="00BC50A5" w:rsidRDefault="00DB344E" w:rsidP="00DB344E">
      <w:pPr>
        <w:pStyle w:val="ListParagraph"/>
        <w:spacing w:after="0" w:line="240" w:lineRule="auto"/>
        <w:ind w:left="0"/>
        <w:jc w:val="both"/>
        <w:rPr>
          <w:rFonts w:ascii="Arial" w:hAnsi="Arial" w:cs="Arial"/>
        </w:rPr>
      </w:pPr>
    </w:p>
    <w:p w:rsidR="00DB344E" w:rsidRPr="00BC50A5" w:rsidRDefault="00DB344E" w:rsidP="00DB344E">
      <w:pPr>
        <w:pStyle w:val="ListParagraph"/>
        <w:spacing w:after="0" w:line="240" w:lineRule="auto"/>
        <w:ind w:left="0"/>
        <w:jc w:val="both"/>
        <w:rPr>
          <w:rFonts w:ascii="Arial" w:hAnsi="Arial" w:cs="Arial"/>
        </w:rPr>
      </w:pPr>
      <w:r w:rsidRPr="00BC50A5">
        <w:rPr>
          <w:rFonts w:ascii="Arial" w:hAnsi="Arial" w:cs="Arial"/>
        </w:rPr>
        <w:t xml:space="preserve">However, anecdotal evidence from conservation professionals suggests that a significant number of these applications will have been amended following a request from the local planning authority in order to gain consent.  It has not been possible to establish through research what this proportion is; the basic evidence in the form of planning data is published in such a way as to make it exhaustively hard.  </w:t>
      </w:r>
    </w:p>
    <w:p w:rsidR="00DB344E" w:rsidRPr="00BC50A5" w:rsidRDefault="00DB344E" w:rsidP="00DB344E">
      <w:pPr>
        <w:pStyle w:val="ListParagraph"/>
        <w:spacing w:after="0" w:line="240" w:lineRule="auto"/>
        <w:ind w:left="0"/>
        <w:jc w:val="both"/>
        <w:rPr>
          <w:rFonts w:ascii="Arial" w:hAnsi="Arial" w:cs="Arial"/>
        </w:rPr>
      </w:pPr>
    </w:p>
    <w:p w:rsidR="00DB344E" w:rsidRDefault="00DB344E" w:rsidP="002E7EE6">
      <w:pPr>
        <w:pStyle w:val="ListParagraph"/>
        <w:spacing w:after="0" w:line="240" w:lineRule="auto"/>
        <w:ind w:left="0"/>
        <w:jc w:val="both"/>
      </w:pPr>
      <w:r w:rsidRPr="00BC50A5">
        <w:rPr>
          <w:rFonts w:ascii="Arial" w:hAnsi="Arial" w:cs="Arial"/>
        </w:rPr>
        <w:t xml:space="preserve">The overwhelming majority of LBCs have conditions attached; some may only have standard conditions attached (i.e. time limit or all works to be carried out in accordance with approved plans) some will also have bespoke conditions which are material to the acceptability of the grant of consent.  Again, it has not been possible to establish through research the relative numbers.  </w:t>
      </w:r>
    </w:p>
    <w:p w:rsidR="00DB344E" w:rsidRPr="00F83412" w:rsidRDefault="00DB344E" w:rsidP="00E002F3">
      <w:pPr>
        <w:pStyle w:val="EBBodyPara"/>
        <w:keepNext/>
        <w:spacing w:after="0"/>
        <w:jc w:val="both"/>
        <w:rPr>
          <w:color w:val="auto"/>
        </w:rPr>
      </w:pPr>
    </w:p>
    <w:p w:rsidR="000006EB" w:rsidRPr="00F83412" w:rsidRDefault="000006EB" w:rsidP="00B13E97">
      <w:pPr>
        <w:jc w:val="both"/>
        <w:rPr>
          <w:sz w:val="22"/>
          <w:szCs w:val="22"/>
        </w:rPr>
      </w:pPr>
      <w:r w:rsidRPr="00F83412">
        <w:rPr>
          <w:sz w:val="22"/>
          <w:szCs w:val="22"/>
          <w:u w:val="single"/>
        </w:rPr>
        <w:t>Estimated saving per LBC application avoided</w:t>
      </w:r>
      <w:r w:rsidRPr="00F83412">
        <w:rPr>
          <w:sz w:val="22"/>
          <w:szCs w:val="22"/>
        </w:rPr>
        <w:t xml:space="preserve">: For this measure the saving is a full one per application, as once a class consent is in place, no applications will be generated for the defined works.  </w:t>
      </w:r>
    </w:p>
    <w:p w:rsidR="000006EB" w:rsidRPr="00F83412" w:rsidRDefault="000006EB" w:rsidP="00B13E97">
      <w:pPr>
        <w:jc w:val="both"/>
      </w:pPr>
    </w:p>
    <w:p w:rsidR="000006EB" w:rsidRPr="00F83412" w:rsidRDefault="000006EB" w:rsidP="000F2131">
      <w:pPr>
        <w:pStyle w:val="EBBodyPara"/>
        <w:keepNext/>
        <w:jc w:val="both"/>
        <w:rPr>
          <w:color w:val="auto"/>
        </w:rPr>
      </w:pPr>
      <w:r w:rsidRPr="00F83412">
        <w:rPr>
          <w:color w:val="auto"/>
        </w:rPr>
        <w:t>It is a permissive measure, which local planning authorities will adopt as and when they perceive an advantage.</w:t>
      </w:r>
    </w:p>
    <w:p w:rsidR="000006EB" w:rsidRPr="00F83412" w:rsidRDefault="000006EB" w:rsidP="008545CF">
      <w:pPr>
        <w:pStyle w:val="EBBodyPara"/>
        <w:spacing w:after="0"/>
        <w:jc w:val="both"/>
        <w:rPr>
          <w:color w:val="auto"/>
        </w:rPr>
      </w:pPr>
      <w:r w:rsidRPr="00F83412">
        <w:rPr>
          <w:color w:val="auto"/>
        </w:rPr>
        <w:t>This proposal would enable the local planning authority to grant conditional class consent, and to specify in advance the kind of works which would or would not fall under the class consent.  These works, will be  predominantly minor in nature – assumed to be around 20% of total applications at present</w:t>
      </w:r>
      <w:r w:rsidR="00DB344E">
        <w:rPr>
          <w:color w:val="auto"/>
        </w:rPr>
        <w:t xml:space="preserve"> (see research above)</w:t>
      </w:r>
      <w:r w:rsidRPr="00F83412">
        <w:rPr>
          <w:color w:val="auto"/>
        </w:rPr>
        <w:t xml:space="preserve"> – but could also encompass works with greater impact on special interest, the effects of which could be mitigated by approved specifications and conditions associated with the class consent.  This means that there are potentially a higher proportion of works that that could be pre-consented under this mechanism than the 20%  </w:t>
      </w:r>
      <w:r w:rsidR="00DB344E">
        <w:rPr>
          <w:color w:val="auto"/>
        </w:rPr>
        <w:t>(</w:t>
      </w:r>
      <w:r w:rsidRPr="00F83412">
        <w:rPr>
          <w:color w:val="auto"/>
        </w:rPr>
        <w:t>6 000 applications per annum</w:t>
      </w:r>
      <w:r w:rsidR="00DB344E">
        <w:rPr>
          <w:color w:val="auto"/>
        </w:rPr>
        <w:t>)</w:t>
      </w:r>
      <w:r w:rsidRPr="00F83412">
        <w:rPr>
          <w:color w:val="auto"/>
        </w:rPr>
        <w:t xml:space="preserve">  however, more research </w:t>
      </w:r>
      <w:r w:rsidR="00DB344E">
        <w:rPr>
          <w:color w:val="auto"/>
        </w:rPr>
        <w:t xml:space="preserve">was not forthcoming from </w:t>
      </w:r>
      <w:r w:rsidRPr="00F83412">
        <w:rPr>
          <w:color w:val="auto"/>
        </w:rPr>
        <w:t xml:space="preserve">the consultation exercise </w:t>
      </w:r>
      <w:r w:rsidR="00DB344E">
        <w:rPr>
          <w:color w:val="auto"/>
        </w:rPr>
        <w:t>so these assumptions have remained.</w:t>
      </w:r>
    </w:p>
    <w:p w:rsidR="000006EB" w:rsidRPr="00F83412" w:rsidRDefault="000006EB" w:rsidP="008545CF">
      <w:pPr>
        <w:pStyle w:val="EBBodyPara"/>
        <w:spacing w:after="0"/>
        <w:jc w:val="both"/>
        <w:rPr>
          <w:color w:val="auto"/>
        </w:rPr>
      </w:pPr>
    </w:p>
    <w:p w:rsidR="000006EB" w:rsidRDefault="000006EB" w:rsidP="00E6798F">
      <w:pPr>
        <w:pStyle w:val="EBBodyPara"/>
        <w:keepNext/>
        <w:spacing w:after="0"/>
        <w:jc w:val="both"/>
        <w:rPr>
          <w:color w:val="auto"/>
        </w:rPr>
      </w:pPr>
      <w:r w:rsidRPr="00F83412">
        <w:rPr>
          <w:color w:val="auto"/>
        </w:rPr>
        <w:t>However, the implementation of this mechanism could not be at a stroke; it would have to be built up incrementally over the short- to medium-term through the actions of individual local planning authorities.  Greater savings would therefore be realised over time</w:t>
      </w:r>
      <w:r w:rsidR="00DB344E">
        <w:rPr>
          <w:color w:val="auto"/>
        </w:rPr>
        <w:t>.</w:t>
      </w:r>
      <w:r w:rsidRPr="00F83412">
        <w:rPr>
          <w:color w:val="auto"/>
        </w:rPr>
        <w:t xml:space="preserve"> </w:t>
      </w:r>
    </w:p>
    <w:p w:rsidR="00100919" w:rsidRDefault="00100919" w:rsidP="00E6798F">
      <w:pPr>
        <w:pStyle w:val="EBBodyPara"/>
        <w:keepNext/>
        <w:spacing w:after="0"/>
        <w:jc w:val="both"/>
        <w:rPr>
          <w:color w:val="auto"/>
        </w:rPr>
      </w:pPr>
    </w:p>
    <w:tbl>
      <w:tblPr>
        <w:tblW w:w="10075" w:type="dxa"/>
        <w:tblInd w:w="98" w:type="dxa"/>
        <w:tblLook w:val="04A0" w:firstRow="1" w:lastRow="0" w:firstColumn="1" w:lastColumn="0" w:noHBand="0" w:noVBand="1"/>
      </w:tblPr>
      <w:tblGrid>
        <w:gridCol w:w="10"/>
        <w:gridCol w:w="1200"/>
        <w:gridCol w:w="1200"/>
        <w:gridCol w:w="1200"/>
        <w:gridCol w:w="1078"/>
        <w:gridCol w:w="992"/>
        <w:gridCol w:w="1134"/>
        <w:gridCol w:w="993"/>
        <w:gridCol w:w="1134"/>
        <w:gridCol w:w="1134"/>
      </w:tblGrid>
      <w:tr w:rsidR="00100919" w:rsidRPr="00100919" w:rsidTr="00100919">
        <w:trPr>
          <w:trHeight w:val="315"/>
        </w:trPr>
        <w:tc>
          <w:tcPr>
            <w:tcW w:w="3610"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100919" w:rsidRPr="00100919" w:rsidRDefault="00100919" w:rsidP="00100919">
            <w:pPr>
              <w:jc w:val="center"/>
              <w:rPr>
                <w:color w:val="000000"/>
                <w:sz w:val="22"/>
                <w:szCs w:val="22"/>
                <w:lang w:eastAsia="en-GB"/>
              </w:rPr>
            </w:pPr>
            <w:r w:rsidRPr="00100919">
              <w:rPr>
                <w:color w:val="000000"/>
                <w:sz w:val="22"/>
                <w:szCs w:val="22"/>
                <w:lang w:eastAsia="en-GB"/>
              </w:rPr>
              <w:t> </w:t>
            </w:r>
          </w:p>
        </w:tc>
        <w:tc>
          <w:tcPr>
            <w:tcW w:w="1078" w:type="dxa"/>
            <w:tcBorders>
              <w:top w:val="single" w:sz="8" w:space="0" w:color="auto"/>
              <w:left w:val="nil"/>
              <w:bottom w:val="single" w:sz="8" w:space="0" w:color="auto"/>
              <w:right w:val="single" w:sz="8" w:space="0" w:color="auto"/>
            </w:tcBorders>
            <w:shd w:val="clear" w:color="auto" w:fill="auto"/>
            <w:vAlign w:val="center"/>
            <w:hideMark/>
          </w:tcPr>
          <w:p w:rsidR="00100919" w:rsidRPr="00100919" w:rsidRDefault="00100919" w:rsidP="00100919">
            <w:pPr>
              <w:jc w:val="center"/>
              <w:rPr>
                <w:b/>
                <w:bCs/>
                <w:color w:val="000000"/>
                <w:sz w:val="22"/>
                <w:szCs w:val="22"/>
                <w:lang w:eastAsia="en-GB"/>
              </w:rPr>
            </w:pPr>
            <w:r w:rsidRPr="00100919">
              <w:rPr>
                <w:b/>
                <w:bCs/>
                <w:color w:val="000000"/>
                <w:sz w:val="22"/>
                <w:szCs w:val="22"/>
                <w:lang w:eastAsia="en-GB"/>
              </w:rPr>
              <w:t>Year 0</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100919" w:rsidRPr="00100919" w:rsidRDefault="00100919" w:rsidP="00100919">
            <w:pPr>
              <w:jc w:val="center"/>
              <w:rPr>
                <w:b/>
                <w:bCs/>
                <w:color w:val="000000"/>
                <w:sz w:val="22"/>
                <w:szCs w:val="22"/>
                <w:lang w:eastAsia="en-GB"/>
              </w:rPr>
            </w:pPr>
            <w:r w:rsidRPr="00100919">
              <w:rPr>
                <w:b/>
                <w:bCs/>
                <w:color w:val="000000"/>
                <w:sz w:val="22"/>
                <w:szCs w:val="22"/>
                <w:lang w:eastAsia="en-GB"/>
              </w:rPr>
              <w:t>Year 1</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00919" w:rsidRPr="00100919" w:rsidRDefault="00100919" w:rsidP="00100919">
            <w:pPr>
              <w:jc w:val="center"/>
              <w:rPr>
                <w:b/>
                <w:bCs/>
                <w:color w:val="000000"/>
                <w:sz w:val="22"/>
                <w:szCs w:val="22"/>
                <w:lang w:eastAsia="en-GB"/>
              </w:rPr>
            </w:pPr>
            <w:r w:rsidRPr="00100919">
              <w:rPr>
                <w:b/>
                <w:bCs/>
                <w:color w:val="000000"/>
                <w:sz w:val="22"/>
                <w:szCs w:val="22"/>
                <w:lang w:eastAsia="en-GB"/>
              </w:rPr>
              <w:t>Year 2</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100919" w:rsidRPr="00100919" w:rsidRDefault="00100919" w:rsidP="00100919">
            <w:pPr>
              <w:jc w:val="center"/>
              <w:rPr>
                <w:b/>
                <w:bCs/>
                <w:color w:val="000000"/>
                <w:sz w:val="22"/>
                <w:szCs w:val="22"/>
                <w:lang w:eastAsia="en-GB"/>
              </w:rPr>
            </w:pPr>
            <w:r w:rsidRPr="00100919">
              <w:rPr>
                <w:b/>
                <w:bCs/>
                <w:color w:val="000000"/>
                <w:sz w:val="22"/>
                <w:szCs w:val="22"/>
                <w:lang w:eastAsia="en-GB"/>
              </w:rPr>
              <w:t>Year 3</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00919" w:rsidRPr="00100919" w:rsidRDefault="00100919" w:rsidP="00100919">
            <w:pPr>
              <w:jc w:val="center"/>
              <w:rPr>
                <w:b/>
                <w:bCs/>
                <w:color w:val="000000"/>
                <w:sz w:val="22"/>
                <w:szCs w:val="22"/>
                <w:lang w:eastAsia="en-GB"/>
              </w:rPr>
            </w:pPr>
            <w:r w:rsidRPr="00100919">
              <w:rPr>
                <w:b/>
                <w:bCs/>
                <w:color w:val="000000"/>
                <w:sz w:val="22"/>
                <w:szCs w:val="22"/>
                <w:lang w:eastAsia="en-GB"/>
              </w:rPr>
              <w:t>Year 4</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00919" w:rsidRPr="00100919" w:rsidRDefault="00100919" w:rsidP="00100919">
            <w:pPr>
              <w:jc w:val="center"/>
              <w:rPr>
                <w:b/>
                <w:bCs/>
                <w:color w:val="000000"/>
                <w:sz w:val="22"/>
                <w:szCs w:val="22"/>
                <w:lang w:eastAsia="en-GB"/>
              </w:rPr>
            </w:pPr>
            <w:r w:rsidRPr="00100919">
              <w:rPr>
                <w:b/>
                <w:bCs/>
                <w:color w:val="000000"/>
                <w:sz w:val="22"/>
                <w:szCs w:val="22"/>
                <w:lang w:eastAsia="en-GB"/>
              </w:rPr>
              <w:t>Year 5</w:t>
            </w:r>
          </w:p>
        </w:tc>
      </w:tr>
      <w:tr w:rsidR="00100919" w:rsidRPr="00100919" w:rsidTr="00100919">
        <w:trPr>
          <w:trHeight w:val="300"/>
        </w:trPr>
        <w:tc>
          <w:tcPr>
            <w:tcW w:w="3610"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100919" w:rsidRPr="00100919" w:rsidRDefault="00100919" w:rsidP="00100919">
            <w:pPr>
              <w:jc w:val="both"/>
              <w:rPr>
                <w:color w:val="000000"/>
                <w:sz w:val="22"/>
                <w:szCs w:val="22"/>
                <w:lang w:eastAsia="en-GB"/>
              </w:rPr>
            </w:pPr>
            <w:r w:rsidRPr="00100919">
              <w:rPr>
                <w:color w:val="000000"/>
                <w:sz w:val="22"/>
                <w:szCs w:val="22"/>
                <w:lang w:eastAsia="en-GB"/>
              </w:rPr>
              <w:t>Number of LBC applications avoided</w:t>
            </w:r>
          </w:p>
        </w:tc>
        <w:tc>
          <w:tcPr>
            <w:tcW w:w="1078" w:type="dxa"/>
            <w:tcBorders>
              <w:top w:val="nil"/>
              <w:left w:val="nil"/>
              <w:bottom w:val="nil"/>
              <w:right w:val="single" w:sz="8" w:space="0" w:color="auto"/>
            </w:tcBorders>
            <w:shd w:val="clear" w:color="auto" w:fill="auto"/>
            <w:vAlign w:val="center"/>
            <w:hideMark/>
          </w:tcPr>
          <w:p w:rsidR="00100919" w:rsidRPr="00100919" w:rsidRDefault="00100919" w:rsidP="00100919">
            <w:pPr>
              <w:jc w:val="right"/>
              <w:rPr>
                <w:color w:val="000000"/>
                <w:sz w:val="22"/>
                <w:szCs w:val="22"/>
                <w:lang w:eastAsia="en-GB"/>
              </w:rPr>
            </w:pPr>
            <w:r w:rsidRPr="00100919">
              <w:rPr>
                <w:color w:val="000000"/>
                <w:sz w:val="22"/>
                <w:szCs w:val="22"/>
                <w:lang w:eastAsia="en-GB"/>
              </w:rPr>
              <w:t> </w:t>
            </w:r>
          </w:p>
        </w:tc>
        <w:tc>
          <w:tcPr>
            <w:tcW w:w="992" w:type="dxa"/>
            <w:tcBorders>
              <w:top w:val="nil"/>
              <w:left w:val="nil"/>
              <w:bottom w:val="nil"/>
              <w:right w:val="single" w:sz="8" w:space="0" w:color="auto"/>
            </w:tcBorders>
            <w:shd w:val="clear" w:color="auto" w:fill="auto"/>
            <w:vAlign w:val="center"/>
            <w:hideMark/>
          </w:tcPr>
          <w:p w:rsidR="00100919" w:rsidRPr="00100919" w:rsidRDefault="00100919" w:rsidP="00100919">
            <w:pPr>
              <w:jc w:val="right"/>
              <w:rPr>
                <w:color w:val="000000"/>
                <w:sz w:val="22"/>
                <w:szCs w:val="22"/>
                <w:lang w:eastAsia="en-GB"/>
              </w:rPr>
            </w:pPr>
            <w:r w:rsidRPr="00100919">
              <w:rPr>
                <w:color w:val="000000"/>
                <w:sz w:val="22"/>
                <w:szCs w:val="22"/>
                <w:lang w:eastAsia="en-GB"/>
              </w:rPr>
              <w:t> </w:t>
            </w:r>
          </w:p>
        </w:tc>
        <w:tc>
          <w:tcPr>
            <w:tcW w:w="1134" w:type="dxa"/>
            <w:tcBorders>
              <w:top w:val="nil"/>
              <w:left w:val="nil"/>
              <w:bottom w:val="nil"/>
              <w:right w:val="single" w:sz="8" w:space="0" w:color="auto"/>
            </w:tcBorders>
            <w:shd w:val="clear" w:color="auto" w:fill="auto"/>
            <w:vAlign w:val="center"/>
            <w:hideMark/>
          </w:tcPr>
          <w:p w:rsidR="00100919" w:rsidRPr="00100919" w:rsidRDefault="00100919" w:rsidP="00100919">
            <w:pPr>
              <w:jc w:val="right"/>
              <w:rPr>
                <w:color w:val="000000"/>
                <w:sz w:val="22"/>
                <w:szCs w:val="22"/>
                <w:lang w:eastAsia="en-GB"/>
              </w:rPr>
            </w:pPr>
            <w:r w:rsidRPr="00100919">
              <w:rPr>
                <w:color w:val="000000"/>
                <w:sz w:val="22"/>
                <w:szCs w:val="22"/>
                <w:lang w:eastAsia="en-GB"/>
              </w:rPr>
              <w:t> </w:t>
            </w:r>
          </w:p>
        </w:tc>
        <w:tc>
          <w:tcPr>
            <w:tcW w:w="993" w:type="dxa"/>
            <w:tcBorders>
              <w:top w:val="nil"/>
              <w:left w:val="nil"/>
              <w:bottom w:val="nil"/>
              <w:right w:val="single" w:sz="8" w:space="0" w:color="auto"/>
            </w:tcBorders>
            <w:shd w:val="clear" w:color="auto" w:fill="auto"/>
            <w:vAlign w:val="center"/>
            <w:hideMark/>
          </w:tcPr>
          <w:p w:rsidR="00100919" w:rsidRPr="00100919" w:rsidRDefault="00100919" w:rsidP="00100919">
            <w:pPr>
              <w:jc w:val="right"/>
              <w:rPr>
                <w:color w:val="000000"/>
                <w:sz w:val="22"/>
                <w:szCs w:val="22"/>
                <w:lang w:eastAsia="en-GB"/>
              </w:rPr>
            </w:pPr>
            <w:r w:rsidRPr="00100919">
              <w:rPr>
                <w:color w:val="000000"/>
                <w:sz w:val="22"/>
                <w:szCs w:val="22"/>
                <w:lang w:eastAsia="en-GB"/>
              </w:rPr>
              <w:t> </w:t>
            </w:r>
          </w:p>
        </w:tc>
        <w:tc>
          <w:tcPr>
            <w:tcW w:w="1134" w:type="dxa"/>
            <w:tcBorders>
              <w:top w:val="nil"/>
              <w:left w:val="nil"/>
              <w:bottom w:val="nil"/>
              <w:right w:val="single" w:sz="8" w:space="0" w:color="auto"/>
            </w:tcBorders>
            <w:shd w:val="clear" w:color="auto" w:fill="auto"/>
            <w:vAlign w:val="center"/>
            <w:hideMark/>
          </w:tcPr>
          <w:p w:rsidR="00100919" w:rsidRPr="00100919" w:rsidRDefault="00100919" w:rsidP="00100919">
            <w:pPr>
              <w:jc w:val="right"/>
              <w:rPr>
                <w:color w:val="000000"/>
                <w:sz w:val="22"/>
                <w:szCs w:val="22"/>
                <w:lang w:eastAsia="en-GB"/>
              </w:rPr>
            </w:pPr>
            <w:r w:rsidRPr="00100919">
              <w:rPr>
                <w:color w:val="000000"/>
                <w:sz w:val="22"/>
                <w:szCs w:val="22"/>
                <w:lang w:eastAsia="en-GB"/>
              </w:rPr>
              <w:t> </w:t>
            </w:r>
          </w:p>
        </w:tc>
        <w:tc>
          <w:tcPr>
            <w:tcW w:w="1134" w:type="dxa"/>
            <w:tcBorders>
              <w:top w:val="nil"/>
              <w:left w:val="nil"/>
              <w:bottom w:val="nil"/>
              <w:right w:val="single" w:sz="8" w:space="0" w:color="auto"/>
            </w:tcBorders>
            <w:shd w:val="clear" w:color="auto" w:fill="auto"/>
            <w:vAlign w:val="center"/>
            <w:hideMark/>
          </w:tcPr>
          <w:p w:rsidR="00100919" w:rsidRPr="00100919" w:rsidRDefault="00100919" w:rsidP="00100919">
            <w:pPr>
              <w:jc w:val="right"/>
              <w:rPr>
                <w:color w:val="000000"/>
                <w:sz w:val="22"/>
                <w:szCs w:val="22"/>
                <w:lang w:eastAsia="en-GB"/>
              </w:rPr>
            </w:pPr>
            <w:r w:rsidRPr="00100919">
              <w:rPr>
                <w:color w:val="000000"/>
                <w:sz w:val="22"/>
                <w:szCs w:val="22"/>
                <w:lang w:eastAsia="en-GB"/>
              </w:rPr>
              <w:t> </w:t>
            </w:r>
          </w:p>
        </w:tc>
      </w:tr>
      <w:tr w:rsidR="00100919" w:rsidRPr="00100919" w:rsidTr="00100919">
        <w:trPr>
          <w:trHeight w:val="315"/>
        </w:trPr>
        <w:tc>
          <w:tcPr>
            <w:tcW w:w="3610" w:type="dxa"/>
            <w:gridSpan w:val="4"/>
            <w:vMerge/>
            <w:tcBorders>
              <w:top w:val="nil"/>
              <w:left w:val="single" w:sz="8" w:space="0" w:color="auto"/>
              <w:bottom w:val="single" w:sz="8" w:space="0" w:color="000000"/>
              <w:right w:val="single" w:sz="8" w:space="0" w:color="auto"/>
            </w:tcBorders>
            <w:vAlign w:val="center"/>
            <w:hideMark/>
          </w:tcPr>
          <w:p w:rsidR="00100919" w:rsidRPr="00100919" w:rsidRDefault="00100919" w:rsidP="00100919">
            <w:pPr>
              <w:rPr>
                <w:color w:val="000000"/>
                <w:sz w:val="22"/>
                <w:szCs w:val="22"/>
                <w:lang w:eastAsia="en-GB"/>
              </w:rPr>
            </w:pPr>
          </w:p>
        </w:tc>
        <w:tc>
          <w:tcPr>
            <w:tcW w:w="1078" w:type="dxa"/>
            <w:tcBorders>
              <w:top w:val="nil"/>
              <w:left w:val="nil"/>
              <w:bottom w:val="single" w:sz="8" w:space="0" w:color="auto"/>
              <w:right w:val="single" w:sz="8" w:space="0" w:color="auto"/>
            </w:tcBorders>
            <w:shd w:val="clear" w:color="auto" w:fill="auto"/>
            <w:vAlign w:val="center"/>
            <w:hideMark/>
          </w:tcPr>
          <w:p w:rsidR="00100919" w:rsidRPr="00100919" w:rsidRDefault="00100919" w:rsidP="00100919">
            <w:pPr>
              <w:jc w:val="right"/>
              <w:rPr>
                <w:color w:val="000000"/>
                <w:sz w:val="22"/>
                <w:szCs w:val="22"/>
                <w:lang w:eastAsia="en-GB"/>
              </w:rPr>
            </w:pPr>
            <w:r w:rsidRPr="00100919">
              <w:rPr>
                <w:color w:val="000000"/>
                <w:sz w:val="22"/>
                <w:szCs w:val="22"/>
                <w:lang w:eastAsia="en-GB"/>
              </w:rPr>
              <w:t>500</w:t>
            </w:r>
          </w:p>
        </w:tc>
        <w:tc>
          <w:tcPr>
            <w:tcW w:w="992" w:type="dxa"/>
            <w:tcBorders>
              <w:top w:val="nil"/>
              <w:left w:val="nil"/>
              <w:bottom w:val="single" w:sz="8" w:space="0" w:color="auto"/>
              <w:right w:val="single" w:sz="8" w:space="0" w:color="auto"/>
            </w:tcBorders>
            <w:shd w:val="clear" w:color="auto" w:fill="auto"/>
            <w:vAlign w:val="center"/>
            <w:hideMark/>
          </w:tcPr>
          <w:p w:rsidR="00100919" w:rsidRPr="00100919" w:rsidRDefault="00100919" w:rsidP="00100919">
            <w:pPr>
              <w:jc w:val="right"/>
              <w:rPr>
                <w:color w:val="000000"/>
                <w:sz w:val="22"/>
                <w:szCs w:val="22"/>
                <w:lang w:eastAsia="en-GB"/>
              </w:rPr>
            </w:pPr>
            <w:r w:rsidRPr="00100919">
              <w:rPr>
                <w:color w:val="000000"/>
                <w:sz w:val="22"/>
                <w:szCs w:val="22"/>
                <w:lang w:eastAsia="en-GB"/>
              </w:rPr>
              <w:t>1250</w:t>
            </w:r>
          </w:p>
        </w:tc>
        <w:tc>
          <w:tcPr>
            <w:tcW w:w="1134" w:type="dxa"/>
            <w:tcBorders>
              <w:top w:val="nil"/>
              <w:left w:val="nil"/>
              <w:bottom w:val="single" w:sz="8" w:space="0" w:color="auto"/>
              <w:right w:val="single" w:sz="8" w:space="0" w:color="auto"/>
            </w:tcBorders>
            <w:shd w:val="clear" w:color="auto" w:fill="auto"/>
            <w:vAlign w:val="center"/>
            <w:hideMark/>
          </w:tcPr>
          <w:p w:rsidR="00100919" w:rsidRPr="00100919" w:rsidRDefault="00100919" w:rsidP="00100919">
            <w:pPr>
              <w:jc w:val="right"/>
              <w:rPr>
                <w:color w:val="000000"/>
                <w:sz w:val="22"/>
                <w:szCs w:val="22"/>
                <w:lang w:eastAsia="en-GB"/>
              </w:rPr>
            </w:pPr>
            <w:r w:rsidRPr="00100919">
              <w:rPr>
                <w:color w:val="000000"/>
                <w:sz w:val="22"/>
                <w:szCs w:val="22"/>
                <w:lang w:eastAsia="en-GB"/>
              </w:rPr>
              <w:t>2000</w:t>
            </w:r>
          </w:p>
        </w:tc>
        <w:tc>
          <w:tcPr>
            <w:tcW w:w="993" w:type="dxa"/>
            <w:tcBorders>
              <w:top w:val="nil"/>
              <w:left w:val="nil"/>
              <w:bottom w:val="single" w:sz="8" w:space="0" w:color="auto"/>
              <w:right w:val="single" w:sz="8" w:space="0" w:color="auto"/>
            </w:tcBorders>
            <w:shd w:val="clear" w:color="auto" w:fill="auto"/>
            <w:vAlign w:val="center"/>
            <w:hideMark/>
          </w:tcPr>
          <w:p w:rsidR="00100919" w:rsidRPr="00100919" w:rsidRDefault="00100919" w:rsidP="00100919">
            <w:pPr>
              <w:jc w:val="right"/>
              <w:rPr>
                <w:color w:val="000000"/>
                <w:sz w:val="22"/>
                <w:szCs w:val="22"/>
                <w:lang w:eastAsia="en-GB"/>
              </w:rPr>
            </w:pPr>
            <w:r w:rsidRPr="00100919">
              <w:rPr>
                <w:color w:val="000000"/>
                <w:sz w:val="22"/>
                <w:szCs w:val="22"/>
                <w:lang w:eastAsia="en-GB"/>
              </w:rPr>
              <w:t>3000</w:t>
            </w:r>
          </w:p>
        </w:tc>
        <w:tc>
          <w:tcPr>
            <w:tcW w:w="1134" w:type="dxa"/>
            <w:tcBorders>
              <w:top w:val="nil"/>
              <w:left w:val="nil"/>
              <w:bottom w:val="single" w:sz="8" w:space="0" w:color="auto"/>
              <w:right w:val="single" w:sz="8" w:space="0" w:color="auto"/>
            </w:tcBorders>
            <w:shd w:val="clear" w:color="auto" w:fill="auto"/>
            <w:vAlign w:val="center"/>
            <w:hideMark/>
          </w:tcPr>
          <w:p w:rsidR="00100919" w:rsidRPr="00100919" w:rsidRDefault="00100919" w:rsidP="00100919">
            <w:pPr>
              <w:jc w:val="right"/>
              <w:rPr>
                <w:color w:val="000000"/>
                <w:sz w:val="22"/>
                <w:szCs w:val="22"/>
                <w:lang w:eastAsia="en-GB"/>
              </w:rPr>
            </w:pPr>
            <w:r w:rsidRPr="00100919">
              <w:rPr>
                <w:color w:val="000000"/>
                <w:sz w:val="22"/>
                <w:szCs w:val="22"/>
                <w:lang w:eastAsia="en-GB"/>
              </w:rPr>
              <w:t>4000</w:t>
            </w:r>
          </w:p>
        </w:tc>
        <w:tc>
          <w:tcPr>
            <w:tcW w:w="1134" w:type="dxa"/>
            <w:tcBorders>
              <w:top w:val="nil"/>
              <w:left w:val="nil"/>
              <w:bottom w:val="single" w:sz="8" w:space="0" w:color="auto"/>
              <w:right w:val="single" w:sz="8" w:space="0" w:color="auto"/>
            </w:tcBorders>
            <w:shd w:val="clear" w:color="auto" w:fill="auto"/>
            <w:vAlign w:val="center"/>
            <w:hideMark/>
          </w:tcPr>
          <w:p w:rsidR="00100919" w:rsidRPr="00100919" w:rsidRDefault="00100919" w:rsidP="00100919">
            <w:pPr>
              <w:jc w:val="right"/>
              <w:rPr>
                <w:color w:val="000000"/>
                <w:sz w:val="22"/>
                <w:szCs w:val="22"/>
                <w:lang w:eastAsia="en-GB"/>
              </w:rPr>
            </w:pPr>
            <w:r w:rsidRPr="00100919">
              <w:rPr>
                <w:color w:val="000000"/>
                <w:sz w:val="22"/>
                <w:szCs w:val="22"/>
                <w:lang w:eastAsia="en-GB"/>
              </w:rPr>
              <w:t>5000</w:t>
            </w:r>
          </w:p>
        </w:tc>
      </w:tr>
      <w:tr w:rsidR="00100919" w:rsidRPr="00100919" w:rsidTr="00100919">
        <w:trPr>
          <w:gridBefore w:val="1"/>
          <w:gridAfter w:val="5"/>
          <w:wBefore w:w="10" w:type="dxa"/>
          <w:wAfter w:w="5387" w:type="dxa"/>
          <w:trHeight w:val="315"/>
        </w:trPr>
        <w:tc>
          <w:tcPr>
            <w:tcW w:w="1200" w:type="dxa"/>
            <w:tcBorders>
              <w:top w:val="single" w:sz="8" w:space="0" w:color="auto"/>
              <w:left w:val="nil"/>
              <w:bottom w:val="single" w:sz="8" w:space="0" w:color="auto"/>
              <w:right w:val="single" w:sz="8" w:space="0" w:color="auto"/>
            </w:tcBorders>
            <w:shd w:val="clear" w:color="auto" w:fill="auto"/>
            <w:vAlign w:val="center"/>
            <w:hideMark/>
          </w:tcPr>
          <w:p w:rsidR="00100919" w:rsidRPr="00100919" w:rsidRDefault="00100919" w:rsidP="00100919">
            <w:pPr>
              <w:jc w:val="center"/>
              <w:rPr>
                <w:b/>
                <w:bCs/>
                <w:color w:val="000000"/>
                <w:sz w:val="22"/>
                <w:szCs w:val="22"/>
                <w:lang w:eastAsia="en-GB"/>
              </w:rPr>
            </w:pPr>
            <w:r w:rsidRPr="00100919">
              <w:rPr>
                <w:b/>
                <w:bCs/>
                <w:color w:val="000000"/>
                <w:sz w:val="22"/>
                <w:szCs w:val="22"/>
                <w:lang w:eastAsia="en-GB"/>
              </w:rPr>
              <w:t>Year 6</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100919" w:rsidRPr="00100919" w:rsidRDefault="00100919" w:rsidP="00100919">
            <w:pPr>
              <w:jc w:val="center"/>
              <w:rPr>
                <w:b/>
                <w:bCs/>
                <w:color w:val="000000"/>
                <w:sz w:val="22"/>
                <w:szCs w:val="22"/>
                <w:lang w:eastAsia="en-GB"/>
              </w:rPr>
            </w:pPr>
            <w:r w:rsidRPr="00100919">
              <w:rPr>
                <w:b/>
                <w:bCs/>
                <w:color w:val="000000"/>
                <w:sz w:val="22"/>
                <w:szCs w:val="22"/>
                <w:lang w:eastAsia="en-GB"/>
              </w:rPr>
              <w:t>Year 7</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100919" w:rsidRPr="00100919" w:rsidRDefault="00100919" w:rsidP="00100919">
            <w:pPr>
              <w:jc w:val="center"/>
              <w:rPr>
                <w:b/>
                <w:bCs/>
                <w:color w:val="000000"/>
                <w:sz w:val="22"/>
                <w:szCs w:val="22"/>
                <w:lang w:eastAsia="en-GB"/>
              </w:rPr>
            </w:pPr>
            <w:r w:rsidRPr="00100919">
              <w:rPr>
                <w:b/>
                <w:bCs/>
                <w:color w:val="000000"/>
                <w:sz w:val="22"/>
                <w:szCs w:val="22"/>
                <w:lang w:eastAsia="en-GB"/>
              </w:rPr>
              <w:t>Year 8</w:t>
            </w:r>
          </w:p>
        </w:tc>
        <w:tc>
          <w:tcPr>
            <w:tcW w:w="1078" w:type="dxa"/>
            <w:tcBorders>
              <w:top w:val="single" w:sz="8" w:space="0" w:color="auto"/>
              <w:left w:val="nil"/>
              <w:bottom w:val="single" w:sz="8" w:space="0" w:color="auto"/>
              <w:right w:val="single" w:sz="8" w:space="0" w:color="auto"/>
            </w:tcBorders>
            <w:shd w:val="clear" w:color="auto" w:fill="auto"/>
            <w:vAlign w:val="center"/>
            <w:hideMark/>
          </w:tcPr>
          <w:p w:rsidR="00100919" w:rsidRPr="00100919" w:rsidRDefault="00100919" w:rsidP="00100919">
            <w:pPr>
              <w:jc w:val="center"/>
              <w:rPr>
                <w:b/>
                <w:bCs/>
                <w:color w:val="000000"/>
                <w:sz w:val="22"/>
                <w:szCs w:val="22"/>
                <w:lang w:eastAsia="en-GB"/>
              </w:rPr>
            </w:pPr>
            <w:r w:rsidRPr="00100919">
              <w:rPr>
                <w:b/>
                <w:bCs/>
                <w:color w:val="000000"/>
                <w:sz w:val="22"/>
                <w:szCs w:val="22"/>
                <w:lang w:eastAsia="en-GB"/>
              </w:rPr>
              <w:t>Year 9</w:t>
            </w:r>
          </w:p>
        </w:tc>
      </w:tr>
      <w:tr w:rsidR="00100919" w:rsidRPr="00100919" w:rsidTr="00100919">
        <w:trPr>
          <w:gridBefore w:val="1"/>
          <w:gridAfter w:val="5"/>
          <w:wBefore w:w="10" w:type="dxa"/>
          <w:wAfter w:w="5387" w:type="dxa"/>
          <w:trHeight w:val="300"/>
        </w:trPr>
        <w:tc>
          <w:tcPr>
            <w:tcW w:w="1200" w:type="dxa"/>
            <w:tcBorders>
              <w:top w:val="nil"/>
              <w:left w:val="nil"/>
              <w:bottom w:val="nil"/>
              <w:right w:val="single" w:sz="8" w:space="0" w:color="auto"/>
            </w:tcBorders>
            <w:shd w:val="clear" w:color="auto" w:fill="auto"/>
            <w:vAlign w:val="center"/>
            <w:hideMark/>
          </w:tcPr>
          <w:p w:rsidR="00100919" w:rsidRPr="00100919" w:rsidRDefault="00100919" w:rsidP="00100919">
            <w:pPr>
              <w:jc w:val="right"/>
              <w:rPr>
                <w:color w:val="000000"/>
                <w:sz w:val="22"/>
                <w:szCs w:val="22"/>
                <w:lang w:eastAsia="en-GB"/>
              </w:rPr>
            </w:pPr>
            <w:r w:rsidRPr="00100919">
              <w:rPr>
                <w:color w:val="000000"/>
                <w:sz w:val="22"/>
                <w:szCs w:val="22"/>
                <w:lang w:eastAsia="en-GB"/>
              </w:rPr>
              <w:t> </w:t>
            </w:r>
          </w:p>
        </w:tc>
        <w:tc>
          <w:tcPr>
            <w:tcW w:w="1200" w:type="dxa"/>
            <w:tcBorders>
              <w:top w:val="nil"/>
              <w:left w:val="nil"/>
              <w:bottom w:val="nil"/>
              <w:right w:val="single" w:sz="8" w:space="0" w:color="auto"/>
            </w:tcBorders>
            <w:shd w:val="clear" w:color="auto" w:fill="auto"/>
            <w:vAlign w:val="center"/>
            <w:hideMark/>
          </w:tcPr>
          <w:p w:rsidR="00100919" w:rsidRPr="00100919" w:rsidRDefault="00100919" w:rsidP="00100919">
            <w:pPr>
              <w:jc w:val="right"/>
              <w:rPr>
                <w:color w:val="000000"/>
                <w:sz w:val="22"/>
                <w:szCs w:val="22"/>
                <w:lang w:eastAsia="en-GB"/>
              </w:rPr>
            </w:pPr>
            <w:r w:rsidRPr="00100919">
              <w:rPr>
                <w:color w:val="000000"/>
                <w:sz w:val="22"/>
                <w:szCs w:val="22"/>
                <w:lang w:eastAsia="en-GB"/>
              </w:rPr>
              <w:t> </w:t>
            </w:r>
          </w:p>
        </w:tc>
        <w:tc>
          <w:tcPr>
            <w:tcW w:w="1200" w:type="dxa"/>
            <w:tcBorders>
              <w:top w:val="nil"/>
              <w:left w:val="nil"/>
              <w:bottom w:val="nil"/>
              <w:right w:val="single" w:sz="8" w:space="0" w:color="auto"/>
            </w:tcBorders>
            <w:shd w:val="clear" w:color="auto" w:fill="auto"/>
            <w:vAlign w:val="center"/>
            <w:hideMark/>
          </w:tcPr>
          <w:p w:rsidR="00100919" w:rsidRPr="00100919" w:rsidRDefault="00100919" w:rsidP="00100919">
            <w:pPr>
              <w:jc w:val="right"/>
              <w:rPr>
                <w:color w:val="000000"/>
                <w:sz w:val="22"/>
                <w:szCs w:val="22"/>
                <w:lang w:eastAsia="en-GB"/>
              </w:rPr>
            </w:pPr>
            <w:r w:rsidRPr="00100919">
              <w:rPr>
                <w:color w:val="000000"/>
                <w:sz w:val="22"/>
                <w:szCs w:val="22"/>
                <w:lang w:eastAsia="en-GB"/>
              </w:rPr>
              <w:t> </w:t>
            </w:r>
          </w:p>
        </w:tc>
        <w:tc>
          <w:tcPr>
            <w:tcW w:w="1078" w:type="dxa"/>
            <w:tcBorders>
              <w:top w:val="nil"/>
              <w:left w:val="nil"/>
              <w:bottom w:val="nil"/>
              <w:right w:val="single" w:sz="8" w:space="0" w:color="auto"/>
            </w:tcBorders>
            <w:shd w:val="clear" w:color="auto" w:fill="auto"/>
            <w:vAlign w:val="center"/>
            <w:hideMark/>
          </w:tcPr>
          <w:p w:rsidR="00100919" w:rsidRPr="00100919" w:rsidRDefault="00100919" w:rsidP="00100919">
            <w:pPr>
              <w:jc w:val="right"/>
              <w:rPr>
                <w:color w:val="000000"/>
                <w:sz w:val="22"/>
                <w:szCs w:val="22"/>
                <w:lang w:eastAsia="en-GB"/>
              </w:rPr>
            </w:pPr>
            <w:r w:rsidRPr="00100919">
              <w:rPr>
                <w:color w:val="000000"/>
                <w:sz w:val="22"/>
                <w:szCs w:val="22"/>
                <w:lang w:eastAsia="en-GB"/>
              </w:rPr>
              <w:t> </w:t>
            </w:r>
          </w:p>
        </w:tc>
      </w:tr>
      <w:tr w:rsidR="00100919" w:rsidRPr="00100919" w:rsidTr="00100919">
        <w:trPr>
          <w:gridBefore w:val="1"/>
          <w:gridAfter w:val="5"/>
          <w:wBefore w:w="10" w:type="dxa"/>
          <w:wAfter w:w="5387" w:type="dxa"/>
          <w:trHeight w:val="315"/>
        </w:trPr>
        <w:tc>
          <w:tcPr>
            <w:tcW w:w="1200" w:type="dxa"/>
            <w:tcBorders>
              <w:top w:val="nil"/>
              <w:left w:val="nil"/>
              <w:bottom w:val="single" w:sz="8" w:space="0" w:color="auto"/>
              <w:right w:val="single" w:sz="8" w:space="0" w:color="auto"/>
            </w:tcBorders>
            <w:shd w:val="clear" w:color="auto" w:fill="auto"/>
            <w:vAlign w:val="center"/>
            <w:hideMark/>
          </w:tcPr>
          <w:p w:rsidR="00100919" w:rsidRPr="00100919" w:rsidRDefault="00100919" w:rsidP="00100919">
            <w:pPr>
              <w:jc w:val="right"/>
              <w:rPr>
                <w:color w:val="000000"/>
                <w:sz w:val="22"/>
                <w:szCs w:val="22"/>
                <w:lang w:eastAsia="en-GB"/>
              </w:rPr>
            </w:pPr>
            <w:r w:rsidRPr="00100919">
              <w:rPr>
                <w:color w:val="000000"/>
                <w:sz w:val="22"/>
                <w:szCs w:val="22"/>
                <w:lang w:eastAsia="en-GB"/>
              </w:rPr>
              <w:t>6500</w:t>
            </w:r>
          </w:p>
        </w:tc>
        <w:tc>
          <w:tcPr>
            <w:tcW w:w="1200" w:type="dxa"/>
            <w:tcBorders>
              <w:top w:val="nil"/>
              <w:left w:val="nil"/>
              <w:bottom w:val="single" w:sz="8" w:space="0" w:color="auto"/>
              <w:right w:val="single" w:sz="8" w:space="0" w:color="auto"/>
            </w:tcBorders>
            <w:shd w:val="clear" w:color="auto" w:fill="auto"/>
            <w:vAlign w:val="center"/>
            <w:hideMark/>
          </w:tcPr>
          <w:p w:rsidR="00100919" w:rsidRPr="00100919" w:rsidRDefault="00100919" w:rsidP="00100919">
            <w:pPr>
              <w:jc w:val="right"/>
              <w:rPr>
                <w:color w:val="000000"/>
                <w:sz w:val="22"/>
                <w:szCs w:val="22"/>
                <w:lang w:eastAsia="en-GB"/>
              </w:rPr>
            </w:pPr>
            <w:r w:rsidRPr="00100919">
              <w:rPr>
                <w:color w:val="000000"/>
                <w:sz w:val="22"/>
                <w:szCs w:val="22"/>
                <w:lang w:eastAsia="en-GB"/>
              </w:rPr>
              <w:t>8000</w:t>
            </w:r>
          </w:p>
        </w:tc>
        <w:tc>
          <w:tcPr>
            <w:tcW w:w="1200" w:type="dxa"/>
            <w:tcBorders>
              <w:top w:val="nil"/>
              <w:left w:val="nil"/>
              <w:bottom w:val="single" w:sz="8" w:space="0" w:color="auto"/>
              <w:right w:val="single" w:sz="8" w:space="0" w:color="auto"/>
            </w:tcBorders>
            <w:shd w:val="clear" w:color="auto" w:fill="auto"/>
            <w:vAlign w:val="center"/>
            <w:hideMark/>
          </w:tcPr>
          <w:p w:rsidR="00100919" w:rsidRPr="00100919" w:rsidRDefault="00100919" w:rsidP="00100919">
            <w:pPr>
              <w:jc w:val="right"/>
              <w:rPr>
                <w:color w:val="000000"/>
                <w:sz w:val="22"/>
                <w:szCs w:val="22"/>
                <w:lang w:eastAsia="en-GB"/>
              </w:rPr>
            </w:pPr>
            <w:r w:rsidRPr="00100919">
              <w:rPr>
                <w:color w:val="000000"/>
                <w:sz w:val="22"/>
                <w:szCs w:val="22"/>
                <w:lang w:eastAsia="en-GB"/>
              </w:rPr>
              <w:t>9500</w:t>
            </w:r>
          </w:p>
        </w:tc>
        <w:tc>
          <w:tcPr>
            <w:tcW w:w="1078" w:type="dxa"/>
            <w:tcBorders>
              <w:top w:val="nil"/>
              <w:left w:val="nil"/>
              <w:bottom w:val="single" w:sz="8" w:space="0" w:color="auto"/>
              <w:right w:val="single" w:sz="8" w:space="0" w:color="auto"/>
            </w:tcBorders>
            <w:shd w:val="clear" w:color="auto" w:fill="auto"/>
            <w:vAlign w:val="center"/>
            <w:hideMark/>
          </w:tcPr>
          <w:p w:rsidR="00100919" w:rsidRPr="00100919" w:rsidRDefault="00100919" w:rsidP="00100919">
            <w:pPr>
              <w:jc w:val="right"/>
              <w:rPr>
                <w:color w:val="000000"/>
                <w:sz w:val="22"/>
                <w:szCs w:val="22"/>
                <w:lang w:eastAsia="en-GB"/>
              </w:rPr>
            </w:pPr>
            <w:r w:rsidRPr="00100919">
              <w:rPr>
                <w:color w:val="000000"/>
                <w:sz w:val="22"/>
                <w:szCs w:val="22"/>
                <w:lang w:eastAsia="en-GB"/>
              </w:rPr>
              <w:t>11000</w:t>
            </w:r>
          </w:p>
        </w:tc>
      </w:tr>
    </w:tbl>
    <w:p w:rsidR="00100919" w:rsidRDefault="00100919" w:rsidP="00E6798F">
      <w:pPr>
        <w:pStyle w:val="EBBodyPara"/>
        <w:keepNext/>
        <w:spacing w:after="0"/>
        <w:jc w:val="both"/>
        <w:rPr>
          <w:color w:val="auto"/>
        </w:rPr>
      </w:pPr>
    </w:p>
    <w:p w:rsidR="00100919" w:rsidRPr="00F83412" w:rsidRDefault="00100919" w:rsidP="00E6798F">
      <w:pPr>
        <w:pStyle w:val="EBBodyPara"/>
        <w:keepNext/>
        <w:spacing w:after="0"/>
        <w:jc w:val="both"/>
        <w:rPr>
          <w:color w:val="auto"/>
        </w:rPr>
      </w:pPr>
    </w:p>
    <w:p w:rsidR="000006EB" w:rsidRDefault="000006EB" w:rsidP="00E6798F">
      <w:pPr>
        <w:pStyle w:val="EBBodyPara"/>
        <w:keepNext/>
        <w:spacing w:after="0"/>
        <w:jc w:val="both"/>
        <w:rPr>
          <w:rFonts w:eastAsia="MS Mincho"/>
          <w:color w:val="auto"/>
          <w:lang w:eastAsia="ja-JP"/>
        </w:rPr>
      </w:pPr>
      <w:r w:rsidRPr="00F83412">
        <w:rPr>
          <w:color w:val="auto"/>
        </w:rPr>
        <w:t xml:space="preserve">Because this </w:t>
      </w:r>
      <w:r w:rsidR="000B7D7C">
        <w:rPr>
          <w:color w:val="auto"/>
        </w:rPr>
        <w:t>is class consent</w:t>
      </w:r>
      <w:r w:rsidR="000F6E60">
        <w:rPr>
          <w:color w:val="auto"/>
        </w:rPr>
        <w:t>,</w:t>
      </w:r>
      <w:r w:rsidRPr="00F83412">
        <w:rPr>
          <w:color w:val="auto"/>
        </w:rPr>
        <w:t xml:space="preserve"> there would not be a</w:t>
      </w:r>
      <w:r w:rsidR="002D0891">
        <w:rPr>
          <w:color w:val="auto"/>
        </w:rPr>
        <w:t>n application to be made or considered, as under even the</w:t>
      </w:r>
      <w:r w:rsidRPr="00F83412">
        <w:rPr>
          <w:color w:val="auto"/>
        </w:rPr>
        <w:t xml:space="preserve"> </w:t>
      </w:r>
      <w:r w:rsidRPr="00F83412">
        <w:rPr>
          <w:rFonts w:eastAsia="MS Mincho"/>
          <w:color w:val="auto"/>
          <w:lang w:eastAsia="ja-JP"/>
        </w:rPr>
        <w:t>simplified notification</w:t>
      </w:r>
      <w:r w:rsidR="002D0891">
        <w:rPr>
          <w:rFonts w:eastAsia="MS Mincho"/>
          <w:color w:val="auto"/>
          <w:lang w:eastAsia="ja-JP"/>
        </w:rPr>
        <w:t xml:space="preserve"> process, and</w:t>
      </w:r>
      <w:r w:rsidRPr="00F83412">
        <w:rPr>
          <w:rFonts w:eastAsia="MS Mincho"/>
          <w:color w:val="auto"/>
          <w:lang w:eastAsia="ja-JP"/>
        </w:rPr>
        <w:t xml:space="preserve"> therefore there would not be any resource requirement</w:t>
      </w:r>
      <w:r w:rsidR="002D0891">
        <w:rPr>
          <w:rFonts w:eastAsia="MS Mincho"/>
          <w:color w:val="auto"/>
          <w:lang w:eastAsia="ja-JP"/>
        </w:rPr>
        <w:t xml:space="preserve"> for this</w:t>
      </w:r>
      <w:r w:rsidRPr="00F83412">
        <w:rPr>
          <w:rFonts w:eastAsia="MS Mincho"/>
          <w:color w:val="auto"/>
          <w:lang w:eastAsia="ja-JP"/>
        </w:rPr>
        <w:t xml:space="preserve"> from the applicant or LPA.</w:t>
      </w:r>
    </w:p>
    <w:p w:rsidR="002411BB" w:rsidRDefault="002411BB" w:rsidP="00E6798F">
      <w:pPr>
        <w:pStyle w:val="EBBodyPara"/>
        <w:keepNext/>
        <w:spacing w:after="0"/>
        <w:jc w:val="both"/>
        <w:rPr>
          <w:rFonts w:eastAsia="MS Mincho"/>
          <w:color w:val="auto"/>
          <w:lang w:eastAsia="ja-JP"/>
        </w:rPr>
      </w:pPr>
    </w:p>
    <w:p w:rsidR="002411BB" w:rsidRDefault="002411BB" w:rsidP="002411BB">
      <w:pPr>
        <w:jc w:val="both"/>
        <w:rPr>
          <w:sz w:val="22"/>
          <w:szCs w:val="22"/>
        </w:rPr>
      </w:pPr>
      <w:r>
        <w:rPr>
          <w:sz w:val="22"/>
          <w:szCs w:val="22"/>
        </w:rPr>
        <w:t>This impact assessment has calculated the savings based on the number of LBC applications that would be avoided.</w:t>
      </w:r>
    </w:p>
    <w:p w:rsidR="002411BB" w:rsidRDefault="002411BB" w:rsidP="002411BB">
      <w:pPr>
        <w:jc w:val="both"/>
        <w:rPr>
          <w:sz w:val="22"/>
          <w:szCs w:val="22"/>
        </w:rPr>
      </w:pPr>
    </w:p>
    <w:p w:rsidR="004F04A9" w:rsidRPr="00F83412" w:rsidRDefault="004F04A9" w:rsidP="004F04A9">
      <w:pPr>
        <w:jc w:val="both"/>
        <w:rPr>
          <w:sz w:val="22"/>
          <w:szCs w:val="22"/>
        </w:rPr>
      </w:pPr>
      <w:r w:rsidRPr="00F83412">
        <w:rPr>
          <w:sz w:val="22"/>
          <w:szCs w:val="22"/>
        </w:rPr>
        <w:t>There is no research relating to the cost of making an application for LBC.  However, research for DCLG in 2009</w:t>
      </w:r>
      <w:r w:rsidRPr="00F83412">
        <w:rPr>
          <w:rStyle w:val="FootnoteReference"/>
        </w:rPr>
        <w:footnoteReference w:id="2"/>
      </w:r>
      <w:r w:rsidRPr="00F83412">
        <w:rPr>
          <w:sz w:val="22"/>
          <w:szCs w:val="22"/>
        </w:rPr>
        <w:t xml:space="preserve"> shows that the average cost of making a householder planning or change of use application was around £1,190, including a fee of at least £150 (flat fee for householder applications, CLG Circular 04/08, “Planning Fees). For single house construction or conversion the cost was £18,000 (although the median cost was £8,600 suggesting that a few applications are very costly to make).  The majority of LBC applications are likely to be closer to householder applications than other planning application types that involve a much larger scale of new development. More complex heritage cases are much more likely to require planning permission and preparation costs will be covered in large part by the requirements of the planning application, so the average marginal cost of making an LBC application might well be around £1,040. (£1,190 minus the planning fee as LBC does not incur a fee). </w:t>
      </w:r>
    </w:p>
    <w:p w:rsidR="004F04A9" w:rsidRPr="00F83412" w:rsidRDefault="004F04A9" w:rsidP="004F04A9">
      <w:pPr>
        <w:jc w:val="both"/>
        <w:rPr>
          <w:sz w:val="22"/>
          <w:szCs w:val="22"/>
        </w:rPr>
      </w:pPr>
    </w:p>
    <w:p w:rsidR="004F04A9" w:rsidRPr="00F83412" w:rsidRDefault="004F04A9" w:rsidP="004F04A9">
      <w:pPr>
        <w:jc w:val="both"/>
        <w:rPr>
          <w:sz w:val="22"/>
          <w:szCs w:val="22"/>
        </w:rPr>
      </w:pPr>
      <w:r w:rsidRPr="00F83412">
        <w:rPr>
          <w:sz w:val="22"/>
          <w:szCs w:val="22"/>
        </w:rPr>
        <w:t>Research for DCLG in 2010</w:t>
      </w:r>
      <w:r w:rsidRPr="00F83412">
        <w:rPr>
          <w:rStyle w:val="FootnoteReference"/>
        </w:rPr>
        <w:footnoteReference w:id="3"/>
      </w:r>
      <w:r w:rsidRPr="00F83412">
        <w:rPr>
          <w:sz w:val="22"/>
          <w:szCs w:val="22"/>
        </w:rPr>
        <w:t xml:space="preserve"> shows that the average cost of determining planning applications for the local planning authority was £619. Data from an ODPM report in 2003 (The Planning Service Costs and Fees, ODPM, 2003) showed that, on average, LBC applications cost 5% more than planning applications to deal with (i.e. £650).  </w:t>
      </w:r>
    </w:p>
    <w:p w:rsidR="004F04A9" w:rsidRPr="00F83412" w:rsidRDefault="004F04A9" w:rsidP="004F04A9">
      <w:pPr>
        <w:jc w:val="both"/>
        <w:rPr>
          <w:sz w:val="22"/>
          <w:szCs w:val="22"/>
        </w:rPr>
      </w:pPr>
    </w:p>
    <w:p w:rsidR="004F04A9" w:rsidRPr="00F83412" w:rsidRDefault="004F04A9" w:rsidP="004F04A9">
      <w:pPr>
        <w:jc w:val="both"/>
        <w:rPr>
          <w:rFonts w:eastAsia="MS Mincho"/>
          <w:sz w:val="22"/>
          <w:szCs w:val="22"/>
          <w:lang w:eastAsia="ja-JP"/>
        </w:rPr>
      </w:pPr>
      <w:r w:rsidRPr="00F83412">
        <w:rPr>
          <w:rFonts w:eastAsia="MS Mincho"/>
          <w:sz w:val="22"/>
          <w:szCs w:val="22"/>
          <w:lang w:eastAsia="ja-JP"/>
        </w:rPr>
        <w:t>The total saving per LBC application avoided is therefore estimated to be £1,690 (£1,040 + £650).</w:t>
      </w:r>
    </w:p>
    <w:p w:rsidR="004F04A9" w:rsidRPr="00F83412" w:rsidRDefault="004F04A9" w:rsidP="004F04A9">
      <w:pPr>
        <w:jc w:val="both"/>
        <w:rPr>
          <w:rFonts w:eastAsia="MS Mincho"/>
          <w:sz w:val="22"/>
          <w:szCs w:val="22"/>
          <w:lang w:eastAsia="ja-JP"/>
        </w:rPr>
      </w:pPr>
    </w:p>
    <w:p w:rsidR="004F04A9" w:rsidRPr="00F83412" w:rsidRDefault="004F04A9" w:rsidP="004F04A9">
      <w:pPr>
        <w:jc w:val="both"/>
        <w:rPr>
          <w:rFonts w:eastAsia="MS Mincho"/>
          <w:sz w:val="22"/>
          <w:szCs w:val="22"/>
          <w:lang w:eastAsia="ja-JP"/>
        </w:rPr>
      </w:pPr>
      <w:r w:rsidRPr="00F83412">
        <w:rPr>
          <w:rFonts w:eastAsia="MS Mincho"/>
          <w:sz w:val="22"/>
          <w:szCs w:val="22"/>
          <w:lang w:eastAsia="ja-JP"/>
        </w:rPr>
        <w:t>However, some resource will be necessary on the part of the applicant to submit the simplified notification – estimated to be £52. This is estimated by assuming it takes 3.5 hours to process any application and costs £14.8 per hour (average mean wage)</w:t>
      </w:r>
      <w:r w:rsidRPr="00F83412">
        <w:rPr>
          <w:rStyle w:val="FootnoteReference"/>
          <w:rFonts w:eastAsia="MS Mincho"/>
          <w:lang w:eastAsia="ja-JP"/>
        </w:rPr>
        <w:footnoteReference w:id="4"/>
      </w:r>
    </w:p>
    <w:p w:rsidR="004F04A9" w:rsidRPr="00F83412" w:rsidRDefault="004F04A9" w:rsidP="004F04A9">
      <w:pPr>
        <w:jc w:val="both"/>
        <w:rPr>
          <w:rFonts w:eastAsia="MS Mincho"/>
          <w:sz w:val="22"/>
          <w:szCs w:val="22"/>
          <w:lang w:eastAsia="ja-JP"/>
        </w:rPr>
      </w:pPr>
    </w:p>
    <w:p w:rsidR="004F04A9" w:rsidRPr="00F83412" w:rsidRDefault="004F04A9" w:rsidP="004F04A9">
      <w:pPr>
        <w:jc w:val="both"/>
        <w:rPr>
          <w:rFonts w:eastAsia="MS Mincho"/>
          <w:sz w:val="22"/>
          <w:szCs w:val="22"/>
          <w:lang w:eastAsia="ja-JP"/>
        </w:rPr>
      </w:pPr>
      <w:r w:rsidRPr="00F83412">
        <w:rPr>
          <w:rFonts w:eastAsia="MS Mincho"/>
          <w:sz w:val="22"/>
          <w:szCs w:val="22"/>
          <w:lang w:eastAsia="ja-JP"/>
        </w:rPr>
        <w:t>Some resource will also be required on the part of the local planning authority to scrutinise notifications  even if no further action is required – estimated to be £61. This is estimated by assuming it takes 3.5 hours to process any application and costs £17.39 per hour (based on hourly earnings for town planners in ASHE database 2011)</w:t>
      </w:r>
      <w:r w:rsidRPr="00F83412">
        <w:rPr>
          <w:rStyle w:val="FootnoteReference"/>
          <w:rFonts w:eastAsia="MS Mincho"/>
          <w:lang w:eastAsia="ja-JP"/>
        </w:rPr>
        <w:footnoteReference w:id="5"/>
      </w:r>
    </w:p>
    <w:p w:rsidR="004F04A9" w:rsidRPr="00F83412" w:rsidRDefault="004F04A9" w:rsidP="004F04A9">
      <w:pPr>
        <w:jc w:val="both"/>
        <w:rPr>
          <w:rFonts w:eastAsia="MS Mincho"/>
          <w:sz w:val="22"/>
          <w:szCs w:val="22"/>
          <w:lang w:eastAsia="ja-JP"/>
        </w:rPr>
      </w:pPr>
    </w:p>
    <w:p w:rsidR="004F04A9" w:rsidRPr="00F83412" w:rsidRDefault="004F04A9" w:rsidP="004F04A9">
      <w:pPr>
        <w:jc w:val="both"/>
        <w:rPr>
          <w:rFonts w:eastAsia="MS Mincho"/>
          <w:sz w:val="22"/>
          <w:szCs w:val="22"/>
          <w:lang w:eastAsia="ja-JP"/>
        </w:rPr>
      </w:pPr>
      <w:r w:rsidRPr="00F83412">
        <w:rPr>
          <w:rFonts w:eastAsia="MS Mincho"/>
          <w:sz w:val="22"/>
          <w:szCs w:val="22"/>
          <w:lang w:eastAsia="ja-JP"/>
        </w:rPr>
        <w:t>Both these resources have been calculated in this IA as part of a reduction in possible savings, these savings are fully realised</w:t>
      </w:r>
      <w:r>
        <w:rPr>
          <w:rFonts w:eastAsia="MS Mincho"/>
          <w:sz w:val="22"/>
          <w:szCs w:val="22"/>
          <w:lang w:eastAsia="ja-JP"/>
        </w:rPr>
        <w:t xml:space="preserve"> and take account of non-wage costs.</w:t>
      </w:r>
      <w:r>
        <w:rPr>
          <w:rStyle w:val="FootnoteReference"/>
          <w:rFonts w:eastAsia="MS Mincho"/>
          <w:lang w:eastAsia="ja-JP"/>
        </w:rPr>
        <w:footnoteReference w:id="6"/>
      </w:r>
    </w:p>
    <w:p w:rsidR="002411BB" w:rsidRDefault="002411BB" w:rsidP="00E6798F">
      <w:pPr>
        <w:pStyle w:val="EBBodyPara"/>
        <w:keepNext/>
        <w:spacing w:after="0"/>
        <w:jc w:val="both"/>
        <w:rPr>
          <w:color w:val="auto"/>
        </w:rPr>
      </w:pPr>
    </w:p>
    <w:p w:rsidR="0089782B" w:rsidRPr="00F83412" w:rsidRDefault="0089782B" w:rsidP="00E6798F">
      <w:pPr>
        <w:pStyle w:val="EBBodyPara"/>
        <w:keepNext/>
        <w:spacing w:after="0"/>
        <w:jc w:val="both"/>
        <w:rPr>
          <w:color w:val="auto"/>
        </w:rPr>
      </w:pPr>
    </w:p>
    <w:p w:rsidR="000006EB" w:rsidRPr="00F83412" w:rsidRDefault="000006EB" w:rsidP="009D6323">
      <w:pPr>
        <w:pStyle w:val="EBBodyPara"/>
        <w:keepNext/>
        <w:spacing w:after="0"/>
        <w:jc w:val="both"/>
        <w:rPr>
          <w:color w:val="auto"/>
        </w:rPr>
      </w:pPr>
    </w:p>
    <w:tbl>
      <w:tblPr>
        <w:tblW w:w="10300" w:type="dxa"/>
        <w:tblInd w:w="98" w:type="dxa"/>
        <w:tblLook w:val="00A0" w:firstRow="1" w:lastRow="0" w:firstColumn="1" w:lastColumn="0" w:noHBand="0" w:noVBand="0"/>
      </w:tblPr>
      <w:tblGrid>
        <w:gridCol w:w="3100"/>
        <w:gridCol w:w="1200"/>
        <w:gridCol w:w="1200"/>
        <w:gridCol w:w="1200"/>
        <w:gridCol w:w="1200"/>
        <w:gridCol w:w="1200"/>
        <w:gridCol w:w="1200"/>
      </w:tblGrid>
      <w:tr w:rsidR="000006EB" w:rsidRPr="00F83412">
        <w:trPr>
          <w:trHeight w:val="315"/>
        </w:trPr>
        <w:tc>
          <w:tcPr>
            <w:tcW w:w="3100" w:type="dxa"/>
            <w:tcBorders>
              <w:top w:val="single" w:sz="8" w:space="0" w:color="auto"/>
              <w:left w:val="single" w:sz="8" w:space="0" w:color="auto"/>
              <w:bottom w:val="single" w:sz="8" w:space="0" w:color="auto"/>
              <w:right w:val="single" w:sz="8" w:space="0" w:color="auto"/>
            </w:tcBorders>
            <w:vAlign w:val="center"/>
          </w:tcPr>
          <w:p w:rsidR="000006EB" w:rsidRPr="00F83412" w:rsidRDefault="000006EB" w:rsidP="009D6323">
            <w:pPr>
              <w:jc w:val="center"/>
              <w:rPr>
                <w:lang w:eastAsia="en-GB"/>
              </w:rPr>
            </w:pPr>
            <w:r w:rsidRPr="00F83412">
              <w:rPr>
                <w:sz w:val="22"/>
                <w:szCs w:val="22"/>
                <w:lang w:eastAsia="en-GB"/>
              </w:rPr>
              <w:t>£ million 2009 prices </w:t>
            </w:r>
          </w:p>
        </w:tc>
        <w:tc>
          <w:tcPr>
            <w:tcW w:w="1200" w:type="dxa"/>
            <w:tcBorders>
              <w:top w:val="single" w:sz="8" w:space="0" w:color="auto"/>
              <w:left w:val="nil"/>
              <w:bottom w:val="single" w:sz="8" w:space="0" w:color="auto"/>
              <w:right w:val="single" w:sz="8" w:space="0" w:color="auto"/>
            </w:tcBorders>
            <w:vAlign w:val="center"/>
          </w:tcPr>
          <w:p w:rsidR="000006EB" w:rsidRPr="00F83412" w:rsidRDefault="000006EB" w:rsidP="009D6323">
            <w:pPr>
              <w:jc w:val="center"/>
              <w:rPr>
                <w:b/>
                <w:bCs/>
                <w:lang w:eastAsia="en-GB"/>
              </w:rPr>
            </w:pPr>
            <w:r w:rsidRPr="00F83412">
              <w:rPr>
                <w:b/>
                <w:bCs/>
                <w:sz w:val="22"/>
                <w:szCs w:val="22"/>
                <w:lang w:eastAsia="en-GB"/>
              </w:rPr>
              <w:t>Year 0</w:t>
            </w:r>
          </w:p>
        </w:tc>
        <w:tc>
          <w:tcPr>
            <w:tcW w:w="1200" w:type="dxa"/>
            <w:tcBorders>
              <w:top w:val="single" w:sz="8" w:space="0" w:color="auto"/>
              <w:left w:val="nil"/>
              <w:bottom w:val="single" w:sz="8" w:space="0" w:color="auto"/>
              <w:right w:val="single" w:sz="8" w:space="0" w:color="auto"/>
            </w:tcBorders>
            <w:vAlign w:val="center"/>
          </w:tcPr>
          <w:p w:rsidR="000006EB" w:rsidRPr="00F83412" w:rsidRDefault="000006EB" w:rsidP="009D6323">
            <w:pPr>
              <w:jc w:val="center"/>
              <w:rPr>
                <w:b/>
                <w:bCs/>
                <w:lang w:eastAsia="en-GB"/>
              </w:rPr>
            </w:pPr>
            <w:r w:rsidRPr="00F83412">
              <w:rPr>
                <w:b/>
                <w:bCs/>
                <w:sz w:val="22"/>
                <w:szCs w:val="22"/>
                <w:lang w:eastAsia="en-GB"/>
              </w:rPr>
              <w:t>Year 1</w:t>
            </w:r>
          </w:p>
        </w:tc>
        <w:tc>
          <w:tcPr>
            <w:tcW w:w="1200" w:type="dxa"/>
            <w:tcBorders>
              <w:top w:val="single" w:sz="8" w:space="0" w:color="auto"/>
              <w:left w:val="nil"/>
              <w:bottom w:val="single" w:sz="8" w:space="0" w:color="auto"/>
              <w:right w:val="single" w:sz="8" w:space="0" w:color="auto"/>
            </w:tcBorders>
            <w:vAlign w:val="center"/>
          </w:tcPr>
          <w:p w:rsidR="000006EB" w:rsidRPr="00F83412" w:rsidRDefault="000006EB" w:rsidP="009D6323">
            <w:pPr>
              <w:jc w:val="center"/>
              <w:rPr>
                <w:b/>
                <w:bCs/>
                <w:lang w:eastAsia="en-GB"/>
              </w:rPr>
            </w:pPr>
            <w:r w:rsidRPr="00F83412">
              <w:rPr>
                <w:b/>
                <w:bCs/>
                <w:sz w:val="22"/>
                <w:szCs w:val="22"/>
                <w:lang w:eastAsia="en-GB"/>
              </w:rPr>
              <w:t>Year 2</w:t>
            </w:r>
          </w:p>
        </w:tc>
        <w:tc>
          <w:tcPr>
            <w:tcW w:w="1200" w:type="dxa"/>
            <w:tcBorders>
              <w:top w:val="single" w:sz="8" w:space="0" w:color="auto"/>
              <w:left w:val="nil"/>
              <w:bottom w:val="single" w:sz="8" w:space="0" w:color="auto"/>
              <w:right w:val="single" w:sz="8" w:space="0" w:color="auto"/>
            </w:tcBorders>
            <w:vAlign w:val="center"/>
          </w:tcPr>
          <w:p w:rsidR="000006EB" w:rsidRPr="00F83412" w:rsidRDefault="000006EB" w:rsidP="009D6323">
            <w:pPr>
              <w:jc w:val="center"/>
              <w:rPr>
                <w:b/>
                <w:bCs/>
                <w:lang w:eastAsia="en-GB"/>
              </w:rPr>
            </w:pPr>
            <w:r w:rsidRPr="00F83412">
              <w:rPr>
                <w:b/>
                <w:bCs/>
                <w:sz w:val="22"/>
                <w:szCs w:val="22"/>
                <w:lang w:eastAsia="en-GB"/>
              </w:rPr>
              <w:t>Year 3</w:t>
            </w:r>
          </w:p>
        </w:tc>
        <w:tc>
          <w:tcPr>
            <w:tcW w:w="1200" w:type="dxa"/>
            <w:tcBorders>
              <w:top w:val="single" w:sz="8" w:space="0" w:color="auto"/>
              <w:left w:val="nil"/>
              <w:bottom w:val="single" w:sz="8" w:space="0" w:color="auto"/>
              <w:right w:val="single" w:sz="8" w:space="0" w:color="auto"/>
            </w:tcBorders>
            <w:vAlign w:val="center"/>
          </w:tcPr>
          <w:p w:rsidR="000006EB" w:rsidRPr="00F83412" w:rsidRDefault="000006EB" w:rsidP="009D6323">
            <w:pPr>
              <w:jc w:val="center"/>
              <w:rPr>
                <w:b/>
                <w:bCs/>
                <w:lang w:eastAsia="en-GB"/>
              </w:rPr>
            </w:pPr>
            <w:r w:rsidRPr="00F83412">
              <w:rPr>
                <w:b/>
                <w:bCs/>
                <w:sz w:val="22"/>
                <w:szCs w:val="22"/>
                <w:lang w:eastAsia="en-GB"/>
              </w:rPr>
              <w:t>Year 4</w:t>
            </w:r>
          </w:p>
        </w:tc>
        <w:tc>
          <w:tcPr>
            <w:tcW w:w="1200" w:type="dxa"/>
            <w:tcBorders>
              <w:top w:val="single" w:sz="8" w:space="0" w:color="auto"/>
              <w:left w:val="nil"/>
              <w:bottom w:val="single" w:sz="8" w:space="0" w:color="auto"/>
              <w:right w:val="single" w:sz="8" w:space="0" w:color="auto"/>
            </w:tcBorders>
            <w:vAlign w:val="center"/>
          </w:tcPr>
          <w:p w:rsidR="000006EB" w:rsidRPr="00F83412" w:rsidRDefault="000006EB" w:rsidP="009D6323">
            <w:pPr>
              <w:jc w:val="center"/>
              <w:rPr>
                <w:b/>
                <w:bCs/>
                <w:lang w:eastAsia="en-GB"/>
              </w:rPr>
            </w:pPr>
            <w:r w:rsidRPr="00F83412">
              <w:rPr>
                <w:b/>
                <w:bCs/>
                <w:sz w:val="22"/>
                <w:szCs w:val="22"/>
                <w:lang w:eastAsia="en-GB"/>
              </w:rPr>
              <w:t>Year 5</w:t>
            </w:r>
          </w:p>
        </w:tc>
      </w:tr>
      <w:tr w:rsidR="000006EB" w:rsidRPr="00F83412">
        <w:trPr>
          <w:trHeight w:val="300"/>
        </w:trPr>
        <w:tc>
          <w:tcPr>
            <w:tcW w:w="3100" w:type="dxa"/>
            <w:vMerge w:val="restart"/>
            <w:tcBorders>
              <w:top w:val="nil"/>
              <w:left w:val="single" w:sz="8" w:space="0" w:color="auto"/>
              <w:bottom w:val="single" w:sz="8" w:space="0" w:color="000000"/>
              <w:right w:val="single" w:sz="8" w:space="0" w:color="auto"/>
            </w:tcBorders>
            <w:vAlign w:val="center"/>
          </w:tcPr>
          <w:p w:rsidR="000006EB" w:rsidRPr="00F83412" w:rsidRDefault="000006EB" w:rsidP="009D6323">
            <w:pPr>
              <w:jc w:val="both"/>
              <w:rPr>
                <w:lang w:eastAsia="en-GB"/>
              </w:rPr>
            </w:pPr>
            <w:r w:rsidRPr="00F83412">
              <w:rPr>
                <w:sz w:val="22"/>
                <w:szCs w:val="22"/>
                <w:lang w:eastAsia="en-GB"/>
              </w:rPr>
              <w:t>Number of LBC applications avoided</w:t>
            </w:r>
          </w:p>
        </w:tc>
        <w:tc>
          <w:tcPr>
            <w:tcW w:w="1200" w:type="dxa"/>
            <w:tcBorders>
              <w:top w:val="nil"/>
              <w:left w:val="nil"/>
              <w:bottom w:val="nil"/>
              <w:right w:val="single" w:sz="8" w:space="0" w:color="auto"/>
            </w:tcBorders>
            <w:vAlign w:val="center"/>
          </w:tcPr>
          <w:p w:rsidR="000006EB" w:rsidRPr="00F83412" w:rsidRDefault="000006EB" w:rsidP="009D6323">
            <w:pPr>
              <w:jc w:val="right"/>
              <w:rPr>
                <w:lang w:eastAsia="en-GB"/>
              </w:rPr>
            </w:pPr>
          </w:p>
        </w:tc>
        <w:tc>
          <w:tcPr>
            <w:tcW w:w="1200" w:type="dxa"/>
            <w:tcBorders>
              <w:top w:val="nil"/>
              <w:left w:val="nil"/>
              <w:bottom w:val="nil"/>
              <w:right w:val="single" w:sz="8" w:space="0" w:color="auto"/>
            </w:tcBorders>
            <w:vAlign w:val="center"/>
          </w:tcPr>
          <w:p w:rsidR="000006EB" w:rsidRPr="00F83412" w:rsidRDefault="000006EB" w:rsidP="009D6323">
            <w:pPr>
              <w:jc w:val="right"/>
              <w:rPr>
                <w:lang w:eastAsia="en-GB"/>
              </w:rPr>
            </w:pPr>
          </w:p>
        </w:tc>
        <w:tc>
          <w:tcPr>
            <w:tcW w:w="1200" w:type="dxa"/>
            <w:tcBorders>
              <w:top w:val="nil"/>
              <w:left w:val="nil"/>
              <w:bottom w:val="nil"/>
              <w:right w:val="single" w:sz="8" w:space="0" w:color="auto"/>
            </w:tcBorders>
            <w:vAlign w:val="center"/>
          </w:tcPr>
          <w:p w:rsidR="000006EB" w:rsidRPr="00F83412" w:rsidRDefault="000006EB" w:rsidP="009D6323">
            <w:pPr>
              <w:jc w:val="right"/>
              <w:rPr>
                <w:lang w:eastAsia="en-GB"/>
              </w:rPr>
            </w:pPr>
            <w:r w:rsidRPr="00F83412">
              <w:rPr>
                <w:sz w:val="22"/>
                <w:szCs w:val="22"/>
                <w:lang w:eastAsia="en-GB"/>
              </w:rPr>
              <w:t> </w:t>
            </w:r>
          </w:p>
        </w:tc>
        <w:tc>
          <w:tcPr>
            <w:tcW w:w="1200" w:type="dxa"/>
            <w:tcBorders>
              <w:top w:val="nil"/>
              <w:left w:val="nil"/>
              <w:bottom w:val="nil"/>
              <w:right w:val="single" w:sz="8" w:space="0" w:color="auto"/>
            </w:tcBorders>
            <w:vAlign w:val="center"/>
          </w:tcPr>
          <w:p w:rsidR="000006EB" w:rsidRPr="00F83412" w:rsidRDefault="000006EB" w:rsidP="009D6323">
            <w:pPr>
              <w:jc w:val="right"/>
              <w:rPr>
                <w:lang w:eastAsia="en-GB"/>
              </w:rPr>
            </w:pPr>
            <w:r w:rsidRPr="00F83412">
              <w:rPr>
                <w:sz w:val="22"/>
                <w:szCs w:val="22"/>
                <w:lang w:eastAsia="en-GB"/>
              </w:rPr>
              <w:t> </w:t>
            </w:r>
          </w:p>
        </w:tc>
        <w:tc>
          <w:tcPr>
            <w:tcW w:w="1200" w:type="dxa"/>
            <w:tcBorders>
              <w:top w:val="nil"/>
              <w:left w:val="nil"/>
              <w:bottom w:val="nil"/>
              <w:right w:val="single" w:sz="8" w:space="0" w:color="auto"/>
            </w:tcBorders>
            <w:vAlign w:val="center"/>
          </w:tcPr>
          <w:p w:rsidR="000006EB" w:rsidRPr="00F83412" w:rsidRDefault="000006EB" w:rsidP="009D6323">
            <w:pPr>
              <w:jc w:val="right"/>
              <w:rPr>
                <w:lang w:eastAsia="en-GB"/>
              </w:rPr>
            </w:pPr>
            <w:r w:rsidRPr="00F83412">
              <w:rPr>
                <w:sz w:val="22"/>
                <w:szCs w:val="22"/>
                <w:lang w:eastAsia="en-GB"/>
              </w:rPr>
              <w:t> </w:t>
            </w:r>
          </w:p>
        </w:tc>
        <w:tc>
          <w:tcPr>
            <w:tcW w:w="1200" w:type="dxa"/>
            <w:tcBorders>
              <w:top w:val="nil"/>
              <w:left w:val="nil"/>
              <w:bottom w:val="nil"/>
              <w:right w:val="single" w:sz="8" w:space="0" w:color="auto"/>
            </w:tcBorders>
            <w:vAlign w:val="center"/>
          </w:tcPr>
          <w:p w:rsidR="000006EB" w:rsidRPr="00F83412" w:rsidRDefault="000006EB" w:rsidP="009D6323">
            <w:pPr>
              <w:jc w:val="right"/>
              <w:rPr>
                <w:lang w:eastAsia="en-GB"/>
              </w:rPr>
            </w:pPr>
            <w:r w:rsidRPr="00F83412">
              <w:rPr>
                <w:sz w:val="22"/>
                <w:szCs w:val="22"/>
                <w:lang w:eastAsia="en-GB"/>
              </w:rPr>
              <w:t> </w:t>
            </w:r>
          </w:p>
        </w:tc>
      </w:tr>
      <w:tr w:rsidR="000006EB" w:rsidRPr="00F83412">
        <w:trPr>
          <w:trHeight w:val="94"/>
        </w:trPr>
        <w:tc>
          <w:tcPr>
            <w:tcW w:w="3100" w:type="dxa"/>
            <w:vMerge/>
            <w:tcBorders>
              <w:top w:val="nil"/>
              <w:left w:val="single" w:sz="8" w:space="0" w:color="auto"/>
              <w:bottom w:val="single" w:sz="8" w:space="0" w:color="000000"/>
              <w:right w:val="single" w:sz="8" w:space="0" w:color="auto"/>
            </w:tcBorders>
            <w:vAlign w:val="center"/>
          </w:tcPr>
          <w:p w:rsidR="000006EB" w:rsidRPr="00F83412" w:rsidRDefault="000006EB" w:rsidP="009D6323">
            <w:pPr>
              <w:rPr>
                <w:lang w:eastAsia="en-GB"/>
              </w:rPr>
            </w:pPr>
          </w:p>
        </w:tc>
        <w:tc>
          <w:tcPr>
            <w:tcW w:w="1200" w:type="dxa"/>
            <w:tcBorders>
              <w:top w:val="nil"/>
              <w:left w:val="nil"/>
              <w:bottom w:val="single" w:sz="8" w:space="0" w:color="auto"/>
              <w:right w:val="single" w:sz="8" w:space="0" w:color="auto"/>
            </w:tcBorders>
            <w:vAlign w:val="center"/>
          </w:tcPr>
          <w:p w:rsidR="000006EB" w:rsidRPr="00F83412" w:rsidRDefault="000006EB" w:rsidP="009D6323">
            <w:pPr>
              <w:jc w:val="right"/>
              <w:rPr>
                <w:lang w:eastAsia="en-GB"/>
              </w:rPr>
            </w:pPr>
            <w:r w:rsidRPr="00F83412">
              <w:rPr>
                <w:sz w:val="22"/>
                <w:szCs w:val="22"/>
                <w:lang w:eastAsia="en-GB"/>
              </w:rPr>
              <w:t>500</w:t>
            </w:r>
          </w:p>
        </w:tc>
        <w:tc>
          <w:tcPr>
            <w:tcW w:w="1200" w:type="dxa"/>
            <w:tcBorders>
              <w:top w:val="nil"/>
              <w:left w:val="nil"/>
              <w:bottom w:val="single" w:sz="8" w:space="0" w:color="auto"/>
              <w:right w:val="single" w:sz="8" w:space="0" w:color="auto"/>
            </w:tcBorders>
            <w:vAlign w:val="center"/>
          </w:tcPr>
          <w:p w:rsidR="000006EB" w:rsidRPr="00F83412" w:rsidRDefault="000006EB" w:rsidP="009D6323">
            <w:pPr>
              <w:jc w:val="right"/>
              <w:rPr>
                <w:lang w:eastAsia="en-GB"/>
              </w:rPr>
            </w:pPr>
            <w:r w:rsidRPr="00F83412">
              <w:rPr>
                <w:sz w:val="22"/>
                <w:szCs w:val="22"/>
                <w:lang w:eastAsia="en-GB"/>
              </w:rPr>
              <w:t>1250</w:t>
            </w:r>
          </w:p>
        </w:tc>
        <w:tc>
          <w:tcPr>
            <w:tcW w:w="1200" w:type="dxa"/>
            <w:tcBorders>
              <w:top w:val="nil"/>
              <w:left w:val="nil"/>
              <w:bottom w:val="single" w:sz="8" w:space="0" w:color="auto"/>
              <w:right w:val="single" w:sz="8" w:space="0" w:color="auto"/>
            </w:tcBorders>
            <w:vAlign w:val="center"/>
          </w:tcPr>
          <w:p w:rsidR="000006EB" w:rsidRPr="00F83412" w:rsidRDefault="000006EB" w:rsidP="009D6323">
            <w:pPr>
              <w:jc w:val="right"/>
              <w:rPr>
                <w:lang w:eastAsia="en-GB"/>
              </w:rPr>
            </w:pPr>
            <w:r w:rsidRPr="00F83412">
              <w:rPr>
                <w:sz w:val="22"/>
                <w:szCs w:val="22"/>
                <w:lang w:eastAsia="en-GB"/>
              </w:rPr>
              <w:t>2000</w:t>
            </w:r>
          </w:p>
        </w:tc>
        <w:tc>
          <w:tcPr>
            <w:tcW w:w="1200" w:type="dxa"/>
            <w:tcBorders>
              <w:top w:val="nil"/>
              <w:left w:val="nil"/>
              <w:bottom w:val="single" w:sz="8" w:space="0" w:color="auto"/>
              <w:right w:val="single" w:sz="8" w:space="0" w:color="auto"/>
            </w:tcBorders>
            <w:vAlign w:val="center"/>
          </w:tcPr>
          <w:p w:rsidR="000006EB" w:rsidRPr="00F83412" w:rsidRDefault="000006EB" w:rsidP="009D6323">
            <w:pPr>
              <w:jc w:val="right"/>
              <w:rPr>
                <w:lang w:eastAsia="en-GB"/>
              </w:rPr>
            </w:pPr>
            <w:r w:rsidRPr="00F83412">
              <w:rPr>
                <w:sz w:val="22"/>
                <w:szCs w:val="22"/>
                <w:lang w:eastAsia="en-GB"/>
              </w:rPr>
              <w:t>3000</w:t>
            </w:r>
          </w:p>
        </w:tc>
        <w:tc>
          <w:tcPr>
            <w:tcW w:w="1200" w:type="dxa"/>
            <w:tcBorders>
              <w:top w:val="nil"/>
              <w:left w:val="nil"/>
              <w:bottom w:val="single" w:sz="8" w:space="0" w:color="auto"/>
              <w:right w:val="single" w:sz="8" w:space="0" w:color="auto"/>
            </w:tcBorders>
            <w:vAlign w:val="center"/>
          </w:tcPr>
          <w:p w:rsidR="000006EB" w:rsidRPr="00F83412" w:rsidRDefault="000006EB" w:rsidP="009D6323">
            <w:pPr>
              <w:jc w:val="right"/>
              <w:rPr>
                <w:lang w:eastAsia="en-GB"/>
              </w:rPr>
            </w:pPr>
            <w:r w:rsidRPr="00F83412">
              <w:rPr>
                <w:sz w:val="22"/>
                <w:szCs w:val="22"/>
                <w:lang w:eastAsia="en-GB"/>
              </w:rPr>
              <w:t>4000</w:t>
            </w:r>
          </w:p>
        </w:tc>
        <w:tc>
          <w:tcPr>
            <w:tcW w:w="1200" w:type="dxa"/>
            <w:tcBorders>
              <w:top w:val="nil"/>
              <w:left w:val="nil"/>
              <w:bottom w:val="single" w:sz="8" w:space="0" w:color="auto"/>
              <w:right w:val="single" w:sz="8" w:space="0" w:color="auto"/>
            </w:tcBorders>
            <w:vAlign w:val="center"/>
          </w:tcPr>
          <w:p w:rsidR="000006EB" w:rsidRPr="00F83412" w:rsidRDefault="000006EB" w:rsidP="009D6323">
            <w:pPr>
              <w:jc w:val="right"/>
              <w:rPr>
                <w:lang w:eastAsia="en-GB"/>
              </w:rPr>
            </w:pPr>
            <w:r w:rsidRPr="00F83412">
              <w:rPr>
                <w:sz w:val="22"/>
                <w:szCs w:val="22"/>
                <w:lang w:eastAsia="en-GB"/>
              </w:rPr>
              <w:t>5000</w:t>
            </w:r>
          </w:p>
        </w:tc>
      </w:tr>
      <w:tr w:rsidR="000006EB" w:rsidRPr="00F83412">
        <w:trPr>
          <w:trHeight w:val="300"/>
        </w:trPr>
        <w:tc>
          <w:tcPr>
            <w:tcW w:w="3100" w:type="dxa"/>
            <w:vMerge w:val="restart"/>
            <w:tcBorders>
              <w:top w:val="nil"/>
              <w:left w:val="single" w:sz="8" w:space="0" w:color="auto"/>
              <w:bottom w:val="single" w:sz="8" w:space="0" w:color="000000"/>
              <w:right w:val="single" w:sz="8" w:space="0" w:color="auto"/>
            </w:tcBorders>
            <w:vAlign w:val="center"/>
          </w:tcPr>
          <w:p w:rsidR="000006EB" w:rsidRPr="00F83412" w:rsidRDefault="000006EB" w:rsidP="009D6323">
            <w:pPr>
              <w:jc w:val="both"/>
              <w:rPr>
                <w:lang w:eastAsia="en-GB"/>
              </w:rPr>
            </w:pPr>
            <w:r w:rsidRPr="00F83412">
              <w:rPr>
                <w:sz w:val="22"/>
                <w:szCs w:val="22"/>
                <w:lang w:eastAsia="en-GB"/>
              </w:rPr>
              <w:t>Estimated Saving to LPAs (£)</w:t>
            </w:r>
          </w:p>
        </w:tc>
        <w:tc>
          <w:tcPr>
            <w:tcW w:w="1200" w:type="dxa"/>
            <w:tcBorders>
              <w:top w:val="nil"/>
              <w:left w:val="nil"/>
              <w:bottom w:val="nil"/>
              <w:right w:val="single" w:sz="8" w:space="0" w:color="auto"/>
            </w:tcBorders>
            <w:vAlign w:val="center"/>
          </w:tcPr>
          <w:p w:rsidR="000006EB" w:rsidRPr="00F83412" w:rsidRDefault="000006EB" w:rsidP="009D6323">
            <w:pPr>
              <w:jc w:val="right"/>
              <w:rPr>
                <w:lang w:eastAsia="en-GB"/>
              </w:rPr>
            </w:pPr>
            <w:r w:rsidRPr="00F83412">
              <w:rPr>
                <w:sz w:val="22"/>
                <w:szCs w:val="22"/>
                <w:lang w:eastAsia="en-GB"/>
              </w:rPr>
              <w:t xml:space="preserve">           0.3 </w:t>
            </w:r>
          </w:p>
        </w:tc>
        <w:tc>
          <w:tcPr>
            <w:tcW w:w="1200" w:type="dxa"/>
            <w:tcBorders>
              <w:top w:val="nil"/>
              <w:left w:val="nil"/>
              <w:bottom w:val="nil"/>
              <w:right w:val="single" w:sz="8" w:space="0" w:color="auto"/>
            </w:tcBorders>
            <w:vAlign w:val="center"/>
          </w:tcPr>
          <w:p w:rsidR="000006EB" w:rsidRPr="00F83412" w:rsidRDefault="000006EB" w:rsidP="009D6323">
            <w:pPr>
              <w:jc w:val="right"/>
              <w:rPr>
                <w:lang w:eastAsia="en-GB"/>
              </w:rPr>
            </w:pPr>
            <w:r w:rsidRPr="00F83412">
              <w:rPr>
                <w:sz w:val="22"/>
                <w:szCs w:val="22"/>
                <w:lang w:eastAsia="en-GB"/>
              </w:rPr>
              <w:t xml:space="preserve">           0.8 </w:t>
            </w:r>
          </w:p>
        </w:tc>
        <w:tc>
          <w:tcPr>
            <w:tcW w:w="1200" w:type="dxa"/>
            <w:tcBorders>
              <w:top w:val="nil"/>
              <w:left w:val="nil"/>
              <w:bottom w:val="nil"/>
              <w:right w:val="single" w:sz="8" w:space="0" w:color="auto"/>
            </w:tcBorders>
            <w:vAlign w:val="center"/>
          </w:tcPr>
          <w:p w:rsidR="000006EB" w:rsidRPr="00F83412" w:rsidRDefault="000006EB" w:rsidP="009D6323">
            <w:pPr>
              <w:jc w:val="right"/>
              <w:rPr>
                <w:lang w:eastAsia="en-GB"/>
              </w:rPr>
            </w:pPr>
            <w:r w:rsidRPr="00F83412">
              <w:rPr>
                <w:sz w:val="22"/>
                <w:szCs w:val="22"/>
                <w:lang w:eastAsia="en-GB"/>
              </w:rPr>
              <w:t xml:space="preserve">           1.3 </w:t>
            </w:r>
          </w:p>
        </w:tc>
        <w:tc>
          <w:tcPr>
            <w:tcW w:w="1200" w:type="dxa"/>
            <w:tcBorders>
              <w:top w:val="nil"/>
              <w:left w:val="nil"/>
              <w:bottom w:val="nil"/>
              <w:right w:val="single" w:sz="8" w:space="0" w:color="auto"/>
            </w:tcBorders>
            <w:vAlign w:val="center"/>
          </w:tcPr>
          <w:p w:rsidR="000006EB" w:rsidRPr="00F83412" w:rsidRDefault="000006EB" w:rsidP="009D6323">
            <w:pPr>
              <w:jc w:val="right"/>
              <w:rPr>
                <w:lang w:eastAsia="en-GB"/>
              </w:rPr>
            </w:pPr>
            <w:r w:rsidRPr="00F83412">
              <w:rPr>
                <w:sz w:val="22"/>
                <w:szCs w:val="22"/>
                <w:lang w:eastAsia="en-GB"/>
              </w:rPr>
              <w:t xml:space="preserve">           2.0 </w:t>
            </w:r>
          </w:p>
        </w:tc>
        <w:tc>
          <w:tcPr>
            <w:tcW w:w="1200" w:type="dxa"/>
            <w:tcBorders>
              <w:top w:val="nil"/>
              <w:left w:val="nil"/>
              <w:bottom w:val="nil"/>
              <w:right w:val="single" w:sz="8" w:space="0" w:color="auto"/>
            </w:tcBorders>
            <w:vAlign w:val="center"/>
          </w:tcPr>
          <w:p w:rsidR="000006EB" w:rsidRPr="00F83412" w:rsidRDefault="000006EB" w:rsidP="009D6323">
            <w:pPr>
              <w:jc w:val="right"/>
              <w:rPr>
                <w:lang w:eastAsia="en-GB"/>
              </w:rPr>
            </w:pPr>
            <w:r w:rsidRPr="00F83412">
              <w:rPr>
                <w:sz w:val="22"/>
                <w:szCs w:val="22"/>
                <w:lang w:eastAsia="en-GB"/>
              </w:rPr>
              <w:t xml:space="preserve">           2.6 </w:t>
            </w:r>
          </w:p>
        </w:tc>
        <w:tc>
          <w:tcPr>
            <w:tcW w:w="1200" w:type="dxa"/>
            <w:tcBorders>
              <w:top w:val="nil"/>
              <w:left w:val="nil"/>
              <w:bottom w:val="nil"/>
              <w:right w:val="single" w:sz="8" w:space="0" w:color="auto"/>
            </w:tcBorders>
            <w:vAlign w:val="center"/>
          </w:tcPr>
          <w:p w:rsidR="000006EB" w:rsidRPr="00F83412" w:rsidRDefault="000006EB" w:rsidP="009D6323">
            <w:pPr>
              <w:jc w:val="right"/>
              <w:rPr>
                <w:lang w:eastAsia="en-GB"/>
              </w:rPr>
            </w:pPr>
            <w:r w:rsidRPr="00F83412">
              <w:rPr>
                <w:sz w:val="22"/>
                <w:szCs w:val="22"/>
                <w:lang w:eastAsia="en-GB"/>
              </w:rPr>
              <w:t xml:space="preserve">           3.3 </w:t>
            </w:r>
          </w:p>
        </w:tc>
      </w:tr>
      <w:tr w:rsidR="000006EB" w:rsidRPr="00F83412" w:rsidTr="002D0891">
        <w:trPr>
          <w:trHeight w:val="60"/>
        </w:trPr>
        <w:tc>
          <w:tcPr>
            <w:tcW w:w="3100" w:type="dxa"/>
            <w:vMerge/>
            <w:tcBorders>
              <w:top w:val="nil"/>
              <w:left w:val="single" w:sz="8" w:space="0" w:color="auto"/>
              <w:bottom w:val="single" w:sz="8" w:space="0" w:color="000000"/>
              <w:right w:val="single" w:sz="8" w:space="0" w:color="auto"/>
            </w:tcBorders>
            <w:vAlign w:val="center"/>
          </w:tcPr>
          <w:p w:rsidR="000006EB" w:rsidRPr="00F83412" w:rsidRDefault="000006EB" w:rsidP="009D6323">
            <w:pPr>
              <w:rPr>
                <w:lang w:eastAsia="en-GB"/>
              </w:rPr>
            </w:pPr>
          </w:p>
        </w:tc>
        <w:tc>
          <w:tcPr>
            <w:tcW w:w="1200" w:type="dxa"/>
            <w:tcBorders>
              <w:top w:val="nil"/>
              <w:left w:val="nil"/>
              <w:bottom w:val="single" w:sz="8" w:space="0" w:color="auto"/>
              <w:right w:val="single" w:sz="8" w:space="0" w:color="auto"/>
            </w:tcBorders>
            <w:vAlign w:val="center"/>
          </w:tcPr>
          <w:p w:rsidR="000006EB" w:rsidRPr="00F83412" w:rsidRDefault="000006EB" w:rsidP="009D6323">
            <w:pPr>
              <w:jc w:val="right"/>
              <w:rPr>
                <w:lang w:eastAsia="en-GB"/>
              </w:rPr>
            </w:pPr>
            <w:r w:rsidRPr="00F83412">
              <w:rPr>
                <w:sz w:val="22"/>
                <w:szCs w:val="22"/>
                <w:lang w:eastAsia="en-GB"/>
              </w:rPr>
              <w:t> </w:t>
            </w:r>
          </w:p>
        </w:tc>
        <w:tc>
          <w:tcPr>
            <w:tcW w:w="1200" w:type="dxa"/>
            <w:tcBorders>
              <w:top w:val="nil"/>
              <w:left w:val="nil"/>
              <w:bottom w:val="single" w:sz="8" w:space="0" w:color="auto"/>
              <w:right w:val="single" w:sz="8" w:space="0" w:color="auto"/>
            </w:tcBorders>
            <w:vAlign w:val="center"/>
          </w:tcPr>
          <w:p w:rsidR="000006EB" w:rsidRPr="00F83412" w:rsidRDefault="000006EB" w:rsidP="009D6323">
            <w:pPr>
              <w:jc w:val="right"/>
              <w:rPr>
                <w:lang w:eastAsia="en-GB"/>
              </w:rPr>
            </w:pPr>
            <w:r w:rsidRPr="00F83412">
              <w:rPr>
                <w:sz w:val="22"/>
                <w:szCs w:val="22"/>
                <w:lang w:eastAsia="en-GB"/>
              </w:rPr>
              <w:t> </w:t>
            </w:r>
          </w:p>
        </w:tc>
        <w:tc>
          <w:tcPr>
            <w:tcW w:w="1200" w:type="dxa"/>
            <w:tcBorders>
              <w:top w:val="nil"/>
              <w:left w:val="nil"/>
              <w:bottom w:val="single" w:sz="8" w:space="0" w:color="auto"/>
              <w:right w:val="single" w:sz="8" w:space="0" w:color="auto"/>
            </w:tcBorders>
            <w:vAlign w:val="center"/>
          </w:tcPr>
          <w:p w:rsidR="000006EB" w:rsidRPr="00F83412" w:rsidRDefault="000006EB" w:rsidP="009D6323">
            <w:pPr>
              <w:jc w:val="right"/>
              <w:rPr>
                <w:lang w:eastAsia="en-GB"/>
              </w:rPr>
            </w:pPr>
            <w:r w:rsidRPr="00F83412">
              <w:rPr>
                <w:sz w:val="22"/>
                <w:szCs w:val="22"/>
                <w:lang w:eastAsia="en-GB"/>
              </w:rPr>
              <w:t> </w:t>
            </w:r>
          </w:p>
        </w:tc>
        <w:tc>
          <w:tcPr>
            <w:tcW w:w="1200" w:type="dxa"/>
            <w:tcBorders>
              <w:top w:val="nil"/>
              <w:left w:val="nil"/>
              <w:bottom w:val="single" w:sz="8" w:space="0" w:color="auto"/>
              <w:right w:val="single" w:sz="8" w:space="0" w:color="auto"/>
            </w:tcBorders>
            <w:vAlign w:val="center"/>
          </w:tcPr>
          <w:p w:rsidR="000006EB" w:rsidRPr="00F83412" w:rsidRDefault="000006EB" w:rsidP="009D6323">
            <w:pPr>
              <w:jc w:val="right"/>
              <w:rPr>
                <w:lang w:eastAsia="en-GB"/>
              </w:rPr>
            </w:pPr>
            <w:r w:rsidRPr="00F83412">
              <w:rPr>
                <w:sz w:val="22"/>
                <w:szCs w:val="22"/>
                <w:lang w:eastAsia="en-GB"/>
              </w:rPr>
              <w:t> </w:t>
            </w:r>
          </w:p>
        </w:tc>
        <w:tc>
          <w:tcPr>
            <w:tcW w:w="1200" w:type="dxa"/>
            <w:tcBorders>
              <w:top w:val="nil"/>
              <w:left w:val="nil"/>
              <w:bottom w:val="single" w:sz="8" w:space="0" w:color="auto"/>
              <w:right w:val="single" w:sz="8" w:space="0" w:color="auto"/>
            </w:tcBorders>
            <w:vAlign w:val="center"/>
          </w:tcPr>
          <w:p w:rsidR="000006EB" w:rsidRPr="00F83412" w:rsidRDefault="000006EB" w:rsidP="009D6323">
            <w:pPr>
              <w:jc w:val="right"/>
              <w:rPr>
                <w:lang w:eastAsia="en-GB"/>
              </w:rPr>
            </w:pPr>
            <w:r w:rsidRPr="00F83412">
              <w:rPr>
                <w:sz w:val="22"/>
                <w:szCs w:val="22"/>
                <w:lang w:eastAsia="en-GB"/>
              </w:rPr>
              <w:t> </w:t>
            </w:r>
          </w:p>
        </w:tc>
        <w:tc>
          <w:tcPr>
            <w:tcW w:w="1200" w:type="dxa"/>
            <w:tcBorders>
              <w:top w:val="nil"/>
              <w:left w:val="nil"/>
              <w:bottom w:val="single" w:sz="8" w:space="0" w:color="auto"/>
              <w:right w:val="single" w:sz="8" w:space="0" w:color="auto"/>
            </w:tcBorders>
            <w:vAlign w:val="center"/>
          </w:tcPr>
          <w:p w:rsidR="000006EB" w:rsidRPr="00F83412" w:rsidRDefault="000006EB" w:rsidP="009D6323">
            <w:pPr>
              <w:jc w:val="right"/>
              <w:rPr>
                <w:lang w:eastAsia="en-GB"/>
              </w:rPr>
            </w:pPr>
            <w:r w:rsidRPr="00F83412">
              <w:rPr>
                <w:sz w:val="22"/>
                <w:szCs w:val="22"/>
                <w:lang w:eastAsia="en-GB"/>
              </w:rPr>
              <w:t> </w:t>
            </w:r>
          </w:p>
        </w:tc>
      </w:tr>
      <w:tr w:rsidR="000006EB" w:rsidRPr="00F83412">
        <w:trPr>
          <w:trHeight w:val="300"/>
        </w:trPr>
        <w:tc>
          <w:tcPr>
            <w:tcW w:w="3100" w:type="dxa"/>
            <w:vMerge w:val="restart"/>
            <w:tcBorders>
              <w:top w:val="nil"/>
              <w:left w:val="single" w:sz="8" w:space="0" w:color="auto"/>
              <w:bottom w:val="single" w:sz="8" w:space="0" w:color="000000"/>
              <w:right w:val="single" w:sz="8" w:space="0" w:color="auto"/>
            </w:tcBorders>
            <w:vAlign w:val="center"/>
          </w:tcPr>
          <w:p w:rsidR="000006EB" w:rsidRPr="00F83412" w:rsidRDefault="000006EB" w:rsidP="009D6323">
            <w:pPr>
              <w:jc w:val="both"/>
              <w:rPr>
                <w:lang w:eastAsia="en-GB"/>
              </w:rPr>
            </w:pPr>
            <w:r w:rsidRPr="00F83412">
              <w:rPr>
                <w:sz w:val="22"/>
                <w:szCs w:val="22"/>
                <w:lang w:eastAsia="en-GB"/>
              </w:rPr>
              <w:t>Estimated Saving to Applicants  (£)</w:t>
            </w:r>
          </w:p>
        </w:tc>
        <w:tc>
          <w:tcPr>
            <w:tcW w:w="1200" w:type="dxa"/>
            <w:tcBorders>
              <w:top w:val="nil"/>
              <w:left w:val="nil"/>
              <w:bottom w:val="nil"/>
              <w:right w:val="single" w:sz="8" w:space="0" w:color="auto"/>
            </w:tcBorders>
            <w:vAlign w:val="center"/>
          </w:tcPr>
          <w:p w:rsidR="000006EB" w:rsidRPr="00F83412" w:rsidRDefault="000006EB" w:rsidP="009D6323">
            <w:pPr>
              <w:jc w:val="right"/>
              <w:rPr>
                <w:lang w:eastAsia="en-GB"/>
              </w:rPr>
            </w:pPr>
            <w:r w:rsidRPr="00F83412">
              <w:rPr>
                <w:sz w:val="22"/>
                <w:szCs w:val="22"/>
                <w:lang w:eastAsia="en-GB"/>
              </w:rPr>
              <w:t xml:space="preserve">           0.5 </w:t>
            </w:r>
          </w:p>
        </w:tc>
        <w:tc>
          <w:tcPr>
            <w:tcW w:w="1200" w:type="dxa"/>
            <w:tcBorders>
              <w:top w:val="nil"/>
              <w:left w:val="nil"/>
              <w:bottom w:val="nil"/>
              <w:right w:val="single" w:sz="8" w:space="0" w:color="auto"/>
            </w:tcBorders>
            <w:vAlign w:val="center"/>
          </w:tcPr>
          <w:p w:rsidR="000006EB" w:rsidRPr="00F83412" w:rsidRDefault="000006EB" w:rsidP="009D6323">
            <w:pPr>
              <w:jc w:val="right"/>
              <w:rPr>
                <w:lang w:eastAsia="en-GB"/>
              </w:rPr>
            </w:pPr>
            <w:r w:rsidRPr="00F83412">
              <w:rPr>
                <w:sz w:val="22"/>
                <w:szCs w:val="22"/>
                <w:lang w:eastAsia="en-GB"/>
              </w:rPr>
              <w:t xml:space="preserve">           1.3 </w:t>
            </w:r>
          </w:p>
        </w:tc>
        <w:tc>
          <w:tcPr>
            <w:tcW w:w="1200" w:type="dxa"/>
            <w:tcBorders>
              <w:top w:val="nil"/>
              <w:left w:val="nil"/>
              <w:bottom w:val="nil"/>
              <w:right w:val="single" w:sz="8" w:space="0" w:color="auto"/>
            </w:tcBorders>
            <w:vAlign w:val="center"/>
          </w:tcPr>
          <w:p w:rsidR="000006EB" w:rsidRPr="00F83412" w:rsidRDefault="000006EB" w:rsidP="009D6323">
            <w:pPr>
              <w:jc w:val="right"/>
              <w:rPr>
                <w:lang w:eastAsia="en-GB"/>
              </w:rPr>
            </w:pPr>
            <w:r w:rsidRPr="00F83412">
              <w:rPr>
                <w:sz w:val="22"/>
                <w:szCs w:val="22"/>
                <w:lang w:eastAsia="en-GB"/>
              </w:rPr>
              <w:t xml:space="preserve">           2.1 </w:t>
            </w:r>
          </w:p>
        </w:tc>
        <w:tc>
          <w:tcPr>
            <w:tcW w:w="1200" w:type="dxa"/>
            <w:tcBorders>
              <w:top w:val="nil"/>
              <w:left w:val="nil"/>
              <w:bottom w:val="nil"/>
              <w:right w:val="single" w:sz="8" w:space="0" w:color="auto"/>
            </w:tcBorders>
            <w:vAlign w:val="center"/>
          </w:tcPr>
          <w:p w:rsidR="000006EB" w:rsidRPr="00F83412" w:rsidRDefault="000006EB" w:rsidP="009D6323">
            <w:pPr>
              <w:jc w:val="right"/>
              <w:rPr>
                <w:lang w:eastAsia="en-GB"/>
              </w:rPr>
            </w:pPr>
            <w:r w:rsidRPr="00F83412">
              <w:rPr>
                <w:sz w:val="22"/>
                <w:szCs w:val="22"/>
                <w:lang w:eastAsia="en-GB"/>
              </w:rPr>
              <w:t xml:space="preserve">           3.2 </w:t>
            </w:r>
          </w:p>
        </w:tc>
        <w:tc>
          <w:tcPr>
            <w:tcW w:w="1200" w:type="dxa"/>
            <w:tcBorders>
              <w:top w:val="nil"/>
              <w:left w:val="nil"/>
              <w:bottom w:val="nil"/>
              <w:right w:val="single" w:sz="8" w:space="0" w:color="auto"/>
            </w:tcBorders>
            <w:vAlign w:val="center"/>
          </w:tcPr>
          <w:p w:rsidR="000006EB" w:rsidRPr="00F83412" w:rsidRDefault="000006EB" w:rsidP="009D6323">
            <w:pPr>
              <w:jc w:val="right"/>
              <w:rPr>
                <w:lang w:eastAsia="en-GB"/>
              </w:rPr>
            </w:pPr>
            <w:r w:rsidRPr="00F83412">
              <w:rPr>
                <w:sz w:val="22"/>
                <w:szCs w:val="22"/>
                <w:lang w:eastAsia="en-GB"/>
              </w:rPr>
              <w:t xml:space="preserve">           4.2 </w:t>
            </w:r>
          </w:p>
        </w:tc>
        <w:tc>
          <w:tcPr>
            <w:tcW w:w="1200" w:type="dxa"/>
            <w:tcBorders>
              <w:top w:val="nil"/>
              <w:left w:val="nil"/>
              <w:bottom w:val="nil"/>
              <w:right w:val="single" w:sz="8" w:space="0" w:color="auto"/>
            </w:tcBorders>
            <w:vAlign w:val="center"/>
          </w:tcPr>
          <w:p w:rsidR="000006EB" w:rsidRPr="00F83412" w:rsidRDefault="000006EB" w:rsidP="009D6323">
            <w:pPr>
              <w:jc w:val="right"/>
              <w:rPr>
                <w:lang w:eastAsia="en-GB"/>
              </w:rPr>
            </w:pPr>
            <w:r w:rsidRPr="00F83412">
              <w:rPr>
                <w:sz w:val="22"/>
                <w:szCs w:val="22"/>
                <w:lang w:eastAsia="en-GB"/>
              </w:rPr>
              <w:t xml:space="preserve">           5.3 </w:t>
            </w:r>
          </w:p>
        </w:tc>
      </w:tr>
      <w:tr w:rsidR="000006EB" w:rsidRPr="00F83412">
        <w:trPr>
          <w:trHeight w:val="60"/>
        </w:trPr>
        <w:tc>
          <w:tcPr>
            <w:tcW w:w="3100" w:type="dxa"/>
            <w:vMerge/>
            <w:tcBorders>
              <w:top w:val="nil"/>
              <w:left w:val="single" w:sz="8" w:space="0" w:color="auto"/>
              <w:bottom w:val="single" w:sz="8" w:space="0" w:color="000000"/>
              <w:right w:val="single" w:sz="8" w:space="0" w:color="auto"/>
            </w:tcBorders>
            <w:vAlign w:val="center"/>
          </w:tcPr>
          <w:p w:rsidR="000006EB" w:rsidRPr="00F83412" w:rsidRDefault="000006EB" w:rsidP="009D6323">
            <w:pPr>
              <w:rPr>
                <w:lang w:eastAsia="en-GB"/>
              </w:rPr>
            </w:pPr>
          </w:p>
        </w:tc>
        <w:tc>
          <w:tcPr>
            <w:tcW w:w="1200" w:type="dxa"/>
            <w:tcBorders>
              <w:top w:val="nil"/>
              <w:left w:val="nil"/>
              <w:bottom w:val="single" w:sz="8" w:space="0" w:color="auto"/>
              <w:right w:val="single" w:sz="8" w:space="0" w:color="auto"/>
            </w:tcBorders>
            <w:vAlign w:val="center"/>
          </w:tcPr>
          <w:p w:rsidR="000006EB" w:rsidRPr="00F83412" w:rsidRDefault="000006EB" w:rsidP="009D6323">
            <w:pPr>
              <w:jc w:val="right"/>
              <w:rPr>
                <w:lang w:eastAsia="en-GB"/>
              </w:rPr>
            </w:pPr>
            <w:r w:rsidRPr="00F83412">
              <w:rPr>
                <w:sz w:val="22"/>
                <w:szCs w:val="22"/>
                <w:lang w:eastAsia="en-GB"/>
              </w:rPr>
              <w:t> </w:t>
            </w:r>
          </w:p>
        </w:tc>
        <w:tc>
          <w:tcPr>
            <w:tcW w:w="1200" w:type="dxa"/>
            <w:tcBorders>
              <w:top w:val="nil"/>
              <w:left w:val="nil"/>
              <w:bottom w:val="single" w:sz="8" w:space="0" w:color="auto"/>
              <w:right w:val="single" w:sz="8" w:space="0" w:color="auto"/>
            </w:tcBorders>
            <w:vAlign w:val="center"/>
          </w:tcPr>
          <w:p w:rsidR="000006EB" w:rsidRPr="00F83412" w:rsidRDefault="000006EB" w:rsidP="009D6323">
            <w:pPr>
              <w:jc w:val="right"/>
              <w:rPr>
                <w:lang w:eastAsia="en-GB"/>
              </w:rPr>
            </w:pPr>
            <w:r w:rsidRPr="00F83412">
              <w:rPr>
                <w:sz w:val="22"/>
                <w:szCs w:val="22"/>
                <w:lang w:eastAsia="en-GB"/>
              </w:rPr>
              <w:t> </w:t>
            </w:r>
          </w:p>
        </w:tc>
        <w:tc>
          <w:tcPr>
            <w:tcW w:w="1200" w:type="dxa"/>
            <w:tcBorders>
              <w:top w:val="nil"/>
              <w:left w:val="nil"/>
              <w:bottom w:val="single" w:sz="8" w:space="0" w:color="auto"/>
              <w:right w:val="single" w:sz="8" w:space="0" w:color="auto"/>
            </w:tcBorders>
            <w:vAlign w:val="center"/>
          </w:tcPr>
          <w:p w:rsidR="000006EB" w:rsidRPr="00F83412" w:rsidRDefault="000006EB" w:rsidP="009D6323">
            <w:pPr>
              <w:jc w:val="right"/>
              <w:rPr>
                <w:lang w:eastAsia="en-GB"/>
              </w:rPr>
            </w:pPr>
            <w:r w:rsidRPr="00F83412">
              <w:rPr>
                <w:sz w:val="22"/>
                <w:szCs w:val="22"/>
                <w:lang w:eastAsia="en-GB"/>
              </w:rPr>
              <w:t> </w:t>
            </w:r>
          </w:p>
        </w:tc>
        <w:tc>
          <w:tcPr>
            <w:tcW w:w="1200" w:type="dxa"/>
            <w:tcBorders>
              <w:top w:val="nil"/>
              <w:left w:val="nil"/>
              <w:bottom w:val="single" w:sz="8" w:space="0" w:color="auto"/>
              <w:right w:val="single" w:sz="8" w:space="0" w:color="auto"/>
            </w:tcBorders>
            <w:vAlign w:val="center"/>
          </w:tcPr>
          <w:p w:rsidR="000006EB" w:rsidRPr="00F83412" w:rsidRDefault="000006EB" w:rsidP="009D6323">
            <w:pPr>
              <w:jc w:val="right"/>
              <w:rPr>
                <w:lang w:eastAsia="en-GB"/>
              </w:rPr>
            </w:pPr>
            <w:r w:rsidRPr="00F83412">
              <w:rPr>
                <w:sz w:val="22"/>
                <w:szCs w:val="22"/>
                <w:lang w:eastAsia="en-GB"/>
              </w:rPr>
              <w:t> </w:t>
            </w:r>
          </w:p>
        </w:tc>
        <w:tc>
          <w:tcPr>
            <w:tcW w:w="1200" w:type="dxa"/>
            <w:tcBorders>
              <w:top w:val="nil"/>
              <w:left w:val="nil"/>
              <w:bottom w:val="single" w:sz="8" w:space="0" w:color="auto"/>
              <w:right w:val="single" w:sz="8" w:space="0" w:color="auto"/>
            </w:tcBorders>
            <w:vAlign w:val="center"/>
          </w:tcPr>
          <w:p w:rsidR="000006EB" w:rsidRPr="00F83412" w:rsidRDefault="000006EB" w:rsidP="009D6323">
            <w:pPr>
              <w:jc w:val="right"/>
              <w:rPr>
                <w:lang w:eastAsia="en-GB"/>
              </w:rPr>
            </w:pPr>
            <w:r w:rsidRPr="00F83412">
              <w:rPr>
                <w:sz w:val="22"/>
                <w:szCs w:val="22"/>
                <w:lang w:eastAsia="en-GB"/>
              </w:rPr>
              <w:t> </w:t>
            </w:r>
          </w:p>
        </w:tc>
        <w:tc>
          <w:tcPr>
            <w:tcW w:w="1200" w:type="dxa"/>
            <w:tcBorders>
              <w:top w:val="nil"/>
              <w:left w:val="nil"/>
              <w:bottom w:val="single" w:sz="8" w:space="0" w:color="auto"/>
              <w:right w:val="single" w:sz="8" w:space="0" w:color="auto"/>
            </w:tcBorders>
            <w:vAlign w:val="center"/>
          </w:tcPr>
          <w:p w:rsidR="000006EB" w:rsidRPr="00F83412" w:rsidRDefault="000006EB" w:rsidP="009D6323">
            <w:pPr>
              <w:jc w:val="right"/>
              <w:rPr>
                <w:lang w:eastAsia="en-GB"/>
              </w:rPr>
            </w:pPr>
            <w:r w:rsidRPr="00F83412">
              <w:rPr>
                <w:sz w:val="22"/>
                <w:szCs w:val="22"/>
                <w:lang w:eastAsia="en-GB"/>
              </w:rPr>
              <w:t> </w:t>
            </w:r>
          </w:p>
        </w:tc>
      </w:tr>
      <w:tr w:rsidR="000006EB" w:rsidRPr="00F83412">
        <w:trPr>
          <w:trHeight w:val="300"/>
        </w:trPr>
        <w:tc>
          <w:tcPr>
            <w:tcW w:w="3100" w:type="dxa"/>
            <w:tcBorders>
              <w:top w:val="nil"/>
              <w:left w:val="single" w:sz="8" w:space="0" w:color="auto"/>
              <w:bottom w:val="nil"/>
              <w:right w:val="single" w:sz="8" w:space="0" w:color="auto"/>
            </w:tcBorders>
            <w:vAlign w:val="center"/>
          </w:tcPr>
          <w:p w:rsidR="000006EB" w:rsidRPr="00F83412" w:rsidRDefault="000006EB" w:rsidP="009D6323">
            <w:pPr>
              <w:jc w:val="both"/>
              <w:rPr>
                <w:b/>
                <w:bCs/>
                <w:lang w:eastAsia="en-GB"/>
              </w:rPr>
            </w:pPr>
          </w:p>
        </w:tc>
        <w:tc>
          <w:tcPr>
            <w:tcW w:w="1200" w:type="dxa"/>
            <w:tcBorders>
              <w:top w:val="nil"/>
              <w:left w:val="nil"/>
              <w:bottom w:val="nil"/>
              <w:right w:val="single" w:sz="8" w:space="0" w:color="auto"/>
            </w:tcBorders>
            <w:vAlign w:val="center"/>
          </w:tcPr>
          <w:p w:rsidR="000006EB" w:rsidRPr="00F83412" w:rsidRDefault="000006EB" w:rsidP="009D6323">
            <w:pPr>
              <w:jc w:val="right"/>
              <w:rPr>
                <w:b/>
                <w:bCs/>
                <w:lang w:eastAsia="en-GB"/>
              </w:rPr>
            </w:pPr>
            <w:r w:rsidRPr="00F83412">
              <w:rPr>
                <w:b/>
                <w:bCs/>
                <w:sz w:val="22"/>
                <w:szCs w:val="22"/>
                <w:lang w:eastAsia="en-GB"/>
              </w:rPr>
              <w:t xml:space="preserve">           0.9 </w:t>
            </w:r>
          </w:p>
        </w:tc>
        <w:tc>
          <w:tcPr>
            <w:tcW w:w="1200" w:type="dxa"/>
            <w:tcBorders>
              <w:top w:val="nil"/>
              <w:left w:val="nil"/>
              <w:bottom w:val="nil"/>
              <w:right w:val="single" w:sz="8" w:space="0" w:color="auto"/>
            </w:tcBorders>
            <w:vAlign w:val="center"/>
          </w:tcPr>
          <w:p w:rsidR="000006EB" w:rsidRPr="00F83412" w:rsidRDefault="000006EB" w:rsidP="009D6323">
            <w:pPr>
              <w:jc w:val="right"/>
              <w:rPr>
                <w:b/>
                <w:bCs/>
                <w:lang w:eastAsia="en-GB"/>
              </w:rPr>
            </w:pPr>
            <w:r w:rsidRPr="00F83412">
              <w:rPr>
                <w:b/>
                <w:bCs/>
                <w:sz w:val="22"/>
                <w:szCs w:val="22"/>
                <w:lang w:eastAsia="en-GB"/>
              </w:rPr>
              <w:t xml:space="preserve">           2.1 </w:t>
            </w:r>
          </w:p>
        </w:tc>
        <w:tc>
          <w:tcPr>
            <w:tcW w:w="1200" w:type="dxa"/>
            <w:tcBorders>
              <w:top w:val="nil"/>
              <w:left w:val="nil"/>
              <w:bottom w:val="nil"/>
              <w:right w:val="single" w:sz="8" w:space="0" w:color="auto"/>
            </w:tcBorders>
            <w:vAlign w:val="center"/>
          </w:tcPr>
          <w:p w:rsidR="000006EB" w:rsidRPr="00F83412" w:rsidRDefault="000006EB" w:rsidP="009D6323">
            <w:pPr>
              <w:jc w:val="right"/>
              <w:rPr>
                <w:b/>
                <w:bCs/>
                <w:lang w:eastAsia="en-GB"/>
              </w:rPr>
            </w:pPr>
            <w:r w:rsidRPr="00F83412">
              <w:rPr>
                <w:b/>
                <w:bCs/>
                <w:sz w:val="22"/>
                <w:szCs w:val="22"/>
                <w:lang w:eastAsia="en-GB"/>
              </w:rPr>
              <w:t xml:space="preserve">           3.4 </w:t>
            </w:r>
          </w:p>
        </w:tc>
        <w:tc>
          <w:tcPr>
            <w:tcW w:w="1200" w:type="dxa"/>
            <w:tcBorders>
              <w:top w:val="nil"/>
              <w:left w:val="nil"/>
              <w:bottom w:val="nil"/>
              <w:right w:val="single" w:sz="8" w:space="0" w:color="auto"/>
            </w:tcBorders>
            <w:vAlign w:val="center"/>
          </w:tcPr>
          <w:p w:rsidR="000006EB" w:rsidRPr="00F83412" w:rsidRDefault="000006EB" w:rsidP="009D6323">
            <w:pPr>
              <w:jc w:val="right"/>
              <w:rPr>
                <w:b/>
                <w:bCs/>
                <w:lang w:eastAsia="en-GB"/>
              </w:rPr>
            </w:pPr>
            <w:r w:rsidRPr="00F83412">
              <w:rPr>
                <w:b/>
                <w:bCs/>
                <w:sz w:val="22"/>
                <w:szCs w:val="22"/>
                <w:lang w:eastAsia="en-GB"/>
              </w:rPr>
              <w:t xml:space="preserve">           5.2 </w:t>
            </w:r>
          </w:p>
        </w:tc>
        <w:tc>
          <w:tcPr>
            <w:tcW w:w="1200" w:type="dxa"/>
            <w:tcBorders>
              <w:top w:val="nil"/>
              <w:left w:val="nil"/>
              <w:bottom w:val="nil"/>
              <w:right w:val="single" w:sz="8" w:space="0" w:color="auto"/>
            </w:tcBorders>
            <w:vAlign w:val="center"/>
          </w:tcPr>
          <w:p w:rsidR="000006EB" w:rsidRPr="00F83412" w:rsidRDefault="000006EB" w:rsidP="009D6323">
            <w:pPr>
              <w:jc w:val="right"/>
              <w:rPr>
                <w:b/>
                <w:bCs/>
                <w:lang w:eastAsia="en-GB"/>
              </w:rPr>
            </w:pPr>
            <w:r w:rsidRPr="00F83412">
              <w:rPr>
                <w:b/>
                <w:bCs/>
                <w:sz w:val="22"/>
                <w:szCs w:val="22"/>
                <w:lang w:eastAsia="en-GB"/>
              </w:rPr>
              <w:t xml:space="preserve">           6.9 </w:t>
            </w:r>
          </w:p>
        </w:tc>
        <w:tc>
          <w:tcPr>
            <w:tcW w:w="1200" w:type="dxa"/>
            <w:tcBorders>
              <w:top w:val="nil"/>
              <w:left w:val="nil"/>
              <w:bottom w:val="nil"/>
              <w:right w:val="single" w:sz="8" w:space="0" w:color="auto"/>
            </w:tcBorders>
            <w:vAlign w:val="center"/>
          </w:tcPr>
          <w:p w:rsidR="000006EB" w:rsidRPr="00F83412" w:rsidRDefault="000006EB" w:rsidP="009D6323">
            <w:pPr>
              <w:jc w:val="right"/>
              <w:rPr>
                <w:b/>
                <w:bCs/>
                <w:lang w:eastAsia="en-GB"/>
              </w:rPr>
            </w:pPr>
            <w:r w:rsidRPr="00F83412">
              <w:rPr>
                <w:b/>
                <w:bCs/>
                <w:sz w:val="22"/>
                <w:szCs w:val="22"/>
                <w:lang w:eastAsia="en-GB"/>
              </w:rPr>
              <w:t xml:space="preserve">           8.6 </w:t>
            </w:r>
          </w:p>
        </w:tc>
      </w:tr>
      <w:tr w:rsidR="000006EB" w:rsidRPr="00F83412" w:rsidTr="002D0891">
        <w:trPr>
          <w:trHeight w:val="80"/>
        </w:trPr>
        <w:tc>
          <w:tcPr>
            <w:tcW w:w="3100" w:type="dxa"/>
            <w:tcBorders>
              <w:top w:val="nil"/>
              <w:left w:val="single" w:sz="8" w:space="0" w:color="auto"/>
              <w:bottom w:val="single" w:sz="8" w:space="0" w:color="auto"/>
              <w:right w:val="single" w:sz="8" w:space="0" w:color="auto"/>
            </w:tcBorders>
            <w:vAlign w:val="center"/>
          </w:tcPr>
          <w:p w:rsidR="000006EB" w:rsidRPr="00F83412" w:rsidRDefault="000006EB" w:rsidP="009D6323">
            <w:pPr>
              <w:jc w:val="both"/>
              <w:rPr>
                <w:b/>
                <w:bCs/>
                <w:lang w:eastAsia="en-GB"/>
              </w:rPr>
            </w:pPr>
            <w:r w:rsidRPr="00F83412">
              <w:rPr>
                <w:b/>
                <w:bCs/>
                <w:sz w:val="22"/>
                <w:szCs w:val="22"/>
                <w:lang w:eastAsia="en-GB"/>
              </w:rPr>
              <w:t>Total Savings</w:t>
            </w:r>
          </w:p>
        </w:tc>
        <w:tc>
          <w:tcPr>
            <w:tcW w:w="1200" w:type="dxa"/>
            <w:tcBorders>
              <w:top w:val="nil"/>
              <w:left w:val="nil"/>
              <w:bottom w:val="single" w:sz="8" w:space="0" w:color="auto"/>
              <w:right w:val="single" w:sz="8" w:space="0" w:color="auto"/>
            </w:tcBorders>
            <w:vAlign w:val="center"/>
          </w:tcPr>
          <w:p w:rsidR="000006EB" w:rsidRPr="00F83412" w:rsidRDefault="000006EB" w:rsidP="009D6323">
            <w:pPr>
              <w:jc w:val="right"/>
              <w:rPr>
                <w:b/>
                <w:bCs/>
                <w:lang w:eastAsia="en-GB"/>
              </w:rPr>
            </w:pPr>
            <w:r w:rsidRPr="00F83412">
              <w:rPr>
                <w:b/>
                <w:bCs/>
                <w:sz w:val="22"/>
                <w:szCs w:val="22"/>
                <w:lang w:eastAsia="en-GB"/>
              </w:rPr>
              <w:t> </w:t>
            </w:r>
          </w:p>
        </w:tc>
        <w:tc>
          <w:tcPr>
            <w:tcW w:w="1200" w:type="dxa"/>
            <w:tcBorders>
              <w:top w:val="nil"/>
              <w:left w:val="nil"/>
              <w:bottom w:val="single" w:sz="8" w:space="0" w:color="auto"/>
              <w:right w:val="single" w:sz="8" w:space="0" w:color="auto"/>
            </w:tcBorders>
            <w:vAlign w:val="center"/>
          </w:tcPr>
          <w:p w:rsidR="000006EB" w:rsidRPr="00F83412" w:rsidRDefault="000006EB" w:rsidP="009D6323">
            <w:pPr>
              <w:jc w:val="right"/>
              <w:rPr>
                <w:b/>
                <w:bCs/>
                <w:lang w:eastAsia="en-GB"/>
              </w:rPr>
            </w:pPr>
            <w:r w:rsidRPr="00F83412">
              <w:rPr>
                <w:b/>
                <w:bCs/>
                <w:sz w:val="22"/>
                <w:szCs w:val="22"/>
                <w:lang w:eastAsia="en-GB"/>
              </w:rPr>
              <w:t> </w:t>
            </w:r>
          </w:p>
        </w:tc>
        <w:tc>
          <w:tcPr>
            <w:tcW w:w="1200" w:type="dxa"/>
            <w:tcBorders>
              <w:top w:val="nil"/>
              <w:left w:val="nil"/>
              <w:bottom w:val="single" w:sz="8" w:space="0" w:color="auto"/>
              <w:right w:val="single" w:sz="8" w:space="0" w:color="auto"/>
            </w:tcBorders>
            <w:vAlign w:val="center"/>
          </w:tcPr>
          <w:p w:rsidR="000006EB" w:rsidRPr="00F83412" w:rsidRDefault="000006EB" w:rsidP="009D6323">
            <w:pPr>
              <w:jc w:val="right"/>
              <w:rPr>
                <w:b/>
                <w:bCs/>
                <w:lang w:eastAsia="en-GB"/>
              </w:rPr>
            </w:pPr>
            <w:r w:rsidRPr="00F83412">
              <w:rPr>
                <w:b/>
                <w:bCs/>
                <w:sz w:val="22"/>
                <w:szCs w:val="22"/>
                <w:lang w:eastAsia="en-GB"/>
              </w:rPr>
              <w:t> </w:t>
            </w:r>
          </w:p>
        </w:tc>
        <w:tc>
          <w:tcPr>
            <w:tcW w:w="1200" w:type="dxa"/>
            <w:tcBorders>
              <w:top w:val="nil"/>
              <w:left w:val="nil"/>
              <w:bottom w:val="single" w:sz="8" w:space="0" w:color="auto"/>
              <w:right w:val="single" w:sz="8" w:space="0" w:color="auto"/>
            </w:tcBorders>
            <w:vAlign w:val="center"/>
          </w:tcPr>
          <w:p w:rsidR="000006EB" w:rsidRPr="00F83412" w:rsidRDefault="000006EB" w:rsidP="009D6323">
            <w:pPr>
              <w:jc w:val="right"/>
              <w:rPr>
                <w:b/>
                <w:bCs/>
                <w:lang w:eastAsia="en-GB"/>
              </w:rPr>
            </w:pPr>
            <w:r w:rsidRPr="00F83412">
              <w:rPr>
                <w:b/>
                <w:bCs/>
                <w:sz w:val="22"/>
                <w:szCs w:val="22"/>
                <w:lang w:eastAsia="en-GB"/>
              </w:rPr>
              <w:t> </w:t>
            </w:r>
          </w:p>
        </w:tc>
        <w:tc>
          <w:tcPr>
            <w:tcW w:w="1200" w:type="dxa"/>
            <w:tcBorders>
              <w:top w:val="nil"/>
              <w:left w:val="nil"/>
              <w:bottom w:val="single" w:sz="8" w:space="0" w:color="auto"/>
              <w:right w:val="single" w:sz="8" w:space="0" w:color="auto"/>
            </w:tcBorders>
            <w:vAlign w:val="center"/>
          </w:tcPr>
          <w:p w:rsidR="000006EB" w:rsidRPr="00F83412" w:rsidRDefault="000006EB" w:rsidP="009D6323">
            <w:pPr>
              <w:jc w:val="right"/>
              <w:rPr>
                <w:b/>
                <w:bCs/>
                <w:lang w:eastAsia="en-GB"/>
              </w:rPr>
            </w:pPr>
            <w:r w:rsidRPr="00F83412">
              <w:rPr>
                <w:b/>
                <w:bCs/>
                <w:sz w:val="22"/>
                <w:szCs w:val="22"/>
                <w:lang w:eastAsia="en-GB"/>
              </w:rPr>
              <w:t> </w:t>
            </w:r>
          </w:p>
        </w:tc>
        <w:tc>
          <w:tcPr>
            <w:tcW w:w="1200" w:type="dxa"/>
            <w:tcBorders>
              <w:top w:val="nil"/>
              <w:left w:val="nil"/>
              <w:bottom w:val="single" w:sz="8" w:space="0" w:color="auto"/>
              <w:right w:val="single" w:sz="8" w:space="0" w:color="auto"/>
            </w:tcBorders>
            <w:vAlign w:val="center"/>
          </w:tcPr>
          <w:p w:rsidR="000006EB" w:rsidRPr="00F83412" w:rsidRDefault="000006EB" w:rsidP="009D6323">
            <w:pPr>
              <w:jc w:val="right"/>
              <w:rPr>
                <w:b/>
                <w:bCs/>
                <w:lang w:eastAsia="en-GB"/>
              </w:rPr>
            </w:pPr>
            <w:r w:rsidRPr="00F83412">
              <w:rPr>
                <w:b/>
                <w:bCs/>
                <w:sz w:val="22"/>
                <w:szCs w:val="22"/>
                <w:lang w:eastAsia="en-GB"/>
              </w:rPr>
              <w:t> </w:t>
            </w:r>
          </w:p>
        </w:tc>
      </w:tr>
    </w:tbl>
    <w:p w:rsidR="000006EB" w:rsidRPr="00F83412" w:rsidRDefault="000006EB" w:rsidP="009D6323">
      <w:pPr>
        <w:pStyle w:val="EBBodyPara"/>
        <w:keepNext/>
        <w:spacing w:after="0"/>
        <w:jc w:val="both"/>
        <w:rPr>
          <w:color w:val="auto"/>
        </w:rPr>
      </w:pPr>
    </w:p>
    <w:tbl>
      <w:tblPr>
        <w:tblW w:w="4800" w:type="dxa"/>
        <w:tblInd w:w="108" w:type="dxa"/>
        <w:tblLook w:val="00A0" w:firstRow="1" w:lastRow="0" w:firstColumn="1" w:lastColumn="0" w:noHBand="0" w:noVBand="0"/>
      </w:tblPr>
      <w:tblGrid>
        <w:gridCol w:w="1200"/>
        <w:gridCol w:w="1200"/>
        <w:gridCol w:w="1200"/>
        <w:gridCol w:w="1200"/>
      </w:tblGrid>
      <w:tr w:rsidR="000006EB" w:rsidRPr="00F83412">
        <w:trPr>
          <w:trHeight w:val="315"/>
        </w:trPr>
        <w:tc>
          <w:tcPr>
            <w:tcW w:w="1200" w:type="dxa"/>
            <w:tcBorders>
              <w:top w:val="single" w:sz="8" w:space="0" w:color="auto"/>
              <w:left w:val="single" w:sz="4" w:space="0" w:color="auto"/>
              <w:bottom w:val="single" w:sz="8" w:space="0" w:color="auto"/>
              <w:right w:val="single" w:sz="8" w:space="0" w:color="auto"/>
            </w:tcBorders>
            <w:vAlign w:val="center"/>
          </w:tcPr>
          <w:p w:rsidR="000006EB" w:rsidRPr="00F83412" w:rsidRDefault="000006EB" w:rsidP="009D6323">
            <w:pPr>
              <w:jc w:val="center"/>
              <w:rPr>
                <w:b/>
                <w:bCs/>
                <w:lang w:eastAsia="en-GB"/>
              </w:rPr>
            </w:pPr>
            <w:r w:rsidRPr="00F83412">
              <w:rPr>
                <w:b/>
                <w:bCs/>
                <w:sz w:val="22"/>
                <w:szCs w:val="22"/>
                <w:lang w:eastAsia="en-GB"/>
              </w:rPr>
              <w:t>Year 6</w:t>
            </w:r>
          </w:p>
        </w:tc>
        <w:tc>
          <w:tcPr>
            <w:tcW w:w="1200" w:type="dxa"/>
            <w:tcBorders>
              <w:top w:val="single" w:sz="8" w:space="0" w:color="auto"/>
              <w:left w:val="nil"/>
              <w:bottom w:val="single" w:sz="8" w:space="0" w:color="auto"/>
              <w:right w:val="single" w:sz="8" w:space="0" w:color="auto"/>
            </w:tcBorders>
            <w:vAlign w:val="center"/>
          </w:tcPr>
          <w:p w:rsidR="000006EB" w:rsidRPr="00F83412" w:rsidRDefault="000006EB" w:rsidP="009D6323">
            <w:pPr>
              <w:jc w:val="center"/>
              <w:rPr>
                <w:b/>
                <w:bCs/>
                <w:lang w:eastAsia="en-GB"/>
              </w:rPr>
            </w:pPr>
            <w:r w:rsidRPr="00F83412">
              <w:rPr>
                <w:b/>
                <w:bCs/>
                <w:sz w:val="22"/>
                <w:szCs w:val="22"/>
                <w:lang w:eastAsia="en-GB"/>
              </w:rPr>
              <w:t>Year 7</w:t>
            </w:r>
          </w:p>
        </w:tc>
        <w:tc>
          <w:tcPr>
            <w:tcW w:w="1200" w:type="dxa"/>
            <w:tcBorders>
              <w:top w:val="single" w:sz="8" w:space="0" w:color="auto"/>
              <w:left w:val="nil"/>
              <w:bottom w:val="single" w:sz="8" w:space="0" w:color="auto"/>
              <w:right w:val="single" w:sz="8" w:space="0" w:color="auto"/>
            </w:tcBorders>
            <w:vAlign w:val="center"/>
          </w:tcPr>
          <w:p w:rsidR="000006EB" w:rsidRPr="00F83412" w:rsidRDefault="000006EB" w:rsidP="009D6323">
            <w:pPr>
              <w:jc w:val="center"/>
              <w:rPr>
                <w:b/>
                <w:bCs/>
                <w:lang w:eastAsia="en-GB"/>
              </w:rPr>
            </w:pPr>
            <w:r w:rsidRPr="00F83412">
              <w:rPr>
                <w:b/>
                <w:bCs/>
                <w:sz w:val="22"/>
                <w:szCs w:val="22"/>
                <w:lang w:eastAsia="en-GB"/>
              </w:rPr>
              <w:t>Year 8</w:t>
            </w:r>
          </w:p>
        </w:tc>
        <w:tc>
          <w:tcPr>
            <w:tcW w:w="1200" w:type="dxa"/>
            <w:tcBorders>
              <w:top w:val="single" w:sz="8" w:space="0" w:color="auto"/>
              <w:left w:val="nil"/>
              <w:bottom w:val="single" w:sz="8" w:space="0" w:color="auto"/>
              <w:right w:val="single" w:sz="8" w:space="0" w:color="auto"/>
            </w:tcBorders>
            <w:vAlign w:val="center"/>
          </w:tcPr>
          <w:p w:rsidR="000006EB" w:rsidRPr="00F83412" w:rsidRDefault="000006EB" w:rsidP="009D6323">
            <w:pPr>
              <w:jc w:val="center"/>
              <w:rPr>
                <w:b/>
                <w:bCs/>
                <w:lang w:eastAsia="en-GB"/>
              </w:rPr>
            </w:pPr>
            <w:r w:rsidRPr="00F83412">
              <w:rPr>
                <w:b/>
                <w:bCs/>
                <w:sz w:val="22"/>
                <w:szCs w:val="22"/>
                <w:lang w:eastAsia="en-GB"/>
              </w:rPr>
              <w:t>Year 9</w:t>
            </w:r>
          </w:p>
        </w:tc>
      </w:tr>
      <w:tr w:rsidR="000006EB" w:rsidRPr="00F83412">
        <w:trPr>
          <w:trHeight w:val="300"/>
        </w:trPr>
        <w:tc>
          <w:tcPr>
            <w:tcW w:w="1200" w:type="dxa"/>
            <w:tcBorders>
              <w:top w:val="nil"/>
              <w:left w:val="single" w:sz="4" w:space="0" w:color="auto"/>
              <w:bottom w:val="nil"/>
              <w:right w:val="single" w:sz="8" w:space="0" w:color="auto"/>
            </w:tcBorders>
            <w:vAlign w:val="center"/>
          </w:tcPr>
          <w:p w:rsidR="000006EB" w:rsidRPr="00F83412" w:rsidRDefault="000006EB" w:rsidP="009D6323">
            <w:pPr>
              <w:jc w:val="right"/>
              <w:rPr>
                <w:lang w:eastAsia="en-GB"/>
              </w:rPr>
            </w:pPr>
            <w:r w:rsidRPr="00F83412">
              <w:rPr>
                <w:sz w:val="22"/>
                <w:szCs w:val="22"/>
                <w:lang w:eastAsia="en-GB"/>
              </w:rPr>
              <w:t> </w:t>
            </w:r>
          </w:p>
        </w:tc>
        <w:tc>
          <w:tcPr>
            <w:tcW w:w="1200" w:type="dxa"/>
            <w:tcBorders>
              <w:top w:val="nil"/>
              <w:left w:val="nil"/>
              <w:bottom w:val="nil"/>
              <w:right w:val="single" w:sz="8" w:space="0" w:color="auto"/>
            </w:tcBorders>
            <w:vAlign w:val="center"/>
          </w:tcPr>
          <w:p w:rsidR="000006EB" w:rsidRPr="00F83412" w:rsidRDefault="000006EB" w:rsidP="009D6323">
            <w:pPr>
              <w:jc w:val="right"/>
              <w:rPr>
                <w:lang w:eastAsia="en-GB"/>
              </w:rPr>
            </w:pPr>
            <w:r w:rsidRPr="00F83412">
              <w:rPr>
                <w:sz w:val="22"/>
                <w:szCs w:val="22"/>
                <w:lang w:eastAsia="en-GB"/>
              </w:rPr>
              <w:t> </w:t>
            </w:r>
          </w:p>
        </w:tc>
        <w:tc>
          <w:tcPr>
            <w:tcW w:w="1200" w:type="dxa"/>
            <w:tcBorders>
              <w:top w:val="nil"/>
              <w:left w:val="nil"/>
              <w:bottom w:val="nil"/>
              <w:right w:val="single" w:sz="8" w:space="0" w:color="auto"/>
            </w:tcBorders>
            <w:vAlign w:val="center"/>
          </w:tcPr>
          <w:p w:rsidR="000006EB" w:rsidRPr="00F83412" w:rsidRDefault="000006EB" w:rsidP="009D6323">
            <w:pPr>
              <w:jc w:val="right"/>
              <w:rPr>
                <w:lang w:eastAsia="en-GB"/>
              </w:rPr>
            </w:pPr>
            <w:r w:rsidRPr="00F83412">
              <w:rPr>
                <w:sz w:val="22"/>
                <w:szCs w:val="22"/>
                <w:lang w:eastAsia="en-GB"/>
              </w:rPr>
              <w:t> </w:t>
            </w:r>
          </w:p>
        </w:tc>
        <w:tc>
          <w:tcPr>
            <w:tcW w:w="1200" w:type="dxa"/>
            <w:tcBorders>
              <w:top w:val="nil"/>
              <w:left w:val="nil"/>
              <w:bottom w:val="nil"/>
              <w:right w:val="single" w:sz="8" w:space="0" w:color="auto"/>
            </w:tcBorders>
            <w:vAlign w:val="center"/>
          </w:tcPr>
          <w:p w:rsidR="000006EB" w:rsidRPr="00F83412" w:rsidRDefault="000006EB" w:rsidP="009D6323">
            <w:pPr>
              <w:jc w:val="right"/>
              <w:rPr>
                <w:lang w:eastAsia="en-GB"/>
              </w:rPr>
            </w:pPr>
            <w:r w:rsidRPr="00F83412">
              <w:rPr>
                <w:sz w:val="22"/>
                <w:szCs w:val="22"/>
                <w:lang w:eastAsia="en-GB"/>
              </w:rPr>
              <w:t> </w:t>
            </w:r>
          </w:p>
        </w:tc>
      </w:tr>
      <w:tr w:rsidR="000006EB" w:rsidRPr="00F83412">
        <w:trPr>
          <w:trHeight w:val="80"/>
        </w:trPr>
        <w:tc>
          <w:tcPr>
            <w:tcW w:w="1200" w:type="dxa"/>
            <w:tcBorders>
              <w:top w:val="nil"/>
              <w:left w:val="single" w:sz="4" w:space="0" w:color="auto"/>
              <w:bottom w:val="single" w:sz="8" w:space="0" w:color="auto"/>
              <w:right w:val="single" w:sz="8" w:space="0" w:color="auto"/>
            </w:tcBorders>
            <w:vAlign w:val="center"/>
          </w:tcPr>
          <w:p w:rsidR="000006EB" w:rsidRPr="00F83412" w:rsidRDefault="000006EB" w:rsidP="009D6323">
            <w:pPr>
              <w:jc w:val="right"/>
              <w:rPr>
                <w:lang w:eastAsia="en-GB"/>
              </w:rPr>
            </w:pPr>
            <w:r w:rsidRPr="00F83412">
              <w:rPr>
                <w:sz w:val="22"/>
                <w:szCs w:val="22"/>
                <w:lang w:eastAsia="en-GB"/>
              </w:rPr>
              <w:t>6500</w:t>
            </w:r>
          </w:p>
        </w:tc>
        <w:tc>
          <w:tcPr>
            <w:tcW w:w="1200" w:type="dxa"/>
            <w:tcBorders>
              <w:top w:val="nil"/>
              <w:left w:val="nil"/>
              <w:bottom w:val="single" w:sz="8" w:space="0" w:color="auto"/>
              <w:right w:val="single" w:sz="8" w:space="0" w:color="auto"/>
            </w:tcBorders>
            <w:vAlign w:val="center"/>
          </w:tcPr>
          <w:p w:rsidR="000006EB" w:rsidRPr="00F83412" w:rsidRDefault="000006EB" w:rsidP="009D6323">
            <w:pPr>
              <w:jc w:val="right"/>
              <w:rPr>
                <w:lang w:eastAsia="en-GB"/>
              </w:rPr>
            </w:pPr>
            <w:r w:rsidRPr="00F83412">
              <w:rPr>
                <w:sz w:val="22"/>
                <w:szCs w:val="22"/>
                <w:lang w:eastAsia="en-GB"/>
              </w:rPr>
              <w:t>8000</w:t>
            </w:r>
          </w:p>
        </w:tc>
        <w:tc>
          <w:tcPr>
            <w:tcW w:w="1200" w:type="dxa"/>
            <w:tcBorders>
              <w:top w:val="nil"/>
              <w:left w:val="nil"/>
              <w:bottom w:val="single" w:sz="8" w:space="0" w:color="auto"/>
              <w:right w:val="single" w:sz="8" w:space="0" w:color="auto"/>
            </w:tcBorders>
            <w:vAlign w:val="center"/>
          </w:tcPr>
          <w:p w:rsidR="000006EB" w:rsidRPr="00F83412" w:rsidRDefault="000006EB" w:rsidP="009D6323">
            <w:pPr>
              <w:jc w:val="right"/>
              <w:rPr>
                <w:lang w:eastAsia="en-GB"/>
              </w:rPr>
            </w:pPr>
            <w:r w:rsidRPr="00F83412">
              <w:rPr>
                <w:sz w:val="22"/>
                <w:szCs w:val="22"/>
                <w:lang w:eastAsia="en-GB"/>
              </w:rPr>
              <w:t>9500</w:t>
            </w:r>
          </w:p>
        </w:tc>
        <w:tc>
          <w:tcPr>
            <w:tcW w:w="1200" w:type="dxa"/>
            <w:tcBorders>
              <w:top w:val="nil"/>
              <w:left w:val="nil"/>
              <w:bottom w:val="single" w:sz="8" w:space="0" w:color="auto"/>
              <w:right w:val="single" w:sz="8" w:space="0" w:color="auto"/>
            </w:tcBorders>
            <w:vAlign w:val="center"/>
          </w:tcPr>
          <w:p w:rsidR="000006EB" w:rsidRPr="00F83412" w:rsidRDefault="000006EB" w:rsidP="009D6323">
            <w:pPr>
              <w:jc w:val="right"/>
              <w:rPr>
                <w:lang w:eastAsia="en-GB"/>
              </w:rPr>
            </w:pPr>
            <w:r w:rsidRPr="00F83412">
              <w:rPr>
                <w:sz w:val="22"/>
                <w:szCs w:val="22"/>
                <w:lang w:eastAsia="en-GB"/>
              </w:rPr>
              <w:t>11000</w:t>
            </w:r>
          </w:p>
        </w:tc>
      </w:tr>
      <w:tr w:rsidR="000006EB" w:rsidRPr="00F83412">
        <w:trPr>
          <w:trHeight w:val="300"/>
        </w:trPr>
        <w:tc>
          <w:tcPr>
            <w:tcW w:w="1200" w:type="dxa"/>
            <w:tcBorders>
              <w:top w:val="nil"/>
              <w:left w:val="single" w:sz="4" w:space="0" w:color="auto"/>
              <w:bottom w:val="nil"/>
              <w:right w:val="single" w:sz="8" w:space="0" w:color="auto"/>
            </w:tcBorders>
            <w:vAlign w:val="center"/>
          </w:tcPr>
          <w:p w:rsidR="000006EB" w:rsidRPr="00F83412" w:rsidRDefault="000006EB" w:rsidP="009D6323">
            <w:pPr>
              <w:jc w:val="right"/>
              <w:rPr>
                <w:lang w:eastAsia="en-GB"/>
              </w:rPr>
            </w:pPr>
            <w:r w:rsidRPr="00F83412">
              <w:rPr>
                <w:sz w:val="22"/>
                <w:szCs w:val="22"/>
                <w:lang w:eastAsia="en-GB"/>
              </w:rPr>
              <w:t xml:space="preserve">           4.3 </w:t>
            </w:r>
          </w:p>
        </w:tc>
        <w:tc>
          <w:tcPr>
            <w:tcW w:w="1200" w:type="dxa"/>
            <w:tcBorders>
              <w:top w:val="nil"/>
              <w:left w:val="nil"/>
              <w:bottom w:val="nil"/>
              <w:right w:val="single" w:sz="8" w:space="0" w:color="auto"/>
            </w:tcBorders>
            <w:vAlign w:val="center"/>
          </w:tcPr>
          <w:p w:rsidR="000006EB" w:rsidRPr="00F83412" w:rsidRDefault="000006EB" w:rsidP="009D6323">
            <w:pPr>
              <w:jc w:val="right"/>
              <w:rPr>
                <w:lang w:eastAsia="en-GB"/>
              </w:rPr>
            </w:pPr>
            <w:r w:rsidRPr="00F83412">
              <w:rPr>
                <w:sz w:val="22"/>
                <w:szCs w:val="22"/>
                <w:lang w:eastAsia="en-GB"/>
              </w:rPr>
              <w:t xml:space="preserve">           5.3 </w:t>
            </w:r>
          </w:p>
        </w:tc>
        <w:tc>
          <w:tcPr>
            <w:tcW w:w="1200" w:type="dxa"/>
            <w:tcBorders>
              <w:top w:val="nil"/>
              <w:left w:val="nil"/>
              <w:bottom w:val="nil"/>
              <w:right w:val="single" w:sz="8" w:space="0" w:color="auto"/>
            </w:tcBorders>
            <w:vAlign w:val="center"/>
          </w:tcPr>
          <w:p w:rsidR="000006EB" w:rsidRPr="00F83412" w:rsidRDefault="000006EB" w:rsidP="009D6323">
            <w:pPr>
              <w:jc w:val="right"/>
              <w:rPr>
                <w:lang w:eastAsia="en-GB"/>
              </w:rPr>
            </w:pPr>
            <w:r w:rsidRPr="00F83412">
              <w:rPr>
                <w:sz w:val="22"/>
                <w:szCs w:val="22"/>
                <w:lang w:eastAsia="en-GB"/>
              </w:rPr>
              <w:t xml:space="preserve">           6.3 </w:t>
            </w:r>
          </w:p>
        </w:tc>
        <w:tc>
          <w:tcPr>
            <w:tcW w:w="1200" w:type="dxa"/>
            <w:tcBorders>
              <w:top w:val="nil"/>
              <w:left w:val="nil"/>
              <w:bottom w:val="nil"/>
              <w:right w:val="single" w:sz="8" w:space="0" w:color="auto"/>
            </w:tcBorders>
            <w:vAlign w:val="center"/>
          </w:tcPr>
          <w:p w:rsidR="000006EB" w:rsidRPr="00F83412" w:rsidRDefault="000006EB" w:rsidP="009D6323">
            <w:pPr>
              <w:jc w:val="right"/>
              <w:rPr>
                <w:lang w:eastAsia="en-GB"/>
              </w:rPr>
            </w:pPr>
            <w:r w:rsidRPr="00F83412">
              <w:rPr>
                <w:sz w:val="22"/>
                <w:szCs w:val="22"/>
                <w:lang w:eastAsia="en-GB"/>
              </w:rPr>
              <w:t xml:space="preserve">           7.3 </w:t>
            </w:r>
          </w:p>
        </w:tc>
      </w:tr>
      <w:tr w:rsidR="000006EB" w:rsidRPr="00F83412">
        <w:trPr>
          <w:trHeight w:val="164"/>
        </w:trPr>
        <w:tc>
          <w:tcPr>
            <w:tcW w:w="1200" w:type="dxa"/>
            <w:tcBorders>
              <w:top w:val="nil"/>
              <w:left w:val="single" w:sz="4" w:space="0" w:color="auto"/>
              <w:bottom w:val="single" w:sz="8" w:space="0" w:color="auto"/>
              <w:right w:val="single" w:sz="8" w:space="0" w:color="auto"/>
            </w:tcBorders>
            <w:vAlign w:val="center"/>
          </w:tcPr>
          <w:p w:rsidR="000006EB" w:rsidRPr="00F83412" w:rsidRDefault="000006EB" w:rsidP="009D6323">
            <w:pPr>
              <w:jc w:val="right"/>
              <w:rPr>
                <w:lang w:eastAsia="en-GB"/>
              </w:rPr>
            </w:pPr>
            <w:r w:rsidRPr="00F83412">
              <w:rPr>
                <w:sz w:val="22"/>
                <w:szCs w:val="22"/>
                <w:lang w:eastAsia="en-GB"/>
              </w:rPr>
              <w:t> </w:t>
            </w:r>
          </w:p>
        </w:tc>
        <w:tc>
          <w:tcPr>
            <w:tcW w:w="1200" w:type="dxa"/>
            <w:tcBorders>
              <w:top w:val="nil"/>
              <w:left w:val="nil"/>
              <w:bottom w:val="single" w:sz="8" w:space="0" w:color="auto"/>
              <w:right w:val="single" w:sz="8" w:space="0" w:color="auto"/>
            </w:tcBorders>
            <w:vAlign w:val="center"/>
          </w:tcPr>
          <w:p w:rsidR="000006EB" w:rsidRPr="00F83412" w:rsidRDefault="000006EB" w:rsidP="009D6323">
            <w:pPr>
              <w:jc w:val="right"/>
              <w:rPr>
                <w:lang w:eastAsia="en-GB"/>
              </w:rPr>
            </w:pPr>
            <w:r w:rsidRPr="00F83412">
              <w:rPr>
                <w:sz w:val="22"/>
                <w:szCs w:val="22"/>
                <w:lang w:eastAsia="en-GB"/>
              </w:rPr>
              <w:t> </w:t>
            </w:r>
          </w:p>
        </w:tc>
        <w:tc>
          <w:tcPr>
            <w:tcW w:w="1200" w:type="dxa"/>
            <w:tcBorders>
              <w:top w:val="nil"/>
              <w:left w:val="nil"/>
              <w:bottom w:val="single" w:sz="8" w:space="0" w:color="auto"/>
              <w:right w:val="single" w:sz="8" w:space="0" w:color="auto"/>
            </w:tcBorders>
            <w:vAlign w:val="center"/>
          </w:tcPr>
          <w:p w:rsidR="000006EB" w:rsidRPr="00F83412" w:rsidRDefault="000006EB" w:rsidP="009D6323">
            <w:pPr>
              <w:jc w:val="right"/>
              <w:rPr>
                <w:lang w:eastAsia="en-GB"/>
              </w:rPr>
            </w:pPr>
            <w:r w:rsidRPr="00F83412">
              <w:rPr>
                <w:sz w:val="22"/>
                <w:szCs w:val="22"/>
                <w:lang w:eastAsia="en-GB"/>
              </w:rPr>
              <w:t> </w:t>
            </w:r>
          </w:p>
        </w:tc>
        <w:tc>
          <w:tcPr>
            <w:tcW w:w="1200" w:type="dxa"/>
            <w:tcBorders>
              <w:top w:val="nil"/>
              <w:left w:val="nil"/>
              <w:bottom w:val="single" w:sz="8" w:space="0" w:color="auto"/>
              <w:right w:val="single" w:sz="8" w:space="0" w:color="auto"/>
            </w:tcBorders>
            <w:vAlign w:val="center"/>
          </w:tcPr>
          <w:p w:rsidR="000006EB" w:rsidRPr="00F83412" w:rsidRDefault="000006EB" w:rsidP="009D6323">
            <w:pPr>
              <w:jc w:val="right"/>
              <w:rPr>
                <w:lang w:eastAsia="en-GB"/>
              </w:rPr>
            </w:pPr>
            <w:r w:rsidRPr="00F83412">
              <w:rPr>
                <w:sz w:val="22"/>
                <w:szCs w:val="22"/>
                <w:lang w:eastAsia="en-GB"/>
              </w:rPr>
              <w:t> </w:t>
            </w:r>
          </w:p>
        </w:tc>
      </w:tr>
      <w:tr w:rsidR="000006EB" w:rsidRPr="00F83412">
        <w:trPr>
          <w:trHeight w:val="300"/>
        </w:trPr>
        <w:tc>
          <w:tcPr>
            <w:tcW w:w="1200" w:type="dxa"/>
            <w:tcBorders>
              <w:top w:val="nil"/>
              <w:left w:val="single" w:sz="4" w:space="0" w:color="auto"/>
              <w:bottom w:val="nil"/>
              <w:right w:val="single" w:sz="8" w:space="0" w:color="auto"/>
            </w:tcBorders>
            <w:vAlign w:val="center"/>
          </w:tcPr>
          <w:p w:rsidR="000006EB" w:rsidRPr="00F83412" w:rsidRDefault="000006EB" w:rsidP="00934AC9">
            <w:pPr>
              <w:jc w:val="right"/>
              <w:rPr>
                <w:lang w:eastAsia="en-GB"/>
              </w:rPr>
            </w:pPr>
            <w:r w:rsidRPr="00F83412">
              <w:rPr>
                <w:sz w:val="22"/>
                <w:szCs w:val="22"/>
                <w:lang w:eastAsia="en-GB"/>
              </w:rPr>
              <w:t xml:space="preserve">           6.9 </w:t>
            </w:r>
          </w:p>
        </w:tc>
        <w:tc>
          <w:tcPr>
            <w:tcW w:w="1200" w:type="dxa"/>
            <w:tcBorders>
              <w:top w:val="nil"/>
              <w:left w:val="nil"/>
              <w:bottom w:val="nil"/>
              <w:right w:val="single" w:sz="8" w:space="0" w:color="auto"/>
            </w:tcBorders>
            <w:vAlign w:val="center"/>
          </w:tcPr>
          <w:p w:rsidR="000006EB" w:rsidRPr="00F83412" w:rsidRDefault="000006EB" w:rsidP="00934AC9">
            <w:pPr>
              <w:jc w:val="right"/>
              <w:rPr>
                <w:lang w:eastAsia="en-GB"/>
              </w:rPr>
            </w:pPr>
            <w:r w:rsidRPr="00F83412">
              <w:rPr>
                <w:sz w:val="22"/>
                <w:szCs w:val="22"/>
                <w:lang w:eastAsia="en-GB"/>
              </w:rPr>
              <w:t xml:space="preserve">           8.5 </w:t>
            </w:r>
          </w:p>
        </w:tc>
        <w:tc>
          <w:tcPr>
            <w:tcW w:w="1200" w:type="dxa"/>
            <w:tcBorders>
              <w:top w:val="nil"/>
              <w:left w:val="nil"/>
              <w:bottom w:val="nil"/>
              <w:right w:val="single" w:sz="8" w:space="0" w:color="auto"/>
            </w:tcBorders>
            <w:vAlign w:val="center"/>
          </w:tcPr>
          <w:p w:rsidR="000006EB" w:rsidRPr="00F83412" w:rsidRDefault="000006EB" w:rsidP="00934AC9">
            <w:pPr>
              <w:jc w:val="right"/>
              <w:rPr>
                <w:lang w:eastAsia="en-GB"/>
              </w:rPr>
            </w:pPr>
            <w:r w:rsidRPr="00F83412">
              <w:rPr>
                <w:sz w:val="22"/>
                <w:szCs w:val="22"/>
                <w:lang w:eastAsia="en-GB"/>
              </w:rPr>
              <w:t xml:space="preserve">         10.0 </w:t>
            </w:r>
          </w:p>
        </w:tc>
        <w:tc>
          <w:tcPr>
            <w:tcW w:w="1200" w:type="dxa"/>
            <w:tcBorders>
              <w:top w:val="nil"/>
              <w:left w:val="nil"/>
              <w:bottom w:val="nil"/>
              <w:right w:val="single" w:sz="8" w:space="0" w:color="auto"/>
            </w:tcBorders>
            <w:vAlign w:val="center"/>
          </w:tcPr>
          <w:p w:rsidR="000006EB" w:rsidRPr="00F83412" w:rsidRDefault="000006EB" w:rsidP="00934AC9">
            <w:pPr>
              <w:jc w:val="right"/>
              <w:rPr>
                <w:lang w:eastAsia="en-GB"/>
              </w:rPr>
            </w:pPr>
            <w:r w:rsidRPr="00F83412">
              <w:rPr>
                <w:sz w:val="22"/>
                <w:szCs w:val="22"/>
                <w:lang w:eastAsia="en-GB"/>
              </w:rPr>
              <w:t xml:space="preserve">         11.6 </w:t>
            </w:r>
          </w:p>
        </w:tc>
      </w:tr>
      <w:tr w:rsidR="000006EB" w:rsidRPr="00F83412">
        <w:trPr>
          <w:trHeight w:val="80"/>
        </w:trPr>
        <w:tc>
          <w:tcPr>
            <w:tcW w:w="1200" w:type="dxa"/>
            <w:tcBorders>
              <w:top w:val="nil"/>
              <w:left w:val="single" w:sz="4" w:space="0" w:color="auto"/>
              <w:bottom w:val="single" w:sz="8" w:space="0" w:color="auto"/>
              <w:right w:val="single" w:sz="8" w:space="0" w:color="auto"/>
            </w:tcBorders>
            <w:vAlign w:val="center"/>
          </w:tcPr>
          <w:p w:rsidR="000006EB" w:rsidRPr="00F83412" w:rsidRDefault="000006EB" w:rsidP="00934AC9">
            <w:pPr>
              <w:jc w:val="right"/>
              <w:rPr>
                <w:lang w:eastAsia="en-GB"/>
              </w:rPr>
            </w:pPr>
            <w:r w:rsidRPr="00F83412">
              <w:rPr>
                <w:sz w:val="22"/>
                <w:szCs w:val="22"/>
                <w:lang w:eastAsia="en-GB"/>
              </w:rPr>
              <w:t> </w:t>
            </w:r>
          </w:p>
        </w:tc>
        <w:tc>
          <w:tcPr>
            <w:tcW w:w="1200" w:type="dxa"/>
            <w:tcBorders>
              <w:top w:val="nil"/>
              <w:left w:val="nil"/>
              <w:bottom w:val="single" w:sz="8" w:space="0" w:color="auto"/>
              <w:right w:val="single" w:sz="8" w:space="0" w:color="auto"/>
            </w:tcBorders>
            <w:vAlign w:val="center"/>
          </w:tcPr>
          <w:p w:rsidR="000006EB" w:rsidRPr="00F83412" w:rsidRDefault="000006EB" w:rsidP="00934AC9">
            <w:pPr>
              <w:jc w:val="right"/>
              <w:rPr>
                <w:lang w:eastAsia="en-GB"/>
              </w:rPr>
            </w:pPr>
            <w:r w:rsidRPr="00F83412">
              <w:rPr>
                <w:sz w:val="22"/>
                <w:szCs w:val="22"/>
                <w:lang w:eastAsia="en-GB"/>
              </w:rPr>
              <w:t> </w:t>
            </w:r>
          </w:p>
        </w:tc>
        <w:tc>
          <w:tcPr>
            <w:tcW w:w="1200" w:type="dxa"/>
            <w:tcBorders>
              <w:top w:val="nil"/>
              <w:left w:val="nil"/>
              <w:bottom w:val="single" w:sz="8" w:space="0" w:color="auto"/>
              <w:right w:val="single" w:sz="8" w:space="0" w:color="auto"/>
            </w:tcBorders>
            <w:vAlign w:val="center"/>
          </w:tcPr>
          <w:p w:rsidR="000006EB" w:rsidRPr="00F83412" w:rsidRDefault="000006EB" w:rsidP="00934AC9">
            <w:pPr>
              <w:jc w:val="right"/>
              <w:rPr>
                <w:lang w:eastAsia="en-GB"/>
              </w:rPr>
            </w:pPr>
            <w:r w:rsidRPr="00F83412">
              <w:rPr>
                <w:sz w:val="22"/>
                <w:szCs w:val="22"/>
                <w:lang w:eastAsia="en-GB"/>
              </w:rPr>
              <w:t> </w:t>
            </w:r>
          </w:p>
        </w:tc>
        <w:tc>
          <w:tcPr>
            <w:tcW w:w="1200" w:type="dxa"/>
            <w:tcBorders>
              <w:top w:val="nil"/>
              <w:left w:val="nil"/>
              <w:bottom w:val="single" w:sz="8" w:space="0" w:color="auto"/>
              <w:right w:val="single" w:sz="8" w:space="0" w:color="auto"/>
            </w:tcBorders>
            <w:vAlign w:val="center"/>
          </w:tcPr>
          <w:p w:rsidR="000006EB" w:rsidRPr="00F83412" w:rsidRDefault="000006EB" w:rsidP="00934AC9">
            <w:pPr>
              <w:jc w:val="right"/>
              <w:rPr>
                <w:lang w:eastAsia="en-GB"/>
              </w:rPr>
            </w:pPr>
            <w:r w:rsidRPr="00F83412">
              <w:rPr>
                <w:sz w:val="22"/>
                <w:szCs w:val="22"/>
                <w:lang w:eastAsia="en-GB"/>
              </w:rPr>
              <w:t> </w:t>
            </w:r>
          </w:p>
        </w:tc>
      </w:tr>
      <w:tr w:rsidR="000006EB" w:rsidRPr="00F83412">
        <w:trPr>
          <w:trHeight w:val="300"/>
        </w:trPr>
        <w:tc>
          <w:tcPr>
            <w:tcW w:w="1200" w:type="dxa"/>
            <w:tcBorders>
              <w:top w:val="nil"/>
              <w:left w:val="single" w:sz="4" w:space="0" w:color="auto"/>
              <w:bottom w:val="nil"/>
              <w:right w:val="single" w:sz="8" w:space="0" w:color="auto"/>
            </w:tcBorders>
            <w:vAlign w:val="center"/>
          </w:tcPr>
          <w:p w:rsidR="000006EB" w:rsidRPr="00F83412" w:rsidRDefault="000006EB" w:rsidP="00934AC9">
            <w:pPr>
              <w:jc w:val="right"/>
              <w:rPr>
                <w:b/>
                <w:bCs/>
                <w:lang w:eastAsia="en-GB"/>
              </w:rPr>
            </w:pPr>
            <w:r w:rsidRPr="00F83412">
              <w:rPr>
                <w:b/>
                <w:bCs/>
                <w:sz w:val="22"/>
                <w:szCs w:val="22"/>
                <w:lang w:eastAsia="en-GB"/>
              </w:rPr>
              <w:t xml:space="preserve">         11.2 </w:t>
            </w:r>
          </w:p>
        </w:tc>
        <w:tc>
          <w:tcPr>
            <w:tcW w:w="1200" w:type="dxa"/>
            <w:tcBorders>
              <w:top w:val="nil"/>
              <w:left w:val="nil"/>
              <w:bottom w:val="nil"/>
              <w:right w:val="single" w:sz="8" w:space="0" w:color="auto"/>
            </w:tcBorders>
            <w:vAlign w:val="center"/>
          </w:tcPr>
          <w:p w:rsidR="000006EB" w:rsidRPr="00F83412" w:rsidRDefault="000006EB" w:rsidP="00934AC9">
            <w:pPr>
              <w:jc w:val="right"/>
              <w:rPr>
                <w:b/>
                <w:bCs/>
                <w:lang w:eastAsia="en-GB"/>
              </w:rPr>
            </w:pPr>
            <w:r w:rsidRPr="00F83412">
              <w:rPr>
                <w:b/>
                <w:bCs/>
                <w:sz w:val="22"/>
                <w:szCs w:val="22"/>
                <w:lang w:eastAsia="en-GB"/>
              </w:rPr>
              <w:t xml:space="preserve">         13.7 </w:t>
            </w:r>
          </w:p>
        </w:tc>
        <w:tc>
          <w:tcPr>
            <w:tcW w:w="1200" w:type="dxa"/>
            <w:tcBorders>
              <w:top w:val="nil"/>
              <w:left w:val="nil"/>
              <w:bottom w:val="nil"/>
              <w:right w:val="single" w:sz="8" w:space="0" w:color="auto"/>
            </w:tcBorders>
            <w:vAlign w:val="center"/>
          </w:tcPr>
          <w:p w:rsidR="000006EB" w:rsidRPr="00F83412" w:rsidRDefault="000006EB" w:rsidP="00934AC9">
            <w:pPr>
              <w:jc w:val="right"/>
              <w:rPr>
                <w:b/>
                <w:bCs/>
                <w:lang w:eastAsia="en-GB"/>
              </w:rPr>
            </w:pPr>
            <w:r w:rsidRPr="00F83412">
              <w:rPr>
                <w:b/>
                <w:bCs/>
                <w:sz w:val="22"/>
                <w:szCs w:val="22"/>
                <w:lang w:eastAsia="en-GB"/>
              </w:rPr>
              <w:t xml:space="preserve">         16.3 </w:t>
            </w:r>
          </w:p>
        </w:tc>
        <w:tc>
          <w:tcPr>
            <w:tcW w:w="1200" w:type="dxa"/>
            <w:tcBorders>
              <w:top w:val="nil"/>
              <w:left w:val="nil"/>
              <w:bottom w:val="nil"/>
              <w:right w:val="single" w:sz="8" w:space="0" w:color="auto"/>
            </w:tcBorders>
            <w:vAlign w:val="center"/>
          </w:tcPr>
          <w:p w:rsidR="000006EB" w:rsidRPr="00F83412" w:rsidRDefault="000006EB" w:rsidP="000F6E60">
            <w:pPr>
              <w:jc w:val="right"/>
              <w:rPr>
                <w:b/>
                <w:bCs/>
                <w:lang w:eastAsia="en-GB"/>
              </w:rPr>
            </w:pPr>
            <w:r w:rsidRPr="00F83412">
              <w:rPr>
                <w:b/>
                <w:bCs/>
                <w:sz w:val="22"/>
                <w:szCs w:val="22"/>
                <w:lang w:eastAsia="en-GB"/>
              </w:rPr>
              <w:t xml:space="preserve">         18.9</w:t>
            </w:r>
          </w:p>
        </w:tc>
      </w:tr>
      <w:tr w:rsidR="000006EB" w:rsidRPr="00F83412" w:rsidTr="000F6E60">
        <w:trPr>
          <w:trHeight w:val="80"/>
        </w:trPr>
        <w:tc>
          <w:tcPr>
            <w:tcW w:w="1200" w:type="dxa"/>
            <w:tcBorders>
              <w:top w:val="nil"/>
              <w:left w:val="single" w:sz="4" w:space="0" w:color="auto"/>
              <w:bottom w:val="single" w:sz="8" w:space="0" w:color="auto"/>
              <w:right w:val="single" w:sz="8" w:space="0" w:color="auto"/>
            </w:tcBorders>
            <w:vAlign w:val="center"/>
          </w:tcPr>
          <w:p w:rsidR="000006EB" w:rsidRPr="00F83412" w:rsidRDefault="000006EB" w:rsidP="00934AC9">
            <w:pPr>
              <w:jc w:val="right"/>
              <w:rPr>
                <w:b/>
                <w:bCs/>
                <w:lang w:eastAsia="en-GB"/>
              </w:rPr>
            </w:pPr>
            <w:r w:rsidRPr="00F83412">
              <w:rPr>
                <w:b/>
                <w:bCs/>
                <w:sz w:val="22"/>
                <w:szCs w:val="22"/>
                <w:lang w:eastAsia="en-GB"/>
              </w:rPr>
              <w:t> </w:t>
            </w:r>
          </w:p>
        </w:tc>
        <w:tc>
          <w:tcPr>
            <w:tcW w:w="1200" w:type="dxa"/>
            <w:tcBorders>
              <w:top w:val="nil"/>
              <w:left w:val="nil"/>
              <w:bottom w:val="single" w:sz="8" w:space="0" w:color="auto"/>
              <w:right w:val="single" w:sz="8" w:space="0" w:color="auto"/>
            </w:tcBorders>
            <w:vAlign w:val="center"/>
          </w:tcPr>
          <w:p w:rsidR="000006EB" w:rsidRPr="00F83412" w:rsidRDefault="000006EB" w:rsidP="00934AC9">
            <w:pPr>
              <w:jc w:val="right"/>
              <w:rPr>
                <w:b/>
                <w:bCs/>
                <w:lang w:eastAsia="en-GB"/>
              </w:rPr>
            </w:pPr>
            <w:r w:rsidRPr="00F83412">
              <w:rPr>
                <w:b/>
                <w:bCs/>
                <w:sz w:val="22"/>
                <w:szCs w:val="22"/>
                <w:lang w:eastAsia="en-GB"/>
              </w:rPr>
              <w:t> </w:t>
            </w:r>
          </w:p>
        </w:tc>
        <w:tc>
          <w:tcPr>
            <w:tcW w:w="1200" w:type="dxa"/>
            <w:tcBorders>
              <w:top w:val="nil"/>
              <w:left w:val="nil"/>
              <w:bottom w:val="single" w:sz="8" w:space="0" w:color="auto"/>
              <w:right w:val="single" w:sz="8" w:space="0" w:color="auto"/>
            </w:tcBorders>
            <w:vAlign w:val="center"/>
          </w:tcPr>
          <w:p w:rsidR="000006EB" w:rsidRPr="00F83412" w:rsidRDefault="000006EB" w:rsidP="00934AC9">
            <w:pPr>
              <w:jc w:val="right"/>
              <w:rPr>
                <w:b/>
                <w:bCs/>
                <w:lang w:eastAsia="en-GB"/>
              </w:rPr>
            </w:pPr>
            <w:r w:rsidRPr="00F83412">
              <w:rPr>
                <w:b/>
                <w:bCs/>
                <w:sz w:val="22"/>
                <w:szCs w:val="22"/>
                <w:lang w:eastAsia="en-GB"/>
              </w:rPr>
              <w:t> </w:t>
            </w:r>
          </w:p>
        </w:tc>
        <w:tc>
          <w:tcPr>
            <w:tcW w:w="1200" w:type="dxa"/>
            <w:tcBorders>
              <w:top w:val="nil"/>
              <w:left w:val="nil"/>
              <w:bottom w:val="single" w:sz="8" w:space="0" w:color="auto"/>
              <w:right w:val="single" w:sz="8" w:space="0" w:color="auto"/>
            </w:tcBorders>
            <w:vAlign w:val="center"/>
          </w:tcPr>
          <w:p w:rsidR="000006EB" w:rsidRPr="00F83412" w:rsidRDefault="000006EB" w:rsidP="00934AC9">
            <w:pPr>
              <w:jc w:val="right"/>
              <w:rPr>
                <w:b/>
                <w:bCs/>
                <w:lang w:eastAsia="en-GB"/>
              </w:rPr>
            </w:pPr>
            <w:r w:rsidRPr="00F83412">
              <w:rPr>
                <w:b/>
                <w:bCs/>
                <w:sz w:val="22"/>
                <w:szCs w:val="22"/>
                <w:lang w:eastAsia="en-GB"/>
              </w:rPr>
              <w:t> </w:t>
            </w:r>
          </w:p>
        </w:tc>
      </w:tr>
    </w:tbl>
    <w:p w:rsidR="000006EB" w:rsidRPr="00F83412" w:rsidRDefault="000006EB" w:rsidP="00E002F3">
      <w:pPr>
        <w:pStyle w:val="EBBodyPara"/>
        <w:keepNext/>
        <w:spacing w:after="0"/>
        <w:jc w:val="both"/>
        <w:rPr>
          <w:color w:val="auto"/>
        </w:rPr>
      </w:pPr>
    </w:p>
    <w:p w:rsidR="00C5502B" w:rsidRDefault="003314B9" w:rsidP="00A02E16">
      <w:pPr>
        <w:pStyle w:val="EBBodyPara"/>
        <w:spacing w:after="0"/>
        <w:jc w:val="both"/>
        <w:rPr>
          <w:b/>
          <w:i/>
        </w:rPr>
      </w:pPr>
      <w:r>
        <w:rPr>
          <w:color w:val="auto"/>
        </w:rPr>
        <w:t xml:space="preserve">The pre-consultation </w:t>
      </w:r>
      <w:r w:rsidR="003C3CC7">
        <w:rPr>
          <w:color w:val="auto"/>
        </w:rPr>
        <w:t xml:space="preserve">IA </w:t>
      </w:r>
      <w:r w:rsidR="002411BB">
        <w:rPr>
          <w:color w:val="auto"/>
        </w:rPr>
        <w:t>assumed that all applicants are businesses</w:t>
      </w:r>
      <w:r>
        <w:rPr>
          <w:color w:val="auto"/>
        </w:rPr>
        <w:t xml:space="preserve">, which is likely to be </w:t>
      </w:r>
      <w:r w:rsidR="004A1654">
        <w:rPr>
          <w:color w:val="auto"/>
        </w:rPr>
        <w:t>an overestimate</w:t>
      </w:r>
      <w:r w:rsidR="002411BB">
        <w:rPr>
          <w:color w:val="auto"/>
        </w:rPr>
        <w:t xml:space="preserve"> of saving to business. </w:t>
      </w:r>
      <w:r w:rsidR="00C5502B">
        <w:rPr>
          <w:color w:val="auto"/>
        </w:rPr>
        <w:t xml:space="preserve">While the consultation did not provide any </w:t>
      </w:r>
      <w:r>
        <w:rPr>
          <w:color w:val="auto"/>
        </w:rPr>
        <w:t xml:space="preserve">further information in which to make this calculation, </w:t>
      </w:r>
      <w:r w:rsidR="00C5502B">
        <w:rPr>
          <w:color w:val="auto"/>
        </w:rPr>
        <w:t xml:space="preserve">English Heritage and the Heritage Lottery Fund have commissioned a Report form Colliers International </w:t>
      </w:r>
      <w:r w:rsidR="00C5502B" w:rsidRPr="00C5502B">
        <w:rPr>
          <w:i/>
          <w:color w:val="auto"/>
        </w:rPr>
        <w:t>‘P</w:t>
      </w:r>
      <w:r w:rsidR="00C5502B" w:rsidRPr="00C5502B">
        <w:rPr>
          <w:i/>
        </w:rPr>
        <w:t>atterns of business occupation and consent applications for Historic Building</w:t>
      </w:r>
      <w:r w:rsidR="00C5502B">
        <w:rPr>
          <w:i/>
        </w:rPr>
        <w:t>’</w:t>
      </w:r>
      <w:r w:rsidR="00C5502B" w:rsidRPr="00C5502B">
        <w:rPr>
          <w:i/>
        </w:rPr>
        <w:t>s</w:t>
      </w:r>
      <w:r w:rsidR="00C5502B">
        <w:rPr>
          <w:i/>
        </w:rPr>
        <w:t>(Forthcoming).</w:t>
      </w:r>
      <w:r w:rsidR="00C5502B" w:rsidRPr="00C5502B">
        <w:t>This report provides an estimate for the number of non-residential applications.</w:t>
      </w:r>
      <w:r w:rsidR="00C5502B">
        <w:rPr>
          <w:b/>
          <w:i/>
        </w:rPr>
        <w:t xml:space="preserve">  </w:t>
      </w:r>
    </w:p>
    <w:p w:rsidR="00C5502B" w:rsidRDefault="00C5502B" w:rsidP="00A02E16">
      <w:pPr>
        <w:pStyle w:val="EBBodyPara"/>
        <w:spacing w:after="0"/>
        <w:jc w:val="both"/>
        <w:rPr>
          <w:b/>
          <w:i/>
        </w:rPr>
      </w:pPr>
    </w:p>
    <w:p w:rsidR="002411BB" w:rsidRDefault="00C5502B" w:rsidP="00A02E16">
      <w:pPr>
        <w:pStyle w:val="EBBodyPara"/>
        <w:spacing w:after="0"/>
        <w:jc w:val="both"/>
      </w:pPr>
      <w:r>
        <w:t>The Colliers report analysed 400 individual applications for listed building consent from 12 places over a thr</w:t>
      </w:r>
      <w:r w:rsidR="00A73B66">
        <w:t>ee year period, of which 245 (55</w:t>
      </w:r>
      <w:r>
        <w:t>%) related to non-residential applications and 155 (</w:t>
      </w:r>
      <w:r w:rsidR="00A73B66">
        <w:t>55</w:t>
      </w:r>
      <w:r>
        <w:t>%)</w:t>
      </w:r>
      <w:r w:rsidR="00A73B66">
        <w:t xml:space="preserve"> to residential applications. Colliers also looked at a sample of two rural areas; while the </w:t>
      </w:r>
      <w:r w:rsidR="00763651">
        <w:t>numbers non-residential applications were lower,</w:t>
      </w:r>
      <w:r w:rsidR="00A73B66">
        <w:t xml:space="preserve"> the </w:t>
      </w:r>
      <w:r w:rsidR="00763651">
        <w:t>split between</w:t>
      </w:r>
      <w:r w:rsidR="00A73B66">
        <w:t xml:space="preserve"> </w:t>
      </w:r>
      <w:r w:rsidR="00763651">
        <w:t>residential and non-residential in</w:t>
      </w:r>
      <w:r w:rsidR="00A73B66">
        <w:t xml:space="preserve"> their more in depth analysis </w:t>
      </w:r>
      <w:r w:rsidR="00763651">
        <w:t xml:space="preserve">was actually higher, although there was a small rural sample. However, </w:t>
      </w:r>
      <w:r w:rsidR="00A73B66">
        <w:t xml:space="preserve">given the lower number of people living in rural areas, relative to urban areas, this average is likely to be a good approximation for the national picture. Non-residential applications may also include some properties that are not related to business activities such </w:t>
      </w:r>
      <w:r w:rsidR="00A73B66" w:rsidRPr="00A73B66">
        <w:t xml:space="preserve">monuments, public realm, and education. Taking account of this we have rounded the estimate for business applications </w:t>
      </w:r>
      <w:r w:rsidR="00A73B66">
        <w:t>down to</w:t>
      </w:r>
      <w:r w:rsidR="00A73B66" w:rsidRPr="00A73B66">
        <w:t xml:space="preserve"> 50%.</w:t>
      </w:r>
      <w:r w:rsidR="00A73B66">
        <w:t xml:space="preserve"> This means that of the applications considered in this impact assessment 50% come from business.</w:t>
      </w:r>
    </w:p>
    <w:p w:rsidR="00A73B66" w:rsidRDefault="00A73B66" w:rsidP="00A02E16">
      <w:pPr>
        <w:pStyle w:val="EBBodyPara"/>
        <w:spacing w:after="0"/>
        <w:jc w:val="both"/>
      </w:pPr>
    </w:p>
    <w:p w:rsidR="0086718F" w:rsidRDefault="0086718F" w:rsidP="00A02E16">
      <w:pPr>
        <w:pStyle w:val="EBBodyPara"/>
        <w:spacing w:after="0"/>
        <w:jc w:val="both"/>
        <w:rPr>
          <w:color w:val="auto"/>
        </w:rPr>
      </w:pPr>
    </w:p>
    <w:p w:rsidR="0086718F" w:rsidRDefault="0086718F" w:rsidP="00A02E16">
      <w:pPr>
        <w:pStyle w:val="EBBodyPara"/>
        <w:spacing w:after="0"/>
        <w:jc w:val="both"/>
        <w:rPr>
          <w:color w:val="auto"/>
        </w:rPr>
      </w:pPr>
    </w:p>
    <w:tbl>
      <w:tblPr>
        <w:tblW w:w="10300" w:type="dxa"/>
        <w:tblInd w:w="103" w:type="dxa"/>
        <w:tblLook w:val="04A0" w:firstRow="1" w:lastRow="0" w:firstColumn="1" w:lastColumn="0" w:noHBand="0" w:noVBand="1"/>
      </w:tblPr>
      <w:tblGrid>
        <w:gridCol w:w="1200"/>
        <w:gridCol w:w="1200"/>
        <w:gridCol w:w="700"/>
        <w:gridCol w:w="500"/>
        <w:gridCol w:w="700"/>
        <w:gridCol w:w="500"/>
        <w:gridCol w:w="700"/>
        <w:gridCol w:w="1200"/>
        <w:gridCol w:w="1200"/>
        <w:gridCol w:w="1200"/>
        <w:gridCol w:w="1200"/>
      </w:tblGrid>
      <w:tr w:rsidR="002411BB" w:rsidRPr="002411BB" w:rsidTr="002411BB">
        <w:trPr>
          <w:trHeight w:val="300"/>
        </w:trPr>
        <w:tc>
          <w:tcPr>
            <w:tcW w:w="3100" w:type="dxa"/>
            <w:gridSpan w:val="3"/>
            <w:tcBorders>
              <w:top w:val="single" w:sz="4" w:space="0" w:color="auto"/>
              <w:left w:val="single" w:sz="4" w:space="0" w:color="auto"/>
              <w:bottom w:val="single" w:sz="4" w:space="0" w:color="auto"/>
              <w:right w:val="nil"/>
            </w:tcBorders>
            <w:shd w:val="clear" w:color="auto" w:fill="auto"/>
            <w:vAlign w:val="center"/>
            <w:hideMark/>
          </w:tcPr>
          <w:p w:rsidR="002411BB" w:rsidRPr="002411BB" w:rsidRDefault="002411BB" w:rsidP="002411BB">
            <w:pPr>
              <w:jc w:val="both"/>
              <w:rPr>
                <w:b/>
                <w:bCs/>
                <w:color w:val="000000"/>
                <w:sz w:val="22"/>
                <w:szCs w:val="22"/>
                <w:lang w:eastAsia="en-GB"/>
              </w:rPr>
            </w:pPr>
            <w:r w:rsidRPr="002411BB">
              <w:rPr>
                <w:b/>
                <w:bCs/>
                <w:color w:val="000000"/>
                <w:sz w:val="22"/>
                <w:szCs w:val="22"/>
                <w:lang w:eastAsia="en-GB"/>
              </w:rPr>
              <w:t> </w:t>
            </w:r>
            <w:r w:rsidR="003C3CC7" w:rsidRPr="00F83412">
              <w:rPr>
                <w:sz w:val="22"/>
                <w:szCs w:val="22"/>
                <w:lang w:eastAsia="en-GB"/>
              </w:rPr>
              <w:t>£ million 2009 prices </w:t>
            </w:r>
          </w:p>
        </w:tc>
        <w:tc>
          <w:tcPr>
            <w:tcW w:w="1200" w:type="dxa"/>
            <w:gridSpan w:val="2"/>
            <w:tcBorders>
              <w:top w:val="single" w:sz="4" w:space="0" w:color="auto"/>
              <w:left w:val="single" w:sz="4" w:space="0" w:color="auto"/>
              <w:bottom w:val="single" w:sz="4" w:space="0" w:color="auto"/>
              <w:right w:val="nil"/>
            </w:tcBorders>
            <w:shd w:val="clear" w:color="auto" w:fill="auto"/>
            <w:vAlign w:val="center"/>
            <w:hideMark/>
          </w:tcPr>
          <w:p w:rsidR="002411BB" w:rsidRPr="002411BB" w:rsidRDefault="002411BB" w:rsidP="002411BB">
            <w:pPr>
              <w:jc w:val="right"/>
              <w:rPr>
                <w:b/>
                <w:bCs/>
                <w:color w:val="000000"/>
                <w:sz w:val="22"/>
                <w:szCs w:val="22"/>
                <w:lang w:eastAsia="en-GB"/>
              </w:rPr>
            </w:pPr>
            <w:r w:rsidRPr="002411BB">
              <w:rPr>
                <w:b/>
                <w:bCs/>
                <w:color w:val="000000"/>
                <w:sz w:val="22"/>
                <w:szCs w:val="22"/>
                <w:lang w:eastAsia="en-GB"/>
              </w:rPr>
              <w:t>Year 0</w:t>
            </w:r>
          </w:p>
        </w:tc>
        <w:tc>
          <w:tcPr>
            <w:tcW w:w="1200" w:type="dxa"/>
            <w:gridSpan w:val="2"/>
            <w:tcBorders>
              <w:top w:val="single" w:sz="4" w:space="0" w:color="auto"/>
              <w:left w:val="nil"/>
              <w:bottom w:val="single" w:sz="4" w:space="0" w:color="auto"/>
              <w:right w:val="nil"/>
            </w:tcBorders>
            <w:shd w:val="clear" w:color="auto" w:fill="auto"/>
            <w:vAlign w:val="center"/>
            <w:hideMark/>
          </w:tcPr>
          <w:p w:rsidR="002411BB" w:rsidRPr="002411BB" w:rsidRDefault="002411BB" w:rsidP="002411BB">
            <w:pPr>
              <w:jc w:val="right"/>
              <w:rPr>
                <w:b/>
                <w:bCs/>
                <w:color w:val="000000"/>
                <w:sz w:val="22"/>
                <w:szCs w:val="22"/>
                <w:lang w:eastAsia="en-GB"/>
              </w:rPr>
            </w:pPr>
            <w:r w:rsidRPr="002411BB">
              <w:rPr>
                <w:b/>
                <w:bCs/>
                <w:color w:val="000000"/>
                <w:sz w:val="22"/>
                <w:szCs w:val="22"/>
                <w:lang w:eastAsia="en-GB"/>
              </w:rPr>
              <w:t>Year 1</w:t>
            </w:r>
          </w:p>
        </w:tc>
        <w:tc>
          <w:tcPr>
            <w:tcW w:w="1200" w:type="dxa"/>
            <w:tcBorders>
              <w:top w:val="single" w:sz="4" w:space="0" w:color="auto"/>
              <w:left w:val="nil"/>
              <w:bottom w:val="single" w:sz="4" w:space="0" w:color="auto"/>
              <w:right w:val="nil"/>
            </w:tcBorders>
            <w:shd w:val="clear" w:color="auto" w:fill="auto"/>
            <w:vAlign w:val="center"/>
            <w:hideMark/>
          </w:tcPr>
          <w:p w:rsidR="002411BB" w:rsidRPr="002411BB" w:rsidRDefault="002411BB" w:rsidP="002411BB">
            <w:pPr>
              <w:jc w:val="right"/>
              <w:rPr>
                <w:b/>
                <w:bCs/>
                <w:color w:val="000000"/>
                <w:sz w:val="22"/>
                <w:szCs w:val="22"/>
                <w:lang w:eastAsia="en-GB"/>
              </w:rPr>
            </w:pPr>
            <w:r w:rsidRPr="002411BB">
              <w:rPr>
                <w:b/>
                <w:bCs/>
                <w:color w:val="000000"/>
                <w:sz w:val="22"/>
                <w:szCs w:val="22"/>
                <w:lang w:eastAsia="en-GB"/>
              </w:rPr>
              <w:t>Year 2</w:t>
            </w:r>
          </w:p>
        </w:tc>
        <w:tc>
          <w:tcPr>
            <w:tcW w:w="1200" w:type="dxa"/>
            <w:tcBorders>
              <w:top w:val="single" w:sz="4" w:space="0" w:color="auto"/>
              <w:left w:val="nil"/>
              <w:bottom w:val="single" w:sz="4" w:space="0" w:color="auto"/>
              <w:right w:val="nil"/>
            </w:tcBorders>
            <w:shd w:val="clear" w:color="auto" w:fill="auto"/>
            <w:vAlign w:val="center"/>
            <w:hideMark/>
          </w:tcPr>
          <w:p w:rsidR="002411BB" w:rsidRPr="002411BB" w:rsidRDefault="002411BB" w:rsidP="002411BB">
            <w:pPr>
              <w:jc w:val="right"/>
              <w:rPr>
                <w:b/>
                <w:bCs/>
                <w:color w:val="000000"/>
                <w:sz w:val="22"/>
                <w:szCs w:val="22"/>
                <w:lang w:eastAsia="en-GB"/>
              </w:rPr>
            </w:pPr>
            <w:r w:rsidRPr="002411BB">
              <w:rPr>
                <w:b/>
                <w:bCs/>
                <w:color w:val="000000"/>
                <w:sz w:val="22"/>
                <w:szCs w:val="22"/>
                <w:lang w:eastAsia="en-GB"/>
              </w:rPr>
              <w:t>Year 3</w:t>
            </w:r>
          </w:p>
        </w:tc>
        <w:tc>
          <w:tcPr>
            <w:tcW w:w="1200" w:type="dxa"/>
            <w:tcBorders>
              <w:top w:val="single" w:sz="4" w:space="0" w:color="auto"/>
              <w:left w:val="nil"/>
              <w:bottom w:val="single" w:sz="4" w:space="0" w:color="auto"/>
              <w:right w:val="nil"/>
            </w:tcBorders>
            <w:shd w:val="clear" w:color="auto" w:fill="auto"/>
            <w:vAlign w:val="center"/>
            <w:hideMark/>
          </w:tcPr>
          <w:p w:rsidR="002411BB" w:rsidRPr="002411BB" w:rsidRDefault="002411BB" w:rsidP="002411BB">
            <w:pPr>
              <w:jc w:val="right"/>
              <w:rPr>
                <w:b/>
                <w:bCs/>
                <w:color w:val="000000"/>
                <w:sz w:val="22"/>
                <w:szCs w:val="22"/>
                <w:lang w:eastAsia="en-GB"/>
              </w:rPr>
            </w:pPr>
            <w:r w:rsidRPr="002411BB">
              <w:rPr>
                <w:b/>
                <w:bCs/>
                <w:color w:val="000000"/>
                <w:sz w:val="22"/>
                <w:szCs w:val="22"/>
                <w:lang w:eastAsia="en-GB"/>
              </w:rPr>
              <w:t>Year 4</w:t>
            </w:r>
          </w:p>
        </w:tc>
        <w:tc>
          <w:tcPr>
            <w:tcW w:w="1200" w:type="dxa"/>
            <w:tcBorders>
              <w:top w:val="single" w:sz="4" w:space="0" w:color="auto"/>
              <w:left w:val="nil"/>
              <w:bottom w:val="single" w:sz="4" w:space="0" w:color="auto"/>
              <w:right w:val="nil"/>
            </w:tcBorders>
            <w:shd w:val="clear" w:color="auto" w:fill="auto"/>
            <w:vAlign w:val="center"/>
            <w:hideMark/>
          </w:tcPr>
          <w:p w:rsidR="002411BB" w:rsidRPr="002411BB" w:rsidRDefault="002411BB" w:rsidP="002411BB">
            <w:pPr>
              <w:jc w:val="right"/>
              <w:rPr>
                <w:b/>
                <w:bCs/>
                <w:color w:val="000000"/>
                <w:sz w:val="22"/>
                <w:szCs w:val="22"/>
                <w:lang w:eastAsia="en-GB"/>
              </w:rPr>
            </w:pPr>
            <w:r w:rsidRPr="002411BB">
              <w:rPr>
                <w:b/>
                <w:bCs/>
                <w:color w:val="000000"/>
                <w:sz w:val="22"/>
                <w:szCs w:val="22"/>
                <w:lang w:eastAsia="en-GB"/>
              </w:rPr>
              <w:t>Year 5</w:t>
            </w:r>
          </w:p>
        </w:tc>
      </w:tr>
      <w:tr w:rsidR="002411BB" w:rsidRPr="002411BB" w:rsidTr="002411BB">
        <w:trPr>
          <w:trHeight w:val="315"/>
        </w:trPr>
        <w:tc>
          <w:tcPr>
            <w:tcW w:w="3100" w:type="dxa"/>
            <w:gridSpan w:val="3"/>
            <w:tcBorders>
              <w:top w:val="nil"/>
              <w:left w:val="single" w:sz="4" w:space="0" w:color="auto"/>
              <w:bottom w:val="nil"/>
              <w:right w:val="nil"/>
            </w:tcBorders>
            <w:shd w:val="clear" w:color="auto" w:fill="auto"/>
            <w:vAlign w:val="center"/>
            <w:hideMark/>
          </w:tcPr>
          <w:p w:rsidR="002411BB" w:rsidRPr="002411BB" w:rsidRDefault="002411BB" w:rsidP="002411BB">
            <w:pPr>
              <w:jc w:val="both"/>
              <w:rPr>
                <w:color w:val="000000"/>
                <w:sz w:val="22"/>
                <w:szCs w:val="22"/>
                <w:lang w:eastAsia="en-GB"/>
              </w:rPr>
            </w:pPr>
            <w:r w:rsidRPr="002411BB">
              <w:rPr>
                <w:color w:val="000000"/>
                <w:sz w:val="22"/>
                <w:szCs w:val="22"/>
                <w:lang w:eastAsia="en-GB"/>
              </w:rPr>
              <w:t>Impact Non-business</w:t>
            </w:r>
          </w:p>
        </w:tc>
        <w:tc>
          <w:tcPr>
            <w:tcW w:w="1200" w:type="dxa"/>
            <w:gridSpan w:val="2"/>
            <w:tcBorders>
              <w:top w:val="nil"/>
              <w:left w:val="single" w:sz="4" w:space="0" w:color="auto"/>
              <w:bottom w:val="nil"/>
              <w:right w:val="single" w:sz="4" w:space="0" w:color="auto"/>
            </w:tcBorders>
            <w:shd w:val="clear" w:color="auto" w:fill="auto"/>
            <w:vAlign w:val="center"/>
            <w:hideMark/>
          </w:tcPr>
          <w:p w:rsidR="002411BB" w:rsidRPr="002411BB" w:rsidRDefault="002411BB" w:rsidP="002411BB">
            <w:pPr>
              <w:jc w:val="right"/>
              <w:rPr>
                <w:color w:val="000000"/>
                <w:sz w:val="22"/>
                <w:szCs w:val="22"/>
                <w:lang w:eastAsia="en-GB"/>
              </w:rPr>
            </w:pPr>
            <w:r w:rsidRPr="002411BB">
              <w:rPr>
                <w:color w:val="000000"/>
                <w:sz w:val="22"/>
                <w:szCs w:val="22"/>
                <w:lang w:eastAsia="en-GB"/>
              </w:rPr>
              <w:t xml:space="preserve">            0.3 </w:t>
            </w:r>
          </w:p>
        </w:tc>
        <w:tc>
          <w:tcPr>
            <w:tcW w:w="1200" w:type="dxa"/>
            <w:gridSpan w:val="2"/>
            <w:tcBorders>
              <w:top w:val="nil"/>
              <w:left w:val="nil"/>
              <w:bottom w:val="nil"/>
              <w:right w:val="single" w:sz="4" w:space="0" w:color="auto"/>
            </w:tcBorders>
            <w:shd w:val="clear" w:color="auto" w:fill="auto"/>
            <w:vAlign w:val="center"/>
            <w:hideMark/>
          </w:tcPr>
          <w:p w:rsidR="002411BB" w:rsidRPr="002411BB" w:rsidRDefault="002411BB" w:rsidP="002411BB">
            <w:pPr>
              <w:jc w:val="right"/>
              <w:rPr>
                <w:color w:val="000000"/>
                <w:sz w:val="22"/>
                <w:szCs w:val="22"/>
                <w:lang w:eastAsia="en-GB"/>
              </w:rPr>
            </w:pPr>
            <w:r w:rsidRPr="002411BB">
              <w:rPr>
                <w:color w:val="000000"/>
                <w:sz w:val="22"/>
                <w:szCs w:val="22"/>
                <w:lang w:eastAsia="en-GB"/>
              </w:rPr>
              <w:t xml:space="preserve">            0.7 </w:t>
            </w:r>
          </w:p>
        </w:tc>
        <w:tc>
          <w:tcPr>
            <w:tcW w:w="1200" w:type="dxa"/>
            <w:tcBorders>
              <w:top w:val="nil"/>
              <w:left w:val="nil"/>
              <w:bottom w:val="nil"/>
              <w:right w:val="single" w:sz="4" w:space="0" w:color="auto"/>
            </w:tcBorders>
            <w:shd w:val="clear" w:color="auto" w:fill="auto"/>
            <w:vAlign w:val="center"/>
            <w:hideMark/>
          </w:tcPr>
          <w:p w:rsidR="002411BB" w:rsidRPr="002411BB" w:rsidRDefault="002411BB" w:rsidP="002411BB">
            <w:pPr>
              <w:jc w:val="right"/>
              <w:rPr>
                <w:color w:val="000000"/>
                <w:sz w:val="22"/>
                <w:szCs w:val="22"/>
                <w:lang w:eastAsia="en-GB"/>
              </w:rPr>
            </w:pPr>
            <w:r w:rsidRPr="002411BB">
              <w:rPr>
                <w:color w:val="000000"/>
                <w:sz w:val="22"/>
                <w:szCs w:val="22"/>
                <w:lang w:eastAsia="en-GB"/>
              </w:rPr>
              <w:t xml:space="preserve">            1.1 </w:t>
            </w:r>
          </w:p>
        </w:tc>
        <w:tc>
          <w:tcPr>
            <w:tcW w:w="1200" w:type="dxa"/>
            <w:tcBorders>
              <w:top w:val="nil"/>
              <w:left w:val="nil"/>
              <w:bottom w:val="nil"/>
              <w:right w:val="single" w:sz="4" w:space="0" w:color="auto"/>
            </w:tcBorders>
            <w:shd w:val="clear" w:color="auto" w:fill="auto"/>
            <w:vAlign w:val="center"/>
            <w:hideMark/>
          </w:tcPr>
          <w:p w:rsidR="002411BB" w:rsidRPr="002411BB" w:rsidRDefault="002411BB" w:rsidP="002411BB">
            <w:pPr>
              <w:jc w:val="right"/>
              <w:rPr>
                <w:color w:val="000000"/>
                <w:sz w:val="22"/>
                <w:szCs w:val="22"/>
                <w:lang w:eastAsia="en-GB"/>
              </w:rPr>
            </w:pPr>
            <w:r w:rsidRPr="002411BB">
              <w:rPr>
                <w:color w:val="000000"/>
                <w:sz w:val="22"/>
                <w:szCs w:val="22"/>
                <w:lang w:eastAsia="en-GB"/>
              </w:rPr>
              <w:t xml:space="preserve">            1.6 </w:t>
            </w:r>
          </w:p>
        </w:tc>
        <w:tc>
          <w:tcPr>
            <w:tcW w:w="1200" w:type="dxa"/>
            <w:tcBorders>
              <w:top w:val="nil"/>
              <w:left w:val="nil"/>
              <w:bottom w:val="nil"/>
              <w:right w:val="single" w:sz="4" w:space="0" w:color="auto"/>
            </w:tcBorders>
            <w:shd w:val="clear" w:color="auto" w:fill="auto"/>
            <w:vAlign w:val="center"/>
            <w:hideMark/>
          </w:tcPr>
          <w:p w:rsidR="002411BB" w:rsidRPr="002411BB" w:rsidRDefault="002411BB" w:rsidP="002411BB">
            <w:pPr>
              <w:jc w:val="right"/>
              <w:rPr>
                <w:color w:val="000000"/>
                <w:sz w:val="22"/>
                <w:szCs w:val="22"/>
                <w:lang w:eastAsia="en-GB"/>
              </w:rPr>
            </w:pPr>
            <w:r w:rsidRPr="002411BB">
              <w:rPr>
                <w:color w:val="000000"/>
                <w:sz w:val="22"/>
                <w:szCs w:val="22"/>
                <w:lang w:eastAsia="en-GB"/>
              </w:rPr>
              <w:t xml:space="preserve">            2.1 </w:t>
            </w:r>
          </w:p>
        </w:tc>
        <w:tc>
          <w:tcPr>
            <w:tcW w:w="1200" w:type="dxa"/>
            <w:tcBorders>
              <w:top w:val="nil"/>
              <w:left w:val="nil"/>
              <w:bottom w:val="nil"/>
              <w:right w:val="single" w:sz="4" w:space="0" w:color="auto"/>
            </w:tcBorders>
            <w:shd w:val="clear" w:color="auto" w:fill="auto"/>
            <w:vAlign w:val="center"/>
            <w:hideMark/>
          </w:tcPr>
          <w:p w:rsidR="002411BB" w:rsidRPr="002411BB" w:rsidRDefault="002411BB" w:rsidP="002411BB">
            <w:pPr>
              <w:jc w:val="right"/>
              <w:rPr>
                <w:color w:val="000000"/>
                <w:sz w:val="22"/>
                <w:szCs w:val="22"/>
                <w:lang w:eastAsia="en-GB"/>
              </w:rPr>
            </w:pPr>
            <w:r w:rsidRPr="002411BB">
              <w:rPr>
                <w:color w:val="000000"/>
                <w:sz w:val="22"/>
                <w:szCs w:val="22"/>
                <w:lang w:eastAsia="en-GB"/>
              </w:rPr>
              <w:t xml:space="preserve">            2.6 </w:t>
            </w:r>
          </w:p>
        </w:tc>
      </w:tr>
      <w:tr w:rsidR="002411BB" w:rsidRPr="002411BB" w:rsidTr="002411BB">
        <w:trPr>
          <w:trHeight w:val="300"/>
        </w:trPr>
        <w:tc>
          <w:tcPr>
            <w:tcW w:w="3100" w:type="dxa"/>
            <w:gridSpan w:val="3"/>
            <w:tcBorders>
              <w:top w:val="nil"/>
              <w:left w:val="single" w:sz="4" w:space="0" w:color="auto"/>
              <w:bottom w:val="nil"/>
              <w:right w:val="nil"/>
            </w:tcBorders>
            <w:shd w:val="clear" w:color="auto" w:fill="auto"/>
            <w:vAlign w:val="center"/>
            <w:hideMark/>
          </w:tcPr>
          <w:p w:rsidR="002411BB" w:rsidRPr="002411BB" w:rsidRDefault="002411BB" w:rsidP="002411BB">
            <w:pPr>
              <w:jc w:val="both"/>
              <w:rPr>
                <w:color w:val="000000"/>
                <w:sz w:val="22"/>
                <w:szCs w:val="22"/>
                <w:lang w:eastAsia="en-GB"/>
              </w:rPr>
            </w:pPr>
            <w:r w:rsidRPr="002411BB">
              <w:rPr>
                <w:color w:val="000000"/>
                <w:sz w:val="22"/>
                <w:szCs w:val="22"/>
                <w:lang w:eastAsia="en-GB"/>
              </w:rPr>
              <w:t>Impact Business</w:t>
            </w:r>
          </w:p>
        </w:tc>
        <w:tc>
          <w:tcPr>
            <w:tcW w:w="1200" w:type="dxa"/>
            <w:gridSpan w:val="2"/>
            <w:tcBorders>
              <w:top w:val="nil"/>
              <w:left w:val="single" w:sz="4" w:space="0" w:color="auto"/>
              <w:bottom w:val="nil"/>
              <w:right w:val="single" w:sz="4" w:space="0" w:color="auto"/>
            </w:tcBorders>
            <w:shd w:val="clear" w:color="auto" w:fill="auto"/>
            <w:vAlign w:val="center"/>
            <w:hideMark/>
          </w:tcPr>
          <w:p w:rsidR="002411BB" w:rsidRPr="002411BB" w:rsidRDefault="002411BB" w:rsidP="002411BB">
            <w:pPr>
              <w:jc w:val="right"/>
              <w:rPr>
                <w:color w:val="000000"/>
                <w:sz w:val="22"/>
                <w:szCs w:val="22"/>
                <w:lang w:eastAsia="en-GB"/>
              </w:rPr>
            </w:pPr>
            <w:r w:rsidRPr="002411BB">
              <w:rPr>
                <w:color w:val="000000"/>
                <w:sz w:val="22"/>
                <w:szCs w:val="22"/>
                <w:lang w:eastAsia="en-GB"/>
              </w:rPr>
              <w:t xml:space="preserve">            0.3 </w:t>
            </w:r>
          </w:p>
        </w:tc>
        <w:tc>
          <w:tcPr>
            <w:tcW w:w="1200" w:type="dxa"/>
            <w:gridSpan w:val="2"/>
            <w:tcBorders>
              <w:top w:val="nil"/>
              <w:left w:val="nil"/>
              <w:bottom w:val="nil"/>
              <w:right w:val="single" w:sz="4" w:space="0" w:color="auto"/>
            </w:tcBorders>
            <w:shd w:val="clear" w:color="auto" w:fill="auto"/>
            <w:vAlign w:val="center"/>
            <w:hideMark/>
          </w:tcPr>
          <w:p w:rsidR="002411BB" w:rsidRPr="002411BB" w:rsidRDefault="002411BB" w:rsidP="002411BB">
            <w:pPr>
              <w:jc w:val="right"/>
              <w:rPr>
                <w:color w:val="000000"/>
                <w:sz w:val="22"/>
                <w:szCs w:val="22"/>
                <w:lang w:eastAsia="en-GB"/>
              </w:rPr>
            </w:pPr>
            <w:r w:rsidRPr="002411BB">
              <w:rPr>
                <w:color w:val="000000"/>
                <w:sz w:val="22"/>
                <w:szCs w:val="22"/>
                <w:lang w:eastAsia="en-GB"/>
              </w:rPr>
              <w:t xml:space="preserve">            0.7 </w:t>
            </w:r>
          </w:p>
        </w:tc>
        <w:tc>
          <w:tcPr>
            <w:tcW w:w="1200" w:type="dxa"/>
            <w:tcBorders>
              <w:top w:val="nil"/>
              <w:left w:val="nil"/>
              <w:bottom w:val="nil"/>
              <w:right w:val="single" w:sz="4" w:space="0" w:color="auto"/>
            </w:tcBorders>
            <w:shd w:val="clear" w:color="auto" w:fill="auto"/>
            <w:vAlign w:val="center"/>
            <w:hideMark/>
          </w:tcPr>
          <w:p w:rsidR="002411BB" w:rsidRPr="002411BB" w:rsidRDefault="002411BB" w:rsidP="002411BB">
            <w:pPr>
              <w:jc w:val="right"/>
              <w:rPr>
                <w:color w:val="000000"/>
                <w:sz w:val="22"/>
                <w:szCs w:val="22"/>
                <w:lang w:eastAsia="en-GB"/>
              </w:rPr>
            </w:pPr>
            <w:r w:rsidRPr="002411BB">
              <w:rPr>
                <w:color w:val="000000"/>
                <w:sz w:val="22"/>
                <w:szCs w:val="22"/>
                <w:lang w:eastAsia="en-GB"/>
              </w:rPr>
              <w:t xml:space="preserve">            1.1 </w:t>
            </w:r>
          </w:p>
        </w:tc>
        <w:tc>
          <w:tcPr>
            <w:tcW w:w="1200" w:type="dxa"/>
            <w:tcBorders>
              <w:top w:val="nil"/>
              <w:left w:val="nil"/>
              <w:bottom w:val="nil"/>
              <w:right w:val="single" w:sz="4" w:space="0" w:color="auto"/>
            </w:tcBorders>
            <w:shd w:val="clear" w:color="auto" w:fill="auto"/>
            <w:vAlign w:val="center"/>
            <w:hideMark/>
          </w:tcPr>
          <w:p w:rsidR="002411BB" w:rsidRPr="002411BB" w:rsidRDefault="002411BB" w:rsidP="002411BB">
            <w:pPr>
              <w:jc w:val="right"/>
              <w:rPr>
                <w:color w:val="000000"/>
                <w:sz w:val="22"/>
                <w:szCs w:val="22"/>
                <w:lang w:eastAsia="en-GB"/>
              </w:rPr>
            </w:pPr>
            <w:r w:rsidRPr="002411BB">
              <w:rPr>
                <w:color w:val="000000"/>
                <w:sz w:val="22"/>
                <w:szCs w:val="22"/>
                <w:lang w:eastAsia="en-GB"/>
              </w:rPr>
              <w:t xml:space="preserve">            1.6 </w:t>
            </w:r>
          </w:p>
        </w:tc>
        <w:tc>
          <w:tcPr>
            <w:tcW w:w="1200" w:type="dxa"/>
            <w:tcBorders>
              <w:top w:val="nil"/>
              <w:left w:val="nil"/>
              <w:bottom w:val="nil"/>
              <w:right w:val="single" w:sz="4" w:space="0" w:color="auto"/>
            </w:tcBorders>
            <w:shd w:val="clear" w:color="auto" w:fill="auto"/>
            <w:vAlign w:val="center"/>
            <w:hideMark/>
          </w:tcPr>
          <w:p w:rsidR="002411BB" w:rsidRPr="002411BB" w:rsidRDefault="002411BB" w:rsidP="002411BB">
            <w:pPr>
              <w:jc w:val="right"/>
              <w:rPr>
                <w:color w:val="000000"/>
                <w:sz w:val="22"/>
                <w:szCs w:val="22"/>
                <w:lang w:eastAsia="en-GB"/>
              </w:rPr>
            </w:pPr>
            <w:r w:rsidRPr="002411BB">
              <w:rPr>
                <w:color w:val="000000"/>
                <w:sz w:val="22"/>
                <w:szCs w:val="22"/>
                <w:lang w:eastAsia="en-GB"/>
              </w:rPr>
              <w:t xml:space="preserve">            2.1 </w:t>
            </w:r>
          </w:p>
        </w:tc>
        <w:tc>
          <w:tcPr>
            <w:tcW w:w="1200" w:type="dxa"/>
            <w:tcBorders>
              <w:top w:val="nil"/>
              <w:left w:val="nil"/>
              <w:bottom w:val="nil"/>
              <w:right w:val="single" w:sz="4" w:space="0" w:color="auto"/>
            </w:tcBorders>
            <w:shd w:val="clear" w:color="auto" w:fill="auto"/>
            <w:vAlign w:val="center"/>
            <w:hideMark/>
          </w:tcPr>
          <w:p w:rsidR="002411BB" w:rsidRPr="002411BB" w:rsidRDefault="002411BB" w:rsidP="002411BB">
            <w:pPr>
              <w:jc w:val="right"/>
              <w:rPr>
                <w:color w:val="000000"/>
                <w:sz w:val="22"/>
                <w:szCs w:val="22"/>
                <w:lang w:eastAsia="en-GB"/>
              </w:rPr>
            </w:pPr>
            <w:r w:rsidRPr="002411BB">
              <w:rPr>
                <w:color w:val="000000"/>
                <w:sz w:val="22"/>
                <w:szCs w:val="22"/>
                <w:lang w:eastAsia="en-GB"/>
              </w:rPr>
              <w:t xml:space="preserve">            2.6 </w:t>
            </w:r>
          </w:p>
        </w:tc>
      </w:tr>
      <w:tr w:rsidR="002411BB" w:rsidRPr="002411BB" w:rsidTr="002411BB">
        <w:trPr>
          <w:trHeight w:val="300"/>
        </w:trPr>
        <w:tc>
          <w:tcPr>
            <w:tcW w:w="3100" w:type="dxa"/>
            <w:gridSpan w:val="3"/>
            <w:tcBorders>
              <w:top w:val="nil"/>
              <w:left w:val="single" w:sz="4" w:space="0" w:color="auto"/>
              <w:bottom w:val="single" w:sz="4" w:space="0" w:color="auto"/>
              <w:right w:val="nil"/>
            </w:tcBorders>
            <w:shd w:val="clear" w:color="auto" w:fill="auto"/>
            <w:vAlign w:val="center"/>
            <w:hideMark/>
          </w:tcPr>
          <w:p w:rsidR="002411BB" w:rsidRPr="002411BB" w:rsidRDefault="002411BB" w:rsidP="002411BB">
            <w:pPr>
              <w:jc w:val="both"/>
              <w:rPr>
                <w:color w:val="000000"/>
                <w:sz w:val="22"/>
                <w:szCs w:val="22"/>
                <w:lang w:eastAsia="en-GB"/>
              </w:rPr>
            </w:pPr>
            <w:r w:rsidRPr="002411BB">
              <w:rPr>
                <w:color w:val="000000"/>
                <w:sz w:val="22"/>
                <w:szCs w:val="22"/>
                <w:lang w:eastAsia="en-GB"/>
              </w:rPr>
              <w:t>Total</w:t>
            </w:r>
            <w:r>
              <w:rPr>
                <w:color w:val="000000"/>
                <w:sz w:val="22"/>
                <w:szCs w:val="22"/>
                <w:lang w:eastAsia="en-GB"/>
              </w:rPr>
              <w:t xml:space="preserve"> Savings to applicant (£)</w:t>
            </w:r>
          </w:p>
        </w:tc>
        <w:tc>
          <w:tcPr>
            <w:tcW w:w="1200" w:type="dxa"/>
            <w:gridSpan w:val="2"/>
            <w:tcBorders>
              <w:top w:val="nil"/>
              <w:left w:val="single" w:sz="4" w:space="0" w:color="auto"/>
              <w:bottom w:val="single" w:sz="4" w:space="0" w:color="auto"/>
              <w:right w:val="single" w:sz="4" w:space="0" w:color="auto"/>
            </w:tcBorders>
            <w:shd w:val="clear" w:color="auto" w:fill="auto"/>
            <w:vAlign w:val="center"/>
            <w:hideMark/>
          </w:tcPr>
          <w:p w:rsidR="002411BB" w:rsidRPr="002411BB" w:rsidRDefault="002411BB" w:rsidP="002411BB">
            <w:pPr>
              <w:jc w:val="right"/>
              <w:rPr>
                <w:color w:val="000000"/>
                <w:sz w:val="22"/>
                <w:szCs w:val="22"/>
                <w:lang w:eastAsia="en-GB"/>
              </w:rPr>
            </w:pPr>
            <w:r w:rsidRPr="002411BB">
              <w:rPr>
                <w:color w:val="000000"/>
                <w:sz w:val="22"/>
                <w:szCs w:val="22"/>
                <w:lang w:eastAsia="en-GB"/>
              </w:rPr>
              <w:t xml:space="preserve">            0.5 </w:t>
            </w:r>
          </w:p>
        </w:tc>
        <w:tc>
          <w:tcPr>
            <w:tcW w:w="1200" w:type="dxa"/>
            <w:gridSpan w:val="2"/>
            <w:tcBorders>
              <w:top w:val="nil"/>
              <w:left w:val="nil"/>
              <w:bottom w:val="single" w:sz="4" w:space="0" w:color="auto"/>
              <w:right w:val="single" w:sz="4" w:space="0" w:color="auto"/>
            </w:tcBorders>
            <w:shd w:val="clear" w:color="auto" w:fill="auto"/>
            <w:vAlign w:val="center"/>
            <w:hideMark/>
          </w:tcPr>
          <w:p w:rsidR="002411BB" w:rsidRPr="002411BB" w:rsidRDefault="002411BB" w:rsidP="002411BB">
            <w:pPr>
              <w:jc w:val="right"/>
              <w:rPr>
                <w:color w:val="000000"/>
                <w:sz w:val="22"/>
                <w:szCs w:val="22"/>
                <w:lang w:eastAsia="en-GB"/>
              </w:rPr>
            </w:pPr>
            <w:r w:rsidRPr="002411BB">
              <w:rPr>
                <w:color w:val="000000"/>
                <w:sz w:val="22"/>
                <w:szCs w:val="22"/>
                <w:lang w:eastAsia="en-GB"/>
              </w:rPr>
              <w:t xml:space="preserve">            1.3 </w:t>
            </w:r>
          </w:p>
        </w:tc>
        <w:tc>
          <w:tcPr>
            <w:tcW w:w="1200" w:type="dxa"/>
            <w:tcBorders>
              <w:top w:val="nil"/>
              <w:left w:val="nil"/>
              <w:bottom w:val="single" w:sz="4" w:space="0" w:color="auto"/>
              <w:right w:val="single" w:sz="4" w:space="0" w:color="auto"/>
            </w:tcBorders>
            <w:shd w:val="clear" w:color="auto" w:fill="auto"/>
            <w:vAlign w:val="center"/>
            <w:hideMark/>
          </w:tcPr>
          <w:p w:rsidR="002411BB" w:rsidRPr="002411BB" w:rsidRDefault="002411BB" w:rsidP="002411BB">
            <w:pPr>
              <w:jc w:val="right"/>
              <w:rPr>
                <w:color w:val="000000"/>
                <w:sz w:val="22"/>
                <w:szCs w:val="22"/>
                <w:lang w:eastAsia="en-GB"/>
              </w:rPr>
            </w:pPr>
            <w:r w:rsidRPr="002411BB">
              <w:rPr>
                <w:color w:val="000000"/>
                <w:sz w:val="22"/>
                <w:szCs w:val="22"/>
                <w:lang w:eastAsia="en-GB"/>
              </w:rPr>
              <w:t xml:space="preserve">            2.1 </w:t>
            </w:r>
          </w:p>
        </w:tc>
        <w:tc>
          <w:tcPr>
            <w:tcW w:w="1200" w:type="dxa"/>
            <w:tcBorders>
              <w:top w:val="nil"/>
              <w:left w:val="nil"/>
              <w:bottom w:val="single" w:sz="4" w:space="0" w:color="auto"/>
              <w:right w:val="single" w:sz="4" w:space="0" w:color="auto"/>
            </w:tcBorders>
            <w:shd w:val="clear" w:color="auto" w:fill="auto"/>
            <w:vAlign w:val="center"/>
            <w:hideMark/>
          </w:tcPr>
          <w:p w:rsidR="002411BB" w:rsidRPr="002411BB" w:rsidRDefault="002411BB" w:rsidP="002411BB">
            <w:pPr>
              <w:jc w:val="right"/>
              <w:rPr>
                <w:color w:val="000000"/>
                <w:sz w:val="22"/>
                <w:szCs w:val="22"/>
                <w:lang w:eastAsia="en-GB"/>
              </w:rPr>
            </w:pPr>
            <w:r w:rsidRPr="002411BB">
              <w:rPr>
                <w:color w:val="000000"/>
                <w:sz w:val="22"/>
                <w:szCs w:val="22"/>
                <w:lang w:eastAsia="en-GB"/>
              </w:rPr>
              <w:t xml:space="preserve">            3.2 </w:t>
            </w:r>
          </w:p>
        </w:tc>
        <w:tc>
          <w:tcPr>
            <w:tcW w:w="1200" w:type="dxa"/>
            <w:tcBorders>
              <w:top w:val="nil"/>
              <w:left w:val="nil"/>
              <w:bottom w:val="single" w:sz="4" w:space="0" w:color="auto"/>
              <w:right w:val="single" w:sz="4" w:space="0" w:color="auto"/>
            </w:tcBorders>
            <w:shd w:val="clear" w:color="auto" w:fill="auto"/>
            <w:vAlign w:val="center"/>
            <w:hideMark/>
          </w:tcPr>
          <w:p w:rsidR="002411BB" w:rsidRPr="002411BB" w:rsidRDefault="002411BB" w:rsidP="002411BB">
            <w:pPr>
              <w:jc w:val="right"/>
              <w:rPr>
                <w:color w:val="000000"/>
                <w:sz w:val="22"/>
                <w:szCs w:val="22"/>
                <w:lang w:eastAsia="en-GB"/>
              </w:rPr>
            </w:pPr>
            <w:r w:rsidRPr="002411BB">
              <w:rPr>
                <w:color w:val="000000"/>
                <w:sz w:val="22"/>
                <w:szCs w:val="22"/>
                <w:lang w:eastAsia="en-GB"/>
              </w:rPr>
              <w:t xml:space="preserve">            4.2 </w:t>
            </w:r>
          </w:p>
        </w:tc>
        <w:tc>
          <w:tcPr>
            <w:tcW w:w="1200" w:type="dxa"/>
            <w:tcBorders>
              <w:top w:val="nil"/>
              <w:left w:val="nil"/>
              <w:bottom w:val="single" w:sz="4" w:space="0" w:color="auto"/>
              <w:right w:val="single" w:sz="4" w:space="0" w:color="auto"/>
            </w:tcBorders>
            <w:shd w:val="clear" w:color="auto" w:fill="auto"/>
            <w:vAlign w:val="center"/>
            <w:hideMark/>
          </w:tcPr>
          <w:p w:rsidR="002411BB" w:rsidRPr="002411BB" w:rsidRDefault="002411BB" w:rsidP="002411BB">
            <w:pPr>
              <w:jc w:val="right"/>
              <w:rPr>
                <w:color w:val="000000"/>
                <w:sz w:val="22"/>
                <w:szCs w:val="22"/>
                <w:lang w:eastAsia="en-GB"/>
              </w:rPr>
            </w:pPr>
            <w:r w:rsidRPr="002411BB">
              <w:rPr>
                <w:color w:val="000000"/>
                <w:sz w:val="22"/>
                <w:szCs w:val="22"/>
                <w:lang w:eastAsia="en-GB"/>
              </w:rPr>
              <w:t xml:space="preserve">            5.3 </w:t>
            </w:r>
          </w:p>
        </w:tc>
      </w:tr>
      <w:tr w:rsidR="002411BB" w:rsidRPr="002411BB" w:rsidTr="002411BB">
        <w:trPr>
          <w:gridAfter w:val="5"/>
          <w:wAfter w:w="5495" w:type="dxa"/>
          <w:trHeight w:val="300"/>
        </w:trPr>
        <w:tc>
          <w:tcPr>
            <w:tcW w:w="1200" w:type="dxa"/>
            <w:tcBorders>
              <w:top w:val="single" w:sz="4" w:space="0" w:color="auto"/>
              <w:left w:val="nil"/>
              <w:bottom w:val="single" w:sz="4" w:space="0" w:color="auto"/>
              <w:right w:val="nil"/>
            </w:tcBorders>
            <w:shd w:val="clear" w:color="auto" w:fill="auto"/>
            <w:vAlign w:val="center"/>
            <w:hideMark/>
          </w:tcPr>
          <w:p w:rsidR="002411BB" w:rsidRPr="002411BB" w:rsidRDefault="002411BB" w:rsidP="002411BB">
            <w:pPr>
              <w:jc w:val="right"/>
              <w:rPr>
                <w:b/>
                <w:bCs/>
                <w:color w:val="000000"/>
                <w:sz w:val="22"/>
                <w:szCs w:val="22"/>
                <w:lang w:eastAsia="en-GB"/>
              </w:rPr>
            </w:pPr>
            <w:r w:rsidRPr="002411BB">
              <w:rPr>
                <w:b/>
                <w:bCs/>
                <w:color w:val="000000"/>
                <w:sz w:val="22"/>
                <w:szCs w:val="22"/>
                <w:lang w:eastAsia="en-GB"/>
              </w:rPr>
              <w:t>Year 6</w:t>
            </w:r>
          </w:p>
        </w:tc>
        <w:tc>
          <w:tcPr>
            <w:tcW w:w="1200" w:type="dxa"/>
            <w:tcBorders>
              <w:top w:val="single" w:sz="4" w:space="0" w:color="auto"/>
              <w:left w:val="nil"/>
              <w:bottom w:val="single" w:sz="4" w:space="0" w:color="auto"/>
              <w:right w:val="nil"/>
            </w:tcBorders>
            <w:shd w:val="clear" w:color="auto" w:fill="auto"/>
            <w:vAlign w:val="center"/>
            <w:hideMark/>
          </w:tcPr>
          <w:p w:rsidR="002411BB" w:rsidRPr="002411BB" w:rsidRDefault="002411BB" w:rsidP="002411BB">
            <w:pPr>
              <w:jc w:val="right"/>
              <w:rPr>
                <w:b/>
                <w:bCs/>
                <w:color w:val="000000"/>
                <w:sz w:val="22"/>
                <w:szCs w:val="22"/>
                <w:lang w:eastAsia="en-GB"/>
              </w:rPr>
            </w:pPr>
            <w:r w:rsidRPr="002411BB">
              <w:rPr>
                <w:b/>
                <w:bCs/>
                <w:color w:val="000000"/>
                <w:sz w:val="22"/>
                <w:szCs w:val="22"/>
                <w:lang w:eastAsia="en-GB"/>
              </w:rPr>
              <w:t>Year 7</w:t>
            </w:r>
          </w:p>
        </w:tc>
        <w:tc>
          <w:tcPr>
            <w:tcW w:w="1200" w:type="dxa"/>
            <w:gridSpan w:val="2"/>
            <w:tcBorders>
              <w:top w:val="single" w:sz="4" w:space="0" w:color="auto"/>
              <w:left w:val="nil"/>
              <w:bottom w:val="single" w:sz="4" w:space="0" w:color="auto"/>
              <w:right w:val="nil"/>
            </w:tcBorders>
            <w:shd w:val="clear" w:color="auto" w:fill="auto"/>
            <w:vAlign w:val="center"/>
            <w:hideMark/>
          </w:tcPr>
          <w:p w:rsidR="002411BB" w:rsidRPr="002411BB" w:rsidRDefault="002411BB" w:rsidP="002411BB">
            <w:pPr>
              <w:jc w:val="right"/>
              <w:rPr>
                <w:b/>
                <w:bCs/>
                <w:color w:val="000000"/>
                <w:sz w:val="22"/>
                <w:szCs w:val="22"/>
                <w:lang w:eastAsia="en-GB"/>
              </w:rPr>
            </w:pPr>
            <w:r w:rsidRPr="002411BB">
              <w:rPr>
                <w:b/>
                <w:bCs/>
                <w:color w:val="000000"/>
                <w:sz w:val="22"/>
                <w:szCs w:val="22"/>
                <w:lang w:eastAsia="en-GB"/>
              </w:rPr>
              <w:t>Year 8</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rsidR="002411BB" w:rsidRPr="002411BB" w:rsidRDefault="002411BB" w:rsidP="002411BB">
            <w:pPr>
              <w:jc w:val="right"/>
              <w:rPr>
                <w:b/>
                <w:bCs/>
                <w:color w:val="000000"/>
                <w:sz w:val="22"/>
                <w:szCs w:val="22"/>
                <w:lang w:eastAsia="en-GB"/>
              </w:rPr>
            </w:pPr>
            <w:r w:rsidRPr="002411BB">
              <w:rPr>
                <w:b/>
                <w:bCs/>
                <w:color w:val="000000"/>
                <w:sz w:val="22"/>
                <w:szCs w:val="22"/>
                <w:lang w:eastAsia="en-GB"/>
              </w:rPr>
              <w:t>Year 9</w:t>
            </w:r>
          </w:p>
        </w:tc>
      </w:tr>
      <w:tr w:rsidR="002411BB" w:rsidRPr="002411BB" w:rsidTr="002411BB">
        <w:trPr>
          <w:gridAfter w:val="5"/>
          <w:wAfter w:w="5495" w:type="dxa"/>
          <w:trHeight w:val="315"/>
        </w:trPr>
        <w:tc>
          <w:tcPr>
            <w:tcW w:w="1200" w:type="dxa"/>
            <w:tcBorders>
              <w:top w:val="nil"/>
              <w:left w:val="single" w:sz="4" w:space="0" w:color="auto"/>
              <w:bottom w:val="nil"/>
              <w:right w:val="single" w:sz="4" w:space="0" w:color="auto"/>
            </w:tcBorders>
            <w:shd w:val="clear" w:color="auto" w:fill="auto"/>
            <w:vAlign w:val="center"/>
            <w:hideMark/>
          </w:tcPr>
          <w:p w:rsidR="002411BB" w:rsidRPr="002411BB" w:rsidRDefault="002411BB" w:rsidP="002411BB">
            <w:pPr>
              <w:jc w:val="right"/>
              <w:rPr>
                <w:color w:val="000000"/>
                <w:sz w:val="22"/>
                <w:szCs w:val="22"/>
                <w:lang w:eastAsia="en-GB"/>
              </w:rPr>
            </w:pPr>
            <w:r w:rsidRPr="002411BB">
              <w:rPr>
                <w:color w:val="000000"/>
                <w:sz w:val="22"/>
                <w:szCs w:val="22"/>
                <w:lang w:eastAsia="en-GB"/>
              </w:rPr>
              <w:t xml:space="preserve">            3.4 </w:t>
            </w:r>
          </w:p>
        </w:tc>
        <w:tc>
          <w:tcPr>
            <w:tcW w:w="1200" w:type="dxa"/>
            <w:tcBorders>
              <w:top w:val="nil"/>
              <w:left w:val="nil"/>
              <w:bottom w:val="nil"/>
              <w:right w:val="single" w:sz="4" w:space="0" w:color="auto"/>
            </w:tcBorders>
            <w:shd w:val="clear" w:color="auto" w:fill="auto"/>
            <w:vAlign w:val="center"/>
            <w:hideMark/>
          </w:tcPr>
          <w:p w:rsidR="002411BB" w:rsidRPr="002411BB" w:rsidRDefault="002411BB" w:rsidP="002411BB">
            <w:pPr>
              <w:jc w:val="right"/>
              <w:rPr>
                <w:color w:val="000000"/>
                <w:sz w:val="22"/>
                <w:szCs w:val="22"/>
                <w:lang w:eastAsia="en-GB"/>
              </w:rPr>
            </w:pPr>
            <w:r w:rsidRPr="002411BB">
              <w:rPr>
                <w:color w:val="000000"/>
                <w:sz w:val="22"/>
                <w:szCs w:val="22"/>
                <w:lang w:eastAsia="en-GB"/>
              </w:rPr>
              <w:t xml:space="preserve">            4.2 </w:t>
            </w:r>
          </w:p>
        </w:tc>
        <w:tc>
          <w:tcPr>
            <w:tcW w:w="1200" w:type="dxa"/>
            <w:gridSpan w:val="2"/>
            <w:tcBorders>
              <w:top w:val="nil"/>
              <w:left w:val="nil"/>
              <w:bottom w:val="nil"/>
              <w:right w:val="single" w:sz="4" w:space="0" w:color="auto"/>
            </w:tcBorders>
            <w:shd w:val="clear" w:color="auto" w:fill="auto"/>
            <w:vAlign w:val="center"/>
            <w:hideMark/>
          </w:tcPr>
          <w:p w:rsidR="002411BB" w:rsidRPr="002411BB" w:rsidRDefault="002411BB" w:rsidP="002411BB">
            <w:pPr>
              <w:jc w:val="right"/>
              <w:rPr>
                <w:color w:val="000000"/>
                <w:sz w:val="22"/>
                <w:szCs w:val="22"/>
                <w:lang w:eastAsia="en-GB"/>
              </w:rPr>
            </w:pPr>
            <w:r w:rsidRPr="002411BB">
              <w:rPr>
                <w:color w:val="000000"/>
                <w:sz w:val="22"/>
                <w:szCs w:val="22"/>
                <w:lang w:eastAsia="en-GB"/>
              </w:rPr>
              <w:t xml:space="preserve">            5.0 </w:t>
            </w:r>
          </w:p>
        </w:tc>
        <w:tc>
          <w:tcPr>
            <w:tcW w:w="1200" w:type="dxa"/>
            <w:gridSpan w:val="2"/>
            <w:tcBorders>
              <w:top w:val="nil"/>
              <w:left w:val="nil"/>
              <w:bottom w:val="nil"/>
              <w:right w:val="single" w:sz="4" w:space="0" w:color="auto"/>
            </w:tcBorders>
            <w:shd w:val="clear" w:color="auto" w:fill="auto"/>
            <w:vAlign w:val="center"/>
            <w:hideMark/>
          </w:tcPr>
          <w:p w:rsidR="002411BB" w:rsidRPr="002411BB" w:rsidRDefault="002411BB" w:rsidP="002411BB">
            <w:pPr>
              <w:jc w:val="right"/>
              <w:rPr>
                <w:color w:val="000000"/>
                <w:sz w:val="22"/>
                <w:szCs w:val="22"/>
                <w:lang w:eastAsia="en-GB"/>
              </w:rPr>
            </w:pPr>
            <w:r w:rsidRPr="002411BB">
              <w:rPr>
                <w:color w:val="000000"/>
                <w:sz w:val="22"/>
                <w:szCs w:val="22"/>
                <w:lang w:eastAsia="en-GB"/>
              </w:rPr>
              <w:t xml:space="preserve">            5.8 </w:t>
            </w:r>
          </w:p>
        </w:tc>
      </w:tr>
      <w:tr w:rsidR="002411BB" w:rsidRPr="002411BB" w:rsidTr="002411BB">
        <w:trPr>
          <w:gridAfter w:val="5"/>
          <w:wAfter w:w="5495" w:type="dxa"/>
          <w:trHeight w:val="300"/>
        </w:trPr>
        <w:tc>
          <w:tcPr>
            <w:tcW w:w="1200" w:type="dxa"/>
            <w:tcBorders>
              <w:top w:val="nil"/>
              <w:left w:val="single" w:sz="4" w:space="0" w:color="auto"/>
              <w:bottom w:val="nil"/>
              <w:right w:val="single" w:sz="4" w:space="0" w:color="auto"/>
            </w:tcBorders>
            <w:shd w:val="clear" w:color="auto" w:fill="auto"/>
            <w:vAlign w:val="center"/>
            <w:hideMark/>
          </w:tcPr>
          <w:p w:rsidR="002411BB" w:rsidRPr="002411BB" w:rsidRDefault="002411BB" w:rsidP="002411BB">
            <w:pPr>
              <w:jc w:val="right"/>
              <w:rPr>
                <w:color w:val="000000"/>
                <w:sz w:val="22"/>
                <w:szCs w:val="22"/>
                <w:lang w:eastAsia="en-GB"/>
              </w:rPr>
            </w:pPr>
            <w:r w:rsidRPr="002411BB">
              <w:rPr>
                <w:color w:val="000000"/>
                <w:sz w:val="22"/>
                <w:szCs w:val="22"/>
                <w:lang w:eastAsia="en-GB"/>
              </w:rPr>
              <w:t xml:space="preserve">            3.4 </w:t>
            </w:r>
          </w:p>
        </w:tc>
        <w:tc>
          <w:tcPr>
            <w:tcW w:w="1200" w:type="dxa"/>
            <w:tcBorders>
              <w:top w:val="nil"/>
              <w:left w:val="nil"/>
              <w:bottom w:val="nil"/>
              <w:right w:val="single" w:sz="4" w:space="0" w:color="auto"/>
            </w:tcBorders>
            <w:shd w:val="clear" w:color="auto" w:fill="auto"/>
            <w:vAlign w:val="center"/>
            <w:hideMark/>
          </w:tcPr>
          <w:p w:rsidR="002411BB" w:rsidRPr="002411BB" w:rsidRDefault="002411BB" w:rsidP="002411BB">
            <w:pPr>
              <w:jc w:val="right"/>
              <w:rPr>
                <w:color w:val="000000"/>
                <w:sz w:val="22"/>
                <w:szCs w:val="22"/>
                <w:lang w:eastAsia="en-GB"/>
              </w:rPr>
            </w:pPr>
            <w:r w:rsidRPr="002411BB">
              <w:rPr>
                <w:color w:val="000000"/>
                <w:sz w:val="22"/>
                <w:szCs w:val="22"/>
                <w:lang w:eastAsia="en-GB"/>
              </w:rPr>
              <w:t xml:space="preserve">            4.2 </w:t>
            </w:r>
          </w:p>
        </w:tc>
        <w:tc>
          <w:tcPr>
            <w:tcW w:w="1200" w:type="dxa"/>
            <w:gridSpan w:val="2"/>
            <w:tcBorders>
              <w:top w:val="nil"/>
              <w:left w:val="nil"/>
              <w:bottom w:val="nil"/>
              <w:right w:val="single" w:sz="4" w:space="0" w:color="auto"/>
            </w:tcBorders>
            <w:shd w:val="clear" w:color="auto" w:fill="auto"/>
            <w:vAlign w:val="center"/>
            <w:hideMark/>
          </w:tcPr>
          <w:p w:rsidR="002411BB" w:rsidRPr="002411BB" w:rsidRDefault="002411BB" w:rsidP="002411BB">
            <w:pPr>
              <w:jc w:val="right"/>
              <w:rPr>
                <w:color w:val="000000"/>
                <w:sz w:val="22"/>
                <w:szCs w:val="22"/>
                <w:lang w:eastAsia="en-GB"/>
              </w:rPr>
            </w:pPr>
            <w:r w:rsidRPr="002411BB">
              <w:rPr>
                <w:color w:val="000000"/>
                <w:sz w:val="22"/>
                <w:szCs w:val="22"/>
                <w:lang w:eastAsia="en-GB"/>
              </w:rPr>
              <w:t xml:space="preserve">            5.0 </w:t>
            </w:r>
          </w:p>
        </w:tc>
        <w:tc>
          <w:tcPr>
            <w:tcW w:w="1200" w:type="dxa"/>
            <w:gridSpan w:val="2"/>
            <w:tcBorders>
              <w:top w:val="nil"/>
              <w:left w:val="nil"/>
              <w:bottom w:val="nil"/>
              <w:right w:val="single" w:sz="4" w:space="0" w:color="auto"/>
            </w:tcBorders>
            <w:shd w:val="clear" w:color="auto" w:fill="auto"/>
            <w:vAlign w:val="center"/>
            <w:hideMark/>
          </w:tcPr>
          <w:p w:rsidR="002411BB" w:rsidRPr="002411BB" w:rsidRDefault="002411BB" w:rsidP="002411BB">
            <w:pPr>
              <w:jc w:val="right"/>
              <w:rPr>
                <w:color w:val="000000"/>
                <w:sz w:val="22"/>
                <w:szCs w:val="22"/>
                <w:lang w:eastAsia="en-GB"/>
              </w:rPr>
            </w:pPr>
            <w:r w:rsidRPr="002411BB">
              <w:rPr>
                <w:color w:val="000000"/>
                <w:sz w:val="22"/>
                <w:szCs w:val="22"/>
                <w:lang w:eastAsia="en-GB"/>
              </w:rPr>
              <w:t xml:space="preserve">            5.8 </w:t>
            </w:r>
          </w:p>
        </w:tc>
      </w:tr>
      <w:tr w:rsidR="002411BB" w:rsidRPr="002411BB" w:rsidTr="002411BB">
        <w:trPr>
          <w:gridAfter w:val="5"/>
          <w:wAfter w:w="5495" w:type="dxa"/>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411BB" w:rsidRPr="002411BB" w:rsidRDefault="002411BB" w:rsidP="002411BB">
            <w:pPr>
              <w:jc w:val="right"/>
              <w:rPr>
                <w:color w:val="000000"/>
                <w:sz w:val="22"/>
                <w:szCs w:val="22"/>
                <w:lang w:eastAsia="en-GB"/>
              </w:rPr>
            </w:pPr>
            <w:r w:rsidRPr="002411BB">
              <w:rPr>
                <w:color w:val="000000"/>
                <w:sz w:val="22"/>
                <w:szCs w:val="22"/>
                <w:lang w:eastAsia="en-GB"/>
              </w:rPr>
              <w:t xml:space="preserve">            6.9 </w:t>
            </w:r>
          </w:p>
        </w:tc>
        <w:tc>
          <w:tcPr>
            <w:tcW w:w="1200" w:type="dxa"/>
            <w:tcBorders>
              <w:top w:val="nil"/>
              <w:left w:val="nil"/>
              <w:bottom w:val="single" w:sz="4" w:space="0" w:color="auto"/>
              <w:right w:val="single" w:sz="4" w:space="0" w:color="auto"/>
            </w:tcBorders>
            <w:shd w:val="clear" w:color="auto" w:fill="auto"/>
            <w:vAlign w:val="center"/>
            <w:hideMark/>
          </w:tcPr>
          <w:p w:rsidR="002411BB" w:rsidRPr="002411BB" w:rsidRDefault="002411BB" w:rsidP="002411BB">
            <w:pPr>
              <w:jc w:val="right"/>
              <w:rPr>
                <w:color w:val="000000"/>
                <w:sz w:val="22"/>
                <w:szCs w:val="22"/>
                <w:lang w:eastAsia="en-GB"/>
              </w:rPr>
            </w:pPr>
            <w:r w:rsidRPr="002411BB">
              <w:rPr>
                <w:color w:val="000000"/>
                <w:sz w:val="22"/>
                <w:szCs w:val="22"/>
                <w:lang w:eastAsia="en-GB"/>
              </w:rPr>
              <w:t xml:space="preserve">            8.5 </w:t>
            </w:r>
          </w:p>
        </w:tc>
        <w:tc>
          <w:tcPr>
            <w:tcW w:w="1200" w:type="dxa"/>
            <w:gridSpan w:val="2"/>
            <w:tcBorders>
              <w:top w:val="nil"/>
              <w:left w:val="nil"/>
              <w:bottom w:val="single" w:sz="4" w:space="0" w:color="auto"/>
              <w:right w:val="single" w:sz="4" w:space="0" w:color="auto"/>
            </w:tcBorders>
            <w:shd w:val="clear" w:color="auto" w:fill="auto"/>
            <w:vAlign w:val="center"/>
            <w:hideMark/>
          </w:tcPr>
          <w:p w:rsidR="002411BB" w:rsidRPr="002411BB" w:rsidRDefault="002411BB" w:rsidP="002411BB">
            <w:pPr>
              <w:jc w:val="right"/>
              <w:rPr>
                <w:color w:val="000000"/>
                <w:sz w:val="22"/>
                <w:szCs w:val="22"/>
                <w:lang w:eastAsia="en-GB"/>
              </w:rPr>
            </w:pPr>
            <w:r w:rsidRPr="002411BB">
              <w:rPr>
                <w:color w:val="000000"/>
                <w:sz w:val="22"/>
                <w:szCs w:val="22"/>
                <w:lang w:eastAsia="en-GB"/>
              </w:rPr>
              <w:t xml:space="preserve">          10.0 </w:t>
            </w:r>
          </w:p>
        </w:tc>
        <w:tc>
          <w:tcPr>
            <w:tcW w:w="1200" w:type="dxa"/>
            <w:gridSpan w:val="2"/>
            <w:tcBorders>
              <w:top w:val="nil"/>
              <w:left w:val="nil"/>
              <w:bottom w:val="single" w:sz="4" w:space="0" w:color="auto"/>
              <w:right w:val="single" w:sz="4" w:space="0" w:color="auto"/>
            </w:tcBorders>
            <w:shd w:val="clear" w:color="auto" w:fill="auto"/>
            <w:vAlign w:val="center"/>
            <w:hideMark/>
          </w:tcPr>
          <w:p w:rsidR="002411BB" w:rsidRPr="002411BB" w:rsidRDefault="002411BB" w:rsidP="002411BB">
            <w:pPr>
              <w:jc w:val="right"/>
              <w:rPr>
                <w:color w:val="000000"/>
                <w:sz w:val="22"/>
                <w:szCs w:val="22"/>
                <w:lang w:eastAsia="en-GB"/>
              </w:rPr>
            </w:pPr>
            <w:r w:rsidRPr="002411BB">
              <w:rPr>
                <w:color w:val="000000"/>
                <w:sz w:val="22"/>
                <w:szCs w:val="22"/>
                <w:lang w:eastAsia="en-GB"/>
              </w:rPr>
              <w:t xml:space="preserve">          11.6 </w:t>
            </w:r>
          </w:p>
        </w:tc>
      </w:tr>
    </w:tbl>
    <w:p w:rsidR="002411BB" w:rsidRDefault="002411BB" w:rsidP="00A02E16">
      <w:pPr>
        <w:pStyle w:val="EBBodyPara"/>
        <w:spacing w:after="0"/>
        <w:jc w:val="both"/>
        <w:rPr>
          <w:color w:val="auto"/>
        </w:rPr>
      </w:pPr>
    </w:p>
    <w:p w:rsidR="002411BB" w:rsidRPr="00213D91" w:rsidRDefault="003C3CC7" w:rsidP="00A02E16">
      <w:pPr>
        <w:pStyle w:val="EBBodyPara"/>
        <w:spacing w:after="0"/>
        <w:jc w:val="both"/>
        <w:rPr>
          <w:b/>
          <w:color w:val="auto"/>
        </w:rPr>
      </w:pPr>
      <w:r w:rsidRPr="00213D91">
        <w:rPr>
          <w:b/>
          <w:color w:val="auto"/>
        </w:rPr>
        <w:t>These savings provide the estimation of benefits to business. The direct impact on business (equivalent annual) is a positive £2.5 million a year. The business net present value is 21.59 and the EANCB is -2.51.</w:t>
      </w:r>
    </w:p>
    <w:p w:rsidR="002411BB" w:rsidRDefault="002411BB" w:rsidP="00A02E16">
      <w:pPr>
        <w:pStyle w:val="EBBodyPara"/>
        <w:spacing w:after="0"/>
        <w:jc w:val="both"/>
        <w:rPr>
          <w:color w:val="auto"/>
        </w:rPr>
      </w:pPr>
    </w:p>
    <w:p w:rsidR="000006EB" w:rsidRPr="00F83412" w:rsidRDefault="000006EB" w:rsidP="00A02E16">
      <w:pPr>
        <w:pStyle w:val="EBBodyPara"/>
        <w:spacing w:after="0"/>
        <w:jc w:val="both"/>
        <w:rPr>
          <w:color w:val="auto"/>
        </w:rPr>
      </w:pPr>
      <w:r w:rsidRPr="00F83412">
        <w:rPr>
          <w:color w:val="auto"/>
        </w:rPr>
        <w:t xml:space="preserve">Due to the variety of ways in which local class consents could be deployed – by area or type of building  – it is difficult to derive generalised estimates of their potential costs and benefits: each agreement would be different.  However, some illustration of the savings possible might come from consideration of the following scenario: </w:t>
      </w:r>
    </w:p>
    <w:p w:rsidR="000006EB" w:rsidRPr="00F83412" w:rsidRDefault="000006EB" w:rsidP="00A02E16">
      <w:pPr>
        <w:pStyle w:val="EBBodyPara"/>
        <w:spacing w:after="0"/>
        <w:jc w:val="both"/>
        <w:rPr>
          <w:color w:val="auto"/>
        </w:rPr>
      </w:pPr>
    </w:p>
    <w:p w:rsidR="000006EB" w:rsidRPr="00F83412" w:rsidRDefault="000006EB" w:rsidP="00A02E16">
      <w:pPr>
        <w:pStyle w:val="EBBodyPara"/>
        <w:spacing w:after="0"/>
        <w:jc w:val="both"/>
        <w:rPr>
          <w:color w:val="auto"/>
        </w:rPr>
      </w:pPr>
    </w:p>
    <w:p w:rsidR="000006EB" w:rsidRPr="00F83412" w:rsidRDefault="000006EB" w:rsidP="00A02E16">
      <w:pPr>
        <w:pStyle w:val="EBBodyPara"/>
        <w:spacing w:after="0"/>
        <w:jc w:val="both"/>
        <w:rPr>
          <w:color w:val="auto"/>
        </w:rPr>
      </w:pPr>
    </w:p>
    <w:p w:rsidR="000006EB" w:rsidRPr="00F83412" w:rsidRDefault="00EE49A3" w:rsidP="0077708F">
      <w:pPr>
        <w:pStyle w:val="EBBodyPara"/>
        <w:keepNext/>
        <w:spacing w:after="0"/>
        <w:ind w:right="-1"/>
        <w:jc w:val="both"/>
        <w:rPr>
          <w:color w:val="auto"/>
          <w:highlight w:val="yellow"/>
        </w:rPr>
      </w:pPr>
      <w:r>
        <w:rPr>
          <w:noProof/>
        </w:rPr>
        <mc:AlternateContent>
          <mc:Choice Requires="wps">
            <w:drawing>
              <wp:anchor distT="0" distB="0" distL="114300" distR="114300" simplePos="0" relativeHeight="251658240" behindDoc="0" locked="0" layoutInCell="1" allowOverlap="1" wp14:anchorId="506B1F1B" wp14:editId="389539CF">
                <wp:simplePos x="0" y="0"/>
                <wp:positionH relativeFrom="column">
                  <wp:posOffset>40005</wp:posOffset>
                </wp:positionH>
                <wp:positionV relativeFrom="paragraph">
                  <wp:posOffset>31115</wp:posOffset>
                </wp:positionV>
                <wp:extent cx="6526530" cy="1714500"/>
                <wp:effectExtent l="0" t="0" r="2667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6530" cy="1714500"/>
                        </a:xfrm>
                        <a:prstGeom prst="rect">
                          <a:avLst/>
                        </a:prstGeom>
                        <a:solidFill>
                          <a:srgbClr val="FFFFFF"/>
                        </a:solidFill>
                        <a:ln w="9525">
                          <a:solidFill>
                            <a:srgbClr val="000000"/>
                          </a:solidFill>
                          <a:miter lim="800000"/>
                          <a:headEnd/>
                          <a:tailEnd/>
                        </a:ln>
                      </wps:spPr>
                      <wps:txbx>
                        <w:txbxContent>
                          <w:p w:rsidR="00C5502B" w:rsidRPr="00624467" w:rsidRDefault="00C5502B" w:rsidP="00A53058">
                            <w:pPr>
                              <w:ind w:right="75"/>
                              <w:jc w:val="both"/>
                              <w:rPr>
                                <w:sz w:val="22"/>
                                <w:szCs w:val="22"/>
                              </w:rPr>
                            </w:pPr>
                            <w:r w:rsidRPr="00624467">
                              <w:rPr>
                                <w:sz w:val="22"/>
                                <w:szCs w:val="22"/>
                              </w:rPr>
                              <w:t>The terraced townhouses of seaside or spa towns, often have a lengthy history of subdivision into flats accompanied by changes to interior layouts and features.   Their special interest could often be seen to reside primarily in their external, townscape and group value, although their interiors can retain features with special interest.  Specified internal changes to such much-altered properties could be exempted from the need for further LBC application, and might include removal, relocation or alteration of internal partitions and features.  Known, unaltered survivals could be specifically exempted from the class consent.</w:t>
                            </w:r>
                          </w:p>
                          <w:p w:rsidR="00C5502B" w:rsidRPr="00624467" w:rsidRDefault="00C5502B" w:rsidP="00A53058">
                            <w:pPr>
                              <w:ind w:right="75"/>
                              <w:jc w:val="both"/>
                              <w:rPr>
                                <w:sz w:val="22"/>
                                <w:szCs w:val="22"/>
                              </w:rPr>
                            </w:pPr>
                          </w:p>
                          <w:p w:rsidR="00C5502B" w:rsidRPr="00624467" w:rsidRDefault="00C5502B" w:rsidP="00A53058">
                            <w:pPr>
                              <w:ind w:right="75"/>
                              <w:jc w:val="both"/>
                              <w:rPr>
                                <w:sz w:val="22"/>
                                <w:szCs w:val="22"/>
                              </w:rPr>
                            </w:pPr>
                            <w:r w:rsidRPr="00624467">
                              <w:rPr>
                                <w:sz w:val="22"/>
                                <w:szCs w:val="22"/>
                              </w:rPr>
                              <w:t xml:space="preserve">In one such area a review of the past six months of LBC applications and decisions suggests that from 30% to 50% of the works granted would be appropriate for inclusion in local class consents.  </w:t>
                            </w:r>
                          </w:p>
                          <w:p w:rsidR="00C5502B" w:rsidRDefault="00C5502B" w:rsidP="00A53058">
                            <w:pPr>
                              <w:ind w:left="284" w:right="282"/>
                              <w:jc w:val="both"/>
                              <w:rPr>
                                <w:sz w:val="22"/>
                                <w:szCs w:val="22"/>
                              </w:rPr>
                            </w:pPr>
                          </w:p>
                          <w:p w:rsidR="00C5502B" w:rsidRDefault="00C550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5pt;margin-top:2.45pt;width:513.9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">
                <v:textbox>
                  <w:txbxContent>
                    <w:p w:rsidR="0089782B" w:rsidRPr="00624467" w:rsidRDefault="0089782B" w:rsidP="00A53058">
                      <w:pPr>
                        <w:ind w:right="75"/>
                        <w:jc w:val="both"/>
                        <w:rPr>
                          <w:sz w:val="22"/>
                          <w:szCs w:val="22"/>
                        </w:rPr>
                      </w:pPr>
                      <w:r w:rsidRPr="00624467">
                        <w:rPr>
                          <w:sz w:val="22"/>
                          <w:szCs w:val="22"/>
                        </w:rPr>
                        <w:t xml:space="preserve">The terraced townhouses of seaside or spa </w:t>
                      </w:r>
                      <w:proofErr w:type="gramStart"/>
                      <w:r w:rsidRPr="00624467">
                        <w:rPr>
                          <w:sz w:val="22"/>
                          <w:szCs w:val="22"/>
                        </w:rPr>
                        <w:t>towns,</w:t>
                      </w:r>
                      <w:proofErr w:type="gramEnd"/>
                      <w:r w:rsidRPr="00624467">
                        <w:rPr>
                          <w:sz w:val="22"/>
                          <w:szCs w:val="22"/>
                        </w:rPr>
                        <w:t xml:space="preserve"> often have a lengthy history of subdivision into flats accompanied by changes to interior layouts and features.   Their special interest could often be seen to reside primarily in their external, townscape and group value, although their interiors can retain features with special interest.  Specified internal changes to such much-altered properties could be exempted from the need for further LBC application, and might include removal, relocation or alteration of internal partitions and features.  Known, unaltered survivals could be specifically exempted from the class consent.</w:t>
                      </w:r>
                    </w:p>
                    <w:p w:rsidR="0089782B" w:rsidRPr="00624467" w:rsidRDefault="0089782B" w:rsidP="00A53058">
                      <w:pPr>
                        <w:ind w:right="75"/>
                        <w:jc w:val="both"/>
                        <w:rPr>
                          <w:sz w:val="22"/>
                          <w:szCs w:val="22"/>
                        </w:rPr>
                      </w:pPr>
                    </w:p>
                    <w:p w:rsidR="0089782B" w:rsidRPr="00624467" w:rsidRDefault="0089782B" w:rsidP="00A53058">
                      <w:pPr>
                        <w:ind w:right="75"/>
                        <w:jc w:val="both"/>
                        <w:rPr>
                          <w:sz w:val="22"/>
                          <w:szCs w:val="22"/>
                        </w:rPr>
                      </w:pPr>
                      <w:r w:rsidRPr="00624467">
                        <w:rPr>
                          <w:sz w:val="22"/>
                          <w:szCs w:val="22"/>
                        </w:rPr>
                        <w:t xml:space="preserve">In one such area a review of the past six months of LBC applications and decisions suggests that from 30% to 50% of the works granted would be appropriate for inclusion in local class consents.  </w:t>
                      </w:r>
                    </w:p>
                    <w:p w:rsidR="0089782B" w:rsidRDefault="0089782B" w:rsidP="00A53058">
                      <w:pPr>
                        <w:ind w:left="284" w:right="282"/>
                        <w:jc w:val="both"/>
                        <w:rPr>
                          <w:sz w:val="22"/>
                          <w:szCs w:val="22"/>
                        </w:rPr>
                      </w:pPr>
                    </w:p>
                    <w:p w:rsidR="0089782B" w:rsidRDefault="0089782B"/>
                  </w:txbxContent>
                </v:textbox>
              </v:shape>
            </w:pict>
          </mc:Fallback>
        </mc:AlternateContent>
      </w:r>
    </w:p>
    <w:p w:rsidR="0089782B" w:rsidRDefault="0089782B" w:rsidP="0077708F">
      <w:pPr>
        <w:pStyle w:val="EBBodyPara"/>
        <w:keepNext/>
        <w:spacing w:after="0"/>
        <w:ind w:right="-1"/>
        <w:jc w:val="both"/>
        <w:rPr>
          <w:b/>
          <w:bCs/>
          <w:color w:val="auto"/>
        </w:rPr>
      </w:pPr>
    </w:p>
    <w:p w:rsidR="0089782B" w:rsidRDefault="0089782B" w:rsidP="0077708F">
      <w:pPr>
        <w:pStyle w:val="EBBodyPara"/>
        <w:keepNext/>
        <w:spacing w:after="0"/>
        <w:ind w:right="-1"/>
        <w:jc w:val="both"/>
        <w:rPr>
          <w:b/>
          <w:bCs/>
          <w:color w:val="auto"/>
        </w:rPr>
      </w:pPr>
    </w:p>
    <w:p w:rsidR="0089782B" w:rsidRDefault="0089782B" w:rsidP="0077708F">
      <w:pPr>
        <w:pStyle w:val="EBBodyPara"/>
        <w:keepNext/>
        <w:spacing w:after="0"/>
        <w:ind w:right="-1"/>
        <w:jc w:val="both"/>
        <w:rPr>
          <w:b/>
          <w:bCs/>
          <w:color w:val="auto"/>
        </w:rPr>
      </w:pPr>
    </w:p>
    <w:p w:rsidR="00EE49A3" w:rsidRDefault="00EE49A3" w:rsidP="0077708F">
      <w:pPr>
        <w:pStyle w:val="EBBodyPara"/>
        <w:keepNext/>
        <w:spacing w:after="0"/>
        <w:ind w:right="-1"/>
        <w:jc w:val="both"/>
        <w:rPr>
          <w:b/>
          <w:bCs/>
          <w:color w:val="auto"/>
        </w:rPr>
      </w:pPr>
    </w:p>
    <w:p w:rsidR="00EE49A3" w:rsidRDefault="00EE49A3" w:rsidP="0077708F">
      <w:pPr>
        <w:pStyle w:val="EBBodyPara"/>
        <w:keepNext/>
        <w:spacing w:after="0"/>
        <w:ind w:right="-1"/>
        <w:jc w:val="both"/>
        <w:rPr>
          <w:b/>
          <w:bCs/>
          <w:color w:val="auto"/>
        </w:rPr>
      </w:pPr>
    </w:p>
    <w:p w:rsidR="00EE49A3" w:rsidRDefault="00EE49A3" w:rsidP="0077708F">
      <w:pPr>
        <w:pStyle w:val="EBBodyPara"/>
        <w:keepNext/>
        <w:spacing w:after="0"/>
        <w:ind w:right="-1"/>
        <w:jc w:val="both"/>
        <w:rPr>
          <w:b/>
          <w:bCs/>
          <w:color w:val="auto"/>
        </w:rPr>
      </w:pPr>
    </w:p>
    <w:p w:rsidR="00EE49A3" w:rsidRDefault="00EE49A3" w:rsidP="0077708F">
      <w:pPr>
        <w:pStyle w:val="EBBodyPara"/>
        <w:keepNext/>
        <w:spacing w:after="0"/>
        <w:ind w:right="-1"/>
        <w:jc w:val="both"/>
        <w:rPr>
          <w:b/>
          <w:bCs/>
          <w:color w:val="auto"/>
        </w:rPr>
      </w:pPr>
    </w:p>
    <w:p w:rsidR="00EE49A3" w:rsidRDefault="00EE49A3" w:rsidP="0077708F">
      <w:pPr>
        <w:pStyle w:val="EBBodyPara"/>
        <w:keepNext/>
        <w:spacing w:after="0"/>
        <w:ind w:right="-1"/>
        <w:jc w:val="both"/>
        <w:rPr>
          <w:b/>
          <w:bCs/>
          <w:color w:val="auto"/>
        </w:rPr>
      </w:pPr>
    </w:p>
    <w:p w:rsidR="00EE49A3" w:rsidRDefault="00EE49A3" w:rsidP="0077708F">
      <w:pPr>
        <w:pStyle w:val="EBBodyPara"/>
        <w:keepNext/>
        <w:spacing w:after="0"/>
        <w:ind w:right="-1"/>
        <w:jc w:val="both"/>
        <w:rPr>
          <w:b/>
          <w:bCs/>
          <w:color w:val="auto"/>
        </w:rPr>
      </w:pPr>
    </w:p>
    <w:p w:rsidR="00EE49A3" w:rsidRDefault="00EE49A3" w:rsidP="0077708F">
      <w:pPr>
        <w:pStyle w:val="EBBodyPara"/>
        <w:keepNext/>
        <w:spacing w:after="0"/>
        <w:ind w:right="-1"/>
        <w:jc w:val="both"/>
        <w:rPr>
          <w:b/>
          <w:bCs/>
          <w:color w:val="auto"/>
        </w:rPr>
      </w:pPr>
    </w:p>
    <w:p w:rsidR="00EE49A3" w:rsidRDefault="00EE49A3" w:rsidP="0077708F">
      <w:pPr>
        <w:pStyle w:val="EBBodyPara"/>
        <w:keepNext/>
        <w:spacing w:after="0"/>
        <w:ind w:right="-1"/>
        <w:jc w:val="both"/>
        <w:rPr>
          <w:b/>
          <w:bCs/>
          <w:color w:val="auto"/>
        </w:rPr>
      </w:pPr>
    </w:p>
    <w:p w:rsidR="00EE49A3" w:rsidRDefault="00EE49A3" w:rsidP="0077708F">
      <w:pPr>
        <w:pStyle w:val="EBBodyPara"/>
        <w:keepNext/>
        <w:spacing w:after="0"/>
        <w:ind w:right="-1"/>
        <w:jc w:val="both"/>
        <w:rPr>
          <w:b/>
          <w:bCs/>
          <w:color w:val="auto"/>
        </w:rPr>
      </w:pPr>
    </w:p>
    <w:p w:rsidR="000006EB" w:rsidRPr="00F83412" w:rsidRDefault="000006EB" w:rsidP="0077708F">
      <w:pPr>
        <w:pStyle w:val="EBBodyPara"/>
        <w:keepNext/>
        <w:spacing w:after="0"/>
        <w:ind w:right="-1"/>
        <w:jc w:val="both"/>
        <w:rPr>
          <w:b/>
          <w:bCs/>
          <w:color w:val="auto"/>
        </w:rPr>
      </w:pPr>
      <w:r w:rsidRPr="00F83412">
        <w:rPr>
          <w:b/>
          <w:bCs/>
          <w:color w:val="auto"/>
        </w:rPr>
        <w:t>Transition Costs</w:t>
      </w:r>
    </w:p>
    <w:p w:rsidR="00AB4200" w:rsidRPr="00AB4200" w:rsidRDefault="00AB4200" w:rsidP="0077708F">
      <w:pPr>
        <w:pStyle w:val="EBBodyPara"/>
        <w:keepNext/>
        <w:spacing w:after="0"/>
        <w:ind w:right="-1"/>
        <w:jc w:val="both"/>
        <w:rPr>
          <w:b/>
          <w:color w:val="auto"/>
        </w:rPr>
      </w:pPr>
    </w:p>
    <w:p w:rsidR="00AB4200" w:rsidRPr="00AB4200" w:rsidRDefault="00AB4200" w:rsidP="0077708F">
      <w:pPr>
        <w:pStyle w:val="EBBodyPara"/>
        <w:keepNext/>
        <w:spacing w:after="0"/>
        <w:ind w:right="-1"/>
        <w:jc w:val="both"/>
        <w:rPr>
          <w:b/>
          <w:color w:val="auto"/>
        </w:rPr>
      </w:pPr>
      <w:r w:rsidRPr="00AB4200">
        <w:rPr>
          <w:b/>
          <w:color w:val="auto"/>
        </w:rPr>
        <w:t xml:space="preserve">Transitions costs do not </w:t>
      </w:r>
      <w:r w:rsidR="00213D91" w:rsidRPr="00AB4200">
        <w:rPr>
          <w:b/>
          <w:color w:val="auto"/>
        </w:rPr>
        <w:t>affect</w:t>
      </w:r>
      <w:r w:rsidRPr="00AB4200">
        <w:rPr>
          <w:b/>
          <w:color w:val="auto"/>
        </w:rPr>
        <w:t xml:space="preserve"> business and therefore are not included in OIO</w:t>
      </w:r>
      <w:r w:rsidR="00213D91">
        <w:rPr>
          <w:b/>
          <w:color w:val="auto"/>
        </w:rPr>
        <w:t>O</w:t>
      </w:r>
      <w:r w:rsidRPr="00AB4200">
        <w:rPr>
          <w:b/>
          <w:color w:val="auto"/>
        </w:rPr>
        <w:t xml:space="preserve"> calculations or EANCB.</w:t>
      </w:r>
    </w:p>
    <w:p w:rsidR="00AB4200" w:rsidRDefault="00AB4200" w:rsidP="0077708F">
      <w:pPr>
        <w:pStyle w:val="EBBodyPara"/>
        <w:keepNext/>
        <w:spacing w:after="0"/>
        <w:ind w:right="-1"/>
        <w:jc w:val="both"/>
        <w:rPr>
          <w:color w:val="auto"/>
        </w:rPr>
      </w:pPr>
    </w:p>
    <w:p w:rsidR="00115B60" w:rsidRDefault="000006EB" w:rsidP="0077708F">
      <w:pPr>
        <w:pStyle w:val="EBBodyPara"/>
        <w:keepNext/>
        <w:spacing w:after="0"/>
        <w:ind w:right="-1"/>
        <w:jc w:val="both"/>
        <w:rPr>
          <w:color w:val="auto"/>
        </w:rPr>
      </w:pPr>
      <w:r w:rsidRPr="00F83412">
        <w:rPr>
          <w:color w:val="auto"/>
        </w:rPr>
        <w:t>Setting up a local class consent would require a one-off, transition cost.  For the local planning authority this might include; survey or desktop review of planning record for properties to be included in the class consent; production of specifications or conditions for consented works; publicising the measure and notification of the owners affected</w:t>
      </w:r>
      <w:r w:rsidR="002D0891">
        <w:rPr>
          <w:color w:val="auto"/>
        </w:rPr>
        <w:t>; consultation on the proposal and collation and response to representations received.</w:t>
      </w:r>
      <w:r w:rsidRPr="00F83412">
        <w:rPr>
          <w:color w:val="auto"/>
        </w:rPr>
        <w:t xml:space="preserve">  This is estimated to require 10 days of professional time and </w:t>
      </w:r>
      <w:r w:rsidR="002D0891">
        <w:rPr>
          <w:color w:val="auto"/>
        </w:rPr>
        <w:t>10</w:t>
      </w:r>
      <w:r w:rsidRPr="00F83412">
        <w:rPr>
          <w:color w:val="auto"/>
        </w:rPr>
        <w:t xml:space="preserve"> days of administrative time to achieve.  There would also have to be provision to review class consents – say 1 day of professional time per annum, and, potentially, revoke them if there was evidence that they were encouraging unauthorised works.  </w:t>
      </w:r>
      <w:r w:rsidR="00115B60">
        <w:rPr>
          <w:color w:val="auto"/>
        </w:rPr>
        <w:t>This would</w:t>
      </w:r>
      <w:r w:rsidR="00AB4200">
        <w:rPr>
          <w:color w:val="auto"/>
        </w:rPr>
        <w:t xml:space="preserve"> produce a transition cost of £2320 </w:t>
      </w:r>
      <w:r w:rsidR="00115B60">
        <w:rPr>
          <w:color w:val="auto"/>
        </w:rPr>
        <w:t>per local authority, which would total to £</w:t>
      </w:r>
      <w:r w:rsidR="00AB4200">
        <w:rPr>
          <w:color w:val="auto"/>
        </w:rPr>
        <w:t>819,000</w:t>
      </w:r>
      <w:r w:rsidR="00115B60">
        <w:rPr>
          <w:color w:val="auto"/>
        </w:rPr>
        <w:t xml:space="preserve"> for 353 local authorities. The annual cost of rev</w:t>
      </w:r>
      <w:r w:rsidR="00AB4200">
        <w:rPr>
          <w:color w:val="auto"/>
        </w:rPr>
        <w:t>iew would be around £6</w:t>
      </w:r>
      <w:r w:rsidR="00115B60">
        <w:rPr>
          <w:color w:val="auto"/>
        </w:rPr>
        <w:t>0,000 per year</w:t>
      </w:r>
      <w:r w:rsidR="00AB4200">
        <w:rPr>
          <w:color w:val="auto"/>
        </w:rPr>
        <w:t xml:space="preserve"> for all local authorities</w:t>
      </w:r>
      <w:r w:rsidR="00115B60">
        <w:rPr>
          <w:color w:val="auto"/>
        </w:rPr>
        <w:t>.</w:t>
      </w:r>
      <w:r w:rsidR="00F0049E">
        <w:rPr>
          <w:rStyle w:val="FootnoteReference"/>
          <w:color w:val="auto"/>
        </w:rPr>
        <w:footnoteReference w:id="7"/>
      </w:r>
    </w:p>
    <w:p w:rsidR="00115B60" w:rsidRDefault="00115B60" w:rsidP="0077708F">
      <w:pPr>
        <w:pStyle w:val="EBBodyPara"/>
        <w:keepNext/>
        <w:spacing w:after="0"/>
        <w:ind w:right="-1"/>
        <w:jc w:val="both"/>
        <w:rPr>
          <w:color w:val="auto"/>
        </w:rPr>
      </w:pPr>
    </w:p>
    <w:p w:rsidR="00115B60" w:rsidRDefault="00115B60" w:rsidP="0077708F">
      <w:pPr>
        <w:pStyle w:val="EBBodyPara"/>
        <w:keepNext/>
        <w:spacing w:after="0"/>
        <w:ind w:right="-1"/>
        <w:jc w:val="both"/>
        <w:rPr>
          <w:color w:val="auto"/>
        </w:rPr>
      </w:pPr>
      <w:r>
        <w:rPr>
          <w:color w:val="auto"/>
        </w:rPr>
        <w:t xml:space="preserve">Professional time is </w:t>
      </w:r>
      <w:r w:rsidR="00F0049E">
        <w:rPr>
          <w:color w:val="auto"/>
        </w:rPr>
        <w:t xml:space="preserve">based </w:t>
      </w:r>
      <w:r w:rsidRPr="00F83412">
        <w:rPr>
          <w:rFonts w:eastAsia="MS Mincho"/>
          <w:lang w:eastAsia="ja-JP"/>
        </w:rPr>
        <w:t xml:space="preserve">£17.39 per hour </w:t>
      </w:r>
      <w:r>
        <w:rPr>
          <w:rFonts w:eastAsia="MS Mincho"/>
          <w:lang w:eastAsia="ja-JP"/>
        </w:rPr>
        <w:t xml:space="preserve">and administration time is based on </w:t>
      </w:r>
      <w:r w:rsidR="00F0049E">
        <w:rPr>
          <w:rFonts w:eastAsia="MS Mincho"/>
          <w:lang w:eastAsia="ja-JP"/>
        </w:rPr>
        <w:t>administrative and secretarial occupations at £10.9 per hour.</w:t>
      </w:r>
      <w:r w:rsidRPr="00F83412">
        <w:rPr>
          <w:rStyle w:val="FootnoteReference"/>
          <w:rFonts w:eastAsia="MS Mincho"/>
          <w:lang w:eastAsia="ja-JP"/>
        </w:rPr>
        <w:footnoteReference w:id="8"/>
      </w:r>
      <w:r w:rsidR="00F0049E">
        <w:rPr>
          <w:rFonts w:eastAsia="MS Mincho"/>
          <w:lang w:eastAsia="ja-JP"/>
        </w:rPr>
        <w:t xml:space="preserve"> Final calculations take account of non-wage costs.</w:t>
      </w:r>
    </w:p>
    <w:p w:rsidR="00115B60" w:rsidRDefault="00115B60" w:rsidP="0077708F">
      <w:pPr>
        <w:pStyle w:val="EBBodyPara"/>
        <w:keepNext/>
        <w:spacing w:after="0"/>
        <w:ind w:right="-1"/>
        <w:jc w:val="both"/>
        <w:rPr>
          <w:color w:val="auto"/>
        </w:rPr>
      </w:pPr>
    </w:p>
    <w:p w:rsidR="000006EB" w:rsidRDefault="000006EB" w:rsidP="0077708F">
      <w:pPr>
        <w:pStyle w:val="EBBodyPara"/>
        <w:keepNext/>
        <w:spacing w:after="0"/>
        <w:ind w:right="-1"/>
        <w:jc w:val="both"/>
        <w:rPr>
          <w:color w:val="auto"/>
        </w:rPr>
      </w:pPr>
      <w:r w:rsidRPr="00F83412">
        <w:rPr>
          <w:color w:val="auto"/>
        </w:rPr>
        <w:t>These figures are indicative only, as class consents may vary in size and nature, and, as an untested mechanism there is no current best practice to draw on. They have not, therefore, been factored into overall calculations.  More information will be sought from the consultation.</w:t>
      </w:r>
    </w:p>
    <w:p w:rsidR="00115B60" w:rsidRPr="00F83412" w:rsidRDefault="00115B60" w:rsidP="0077708F">
      <w:pPr>
        <w:pStyle w:val="EBBodyPara"/>
        <w:keepNext/>
        <w:spacing w:after="0"/>
        <w:ind w:right="-1"/>
        <w:jc w:val="both"/>
        <w:rPr>
          <w:color w:val="auto"/>
        </w:rPr>
      </w:pPr>
    </w:p>
    <w:p w:rsidR="0064694F" w:rsidRDefault="0064694F" w:rsidP="00F54D65">
      <w:pPr>
        <w:jc w:val="both"/>
        <w:rPr>
          <w:sz w:val="22"/>
          <w:szCs w:val="22"/>
        </w:rPr>
      </w:pPr>
    </w:p>
    <w:p w:rsidR="000006EB" w:rsidRPr="00F83412" w:rsidRDefault="000006EB" w:rsidP="00F54D65">
      <w:pPr>
        <w:jc w:val="both"/>
        <w:rPr>
          <w:sz w:val="22"/>
          <w:szCs w:val="22"/>
        </w:rPr>
      </w:pPr>
      <w:r w:rsidRPr="00F83412">
        <w:rPr>
          <w:sz w:val="22"/>
          <w:szCs w:val="22"/>
        </w:rPr>
        <w:t>National class consent would be capable of realising substantive savings for owners such as providers of national infrastructure.  The following figures, supplied by British Waterways/Canals and Rivers Trust, are illustrative:</w:t>
      </w:r>
    </w:p>
    <w:p w:rsidR="000006EB" w:rsidRDefault="000006EB" w:rsidP="00F54D65">
      <w:pPr>
        <w:jc w:val="both"/>
        <w:rPr>
          <w:b/>
          <w:bCs/>
          <w:sz w:val="22"/>
          <w:szCs w:val="22"/>
        </w:rPr>
      </w:pPr>
    </w:p>
    <w:p w:rsidR="00624467" w:rsidRDefault="00624467" w:rsidP="000654FE">
      <w:pPr>
        <w:jc w:val="both"/>
        <w:rPr>
          <w:b/>
          <w:bCs/>
        </w:rPr>
      </w:pPr>
      <w:r>
        <w:rPr>
          <w:noProof/>
          <w:lang w:eastAsia="en-GB"/>
        </w:rPr>
        <mc:AlternateContent>
          <mc:Choice Requires="wps">
            <w:drawing>
              <wp:inline distT="0" distB="0" distL="0" distR="0" wp14:anchorId="4FD77C5C" wp14:editId="18CABE2D">
                <wp:extent cx="6562800" cy="4878000"/>
                <wp:effectExtent l="0" t="0" r="28575" b="18415"/>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800" cy="4878000"/>
                        </a:xfrm>
                        <a:prstGeom prst="rect">
                          <a:avLst/>
                        </a:prstGeom>
                        <a:solidFill>
                          <a:srgbClr val="FFFFFF"/>
                        </a:solidFill>
                        <a:ln w="9525">
                          <a:solidFill>
                            <a:srgbClr val="000000"/>
                          </a:solidFill>
                          <a:miter lim="800000"/>
                          <a:headEnd/>
                          <a:tailEnd/>
                        </a:ln>
                      </wps:spPr>
                      <wps:txbx>
                        <w:txbxContent>
                          <w:p w:rsidR="00C5502B" w:rsidRPr="00624467" w:rsidRDefault="00C5502B" w:rsidP="00624467">
                            <w:pPr>
                              <w:ind w:left="180" w:right="135"/>
                              <w:jc w:val="both"/>
                              <w:rPr>
                                <w:b/>
                                <w:bCs/>
                                <w:sz w:val="22"/>
                                <w:szCs w:val="22"/>
                              </w:rPr>
                            </w:pPr>
                            <w:r w:rsidRPr="00624467">
                              <w:rPr>
                                <w:b/>
                                <w:bCs/>
                                <w:sz w:val="22"/>
                                <w:szCs w:val="22"/>
                              </w:rPr>
                              <w:t>Case Study:  Example of a national class consent to show the benefits to an owner:</w:t>
                            </w:r>
                          </w:p>
                          <w:p w:rsidR="00C5502B" w:rsidRPr="000654FE" w:rsidRDefault="00C5502B" w:rsidP="00624467">
                            <w:pPr>
                              <w:ind w:left="180" w:right="135"/>
                              <w:jc w:val="both"/>
                              <w:rPr>
                                <w:sz w:val="20"/>
                                <w:szCs w:val="20"/>
                              </w:rPr>
                            </w:pPr>
                            <w:r w:rsidRPr="000654FE">
                              <w:rPr>
                                <w:sz w:val="20"/>
                                <w:szCs w:val="20"/>
                              </w:rPr>
                              <w:t xml:space="preserve">Investigation of the costs to British Waterways Board/Canals and Rivers Trust in making LBC applications, and savings achieved through heritage partnership agreements, suggest that savings and efficiencies could be considerable from an ‘England-wide’ class consent covering a range of operational/repeat works to heritage assets. </w:t>
                            </w:r>
                          </w:p>
                          <w:p w:rsidR="00C5502B" w:rsidRPr="000654FE" w:rsidRDefault="00C5502B" w:rsidP="00624467">
                            <w:pPr>
                              <w:tabs>
                                <w:tab w:val="left" w:pos="1230"/>
                              </w:tabs>
                              <w:ind w:left="180" w:right="135"/>
                              <w:jc w:val="both"/>
                              <w:rPr>
                                <w:sz w:val="20"/>
                                <w:szCs w:val="20"/>
                              </w:rPr>
                            </w:pPr>
                            <w:r w:rsidRPr="000654FE">
                              <w:rPr>
                                <w:sz w:val="20"/>
                                <w:szCs w:val="20"/>
                              </w:rPr>
                              <w:tab/>
                            </w:r>
                          </w:p>
                          <w:p w:rsidR="00C5502B" w:rsidRPr="00624467" w:rsidRDefault="00C5502B" w:rsidP="00624467">
                            <w:pPr>
                              <w:ind w:left="180" w:right="135"/>
                              <w:jc w:val="both"/>
                              <w:rPr>
                                <w:b/>
                                <w:bCs/>
                                <w:sz w:val="22"/>
                                <w:szCs w:val="22"/>
                              </w:rPr>
                            </w:pPr>
                            <w:r w:rsidRPr="00624467">
                              <w:rPr>
                                <w:b/>
                                <w:bCs/>
                                <w:sz w:val="22"/>
                                <w:szCs w:val="22"/>
                              </w:rPr>
                              <w:t>How many consents does BW make each year?</w:t>
                            </w:r>
                          </w:p>
                          <w:p w:rsidR="00C5502B" w:rsidRPr="000654FE" w:rsidRDefault="00C5502B" w:rsidP="00624467">
                            <w:pPr>
                              <w:ind w:left="180" w:right="135"/>
                              <w:jc w:val="both"/>
                              <w:rPr>
                                <w:sz w:val="20"/>
                                <w:szCs w:val="20"/>
                              </w:rPr>
                            </w:pPr>
                            <w:r w:rsidRPr="000654FE">
                              <w:rPr>
                                <w:sz w:val="20"/>
                                <w:szCs w:val="20"/>
                              </w:rPr>
                              <w:t>British Waterways carried out 353 works to designated heritage assets in the year 2010/11. 164 of these required full LBC applications and 189 were performed after ‘clearance to proceed without consent’ (i.e. an exchange of correspondence with the LPA) was received from the local planning authorities. The fact of so many clearances suggests that a large number of minor works are effectively already being dealt with ‘by agreement’.</w:t>
                            </w:r>
                          </w:p>
                          <w:p w:rsidR="00C5502B" w:rsidRPr="000654FE" w:rsidRDefault="00C5502B" w:rsidP="00624467">
                            <w:pPr>
                              <w:ind w:left="180" w:right="135"/>
                              <w:jc w:val="both"/>
                              <w:rPr>
                                <w:sz w:val="20"/>
                                <w:szCs w:val="20"/>
                              </w:rPr>
                            </w:pPr>
                          </w:p>
                          <w:p w:rsidR="00C5502B" w:rsidRPr="00624467" w:rsidRDefault="00C5502B" w:rsidP="00624467">
                            <w:pPr>
                              <w:ind w:left="180" w:right="135"/>
                              <w:jc w:val="both"/>
                              <w:rPr>
                                <w:b/>
                                <w:bCs/>
                                <w:sz w:val="22"/>
                                <w:szCs w:val="22"/>
                              </w:rPr>
                            </w:pPr>
                            <w:r w:rsidRPr="00624467">
                              <w:rPr>
                                <w:b/>
                                <w:bCs/>
                                <w:sz w:val="22"/>
                                <w:szCs w:val="22"/>
                              </w:rPr>
                              <w:t>How much does a typical consent cost BW?</w:t>
                            </w:r>
                          </w:p>
                          <w:p w:rsidR="00C5502B" w:rsidRPr="000654FE" w:rsidRDefault="00C5502B" w:rsidP="00624467">
                            <w:pPr>
                              <w:ind w:left="180" w:right="135"/>
                              <w:jc w:val="both"/>
                              <w:rPr>
                                <w:sz w:val="20"/>
                                <w:szCs w:val="20"/>
                              </w:rPr>
                            </w:pPr>
                            <w:r w:rsidRPr="000654FE">
                              <w:rPr>
                                <w:sz w:val="20"/>
                                <w:szCs w:val="20"/>
                              </w:rPr>
                              <w:t>Estimates from BW’s heritage advisers suggest that preparing a typical consent application, as the owner/applicant, and submitting it, costs around £1,520 a time. So in 2010/11 BW spent £249,280 on consent applications.  (This is higher than average, and may be due to operational requirements and the nature of the heritage assets involved.)</w:t>
                            </w:r>
                          </w:p>
                          <w:p w:rsidR="00C5502B" w:rsidRPr="000654FE" w:rsidRDefault="00C5502B" w:rsidP="00624467">
                            <w:pPr>
                              <w:ind w:left="180" w:right="135"/>
                              <w:jc w:val="both"/>
                              <w:rPr>
                                <w:sz w:val="20"/>
                                <w:szCs w:val="20"/>
                              </w:rPr>
                            </w:pPr>
                          </w:p>
                          <w:p w:rsidR="00C5502B" w:rsidRPr="00624467" w:rsidRDefault="00C5502B" w:rsidP="00624467">
                            <w:pPr>
                              <w:ind w:left="180" w:right="135"/>
                              <w:jc w:val="both"/>
                              <w:rPr>
                                <w:b/>
                                <w:bCs/>
                                <w:sz w:val="22"/>
                                <w:szCs w:val="22"/>
                              </w:rPr>
                            </w:pPr>
                            <w:r w:rsidRPr="00624467">
                              <w:rPr>
                                <w:b/>
                                <w:bCs/>
                                <w:sz w:val="22"/>
                                <w:szCs w:val="22"/>
                              </w:rPr>
                              <w:t>Indicative common works that  might be covered by an England-wide Class Consent</w:t>
                            </w:r>
                          </w:p>
                          <w:tbl>
                            <w:tblPr>
                              <w:tblW w:w="0" w:type="auto"/>
                              <w:tblLook w:val="00A0" w:firstRow="1" w:lastRow="0" w:firstColumn="1" w:lastColumn="0" w:noHBand="0" w:noVBand="0"/>
                            </w:tblPr>
                            <w:tblGrid>
                              <w:gridCol w:w="3652"/>
                              <w:gridCol w:w="2552"/>
                              <w:gridCol w:w="3844"/>
                            </w:tblGrid>
                            <w:tr w:rsidR="00C5502B" w:rsidRPr="00624467">
                              <w:trPr>
                                <w:trHeight w:val="1406"/>
                              </w:trPr>
                              <w:tc>
                                <w:tcPr>
                                  <w:tcW w:w="3652" w:type="dxa"/>
                                </w:tcPr>
                                <w:p w:rsidR="00C5502B" w:rsidRPr="000654FE" w:rsidRDefault="00C5502B" w:rsidP="000930E0">
                                  <w:pPr>
                                    <w:pStyle w:val="ListParagraph"/>
                                    <w:numPr>
                                      <w:ilvl w:val="0"/>
                                      <w:numId w:val="38"/>
                                    </w:numPr>
                                    <w:spacing w:after="0" w:line="240" w:lineRule="auto"/>
                                    <w:ind w:left="714" w:right="136" w:hanging="357"/>
                                    <w:rPr>
                                      <w:rFonts w:ascii="Arial" w:hAnsi="Arial" w:cs="Arial"/>
                                      <w:sz w:val="20"/>
                                      <w:szCs w:val="20"/>
                                    </w:rPr>
                                  </w:pPr>
                                  <w:r w:rsidRPr="000654FE">
                                    <w:rPr>
                                      <w:rFonts w:ascii="Arial" w:hAnsi="Arial" w:cs="Arial"/>
                                      <w:sz w:val="20"/>
                                      <w:szCs w:val="20"/>
                                    </w:rPr>
                                    <w:t>Lock-gate replacements</w:t>
                                  </w:r>
                                </w:p>
                                <w:p w:rsidR="00C5502B" w:rsidRPr="000654FE" w:rsidRDefault="00C5502B" w:rsidP="000930E0">
                                  <w:pPr>
                                    <w:pStyle w:val="ListParagraph"/>
                                    <w:numPr>
                                      <w:ilvl w:val="0"/>
                                      <w:numId w:val="38"/>
                                    </w:numPr>
                                    <w:spacing w:after="0" w:line="240" w:lineRule="auto"/>
                                    <w:ind w:left="714" w:right="136" w:hanging="357"/>
                                    <w:rPr>
                                      <w:rFonts w:ascii="Arial" w:hAnsi="Arial" w:cs="Arial"/>
                                      <w:sz w:val="20"/>
                                      <w:szCs w:val="20"/>
                                    </w:rPr>
                                  </w:pPr>
                                  <w:r w:rsidRPr="000654FE">
                                    <w:rPr>
                                      <w:rFonts w:ascii="Arial" w:hAnsi="Arial" w:cs="Arial"/>
                                      <w:sz w:val="20"/>
                                      <w:szCs w:val="20"/>
                                    </w:rPr>
                                    <w:t>Lock ladder extensions</w:t>
                                  </w:r>
                                </w:p>
                                <w:p w:rsidR="00C5502B" w:rsidRPr="000654FE" w:rsidRDefault="00C5502B" w:rsidP="000930E0">
                                  <w:pPr>
                                    <w:pStyle w:val="ListParagraph"/>
                                    <w:numPr>
                                      <w:ilvl w:val="0"/>
                                      <w:numId w:val="38"/>
                                    </w:numPr>
                                    <w:spacing w:after="0" w:line="240" w:lineRule="auto"/>
                                    <w:ind w:left="714" w:right="136" w:hanging="357"/>
                                    <w:rPr>
                                      <w:rFonts w:ascii="Arial" w:hAnsi="Arial" w:cs="Arial"/>
                                      <w:sz w:val="20"/>
                                      <w:szCs w:val="20"/>
                                    </w:rPr>
                                  </w:pPr>
                                  <w:r w:rsidRPr="000654FE">
                                    <w:rPr>
                                      <w:rFonts w:ascii="Arial" w:hAnsi="Arial" w:cs="Arial"/>
                                      <w:sz w:val="20"/>
                                      <w:szCs w:val="20"/>
                                    </w:rPr>
                                    <w:t>Renewing handrails (like for like)</w:t>
                                  </w:r>
                                </w:p>
                                <w:p w:rsidR="00C5502B" w:rsidRPr="000654FE" w:rsidRDefault="00C5502B" w:rsidP="000930E0">
                                  <w:pPr>
                                    <w:pStyle w:val="ListParagraph"/>
                                    <w:numPr>
                                      <w:ilvl w:val="0"/>
                                      <w:numId w:val="38"/>
                                    </w:numPr>
                                    <w:spacing w:after="0" w:line="240" w:lineRule="auto"/>
                                    <w:ind w:left="714" w:right="136" w:hanging="357"/>
                                    <w:rPr>
                                      <w:rFonts w:ascii="Arial" w:hAnsi="Arial" w:cs="Arial"/>
                                      <w:sz w:val="20"/>
                                      <w:szCs w:val="20"/>
                                    </w:rPr>
                                  </w:pPr>
                                  <w:r w:rsidRPr="000654FE">
                                    <w:rPr>
                                      <w:rFonts w:ascii="Arial" w:hAnsi="Arial" w:cs="Arial"/>
                                      <w:sz w:val="20"/>
                                      <w:szCs w:val="20"/>
                                    </w:rPr>
                                    <w:t>Paddle gearing (like for like)</w:t>
                                  </w:r>
                                </w:p>
                              </w:tc>
                              <w:tc>
                                <w:tcPr>
                                  <w:tcW w:w="2552" w:type="dxa"/>
                                </w:tcPr>
                                <w:p w:rsidR="00C5502B" w:rsidRPr="000654FE" w:rsidRDefault="00C5502B" w:rsidP="000930E0">
                                  <w:pPr>
                                    <w:pStyle w:val="ListParagraph"/>
                                    <w:numPr>
                                      <w:ilvl w:val="0"/>
                                      <w:numId w:val="38"/>
                                    </w:numPr>
                                    <w:spacing w:after="0" w:line="240" w:lineRule="auto"/>
                                    <w:ind w:left="714" w:right="136" w:hanging="357"/>
                                    <w:rPr>
                                      <w:rFonts w:ascii="Arial" w:hAnsi="Arial" w:cs="Arial"/>
                                      <w:sz w:val="20"/>
                                      <w:szCs w:val="20"/>
                                    </w:rPr>
                                  </w:pPr>
                                  <w:r w:rsidRPr="000654FE">
                                    <w:rPr>
                                      <w:rFonts w:ascii="Arial" w:hAnsi="Arial" w:cs="Arial"/>
                                      <w:sz w:val="20"/>
                                      <w:szCs w:val="20"/>
                                    </w:rPr>
                                    <w:t>Grouting</w:t>
                                  </w:r>
                                </w:p>
                                <w:p w:rsidR="00C5502B" w:rsidRPr="000654FE" w:rsidRDefault="00C5502B" w:rsidP="000930E0">
                                  <w:pPr>
                                    <w:pStyle w:val="ListParagraph"/>
                                    <w:numPr>
                                      <w:ilvl w:val="0"/>
                                      <w:numId w:val="38"/>
                                    </w:numPr>
                                    <w:spacing w:after="0" w:line="240" w:lineRule="auto"/>
                                    <w:ind w:left="714" w:right="136" w:hanging="357"/>
                                    <w:rPr>
                                      <w:rFonts w:ascii="Arial" w:hAnsi="Arial" w:cs="Arial"/>
                                      <w:sz w:val="20"/>
                                      <w:szCs w:val="20"/>
                                    </w:rPr>
                                  </w:pPr>
                                  <w:r w:rsidRPr="000654FE">
                                    <w:rPr>
                                      <w:rFonts w:ascii="Arial" w:hAnsi="Arial" w:cs="Arial"/>
                                      <w:sz w:val="20"/>
                                      <w:szCs w:val="20"/>
                                    </w:rPr>
                                    <w:t>Bridge plates</w:t>
                                  </w:r>
                                </w:p>
                                <w:p w:rsidR="00C5502B" w:rsidRPr="000654FE" w:rsidRDefault="00C5502B" w:rsidP="000930E0">
                                  <w:pPr>
                                    <w:pStyle w:val="ListParagraph"/>
                                    <w:numPr>
                                      <w:ilvl w:val="0"/>
                                      <w:numId w:val="38"/>
                                    </w:numPr>
                                    <w:spacing w:after="0" w:line="240" w:lineRule="auto"/>
                                    <w:ind w:left="714" w:right="136" w:hanging="357"/>
                                    <w:rPr>
                                      <w:rFonts w:ascii="Arial" w:hAnsi="Arial" w:cs="Arial"/>
                                      <w:sz w:val="20"/>
                                      <w:szCs w:val="20"/>
                                    </w:rPr>
                                  </w:pPr>
                                  <w:r w:rsidRPr="000654FE">
                                    <w:rPr>
                                      <w:rFonts w:ascii="Arial" w:hAnsi="Arial" w:cs="Arial"/>
                                      <w:sz w:val="20"/>
                                      <w:szCs w:val="20"/>
                                    </w:rPr>
                                    <w:t>Dredging</w:t>
                                  </w:r>
                                </w:p>
                                <w:p w:rsidR="00C5502B" w:rsidRPr="000654FE" w:rsidRDefault="00C5502B" w:rsidP="000930E0">
                                  <w:pPr>
                                    <w:pStyle w:val="ListParagraph"/>
                                    <w:numPr>
                                      <w:ilvl w:val="0"/>
                                      <w:numId w:val="38"/>
                                    </w:numPr>
                                    <w:spacing w:after="0" w:line="240" w:lineRule="auto"/>
                                    <w:ind w:left="714" w:right="136" w:hanging="357"/>
                                    <w:rPr>
                                      <w:rFonts w:ascii="Arial" w:hAnsi="Arial" w:cs="Arial"/>
                                      <w:sz w:val="20"/>
                                      <w:szCs w:val="20"/>
                                    </w:rPr>
                                  </w:pPr>
                                  <w:r w:rsidRPr="000654FE">
                                    <w:rPr>
                                      <w:rFonts w:ascii="Arial" w:hAnsi="Arial" w:cs="Arial"/>
                                      <w:sz w:val="20"/>
                                      <w:szCs w:val="20"/>
                                    </w:rPr>
                                    <w:t>Fendering</w:t>
                                  </w:r>
                                </w:p>
                              </w:tc>
                              <w:tc>
                                <w:tcPr>
                                  <w:tcW w:w="3844" w:type="dxa"/>
                                </w:tcPr>
                                <w:p w:rsidR="00C5502B" w:rsidRPr="000654FE" w:rsidRDefault="00C5502B" w:rsidP="000930E0">
                                  <w:pPr>
                                    <w:pStyle w:val="ListParagraph"/>
                                    <w:numPr>
                                      <w:ilvl w:val="0"/>
                                      <w:numId w:val="38"/>
                                    </w:numPr>
                                    <w:spacing w:after="0" w:line="240" w:lineRule="auto"/>
                                    <w:ind w:left="714" w:right="136" w:hanging="357"/>
                                    <w:rPr>
                                      <w:rFonts w:ascii="Arial" w:hAnsi="Arial" w:cs="Arial"/>
                                      <w:sz w:val="20"/>
                                      <w:szCs w:val="20"/>
                                    </w:rPr>
                                  </w:pPr>
                                  <w:r w:rsidRPr="000654FE">
                                    <w:rPr>
                                      <w:rFonts w:ascii="Arial" w:hAnsi="Arial" w:cs="Arial"/>
                                      <w:sz w:val="20"/>
                                      <w:szCs w:val="20"/>
                                    </w:rPr>
                                    <w:t>Parapet repairs (like for like)</w:t>
                                  </w:r>
                                </w:p>
                                <w:p w:rsidR="00C5502B" w:rsidRPr="000654FE" w:rsidRDefault="00C5502B" w:rsidP="000930E0">
                                  <w:pPr>
                                    <w:pStyle w:val="ListParagraph"/>
                                    <w:numPr>
                                      <w:ilvl w:val="0"/>
                                      <w:numId w:val="38"/>
                                    </w:numPr>
                                    <w:spacing w:after="0" w:line="240" w:lineRule="auto"/>
                                    <w:ind w:left="714" w:right="136" w:hanging="357"/>
                                    <w:rPr>
                                      <w:rFonts w:ascii="Arial" w:hAnsi="Arial" w:cs="Arial"/>
                                      <w:sz w:val="20"/>
                                      <w:szCs w:val="20"/>
                                    </w:rPr>
                                  </w:pPr>
                                  <w:r w:rsidRPr="000654FE">
                                    <w:rPr>
                                      <w:rFonts w:ascii="Arial" w:hAnsi="Arial" w:cs="Arial"/>
                                      <w:sz w:val="20"/>
                                      <w:szCs w:val="20"/>
                                    </w:rPr>
                                    <w:t>Repointing areas of brick/stonework (like for like)</w:t>
                                  </w:r>
                                </w:p>
                                <w:p w:rsidR="00C5502B" w:rsidRPr="000654FE" w:rsidRDefault="00C5502B" w:rsidP="000930E0">
                                  <w:pPr>
                                    <w:pStyle w:val="ListParagraph"/>
                                    <w:numPr>
                                      <w:ilvl w:val="0"/>
                                      <w:numId w:val="38"/>
                                    </w:numPr>
                                    <w:spacing w:after="0" w:line="240" w:lineRule="auto"/>
                                    <w:ind w:left="714" w:right="136" w:hanging="357"/>
                                    <w:rPr>
                                      <w:rFonts w:ascii="Arial" w:hAnsi="Arial" w:cs="Arial"/>
                                      <w:sz w:val="20"/>
                                      <w:szCs w:val="20"/>
                                    </w:rPr>
                                  </w:pPr>
                                  <w:r w:rsidRPr="000654FE">
                                    <w:rPr>
                                      <w:rFonts w:ascii="Arial" w:hAnsi="Arial" w:cs="Arial"/>
                                      <w:sz w:val="20"/>
                                      <w:szCs w:val="20"/>
                                    </w:rPr>
                                    <w:t>Re-painting</w:t>
                                  </w:r>
                                </w:p>
                                <w:p w:rsidR="00C5502B" w:rsidRPr="000654FE" w:rsidRDefault="00C5502B" w:rsidP="000930E0">
                                  <w:pPr>
                                    <w:pStyle w:val="ListParagraph"/>
                                    <w:numPr>
                                      <w:ilvl w:val="0"/>
                                      <w:numId w:val="38"/>
                                    </w:numPr>
                                    <w:spacing w:after="0" w:line="240" w:lineRule="auto"/>
                                    <w:ind w:left="714" w:right="136" w:hanging="357"/>
                                    <w:rPr>
                                      <w:rFonts w:ascii="Arial" w:hAnsi="Arial" w:cs="Arial"/>
                                      <w:sz w:val="20"/>
                                      <w:szCs w:val="20"/>
                                    </w:rPr>
                                  </w:pPr>
                                  <w:r w:rsidRPr="000654FE">
                                    <w:rPr>
                                      <w:rFonts w:ascii="Arial" w:hAnsi="Arial" w:cs="Arial"/>
                                      <w:sz w:val="20"/>
                                      <w:szCs w:val="20"/>
                                    </w:rPr>
                                    <w:t>Vegetation clearance</w:t>
                                  </w:r>
                                </w:p>
                              </w:tc>
                            </w:tr>
                          </w:tbl>
                          <w:p w:rsidR="00C5502B" w:rsidRPr="00624467" w:rsidRDefault="00C5502B" w:rsidP="00624467">
                            <w:pPr>
                              <w:pStyle w:val="EBBodyPara"/>
                              <w:keepNext/>
                              <w:spacing w:after="0"/>
                              <w:ind w:left="180" w:right="135"/>
                              <w:jc w:val="both"/>
                              <w:rPr>
                                <w:b/>
                                <w:bCs/>
                                <w:color w:val="auto"/>
                              </w:rPr>
                            </w:pPr>
                            <w:r w:rsidRPr="00624467">
                              <w:rPr>
                                <w:b/>
                                <w:bCs/>
                                <w:color w:val="auto"/>
                              </w:rPr>
                              <w:t>Assuming a reduction of 20% in the number of full LBC applications for minor works (see 2A above):</w:t>
                            </w:r>
                          </w:p>
                          <w:p w:rsidR="00C5502B" w:rsidRPr="000654FE" w:rsidRDefault="00C5502B" w:rsidP="00624467">
                            <w:pPr>
                              <w:pStyle w:val="EBBodyPara"/>
                              <w:keepNext/>
                              <w:spacing w:after="0"/>
                              <w:ind w:left="180" w:right="135"/>
                              <w:jc w:val="both"/>
                              <w:rPr>
                                <w:color w:val="auto"/>
                                <w:sz w:val="20"/>
                                <w:szCs w:val="20"/>
                              </w:rPr>
                            </w:pPr>
                            <w:r w:rsidRPr="000654FE">
                              <w:rPr>
                                <w:color w:val="auto"/>
                                <w:sz w:val="20"/>
                                <w:szCs w:val="20"/>
                              </w:rPr>
                              <w:t>20% of 164 full LBCs = 33</w:t>
                            </w:r>
                          </w:p>
                          <w:p w:rsidR="00C5502B" w:rsidRPr="000654FE" w:rsidRDefault="00C5502B" w:rsidP="00624467">
                            <w:pPr>
                              <w:pStyle w:val="EBBodyPara"/>
                              <w:keepNext/>
                              <w:spacing w:after="0"/>
                              <w:ind w:left="180" w:right="135"/>
                              <w:jc w:val="both"/>
                              <w:rPr>
                                <w:color w:val="auto"/>
                                <w:sz w:val="20"/>
                                <w:szCs w:val="20"/>
                              </w:rPr>
                            </w:pPr>
                            <w:r w:rsidRPr="000654FE">
                              <w:rPr>
                                <w:color w:val="auto"/>
                                <w:sz w:val="20"/>
                                <w:szCs w:val="20"/>
                              </w:rPr>
                              <w:t xml:space="preserve">33 x £ 1 520 (typical BWB cost/application) = </w:t>
                            </w:r>
                            <w:r w:rsidRPr="000654FE">
                              <w:rPr>
                                <w:b/>
                                <w:bCs/>
                                <w:color w:val="auto"/>
                                <w:sz w:val="20"/>
                                <w:szCs w:val="20"/>
                              </w:rPr>
                              <w:t>£50 160</w:t>
                            </w:r>
                            <w:r w:rsidRPr="000654FE">
                              <w:rPr>
                                <w:color w:val="auto"/>
                                <w:sz w:val="20"/>
                                <w:szCs w:val="20"/>
                              </w:rPr>
                              <w:t xml:space="preserve">  - savings to BWB for reduction in full LBCs</w:t>
                            </w:r>
                          </w:p>
                          <w:p w:rsidR="00C5502B" w:rsidRPr="000654FE" w:rsidRDefault="00C5502B" w:rsidP="00624467">
                            <w:pPr>
                              <w:pStyle w:val="EBBodyPara"/>
                              <w:keepNext/>
                              <w:spacing w:after="0"/>
                              <w:ind w:left="180" w:right="135"/>
                              <w:jc w:val="both"/>
                              <w:rPr>
                                <w:color w:val="auto"/>
                                <w:sz w:val="20"/>
                                <w:szCs w:val="20"/>
                              </w:rPr>
                            </w:pPr>
                            <w:r w:rsidRPr="000654FE">
                              <w:rPr>
                                <w:color w:val="auto"/>
                                <w:sz w:val="20"/>
                                <w:szCs w:val="20"/>
                              </w:rPr>
                              <w:t>Assuming a figure of around £650 per application for local planning authorities (see 2A above);</w:t>
                            </w:r>
                          </w:p>
                          <w:p w:rsidR="00C5502B" w:rsidRPr="000654FE" w:rsidRDefault="00C5502B" w:rsidP="00624467">
                            <w:pPr>
                              <w:pStyle w:val="EBBodyPara"/>
                              <w:keepNext/>
                              <w:spacing w:after="0"/>
                              <w:ind w:left="180" w:right="135"/>
                              <w:jc w:val="both"/>
                              <w:rPr>
                                <w:color w:val="auto"/>
                                <w:sz w:val="20"/>
                                <w:szCs w:val="20"/>
                              </w:rPr>
                            </w:pPr>
                            <w:r w:rsidRPr="000654FE">
                              <w:rPr>
                                <w:color w:val="auto"/>
                                <w:sz w:val="20"/>
                                <w:szCs w:val="20"/>
                              </w:rPr>
                              <w:t xml:space="preserve">33 x £650 = </w:t>
                            </w:r>
                            <w:r w:rsidRPr="000654FE">
                              <w:rPr>
                                <w:b/>
                                <w:bCs/>
                                <w:color w:val="auto"/>
                                <w:sz w:val="20"/>
                                <w:szCs w:val="20"/>
                              </w:rPr>
                              <w:t>£21 450</w:t>
                            </w:r>
                            <w:r w:rsidRPr="000654FE">
                              <w:rPr>
                                <w:color w:val="auto"/>
                                <w:sz w:val="20"/>
                                <w:szCs w:val="20"/>
                              </w:rPr>
                              <w:t xml:space="preserve"> – savings to LPAs from reduction in full LBCs</w:t>
                            </w:r>
                            <w:r>
                              <w:rPr>
                                <w:color w:val="auto"/>
                                <w:sz w:val="20"/>
                                <w:szCs w:val="20"/>
                              </w:rPr>
                              <w:t>.</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7" type="#_x0000_t202" style="width:516.75pt;height:38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">
                <v:textbox>
                  <w:txbxContent>
                    <w:p w:rsidR="00C5502B" w:rsidRPr="00624467" w:rsidRDefault="00C5502B" w:rsidP="00624467">
                      <w:pPr>
                        <w:ind w:left="180" w:right="135"/>
                        <w:jc w:val="both"/>
                        <w:rPr>
                          <w:b/>
                          <w:bCs/>
                          <w:sz w:val="22"/>
                          <w:szCs w:val="22"/>
                        </w:rPr>
                      </w:pPr>
                      <w:r w:rsidRPr="00624467">
                        <w:rPr>
                          <w:b/>
                          <w:bCs/>
                          <w:sz w:val="22"/>
                          <w:szCs w:val="22"/>
                        </w:rPr>
                        <w:t>Case Study:  Example of a national class consent to show the benefits to an owner:</w:t>
                      </w:r>
                    </w:p>
                    <w:p w:rsidR="00C5502B" w:rsidRPr="000654FE" w:rsidRDefault="00C5502B" w:rsidP="00624467">
                      <w:pPr>
                        <w:ind w:left="180" w:right="135"/>
                        <w:jc w:val="both"/>
                        <w:rPr>
                          <w:sz w:val="20"/>
                          <w:szCs w:val="20"/>
                        </w:rPr>
                      </w:pPr>
                      <w:r w:rsidRPr="000654FE">
                        <w:rPr>
                          <w:sz w:val="20"/>
                          <w:szCs w:val="20"/>
                        </w:rPr>
                        <w:t xml:space="preserve">Investigation of the costs to British Waterways Board/Canals and Rivers Trust in making LBC applications, and savings achieved through heritage partnership agreements, suggest that savings and efficiencies could be considerable from an ‘England-wide’ class consent covering a range of operational/repeat works to heritage assets. </w:t>
                      </w:r>
                    </w:p>
                    <w:p w:rsidR="00C5502B" w:rsidRPr="000654FE" w:rsidRDefault="00C5502B" w:rsidP="00624467">
                      <w:pPr>
                        <w:tabs>
                          <w:tab w:val="left" w:pos="1230"/>
                        </w:tabs>
                        <w:ind w:left="180" w:right="135"/>
                        <w:jc w:val="both"/>
                        <w:rPr>
                          <w:sz w:val="20"/>
                          <w:szCs w:val="20"/>
                        </w:rPr>
                      </w:pPr>
                      <w:r w:rsidRPr="000654FE">
                        <w:rPr>
                          <w:sz w:val="20"/>
                          <w:szCs w:val="20"/>
                        </w:rPr>
                        <w:tab/>
                      </w:r>
                    </w:p>
                    <w:p w:rsidR="00C5502B" w:rsidRPr="00624467" w:rsidRDefault="00C5502B" w:rsidP="00624467">
                      <w:pPr>
                        <w:ind w:left="180" w:right="135"/>
                        <w:jc w:val="both"/>
                        <w:rPr>
                          <w:b/>
                          <w:bCs/>
                          <w:sz w:val="22"/>
                          <w:szCs w:val="22"/>
                        </w:rPr>
                      </w:pPr>
                      <w:r w:rsidRPr="00624467">
                        <w:rPr>
                          <w:b/>
                          <w:bCs/>
                          <w:sz w:val="22"/>
                          <w:szCs w:val="22"/>
                        </w:rPr>
                        <w:t>How many consents does BW make each year?</w:t>
                      </w:r>
                    </w:p>
                    <w:p w:rsidR="00C5502B" w:rsidRPr="000654FE" w:rsidRDefault="00C5502B" w:rsidP="00624467">
                      <w:pPr>
                        <w:ind w:left="180" w:right="135"/>
                        <w:jc w:val="both"/>
                        <w:rPr>
                          <w:sz w:val="20"/>
                          <w:szCs w:val="20"/>
                        </w:rPr>
                      </w:pPr>
                      <w:r w:rsidRPr="000654FE">
                        <w:rPr>
                          <w:sz w:val="20"/>
                          <w:szCs w:val="20"/>
                        </w:rPr>
                        <w:t>British Waterways carried out 353 works to designated heritage assets in the year 2010/11. 164 of these required full LBC applications and 189 were performed after ‘clearance to proceed without consent’ (i.e. an exchange of correspondence with the LPA) was received from the local planning authorities. The fact of so many clearances suggests that a large number of minor works are effectively already being dealt with ‘by agreement’.</w:t>
                      </w:r>
                    </w:p>
                    <w:p w:rsidR="00C5502B" w:rsidRPr="000654FE" w:rsidRDefault="00C5502B" w:rsidP="00624467">
                      <w:pPr>
                        <w:ind w:left="180" w:right="135"/>
                        <w:jc w:val="both"/>
                        <w:rPr>
                          <w:sz w:val="20"/>
                          <w:szCs w:val="20"/>
                        </w:rPr>
                      </w:pPr>
                    </w:p>
                    <w:p w:rsidR="00C5502B" w:rsidRPr="00624467" w:rsidRDefault="00C5502B" w:rsidP="00624467">
                      <w:pPr>
                        <w:ind w:left="180" w:right="135"/>
                        <w:jc w:val="both"/>
                        <w:rPr>
                          <w:b/>
                          <w:bCs/>
                          <w:sz w:val="22"/>
                          <w:szCs w:val="22"/>
                        </w:rPr>
                      </w:pPr>
                      <w:r w:rsidRPr="00624467">
                        <w:rPr>
                          <w:b/>
                          <w:bCs/>
                          <w:sz w:val="22"/>
                          <w:szCs w:val="22"/>
                        </w:rPr>
                        <w:t>How much does a typical consent cost BW?</w:t>
                      </w:r>
                    </w:p>
                    <w:p w:rsidR="00C5502B" w:rsidRPr="000654FE" w:rsidRDefault="00C5502B" w:rsidP="00624467">
                      <w:pPr>
                        <w:ind w:left="180" w:right="135"/>
                        <w:jc w:val="both"/>
                        <w:rPr>
                          <w:sz w:val="20"/>
                          <w:szCs w:val="20"/>
                        </w:rPr>
                      </w:pPr>
                      <w:r w:rsidRPr="000654FE">
                        <w:rPr>
                          <w:sz w:val="20"/>
                          <w:szCs w:val="20"/>
                        </w:rPr>
                        <w:t>Estimates from BW’s heritage advisers suggest that preparing a typical consent application, as the owner/applicant, and submitting it, costs around £1,520 a time. So in 2010/11 BW spent £249,280 on consent applications.  (This is higher than average, and may be due to operational requirements and the nature of the heritage assets involved.)</w:t>
                      </w:r>
                    </w:p>
                    <w:p w:rsidR="00C5502B" w:rsidRPr="000654FE" w:rsidRDefault="00C5502B" w:rsidP="00624467">
                      <w:pPr>
                        <w:ind w:left="180" w:right="135"/>
                        <w:jc w:val="both"/>
                        <w:rPr>
                          <w:sz w:val="20"/>
                          <w:szCs w:val="20"/>
                        </w:rPr>
                      </w:pPr>
                    </w:p>
                    <w:p w:rsidR="00C5502B" w:rsidRPr="00624467" w:rsidRDefault="00C5502B" w:rsidP="00624467">
                      <w:pPr>
                        <w:ind w:left="180" w:right="135"/>
                        <w:jc w:val="both"/>
                        <w:rPr>
                          <w:b/>
                          <w:bCs/>
                          <w:sz w:val="22"/>
                          <w:szCs w:val="22"/>
                        </w:rPr>
                      </w:pPr>
                      <w:r w:rsidRPr="00624467">
                        <w:rPr>
                          <w:b/>
                          <w:bCs/>
                          <w:sz w:val="22"/>
                          <w:szCs w:val="22"/>
                        </w:rPr>
                        <w:t>Indicative common works that  might be covered by an England-wide Class Consent</w:t>
                      </w:r>
                    </w:p>
                    <w:tbl>
                      <w:tblPr>
                        <w:tblW w:w="0" w:type="auto"/>
                        <w:tblLook w:val="00A0" w:firstRow="1" w:lastRow="0" w:firstColumn="1" w:lastColumn="0" w:noHBand="0" w:noVBand="0"/>
                      </w:tblPr>
                      <w:tblGrid>
                        <w:gridCol w:w="3652"/>
                        <w:gridCol w:w="2552"/>
                        <w:gridCol w:w="3844"/>
                      </w:tblGrid>
                      <w:tr w:rsidR="00C5502B" w:rsidRPr="00624467">
                        <w:trPr>
                          <w:trHeight w:val="1406"/>
                        </w:trPr>
                        <w:tc>
                          <w:tcPr>
                            <w:tcW w:w="3652" w:type="dxa"/>
                          </w:tcPr>
                          <w:p w:rsidR="00C5502B" w:rsidRPr="000654FE" w:rsidRDefault="00C5502B" w:rsidP="000930E0">
                            <w:pPr>
                              <w:pStyle w:val="ListParagraph"/>
                              <w:numPr>
                                <w:ilvl w:val="0"/>
                                <w:numId w:val="38"/>
                              </w:numPr>
                              <w:spacing w:after="0" w:line="240" w:lineRule="auto"/>
                              <w:ind w:left="714" w:right="136" w:hanging="357"/>
                              <w:rPr>
                                <w:rFonts w:ascii="Arial" w:hAnsi="Arial" w:cs="Arial"/>
                                <w:sz w:val="20"/>
                                <w:szCs w:val="20"/>
                              </w:rPr>
                            </w:pPr>
                            <w:r w:rsidRPr="000654FE">
                              <w:rPr>
                                <w:rFonts w:ascii="Arial" w:hAnsi="Arial" w:cs="Arial"/>
                                <w:sz w:val="20"/>
                                <w:szCs w:val="20"/>
                              </w:rPr>
                              <w:t>Lock-gate replacements</w:t>
                            </w:r>
                          </w:p>
                          <w:p w:rsidR="00C5502B" w:rsidRPr="000654FE" w:rsidRDefault="00C5502B" w:rsidP="000930E0">
                            <w:pPr>
                              <w:pStyle w:val="ListParagraph"/>
                              <w:numPr>
                                <w:ilvl w:val="0"/>
                                <w:numId w:val="38"/>
                              </w:numPr>
                              <w:spacing w:after="0" w:line="240" w:lineRule="auto"/>
                              <w:ind w:left="714" w:right="136" w:hanging="357"/>
                              <w:rPr>
                                <w:rFonts w:ascii="Arial" w:hAnsi="Arial" w:cs="Arial"/>
                                <w:sz w:val="20"/>
                                <w:szCs w:val="20"/>
                              </w:rPr>
                            </w:pPr>
                            <w:r w:rsidRPr="000654FE">
                              <w:rPr>
                                <w:rFonts w:ascii="Arial" w:hAnsi="Arial" w:cs="Arial"/>
                                <w:sz w:val="20"/>
                                <w:szCs w:val="20"/>
                              </w:rPr>
                              <w:t>Lock ladder extensions</w:t>
                            </w:r>
                          </w:p>
                          <w:p w:rsidR="00C5502B" w:rsidRPr="000654FE" w:rsidRDefault="00C5502B" w:rsidP="000930E0">
                            <w:pPr>
                              <w:pStyle w:val="ListParagraph"/>
                              <w:numPr>
                                <w:ilvl w:val="0"/>
                                <w:numId w:val="38"/>
                              </w:numPr>
                              <w:spacing w:after="0" w:line="240" w:lineRule="auto"/>
                              <w:ind w:left="714" w:right="136" w:hanging="357"/>
                              <w:rPr>
                                <w:rFonts w:ascii="Arial" w:hAnsi="Arial" w:cs="Arial"/>
                                <w:sz w:val="20"/>
                                <w:szCs w:val="20"/>
                              </w:rPr>
                            </w:pPr>
                            <w:r w:rsidRPr="000654FE">
                              <w:rPr>
                                <w:rFonts w:ascii="Arial" w:hAnsi="Arial" w:cs="Arial"/>
                                <w:sz w:val="20"/>
                                <w:szCs w:val="20"/>
                              </w:rPr>
                              <w:t>Renewing handrails (like for like)</w:t>
                            </w:r>
                          </w:p>
                          <w:p w:rsidR="00C5502B" w:rsidRPr="000654FE" w:rsidRDefault="00C5502B" w:rsidP="000930E0">
                            <w:pPr>
                              <w:pStyle w:val="ListParagraph"/>
                              <w:numPr>
                                <w:ilvl w:val="0"/>
                                <w:numId w:val="38"/>
                              </w:numPr>
                              <w:spacing w:after="0" w:line="240" w:lineRule="auto"/>
                              <w:ind w:left="714" w:right="136" w:hanging="357"/>
                              <w:rPr>
                                <w:rFonts w:ascii="Arial" w:hAnsi="Arial" w:cs="Arial"/>
                                <w:sz w:val="20"/>
                                <w:szCs w:val="20"/>
                              </w:rPr>
                            </w:pPr>
                            <w:r w:rsidRPr="000654FE">
                              <w:rPr>
                                <w:rFonts w:ascii="Arial" w:hAnsi="Arial" w:cs="Arial"/>
                                <w:sz w:val="20"/>
                                <w:szCs w:val="20"/>
                              </w:rPr>
                              <w:t>Paddle gearing (like for like)</w:t>
                            </w:r>
                          </w:p>
                        </w:tc>
                        <w:tc>
                          <w:tcPr>
                            <w:tcW w:w="2552" w:type="dxa"/>
                          </w:tcPr>
                          <w:p w:rsidR="00C5502B" w:rsidRPr="000654FE" w:rsidRDefault="00C5502B" w:rsidP="000930E0">
                            <w:pPr>
                              <w:pStyle w:val="ListParagraph"/>
                              <w:numPr>
                                <w:ilvl w:val="0"/>
                                <w:numId w:val="38"/>
                              </w:numPr>
                              <w:spacing w:after="0" w:line="240" w:lineRule="auto"/>
                              <w:ind w:left="714" w:right="136" w:hanging="357"/>
                              <w:rPr>
                                <w:rFonts w:ascii="Arial" w:hAnsi="Arial" w:cs="Arial"/>
                                <w:sz w:val="20"/>
                                <w:szCs w:val="20"/>
                              </w:rPr>
                            </w:pPr>
                            <w:r w:rsidRPr="000654FE">
                              <w:rPr>
                                <w:rFonts w:ascii="Arial" w:hAnsi="Arial" w:cs="Arial"/>
                                <w:sz w:val="20"/>
                                <w:szCs w:val="20"/>
                              </w:rPr>
                              <w:t>Grouting</w:t>
                            </w:r>
                          </w:p>
                          <w:p w:rsidR="00C5502B" w:rsidRPr="000654FE" w:rsidRDefault="00C5502B" w:rsidP="000930E0">
                            <w:pPr>
                              <w:pStyle w:val="ListParagraph"/>
                              <w:numPr>
                                <w:ilvl w:val="0"/>
                                <w:numId w:val="38"/>
                              </w:numPr>
                              <w:spacing w:after="0" w:line="240" w:lineRule="auto"/>
                              <w:ind w:left="714" w:right="136" w:hanging="357"/>
                              <w:rPr>
                                <w:rFonts w:ascii="Arial" w:hAnsi="Arial" w:cs="Arial"/>
                                <w:sz w:val="20"/>
                                <w:szCs w:val="20"/>
                              </w:rPr>
                            </w:pPr>
                            <w:r w:rsidRPr="000654FE">
                              <w:rPr>
                                <w:rFonts w:ascii="Arial" w:hAnsi="Arial" w:cs="Arial"/>
                                <w:sz w:val="20"/>
                                <w:szCs w:val="20"/>
                              </w:rPr>
                              <w:t>Bridge plates</w:t>
                            </w:r>
                          </w:p>
                          <w:p w:rsidR="00C5502B" w:rsidRPr="000654FE" w:rsidRDefault="00C5502B" w:rsidP="000930E0">
                            <w:pPr>
                              <w:pStyle w:val="ListParagraph"/>
                              <w:numPr>
                                <w:ilvl w:val="0"/>
                                <w:numId w:val="38"/>
                              </w:numPr>
                              <w:spacing w:after="0" w:line="240" w:lineRule="auto"/>
                              <w:ind w:left="714" w:right="136" w:hanging="357"/>
                              <w:rPr>
                                <w:rFonts w:ascii="Arial" w:hAnsi="Arial" w:cs="Arial"/>
                                <w:sz w:val="20"/>
                                <w:szCs w:val="20"/>
                              </w:rPr>
                            </w:pPr>
                            <w:r w:rsidRPr="000654FE">
                              <w:rPr>
                                <w:rFonts w:ascii="Arial" w:hAnsi="Arial" w:cs="Arial"/>
                                <w:sz w:val="20"/>
                                <w:szCs w:val="20"/>
                              </w:rPr>
                              <w:t>Dredging</w:t>
                            </w:r>
                          </w:p>
                          <w:p w:rsidR="00C5502B" w:rsidRPr="000654FE" w:rsidRDefault="00C5502B" w:rsidP="000930E0">
                            <w:pPr>
                              <w:pStyle w:val="ListParagraph"/>
                              <w:numPr>
                                <w:ilvl w:val="0"/>
                                <w:numId w:val="38"/>
                              </w:numPr>
                              <w:spacing w:after="0" w:line="240" w:lineRule="auto"/>
                              <w:ind w:left="714" w:right="136" w:hanging="357"/>
                              <w:rPr>
                                <w:rFonts w:ascii="Arial" w:hAnsi="Arial" w:cs="Arial"/>
                                <w:sz w:val="20"/>
                                <w:szCs w:val="20"/>
                              </w:rPr>
                            </w:pPr>
                            <w:r w:rsidRPr="000654FE">
                              <w:rPr>
                                <w:rFonts w:ascii="Arial" w:hAnsi="Arial" w:cs="Arial"/>
                                <w:sz w:val="20"/>
                                <w:szCs w:val="20"/>
                              </w:rPr>
                              <w:t>Fendering</w:t>
                            </w:r>
                          </w:p>
                        </w:tc>
                        <w:tc>
                          <w:tcPr>
                            <w:tcW w:w="3844" w:type="dxa"/>
                          </w:tcPr>
                          <w:p w:rsidR="00C5502B" w:rsidRPr="000654FE" w:rsidRDefault="00C5502B" w:rsidP="000930E0">
                            <w:pPr>
                              <w:pStyle w:val="ListParagraph"/>
                              <w:numPr>
                                <w:ilvl w:val="0"/>
                                <w:numId w:val="38"/>
                              </w:numPr>
                              <w:spacing w:after="0" w:line="240" w:lineRule="auto"/>
                              <w:ind w:left="714" w:right="136" w:hanging="357"/>
                              <w:rPr>
                                <w:rFonts w:ascii="Arial" w:hAnsi="Arial" w:cs="Arial"/>
                                <w:sz w:val="20"/>
                                <w:szCs w:val="20"/>
                              </w:rPr>
                            </w:pPr>
                            <w:r w:rsidRPr="000654FE">
                              <w:rPr>
                                <w:rFonts w:ascii="Arial" w:hAnsi="Arial" w:cs="Arial"/>
                                <w:sz w:val="20"/>
                                <w:szCs w:val="20"/>
                              </w:rPr>
                              <w:t>Parapet repairs (like for like)</w:t>
                            </w:r>
                          </w:p>
                          <w:p w:rsidR="00C5502B" w:rsidRPr="000654FE" w:rsidRDefault="00C5502B" w:rsidP="000930E0">
                            <w:pPr>
                              <w:pStyle w:val="ListParagraph"/>
                              <w:numPr>
                                <w:ilvl w:val="0"/>
                                <w:numId w:val="38"/>
                              </w:numPr>
                              <w:spacing w:after="0" w:line="240" w:lineRule="auto"/>
                              <w:ind w:left="714" w:right="136" w:hanging="357"/>
                              <w:rPr>
                                <w:rFonts w:ascii="Arial" w:hAnsi="Arial" w:cs="Arial"/>
                                <w:sz w:val="20"/>
                                <w:szCs w:val="20"/>
                              </w:rPr>
                            </w:pPr>
                            <w:r w:rsidRPr="000654FE">
                              <w:rPr>
                                <w:rFonts w:ascii="Arial" w:hAnsi="Arial" w:cs="Arial"/>
                                <w:sz w:val="20"/>
                                <w:szCs w:val="20"/>
                              </w:rPr>
                              <w:t>Repointing areas of brick/stonework (like for like)</w:t>
                            </w:r>
                          </w:p>
                          <w:p w:rsidR="00C5502B" w:rsidRPr="000654FE" w:rsidRDefault="00C5502B" w:rsidP="000930E0">
                            <w:pPr>
                              <w:pStyle w:val="ListParagraph"/>
                              <w:numPr>
                                <w:ilvl w:val="0"/>
                                <w:numId w:val="38"/>
                              </w:numPr>
                              <w:spacing w:after="0" w:line="240" w:lineRule="auto"/>
                              <w:ind w:left="714" w:right="136" w:hanging="357"/>
                              <w:rPr>
                                <w:rFonts w:ascii="Arial" w:hAnsi="Arial" w:cs="Arial"/>
                                <w:sz w:val="20"/>
                                <w:szCs w:val="20"/>
                              </w:rPr>
                            </w:pPr>
                            <w:r w:rsidRPr="000654FE">
                              <w:rPr>
                                <w:rFonts w:ascii="Arial" w:hAnsi="Arial" w:cs="Arial"/>
                                <w:sz w:val="20"/>
                                <w:szCs w:val="20"/>
                              </w:rPr>
                              <w:t>Re-painting</w:t>
                            </w:r>
                          </w:p>
                          <w:p w:rsidR="00C5502B" w:rsidRPr="000654FE" w:rsidRDefault="00C5502B" w:rsidP="000930E0">
                            <w:pPr>
                              <w:pStyle w:val="ListParagraph"/>
                              <w:numPr>
                                <w:ilvl w:val="0"/>
                                <w:numId w:val="38"/>
                              </w:numPr>
                              <w:spacing w:after="0" w:line="240" w:lineRule="auto"/>
                              <w:ind w:left="714" w:right="136" w:hanging="357"/>
                              <w:rPr>
                                <w:rFonts w:ascii="Arial" w:hAnsi="Arial" w:cs="Arial"/>
                                <w:sz w:val="20"/>
                                <w:szCs w:val="20"/>
                              </w:rPr>
                            </w:pPr>
                            <w:r w:rsidRPr="000654FE">
                              <w:rPr>
                                <w:rFonts w:ascii="Arial" w:hAnsi="Arial" w:cs="Arial"/>
                                <w:sz w:val="20"/>
                                <w:szCs w:val="20"/>
                              </w:rPr>
                              <w:t>Vegetation clearance</w:t>
                            </w:r>
                          </w:p>
                        </w:tc>
                      </w:tr>
                    </w:tbl>
                    <w:p w:rsidR="00C5502B" w:rsidRPr="00624467" w:rsidRDefault="00C5502B" w:rsidP="00624467">
                      <w:pPr>
                        <w:pStyle w:val="EBBodyPara"/>
                        <w:keepNext/>
                        <w:spacing w:after="0"/>
                        <w:ind w:left="180" w:right="135"/>
                        <w:jc w:val="both"/>
                        <w:rPr>
                          <w:b/>
                          <w:bCs/>
                          <w:color w:val="auto"/>
                        </w:rPr>
                      </w:pPr>
                      <w:r w:rsidRPr="00624467">
                        <w:rPr>
                          <w:b/>
                          <w:bCs/>
                          <w:color w:val="auto"/>
                        </w:rPr>
                        <w:t>Assuming a reduction of 20% in the number of full LBC applications for minor works (see 2A above):</w:t>
                      </w:r>
                    </w:p>
                    <w:p w:rsidR="00C5502B" w:rsidRPr="000654FE" w:rsidRDefault="00C5502B" w:rsidP="00624467">
                      <w:pPr>
                        <w:pStyle w:val="EBBodyPara"/>
                        <w:keepNext/>
                        <w:spacing w:after="0"/>
                        <w:ind w:left="180" w:right="135"/>
                        <w:jc w:val="both"/>
                        <w:rPr>
                          <w:color w:val="auto"/>
                          <w:sz w:val="20"/>
                          <w:szCs w:val="20"/>
                        </w:rPr>
                      </w:pPr>
                      <w:r w:rsidRPr="000654FE">
                        <w:rPr>
                          <w:color w:val="auto"/>
                          <w:sz w:val="20"/>
                          <w:szCs w:val="20"/>
                        </w:rPr>
                        <w:t>20% of 164 full LBCs = 33</w:t>
                      </w:r>
                    </w:p>
                    <w:p w:rsidR="00C5502B" w:rsidRPr="000654FE" w:rsidRDefault="00C5502B" w:rsidP="00624467">
                      <w:pPr>
                        <w:pStyle w:val="EBBodyPara"/>
                        <w:keepNext/>
                        <w:spacing w:after="0"/>
                        <w:ind w:left="180" w:right="135"/>
                        <w:jc w:val="both"/>
                        <w:rPr>
                          <w:color w:val="auto"/>
                          <w:sz w:val="20"/>
                          <w:szCs w:val="20"/>
                        </w:rPr>
                      </w:pPr>
                      <w:r w:rsidRPr="000654FE">
                        <w:rPr>
                          <w:color w:val="auto"/>
                          <w:sz w:val="20"/>
                          <w:szCs w:val="20"/>
                        </w:rPr>
                        <w:t xml:space="preserve">33 x £ 1 520 (typical BWB cost/application) = </w:t>
                      </w:r>
                      <w:r w:rsidRPr="000654FE">
                        <w:rPr>
                          <w:b/>
                          <w:bCs/>
                          <w:color w:val="auto"/>
                          <w:sz w:val="20"/>
                          <w:szCs w:val="20"/>
                        </w:rPr>
                        <w:t>£50 160</w:t>
                      </w:r>
                      <w:r w:rsidRPr="000654FE">
                        <w:rPr>
                          <w:color w:val="auto"/>
                          <w:sz w:val="20"/>
                          <w:szCs w:val="20"/>
                        </w:rPr>
                        <w:t xml:space="preserve">  - savings to BWB for reduction in full LBCs</w:t>
                      </w:r>
                    </w:p>
                    <w:p w:rsidR="00C5502B" w:rsidRPr="000654FE" w:rsidRDefault="00C5502B" w:rsidP="00624467">
                      <w:pPr>
                        <w:pStyle w:val="EBBodyPara"/>
                        <w:keepNext/>
                        <w:spacing w:after="0"/>
                        <w:ind w:left="180" w:right="135"/>
                        <w:jc w:val="both"/>
                        <w:rPr>
                          <w:color w:val="auto"/>
                          <w:sz w:val="20"/>
                          <w:szCs w:val="20"/>
                        </w:rPr>
                      </w:pPr>
                      <w:r w:rsidRPr="000654FE">
                        <w:rPr>
                          <w:color w:val="auto"/>
                          <w:sz w:val="20"/>
                          <w:szCs w:val="20"/>
                        </w:rPr>
                        <w:t>Assuming a figure of around £650 per application for local planning authorities (see 2A above);</w:t>
                      </w:r>
                    </w:p>
                    <w:p w:rsidR="00C5502B" w:rsidRPr="000654FE" w:rsidRDefault="00C5502B" w:rsidP="00624467">
                      <w:pPr>
                        <w:pStyle w:val="EBBodyPara"/>
                        <w:keepNext/>
                        <w:spacing w:after="0"/>
                        <w:ind w:left="180" w:right="135"/>
                        <w:jc w:val="both"/>
                        <w:rPr>
                          <w:color w:val="auto"/>
                          <w:sz w:val="20"/>
                          <w:szCs w:val="20"/>
                        </w:rPr>
                      </w:pPr>
                      <w:r w:rsidRPr="000654FE">
                        <w:rPr>
                          <w:color w:val="auto"/>
                          <w:sz w:val="20"/>
                          <w:szCs w:val="20"/>
                        </w:rPr>
                        <w:t xml:space="preserve">33 x £650 = </w:t>
                      </w:r>
                      <w:r w:rsidRPr="000654FE">
                        <w:rPr>
                          <w:b/>
                          <w:bCs/>
                          <w:color w:val="auto"/>
                          <w:sz w:val="20"/>
                          <w:szCs w:val="20"/>
                        </w:rPr>
                        <w:t>£21 450</w:t>
                      </w:r>
                      <w:r w:rsidRPr="000654FE">
                        <w:rPr>
                          <w:color w:val="auto"/>
                          <w:sz w:val="20"/>
                          <w:szCs w:val="20"/>
                        </w:rPr>
                        <w:t xml:space="preserve"> – savings to LPAs from reduction in full LBCs</w:t>
                      </w:r>
                      <w:r>
                        <w:rPr>
                          <w:color w:val="auto"/>
                          <w:sz w:val="20"/>
                          <w:szCs w:val="20"/>
                        </w:rPr>
                        <w:t>.</w:t>
                      </w:r>
                    </w:p>
                  </w:txbxContent>
                </v:textbox>
                <w10:anchorlock/>
              </v:shape>
            </w:pict>
          </mc:Fallback>
        </mc:AlternateContent>
      </w:r>
    </w:p>
    <w:p w:rsidR="000654FE" w:rsidRDefault="000654FE" w:rsidP="000654FE">
      <w:pPr>
        <w:jc w:val="both"/>
        <w:rPr>
          <w:b/>
          <w:bCs/>
        </w:rPr>
      </w:pPr>
    </w:p>
    <w:p w:rsidR="000654FE" w:rsidRDefault="000654FE" w:rsidP="000654FE">
      <w:pPr>
        <w:jc w:val="both"/>
        <w:rPr>
          <w:b/>
          <w:bCs/>
        </w:rPr>
      </w:pPr>
    </w:p>
    <w:p w:rsidR="00F0049E" w:rsidRDefault="00F0049E" w:rsidP="00624467">
      <w:pPr>
        <w:pStyle w:val="EBBodyPara"/>
        <w:keepNext/>
        <w:spacing w:after="0"/>
        <w:jc w:val="both"/>
        <w:rPr>
          <w:b/>
          <w:bCs/>
          <w:color w:val="auto"/>
          <w:sz w:val="24"/>
          <w:szCs w:val="24"/>
        </w:rPr>
      </w:pPr>
    </w:p>
    <w:p w:rsidR="000006EB" w:rsidRPr="00F83412" w:rsidRDefault="000006EB" w:rsidP="00624467">
      <w:pPr>
        <w:pStyle w:val="EBBodyPara"/>
        <w:keepNext/>
        <w:spacing w:after="0"/>
        <w:jc w:val="both"/>
        <w:rPr>
          <w:b/>
          <w:bCs/>
          <w:color w:val="auto"/>
          <w:sz w:val="24"/>
          <w:szCs w:val="24"/>
        </w:rPr>
      </w:pPr>
      <w:r w:rsidRPr="00F83412">
        <w:rPr>
          <w:b/>
          <w:bCs/>
          <w:color w:val="auto"/>
          <w:sz w:val="24"/>
          <w:szCs w:val="24"/>
        </w:rPr>
        <w:t xml:space="preserve">Risks and Assumptions </w:t>
      </w:r>
    </w:p>
    <w:p w:rsidR="000006EB" w:rsidRDefault="000006EB" w:rsidP="00624467">
      <w:pPr>
        <w:pStyle w:val="EBBodyPara"/>
        <w:keepNext/>
        <w:spacing w:after="0"/>
        <w:jc w:val="both"/>
        <w:rPr>
          <w:color w:val="auto"/>
        </w:rPr>
      </w:pPr>
      <w:r w:rsidRPr="00F83412">
        <w:rPr>
          <w:color w:val="auto"/>
        </w:rPr>
        <w:t xml:space="preserve">This </w:t>
      </w:r>
      <w:r w:rsidR="005D64C3">
        <w:rPr>
          <w:color w:val="auto"/>
        </w:rPr>
        <w:t>measure</w:t>
      </w:r>
      <w:r w:rsidR="005D64C3" w:rsidRPr="00F83412">
        <w:rPr>
          <w:color w:val="auto"/>
        </w:rPr>
        <w:t xml:space="preserve"> </w:t>
      </w:r>
      <w:r w:rsidRPr="00F83412">
        <w:rPr>
          <w:color w:val="auto"/>
        </w:rPr>
        <w:t>will require take-up from local planning authorities, and will require their input to set up, review and monitor; however this will be balanced by savings in the long term through reduced numbers of LBC cases.</w:t>
      </w:r>
    </w:p>
    <w:p w:rsidR="00624467" w:rsidRPr="00F83412" w:rsidRDefault="00624467" w:rsidP="00624467">
      <w:pPr>
        <w:pStyle w:val="EBBodyPara"/>
        <w:keepNext/>
        <w:spacing w:after="0"/>
        <w:jc w:val="both"/>
        <w:rPr>
          <w:color w:val="auto"/>
        </w:rPr>
      </w:pPr>
    </w:p>
    <w:p w:rsidR="000006EB" w:rsidRPr="007F71FE" w:rsidRDefault="000006EB" w:rsidP="00624467">
      <w:pPr>
        <w:pStyle w:val="EBBodyPara"/>
        <w:keepNext/>
        <w:spacing w:after="0"/>
        <w:jc w:val="both"/>
        <w:rPr>
          <w:color w:val="auto"/>
        </w:rPr>
      </w:pPr>
      <w:r w:rsidRPr="00F83412">
        <w:rPr>
          <w:color w:val="auto"/>
        </w:rPr>
        <w:t xml:space="preserve">While owners will be relieved of the need to make any application at all for certain categories of work, loss of the consultation arrangements normally associated with LBC may lead to a perceived loss of transparency.  </w:t>
      </w:r>
      <w:r w:rsidRPr="007F71FE">
        <w:rPr>
          <w:color w:val="auto"/>
        </w:rPr>
        <w:t>This could addressed in part by consulting on the proposed local class consent</w:t>
      </w:r>
    </w:p>
    <w:p w:rsidR="000006EB" w:rsidRPr="007F71FE" w:rsidRDefault="000006EB" w:rsidP="00624467">
      <w:pPr>
        <w:jc w:val="both"/>
        <w:rPr>
          <w:sz w:val="22"/>
          <w:szCs w:val="22"/>
        </w:rPr>
      </w:pPr>
    </w:p>
    <w:p w:rsidR="000006EB" w:rsidRPr="007F71FE" w:rsidRDefault="000006EB" w:rsidP="00624467">
      <w:pPr>
        <w:jc w:val="both"/>
        <w:rPr>
          <w:sz w:val="22"/>
          <w:szCs w:val="22"/>
        </w:rPr>
      </w:pPr>
      <w:r w:rsidRPr="007F71FE">
        <w:rPr>
          <w:sz w:val="22"/>
          <w:szCs w:val="22"/>
        </w:rPr>
        <w:t xml:space="preserve">There may be a risk of class consented works being exceeded in unauthorised works; although this may not be any greater than the current risk of unauthorised works.  Normal enforcement procedures would apply, and if </w:t>
      </w:r>
      <w:r w:rsidR="007F71FE" w:rsidRPr="007F71FE">
        <w:rPr>
          <w:sz w:val="22"/>
          <w:szCs w:val="22"/>
        </w:rPr>
        <w:t>class</w:t>
      </w:r>
      <w:r w:rsidRPr="007F71FE">
        <w:rPr>
          <w:sz w:val="22"/>
          <w:szCs w:val="22"/>
        </w:rPr>
        <w:t xml:space="preserve"> consent is manifestly lea</w:t>
      </w:r>
      <w:r w:rsidR="007F71FE" w:rsidRPr="007F71FE">
        <w:rPr>
          <w:sz w:val="22"/>
          <w:szCs w:val="22"/>
        </w:rPr>
        <w:t>ding to abuse, then there would</w:t>
      </w:r>
      <w:r w:rsidRPr="007F71FE">
        <w:rPr>
          <w:sz w:val="22"/>
          <w:szCs w:val="22"/>
        </w:rPr>
        <w:t xml:space="preserve"> be a mechanism to rescind or change it.</w:t>
      </w:r>
    </w:p>
    <w:p w:rsidR="000006EB" w:rsidRPr="007F71FE" w:rsidRDefault="000006EB" w:rsidP="00624467">
      <w:pPr>
        <w:pStyle w:val="EBBodyPara"/>
        <w:keepNext/>
        <w:spacing w:after="0"/>
        <w:jc w:val="both"/>
        <w:rPr>
          <w:color w:val="auto"/>
        </w:rPr>
      </w:pPr>
    </w:p>
    <w:p w:rsidR="000654FE" w:rsidRDefault="007F71FE" w:rsidP="00624467">
      <w:pPr>
        <w:pStyle w:val="EBBodyPara"/>
        <w:keepNext/>
        <w:spacing w:after="0"/>
        <w:jc w:val="both"/>
        <w:rPr>
          <w:color w:val="auto"/>
        </w:rPr>
      </w:pPr>
      <w:r w:rsidRPr="007F71FE">
        <w:rPr>
          <w:color w:val="auto"/>
        </w:rPr>
        <w:t>It will</w:t>
      </w:r>
      <w:r w:rsidR="000654FE" w:rsidRPr="007F71FE">
        <w:rPr>
          <w:color w:val="auto"/>
        </w:rPr>
        <w:t xml:space="preserve"> be necessary to give LPAs the option of “opting out” of a national class consent, mirroring the ability to make Article 4 Directions in respect of Permitted Development Rights.  This would generate costs for an LPA choosing to take up this option.</w:t>
      </w:r>
      <w:r w:rsidR="000654FE">
        <w:rPr>
          <w:color w:val="auto"/>
        </w:rPr>
        <w:t xml:space="preserve">  </w:t>
      </w:r>
    </w:p>
    <w:p w:rsidR="000654FE" w:rsidRPr="00F83412" w:rsidRDefault="000654FE" w:rsidP="00624467">
      <w:pPr>
        <w:pStyle w:val="EBBodyPara"/>
        <w:keepNext/>
        <w:spacing w:after="0"/>
        <w:jc w:val="both"/>
        <w:rPr>
          <w:color w:val="auto"/>
        </w:rPr>
      </w:pPr>
    </w:p>
    <w:p w:rsidR="00D53613" w:rsidRDefault="00D53613" w:rsidP="00624467">
      <w:pPr>
        <w:pStyle w:val="EBBodyPara"/>
        <w:keepNext/>
        <w:spacing w:after="0"/>
        <w:rPr>
          <w:b/>
          <w:bCs/>
          <w:color w:val="auto"/>
          <w:sz w:val="32"/>
          <w:szCs w:val="32"/>
        </w:rPr>
      </w:pPr>
    </w:p>
    <w:p w:rsidR="00D53613" w:rsidRDefault="00D53613" w:rsidP="00624467">
      <w:pPr>
        <w:pStyle w:val="EBBodyPara"/>
        <w:keepNext/>
        <w:spacing w:after="0"/>
        <w:rPr>
          <w:b/>
          <w:bCs/>
          <w:color w:val="auto"/>
          <w:sz w:val="32"/>
          <w:szCs w:val="32"/>
        </w:rPr>
      </w:pPr>
    </w:p>
    <w:p w:rsidR="000006EB" w:rsidRPr="00F83412" w:rsidRDefault="00D374F1" w:rsidP="00624467">
      <w:pPr>
        <w:pStyle w:val="EBBodyPara"/>
        <w:keepNext/>
        <w:spacing w:after="0"/>
        <w:rPr>
          <w:b/>
          <w:bCs/>
          <w:color w:val="auto"/>
          <w:sz w:val="32"/>
          <w:szCs w:val="32"/>
        </w:rPr>
      </w:pPr>
      <w:r>
        <w:rPr>
          <w:b/>
          <w:bCs/>
          <w:color w:val="auto"/>
          <w:sz w:val="32"/>
          <w:szCs w:val="32"/>
        </w:rPr>
        <w:t xml:space="preserve">2) </w:t>
      </w:r>
      <w:r w:rsidR="000006EB" w:rsidRPr="00F83412">
        <w:rPr>
          <w:b/>
          <w:bCs/>
          <w:color w:val="auto"/>
          <w:sz w:val="32"/>
          <w:szCs w:val="32"/>
        </w:rPr>
        <w:t>A Certificate of Lawful Works to Listed Buildings</w:t>
      </w:r>
    </w:p>
    <w:p w:rsidR="000006EB" w:rsidRPr="00F83412" w:rsidRDefault="000006EB" w:rsidP="00624467">
      <w:pPr>
        <w:pStyle w:val="EBBodyPara"/>
        <w:keepNext/>
        <w:spacing w:after="0"/>
        <w:rPr>
          <w:b/>
          <w:bCs/>
          <w:color w:val="auto"/>
          <w:sz w:val="24"/>
          <w:szCs w:val="24"/>
        </w:rPr>
      </w:pPr>
    </w:p>
    <w:p w:rsidR="000006EB" w:rsidRPr="00F83412" w:rsidRDefault="000006EB" w:rsidP="00624467">
      <w:pPr>
        <w:pStyle w:val="EBBodyPara"/>
        <w:keepNext/>
        <w:spacing w:after="0"/>
        <w:rPr>
          <w:b/>
          <w:bCs/>
          <w:color w:val="auto"/>
          <w:sz w:val="24"/>
          <w:szCs w:val="24"/>
        </w:rPr>
      </w:pPr>
      <w:r w:rsidRPr="00F83412">
        <w:rPr>
          <w:b/>
          <w:bCs/>
          <w:color w:val="auto"/>
          <w:sz w:val="24"/>
          <w:szCs w:val="24"/>
        </w:rPr>
        <w:t>Objective</w:t>
      </w:r>
    </w:p>
    <w:p w:rsidR="000006EB" w:rsidRPr="00F83412" w:rsidRDefault="000006EB" w:rsidP="00B975CB">
      <w:pPr>
        <w:jc w:val="both"/>
        <w:rPr>
          <w:sz w:val="22"/>
          <w:szCs w:val="22"/>
        </w:rPr>
      </w:pPr>
      <w:r w:rsidRPr="00F83412">
        <w:rPr>
          <w:sz w:val="22"/>
          <w:szCs w:val="22"/>
        </w:rPr>
        <w:t>Works to a listed building which do not affect its character as a building of special architectural or historic interest do not require consent. Interpretations of the need for consent can vary between local planning authorities, and the local planning authority may believe itself not legally empowered to confirm that consent is not needed without “fettering its own discretion”.   As a result, Listed Building Consent applications may be made which are not really necessary, imposing a burden on local planning authority and developer alike.  This will be impacted to some extent by legal reform in the Enterprise and Regulatory Reform Bill to enable better definition of special interest, although the improvements will be incremental, and benefits felt over the medium to long term.</w:t>
      </w:r>
    </w:p>
    <w:p w:rsidR="000006EB" w:rsidRPr="00F83412" w:rsidRDefault="000006EB" w:rsidP="00B975CB">
      <w:pPr>
        <w:jc w:val="both"/>
        <w:rPr>
          <w:sz w:val="22"/>
          <w:szCs w:val="22"/>
        </w:rPr>
      </w:pPr>
    </w:p>
    <w:p w:rsidR="000006EB" w:rsidRPr="00F83412" w:rsidRDefault="000006EB" w:rsidP="005A5A4A">
      <w:pPr>
        <w:pStyle w:val="EBBodyPara"/>
        <w:keepNext/>
        <w:spacing w:after="0"/>
        <w:jc w:val="both"/>
        <w:rPr>
          <w:color w:val="auto"/>
        </w:rPr>
      </w:pPr>
      <w:r w:rsidRPr="00F83412">
        <w:rPr>
          <w:color w:val="auto"/>
        </w:rPr>
        <w:t xml:space="preserve">The proposal is for </w:t>
      </w:r>
      <w:r w:rsidR="002769BA">
        <w:rPr>
          <w:color w:val="auto"/>
        </w:rPr>
        <w:t>legislation to introduce</w:t>
      </w:r>
      <w:r w:rsidRPr="00F83412">
        <w:rPr>
          <w:color w:val="auto"/>
        </w:rPr>
        <w:t xml:space="preserve"> a light-touch mechanism allowing local planning authorities to grant a Certificate of Lawful Works </w:t>
      </w:r>
      <w:r w:rsidR="007F71FE">
        <w:rPr>
          <w:color w:val="auto"/>
        </w:rPr>
        <w:t>proposed works</w:t>
      </w:r>
      <w:r w:rsidRPr="00F83412">
        <w:rPr>
          <w:color w:val="auto"/>
        </w:rPr>
        <w:t>.  This would be a voluntary mechanism, whereby an owner or prospective developer could receive assurance conc</w:t>
      </w:r>
      <w:r w:rsidR="0089782B">
        <w:rPr>
          <w:color w:val="auto"/>
        </w:rPr>
        <w:t>erning works which are proposed.</w:t>
      </w:r>
      <w:r w:rsidRPr="00F83412">
        <w:rPr>
          <w:color w:val="auto"/>
        </w:rPr>
        <w:t xml:space="preserve">  It would reduce the numbers of un</w:t>
      </w:r>
      <w:r w:rsidR="007F71FE">
        <w:rPr>
          <w:color w:val="auto"/>
        </w:rPr>
        <w:t>necessary applications for LBC.</w:t>
      </w:r>
    </w:p>
    <w:p w:rsidR="000006EB" w:rsidRPr="00F83412" w:rsidRDefault="000006EB" w:rsidP="00B975CB">
      <w:pPr>
        <w:jc w:val="both"/>
        <w:rPr>
          <w:sz w:val="22"/>
          <w:szCs w:val="22"/>
        </w:rPr>
      </w:pPr>
    </w:p>
    <w:p w:rsidR="000006EB" w:rsidRPr="00F83412" w:rsidRDefault="000006EB" w:rsidP="00B975CB">
      <w:pPr>
        <w:jc w:val="both"/>
        <w:rPr>
          <w:sz w:val="22"/>
          <w:szCs w:val="22"/>
        </w:rPr>
      </w:pPr>
      <w:r w:rsidRPr="00F83412">
        <w:rPr>
          <w:sz w:val="22"/>
          <w:szCs w:val="22"/>
        </w:rPr>
        <w:t xml:space="preserve">This proposal deals specifically with works which do not affect special interest, and for which LBC is not legally required.   It is therefore different from </w:t>
      </w:r>
      <w:r w:rsidR="00120CA3">
        <w:rPr>
          <w:sz w:val="22"/>
          <w:szCs w:val="22"/>
        </w:rPr>
        <w:t>measure 1</w:t>
      </w:r>
      <w:r w:rsidRPr="00F83412">
        <w:rPr>
          <w:sz w:val="22"/>
          <w:szCs w:val="22"/>
        </w:rPr>
        <w:t xml:space="preserve"> which </w:t>
      </w:r>
      <w:r w:rsidR="00120CA3">
        <w:rPr>
          <w:sz w:val="22"/>
          <w:szCs w:val="22"/>
        </w:rPr>
        <w:t xml:space="preserve">is </w:t>
      </w:r>
      <w:r w:rsidRPr="00F83412">
        <w:rPr>
          <w:sz w:val="22"/>
          <w:szCs w:val="22"/>
        </w:rPr>
        <w:t xml:space="preserve">aimed at works for which LBC is legally required because they have some impact on special interest, however minor.  Using </w:t>
      </w:r>
      <w:r w:rsidR="0089782B">
        <w:rPr>
          <w:sz w:val="22"/>
          <w:szCs w:val="22"/>
        </w:rPr>
        <w:t>measures</w:t>
      </w:r>
      <w:r w:rsidRPr="00F83412">
        <w:rPr>
          <w:sz w:val="22"/>
          <w:szCs w:val="22"/>
        </w:rPr>
        <w:t xml:space="preserve"> such as Local/National Class consent to deal with works which do not anyway require LBC is not efficient, as it would be generating potent</w:t>
      </w:r>
      <w:r w:rsidR="0089782B">
        <w:rPr>
          <w:sz w:val="22"/>
          <w:szCs w:val="22"/>
        </w:rPr>
        <w:t xml:space="preserve">ial new LBC cases, even if it </w:t>
      </w:r>
      <w:r w:rsidRPr="00F83412">
        <w:rPr>
          <w:sz w:val="22"/>
          <w:szCs w:val="22"/>
        </w:rPr>
        <w:t xml:space="preserve">were then set aside, nor does it aid clear interpretation of the law.  </w:t>
      </w:r>
    </w:p>
    <w:p w:rsidR="000006EB" w:rsidRPr="00F83412" w:rsidRDefault="000006EB" w:rsidP="00B975CB">
      <w:pPr>
        <w:jc w:val="both"/>
        <w:rPr>
          <w:sz w:val="22"/>
          <w:szCs w:val="22"/>
        </w:rPr>
      </w:pPr>
    </w:p>
    <w:p w:rsidR="000006EB" w:rsidRPr="00F83412" w:rsidRDefault="000006EB" w:rsidP="00B975CB">
      <w:pPr>
        <w:pStyle w:val="EBBodyPara"/>
        <w:keepNext/>
        <w:spacing w:after="0"/>
        <w:jc w:val="both"/>
        <w:rPr>
          <w:b/>
          <w:bCs/>
          <w:color w:val="auto"/>
          <w:sz w:val="24"/>
          <w:szCs w:val="24"/>
        </w:rPr>
      </w:pPr>
      <w:r w:rsidRPr="00F83412">
        <w:rPr>
          <w:b/>
          <w:bCs/>
          <w:color w:val="auto"/>
          <w:sz w:val="24"/>
          <w:szCs w:val="24"/>
        </w:rPr>
        <w:t>Costs and Benefits</w:t>
      </w:r>
    </w:p>
    <w:p w:rsidR="000006EB" w:rsidRPr="00F83412" w:rsidRDefault="000006EB" w:rsidP="00B975CB">
      <w:pPr>
        <w:pStyle w:val="EBBodyPara"/>
        <w:keepNext/>
        <w:spacing w:after="0"/>
        <w:jc w:val="both"/>
        <w:rPr>
          <w:color w:val="auto"/>
          <w:u w:val="single"/>
        </w:rPr>
      </w:pPr>
    </w:p>
    <w:p w:rsidR="000006EB" w:rsidRPr="00F83412" w:rsidRDefault="000006EB" w:rsidP="00B975CB">
      <w:pPr>
        <w:pStyle w:val="EBBodyPara"/>
        <w:keepNext/>
        <w:spacing w:after="0"/>
        <w:jc w:val="both"/>
        <w:rPr>
          <w:color w:val="auto"/>
          <w:u w:val="single"/>
        </w:rPr>
      </w:pPr>
      <w:r w:rsidRPr="00F83412">
        <w:rPr>
          <w:color w:val="auto"/>
          <w:u w:val="single"/>
        </w:rPr>
        <w:t>Consent activity</w:t>
      </w:r>
    </w:p>
    <w:p w:rsidR="000006EB" w:rsidRPr="00F83412" w:rsidRDefault="000006EB" w:rsidP="00B975CB">
      <w:pPr>
        <w:pStyle w:val="EBBodyPara"/>
        <w:keepNext/>
        <w:spacing w:after="0"/>
        <w:jc w:val="both"/>
        <w:rPr>
          <w:color w:val="auto"/>
        </w:rPr>
      </w:pPr>
      <w:r w:rsidRPr="00F83412">
        <w:rPr>
          <w:color w:val="auto"/>
        </w:rPr>
        <w:t>There are currently around 30, 000 applications per year for Listed Building Consent.   It is not possible to quantify how many of these have arisen from either misinterpretation of the law, misunderstanding of the nature of special interest or on the insistence of a local planning authority, even if the works do not affect special interest; this will not be recorded.  Anecdotal evidence suggests that the numbers ar</w:t>
      </w:r>
      <w:r w:rsidR="00120CA3">
        <w:rPr>
          <w:color w:val="auto"/>
        </w:rPr>
        <w:t>e small, but significant.</w:t>
      </w:r>
    </w:p>
    <w:p w:rsidR="000006EB" w:rsidRPr="00F83412" w:rsidRDefault="000006EB" w:rsidP="00B975CB">
      <w:pPr>
        <w:pStyle w:val="EBBodyPara"/>
        <w:keepNext/>
        <w:spacing w:after="0"/>
        <w:jc w:val="both"/>
        <w:rPr>
          <w:color w:val="auto"/>
        </w:rPr>
      </w:pPr>
    </w:p>
    <w:p w:rsidR="000006EB" w:rsidRPr="00F83412" w:rsidRDefault="000006EB" w:rsidP="006D2EFC">
      <w:pPr>
        <w:jc w:val="both"/>
        <w:rPr>
          <w:sz w:val="22"/>
          <w:szCs w:val="22"/>
        </w:rPr>
      </w:pPr>
      <w:r w:rsidRPr="00F83412">
        <w:rPr>
          <w:sz w:val="22"/>
          <w:szCs w:val="22"/>
          <w:u w:val="single"/>
        </w:rPr>
        <w:t>Estimated saving per LBC application avoided</w:t>
      </w:r>
      <w:r w:rsidRPr="00F83412">
        <w:rPr>
          <w:sz w:val="22"/>
          <w:szCs w:val="22"/>
        </w:rPr>
        <w:t xml:space="preserve">:,  </w:t>
      </w:r>
      <w:r w:rsidR="005D64C3">
        <w:rPr>
          <w:sz w:val="22"/>
          <w:szCs w:val="22"/>
        </w:rPr>
        <w:t xml:space="preserve">The </w:t>
      </w:r>
      <w:r w:rsidRPr="00F83412">
        <w:rPr>
          <w:sz w:val="22"/>
          <w:szCs w:val="22"/>
        </w:rPr>
        <w:t>numbers of LBCs avoided cannot be estimated as no distinction is made in published data between applications which are submitted to test the need for LBC.  Such applications will normally be determined as if consent were required, even if it was not, and so are not easily distinguishable in the planning record.  Therefore no overall calculation can be made.</w:t>
      </w:r>
    </w:p>
    <w:p w:rsidR="000006EB" w:rsidRDefault="000006EB" w:rsidP="006D2EFC">
      <w:pPr>
        <w:jc w:val="both"/>
        <w:rPr>
          <w:sz w:val="22"/>
          <w:szCs w:val="22"/>
        </w:rPr>
      </w:pPr>
    </w:p>
    <w:p w:rsidR="000654FE" w:rsidRDefault="000654FE" w:rsidP="006D2EFC">
      <w:pPr>
        <w:jc w:val="both"/>
        <w:rPr>
          <w:sz w:val="22"/>
          <w:szCs w:val="22"/>
        </w:rPr>
      </w:pPr>
      <w:r>
        <w:rPr>
          <w:sz w:val="22"/>
          <w:szCs w:val="22"/>
        </w:rPr>
        <w:t>Costs to applicants and LPAs would be generated by the inclusion of an appeal mechanism.</w:t>
      </w:r>
    </w:p>
    <w:p w:rsidR="000654FE" w:rsidRPr="00F83412" w:rsidRDefault="000654FE" w:rsidP="006D2EFC">
      <w:pPr>
        <w:jc w:val="both"/>
        <w:rPr>
          <w:sz w:val="22"/>
          <w:szCs w:val="22"/>
        </w:rPr>
      </w:pPr>
    </w:p>
    <w:p w:rsidR="000006EB" w:rsidRPr="00F83412" w:rsidRDefault="000006EB" w:rsidP="006D2EFC">
      <w:pPr>
        <w:jc w:val="both"/>
        <w:rPr>
          <w:sz w:val="22"/>
          <w:szCs w:val="22"/>
        </w:rPr>
      </w:pPr>
      <w:r w:rsidRPr="00F83412">
        <w:rPr>
          <w:sz w:val="22"/>
          <w:szCs w:val="22"/>
        </w:rPr>
        <w:t xml:space="preserve">Small costs would be incurred by the owner in submitting an application for a Certificate and the LPA in determining it.  These are likely to be of the same order of magnitude as the costs for submitting a prior notification application under </w:t>
      </w:r>
      <w:r w:rsidR="005D64C3">
        <w:rPr>
          <w:sz w:val="22"/>
          <w:szCs w:val="22"/>
        </w:rPr>
        <w:t>measure 1</w:t>
      </w:r>
      <w:r w:rsidRPr="00F83412">
        <w:rPr>
          <w:sz w:val="22"/>
          <w:szCs w:val="22"/>
        </w:rPr>
        <w:t xml:space="preserve">; again, at this stage an estimate of how many applications are likely to be made is not </w:t>
      </w:r>
      <w:r w:rsidR="0089782B" w:rsidRPr="00F83412">
        <w:rPr>
          <w:sz w:val="22"/>
          <w:szCs w:val="22"/>
        </w:rPr>
        <w:t>possible</w:t>
      </w:r>
      <w:r w:rsidRPr="00F83412">
        <w:rPr>
          <w:sz w:val="22"/>
          <w:szCs w:val="22"/>
        </w:rPr>
        <w:t xml:space="preserve"> and no overall calculation can be made.</w:t>
      </w:r>
    </w:p>
    <w:p w:rsidR="000006EB" w:rsidRPr="00F83412" w:rsidRDefault="000006EB" w:rsidP="006D2EFC">
      <w:pPr>
        <w:jc w:val="both"/>
        <w:rPr>
          <w:sz w:val="22"/>
          <w:szCs w:val="22"/>
        </w:rPr>
      </w:pPr>
    </w:p>
    <w:p w:rsidR="00A5242C" w:rsidRPr="00213D91" w:rsidRDefault="005D64C3" w:rsidP="006D2EFC">
      <w:pPr>
        <w:jc w:val="both"/>
        <w:rPr>
          <w:b/>
          <w:sz w:val="22"/>
          <w:szCs w:val="22"/>
        </w:rPr>
      </w:pPr>
      <w:r w:rsidRPr="00213D91">
        <w:rPr>
          <w:b/>
          <w:sz w:val="22"/>
          <w:szCs w:val="22"/>
        </w:rPr>
        <w:t xml:space="preserve">The consultation did not gather more robust evidence in which to make these </w:t>
      </w:r>
      <w:r w:rsidR="00120CA3" w:rsidRPr="00213D91">
        <w:rPr>
          <w:b/>
          <w:sz w:val="22"/>
          <w:szCs w:val="22"/>
        </w:rPr>
        <w:t>calculations</w:t>
      </w:r>
      <w:r w:rsidR="000006EB" w:rsidRPr="00213D91">
        <w:rPr>
          <w:b/>
          <w:sz w:val="22"/>
          <w:szCs w:val="22"/>
        </w:rPr>
        <w:t>.</w:t>
      </w:r>
      <w:r w:rsidR="00C965A7" w:rsidRPr="00213D91">
        <w:rPr>
          <w:b/>
          <w:sz w:val="22"/>
          <w:szCs w:val="22"/>
        </w:rPr>
        <w:t xml:space="preserve">  </w:t>
      </w:r>
      <w:r w:rsidR="00A82660" w:rsidRPr="00A82660">
        <w:rPr>
          <w:b/>
          <w:sz w:val="22"/>
          <w:szCs w:val="22"/>
        </w:rPr>
        <w:t>Impact on Business and therefore OIOO has</w:t>
      </w:r>
      <w:r w:rsidR="005F3F63">
        <w:rPr>
          <w:b/>
          <w:sz w:val="22"/>
          <w:szCs w:val="22"/>
        </w:rPr>
        <w:t xml:space="preserve"> therefore</w:t>
      </w:r>
      <w:r w:rsidR="00A82660" w:rsidRPr="00A82660">
        <w:rPr>
          <w:b/>
          <w:sz w:val="22"/>
          <w:szCs w:val="22"/>
        </w:rPr>
        <w:t xml:space="preserve"> not been calculated for this measure</w:t>
      </w:r>
      <w:r w:rsidR="00213D91" w:rsidRPr="00213D91">
        <w:rPr>
          <w:b/>
          <w:sz w:val="22"/>
          <w:szCs w:val="22"/>
        </w:rPr>
        <w:t>.</w:t>
      </w:r>
      <w:r w:rsidR="00A5242C">
        <w:rPr>
          <w:b/>
          <w:sz w:val="22"/>
          <w:szCs w:val="22"/>
        </w:rPr>
        <w:t xml:space="preserve">  However, we expect the impact on businesses to be marginal</w:t>
      </w:r>
      <w:r w:rsidR="001D0A28">
        <w:rPr>
          <w:b/>
          <w:sz w:val="22"/>
          <w:szCs w:val="22"/>
        </w:rPr>
        <w:t xml:space="preserve">.  Whilst a business may have initial costs </w:t>
      </w:r>
      <w:r w:rsidR="005F3F63">
        <w:rPr>
          <w:b/>
          <w:sz w:val="22"/>
          <w:szCs w:val="22"/>
        </w:rPr>
        <w:t xml:space="preserve">incurred in </w:t>
      </w:r>
      <w:r w:rsidR="001D0A28">
        <w:rPr>
          <w:b/>
          <w:sz w:val="22"/>
          <w:szCs w:val="22"/>
        </w:rPr>
        <w:t>apply</w:t>
      </w:r>
      <w:r w:rsidR="005F3F63">
        <w:rPr>
          <w:b/>
          <w:sz w:val="22"/>
          <w:szCs w:val="22"/>
        </w:rPr>
        <w:t>ing</w:t>
      </w:r>
      <w:r w:rsidR="001D0A28">
        <w:rPr>
          <w:b/>
          <w:sz w:val="22"/>
          <w:szCs w:val="22"/>
        </w:rPr>
        <w:t xml:space="preserve"> for a certificate</w:t>
      </w:r>
      <w:r w:rsidR="008C52C1">
        <w:rPr>
          <w:b/>
          <w:sz w:val="22"/>
          <w:szCs w:val="22"/>
        </w:rPr>
        <w:t xml:space="preserve"> (should they wish to do so)</w:t>
      </w:r>
      <w:r w:rsidR="001D0A28">
        <w:rPr>
          <w:b/>
          <w:sz w:val="22"/>
          <w:szCs w:val="22"/>
        </w:rPr>
        <w:t>, these may well be countered by savings for</w:t>
      </w:r>
      <w:r w:rsidR="008C52C1">
        <w:rPr>
          <w:b/>
          <w:sz w:val="22"/>
          <w:szCs w:val="22"/>
        </w:rPr>
        <w:t xml:space="preserve"> those</w:t>
      </w:r>
      <w:r w:rsidR="001D0A28">
        <w:rPr>
          <w:b/>
          <w:sz w:val="22"/>
          <w:szCs w:val="22"/>
        </w:rPr>
        <w:t xml:space="preserve"> </w:t>
      </w:r>
      <w:r w:rsidR="005F3F63">
        <w:rPr>
          <w:b/>
          <w:sz w:val="22"/>
          <w:szCs w:val="22"/>
        </w:rPr>
        <w:t>b</w:t>
      </w:r>
      <w:r w:rsidR="00A5242C">
        <w:rPr>
          <w:b/>
          <w:sz w:val="22"/>
          <w:szCs w:val="22"/>
        </w:rPr>
        <w:t>usinesses not having to submit a full listed building consent application</w:t>
      </w:r>
      <w:r w:rsidR="005F3F63">
        <w:rPr>
          <w:b/>
          <w:sz w:val="22"/>
          <w:szCs w:val="22"/>
        </w:rPr>
        <w:t xml:space="preserve"> further down the line</w:t>
      </w:r>
      <w:r w:rsidR="00A5242C">
        <w:rPr>
          <w:b/>
          <w:sz w:val="22"/>
          <w:szCs w:val="22"/>
        </w:rPr>
        <w:t>.</w:t>
      </w:r>
    </w:p>
    <w:p w:rsidR="000006EB" w:rsidRPr="00F83412" w:rsidRDefault="000006EB" w:rsidP="006D2EFC">
      <w:pPr>
        <w:jc w:val="both"/>
        <w:rPr>
          <w:b/>
          <w:bCs/>
        </w:rPr>
      </w:pPr>
    </w:p>
    <w:p w:rsidR="00F12AD0" w:rsidRDefault="00F12AD0" w:rsidP="006D2EFC">
      <w:pPr>
        <w:jc w:val="both"/>
        <w:rPr>
          <w:b/>
          <w:bCs/>
        </w:rPr>
      </w:pPr>
    </w:p>
    <w:p w:rsidR="000006EB" w:rsidRPr="00F83412" w:rsidRDefault="000006EB" w:rsidP="006D2EFC">
      <w:pPr>
        <w:jc w:val="both"/>
        <w:rPr>
          <w:b/>
          <w:bCs/>
        </w:rPr>
      </w:pPr>
      <w:r w:rsidRPr="00F83412">
        <w:rPr>
          <w:b/>
          <w:bCs/>
        </w:rPr>
        <w:t xml:space="preserve">Risks and Assumptions </w:t>
      </w:r>
    </w:p>
    <w:p w:rsidR="000006EB" w:rsidRPr="00F83412" w:rsidRDefault="000006EB" w:rsidP="006D2EFC">
      <w:pPr>
        <w:jc w:val="both"/>
        <w:rPr>
          <w:b/>
          <w:bCs/>
        </w:rPr>
      </w:pPr>
    </w:p>
    <w:p w:rsidR="000006EB" w:rsidRPr="00F83412" w:rsidRDefault="000006EB" w:rsidP="006D2EFC">
      <w:pPr>
        <w:jc w:val="both"/>
        <w:rPr>
          <w:sz w:val="22"/>
          <w:szCs w:val="22"/>
        </w:rPr>
      </w:pPr>
      <w:r w:rsidRPr="00F83412">
        <w:rPr>
          <w:sz w:val="22"/>
          <w:szCs w:val="22"/>
        </w:rPr>
        <w:t>It is possible that the existence of a formal mechanism to indicate that LBC was not required would in fact encourage local planning authorities to give that assurance more informally, without requiring application for a certificate</w:t>
      </w:r>
      <w:r w:rsidR="002769BA">
        <w:rPr>
          <w:sz w:val="22"/>
          <w:szCs w:val="22"/>
        </w:rPr>
        <w:t xml:space="preserve"> or for full LBC</w:t>
      </w:r>
      <w:r w:rsidRPr="00F83412">
        <w:rPr>
          <w:sz w:val="22"/>
          <w:szCs w:val="22"/>
        </w:rPr>
        <w:t>.</w:t>
      </w:r>
    </w:p>
    <w:p w:rsidR="000006EB" w:rsidRPr="00F83412" w:rsidRDefault="000006EB" w:rsidP="006D2EFC">
      <w:pPr>
        <w:jc w:val="both"/>
        <w:rPr>
          <w:sz w:val="22"/>
          <w:szCs w:val="22"/>
        </w:rPr>
      </w:pPr>
    </w:p>
    <w:p w:rsidR="00CD2AD5" w:rsidRDefault="00CD2AD5" w:rsidP="006D2EFC">
      <w:pPr>
        <w:jc w:val="both"/>
        <w:rPr>
          <w:b/>
          <w:bCs/>
          <w:sz w:val="32"/>
          <w:szCs w:val="32"/>
        </w:rPr>
      </w:pPr>
    </w:p>
    <w:p w:rsidR="00EE49A3" w:rsidRDefault="00EE49A3" w:rsidP="006D2EFC">
      <w:pPr>
        <w:jc w:val="both"/>
        <w:rPr>
          <w:b/>
          <w:bCs/>
          <w:sz w:val="32"/>
          <w:szCs w:val="32"/>
        </w:rPr>
      </w:pPr>
    </w:p>
    <w:p w:rsidR="00D53613" w:rsidRDefault="00D53613" w:rsidP="006D2EFC">
      <w:pPr>
        <w:jc w:val="both"/>
        <w:rPr>
          <w:b/>
          <w:bCs/>
          <w:sz w:val="32"/>
          <w:szCs w:val="32"/>
        </w:rPr>
      </w:pPr>
    </w:p>
    <w:p w:rsidR="00CD2AD5" w:rsidRDefault="00CD2AD5" w:rsidP="006D2EFC">
      <w:pPr>
        <w:jc w:val="both"/>
        <w:rPr>
          <w:b/>
          <w:bCs/>
          <w:sz w:val="32"/>
          <w:szCs w:val="32"/>
        </w:rPr>
      </w:pPr>
    </w:p>
    <w:p w:rsidR="000006EB" w:rsidRPr="00F83412" w:rsidRDefault="00D374F1" w:rsidP="006D2EFC">
      <w:pPr>
        <w:jc w:val="both"/>
        <w:rPr>
          <w:b/>
          <w:bCs/>
          <w:sz w:val="32"/>
          <w:szCs w:val="32"/>
        </w:rPr>
      </w:pPr>
      <w:r>
        <w:rPr>
          <w:b/>
          <w:bCs/>
          <w:sz w:val="32"/>
          <w:szCs w:val="32"/>
        </w:rPr>
        <w:t xml:space="preserve">3) </w:t>
      </w:r>
      <w:r w:rsidR="000F6E60">
        <w:rPr>
          <w:b/>
          <w:bCs/>
          <w:sz w:val="32"/>
          <w:szCs w:val="32"/>
        </w:rPr>
        <w:t>Accredited agents replacing local authority officer recommendations on LBC, if the applicants wish</w:t>
      </w:r>
    </w:p>
    <w:p w:rsidR="000006EB" w:rsidRPr="00F83412" w:rsidRDefault="000006EB" w:rsidP="006D2EFC">
      <w:pPr>
        <w:jc w:val="both"/>
        <w:rPr>
          <w:b/>
          <w:bCs/>
          <w:sz w:val="32"/>
          <w:szCs w:val="32"/>
        </w:rPr>
      </w:pPr>
    </w:p>
    <w:p w:rsidR="000006EB" w:rsidRPr="00F83412" w:rsidRDefault="000006EB" w:rsidP="006D2EFC">
      <w:pPr>
        <w:jc w:val="both"/>
        <w:rPr>
          <w:b/>
          <w:bCs/>
        </w:rPr>
      </w:pPr>
      <w:r w:rsidRPr="00F83412">
        <w:rPr>
          <w:b/>
          <w:bCs/>
        </w:rPr>
        <w:t>Objective</w:t>
      </w:r>
    </w:p>
    <w:p w:rsidR="000006EB" w:rsidRPr="00F83412" w:rsidRDefault="000006EB" w:rsidP="006D2EFC">
      <w:pPr>
        <w:jc w:val="both"/>
      </w:pPr>
    </w:p>
    <w:p w:rsidR="000006EB" w:rsidRPr="00F83412" w:rsidRDefault="000006EB" w:rsidP="006D2EFC">
      <w:pPr>
        <w:jc w:val="both"/>
        <w:rPr>
          <w:sz w:val="22"/>
          <w:szCs w:val="22"/>
        </w:rPr>
      </w:pPr>
      <w:r w:rsidRPr="00F83412">
        <w:rPr>
          <w:sz w:val="22"/>
          <w:szCs w:val="22"/>
        </w:rPr>
        <w:t xml:space="preserve">An independent agent may be taken on by the applicant, and will offer an expert report and recommendation to the LPA, effectively “certifying” the works as acceptable, </w:t>
      </w:r>
      <w:r w:rsidR="00962CA2">
        <w:rPr>
          <w:sz w:val="22"/>
          <w:szCs w:val="22"/>
        </w:rPr>
        <w:t xml:space="preserve">and which would normally be expected </w:t>
      </w:r>
      <w:r w:rsidRPr="00F83412">
        <w:rPr>
          <w:sz w:val="22"/>
          <w:szCs w:val="22"/>
        </w:rPr>
        <w:t xml:space="preserve">to be taken into account by the LPA as it determines the application.  The LPA will continue to administer consultation and notifications including to English Heritage, as at present, and the decision will continue to be taken within the democratic arena.  </w:t>
      </w:r>
    </w:p>
    <w:p w:rsidR="000006EB" w:rsidRPr="00F83412" w:rsidRDefault="000006EB" w:rsidP="006D2EFC">
      <w:pPr>
        <w:jc w:val="both"/>
        <w:rPr>
          <w:b/>
          <w:bCs/>
        </w:rPr>
      </w:pPr>
    </w:p>
    <w:p w:rsidR="000006EB" w:rsidRPr="00F83412" w:rsidRDefault="000006EB" w:rsidP="006D2EFC">
      <w:pPr>
        <w:jc w:val="both"/>
        <w:rPr>
          <w:b/>
          <w:bCs/>
        </w:rPr>
      </w:pPr>
      <w:r w:rsidRPr="00F83412">
        <w:rPr>
          <w:b/>
          <w:bCs/>
        </w:rPr>
        <w:t>Costs and Benefits</w:t>
      </w:r>
    </w:p>
    <w:p w:rsidR="000006EB" w:rsidRPr="00F83412" w:rsidRDefault="000006EB" w:rsidP="006D2EFC">
      <w:pPr>
        <w:jc w:val="both"/>
        <w:rPr>
          <w:b/>
          <w:bCs/>
        </w:rPr>
      </w:pPr>
    </w:p>
    <w:p w:rsidR="000006EB" w:rsidRPr="00F83412" w:rsidRDefault="000006EB" w:rsidP="006D2EFC">
      <w:pPr>
        <w:jc w:val="both"/>
        <w:rPr>
          <w:sz w:val="22"/>
          <w:szCs w:val="22"/>
        </w:rPr>
      </w:pPr>
      <w:r w:rsidRPr="00F83412">
        <w:rPr>
          <w:sz w:val="22"/>
          <w:szCs w:val="22"/>
        </w:rPr>
        <w:t>Research indicates that 73% of all applications for listed building consent in commercial areas are made by an agent on behalf of the owner/tenant of the property, with the proportions significantly higher for non-residential than residential projects, and with architects the biggest single category of agent used overall (36%) covering both residential and non-residential applications, and planning consultants (9% of total) and chartered surveyors (7% of total) used almost exclusively for non-residential schemes</w:t>
      </w:r>
      <w:r w:rsidRPr="00F83412">
        <w:rPr>
          <w:rStyle w:val="FootnoteReference"/>
        </w:rPr>
        <w:footnoteReference w:id="9"/>
      </w:r>
      <w:r w:rsidRPr="00F83412">
        <w:rPr>
          <w:sz w:val="22"/>
          <w:szCs w:val="22"/>
        </w:rPr>
        <w:t xml:space="preserve">.   Pre-consultation discussions with heritage bodies and consultancies acknowledged that detailed heritage reports are often submitted to accompany major applications affecting heritage assets.  </w:t>
      </w:r>
    </w:p>
    <w:p w:rsidR="000006EB" w:rsidRPr="00F83412" w:rsidRDefault="000006EB" w:rsidP="00344EFE">
      <w:pPr>
        <w:jc w:val="both"/>
        <w:rPr>
          <w:sz w:val="22"/>
          <w:szCs w:val="22"/>
        </w:rPr>
      </w:pPr>
    </w:p>
    <w:p w:rsidR="000006EB" w:rsidRPr="00F83412" w:rsidRDefault="000006EB" w:rsidP="006D2EFC">
      <w:pPr>
        <w:jc w:val="both"/>
        <w:rPr>
          <w:sz w:val="22"/>
          <w:szCs w:val="22"/>
        </w:rPr>
      </w:pPr>
      <w:r w:rsidRPr="00F83412">
        <w:rPr>
          <w:sz w:val="22"/>
          <w:szCs w:val="22"/>
        </w:rPr>
        <w:t>This approach would be optional, but if owners or applicants chose to pursue it, a new or additional cost would be incurred.</w:t>
      </w:r>
      <w:r w:rsidR="002769BA">
        <w:rPr>
          <w:sz w:val="22"/>
          <w:szCs w:val="22"/>
        </w:rPr>
        <w:t xml:space="preserve">  </w:t>
      </w:r>
      <w:r w:rsidRPr="00F83412">
        <w:rPr>
          <w:sz w:val="22"/>
          <w:szCs w:val="22"/>
        </w:rPr>
        <w:t xml:space="preserve">Enabling owners or developers to take on independent agents to provide expert report and recommendation to the local planning authority as part of the listed building consent application, effectively “certifying” the works as acceptable, may increase costs for that expert input as it will go beyond describing or analysing a building or site to take on some of the role otherwise fulfilled by the LPA, that is, to address the suitability of the proposed works to receive LBC, advise on any modifications that may be required to achieve this, and apply appropriate conditions. </w:t>
      </w:r>
      <w:r w:rsidR="00C965A7">
        <w:rPr>
          <w:sz w:val="22"/>
          <w:szCs w:val="22"/>
        </w:rPr>
        <w:t>The consultation document seeks an informed assessment of likely take-up of this option, which will assist in developing monetised estimates and informing choices of preferred options at the Final Stage.</w:t>
      </w:r>
    </w:p>
    <w:p w:rsidR="000006EB" w:rsidRPr="00F83412" w:rsidRDefault="000006EB" w:rsidP="006D2EFC">
      <w:pPr>
        <w:jc w:val="both"/>
        <w:rPr>
          <w:sz w:val="22"/>
          <w:szCs w:val="22"/>
        </w:rPr>
      </w:pPr>
    </w:p>
    <w:p w:rsidR="000006EB" w:rsidRPr="00F83412" w:rsidRDefault="000006EB" w:rsidP="006D2EFC">
      <w:pPr>
        <w:jc w:val="both"/>
        <w:rPr>
          <w:sz w:val="22"/>
          <w:szCs w:val="22"/>
        </w:rPr>
      </w:pPr>
      <w:r w:rsidRPr="00F83412">
        <w:rPr>
          <w:sz w:val="22"/>
          <w:szCs w:val="22"/>
        </w:rPr>
        <w:t>Owners who do not at present use an agent to submit applications would take on new costs should they wish to do so under this system.  However, the majority of applications which at present are submitted without expert support will tend to be small-scale and householder applications, where there may be fewer advantages to be gained by doing so.  This is unlikely to change if this proposal were to be introduced.</w:t>
      </w:r>
    </w:p>
    <w:p w:rsidR="000006EB" w:rsidRPr="00F83412" w:rsidRDefault="000006EB" w:rsidP="006D2EFC">
      <w:pPr>
        <w:jc w:val="both"/>
        <w:rPr>
          <w:sz w:val="22"/>
          <w:szCs w:val="22"/>
        </w:rPr>
      </w:pPr>
    </w:p>
    <w:p w:rsidR="000006EB" w:rsidRPr="00F83412" w:rsidRDefault="000006EB" w:rsidP="006D2EFC">
      <w:pPr>
        <w:jc w:val="both"/>
        <w:rPr>
          <w:sz w:val="22"/>
          <w:szCs w:val="22"/>
        </w:rPr>
      </w:pPr>
      <w:r w:rsidRPr="00F83412">
        <w:rPr>
          <w:sz w:val="22"/>
          <w:szCs w:val="22"/>
        </w:rPr>
        <w:t>Benefits to owners or developers taking advantage of this proposal would include earlier advice on proposals focused on achieving LBC, and a greater likelihood of achieving LBC as a result.  This would also bring more certainty to the outcome, and a faster consent process.</w:t>
      </w:r>
    </w:p>
    <w:p w:rsidR="000006EB" w:rsidRPr="00F83412" w:rsidRDefault="000006EB" w:rsidP="006D2EFC">
      <w:pPr>
        <w:jc w:val="both"/>
        <w:rPr>
          <w:sz w:val="22"/>
          <w:szCs w:val="22"/>
        </w:rPr>
      </w:pPr>
    </w:p>
    <w:p w:rsidR="000006EB" w:rsidRPr="00F83412" w:rsidRDefault="000006EB" w:rsidP="006D2EFC">
      <w:pPr>
        <w:jc w:val="both"/>
        <w:rPr>
          <w:sz w:val="22"/>
          <w:szCs w:val="22"/>
        </w:rPr>
      </w:pPr>
      <w:r w:rsidRPr="00F83412">
        <w:rPr>
          <w:sz w:val="22"/>
          <w:szCs w:val="22"/>
        </w:rPr>
        <w:t>Most local planning authorities already have access to expert advice in some form. The local planning authority would continue to administer consultation and notifications, including to English Heritage and national amenity societies, as at present, and decisions would continue to be taken with democratic accountability.  This would not therefore impose a further burden on them, and there will be savings, as the preparation of the technical assessment of the development is passed over to the accredited agent, and the role of the LPA becomes one of scrutinising and signing off the recommendation.</w:t>
      </w:r>
    </w:p>
    <w:p w:rsidR="000006EB" w:rsidRPr="00F83412" w:rsidRDefault="000006EB" w:rsidP="006D2EFC">
      <w:pPr>
        <w:jc w:val="both"/>
        <w:rPr>
          <w:sz w:val="22"/>
          <w:szCs w:val="22"/>
        </w:rPr>
      </w:pPr>
    </w:p>
    <w:p w:rsidR="000006EB" w:rsidRPr="00F83412" w:rsidRDefault="000006EB" w:rsidP="006D2EFC">
      <w:pPr>
        <w:jc w:val="both"/>
        <w:rPr>
          <w:sz w:val="22"/>
          <w:szCs w:val="22"/>
        </w:rPr>
      </w:pPr>
      <w:r w:rsidRPr="00F83412">
        <w:rPr>
          <w:sz w:val="22"/>
          <w:szCs w:val="22"/>
        </w:rPr>
        <w:t xml:space="preserve">As this is optional the lowest estimate of the impact would be zero, as applicants would not need to undertake anything new. If 73% of all applications for listed building consent in commercial areas are made by an agent on behalf of the owner/tenant of the property, then we would assume that the impact on applicants would be on the 27% that don’t currently make use of agents. This would mean the cost (£650) of processing an application which falls onto LPAs will transfer to the applicant. However we have assumed that only 50% of the cost will be transferred as the local planning authority would continue to administer consultation and notifications.. This produces an annual benefit to LPAs of £2.7m as the burden is shifted to applicants. </w:t>
      </w:r>
      <w:r w:rsidR="00A60EA5">
        <w:rPr>
          <w:sz w:val="22"/>
          <w:szCs w:val="22"/>
        </w:rPr>
        <w:t>There is an argument that the other 73% of applicants may also provide saving to LPAs, as LPAs spend less resource on all applications. Taking a conservative approach this this has not been calculated here</w:t>
      </w:r>
      <w:r w:rsidR="00474AE1">
        <w:rPr>
          <w:sz w:val="22"/>
          <w:szCs w:val="22"/>
        </w:rPr>
        <w:t>.</w:t>
      </w:r>
      <w:r w:rsidR="00A60EA5">
        <w:rPr>
          <w:sz w:val="22"/>
          <w:szCs w:val="22"/>
        </w:rPr>
        <w:t xml:space="preserve"> </w:t>
      </w:r>
    </w:p>
    <w:p w:rsidR="000006EB" w:rsidRPr="00F83412" w:rsidRDefault="000006EB" w:rsidP="006D2EFC">
      <w:pPr>
        <w:jc w:val="both"/>
        <w:rPr>
          <w:sz w:val="22"/>
          <w:szCs w:val="22"/>
        </w:rPr>
      </w:pPr>
    </w:p>
    <w:p w:rsidR="000006EB" w:rsidRDefault="000006EB" w:rsidP="006D2EFC">
      <w:pPr>
        <w:jc w:val="both"/>
        <w:rPr>
          <w:sz w:val="22"/>
          <w:szCs w:val="22"/>
        </w:rPr>
      </w:pPr>
      <w:r w:rsidRPr="00F83412">
        <w:rPr>
          <w:sz w:val="22"/>
          <w:szCs w:val="22"/>
        </w:rPr>
        <w:t>The cost to applicants that normally would not have employed an agent is £2.7m; the cost has essentially been transferred from LPAs.</w:t>
      </w:r>
    </w:p>
    <w:p w:rsidR="005D64C3" w:rsidRDefault="005D64C3" w:rsidP="006D2EFC">
      <w:pPr>
        <w:jc w:val="both"/>
        <w:rPr>
          <w:sz w:val="22"/>
          <w:szCs w:val="22"/>
        </w:rPr>
      </w:pPr>
    </w:p>
    <w:p w:rsidR="005D64C3" w:rsidRDefault="005D64C3" w:rsidP="006D2EFC">
      <w:pPr>
        <w:jc w:val="both"/>
        <w:rPr>
          <w:sz w:val="22"/>
          <w:szCs w:val="22"/>
        </w:rPr>
      </w:pPr>
      <w:r>
        <w:rPr>
          <w:sz w:val="22"/>
          <w:szCs w:val="22"/>
        </w:rPr>
        <w:t xml:space="preserve">However, </w:t>
      </w:r>
      <w:r w:rsidR="00474AE1">
        <w:rPr>
          <w:sz w:val="22"/>
          <w:szCs w:val="22"/>
        </w:rPr>
        <w:t>this assumes all</w:t>
      </w:r>
      <w:r>
        <w:rPr>
          <w:sz w:val="22"/>
          <w:szCs w:val="22"/>
        </w:rPr>
        <w:t xml:space="preserve"> applicants are business for the purpose of calculating OIOO this is likely to lead to an overestimation of the cost to business. </w:t>
      </w:r>
      <w:r w:rsidR="00474AE1">
        <w:rPr>
          <w:sz w:val="22"/>
          <w:szCs w:val="22"/>
        </w:rPr>
        <w:t>T</w:t>
      </w:r>
      <w:r>
        <w:rPr>
          <w:sz w:val="22"/>
          <w:szCs w:val="22"/>
        </w:rPr>
        <w:t xml:space="preserve">hese cost are </w:t>
      </w:r>
      <w:r w:rsidR="00120CA3">
        <w:rPr>
          <w:sz w:val="22"/>
          <w:szCs w:val="22"/>
        </w:rPr>
        <w:t>optional</w:t>
      </w:r>
      <w:r>
        <w:rPr>
          <w:sz w:val="22"/>
          <w:szCs w:val="22"/>
        </w:rPr>
        <w:t xml:space="preserve"> and therefore would not form part of OIOO (as they are indirect costs), to make these calculations consistent with measure 1 we have assumed that 50% of the applicants are business. The consultation did not collect </w:t>
      </w:r>
      <w:r w:rsidR="00474AE1">
        <w:rPr>
          <w:sz w:val="22"/>
          <w:szCs w:val="22"/>
        </w:rPr>
        <w:t xml:space="preserve">any </w:t>
      </w:r>
      <w:r>
        <w:rPr>
          <w:sz w:val="22"/>
          <w:szCs w:val="22"/>
        </w:rPr>
        <w:t xml:space="preserve">further </w:t>
      </w:r>
      <w:r w:rsidR="00474AE1">
        <w:rPr>
          <w:sz w:val="22"/>
          <w:szCs w:val="22"/>
        </w:rPr>
        <w:t xml:space="preserve">robust </w:t>
      </w:r>
      <w:r>
        <w:rPr>
          <w:sz w:val="22"/>
          <w:szCs w:val="22"/>
        </w:rPr>
        <w:t xml:space="preserve">evidence. </w:t>
      </w:r>
    </w:p>
    <w:p w:rsidR="00474AE1" w:rsidRDefault="00474AE1" w:rsidP="006D2EFC">
      <w:pPr>
        <w:jc w:val="both"/>
        <w:rPr>
          <w:sz w:val="22"/>
          <w:szCs w:val="22"/>
        </w:rPr>
      </w:pPr>
    </w:p>
    <w:tbl>
      <w:tblPr>
        <w:tblW w:w="9786" w:type="dxa"/>
        <w:tblInd w:w="103" w:type="dxa"/>
        <w:tblLook w:val="04A0" w:firstRow="1" w:lastRow="0" w:firstColumn="1" w:lastColumn="0" w:noHBand="0" w:noVBand="1"/>
      </w:tblPr>
      <w:tblGrid>
        <w:gridCol w:w="1200"/>
        <w:gridCol w:w="1200"/>
        <w:gridCol w:w="1200"/>
        <w:gridCol w:w="220"/>
        <w:gridCol w:w="980"/>
        <w:gridCol w:w="1017"/>
        <w:gridCol w:w="992"/>
        <w:gridCol w:w="992"/>
        <w:gridCol w:w="993"/>
        <w:gridCol w:w="992"/>
      </w:tblGrid>
      <w:tr w:rsidR="00474AE1" w:rsidRPr="00474AE1" w:rsidTr="008143B2">
        <w:trPr>
          <w:trHeight w:val="300"/>
        </w:trPr>
        <w:tc>
          <w:tcPr>
            <w:tcW w:w="38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74AE1" w:rsidRPr="00474AE1" w:rsidRDefault="00474AE1" w:rsidP="00474AE1">
            <w:pPr>
              <w:jc w:val="both"/>
              <w:rPr>
                <w:b/>
                <w:bCs/>
                <w:color w:val="000000"/>
                <w:sz w:val="22"/>
                <w:szCs w:val="22"/>
                <w:lang w:eastAsia="en-GB"/>
              </w:rPr>
            </w:pPr>
            <w:r w:rsidRPr="00474AE1">
              <w:rPr>
                <w:b/>
                <w:bCs/>
                <w:color w:val="000000"/>
                <w:sz w:val="22"/>
                <w:szCs w:val="22"/>
                <w:lang w:eastAsia="en-GB"/>
              </w:rPr>
              <w:t> </w:t>
            </w:r>
          </w:p>
        </w:tc>
        <w:tc>
          <w:tcPr>
            <w:tcW w:w="980" w:type="dxa"/>
            <w:tcBorders>
              <w:top w:val="single" w:sz="4" w:space="0" w:color="auto"/>
              <w:left w:val="nil"/>
              <w:bottom w:val="nil"/>
              <w:right w:val="single" w:sz="4" w:space="0" w:color="auto"/>
            </w:tcBorders>
            <w:shd w:val="clear" w:color="auto" w:fill="auto"/>
            <w:vAlign w:val="center"/>
            <w:hideMark/>
          </w:tcPr>
          <w:p w:rsidR="00474AE1" w:rsidRPr="00474AE1" w:rsidRDefault="00474AE1" w:rsidP="00474AE1">
            <w:pPr>
              <w:jc w:val="right"/>
              <w:rPr>
                <w:b/>
                <w:bCs/>
                <w:color w:val="000000"/>
                <w:sz w:val="22"/>
                <w:szCs w:val="22"/>
                <w:lang w:eastAsia="en-GB"/>
              </w:rPr>
            </w:pPr>
            <w:r w:rsidRPr="00474AE1">
              <w:rPr>
                <w:b/>
                <w:bCs/>
                <w:color w:val="000000"/>
                <w:sz w:val="22"/>
                <w:szCs w:val="22"/>
                <w:lang w:eastAsia="en-GB"/>
              </w:rPr>
              <w:t xml:space="preserve"> Year 0 </w:t>
            </w:r>
          </w:p>
        </w:tc>
        <w:tc>
          <w:tcPr>
            <w:tcW w:w="1017" w:type="dxa"/>
            <w:tcBorders>
              <w:top w:val="single" w:sz="4" w:space="0" w:color="auto"/>
              <w:left w:val="nil"/>
              <w:bottom w:val="nil"/>
              <w:right w:val="single" w:sz="4" w:space="0" w:color="auto"/>
            </w:tcBorders>
            <w:shd w:val="clear" w:color="auto" w:fill="auto"/>
            <w:vAlign w:val="center"/>
            <w:hideMark/>
          </w:tcPr>
          <w:p w:rsidR="00474AE1" w:rsidRPr="00474AE1" w:rsidRDefault="00474AE1" w:rsidP="00474AE1">
            <w:pPr>
              <w:jc w:val="right"/>
              <w:rPr>
                <w:b/>
                <w:bCs/>
                <w:color w:val="000000"/>
                <w:sz w:val="22"/>
                <w:szCs w:val="22"/>
                <w:lang w:eastAsia="en-GB"/>
              </w:rPr>
            </w:pPr>
            <w:r w:rsidRPr="00474AE1">
              <w:rPr>
                <w:b/>
                <w:bCs/>
                <w:color w:val="000000"/>
                <w:sz w:val="22"/>
                <w:szCs w:val="22"/>
                <w:lang w:eastAsia="en-GB"/>
              </w:rPr>
              <w:t xml:space="preserve"> Year 1 </w:t>
            </w:r>
          </w:p>
        </w:tc>
        <w:tc>
          <w:tcPr>
            <w:tcW w:w="992" w:type="dxa"/>
            <w:tcBorders>
              <w:top w:val="single" w:sz="4" w:space="0" w:color="auto"/>
              <w:left w:val="nil"/>
              <w:bottom w:val="nil"/>
              <w:right w:val="single" w:sz="4" w:space="0" w:color="auto"/>
            </w:tcBorders>
            <w:shd w:val="clear" w:color="auto" w:fill="auto"/>
            <w:vAlign w:val="center"/>
            <w:hideMark/>
          </w:tcPr>
          <w:p w:rsidR="00474AE1" w:rsidRPr="00474AE1" w:rsidRDefault="00474AE1" w:rsidP="00474AE1">
            <w:pPr>
              <w:jc w:val="right"/>
              <w:rPr>
                <w:b/>
                <w:bCs/>
                <w:color w:val="000000"/>
                <w:sz w:val="22"/>
                <w:szCs w:val="22"/>
                <w:lang w:eastAsia="en-GB"/>
              </w:rPr>
            </w:pPr>
            <w:r w:rsidRPr="00474AE1">
              <w:rPr>
                <w:b/>
                <w:bCs/>
                <w:color w:val="000000"/>
                <w:sz w:val="22"/>
                <w:szCs w:val="22"/>
                <w:lang w:eastAsia="en-GB"/>
              </w:rPr>
              <w:t xml:space="preserve"> Year 2 </w:t>
            </w:r>
          </w:p>
        </w:tc>
        <w:tc>
          <w:tcPr>
            <w:tcW w:w="992" w:type="dxa"/>
            <w:tcBorders>
              <w:top w:val="single" w:sz="4" w:space="0" w:color="auto"/>
              <w:left w:val="nil"/>
              <w:bottom w:val="nil"/>
              <w:right w:val="single" w:sz="4" w:space="0" w:color="auto"/>
            </w:tcBorders>
            <w:shd w:val="clear" w:color="auto" w:fill="auto"/>
            <w:vAlign w:val="center"/>
            <w:hideMark/>
          </w:tcPr>
          <w:p w:rsidR="00474AE1" w:rsidRPr="00474AE1" w:rsidRDefault="00474AE1" w:rsidP="00474AE1">
            <w:pPr>
              <w:jc w:val="right"/>
              <w:rPr>
                <w:b/>
                <w:bCs/>
                <w:color w:val="000000"/>
                <w:sz w:val="22"/>
                <w:szCs w:val="22"/>
                <w:lang w:eastAsia="en-GB"/>
              </w:rPr>
            </w:pPr>
            <w:r w:rsidRPr="00474AE1">
              <w:rPr>
                <w:b/>
                <w:bCs/>
                <w:color w:val="000000"/>
                <w:sz w:val="22"/>
                <w:szCs w:val="22"/>
                <w:lang w:eastAsia="en-GB"/>
              </w:rPr>
              <w:t xml:space="preserve"> Year 3 </w:t>
            </w:r>
          </w:p>
        </w:tc>
        <w:tc>
          <w:tcPr>
            <w:tcW w:w="993" w:type="dxa"/>
            <w:tcBorders>
              <w:top w:val="single" w:sz="4" w:space="0" w:color="auto"/>
              <w:left w:val="nil"/>
              <w:bottom w:val="nil"/>
              <w:right w:val="single" w:sz="4" w:space="0" w:color="auto"/>
            </w:tcBorders>
            <w:shd w:val="clear" w:color="auto" w:fill="auto"/>
            <w:vAlign w:val="center"/>
            <w:hideMark/>
          </w:tcPr>
          <w:p w:rsidR="00474AE1" w:rsidRPr="00474AE1" w:rsidRDefault="00474AE1" w:rsidP="00474AE1">
            <w:pPr>
              <w:jc w:val="right"/>
              <w:rPr>
                <w:b/>
                <w:bCs/>
                <w:color w:val="000000"/>
                <w:sz w:val="22"/>
                <w:szCs w:val="22"/>
                <w:lang w:eastAsia="en-GB"/>
              </w:rPr>
            </w:pPr>
            <w:r w:rsidRPr="00474AE1">
              <w:rPr>
                <w:b/>
                <w:bCs/>
                <w:color w:val="000000"/>
                <w:sz w:val="22"/>
                <w:szCs w:val="22"/>
                <w:lang w:eastAsia="en-GB"/>
              </w:rPr>
              <w:t xml:space="preserve"> Year 4 </w:t>
            </w:r>
          </w:p>
        </w:tc>
        <w:tc>
          <w:tcPr>
            <w:tcW w:w="992" w:type="dxa"/>
            <w:tcBorders>
              <w:top w:val="single" w:sz="4" w:space="0" w:color="auto"/>
              <w:left w:val="nil"/>
              <w:bottom w:val="nil"/>
              <w:right w:val="single" w:sz="4" w:space="0" w:color="auto"/>
            </w:tcBorders>
            <w:shd w:val="clear" w:color="auto" w:fill="auto"/>
            <w:vAlign w:val="center"/>
            <w:hideMark/>
          </w:tcPr>
          <w:p w:rsidR="00474AE1" w:rsidRPr="00474AE1" w:rsidRDefault="00474AE1" w:rsidP="00474AE1">
            <w:pPr>
              <w:jc w:val="right"/>
              <w:rPr>
                <w:b/>
                <w:bCs/>
                <w:color w:val="000000"/>
                <w:sz w:val="22"/>
                <w:szCs w:val="22"/>
                <w:lang w:eastAsia="en-GB"/>
              </w:rPr>
            </w:pPr>
            <w:r w:rsidRPr="00474AE1">
              <w:rPr>
                <w:b/>
                <w:bCs/>
                <w:color w:val="000000"/>
                <w:sz w:val="22"/>
                <w:szCs w:val="22"/>
                <w:lang w:eastAsia="en-GB"/>
              </w:rPr>
              <w:t xml:space="preserve"> Year 5 </w:t>
            </w:r>
          </w:p>
        </w:tc>
      </w:tr>
      <w:tr w:rsidR="00474AE1" w:rsidRPr="00474AE1" w:rsidTr="008143B2">
        <w:trPr>
          <w:trHeight w:val="570"/>
        </w:trPr>
        <w:tc>
          <w:tcPr>
            <w:tcW w:w="3820" w:type="dxa"/>
            <w:gridSpan w:val="4"/>
            <w:tcBorders>
              <w:top w:val="nil"/>
              <w:left w:val="single" w:sz="4" w:space="0" w:color="auto"/>
              <w:bottom w:val="nil"/>
              <w:right w:val="single" w:sz="4" w:space="0" w:color="auto"/>
            </w:tcBorders>
            <w:shd w:val="clear" w:color="auto" w:fill="auto"/>
            <w:vAlign w:val="center"/>
            <w:hideMark/>
          </w:tcPr>
          <w:p w:rsidR="00474AE1" w:rsidRPr="00474AE1" w:rsidRDefault="00474AE1" w:rsidP="00474AE1">
            <w:pPr>
              <w:jc w:val="both"/>
              <w:rPr>
                <w:color w:val="000000"/>
                <w:sz w:val="22"/>
                <w:szCs w:val="22"/>
                <w:lang w:eastAsia="en-GB"/>
              </w:rPr>
            </w:pPr>
            <w:r w:rsidRPr="00474AE1">
              <w:rPr>
                <w:color w:val="000000"/>
                <w:sz w:val="22"/>
                <w:szCs w:val="22"/>
                <w:lang w:eastAsia="en-GB"/>
              </w:rPr>
              <w:t>Estimated Cost to Applicant (£)</w:t>
            </w:r>
          </w:p>
        </w:tc>
        <w:tc>
          <w:tcPr>
            <w:tcW w:w="980" w:type="dxa"/>
            <w:tcBorders>
              <w:top w:val="single" w:sz="4" w:space="0" w:color="auto"/>
              <w:left w:val="nil"/>
              <w:bottom w:val="nil"/>
              <w:right w:val="single" w:sz="4" w:space="0" w:color="auto"/>
            </w:tcBorders>
            <w:shd w:val="clear" w:color="auto" w:fill="auto"/>
            <w:vAlign w:val="center"/>
            <w:hideMark/>
          </w:tcPr>
          <w:p w:rsidR="00474AE1" w:rsidRPr="00474AE1" w:rsidRDefault="00474AE1" w:rsidP="00474AE1">
            <w:pPr>
              <w:jc w:val="right"/>
              <w:rPr>
                <w:color w:val="000000"/>
                <w:sz w:val="22"/>
                <w:szCs w:val="22"/>
                <w:lang w:eastAsia="en-GB"/>
              </w:rPr>
            </w:pPr>
            <w:r w:rsidRPr="00474AE1">
              <w:rPr>
                <w:color w:val="000000"/>
                <w:sz w:val="22"/>
                <w:szCs w:val="22"/>
                <w:lang w:eastAsia="en-GB"/>
              </w:rPr>
              <w:t xml:space="preserve">            2.7 </w:t>
            </w:r>
          </w:p>
        </w:tc>
        <w:tc>
          <w:tcPr>
            <w:tcW w:w="1017" w:type="dxa"/>
            <w:tcBorders>
              <w:top w:val="single" w:sz="4" w:space="0" w:color="auto"/>
              <w:left w:val="nil"/>
              <w:bottom w:val="nil"/>
              <w:right w:val="single" w:sz="4" w:space="0" w:color="auto"/>
            </w:tcBorders>
            <w:shd w:val="clear" w:color="auto" w:fill="auto"/>
            <w:vAlign w:val="center"/>
            <w:hideMark/>
          </w:tcPr>
          <w:p w:rsidR="00474AE1" w:rsidRPr="00474AE1" w:rsidRDefault="00474AE1" w:rsidP="00474AE1">
            <w:pPr>
              <w:jc w:val="right"/>
              <w:rPr>
                <w:color w:val="000000"/>
                <w:sz w:val="22"/>
                <w:szCs w:val="22"/>
                <w:lang w:eastAsia="en-GB"/>
              </w:rPr>
            </w:pPr>
            <w:r w:rsidRPr="00474AE1">
              <w:rPr>
                <w:color w:val="000000"/>
                <w:sz w:val="22"/>
                <w:szCs w:val="22"/>
                <w:lang w:eastAsia="en-GB"/>
              </w:rPr>
              <w:t xml:space="preserve">            2.7 </w:t>
            </w:r>
          </w:p>
        </w:tc>
        <w:tc>
          <w:tcPr>
            <w:tcW w:w="992" w:type="dxa"/>
            <w:tcBorders>
              <w:top w:val="single" w:sz="4" w:space="0" w:color="auto"/>
              <w:left w:val="nil"/>
              <w:bottom w:val="nil"/>
              <w:right w:val="single" w:sz="4" w:space="0" w:color="auto"/>
            </w:tcBorders>
            <w:shd w:val="clear" w:color="auto" w:fill="auto"/>
            <w:vAlign w:val="center"/>
            <w:hideMark/>
          </w:tcPr>
          <w:p w:rsidR="00474AE1" w:rsidRPr="00474AE1" w:rsidRDefault="00474AE1" w:rsidP="00474AE1">
            <w:pPr>
              <w:jc w:val="right"/>
              <w:rPr>
                <w:color w:val="000000"/>
                <w:sz w:val="22"/>
                <w:szCs w:val="22"/>
                <w:lang w:eastAsia="en-GB"/>
              </w:rPr>
            </w:pPr>
            <w:r w:rsidRPr="00474AE1">
              <w:rPr>
                <w:color w:val="000000"/>
                <w:sz w:val="22"/>
                <w:szCs w:val="22"/>
                <w:lang w:eastAsia="en-GB"/>
              </w:rPr>
              <w:t xml:space="preserve">            2.7 </w:t>
            </w:r>
          </w:p>
        </w:tc>
        <w:tc>
          <w:tcPr>
            <w:tcW w:w="992" w:type="dxa"/>
            <w:tcBorders>
              <w:top w:val="single" w:sz="4" w:space="0" w:color="auto"/>
              <w:left w:val="nil"/>
              <w:bottom w:val="nil"/>
              <w:right w:val="single" w:sz="4" w:space="0" w:color="auto"/>
            </w:tcBorders>
            <w:shd w:val="clear" w:color="auto" w:fill="auto"/>
            <w:vAlign w:val="center"/>
            <w:hideMark/>
          </w:tcPr>
          <w:p w:rsidR="00474AE1" w:rsidRPr="00474AE1" w:rsidRDefault="00474AE1" w:rsidP="00474AE1">
            <w:pPr>
              <w:jc w:val="right"/>
              <w:rPr>
                <w:color w:val="000000"/>
                <w:sz w:val="22"/>
                <w:szCs w:val="22"/>
                <w:lang w:eastAsia="en-GB"/>
              </w:rPr>
            </w:pPr>
            <w:r w:rsidRPr="00474AE1">
              <w:rPr>
                <w:color w:val="000000"/>
                <w:sz w:val="22"/>
                <w:szCs w:val="22"/>
                <w:lang w:eastAsia="en-GB"/>
              </w:rPr>
              <w:t xml:space="preserve">            2.7 </w:t>
            </w:r>
          </w:p>
        </w:tc>
        <w:tc>
          <w:tcPr>
            <w:tcW w:w="993" w:type="dxa"/>
            <w:tcBorders>
              <w:top w:val="single" w:sz="4" w:space="0" w:color="auto"/>
              <w:left w:val="nil"/>
              <w:bottom w:val="nil"/>
              <w:right w:val="single" w:sz="4" w:space="0" w:color="auto"/>
            </w:tcBorders>
            <w:shd w:val="clear" w:color="auto" w:fill="auto"/>
            <w:vAlign w:val="center"/>
            <w:hideMark/>
          </w:tcPr>
          <w:p w:rsidR="00474AE1" w:rsidRPr="00474AE1" w:rsidRDefault="00474AE1" w:rsidP="00474AE1">
            <w:pPr>
              <w:jc w:val="right"/>
              <w:rPr>
                <w:color w:val="000000"/>
                <w:sz w:val="22"/>
                <w:szCs w:val="22"/>
                <w:lang w:eastAsia="en-GB"/>
              </w:rPr>
            </w:pPr>
            <w:r w:rsidRPr="00474AE1">
              <w:rPr>
                <w:color w:val="000000"/>
                <w:sz w:val="22"/>
                <w:szCs w:val="22"/>
                <w:lang w:eastAsia="en-GB"/>
              </w:rPr>
              <w:t xml:space="preserve">            2.7 </w:t>
            </w:r>
          </w:p>
        </w:tc>
        <w:tc>
          <w:tcPr>
            <w:tcW w:w="992" w:type="dxa"/>
            <w:tcBorders>
              <w:top w:val="single" w:sz="4" w:space="0" w:color="auto"/>
              <w:left w:val="nil"/>
              <w:bottom w:val="nil"/>
              <w:right w:val="single" w:sz="4" w:space="0" w:color="auto"/>
            </w:tcBorders>
            <w:shd w:val="clear" w:color="auto" w:fill="auto"/>
            <w:vAlign w:val="center"/>
            <w:hideMark/>
          </w:tcPr>
          <w:p w:rsidR="00474AE1" w:rsidRPr="00474AE1" w:rsidRDefault="00474AE1" w:rsidP="00474AE1">
            <w:pPr>
              <w:jc w:val="right"/>
              <w:rPr>
                <w:color w:val="000000"/>
                <w:sz w:val="22"/>
                <w:szCs w:val="22"/>
                <w:lang w:eastAsia="en-GB"/>
              </w:rPr>
            </w:pPr>
            <w:r w:rsidRPr="00474AE1">
              <w:rPr>
                <w:color w:val="000000"/>
                <w:sz w:val="22"/>
                <w:szCs w:val="22"/>
                <w:lang w:eastAsia="en-GB"/>
              </w:rPr>
              <w:t xml:space="preserve">            2.7 </w:t>
            </w:r>
          </w:p>
        </w:tc>
      </w:tr>
      <w:tr w:rsidR="00474AE1" w:rsidRPr="00474AE1" w:rsidTr="008143B2">
        <w:trPr>
          <w:trHeight w:val="570"/>
        </w:trPr>
        <w:tc>
          <w:tcPr>
            <w:tcW w:w="3820" w:type="dxa"/>
            <w:gridSpan w:val="4"/>
            <w:tcBorders>
              <w:top w:val="nil"/>
              <w:left w:val="single" w:sz="4" w:space="0" w:color="auto"/>
              <w:bottom w:val="nil"/>
              <w:right w:val="single" w:sz="4" w:space="0" w:color="auto"/>
            </w:tcBorders>
            <w:shd w:val="clear" w:color="auto" w:fill="auto"/>
            <w:vAlign w:val="center"/>
            <w:hideMark/>
          </w:tcPr>
          <w:p w:rsidR="00474AE1" w:rsidRPr="00474AE1" w:rsidRDefault="00474AE1" w:rsidP="00474AE1">
            <w:pPr>
              <w:jc w:val="both"/>
              <w:rPr>
                <w:i/>
                <w:color w:val="000000"/>
                <w:sz w:val="22"/>
                <w:szCs w:val="22"/>
                <w:lang w:eastAsia="en-GB"/>
              </w:rPr>
            </w:pPr>
            <w:r w:rsidRPr="00474AE1">
              <w:rPr>
                <w:i/>
                <w:color w:val="000000"/>
                <w:sz w:val="22"/>
                <w:szCs w:val="22"/>
                <w:lang w:eastAsia="en-GB"/>
              </w:rPr>
              <w:t>of which cost to Business (£) is</w:t>
            </w:r>
          </w:p>
        </w:tc>
        <w:tc>
          <w:tcPr>
            <w:tcW w:w="980" w:type="dxa"/>
            <w:tcBorders>
              <w:top w:val="nil"/>
              <w:left w:val="nil"/>
              <w:bottom w:val="nil"/>
              <w:right w:val="single" w:sz="4" w:space="0" w:color="auto"/>
            </w:tcBorders>
            <w:shd w:val="clear" w:color="auto" w:fill="auto"/>
            <w:vAlign w:val="center"/>
            <w:hideMark/>
          </w:tcPr>
          <w:p w:rsidR="00474AE1" w:rsidRPr="00474AE1" w:rsidRDefault="00474AE1" w:rsidP="00474AE1">
            <w:pPr>
              <w:jc w:val="right"/>
              <w:rPr>
                <w:i/>
                <w:color w:val="000000"/>
                <w:sz w:val="22"/>
                <w:szCs w:val="22"/>
                <w:lang w:eastAsia="en-GB"/>
              </w:rPr>
            </w:pPr>
            <w:r w:rsidRPr="00474AE1">
              <w:rPr>
                <w:i/>
                <w:color w:val="000000"/>
                <w:sz w:val="22"/>
                <w:szCs w:val="22"/>
                <w:lang w:eastAsia="en-GB"/>
              </w:rPr>
              <w:t xml:space="preserve">            1.3 </w:t>
            </w:r>
          </w:p>
        </w:tc>
        <w:tc>
          <w:tcPr>
            <w:tcW w:w="1017" w:type="dxa"/>
            <w:tcBorders>
              <w:top w:val="nil"/>
              <w:left w:val="nil"/>
              <w:bottom w:val="nil"/>
              <w:right w:val="single" w:sz="4" w:space="0" w:color="auto"/>
            </w:tcBorders>
            <w:shd w:val="clear" w:color="auto" w:fill="auto"/>
            <w:vAlign w:val="center"/>
            <w:hideMark/>
          </w:tcPr>
          <w:p w:rsidR="00474AE1" w:rsidRPr="00474AE1" w:rsidRDefault="00474AE1" w:rsidP="00474AE1">
            <w:pPr>
              <w:jc w:val="right"/>
              <w:rPr>
                <w:i/>
                <w:color w:val="000000"/>
                <w:sz w:val="22"/>
                <w:szCs w:val="22"/>
                <w:lang w:eastAsia="en-GB"/>
              </w:rPr>
            </w:pPr>
            <w:r w:rsidRPr="00474AE1">
              <w:rPr>
                <w:i/>
                <w:color w:val="000000"/>
                <w:sz w:val="22"/>
                <w:szCs w:val="22"/>
                <w:lang w:eastAsia="en-GB"/>
              </w:rPr>
              <w:t xml:space="preserve">            1.3 </w:t>
            </w:r>
          </w:p>
        </w:tc>
        <w:tc>
          <w:tcPr>
            <w:tcW w:w="992" w:type="dxa"/>
            <w:tcBorders>
              <w:top w:val="nil"/>
              <w:left w:val="nil"/>
              <w:bottom w:val="nil"/>
              <w:right w:val="single" w:sz="4" w:space="0" w:color="auto"/>
            </w:tcBorders>
            <w:shd w:val="clear" w:color="auto" w:fill="auto"/>
            <w:vAlign w:val="center"/>
            <w:hideMark/>
          </w:tcPr>
          <w:p w:rsidR="00474AE1" w:rsidRPr="00474AE1" w:rsidRDefault="00474AE1" w:rsidP="00474AE1">
            <w:pPr>
              <w:jc w:val="right"/>
              <w:rPr>
                <w:i/>
                <w:color w:val="000000"/>
                <w:sz w:val="22"/>
                <w:szCs w:val="22"/>
                <w:lang w:eastAsia="en-GB"/>
              </w:rPr>
            </w:pPr>
            <w:r w:rsidRPr="00474AE1">
              <w:rPr>
                <w:i/>
                <w:color w:val="000000"/>
                <w:sz w:val="22"/>
                <w:szCs w:val="22"/>
                <w:lang w:eastAsia="en-GB"/>
              </w:rPr>
              <w:t xml:space="preserve">            1.3 </w:t>
            </w:r>
          </w:p>
        </w:tc>
        <w:tc>
          <w:tcPr>
            <w:tcW w:w="992" w:type="dxa"/>
            <w:tcBorders>
              <w:top w:val="nil"/>
              <w:left w:val="nil"/>
              <w:bottom w:val="nil"/>
              <w:right w:val="single" w:sz="4" w:space="0" w:color="auto"/>
            </w:tcBorders>
            <w:shd w:val="clear" w:color="auto" w:fill="auto"/>
            <w:vAlign w:val="center"/>
            <w:hideMark/>
          </w:tcPr>
          <w:p w:rsidR="00474AE1" w:rsidRPr="00474AE1" w:rsidRDefault="00474AE1" w:rsidP="00474AE1">
            <w:pPr>
              <w:jc w:val="right"/>
              <w:rPr>
                <w:i/>
                <w:color w:val="000000"/>
                <w:sz w:val="22"/>
                <w:szCs w:val="22"/>
                <w:lang w:eastAsia="en-GB"/>
              </w:rPr>
            </w:pPr>
            <w:r w:rsidRPr="00474AE1">
              <w:rPr>
                <w:i/>
                <w:color w:val="000000"/>
                <w:sz w:val="22"/>
                <w:szCs w:val="22"/>
                <w:lang w:eastAsia="en-GB"/>
              </w:rPr>
              <w:t xml:space="preserve">            1.3 </w:t>
            </w:r>
          </w:p>
        </w:tc>
        <w:tc>
          <w:tcPr>
            <w:tcW w:w="993" w:type="dxa"/>
            <w:tcBorders>
              <w:top w:val="nil"/>
              <w:left w:val="nil"/>
              <w:bottom w:val="nil"/>
              <w:right w:val="single" w:sz="4" w:space="0" w:color="auto"/>
            </w:tcBorders>
            <w:shd w:val="clear" w:color="auto" w:fill="auto"/>
            <w:vAlign w:val="center"/>
            <w:hideMark/>
          </w:tcPr>
          <w:p w:rsidR="00474AE1" w:rsidRPr="00474AE1" w:rsidRDefault="00474AE1" w:rsidP="00474AE1">
            <w:pPr>
              <w:jc w:val="right"/>
              <w:rPr>
                <w:i/>
                <w:color w:val="000000"/>
                <w:sz w:val="22"/>
                <w:szCs w:val="22"/>
                <w:lang w:eastAsia="en-GB"/>
              </w:rPr>
            </w:pPr>
            <w:r w:rsidRPr="00474AE1">
              <w:rPr>
                <w:i/>
                <w:color w:val="000000"/>
                <w:sz w:val="22"/>
                <w:szCs w:val="22"/>
                <w:lang w:eastAsia="en-GB"/>
              </w:rPr>
              <w:t xml:space="preserve">            1.3 </w:t>
            </w:r>
          </w:p>
        </w:tc>
        <w:tc>
          <w:tcPr>
            <w:tcW w:w="992" w:type="dxa"/>
            <w:tcBorders>
              <w:top w:val="nil"/>
              <w:left w:val="nil"/>
              <w:bottom w:val="nil"/>
              <w:right w:val="single" w:sz="4" w:space="0" w:color="auto"/>
            </w:tcBorders>
            <w:shd w:val="clear" w:color="auto" w:fill="auto"/>
            <w:vAlign w:val="center"/>
            <w:hideMark/>
          </w:tcPr>
          <w:p w:rsidR="00474AE1" w:rsidRPr="00474AE1" w:rsidRDefault="00474AE1" w:rsidP="00474AE1">
            <w:pPr>
              <w:jc w:val="right"/>
              <w:rPr>
                <w:i/>
                <w:color w:val="000000"/>
                <w:sz w:val="22"/>
                <w:szCs w:val="22"/>
                <w:lang w:eastAsia="en-GB"/>
              </w:rPr>
            </w:pPr>
            <w:r w:rsidRPr="00474AE1">
              <w:rPr>
                <w:i/>
                <w:color w:val="000000"/>
                <w:sz w:val="22"/>
                <w:szCs w:val="22"/>
                <w:lang w:eastAsia="en-GB"/>
              </w:rPr>
              <w:t xml:space="preserve">            1.3 </w:t>
            </w:r>
          </w:p>
        </w:tc>
      </w:tr>
      <w:tr w:rsidR="00474AE1" w:rsidRPr="00474AE1" w:rsidTr="008143B2">
        <w:trPr>
          <w:trHeight w:val="570"/>
        </w:trPr>
        <w:tc>
          <w:tcPr>
            <w:tcW w:w="3820" w:type="dxa"/>
            <w:gridSpan w:val="4"/>
            <w:tcBorders>
              <w:top w:val="nil"/>
              <w:left w:val="single" w:sz="4" w:space="0" w:color="auto"/>
              <w:bottom w:val="single" w:sz="4" w:space="0" w:color="auto"/>
              <w:right w:val="single" w:sz="4" w:space="0" w:color="auto"/>
            </w:tcBorders>
            <w:shd w:val="clear" w:color="auto" w:fill="auto"/>
            <w:vAlign w:val="center"/>
            <w:hideMark/>
          </w:tcPr>
          <w:p w:rsidR="00474AE1" w:rsidRPr="00474AE1" w:rsidRDefault="00474AE1" w:rsidP="00474AE1">
            <w:pPr>
              <w:jc w:val="both"/>
              <w:rPr>
                <w:i/>
                <w:color w:val="000000"/>
                <w:sz w:val="22"/>
                <w:szCs w:val="22"/>
                <w:lang w:eastAsia="en-GB"/>
              </w:rPr>
            </w:pPr>
            <w:r w:rsidRPr="00474AE1">
              <w:rPr>
                <w:i/>
                <w:color w:val="000000"/>
                <w:sz w:val="22"/>
                <w:szCs w:val="22"/>
                <w:lang w:eastAsia="en-GB"/>
              </w:rPr>
              <w:t>of which cost to non-Business (£) is</w:t>
            </w:r>
          </w:p>
        </w:tc>
        <w:tc>
          <w:tcPr>
            <w:tcW w:w="980" w:type="dxa"/>
            <w:tcBorders>
              <w:top w:val="nil"/>
              <w:left w:val="nil"/>
              <w:bottom w:val="single" w:sz="4" w:space="0" w:color="auto"/>
              <w:right w:val="single" w:sz="4" w:space="0" w:color="auto"/>
            </w:tcBorders>
            <w:shd w:val="clear" w:color="auto" w:fill="auto"/>
            <w:vAlign w:val="center"/>
            <w:hideMark/>
          </w:tcPr>
          <w:p w:rsidR="00474AE1" w:rsidRPr="00474AE1" w:rsidRDefault="00474AE1" w:rsidP="00474AE1">
            <w:pPr>
              <w:jc w:val="right"/>
              <w:rPr>
                <w:i/>
                <w:color w:val="000000"/>
                <w:sz w:val="22"/>
                <w:szCs w:val="22"/>
                <w:lang w:eastAsia="en-GB"/>
              </w:rPr>
            </w:pPr>
            <w:r w:rsidRPr="00474AE1">
              <w:rPr>
                <w:i/>
                <w:color w:val="000000"/>
                <w:sz w:val="22"/>
                <w:szCs w:val="22"/>
                <w:lang w:eastAsia="en-GB"/>
              </w:rPr>
              <w:t xml:space="preserve">            1.3 </w:t>
            </w:r>
          </w:p>
        </w:tc>
        <w:tc>
          <w:tcPr>
            <w:tcW w:w="1017" w:type="dxa"/>
            <w:tcBorders>
              <w:top w:val="nil"/>
              <w:left w:val="nil"/>
              <w:bottom w:val="single" w:sz="4" w:space="0" w:color="auto"/>
              <w:right w:val="single" w:sz="4" w:space="0" w:color="auto"/>
            </w:tcBorders>
            <w:shd w:val="clear" w:color="auto" w:fill="auto"/>
            <w:vAlign w:val="center"/>
            <w:hideMark/>
          </w:tcPr>
          <w:p w:rsidR="00474AE1" w:rsidRPr="00474AE1" w:rsidRDefault="00474AE1" w:rsidP="00474AE1">
            <w:pPr>
              <w:jc w:val="right"/>
              <w:rPr>
                <w:i/>
                <w:color w:val="000000"/>
                <w:sz w:val="22"/>
                <w:szCs w:val="22"/>
                <w:lang w:eastAsia="en-GB"/>
              </w:rPr>
            </w:pPr>
            <w:r w:rsidRPr="00474AE1">
              <w:rPr>
                <w:i/>
                <w:color w:val="000000"/>
                <w:sz w:val="22"/>
                <w:szCs w:val="22"/>
                <w:lang w:eastAsia="en-GB"/>
              </w:rPr>
              <w:t xml:space="preserve">            1.3 </w:t>
            </w:r>
          </w:p>
        </w:tc>
        <w:tc>
          <w:tcPr>
            <w:tcW w:w="992" w:type="dxa"/>
            <w:tcBorders>
              <w:top w:val="nil"/>
              <w:left w:val="nil"/>
              <w:bottom w:val="single" w:sz="4" w:space="0" w:color="auto"/>
              <w:right w:val="single" w:sz="4" w:space="0" w:color="auto"/>
            </w:tcBorders>
            <w:shd w:val="clear" w:color="auto" w:fill="auto"/>
            <w:vAlign w:val="center"/>
            <w:hideMark/>
          </w:tcPr>
          <w:p w:rsidR="00474AE1" w:rsidRPr="00474AE1" w:rsidRDefault="00474AE1" w:rsidP="00474AE1">
            <w:pPr>
              <w:jc w:val="right"/>
              <w:rPr>
                <w:i/>
                <w:color w:val="000000"/>
                <w:sz w:val="22"/>
                <w:szCs w:val="22"/>
                <w:lang w:eastAsia="en-GB"/>
              </w:rPr>
            </w:pPr>
            <w:r w:rsidRPr="00474AE1">
              <w:rPr>
                <w:i/>
                <w:color w:val="000000"/>
                <w:sz w:val="22"/>
                <w:szCs w:val="22"/>
                <w:lang w:eastAsia="en-GB"/>
              </w:rPr>
              <w:t xml:space="preserve">            1.3 </w:t>
            </w:r>
          </w:p>
        </w:tc>
        <w:tc>
          <w:tcPr>
            <w:tcW w:w="992" w:type="dxa"/>
            <w:tcBorders>
              <w:top w:val="nil"/>
              <w:left w:val="nil"/>
              <w:bottom w:val="single" w:sz="4" w:space="0" w:color="auto"/>
              <w:right w:val="single" w:sz="4" w:space="0" w:color="auto"/>
            </w:tcBorders>
            <w:shd w:val="clear" w:color="auto" w:fill="auto"/>
            <w:vAlign w:val="center"/>
            <w:hideMark/>
          </w:tcPr>
          <w:p w:rsidR="00474AE1" w:rsidRPr="00474AE1" w:rsidRDefault="00474AE1" w:rsidP="00474AE1">
            <w:pPr>
              <w:jc w:val="right"/>
              <w:rPr>
                <w:i/>
                <w:color w:val="000000"/>
                <w:sz w:val="22"/>
                <w:szCs w:val="22"/>
                <w:lang w:eastAsia="en-GB"/>
              </w:rPr>
            </w:pPr>
            <w:r w:rsidRPr="00474AE1">
              <w:rPr>
                <w:i/>
                <w:color w:val="000000"/>
                <w:sz w:val="22"/>
                <w:szCs w:val="22"/>
                <w:lang w:eastAsia="en-GB"/>
              </w:rPr>
              <w:t xml:space="preserve">            1.3 </w:t>
            </w:r>
          </w:p>
        </w:tc>
        <w:tc>
          <w:tcPr>
            <w:tcW w:w="993" w:type="dxa"/>
            <w:tcBorders>
              <w:top w:val="nil"/>
              <w:left w:val="nil"/>
              <w:bottom w:val="single" w:sz="4" w:space="0" w:color="auto"/>
              <w:right w:val="single" w:sz="4" w:space="0" w:color="auto"/>
            </w:tcBorders>
            <w:shd w:val="clear" w:color="auto" w:fill="auto"/>
            <w:vAlign w:val="center"/>
            <w:hideMark/>
          </w:tcPr>
          <w:p w:rsidR="00474AE1" w:rsidRPr="00474AE1" w:rsidRDefault="00474AE1" w:rsidP="00474AE1">
            <w:pPr>
              <w:jc w:val="right"/>
              <w:rPr>
                <w:i/>
                <w:color w:val="000000"/>
                <w:sz w:val="22"/>
                <w:szCs w:val="22"/>
                <w:lang w:eastAsia="en-GB"/>
              </w:rPr>
            </w:pPr>
            <w:r w:rsidRPr="00474AE1">
              <w:rPr>
                <w:i/>
                <w:color w:val="000000"/>
                <w:sz w:val="22"/>
                <w:szCs w:val="22"/>
                <w:lang w:eastAsia="en-GB"/>
              </w:rPr>
              <w:t xml:space="preserve">            1.3 </w:t>
            </w:r>
          </w:p>
        </w:tc>
        <w:tc>
          <w:tcPr>
            <w:tcW w:w="992" w:type="dxa"/>
            <w:tcBorders>
              <w:top w:val="nil"/>
              <w:left w:val="nil"/>
              <w:bottom w:val="single" w:sz="4" w:space="0" w:color="auto"/>
              <w:right w:val="single" w:sz="4" w:space="0" w:color="auto"/>
            </w:tcBorders>
            <w:shd w:val="clear" w:color="auto" w:fill="auto"/>
            <w:vAlign w:val="center"/>
            <w:hideMark/>
          </w:tcPr>
          <w:p w:rsidR="00474AE1" w:rsidRPr="00474AE1" w:rsidRDefault="00474AE1" w:rsidP="00474AE1">
            <w:pPr>
              <w:jc w:val="right"/>
              <w:rPr>
                <w:i/>
                <w:color w:val="000000"/>
                <w:sz w:val="22"/>
                <w:szCs w:val="22"/>
                <w:lang w:eastAsia="en-GB"/>
              </w:rPr>
            </w:pPr>
            <w:r w:rsidRPr="00474AE1">
              <w:rPr>
                <w:i/>
                <w:color w:val="000000"/>
                <w:sz w:val="22"/>
                <w:szCs w:val="22"/>
                <w:lang w:eastAsia="en-GB"/>
              </w:rPr>
              <w:t xml:space="preserve">            1.3 </w:t>
            </w:r>
          </w:p>
        </w:tc>
      </w:tr>
      <w:tr w:rsidR="00474AE1" w:rsidRPr="00474AE1" w:rsidTr="008143B2">
        <w:trPr>
          <w:trHeight w:val="300"/>
        </w:trPr>
        <w:tc>
          <w:tcPr>
            <w:tcW w:w="3820" w:type="dxa"/>
            <w:gridSpan w:val="4"/>
            <w:tcBorders>
              <w:top w:val="nil"/>
              <w:left w:val="single" w:sz="4" w:space="0" w:color="auto"/>
              <w:bottom w:val="single" w:sz="4" w:space="0" w:color="auto"/>
              <w:right w:val="nil"/>
            </w:tcBorders>
            <w:shd w:val="clear" w:color="auto" w:fill="auto"/>
            <w:vAlign w:val="center"/>
            <w:hideMark/>
          </w:tcPr>
          <w:p w:rsidR="00474AE1" w:rsidRPr="00474AE1" w:rsidRDefault="00474AE1" w:rsidP="00474AE1">
            <w:pPr>
              <w:jc w:val="both"/>
              <w:rPr>
                <w:color w:val="000000"/>
                <w:sz w:val="22"/>
                <w:szCs w:val="22"/>
                <w:lang w:eastAsia="en-GB"/>
              </w:rPr>
            </w:pPr>
            <w:r w:rsidRPr="00474AE1">
              <w:rPr>
                <w:color w:val="000000"/>
                <w:sz w:val="22"/>
                <w:szCs w:val="22"/>
                <w:lang w:eastAsia="en-GB"/>
              </w:rPr>
              <w:t>Savings to LPA (£)</w:t>
            </w:r>
          </w:p>
        </w:tc>
        <w:tc>
          <w:tcPr>
            <w:tcW w:w="980" w:type="dxa"/>
            <w:tcBorders>
              <w:top w:val="nil"/>
              <w:left w:val="single" w:sz="4" w:space="0" w:color="auto"/>
              <w:bottom w:val="single" w:sz="4" w:space="0" w:color="auto"/>
              <w:right w:val="single" w:sz="4" w:space="0" w:color="auto"/>
            </w:tcBorders>
            <w:shd w:val="clear" w:color="auto" w:fill="auto"/>
            <w:vAlign w:val="center"/>
            <w:hideMark/>
          </w:tcPr>
          <w:p w:rsidR="00474AE1" w:rsidRPr="00474AE1" w:rsidRDefault="00474AE1" w:rsidP="00474AE1">
            <w:pPr>
              <w:jc w:val="right"/>
              <w:rPr>
                <w:color w:val="000000"/>
                <w:sz w:val="22"/>
                <w:szCs w:val="22"/>
                <w:lang w:eastAsia="en-GB"/>
              </w:rPr>
            </w:pPr>
            <w:r w:rsidRPr="00474AE1">
              <w:rPr>
                <w:color w:val="000000"/>
                <w:sz w:val="22"/>
                <w:szCs w:val="22"/>
                <w:lang w:eastAsia="en-GB"/>
              </w:rPr>
              <w:t xml:space="preserve">            2.7 </w:t>
            </w:r>
          </w:p>
        </w:tc>
        <w:tc>
          <w:tcPr>
            <w:tcW w:w="1017" w:type="dxa"/>
            <w:tcBorders>
              <w:top w:val="nil"/>
              <w:left w:val="nil"/>
              <w:bottom w:val="single" w:sz="4" w:space="0" w:color="auto"/>
              <w:right w:val="single" w:sz="4" w:space="0" w:color="auto"/>
            </w:tcBorders>
            <w:shd w:val="clear" w:color="auto" w:fill="auto"/>
            <w:vAlign w:val="center"/>
            <w:hideMark/>
          </w:tcPr>
          <w:p w:rsidR="00474AE1" w:rsidRPr="00474AE1" w:rsidRDefault="00474AE1" w:rsidP="00474AE1">
            <w:pPr>
              <w:jc w:val="right"/>
              <w:rPr>
                <w:color w:val="000000"/>
                <w:sz w:val="22"/>
                <w:szCs w:val="22"/>
                <w:lang w:eastAsia="en-GB"/>
              </w:rPr>
            </w:pPr>
            <w:r w:rsidRPr="00474AE1">
              <w:rPr>
                <w:color w:val="000000"/>
                <w:sz w:val="22"/>
                <w:szCs w:val="22"/>
                <w:lang w:eastAsia="en-GB"/>
              </w:rPr>
              <w:t xml:space="preserve">            2.7 </w:t>
            </w:r>
          </w:p>
        </w:tc>
        <w:tc>
          <w:tcPr>
            <w:tcW w:w="992" w:type="dxa"/>
            <w:tcBorders>
              <w:top w:val="nil"/>
              <w:left w:val="nil"/>
              <w:bottom w:val="single" w:sz="4" w:space="0" w:color="auto"/>
              <w:right w:val="single" w:sz="4" w:space="0" w:color="auto"/>
            </w:tcBorders>
            <w:shd w:val="clear" w:color="auto" w:fill="auto"/>
            <w:vAlign w:val="center"/>
            <w:hideMark/>
          </w:tcPr>
          <w:p w:rsidR="00474AE1" w:rsidRPr="00474AE1" w:rsidRDefault="00474AE1" w:rsidP="00474AE1">
            <w:pPr>
              <w:jc w:val="right"/>
              <w:rPr>
                <w:color w:val="000000"/>
                <w:sz w:val="22"/>
                <w:szCs w:val="22"/>
                <w:lang w:eastAsia="en-GB"/>
              </w:rPr>
            </w:pPr>
            <w:r w:rsidRPr="00474AE1">
              <w:rPr>
                <w:color w:val="000000"/>
                <w:sz w:val="22"/>
                <w:szCs w:val="22"/>
                <w:lang w:eastAsia="en-GB"/>
              </w:rPr>
              <w:t xml:space="preserve">            2.7 </w:t>
            </w:r>
          </w:p>
        </w:tc>
        <w:tc>
          <w:tcPr>
            <w:tcW w:w="992" w:type="dxa"/>
            <w:tcBorders>
              <w:top w:val="nil"/>
              <w:left w:val="nil"/>
              <w:bottom w:val="single" w:sz="4" w:space="0" w:color="auto"/>
              <w:right w:val="single" w:sz="4" w:space="0" w:color="auto"/>
            </w:tcBorders>
            <w:shd w:val="clear" w:color="auto" w:fill="auto"/>
            <w:vAlign w:val="center"/>
            <w:hideMark/>
          </w:tcPr>
          <w:p w:rsidR="00474AE1" w:rsidRPr="00474AE1" w:rsidRDefault="00474AE1" w:rsidP="00474AE1">
            <w:pPr>
              <w:jc w:val="right"/>
              <w:rPr>
                <w:color w:val="000000"/>
                <w:sz w:val="22"/>
                <w:szCs w:val="22"/>
                <w:lang w:eastAsia="en-GB"/>
              </w:rPr>
            </w:pPr>
            <w:r w:rsidRPr="00474AE1">
              <w:rPr>
                <w:color w:val="000000"/>
                <w:sz w:val="22"/>
                <w:szCs w:val="22"/>
                <w:lang w:eastAsia="en-GB"/>
              </w:rPr>
              <w:t xml:space="preserve">            2.7 </w:t>
            </w:r>
          </w:p>
        </w:tc>
        <w:tc>
          <w:tcPr>
            <w:tcW w:w="993" w:type="dxa"/>
            <w:tcBorders>
              <w:top w:val="nil"/>
              <w:left w:val="nil"/>
              <w:bottom w:val="single" w:sz="4" w:space="0" w:color="auto"/>
              <w:right w:val="single" w:sz="4" w:space="0" w:color="auto"/>
            </w:tcBorders>
            <w:shd w:val="clear" w:color="auto" w:fill="auto"/>
            <w:vAlign w:val="center"/>
            <w:hideMark/>
          </w:tcPr>
          <w:p w:rsidR="00474AE1" w:rsidRPr="00474AE1" w:rsidRDefault="00474AE1" w:rsidP="00474AE1">
            <w:pPr>
              <w:jc w:val="right"/>
              <w:rPr>
                <w:color w:val="000000"/>
                <w:sz w:val="22"/>
                <w:szCs w:val="22"/>
                <w:lang w:eastAsia="en-GB"/>
              </w:rPr>
            </w:pPr>
            <w:r w:rsidRPr="00474AE1">
              <w:rPr>
                <w:color w:val="000000"/>
                <w:sz w:val="22"/>
                <w:szCs w:val="22"/>
                <w:lang w:eastAsia="en-GB"/>
              </w:rPr>
              <w:t xml:space="preserve">            2.7 </w:t>
            </w:r>
          </w:p>
        </w:tc>
        <w:tc>
          <w:tcPr>
            <w:tcW w:w="992" w:type="dxa"/>
            <w:tcBorders>
              <w:top w:val="nil"/>
              <w:left w:val="nil"/>
              <w:bottom w:val="single" w:sz="4" w:space="0" w:color="auto"/>
              <w:right w:val="single" w:sz="4" w:space="0" w:color="auto"/>
            </w:tcBorders>
            <w:shd w:val="clear" w:color="auto" w:fill="auto"/>
            <w:vAlign w:val="center"/>
            <w:hideMark/>
          </w:tcPr>
          <w:p w:rsidR="00474AE1" w:rsidRPr="00474AE1" w:rsidRDefault="00474AE1" w:rsidP="00474AE1">
            <w:pPr>
              <w:jc w:val="right"/>
              <w:rPr>
                <w:color w:val="000000"/>
                <w:sz w:val="22"/>
                <w:szCs w:val="22"/>
                <w:lang w:eastAsia="en-GB"/>
              </w:rPr>
            </w:pPr>
            <w:r w:rsidRPr="00474AE1">
              <w:rPr>
                <w:color w:val="000000"/>
                <w:sz w:val="22"/>
                <w:szCs w:val="22"/>
                <w:lang w:eastAsia="en-GB"/>
              </w:rPr>
              <w:t xml:space="preserve">            2.7 </w:t>
            </w:r>
          </w:p>
        </w:tc>
      </w:tr>
      <w:tr w:rsidR="00474AE1" w:rsidRPr="00474AE1" w:rsidTr="008143B2">
        <w:trPr>
          <w:gridAfter w:val="5"/>
          <w:wAfter w:w="4986" w:type="dxa"/>
          <w:trHeight w:val="300"/>
        </w:trPr>
        <w:tc>
          <w:tcPr>
            <w:tcW w:w="1200" w:type="dxa"/>
            <w:tcBorders>
              <w:top w:val="single" w:sz="4" w:space="0" w:color="auto"/>
              <w:left w:val="single" w:sz="4" w:space="0" w:color="auto"/>
              <w:bottom w:val="nil"/>
              <w:right w:val="single" w:sz="4" w:space="0" w:color="auto"/>
            </w:tcBorders>
            <w:shd w:val="clear" w:color="auto" w:fill="auto"/>
            <w:vAlign w:val="center"/>
            <w:hideMark/>
          </w:tcPr>
          <w:p w:rsidR="00474AE1" w:rsidRPr="00474AE1" w:rsidRDefault="00474AE1" w:rsidP="00474AE1">
            <w:pPr>
              <w:jc w:val="right"/>
              <w:rPr>
                <w:b/>
                <w:bCs/>
                <w:color w:val="000000"/>
                <w:sz w:val="22"/>
                <w:szCs w:val="22"/>
                <w:lang w:eastAsia="en-GB"/>
              </w:rPr>
            </w:pPr>
            <w:r w:rsidRPr="00474AE1">
              <w:rPr>
                <w:b/>
                <w:bCs/>
                <w:color w:val="000000"/>
                <w:sz w:val="22"/>
                <w:szCs w:val="22"/>
                <w:lang w:eastAsia="en-GB"/>
              </w:rPr>
              <w:t xml:space="preserve">Year 6 </w:t>
            </w:r>
          </w:p>
        </w:tc>
        <w:tc>
          <w:tcPr>
            <w:tcW w:w="1200" w:type="dxa"/>
            <w:tcBorders>
              <w:top w:val="single" w:sz="4" w:space="0" w:color="auto"/>
              <w:left w:val="nil"/>
              <w:bottom w:val="nil"/>
              <w:right w:val="single" w:sz="4" w:space="0" w:color="auto"/>
            </w:tcBorders>
            <w:shd w:val="clear" w:color="auto" w:fill="auto"/>
            <w:vAlign w:val="center"/>
            <w:hideMark/>
          </w:tcPr>
          <w:p w:rsidR="00474AE1" w:rsidRPr="00474AE1" w:rsidRDefault="00474AE1" w:rsidP="00474AE1">
            <w:pPr>
              <w:jc w:val="right"/>
              <w:rPr>
                <w:b/>
                <w:bCs/>
                <w:color w:val="000000"/>
                <w:sz w:val="22"/>
                <w:szCs w:val="22"/>
                <w:lang w:eastAsia="en-GB"/>
              </w:rPr>
            </w:pPr>
            <w:r w:rsidRPr="00474AE1">
              <w:rPr>
                <w:b/>
                <w:bCs/>
                <w:color w:val="000000"/>
                <w:sz w:val="22"/>
                <w:szCs w:val="22"/>
                <w:lang w:eastAsia="en-GB"/>
              </w:rPr>
              <w:t xml:space="preserve"> Year 7 </w:t>
            </w:r>
          </w:p>
        </w:tc>
        <w:tc>
          <w:tcPr>
            <w:tcW w:w="1200" w:type="dxa"/>
            <w:tcBorders>
              <w:top w:val="single" w:sz="4" w:space="0" w:color="auto"/>
              <w:left w:val="nil"/>
              <w:bottom w:val="nil"/>
              <w:right w:val="single" w:sz="4" w:space="0" w:color="auto"/>
            </w:tcBorders>
            <w:shd w:val="clear" w:color="auto" w:fill="auto"/>
            <w:vAlign w:val="center"/>
            <w:hideMark/>
          </w:tcPr>
          <w:p w:rsidR="00474AE1" w:rsidRPr="00474AE1" w:rsidRDefault="00474AE1" w:rsidP="00474AE1">
            <w:pPr>
              <w:jc w:val="right"/>
              <w:rPr>
                <w:b/>
                <w:bCs/>
                <w:color w:val="000000"/>
                <w:sz w:val="22"/>
                <w:szCs w:val="22"/>
                <w:lang w:eastAsia="en-GB"/>
              </w:rPr>
            </w:pPr>
            <w:r w:rsidRPr="00474AE1">
              <w:rPr>
                <w:b/>
                <w:bCs/>
                <w:color w:val="000000"/>
                <w:sz w:val="22"/>
                <w:szCs w:val="22"/>
                <w:lang w:eastAsia="en-GB"/>
              </w:rPr>
              <w:t xml:space="preserve"> Year 8 </w:t>
            </w:r>
          </w:p>
        </w:tc>
        <w:tc>
          <w:tcPr>
            <w:tcW w:w="1200" w:type="dxa"/>
            <w:gridSpan w:val="2"/>
            <w:tcBorders>
              <w:top w:val="single" w:sz="4" w:space="0" w:color="auto"/>
              <w:left w:val="nil"/>
              <w:bottom w:val="nil"/>
              <w:right w:val="single" w:sz="4" w:space="0" w:color="auto"/>
            </w:tcBorders>
            <w:shd w:val="clear" w:color="auto" w:fill="auto"/>
            <w:vAlign w:val="center"/>
            <w:hideMark/>
          </w:tcPr>
          <w:p w:rsidR="00474AE1" w:rsidRPr="00474AE1" w:rsidRDefault="00474AE1" w:rsidP="00474AE1">
            <w:pPr>
              <w:jc w:val="right"/>
              <w:rPr>
                <w:b/>
                <w:bCs/>
                <w:color w:val="000000"/>
                <w:sz w:val="22"/>
                <w:szCs w:val="22"/>
                <w:lang w:eastAsia="en-GB"/>
              </w:rPr>
            </w:pPr>
            <w:r w:rsidRPr="00474AE1">
              <w:rPr>
                <w:b/>
                <w:bCs/>
                <w:color w:val="000000"/>
                <w:sz w:val="22"/>
                <w:szCs w:val="22"/>
                <w:lang w:eastAsia="en-GB"/>
              </w:rPr>
              <w:t xml:space="preserve"> Year 9 </w:t>
            </w:r>
          </w:p>
        </w:tc>
      </w:tr>
      <w:tr w:rsidR="00474AE1" w:rsidRPr="00474AE1" w:rsidTr="008143B2">
        <w:trPr>
          <w:gridAfter w:val="5"/>
          <w:wAfter w:w="4986" w:type="dxa"/>
          <w:trHeight w:val="570"/>
        </w:trPr>
        <w:tc>
          <w:tcPr>
            <w:tcW w:w="1200" w:type="dxa"/>
            <w:tcBorders>
              <w:top w:val="single" w:sz="4" w:space="0" w:color="auto"/>
              <w:left w:val="single" w:sz="4" w:space="0" w:color="auto"/>
              <w:bottom w:val="nil"/>
              <w:right w:val="single" w:sz="4" w:space="0" w:color="auto"/>
            </w:tcBorders>
            <w:shd w:val="clear" w:color="auto" w:fill="auto"/>
            <w:vAlign w:val="center"/>
            <w:hideMark/>
          </w:tcPr>
          <w:p w:rsidR="00474AE1" w:rsidRPr="00474AE1" w:rsidRDefault="00474AE1" w:rsidP="00474AE1">
            <w:pPr>
              <w:jc w:val="right"/>
              <w:rPr>
                <w:color w:val="000000"/>
                <w:sz w:val="22"/>
                <w:szCs w:val="22"/>
                <w:lang w:eastAsia="en-GB"/>
              </w:rPr>
            </w:pPr>
            <w:r w:rsidRPr="00474AE1">
              <w:rPr>
                <w:color w:val="000000"/>
                <w:sz w:val="22"/>
                <w:szCs w:val="22"/>
                <w:lang w:eastAsia="en-GB"/>
              </w:rPr>
              <w:t xml:space="preserve">            2.7 </w:t>
            </w:r>
          </w:p>
        </w:tc>
        <w:tc>
          <w:tcPr>
            <w:tcW w:w="1200" w:type="dxa"/>
            <w:tcBorders>
              <w:top w:val="single" w:sz="4" w:space="0" w:color="auto"/>
              <w:left w:val="nil"/>
              <w:bottom w:val="nil"/>
              <w:right w:val="single" w:sz="4" w:space="0" w:color="auto"/>
            </w:tcBorders>
            <w:shd w:val="clear" w:color="auto" w:fill="auto"/>
            <w:vAlign w:val="center"/>
            <w:hideMark/>
          </w:tcPr>
          <w:p w:rsidR="00474AE1" w:rsidRPr="00474AE1" w:rsidRDefault="00474AE1" w:rsidP="00474AE1">
            <w:pPr>
              <w:jc w:val="right"/>
              <w:rPr>
                <w:color w:val="000000"/>
                <w:sz w:val="22"/>
                <w:szCs w:val="22"/>
                <w:lang w:eastAsia="en-GB"/>
              </w:rPr>
            </w:pPr>
            <w:r w:rsidRPr="00474AE1">
              <w:rPr>
                <w:color w:val="000000"/>
                <w:sz w:val="22"/>
                <w:szCs w:val="22"/>
                <w:lang w:eastAsia="en-GB"/>
              </w:rPr>
              <w:t xml:space="preserve">            2.7 </w:t>
            </w:r>
          </w:p>
        </w:tc>
        <w:tc>
          <w:tcPr>
            <w:tcW w:w="1200" w:type="dxa"/>
            <w:tcBorders>
              <w:top w:val="single" w:sz="4" w:space="0" w:color="auto"/>
              <w:left w:val="nil"/>
              <w:bottom w:val="nil"/>
              <w:right w:val="single" w:sz="4" w:space="0" w:color="auto"/>
            </w:tcBorders>
            <w:shd w:val="clear" w:color="auto" w:fill="auto"/>
            <w:vAlign w:val="center"/>
            <w:hideMark/>
          </w:tcPr>
          <w:p w:rsidR="00474AE1" w:rsidRPr="00474AE1" w:rsidRDefault="00474AE1" w:rsidP="00474AE1">
            <w:pPr>
              <w:jc w:val="right"/>
              <w:rPr>
                <w:color w:val="000000"/>
                <w:sz w:val="22"/>
                <w:szCs w:val="22"/>
                <w:lang w:eastAsia="en-GB"/>
              </w:rPr>
            </w:pPr>
            <w:r w:rsidRPr="00474AE1">
              <w:rPr>
                <w:color w:val="000000"/>
                <w:sz w:val="22"/>
                <w:szCs w:val="22"/>
                <w:lang w:eastAsia="en-GB"/>
              </w:rPr>
              <w:t xml:space="preserve">            2.7 </w:t>
            </w:r>
          </w:p>
        </w:tc>
        <w:tc>
          <w:tcPr>
            <w:tcW w:w="1200" w:type="dxa"/>
            <w:gridSpan w:val="2"/>
            <w:tcBorders>
              <w:top w:val="single" w:sz="4" w:space="0" w:color="auto"/>
              <w:left w:val="nil"/>
              <w:bottom w:val="nil"/>
              <w:right w:val="single" w:sz="4" w:space="0" w:color="auto"/>
            </w:tcBorders>
            <w:shd w:val="clear" w:color="auto" w:fill="auto"/>
            <w:vAlign w:val="center"/>
            <w:hideMark/>
          </w:tcPr>
          <w:p w:rsidR="00474AE1" w:rsidRPr="00474AE1" w:rsidRDefault="00474AE1" w:rsidP="00474AE1">
            <w:pPr>
              <w:jc w:val="right"/>
              <w:rPr>
                <w:color w:val="000000"/>
                <w:sz w:val="22"/>
                <w:szCs w:val="22"/>
                <w:lang w:eastAsia="en-GB"/>
              </w:rPr>
            </w:pPr>
            <w:r w:rsidRPr="00474AE1">
              <w:rPr>
                <w:color w:val="000000"/>
                <w:sz w:val="22"/>
                <w:szCs w:val="22"/>
                <w:lang w:eastAsia="en-GB"/>
              </w:rPr>
              <w:t xml:space="preserve">            2.7 </w:t>
            </w:r>
          </w:p>
        </w:tc>
      </w:tr>
      <w:tr w:rsidR="00474AE1" w:rsidRPr="00474AE1" w:rsidTr="008143B2">
        <w:trPr>
          <w:gridAfter w:val="5"/>
          <w:wAfter w:w="4986" w:type="dxa"/>
          <w:trHeight w:val="570"/>
        </w:trPr>
        <w:tc>
          <w:tcPr>
            <w:tcW w:w="1200" w:type="dxa"/>
            <w:tcBorders>
              <w:top w:val="nil"/>
              <w:left w:val="single" w:sz="4" w:space="0" w:color="auto"/>
              <w:bottom w:val="nil"/>
              <w:right w:val="single" w:sz="4" w:space="0" w:color="auto"/>
            </w:tcBorders>
            <w:shd w:val="clear" w:color="auto" w:fill="auto"/>
            <w:vAlign w:val="center"/>
            <w:hideMark/>
          </w:tcPr>
          <w:p w:rsidR="00474AE1" w:rsidRPr="00474AE1" w:rsidRDefault="00474AE1" w:rsidP="00474AE1">
            <w:pPr>
              <w:jc w:val="right"/>
              <w:rPr>
                <w:i/>
                <w:color w:val="000000"/>
                <w:sz w:val="22"/>
                <w:szCs w:val="22"/>
                <w:lang w:eastAsia="en-GB"/>
              </w:rPr>
            </w:pPr>
            <w:r w:rsidRPr="00474AE1">
              <w:rPr>
                <w:i/>
                <w:color w:val="000000"/>
                <w:sz w:val="22"/>
                <w:szCs w:val="22"/>
                <w:lang w:eastAsia="en-GB"/>
              </w:rPr>
              <w:t xml:space="preserve">            1.3 </w:t>
            </w:r>
          </w:p>
        </w:tc>
        <w:tc>
          <w:tcPr>
            <w:tcW w:w="1200" w:type="dxa"/>
            <w:tcBorders>
              <w:top w:val="nil"/>
              <w:left w:val="nil"/>
              <w:bottom w:val="nil"/>
              <w:right w:val="single" w:sz="4" w:space="0" w:color="auto"/>
            </w:tcBorders>
            <w:shd w:val="clear" w:color="auto" w:fill="auto"/>
            <w:vAlign w:val="center"/>
            <w:hideMark/>
          </w:tcPr>
          <w:p w:rsidR="00474AE1" w:rsidRPr="00474AE1" w:rsidRDefault="00474AE1" w:rsidP="00474AE1">
            <w:pPr>
              <w:jc w:val="right"/>
              <w:rPr>
                <w:i/>
                <w:color w:val="000000"/>
                <w:sz w:val="22"/>
                <w:szCs w:val="22"/>
                <w:lang w:eastAsia="en-GB"/>
              </w:rPr>
            </w:pPr>
            <w:r w:rsidRPr="00474AE1">
              <w:rPr>
                <w:i/>
                <w:color w:val="000000"/>
                <w:sz w:val="22"/>
                <w:szCs w:val="22"/>
                <w:lang w:eastAsia="en-GB"/>
              </w:rPr>
              <w:t xml:space="preserve">            1.3 </w:t>
            </w:r>
          </w:p>
        </w:tc>
        <w:tc>
          <w:tcPr>
            <w:tcW w:w="1200" w:type="dxa"/>
            <w:tcBorders>
              <w:top w:val="nil"/>
              <w:left w:val="nil"/>
              <w:bottom w:val="nil"/>
              <w:right w:val="single" w:sz="4" w:space="0" w:color="auto"/>
            </w:tcBorders>
            <w:shd w:val="clear" w:color="auto" w:fill="auto"/>
            <w:vAlign w:val="center"/>
            <w:hideMark/>
          </w:tcPr>
          <w:p w:rsidR="00474AE1" w:rsidRPr="00474AE1" w:rsidRDefault="00474AE1" w:rsidP="00474AE1">
            <w:pPr>
              <w:jc w:val="right"/>
              <w:rPr>
                <w:i/>
                <w:color w:val="000000"/>
                <w:sz w:val="22"/>
                <w:szCs w:val="22"/>
                <w:lang w:eastAsia="en-GB"/>
              </w:rPr>
            </w:pPr>
            <w:r w:rsidRPr="00474AE1">
              <w:rPr>
                <w:i/>
                <w:color w:val="000000"/>
                <w:sz w:val="22"/>
                <w:szCs w:val="22"/>
                <w:lang w:eastAsia="en-GB"/>
              </w:rPr>
              <w:t xml:space="preserve">            1.3 </w:t>
            </w:r>
          </w:p>
        </w:tc>
        <w:tc>
          <w:tcPr>
            <w:tcW w:w="1200" w:type="dxa"/>
            <w:gridSpan w:val="2"/>
            <w:tcBorders>
              <w:top w:val="nil"/>
              <w:left w:val="nil"/>
              <w:bottom w:val="nil"/>
              <w:right w:val="single" w:sz="4" w:space="0" w:color="auto"/>
            </w:tcBorders>
            <w:shd w:val="clear" w:color="auto" w:fill="auto"/>
            <w:vAlign w:val="center"/>
            <w:hideMark/>
          </w:tcPr>
          <w:p w:rsidR="00474AE1" w:rsidRPr="00474AE1" w:rsidRDefault="00474AE1" w:rsidP="00474AE1">
            <w:pPr>
              <w:jc w:val="right"/>
              <w:rPr>
                <w:i/>
                <w:color w:val="000000"/>
                <w:sz w:val="22"/>
                <w:szCs w:val="22"/>
                <w:lang w:eastAsia="en-GB"/>
              </w:rPr>
            </w:pPr>
            <w:r w:rsidRPr="00474AE1">
              <w:rPr>
                <w:i/>
                <w:color w:val="000000"/>
                <w:sz w:val="22"/>
                <w:szCs w:val="22"/>
                <w:lang w:eastAsia="en-GB"/>
              </w:rPr>
              <w:t xml:space="preserve">            1.3 </w:t>
            </w:r>
          </w:p>
        </w:tc>
      </w:tr>
      <w:tr w:rsidR="00474AE1" w:rsidRPr="00474AE1" w:rsidTr="008143B2">
        <w:trPr>
          <w:gridAfter w:val="5"/>
          <w:wAfter w:w="4986" w:type="dxa"/>
          <w:trHeight w:val="57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74AE1" w:rsidRPr="00474AE1" w:rsidRDefault="00474AE1" w:rsidP="00474AE1">
            <w:pPr>
              <w:jc w:val="right"/>
              <w:rPr>
                <w:i/>
                <w:color w:val="000000"/>
                <w:sz w:val="22"/>
                <w:szCs w:val="22"/>
                <w:lang w:eastAsia="en-GB"/>
              </w:rPr>
            </w:pPr>
            <w:r w:rsidRPr="00474AE1">
              <w:rPr>
                <w:i/>
                <w:color w:val="000000"/>
                <w:sz w:val="22"/>
                <w:szCs w:val="22"/>
                <w:lang w:eastAsia="en-GB"/>
              </w:rPr>
              <w:t xml:space="preserve">            1.3 </w:t>
            </w:r>
          </w:p>
        </w:tc>
        <w:tc>
          <w:tcPr>
            <w:tcW w:w="1200" w:type="dxa"/>
            <w:tcBorders>
              <w:top w:val="nil"/>
              <w:left w:val="nil"/>
              <w:bottom w:val="single" w:sz="4" w:space="0" w:color="auto"/>
              <w:right w:val="single" w:sz="4" w:space="0" w:color="auto"/>
            </w:tcBorders>
            <w:shd w:val="clear" w:color="auto" w:fill="auto"/>
            <w:vAlign w:val="center"/>
            <w:hideMark/>
          </w:tcPr>
          <w:p w:rsidR="00474AE1" w:rsidRPr="00474AE1" w:rsidRDefault="00474AE1" w:rsidP="00474AE1">
            <w:pPr>
              <w:jc w:val="right"/>
              <w:rPr>
                <w:i/>
                <w:color w:val="000000"/>
                <w:sz w:val="22"/>
                <w:szCs w:val="22"/>
                <w:lang w:eastAsia="en-GB"/>
              </w:rPr>
            </w:pPr>
            <w:r w:rsidRPr="00474AE1">
              <w:rPr>
                <w:i/>
                <w:color w:val="000000"/>
                <w:sz w:val="22"/>
                <w:szCs w:val="22"/>
                <w:lang w:eastAsia="en-GB"/>
              </w:rPr>
              <w:t xml:space="preserve">            1.3 </w:t>
            </w:r>
          </w:p>
        </w:tc>
        <w:tc>
          <w:tcPr>
            <w:tcW w:w="1200" w:type="dxa"/>
            <w:tcBorders>
              <w:top w:val="nil"/>
              <w:left w:val="nil"/>
              <w:bottom w:val="single" w:sz="4" w:space="0" w:color="auto"/>
              <w:right w:val="single" w:sz="4" w:space="0" w:color="auto"/>
            </w:tcBorders>
            <w:shd w:val="clear" w:color="auto" w:fill="auto"/>
            <w:vAlign w:val="center"/>
            <w:hideMark/>
          </w:tcPr>
          <w:p w:rsidR="00474AE1" w:rsidRPr="00474AE1" w:rsidRDefault="00474AE1" w:rsidP="00474AE1">
            <w:pPr>
              <w:jc w:val="right"/>
              <w:rPr>
                <w:i/>
                <w:color w:val="000000"/>
                <w:sz w:val="22"/>
                <w:szCs w:val="22"/>
                <w:lang w:eastAsia="en-GB"/>
              </w:rPr>
            </w:pPr>
            <w:r w:rsidRPr="00474AE1">
              <w:rPr>
                <w:i/>
                <w:color w:val="000000"/>
                <w:sz w:val="22"/>
                <w:szCs w:val="22"/>
                <w:lang w:eastAsia="en-GB"/>
              </w:rPr>
              <w:t xml:space="preserve">            1.3 </w:t>
            </w:r>
          </w:p>
        </w:tc>
        <w:tc>
          <w:tcPr>
            <w:tcW w:w="1200" w:type="dxa"/>
            <w:gridSpan w:val="2"/>
            <w:tcBorders>
              <w:top w:val="nil"/>
              <w:left w:val="nil"/>
              <w:bottom w:val="single" w:sz="4" w:space="0" w:color="auto"/>
              <w:right w:val="single" w:sz="4" w:space="0" w:color="auto"/>
            </w:tcBorders>
            <w:shd w:val="clear" w:color="auto" w:fill="auto"/>
            <w:vAlign w:val="center"/>
            <w:hideMark/>
          </w:tcPr>
          <w:p w:rsidR="00474AE1" w:rsidRPr="00474AE1" w:rsidRDefault="00474AE1" w:rsidP="00474AE1">
            <w:pPr>
              <w:jc w:val="right"/>
              <w:rPr>
                <w:i/>
                <w:color w:val="000000"/>
                <w:sz w:val="22"/>
                <w:szCs w:val="22"/>
                <w:lang w:eastAsia="en-GB"/>
              </w:rPr>
            </w:pPr>
            <w:r w:rsidRPr="00474AE1">
              <w:rPr>
                <w:i/>
                <w:color w:val="000000"/>
                <w:sz w:val="22"/>
                <w:szCs w:val="22"/>
                <w:lang w:eastAsia="en-GB"/>
              </w:rPr>
              <w:t xml:space="preserve">            1.3 </w:t>
            </w:r>
          </w:p>
        </w:tc>
      </w:tr>
      <w:tr w:rsidR="00474AE1" w:rsidRPr="00474AE1" w:rsidTr="008143B2">
        <w:trPr>
          <w:gridAfter w:val="5"/>
          <w:wAfter w:w="4986" w:type="dxa"/>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74AE1" w:rsidRPr="00474AE1" w:rsidRDefault="00474AE1" w:rsidP="00474AE1">
            <w:pPr>
              <w:jc w:val="right"/>
              <w:rPr>
                <w:color w:val="000000"/>
                <w:sz w:val="22"/>
                <w:szCs w:val="22"/>
                <w:lang w:eastAsia="en-GB"/>
              </w:rPr>
            </w:pPr>
            <w:r w:rsidRPr="00474AE1">
              <w:rPr>
                <w:color w:val="000000"/>
                <w:sz w:val="22"/>
                <w:szCs w:val="22"/>
                <w:lang w:eastAsia="en-GB"/>
              </w:rPr>
              <w:t xml:space="preserve">            2.7 </w:t>
            </w:r>
          </w:p>
        </w:tc>
        <w:tc>
          <w:tcPr>
            <w:tcW w:w="1200" w:type="dxa"/>
            <w:tcBorders>
              <w:top w:val="nil"/>
              <w:left w:val="nil"/>
              <w:bottom w:val="single" w:sz="4" w:space="0" w:color="auto"/>
              <w:right w:val="single" w:sz="4" w:space="0" w:color="auto"/>
            </w:tcBorders>
            <w:shd w:val="clear" w:color="auto" w:fill="auto"/>
            <w:vAlign w:val="center"/>
            <w:hideMark/>
          </w:tcPr>
          <w:p w:rsidR="00474AE1" w:rsidRPr="00474AE1" w:rsidRDefault="00474AE1" w:rsidP="00474AE1">
            <w:pPr>
              <w:jc w:val="right"/>
              <w:rPr>
                <w:color w:val="000000"/>
                <w:sz w:val="22"/>
                <w:szCs w:val="22"/>
                <w:lang w:eastAsia="en-GB"/>
              </w:rPr>
            </w:pPr>
            <w:r w:rsidRPr="00474AE1">
              <w:rPr>
                <w:color w:val="000000"/>
                <w:sz w:val="22"/>
                <w:szCs w:val="22"/>
                <w:lang w:eastAsia="en-GB"/>
              </w:rPr>
              <w:t xml:space="preserve">            2.7 </w:t>
            </w:r>
          </w:p>
        </w:tc>
        <w:tc>
          <w:tcPr>
            <w:tcW w:w="1200" w:type="dxa"/>
            <w:tcBorders>
              <w:top w:val="nil"/>
              <w:left w:val="nil"/>
              <w:bottom w:val="single" w:sz="4" w:space="0" w:color="auto"/>
              <w:right w:val="single" w:sz="4" w:space="0" w:color="auto"/>
            </w:tcBorders>
            <w:shd w:val="clear" w:color="auto" w:fill="auto"/>
            <w:vAlign w:val="center"/>
            <w:hideMark/>
          </w:tcPr>
          <w:p w:rsidR="00474AE1" w:rsidRPr="00474AE1" w:rsidRDefault="00474AE1" w:rsidP="00474AE1">
            <w:pPr>
              <w:jc w:val="right"/>
              <w:rPr>
                <w:color w:val="000000"/>
                <w:sz w:val="22"/>
                <w:szCs w:val="22"/>
                <w:lang w:eastAsia="en-GB"/>
              </w:rPr>
            </w:pPr>
            <w:r w:rsidRPr="00474AE1">
              <w:rPr>
                <w:color w:val="000000"/>
                <w:sz w:val="22"/>
                <w:szCs w:val="22"/>
                <w:lang w:eastAsia="en-GB"/>
              </w:rPr>
              <w:t xml:space="preserve">            2.7 </w:t>
            </w:r>
          </w:p>
        </w:tc>
        <w:tc>
          <w:tcPr>
            <w:tcW w:w="1200" w:type="dxa"/>
            <w:gridSpan w:val="2"/>
            <w:tcBorders>
              <w:top w:val="nil"/>
              <w:left w:val="nil"/>
              <w:bottom w:val="single" w:sz="4" w:space="0" w:color="auto"/>
              <w:right w:val="single" w:sz="4" w:space="0" w:color="auto"/>
            </w:tcBorders>
            <w:shd w:val="clear" w:color="auto" w:fill="auto"/>
            <w:vAlign w:val="center"/>
            <w:hideMark/>
          </w:tcPr>
          <w:p w:rsidR="00474AE1" w:rsidRPr="00474AE1" w:rsidRDefault="00474AE1" w:rsidP="00474AE1">
            <w:pPr>
              <w:jc w:val="right"/>
              <w:rPr>
                <w:color w:val="000000"/>
                <w:sz w:val="22"/>
                <w:szCs w:val="22"/>
                <w:lang w:eastAsia="en-GB"/>
              </w:rPr>
            </w:pPr>
            <w:r w:rsidRPr="00474AE1">
              <w:rPr>
                <w:color w:val="000000"/>
                <w:sz w:val="22"/>
                <w:szCs w:val="22"/>
                <w:lang w:eastAsia="en-GB"/>
              </w:rPr>
              <w:t xml:space="preserve">            2.7 </w:t>
            </w:r>
          </w:p>
        </w:tc>
      </w:tr>
    </w:tbl>
    <w:p w:rsidR="00474AE1" w:rsidRPr="00F83412" w:rsidRDefault="00474AE1" w:rsidP="006D2EFC">
      <w:pPr>
        <w:jc w:val="both"/>
        <w:rPr>
          <w:sz w:val="22"/>
          <w:szCs w:val="22"/>
        </w:rPr>
      </w:pPr>
    </w:p>
    <w:p w:rsidR="000006EB" w:rsidRDefault="000006EB" w:rsidP="006D2EFC">
      <w:pPr>
        <w:jc w:val="both"/>
        <w:rPr>
          <w:b/>
          <w:bCs/>
        </w:rPr>
      </w:pPr>
    </w:p>
    <w:p w:rsidR="002769BA" w:rsidRDefault="002769BA" w:rsidP="002769BA">
      <w:pPr>
        <w:pStyle w:val="IAPOA2"/>
        <w:ind w:left="0"/>
        <w:jc w:val="both"/>
        <w:rPr>
          <w:rFonts w:cs="Times New Roman"/>
        </w:rPr>
      </w:pPr>
      <w:r>
        <w:rPr>
          <w:rFonts w:cs="Times New Roman"/>
        </w:rPr>
        <w:t>Accreditation has the potential to drive up standards for applications – key conservation advice will be built into the development of proposals from an early stage and into their improvement until they are fit for consent to be granted.  This will be smoother process where the likelihood of flat rejection is reduced, and which will bring more certainty to the outcome, improve the speed of determination and improve productivity.</w:t>
      </w:r>
    </w:p>
    <w:p w:rsidR="004B6552" w:rsidRDefault="004B6552" w:rsidP="002769BA">
      <w:pPr>
        <w:pStyle w:val="IAPOA2"/>
        <w:ind w:left="0"/>
        <w:jc w:val="both"/>
        <w:rPr>
          <w:rFonts w:cs="Times New Roman"/>
        </w:rPr>
      </w:pPr>
    </w:p>
    <w:p w:rsidR="004B6552" w:rsidRPr="004B6552" w:rsidRDefault="004B6552" w:rsidP="002769BA">
      <w:pPr>
        <w:pStyle w:val="IAPOA2"/>
        <w:ind w:left="0"/>
        <w:jc w:val="both"/>
        <w:rPr>
          <w:rFonts w:cs="Times New Roman"/>
          <w:b/>
          <w:u w:val="single"/>
        </w:rPr>
      </w:pPr>
      <w:r w:rsidRPr="004B6552">
        <w:rPr>
          <w:rFonts w:cs="Times New Roman"/>
          <w:b/>
          <w:u w:val="single"/>
        </w:rPr>
        <w:t xml:space="preserve">Because these costs are indirect costs the Direct impact on business is 0. Furthermore this means that the business NPV and EANCB are both zero. </w:t>
      </w:r>
    </w:p>
    <w:p w:rsidR="004B6552" w:rsidRDefault="004B6552" w:rsidP="002769BA">
      <w:pPr>
        <w:pStyle w:val="IAPOA2"/>
        <w:ind w:left="0"/>
        <w:jc w:val="both"/>
        <w:rPr>
          <w:rFonts w:cs="Times New Roman"/>
        </w:rPr>
      </w:pPr>
    </w:p>
    <w:p w:rsidR="004B6552" w:rsidRDefault="004B6552" w:rsidP="002769BA">
      <w:pPr>
        <w:pStyle w:val="IAPOA2"/>
        <w:ind w:left="0"/>
        <w:jc w:val="both"/>
        <w:rPr>
          <w:rFonts w:cs="Times New Roman"/>
        </w:rPr>
      </w:pPr>
    </w:p>
    <w:p w:rsidR="002769BA" w:rsidRPr="00F83412" w:rsidRDefault="002769BA" w:rsidP="006D2EFC">
      <w:pPr>
        <w:jc w:val="both"/>
        <w:rPr>
          <w:b/>
          <w:bCs/>
        </w:rPr>
      </w:pPr>
    </w:p>
    <w:p w:rsidR="000006EB" w:rsidRPr="00F83412" w:rsidRDefault="000006EB" w:rsidP="006D2EFC">
      <w:pPr>
        <w:jc w:val="both"/>
        <w:rPr>
          <w:b/>
          <w:bCs/>
        </w:rPr>
      </w:pPr>
      <w:r w:rsidRPr="00F83412">
        <w:rPr>
          <w:b/>
          <w:bCs/>
        </w:rPr>
        <w:t>Risks and Assumptions</w:t>
      </w:r>
    </w:p>
    <w:p w:rsidR="000006EB" w:rsidRPr="00F83412" w:rsidRDefault="000006EB" w:rsidP="006D2EFC">
      <w:pPr>
        <w:jc w:val="both"/>
      </w:pPr>
    </w:p>
    <w:p w:rsidR="000006EB" w:rsidRPr="007F71FE" w:rsidRDefault="000006EB" w:rsidP="009D114A">
      <w:pPr>
        <w:jc w:val="both"/>
        <w:rPr>
          <w:sz w:val="22"/>
          <w:szCs w:val="22"/>
        </w:rPr>
      </w:pPr>
      <w:r w:rsidRPr="007F71FE">
        <w:rPr>
          <w:sz w:val="22"/>
          <w:szCs w:val="22"/>
        </w:rPr>
        <w:t>This mechanism may create the impression that it is weighted in favour of the developer/applicant, whether it is implemented with proper professionalism and impartiality or not, with increased likelihood of challenge through judicial review.</w:t>
      </w:r>
    </w:p>
    <w:p w:rsidR="002769BA" w:rsidRPr="007F71FE" w:rsidRDefault="002769BA" w:rsidP="009D114A">
      <w:pPr>
        <w:jc w:val="both"/>
        <w:rPr>
          <w:sz w:val="22"/>
          <w:szCs w:val="22"/>
        </w:rPr>
      </w:pPr>
    </w:p>
    <w:p w:rsidR="002769BA" w:rsidRPr="007F71FE" w:rsidRDefault="002769BA" w:rsidP="009D114A">
      <w:pPr>
        <w:jc w:val="both"/>
        <w:rPr>
          <w:sz w:val="22"/>
          <w:szCs w:val="22"/>
        </w:rPr>
      </w:pPr>
      <w:r w:rsidRPr="007F71FE">
        <w:rPr>
          <w:sz w:val="22"/>
          <w:szCs w:val="22"/>
        </w:rPr>
        <w:t>The possibility of judicial review may in practice result in accredited agents taking an approach to recommendations which are more conservative than strictly necessary.</w:t>
      </w:r>
    </w:p>
    <w:p w:rsidR="000006EB" w:rsidRPr="007F71FE" w:rsidRDefault="000006EB" w:rsidP="009D114A">
      <w:pPr>
        <w:ind w:left="-360"/>
        <w:jc w:val="both"/>
        <w:rPr>
          <w:sz w:val="22"/>
          <w:szCs w:val="22"/>
        </w:rPr>
      </w:pPr>
    </w:p>
    <w:p w:rsidR="000006EB" w:rsidRPr="00F83412" w:rsidRDefault="000006EB" w:rsidP="009D114A">
      <w:pPr>
        <w:jc w:val="both"/>
        <w:rPr>
          <w:sz w:val="22"/>
          <w:szCs w:val="22"/>
        </w:rPr>
      </w:pPr>
      <w:r w:rsidRPr="007F71FE">
        <w:rPr>
          <w:sz w:val="22"/>
          <w:szCs w:val="22"/>
        </w:rPr>
        <w:t>There are potentially significant start-up costs for professional bodies in setting up this system.  It has not yet been possible to quantify this. The costs of accreditation will be taken on by the individual professionals seeking accreditation, for whom this may act as a deterrent, meaning that there may initially be insufficient accredited agents to enable the system to operate effectively.</w:t>
      </w:r>
    </w:p>
    <w:p w:rsidR="000006EB" w:rsidRPr="00F83412" w:rsidRDefault="000006EB" w:rsidP="009D114A">
      <w:pPr>
        <w:jc w:val="both"/>
        <w:rPr>
          <w:sz w:val="22"/>
          <w:szCs w:val="22"/>
        </w:rPr>
      </w:pPr>
    </w:p>
    <w:p w:rsidR="000006EB" w:rsidRPr="00F83412" w:rsidRDefault="000006EB" w:rsidP="006D2EFC">
      <w:pPr>
        <w:jc w:val="both"/>
      </w:pPr>
    </w:p>
    <w:p w:rsidR="000006EB" w:rsidRDefault="000006EB" w:rsidP="006D2EFC">
      <w:pPr>
        <w:jc w:val="both"/>
        <w:rPr>
          <w:b/>
          <w:bCs/>
          <w:sz w:val="22"/>
          <w:szCs w:val="22"/>
        </w:rPr>
      </w:pPr>
    </w:p>
    <w:p w:rsidR="004B6552" w:rsidRDefault="004B6552" w:rsidP="006D2EFC">
      <w:pPr>
        <w:jc w:val="both"/>
        <w:rPr>
          <w:b/>
          <w:bCs/>
          <w:sz w:val="22"/>
          <w:szCs w:val="22"/>
        </w:rPr>
      </w:pPr>
    </w:p>
    <w:p w:rsidR="004B6552" w:rsidRDefault="004B6552" w:rsidP="006D2EFC">
      <w:pPr>
        <w:jc w:val="both"/>
        <w:rPr>
          <w:b/>
          <w:bCs/>
          <w:sz w:val="22"/>
          <w:szCs w:val="22"/>
        </w:rPr>
      </w:pPr>
    </w:p>
    <w:p w:rsidR="001A085E" w:rsidRDefault="001A085E" w:rsidP="006D2EFC">
      <w:pPr>
        <w:jc w:val="both"/>
        <w:rPr>
          <w:b/>
          <w:bCs/>
          <w:sz w:val="22"/>
          <w:szCs w:val="22"/>
        </w:rPr>
      </w:pPr>
    </w:p>
    <w:p w:rsidR="001A085E" w:rsidRDefault="001A085E" w:rsidP="006D2EFC">
      <w:pPr>
        <w:jc w:val="both"/>
        <w:rPr>
          <w:b/>
          <w:bCs/>
          <w:sz w:val="22"/>
          <w:szCs w:val="22"/>
        </w:rPr>
      </w:pPr>
    </w:p>
    <w:p w:rsidR="001A085E" w:rsidRDefault="001A085E" w:rsidP="006D2EFC">
      <w:pPr>
        <w:jc w:val="both"/>
        <w:rPr>
          <w:b/>
          <w:bCs/>
          <w:sz w:val="22"/>
          <w:szCs w:val="22"/>
        </w:rPr>
      </w:pPr>
    </w:p>
    <w:p w:rsidR="000006EB" w:rsidRPr="00F83412" w:rsidRDefault="000006EB" w:rsidP="00284CBB">
      <w:pPr>
        <w:pStyle w:val="EBBodyPara"/>
        <w:spacing w:after="0"/>
        <w:rPr>
          <w:b/>
          <w:bCs/>
          <w:color w:val="auto"/>
          <w:sz w:val="32"/>
          <w:szCs w:val="32"/>
        </w:rPr>
      </w:pPr>
      <w:r w:rsidRPr="00F83412">
        <w:rPr>
          <w:b/>
          <w:bCs/>
          <w:color w:val="auto"/>
          <w:sz w:val="32"/>
          <w:szCs w:val="32"/>
        </w:rPr>
        <w:t>One In One Out:</w:t>
      </w:r>
    </w:p>
    <w:p w:rsidR="000006EB" w:rsidRPr="00F83412" w:rsidRDefault="000006EB" w:rsidP="00284CBB">
      <w:pPr>
        <w:pStyle w:val="EBBodyPara"/>
        <w:spacing w:after="0"/>
        <w:rPr>
          <w:b/>
          <w:bCs/>
          <w:color w:val="auto"/>
        </w:rPr>
      </w:pPr>
    </w:p>
    <w:p w:rsidR="000006EB" w:rsidRPr="00F83412" w:rsidRDefault="000006EB" w:rsidP="00284CBB">
      <w:pPr>
        <w:pStyle w:val="EBBodyPara"/>
        <w:spacing w:after="0"/>
        <w:rPr>
          <w:color w:val="auto"/>
        </w:rPr>
      </w:pPr>
      <w:r w:rsidRPr="00F83412">
        <w:rPr>
          <w:color w:val="auto"/>
        </w:rPr>
        <w:t>T</w:t>
      </w:r>
      <w:r w:rsidR="000F6E60">
        <w:rPr>
          <w:color w:val="auto"/>
        </w:rPr>
        <w:t xml:space="preserve">he </w:t>
      </w:r>
      <w:r w:rsidR="0040577D">
        <w:rPr>
          <w:color w:val="auto"/>
        </w:rPr>
        <w:t>measure</w:t>
      </w:r>
      <w:r w:rsidR="00227BAA">
        <w:rPr>
          <w:color w:val="auto"/>
        </w:rPr>
        <w:t>s</w:t>
      </w:r>
      <w:r w:rsidR="0040577D">
        <w:rPr>
          <w:color w:val="auto"/>
        </w:rPr>
        <w:t xml:space="preserve"> set out </w:t>
      </w:r>
      <w:r w:rsidR="002E7EE6">
        <w:rPr>
          <w:color w:val="auto"/>
        </w:rPr>
        <w:t xml:space="preserve">above </w:t>
      </w:r>
      <w:r w:rsidR="002E7EE6" w:rsidRPr="00F83412">
        <w:rPr>
          <w:color w:val="auto"/>
        </w:rPr>
        <w:t>have</w:t>
      </w:r>
      <w:r w:rsidRPr="00F83412">
        <w:rPr>
          <w:color w:val="auto"/>
        </w:rPr>
        <w:t xml:space="preserve"> the potential to deliver savings for businesses (for example, by reducing the range and frequency of heritage related consent applications).  They are therefore classified at OUT for One in One Out purposes.</w:t>
      </w:r>
    </w:p>
    <w:p w:rsidR="000006EB" w:rsidRPr="00F83412" w:rsidRDefault="000006EB" w:rsidP="00284CBB">
      <w:pPr>
        <w:pStyle w:val="EBBodyPara"/>
        <w:spacing w:after="0"/>
        <w:rPr>
          <w:color w:val="auto"/>
        </w:rPr>
      </w:pPr>
    </w:p>
    <w:p w:rsidR="000006EB" w:rsidRPr="00F83412" w:rsidRDefault="0040577D" w:rsidP="00284CBB">
      <w:pPr>
        <w:pStyle w:val="EBBodyPara"/>
        <w:spacing w:after="0"/>
        <w:rPr>
          <w:color w:val="auto"/>
        </w:rPr>
      </w:pPr>
      <w:r>
        <w:rPr>
          <w:color w:val="auto"/>
        </w:rPr>
        <w:t xml:space="preserve">Measure 1 </w:t>
      </w:r>
      <w:r w:rsidR="00227BAA">
        <w:rPr>
          <w:color w:val="auto"/>
        </w:rPr>
        <w:t>p</w:t>
      </w:r>
      <w:r w:rsidR="00227BAA" w:rsidRPr="00F83412">
        <w:rPr>
          <w:color w:val="auto"/>
        </w:rPr>
        <w:t>roduces</w:t>
      </w:r>
      <w:r>
        <w:rPr>
          <w:color w:val="auto"/>
        </w:rPr>
        <w:t xml:space="preserve"> saving to business.</w:t>
      </w:r>
    </w:p>
    <w:p w:rsidR="000006EB" w:rsidRPr="00F83412" w:rsidRDefault="000006EB" w:rsidP="00284CBB">
      <w:pPr>
        <w:pStyle w:val="EBBodyPara"/>
        <w:spacing w:after="0"/>
        <w:rPr>
          <w:color w:val="auto"/>
        </w:rPr>
      </w:pPr>
    </w:p>
    <w:p w:rsidR="000006EB" w:rsidRDefault="00941865" w:rsidP="00284CBB">
      <w:pPr>
        <w:pStyle w:val="EBBodyPara"/>
        <w:spacing w:after="0"/>
        <w:rPr>
          <w:color w:val="auto"/>
        </w:rPr>
      </w:pPr>
      <w:r>
        <w:rPr>
          <w:color w:val="auto"/>
        </w:rPr>
        <w:t>Measure</w:t>
      </w:r>
      <w:r w:rsidR="002A760C">
        <w:rPr>
          <w:color w:val="auto"/>
        </w:rPr>
        <w:t xml:space="preserve"> 3</w:t>
      </w:r>
      <w:r w:rsidR="000F6E60">
        <w:rPr>
          <w:color w:val="auto"/>
        </w:rPr>
        <w:t xml:space="preserve"> </w:t>
      </w:r>
      <w:r w:rsidR="000006EB" w:rsidRPr="00F83412">
        <w:rPr>
          <w:color w:val="auto"/>
        </w:rPr>
        <w:t>impact</w:t>
      </w:r>
      <w:r w:rsidR="000F6E60">
        <w:rPr>
          <w:color w:val="auto"/>
        </w:rPr>
        <w:t>s</w:t>
      </w:r>
      <w:r w:rsidR="000006EB" w:rsidRPr="00F83412">
        <w:rPr>
          <w:color w:val="auto"/>
        </w:rPr>
        <w:t xml:space="preserve"> on businesse</w:t>
      </w:r>
      <w:r w:rsidR="000F6E60">
        <w:rPr>
          <w:color w:val="auto"/>
        </w:rPr>
        <w:t xml:space="preserve">s, </w:t>
      </w:r>
      <w:r w:rsidR="00C35CDA">
        <w:rPr>
          <w:color w:val="auto"/>
        </w:rPr>
        <w:t xml:space="preserve">and so is potentially IN, </w:t>
      </w:r>
      <w:r w:rsidR="000F6E60">
        <w:rPr>
          <w:color w:val="auto"/>
        </w:rPr>
        <w:t xml:space="preserve">but </w:t>
      </w:r>
      <w:r w:rsidR="0040577D">
        <w:rPr>
          <w:color w:val="auto"/>
        </w:rPr>
        <w:t xml:space="preserve">as it is optional it is indirect cost and is therefore classed as </w:t>
      </w:r>
      <w:r w:rsidR="00227BAA">
        <w:rPr>
          <w:color w:val="auto"/>
        </w:rPr>
        <w:t>no impact</w:t>
      </w:r>
      <w:r w:rsidR="0040577D">
        <w:rPr>
          <w:color w:val="auto"/>
        </w:rPr>
        <w:t>.</w:t>
      </w:r>
    </w:p>
    <w:p w:rsidR="0040577D" w:rsidRDefault="0040577D" w:rsidP="00284CBB">
      <w:pPr>
        <w:pStyle w:val="EBBodyPara"/>
        <w:spacing w:after="0"/>
        <w:rPr>
          <w:color w:val="auto"/>
        </w:rPr>
      </w:pPr>
    </w:p>
    <w:p w:rsidR="00C35CDA" w:rsidRPr="00213D91" w:rsidRDefault="002E7EE6" w:rsidP="002E7EE6">
      <w:pPr>
        <w:pStyle w:val="EBBodyPara"/>
        <w:spacing w:after="0"/>
        <w:jc w:val="both"/>
        <w:rPr>
          <w:b/>
          <w:color w:val="auto"/>
        </w:rPr>
      </w:pPr>
      <w:r w:rsidRPr="00213D91">
        <w:rPr>
          <w:b/>
          <w:color w:val="auto"/>
        </w:rPr>
        <w:t>The final OIOO calculations include the benefit to business of measure 1 but do not include the indirect cost to business of measure 3 in OIOO. The business PV is 21.59 and the EANCB is -2.51.</w:t>
      </w:r>
    </w:p>
    <w:p w:rsidR="00801EC3" w:rsidRPr="00F83412" w:rsidRDefault="00801EC3" w:rsidP="00284CBB">
      <w:pPr>
        <w:pStyle w:val="EBBodyPara"/>
        <w:spacing w:after="0"/>
        <w:rPr>
          <w:color w:val="auto"/>
        </w:rPr>
      </w:pPr>
    </w:p>
    <w:sectPr w:rsidR="00801EC3" w:rsidRPr="00F83412" w:rsidSect="00807DB6">
      <w:footerReference w:type="default" r:id="rId14"/>
      <w:footnotePr>
        <w:numRestart w:val="eachSect"/>
      </w:footnotePr>
      <w:pgSz w:w="11907" w:h="16840" w:code="9"/>
      <w:pgMar w:top="680" w:right="851" w:bottom="680" w:left="851" w:header="284" w:footer="28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383" w:rsidRDefault="00242383">
      <w:r>
        <w:separator/>
      </w:r>
    </w:p>
  </w:endnote>
  <w:endnote w:type="continuationSeparator" w:id="0">
    <w:p w:rsidR="00242383" w:rsidRDefault="00242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EHFH P+ Bliss 2">
    <w:altName w:val="Bliss"/>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2B" w:rsidRPr="00207D2A" w:rsidRDefault="00C5502B" w:rsidP="000407D8">
    <w:pPr>
      <w:pStyle w:val="Footer"/>
    </w:pPr>
    <w:r>
      <w:tab/>
    </w:r>
    <w:r>
      <w:fldChar w:fldCharType="begin"/>
    </w:r>
    <w:r>
      <w:instrText xml:space="preserve"> PAGE </w:instrText>
    </w:r>
    <w:r>
      <w:fldChar w:fldCharType="separate"/>
    </w:r>
    <w:r w:rsidR="00065143">
      <w:rPr>
        <w:noProof/>
      </w:rPr>
      <w:t>1</w:t>
    </w:r>
    <w:r>
      <w:rPr>
        <w:noProof/>
      </w:rPr>
      <w:fldChar w:fldCharType="end"/>
    </w:r>
    <w:bookmarkStart w:id="26" w:name="Title"/>
    <w:bookmarkEnd w:id="26"/>
    <w:r>
      <w:tab/>
      <w:t xml:space="preserve">URN 11/1109 Ver. 3.0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2B" w:rsidRPr="00EB43FD" w:rsidRDefault="00C5502B" w:rsidP="000407D8">
    <w:pPr>
      <w:pStyle w:val="Footer"/>
    </w:pPr>
    <w:r w:rsidRPr="00EB43FD">
      <w:rPr>
        <w:rStyle w:val="PageNumber"/>
        <w:b w:val="0"/>
        <w:bCs w:val="0"/>
      </w:rPr>
      <w:fldChar w:fldCharType="begin"/>
    </w:r>
    <w:r w:rsidRPr="00EB43FD">
      <w:rPr>
        <w:rStyle w:val="PageNumber"/>
        <w:b w:val="0"/>
        <w:bCs w:val="0"/>
      </w:rPr>
      <w:instrText xml:space="preserve"> PAGE </w:instrText>
    </w:r>
    <w:r w:rsidRPr="00EB43FD">
      <w:rPr>
        <w:rStyle w:val="PageNumber"/>
        <w:b w:val="0"/>
        <w:bCs w:val="0"/>
      </w:rPr>
      <w:fldChar w:fldCharType="separate"/>
    </w:r>
    <w:r w:rsidR="00065143">
      <w:rPr>
        <w:rStyle w:val="PageNumber"/>
        <w:b w:val="0"/>
        <w:bCs w:val="0"/>
        <w:noProof/>
      </w:rPr>
      <w:t>2</w:t>
    </w:r>
    <w:r w:rsidRPr="00EB43FD">
      <w:rPr>
        <w:rStyle w:val="PageNumber"/>
        <w:b w:val="0"/>
        <w:bCs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383" w:rsidRDefault="00242383">
      <w:r>
        <w:separator/>
      </w:r>
    </w:p>
  </w:footnote>
  <w:footnote w:type="continuationSeparator" w:id="0">
    <w:p w:rsidR="00242383" w:rsidRDefault="00242383">
      <w:r>
        <w:continuationSeparator/>
      </w:r>
    </w:p>
  </w:footnote>
  <w:footnote w:id="1">
    <w:p w:rsidR="00C5502B" w:rsidRDefault="00C5502B" w:rsidP="004F04A9">
      <w:pPr>
        <w:pStyle w:val="FootnoteText"/>
        <w:rPr>
          <w:rFonts w:cs="Times New Roman"/>
        </w:rPr>
      </w:pPr>
      <w:r>
        <w:rPr>
          <w:rStyle w:val="FootnoteReference"/>
          <w:rFonts w:cs="Times New Roman"/>
        </w:rPr>
        <w:footnoteRef/>
      </w:r>
      <w:r>
        <w:t xml:space="preserve"> </w:t>
      </w:r>
      <w:r w:rsidRPr="00E977E8">
        <w:t>“The Patterns of Business Occupation and Consent Applications for Listed Buildings”, Colliers International for English H</w:t>
      </w:r>
    </w:p>
    <w:p w:rsidR="00C5502B" w:rsidRDefault="00C5502B" w:rsidP="004F04A9">
      <w:pPr>
        <w:pStyle w:val="FootnoteText"/>
        <w:rPr>
          <w:rFonts w:cs="Times New Roman"/>
        </w:rPr>
      </w:pPr>
      <w:r w:rsidRPr="00E977E8">
        <w:t>eritage and the Heritage Lottery Fund, May 2012.</w:t>
      </w:r>
    </w:p>
  </w:footnote>
  <w:footnote w:id="2">
    <w:p w:rsidR="00C5502B" w:rsidRDefault="00C5502B" w:rsidP="004F04A9">
      <w:pPr>
        <w:pStyle w:val="FootnoteText"/>
        <w:rPr>
          <w:rFonts w:cs="Times New Roman"/>
        </w:rPr>
      </w:pPr>
      <w:r>
        <w:rPr>
          <w:rStyle w:val="FootnoteReference"/>
          <w:rFonts w:cs="Times New Roman"/>
        </w:rPr>
        <w:footnoteRef/>
      </w:r>
      <w:r>
        <w:t>Benchmarking the costs to applicants of submitting a planning application. Arup for DCLG, 2009</w:t>
      </w:r>
    </w:p>
  </w:footnote>
  <w:footnote w:id="3">
    <w:p w:rsidR="00C5502B" w:rsidRDefault="00C5502B" w:rsidP="004F04A9">
      <w:pPr>
        <w:pStyle w:val="FootnoteText"/>
        <w:rPr>
          <w:rFonts w:cs="Times New Roman"/>
        </w:rPr>
      </w:pPr>
      <w:r>
        <w:rPr>
          <w:rStyle w:val="FootnoteReference"/>
          <w:rFonts w:cs="Times New Roman"/>
        </w:rPr>
        <w:footnoteRef/>
      </w:r>
      <w:r>
        <w:t xml:space="preserve"> Planning Costs and Fees, Ove Arup and Partners for  DCLG, 2010</w:t>
      </w:r>
    </w:p>
  </w:footnote>
  <w:footnote w:id="4">
    <w:p w:rsidR="00C5502B" w:rsidRDefault="00C5502B" w:rsidP="004F04A9">
      <w:pPr>
        <w:pStyle w:val="FootnoteText"/>
        <w:rPr>
          <w:rFonts w:cs="Times New Roman"/>
        </w:rPr>
      </w:pPr>
      <w:r>
        <w:rPr>
          <w:rStyle w:val="FootnoteReference"/>
          <w:rFonts w:cs="Times New Roman"/>
        </w:rPr>
        <w:footnoteRef/>
      </w:r>
      <w:r w:rsidRPr="008B1832">
        <w:t>2011 Annual Survey of Hours and Earnings</w:t>
      </w:r>
      <w:r>
        <w:t>, ONS</w:t>
      </w:r>
    </w:p>
  </w:footnote>
  <w:footnote w:id="5">
    <w:p w:rsidR="00C5502B" w:rsidRDefault="00C5502B" w:rsidP="004F04A9">
      <w:pPr>
        <w:pStyle w:val="FootnoteText"/>
        <w:rPr>
          <w:rFonts w:cs="Times New Roman"/>
        </w:rPr>
      </w:pPr>
      <w:r>
        <w:rPr>
          <w:rStyle w:val="FootnoteReference"/>
          <w:rFonts w:cs="Times New Roman"/>
        </w:rPr>
        <w:footnoteRef/>
      </w:r>
      <w:r w:rsidRPr="008B1832">
        <w:t>2011 Annual Survey of Hours and Earnings</w:t>
      </w:r>
      <w:r>
        <w:t>, ONS</w:t>
      </w:r>
    </w:p>
  </w:footnote>
  <w:footnote w:id="6">
    <w:p w:rsidR="00C5502B" w:rsidRDefault="00C5502B" w:rsidP="004F04A9">
      <w:pPr>
        <w:pStyle w:val="FootnoteText"/>
      </w:pPr>
      <w:r>
        <w:rPr>
          <w:rStyle w:val="FootnoteReference"/>
        </w:rPr>
        <w:footnoteRef/>
      </w:r>
      <w:r>
        <w:t xml:space="preserve"> See Green Book (HMT) p.59</w:t>
      </w:r>
    </w:p>
  </w:footnote>
  <w:footnote w:id="7">
    <w:p w:rsidR="00C5502B" w:rsidRDefault="00C5502B">
      <w:pPr>
        <w:pStyle w:val="FootnoteText"/>
      </w:pPr>
      <w:r>
        <w:rPr>
          <w:rStyle w:val="FootnoteReference"/>
        </w:rPr>
        <w:footnoteRef/>
      </w:r>
      <w:r>
        <w:t xml:space="preserve"> In 2009 prices.</w:t>
      </w:r>
    </w:p>
  </w:footnote>
  <w:footnote w:id="8">
    <w:p w:rsidR="00C5502B" w:rsidRDefault="00C5502B" w:rsidP="00115B60">
      <w:pPr>
        <w:pStyle w:val="FootnoteText"/>
        <w:rPr>
          <w:rFonts w:cs="Times New Roman"/>
        </w:rPr>
      </w:pPr>
      <w:r>
        <w:rPr>
          <w:rStyle w:val="FootnoteReference"/>
          <w:rFonts w:cs="Times New Roman"/>
        </w:rPr>
        <w:footnoteRef/>
      </w:r>
      <w:r w:rsidRPr="008B1832">
        <w:t>2011 Annual Survey of Hours and Earnings</w:t>
      </w:r>
      <w:r>
        <w:t>, ONS</w:t>
      </w:r>
    </w:p>
  </w:footnote>
  <w:footnote w:id="9">
    <w:p w:rsidR="00C5502B" w:rsidRDefault="00C5502B" w:rsidP="006D2EFC">
      <w:pPr>
        <w:pStyle w:val="FootnoteText"/>
        <w:rPr>
          <w:rFonts w:cs="Times New Roman"/>
        </w:rPr>
      </w:pPr>
      <w:r>
        <w:rPr>
          <w:rStyle w:val="FootnoteReference"/>
          <w:rFonts w:cs="Times New Roman"/>
        </w:rPr>
        <w:footnoteRef/>
      </w:r>
      <w:r>
        <w:t xml:space="preserve"> “The Patterns of Business Occupation and Consent Applications for Historic Buildings”, research for English Heritage and the Heritage Lottery Fund, Colliers International, May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AE57A9E"/>
    <w:multiLevelType w:val="hybridMultilevel"/>
    <w:tmpl w:val="B698111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1C02EAC8"/>
    <w:lvl w:ilvl="0">
      <w:start w:val="1"/>
      <w:numFmt w:val="decimal"/>
      <w:lvlText w:val="%1."/>
      <w:lvlJc w:val="left"/>
      <w:pPr>
        <w:tabs>
          <w:tab w:val="num" w:pos="1492"/>
        </w:tabs>
        <w:ind w:left="1492" w:hanging="360"/>
      </w:pPr>
    </w:lvl>
  </w:abstractNum>
  <w:abstractNum w:abstractNumId="2">
    <w:nsid w:val="FFFFFF7D"/>
    <w:multiLevelType w:val="singleLevel"/>
    <w:tmpl w:val="3438C8F0"/>
    <w:lvl w:ilvl="0">
      <w:start w:val="1"/>
      <w:numFmt w:val="decimal"/>
      <w:lvlText w:val="%1."/>
      <w:lvlJc w:val="left"/>
      <w:pPr>
        <w:tabs>
          <w:tab w:val="num" w:pos="1209"/>
        </w:tabs>
        <w:ind w:left="1209" w:hanging="360"/>
      </w:pPr>
    </w:lvl>
  </w:abstractNum>
  <w:abstractNum w:abstractNumId="3">
    <w:nsid w:val="FFFFFF7E"/>
    <w:multiLevelType w:val="singleLevel"/>
    <w:tmpl w:val="D742A838"/>
    <w:lvl w:ilvl="0">
      <w:start w:val="1"/>
      <w:numFmt w:val="decimal"/>
      <w:lvlText w:val="%1."/>
      <w:lvlJc w:val="left"/>
      <w:pPr>
        <w:tabs>
          <w:tab w:val="num" w:pos="926"/>
        </w:tabs>
        <w:ind w:left="926" w:hanging="360"/>
      </w:pPr>
    </w:lvl>
  </w:abstractNum>
  <w:abstractNum w:abstractNumId="4">
    <w:nsid w:val="FFFFFF7F"/>
    <w:multiLevelType w:val="singleLevel"/>
    <w:tmpl w:val="23A4D59C"/>
    <w:lvl w:ilvl="0">
      <w:start w:val="1"/>
      <w:numFmt w:val="decimal"/>
      <w:lvlText w:val="%1."/>
      <w:lvlJc w:val="left"/>
      <w:pPr>
        <w:tabs>
          <w:tab w:val="num" w:pos="643"/>
        </w:tabs>
        <w:ind w:left="643" w:hanging="360"/>
      </w:pPr>
    </w:lvl>
  </w:abstractNum>
  <w:abstractNum w:abstractNumId="5">
    <w:nsid w:val="FFFFFF80"/>
    <w:multiLevelType w:val="singleLevel"/>
    <w:tmpl w:val="ACBC2C1C"/>
    <w:lvl w:ilvl="0">
      <w:start w:val="1"/>
      <w:numFmt w:val="bullet"/>
      <w:lvlText w:val=""/>
      <w:lvlJc w:val="left"/>
      <w:pPr>
        <w:tabs>
          <w:tab w:val="num" w:pos="1492"/>
        </w:tabs>
        <w:ind w:left="1492" w:hanging="360"/>
      </w:pPr>
      <w:rPr>
        <w:rFonts w:ascii="Symbol" w:hAnsi="Symbol" w:cs="Symbol" w:hint="default"/>
      </w:rPr>
    </w:lvl>
  </w:abstractNum>
  <w:abstractNum w:abstractNumId="6">
    <w:nsid w:val="FFFFFF81"/>
    <w:multiLevelType w:val="singleLevel"/>
    <w:tmpl w:val="2A7E6D12"/>
    <w:lvl w:ilvl="0">
      <w:start w:val="1"/>
      <w:numFmt w:val="bullet"/>
      <w:lvlText w:val=""/>
      <w:lvlJc w:val="left"/>
      <w:pPr>
        <w:tabs>
          <w:tab w:val="num" w:pos="1209"/>
        </w:tabs>
        <w:ind w:left="1209" w:hanging="360"/>
      </w:pPr>
      <w:rPr>
        <w:rFonts w:ascii="Symbol" w:hAnsi="Symbol" w:cs="Symbol" w:hint="default"/>
      </w:rPr>
    </w:lvl>
  </w:abstractNum>
  <w:abstractNum w:abstractNumId="7">
    <w:nsid w:val="FFFFFF82"/>
    <w:multiLevelType w:val="singleLevel"/>
    <w:tmpl w:val="649C09E0"/>
    <w:lvl w:ilvl="0">
      <w:start w:val="1"/>
      <w:numFmt w:val="bullet"/>
      <w:lvlText w:val=""/>
      <w:lvlJc w:val="left"/>
      <w:pPr>
        <w:tabs>
          <w:tab w:val="num" w:pos="926"/>
        </w:tabs>
        <w:ind w:left="926" w:hanging="360"/>
      </w:pPr>
      <w:rPr>
        <w:rFonts w:ascii="Symbol" w:hAnsi="Symbol" w:cs="Symbol" w:hint="default"/>
      </w:rPr>
    </w:lvl>
  </w:abstractNum>
  <w:abstractNum w:abstractNumId="8">
    <w:nsid w:val="FFFFFF83"/>
    <w:multiLevelType w:val="singleLevel"/>
    <w:tmpl w:val="1DE075D6"/>
    <w:lvl w:ilvl="0">
      <w:start w:val="1"/>
      <w:numFmt w:val="bullet"/>
      <w:lvlText w:val=""/>
      <w:lvlJc w:val="left"/>
      <w:pPr>
        <w:tabs>
          <w:tab w:val="num" w:pos="643"/>
        </w:tabs>
        <w:ind w:left="643" w:hanging="360"/>
      </w:pPr>
      <w:rPr>
        <w:rFonts w:ascii="Symbol" w:hAnsi="Symbol" w:cs="Symbol" w:hint="default"/>
      </w:rPr>
    </w:lvl>
  </w:abstractNum>
  <w:abstractNum w:abstractNumId="9">
    <w:nsid w:val="FFFFFF88"/>
    <w:multiLevelType w:val="singleLevel"/>
    <w:tmpl w:val="1E2C0330"/>
    <w:lvl w:ilvl="0">
      <w:start w:val="1"/>
      <w:numFmt w:val="decimal"/>
      <w:lvlText w:val="%1."/>
      <w:lvlJc w:val="left"/>
      <w:pPr>
        <w:tabs>
          <w:tab w:val="num" w:pos="360"/>
        </w:tabs>
        <w:ind w:left="360" w:hanging="360"/>
      </w:pPr>
    </w:lvl>
  </w:abstractNum>
  <w:abstractNum w:abstractNumId="10">
    <w:nsid w:val="FFFFFF89"/>
    <w:multiLevelType w:val="singleLevel"/>
    <w:tmpl w:val="9644316A"/>
    <w:lvl w:ilvl="0">
      <w:start w:val="1"/>
      <w:numFmt w:val="bullet"/>
      <w:lvlText w:val=""/>
      <w:lvlJc w:val="left"/>
      <w:pPr>
        <w:tabs>
          <w:tab w:val="num" w:pos="360"/>
        </w:tabs>
        <w:ind w:left="360" w:hanging="360"/>
      </w:pPr>
      <w:rPr>
        <w:rFonts w:ascii="Symbol" w:hAnsi="Symbol" w:cs="Symbol" w:hint="default"/>
      </w:rPr>
    </w:lvl>
  </w:abstractNum>
  <w:abstractNum w:abstractNumId="11">
    <w:nsid w:val="001131D5"/>
    <w:multiLevelType w:val="multilevel"/>
    <w:tmpl w:val="7E8654E2"/>
    <w:lvl w:ilvl="0">
      <w:start w:val="1"/>
      <w:numFmt w:val="decimal"/>
      <w:lvlText w:val="%1"/>
      <w:lvlJc w:val="left"/>
      <w:pPr>
        <w:tabs>
          <w:tab w:val="num" w:pos="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6E52FBC"/>
    <w:multiLevelType w:val="hybridMultilevel"/>
    <w:tmpl w:val="6382DA02"/>
    <w:lvl w:ilvl="0" w:tplc="E6B8BFC0">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135F4F14"/>
    <w:multiLevelType w:val="hybridMultilevel"/>
    <w:tmpl w:val="FE9C4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6282CC6"/>
    <w:multiLevelType w:val="multilevel"/>
    <w:tmpl w:val="609828B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nsid w:val="1A2943E7"/>
    <w:multiLevelType w:val="multilevel"/>
    <w:tmpl w:val="3604C19E"/>
    <w:lvl w:ilvl="0">
      <w:start w:val="1"/>
      <w:numFmt w:val="bullet"/>
      <w:lvlText w:val=""/>
      <w:lvlJc w:val="left"/>
      <w:pPr>
        <w:tabs>
          <w:tab w:val="num" w:pos="284"/>
        </w:tabs>
        <w:ind w:left="284" w:hanging="284"/>
      </w:pPr>
      <w:rPr>
        <w:rFonts w:ascii="Wingdings" w:hAnsi="Wingdings" w:cs="Wingdings" w:hint="default"/>
      </w:rPr>
    </w:lvl>
    <w:lvl w:ilvl="1">
      <w:start w:val="1"/>
      <w:numFmt w:val="bullet"/>
      <w:lvlText w:val=""/>
      <w:lvlJc w:val="left"/>
      <w:pPr>
        <w:tabs>
          <w:tab w:val="num" w:pos="567"/>
        </w:tabs>
        <w:ind w:left="567" w:hanging="283"/>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6">
    <w:nsid w:val="1D6852F2"/>
    <w:multiLevelType w:val="hybridMultilevel"/>
    <w:tmpl w:val="E532470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nsid w:val="2B3F39F8"/>
    <w:multiLevelType w:val="multilevel"/>
    <w:tmpl w:val="130ADDBA"/>
    <w:lvl w:ilvl="0">
      <w:start w:val="1"/>
      <w:numFmt w:val="bullet"/>
      <w:pStyle w:val="EBBullet"/>
      <w:lvlText w:val=""/>
      <w:lvlJc w:val="left"/>
      <w:pPr>
        <w:tabs>
          <w:tab w:val="num" w:pos="284"/>
        </w:tabs>
        <w:ind w:left="284" w:hanging="284"/>
      </w:pPr>
      <w:rPr>
        <w:rFonts w:ascii="Symbol" w:hAnsi="Symbol" w:cs="Symbol" w:hint="default"/>
      </w:rPr>
    </w:lvl>
    <w:lvl w:ilvl="1">
      <w:start w:val="1"/>
      <w:numFmt w:val="bullet"/>
      <w:lvlText w:val=""/>
      <w:lvlJc w:val="left"/>
      <w:pPr>
        <w:tabs>
          <w:tab w:val="num" w:pos="567"/>
        </w:tabs>
        <w:ind w:left="567" w:hanging="283"/>
      </w:pPr>
      <w:rPr>
        <w:rFonts w:ascii="Symbol" w:hAnsi="Symbol" w:cs="Symbol"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8">
    <w:nsid w:val="2F8F45A5"/>
    <w:multiLevelType w:val="hybridMultilevel"/>
    <w:tmpl w:val="1F2C1D02"/>
    <w:lvl w:ilvl="0" w:tplc="E6B8BFC0">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9">
    <w:nsid w:val="2FA757E6"/>
    <w:multiLevelType w:val="multilevel"/>
    <w:tmpl w:val="008674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03C1A17"/>
    <w:multiLevelType w:val="multilevel"/>
    <w:tmpl w:val="7BAE517A"/>
    <w:lvl w:ilvl="0">
      <w:start w:val="1"/>
      <w:numFmt w:val="decimal"/>
      <w:suff w:val="space"/>
      <w:lvlText w:val="Section %1:"/>
      <w:lvlJc w:val="left"/>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080"/>
        </w:tabs>
        <w:ind w:left="851" w:hanging="851"/>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3240"/>
        </w:tabs>
        <w:ind w:left="3240" w:hanging="3240"/>
      </w:pPr>
      <w:rPr>
        <w:rFonts w:hint="default"/>
      </w:rPr>
    </w:lvl>
  </w:abstractNum>
  <w:abstractNum w:abstractNumId="21">
    <w:nsid w:val="3777104D"/>
    <w:multiLevelType w:val="multilevel"/>
    <w:tmpl w:val="02B2DD8E"/>
    <w:lvl w:ilvl="0">
      <w:start w:val="1"/>
      <w:numFmt w:val="decimal"/>
      <w:suff w:val="nothing"/>
      <w:lvlText w:val="%1"/>
      <w:lvlJc w:val="left"/>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2">
    <w:nsid w:val="3CE55193"/>
    <w:multiLevelType w:val="multilevel"/>
    <w:tmpl w:val="519E8B5E"/>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nsid w:val="4878698F"/>
    <w:multiLevelType w:val="hybridMultilevel"/>
    <w:tmpl w:val="A1C0BCAE"/>
    <w:lvl w:ilvl="0" w:tplc="DAB29080">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nsid w:val="49947152"/>
    <w:multiLevelType w:val="multilevel"/>
    <w:tmpl w:val="42C8645E"/>
    <w:lvl w:ilvl="0">
      <w:start w:val="1"/>
      <w:numFmt w:val="bullet"/>
      <w:lvlText w:val=""/>
      <w:lvlJc w:val="left"/>
      <w:pPr>
        <w:tabs>
          <w:tab w:val="num" w:pos="360"/>
        </w:tabs>
        <w:ind w:left="360" w:hanging="360"/>
      </w:pPr>
      <w:rPr>
        <w:rFonts w:ascii="Symbol" w:hAnsi="Symbol" w:cs="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59A727B6"/>
    <w:multiLevelType w:val="hybridMultilevel"/>
    <w:tmpl w:val="594C4C2A"/>
    <w:lvl w:ilvl="0" w:tplc="E6B8BFC0">
      <w:start w:val="1"/>
      <w:numFmt w:val="bullet"/>
      <w:lvlText w:val=""/>
      <w:lvlJc w:val="left"/>
      <w:pPr>
        <w:tabs>
          <w:tab w:val="num" w:pos="500"/>
        </w:tabs>
        <w:ind w:left="500" w:hanging="360"/>
      </w:pPr>
      <w:rPr>
        <w:rFonts w:ascii="Symbol" w:hAnsi="Symbol" w:cs="Symbol" w:hint="default"/>
      </w:rPr>
    </w:lvl>
    <w:lvl w:ilvl="1" w:tplc="08090003" w:tentative="1">
      <w:start w:val="1"/>
      <w:numFmt w:val="bullet"/>
      <w:lvlText w:val="o"/>
      <w:lvlJc w:val="left"/>
      <w:pPr>
        <w:tabs>
          <w:tab w:val="num" w:pos="1580"/>
        </w:tabs>
        <w:ind w:left="1580" w:hanging="360"/>
      </w:pPr>
      <w:rPr>
        <w:rFonts w:ascii="Courier New" w:hAnsi="Courier New" w:cs="Courier New" w:hint="default"/>
      </w:rPr>
    </w:lvl>
    <w:lvl w:ilvl="2" w:tplc="08090005" w:tentative="1">
      <w:start w:val="1"/>
      <w:numFmt w:val="bullet"/>
      <w:lvlText w:val=""/>
      <w:lvlJc w:val="left"/>
      <w:pPr>
        <w:tabs>
          <w:tab w:val="num" w:pos="2300"/>
        </w:tabs>
        <w:ind w:left="2300" w:hanging="360"/>
      </w:pPr>
      <w:rPr>
        <w:rFonts w:ascii="Wingdings" w:hAnsi="Wingdings" w:cs="Wingdings" w:hint="default"/>
      </w:rPr>
    </w:lvl>
    <w:lvl w:ilvl="3" w:tplc="08090001" w:tentative="1">
      <w:start w:val="1"/>
      <w:numFmt w:val="bullet"/>
      <w:lvlText w:val=""/>
      <w:lvlJc w:val="left"/>
      <w:pPr>
        <w:tabs>
          <w:tab w:val="num" w:pos="3020"/>
        </w:tabs>
        <w:ind w:left="3020" w:hanging="360"/>
      </w:pPr>
      <w:rPr>
        <w:rFonts w:ascii="Symbol" w:hAnsi="Symbol" w:cs="Symbol" w:hint="default"/>
      </w:rPr>
    </w:lvl>
    <w:lvl w:ilvl="4" w:tplc="08090003" w:tentative="1">
      <w:start w:val="1"/>
      <w:numFmt w:val="bullet"/>
      <w:lvlText w:val="o"/>
      <w:lvlJc w:val="left"/>
      <w:pPr>
        <w:tabs>
          <w:tab w:val="num" w:pos="3740"/>
        </w:tabs>
        <w:ind w:left="3740" w:hanging="360"/>
      </w:pPr>
      <w:rPr>
        <w:rFonts w:ascii="Courier New" w:hAnsi="Courier New" w:cs="Courier New" w:hint="default"/>
      </w:rPr>
    </w:lvl>
    <w:lvl w:ilvl="5" w:tplc="08090005" w:tentative="1">
      <w:start w:val="1"/>
      <w:numFmt w:val="bullet"/>
      <w:lvlText w:val=""/>
      <w:lvlJc w:val="left"/>
      <w:pPr>
        <w:tabs>
          <w:tab w:val="num" w:pos="4460"/>
        </w:tabs>
        <w:ind w:left="4460" w:hanging="360"/>
      </w:pPr>
      <w:rPr>
        <w:rFonts w:ascii="Wingdings" w:hAnsi="Wingdings" w:cs="Wingdings" w:hint="default"/>
      </w:rPr>
    </w:lvl>
    <w:lvl w:ilvl="6" w:tplc="08090001" w:tentative="1">
      <w:start w:val="1"/>
      <w:numFmt w:val="bullet"/>
      <w:lvlText w:val=""/>
      <w:lvlJc w:val="left"/>
      <w:pPr>
        <w:tabs>
          <w:tab w:val="num" w:pos="5180"/>
        </w:tabs>
        <w:ind w:left="5180" w:hanging="360"/>
      </w:pPr>
      <w:rPr>
        <w:rFonts w:ascii="Symbol" w:hAnsi="Symbol" w:cs="Symbol" w:hint="default"/>
      </w:rPr>
    </w:lvl>
    <w:lvl w:ilvl="7" w:tplc="08090003" w:tentative="1">
      <w:start w:val="1"/>
      <w:numFmt w:val="bullet"/>
      <w:lvlText w:val="o"/>
      <w:lvlJc w:val="left"/>
      <w:pPr>
        <w:tabs>
          <w:tab w:val="num" w:pos="5900"/>
        </w:tabs>
        <w:ind w:left="5900" w:hanging="360"/>
      </w:pPr>
      <w:rPr>
        <w:rFonts w:ascii="Courier New" w:hAnsi="Courier New" w:cs="Courier New" w:hint="default"/>
      </w:rPr>
    </w:lvl>
    <w:lvl w:ilvl="8" w:tplc="08090005" w:tentative="1">
      <w:start w:val="1"/>
      <w:numFmt w:val="bullet"/>
      <w:lvlText w:val=""/>
      <w:lvlJc w:val="left"/>
      <w:pPr>
        <w:tabs>
          <w:tab w:val="num" w:pos="6620"/>
        </w:tabs>
        <w:ind w:left="6620" w:hanging="360"/>
      </w:pPr>
      <w:rPr>
        <w:rFonts w:ascii="Wingdings" w:hAnsi="Wingdings" w:cs="Wingdings" w:hint="default"/>
      </w:rPr>
    </w:lvl>
  </w:abstractNum>
  <w:abstractNum w:abstractNumId="26">
    <w:nsid w:val="5D7172A0"/>
    <w:multiLevelType w:val="hybridMultilevel"/>
    <w:tmpl w:val="7050146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nsid w:val="5E373157"/>
    <w:multiLevelType w:val="hybridMultilevel"/>
    <w:tmpl w:val="1C5E9D8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nsid w:val="62034E97"/>
    <w:multiLevelType w:val="hybridMultilevel"/>
    <w:tmpl w:val="6AB64E7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nsid w:val="62DD0D52"/>
    <w:multiLevelType w:val="multilevel"/>
    <w:tmpl w:val="609828B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0">
    <w:nsid w:val="67C36062"/>
    <w:multiLevelType w:val="hybridMultilevel"/>
    <w:tmpl w:val="96A23160"/>
    <w:lvl w:ilvl="0" w:tplc="08090001">
      <w:start w:val="1"/>
      <w:numFmt w:val="bullet"/>
      <w:lvlText w:val=""/>
      <w:lvlJc w:val="left"/>
      <w:pPr>
        <w:tabs>
          <w:tab w:val="num" w:pos="360"/>
        </w:tabs>
        <w:ind w:left="360" w:hanging="360"/>
      </w:pPr>
      <w:rPr>
        <w:rFonts w:ascii="Symbol" w:hAnsi="Symbol" w:cs="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cs="Wingdings" w:hint="default"/>
      </w:rPr>
    </w:lvl>
    <w:lvl w:ilvl="3" w:tplc="08090001" w:tentative="1">
      <w:start w:val="1"/>
      <w:numFmt w:val="bullet"/>
      <w:lvlText w:val=""/>
      <w:lvlJc w:val="left"/>
      <w:pPr>
        <w:tabs>
          <w:tab w:val="num" w:pos="2520"/>
        </w:tabs>
        <w:ind w:left="2520" w:hanging="360"/>
      </w:pPr>
      <w:rPr>
        <w:rFonts w:ascii="Symbol" w:hAnsi="Symbol" w:cs="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cs="Wingdings" w:hint="default"/>
      </w:rPr>
    </w:lvl>
    <w:lvl w:ilvl="6" w:tplc="08090001" w:tentative="1">
      <w:start w:val="1"/>
      <w:numFmt w:val="bullet"/>
      <w:lvlText w:val=""/>
      <w:lvlJc w:val="left"/>
      <w:pPr>
        <w:tabs>
          <w:tab w:val="num" w:pos="4680"/>
        </w:tabs>
        <w:ind w:left="4680" w:hanging="360"/>
      </w:pPr>
      <w:rPr>
        <w:rFonts w:ascii="Symbol" w:hAnsi="Symbol" w:cs="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cs="Wingdings" w:hint="default"/>
      </w:rPr>
    </w:lvl>
  </w:abstractNum>
  <w:abstractNum w:abstractNumId="31">
    <w:nsid w:val="718851C2"/>
    <w:multiLevelType w:val="multilevel"/>
    <w:tmpl w:val="3626DD9A"/>
    <w:lvl w:ilvl="0">
      <w:start w:val="1"/>
      <w:numFmt w:val="decimal"/>
      <w:pStyle w:val="IARefNumber"/>
      <w:suff w:val="nothing"/>
      <w:lvlText w:val="%1"/>
      <w:lvlJc w:val="left"/>
      <w:pPr>
        <w:ind w:firstLine="113"/>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2">
    <w:nsid w:val="76AA1A0E"/>
    <w:multiLevelType w:val="multilevel"/>
    <w:tmpl w:val="E53247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799A6072"/>
    <w:multiLevelType w:val="hybridMultilevel"/>
    <w:tmpl w:val="6F36065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4">
    <w:nsid w:val="7D9A4CE0"/>
    <w:multiLevelType w:val="hybridMultilevel"/>
    <w:tmpl w:val="C89E032E"/>
    <w:lvl w:ilvl="0" w:tplc="08090005">
      <w:start w:val="1"/>
      <w:numFmt w:val="bullet"/>
      <w:lvlText w:val=""/>
      <w:lvlJc w:val="left"/>
      <w:pPr>
        <w:tabs>
          <w:tab w:val="num" w:pos="720"/>
        </w:tabs>
        <w:ind w:left="720" w:hanging="360"/>
      </w:pPr>
      <w:rPr>
        <w:rFonts w:ascii="Wingding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5">
    <w:nsid w:val="7DB973E1"/>
    <w:multiLevelType w:val="hybridMultilevel"/>
    <w:tmpl w:val="BA32C25A"/>
    <w:lvl w:ilvl="0" w:tplc="08090005">
      <w:start w:val="1"/>
      <w:numFmt w:val="bullet"/>
      <w:lvlText w:val=""/>
      <w:lvlJc w:val="left"/>
      <w:pPr>
        <w:tabs>
          <w:tab w:val="num" w:pos="720"/>
        </w:tabs>
        <w:ind w:left="720" w:hanging="360"/>
      </w:pPr>
      <w:rPr>
        <w:rFonts w:ascii="Wingding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6">
    <w:nsid w:val="7E2473EC"/>
    <w:multiLevelType w:val="hybridMultilevel"/>
    <w:tmpl w:val="CA28072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7">
    <w:nsid w:val="7FB75C1D"/>
    <w:multiLevelType w:val="multilevel"/>
    <w:tmpl w:val="E2CC615A"/>
    <w:lvl w:ilvl="0">
      <w:start w:val="1"/>
      <w:numFmt w:val="none"/>
      <w:pStyle w:val="EBNumberRestart"/>
      <w:suff w:val="nothing"/>
      <w:lvlText w:val="%1"/>
      <w:lvlJc w:val="left"/>
      <w:rPr>
        <w:rFonts w:hint="default"/>
      </w:rPr>
    </w:lvl>
    <w:lvl w:ilvl="1">
      <w:start w:val="1"/>
      <w:numFmt w:val="decimal"/>
      <w:pStyle w:val="EBNumber"/>
      <w:lvlText w:val="%1%2."/>
      <w:lvlJc w:val="left"/>
      <w:pPr>
        <w:tabs>
          <w:tab w:val="num" w:pos="425"/>
        </w:tabs>
        <w:ind w:left="425" w:hanging="425"/>
      </w:pPr>
      <w:rPr>
        <w:rFonts w:hint="default"/>
      </w:rPr>
    </w:lvl>
    <w:lvl w:ilvl="2">
      <w:start w:val="1"/>
      <w:numFmt w:val="lowerLetter"/>
      <w:lvlText w:val="%1%3."/>
      <w:lvlJc w:val="left"/>
      <w:pPr>
        <w:tabs>
          <w:tab w:val="num" w:pos="851"/>
        </w:tabs>
        <w:ind w:left="851" w:hanging="426"/>
      </w:pPr>
      <w:rPr>
        <w:rFonts w:hint="default"/>
      </w:rPr>
    </w:lvl>
    <w:lvl w:ilvl="3">
      <w:start w:val="1"/>
      <w:numFmt w:val="none"/>
      <w:lvlText w:val="%1"/>
      <w:lvlJc w:val="left"/>
      <w:pPr>
        <w:tabs>
          <w:tab w:val="num" w:pos="2880"/>
        </w:tabs>
        <w:ind w:left="1728" w:hanging="648"/>
      </w:pPr>
      <w:rPr>
        <w:rFonts w:hint="default"/>
      </w:rPr>
    </w:lvl>
    <w:lvl w:ilvl="4">
      <w:start w:val="1"/>
      <w:numFmt w:val="none"/>
      <w:lvlText w:val="%1"/>
      <w:lvlJc w:val="left"/>
      <w:pPr>
        <w:tabs>
          <w:tab w:val="num" w:pos="3600"/>
        </w:tabs>
        <w:ind w:left="2232" w:hanging="792"/>
      </w:pPr>
      <w:rPr>
        <w:rFonts w:hint="default"/>
      </w:rPr>
    </w:lvl>
    <w:lvl w:ilvl="5">
      <w:start w:val="1"/>
      <w:numFmt w:val="none"/>
      <w:lvlText w:val="%1"/>
      <w:lvlJc w:val="left"/>
      <w:pPr>
        <w:tabs>
          <w:tab w:val="num" w:pos="4320"/>
        </w:tabs>
        <w:ind w:left="2736" w:hanging="936"/>
      </w:pPr>
      <w:rPr>
        <w:rFonts w:hint="default"/>
      </w:rPr>
    </w:lvl>
    <w:lvl w:ilvl="6">
      <w:start w:val="1"/>
      <w:numFmt w:val="none"/>
      <w:lvlText w:val="%1"/>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37"/>
  </w:num>
  <w:num w:numId="12">
    <w:abstractNumId w:val="31"/>
  </w:num>
  <w:num w:numId="13">
    <w:abstractNumId w:val="11"/>
  </w:num>
  <w:num w:numId="14">
    <w:abstractNumId w:val="21"/>
  </w:num>
  <w:num w:numId="15">
    <w:abstractNumId w:val="17"/>
  </w:num>
  <w:num w:numId="16">
    <w:abstractNumId w:val="15"/>
  </w:num>
  <w:num w:numId="17">
    <w:abstractNumId w:val="17"/>
  </w:num>
  <w:num w:numId="18">
    <w:abstractNumId w:val="37"/>
  </w:num>
  <w:num w:numId="19">
    <w:abstractNumId w:val="37"/>
  </w:num>
  <w:num w:numId="20">
    <w:abstractNumId w:val="37"/>
  </w:num>
  <w:num w:numId="21">
    <w:abstractNumId w:val="17"/>
  </w:num>
  <w:num w:numId="22">
    <w:abstractNumId w:val="30"/>
  </w:num>
  <w:num w:numId="23">
    <w:abstractNumId w:val="26"/>
  </w:num>
  <w:num w:numId="24">
    <w:abstractNumId w:val="29"/>
  </w:num>
  <w:num w:numId="25">
    <w:abstractNumId w:val="19"/>
  </w:num>
  <w:num w:numId="26">
    <w:abstractNumId w:val="14"/>
  </w:num>
  <w:num w:numId="27">
    <w:abstractNumId w:val="22"/>
  </w:num>
  <w:num w:numId="28">
    <w:abstractNumId w:val="36"/>
  </w:num>
  <w:num w:numId="29">
    <w:abstractNumId w:val="24"/>
  </w:num>
  <w:num w:numId="30">
    <w:abstractNumId w:val="33"/>
  </w:num>
  <w:num w:numId="31">
    <w:abstractNumId w:val="28"/>
  </w:num>
  <w:num w:numId="32">
    <w:abstractNumId w:val="18"/>
  </w:num>
  <w:num w:numId="33">
    <w:abstractNumId w:val="12"/>
  </w:num>
  <w:num w:numId="34">
    <w:abstractNumId w:val="25"/>
  </w:num>
  <w:num w:numId="35">
    <w:abstractNumId w:val="27"/>
  </w:num>
  <w:num w:numId="36">
    <w:abstractNumId w:val="16"/>
  </w:num>
  <w:num w:numId="37">
    <w:abstractNumId w:val="32"/>
  </w:num>
  <w:num w:numId="38">
    <w:abstractNumId w:val="23"/>
  </w:num>
  <w:num w:numId="39">
    <w:abstractNumId w:val="0"/>
  </w:num>
  <w:num w:numId="40">
    <w:abstractNumId w:val="35"/>
  </w:num>
  <w:num w:numId="41">
    <w:abstractNumId w:val="34"/>
  </w:num>
  <w:num w:numId="42">
    <w:abstractNumId w:val="20"/>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ShadeFormData/>
  <w:characterSpacingControl w:val="doNotCompress"/>
  <w:doNotValidateAgainstSchema/>
  <w:doNotDemarcateInvalidXml/>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ewDoc" w:val="Created"/>
  </w:docVars>
  <w:rsids>
    <w:rsidRoot w:val="00A45E6D"/>
    <w:rsid w:val="000006EB"/>
    <w:rsid w:val="000019B2"/>
    <w:rsid w:val="00001E72"/>
    <w:rsid w:val="00003C76"/>
    <w:rsid w:val="0000505F"/>
    <w:rsid w:val="000071A5"/>
    <w:rsid w:val="000079C0"/>
    <w:rsid w:val="00010EE1"/>
    <w:rsid w:val="0001116C"/>
    <w:rsid w:val="00012458"/>
    <w:rsid w:val="000142F1"/>
    <w:rsid w:val="0001460F"/>
    <w:rsid w:val="00021306"/>
    <w:rsid w:val="000222F1"/>
    <w:rsid w:val="00022BE0"/>
    <w:rsid w:val="00022F52"/>
    <w:rsid w:val="0002370C"/>
    <w:rsid w:val="00023E62"/>
    <w:rsid w:val="000251D0"/>
    <w:rsid w:val="00026555"/>
    <w:rsid w:val="00026AC0"/>
    <w:rsid w:val="00036A6F"/>
    <w:rsid w:val="0003765E"/>
    <w:rsid w:val="0004016B"/>
    <w:rsid w:val="000407D8"/>
    <w:rsid w:val="000436B3"/>
    <w:rsid w:val="00044E0C"/>
    <w:rsid w:val="00045828"/>
    <w:rsid w:val="00045BAD"/>
    <w:rsid w:val="00051403"/>
    <w:rsid w:val="00052F44"/>
    <w:rsid w:val="00053695"/>
    <w:rsid w:val="00053BE9"/>
    <w:rsid w:val="000556D4"/>
    <w:rsid w:val="00056EE6"/>
    <w:rsid w:val="00057858"/>
    <w:rsid w:val="0006047F"/>
    <w:rsid w:val="0006053F"/>
    <w:rsid w:val="00065143"/>
    <w:rsid w:val="000654FE"/>
    <w:rsid w:val="000671A2"/>
    <w:rsid w:val="00070EEB"/>
    <w:rsid w:val="00071299"/>
    <w:rsid w:val="00072196"/>
    <w:rsid w:val="00072272"/>
    <w:rsid w:val="00073489"/>
    <w:rsid w:val="000767AC"/>
    <w:rsid w:val="00076A78"/>
    <w:rsid w:val="00076C08"/>
    <w:rsid w:val="00082BAC"/>
    <w:rsid w:val="00086128"/>
    <w:rsid w:val="0008731F"/>
    <w:rsid w:val="000930E0"/>
    <w:rsid w:val="0009381F"/>
    <w:rsid w:val="00094680"/>
    <w:rsid w:val="000956FD"/>
    <w:rsid w:val="000A79FC"/>
    <w:rsid w:val="000B07A1"/>
    <w:rsid w:val="000B1176"/>
    <w:rsid w:val="000B3E49"/>
    <w:rsid w:val="000B7D7C"/>
    <w:rsid w:val="000C031E"/>
    <w:rsid w:val="000C165A"/>
    <w:rsid w:val="000C1D45"/>
    <w:rsid w:val="000C4589"/>
    <w:rsid w:val="000C57D5"/>
    <w:rsid w:val="000C6A87"/>
    <w:rsid w:val="000D1CB0"/>
    <w:rsid w:val="000D55B5"/>
    <w:rsid w:val="000D58BD"/>
    <w:rsid w:val="000D5ED5"/>
    <w:rsid w:val="000D7F7C"/>
    <w:rsid w:val="000E02BE"/>
    <w:rsid w:val="000E3FD7"/>
    <w:rsid w:val="000E5010"/>
    <w:rsid w:val="000F2131"/>
    <w:rsid w:val="000F37BB"/>
    <w:rsid w:val="000F4481"/>
    <w:rsid w:val="000F57BB"/>
    <w:rsid w:val="000F6E60"/>
    <w:rsid w:val="00100919"/>
    <w:rsid w:val="00100A4A"/>
    <w:rsid w:val="00105275"/>
    <w:rsid w:val="001109E6"/>
    <w:rsid w:val="001110DB"/>
    <w:rsid w:val="00112055"/>
    <w:rsid w:val="001128E5"/>
    <w:rsid w:val="00115B60"/>
    <w:rsid w:val="00115D70"/>
    <w:rsid w:val="00120113"/>
    <w:rsid w:val="00120CA3"/>
    <w:rsid w:val="0012193A"/>
    <w:rsid w:val="001235DD"/>
    <w:rsid w:val="0012369A"/>
    <w:rsid w:val="00127373"/>
    <w:rsid w:val="001314D5"/>
    <w:rsid w:val="00133A17"/>
    <w:rsid w:val="00133C58"/>
    <w:rsid w:val="001365F4"/>
    <w:rsid w:val="0014140D"/>
    <w:rsid w:val="00141B6F"/>
    <w:rsid w:val="0014336D"/>
    <w:rsid w:val="0014526C"/>
    <w:rsid w:val="001468E6"/>
    <w:rsid w:val="001477D1"/>
    <w:rsid w:val="00150DAE"/>
    <w:rsid w:val="00152C60"/>
    <w:rsid w:val="001535F3"/>
    <w:rsid w:val="00156E0C"/>
    <w:rsid w:val="00165113"/>
    <w:rsid w:val="001709E2"/>
    <w:rsid w:val="00171278"/>
    <w:rsid w:val="00174C10"/>
    <w:rsid w:val="00175447"/>
    <w:rsid w:val="00183882"/>
    <w:rsid w:val="001851A3"/>
    <w:rsid w:val="001851B9"/>
    <w:rsid w:val="001855B1"/>
    <w:rsid w:val="0019021E"/>
    <w:rsid w:val="00194050"/>
    <w:rsid w:val="00194745"/>
    <w:rsid w:val="001A07F1"/>
    <w:rsid w:val="001A085E"/>
    <w:rsid w:val="001A3B0B"/>
    <w:rsid w:val="001A4332"/>
    <w:rsid w:val="001A478E"/>
    <w:rsid w:val="001A509E"/>
    <w:rsid w:val="001A6FE6"/>
    <w:rsid w:val="001A7B61"/>
    <w:rsid w:val="001A7D6D"/>
    <w:rsid w:val="001B305C"/>
    <w:rsid w:val="001B34EB"/>
    <w:rsid w:val="001B3C45"/>
    <w:rsid w:val="001B3FAA"/>
    <w:rsid w:val="001C0644"/>
    <w:rsid w:val="001C0B58"/>
    <w:rsid w:val="001C2886"/>
    <w:rsid w:val="001D09CC"/>
    <w:rsid w:val="001D0A28"/>
    <w:rsid w:val="001D0AF4"/>
    <w:rsid w:val="001D12D6"/>
    <w:rsid w:val="001D2096"/>
    <w:rsid w:val="001D3A43"/>
    <w:rsid w:val="001D3C11"/>
    <w:rsid w:val="001D4D42"/>
    <w:rsid w:val="001D5EC9"/>
    <w:rsid w:val="001D6B90"/>
    <w:rsid w:val="001E152A"/>
    <w:rsid w:val="001E1DA0"/>
    <w:rsid w:val="001E2985"/>
    <w:rsid w:val="001F163A"/>
    <w:rsid w:val="001F1DAA"/>
    <w:rsid w:val="001F2CFD"/>
    <w:rsid w:val="001F3DD5"/>
    <w:rsid w:val="001F5423"/>
    <w:rsid w:val="001F69E9"/>
    <w:rsid w:val="001F71C9"/>
    <w:rsid w:val="00201B79"/>
    <w:rsid w:val="00202E56"/>
    <w:rsid w:val="002033D6"/>
    <w:rsid w:val="00203758"/>
    <w:rsid w:val="00205E05"/>
    <w:rsid w:val="0020708B"/>
    <w:rsid w:val="002070BA"/>
    <w:rsid w:val="00207B21"/>
    <w:rsid w:val="00207D2A"/>
    <w:rsid w:val="00211257"/>
    <w:rsid w:val="0021342B"/>
    <w:rsid w:val="00213D91"/>
    <w:rsid w:val="002144F0"/>
    <w:rsid w:val="00216F02"/>
    <w:rsid w:val="0021731F"/>
    <w:rsid w:val="00217CA1"/>
    <w:rsid w:val="00220F29"/>
    <w:rsid w:val="0022371E"/>
    <w:rsid w:val="0022490F"/>
    <w:rsid w:val="002274E5"/>
    <w:rsid w:val="0022767B"/>
    <w:rsid w:val="00227BAA"/>
    <w:rsid w:val="002347A2"/>
    <w:rsid w:val="002361DE"/>
    <w:rsid w:val="002411BB"/>
    <w:rsid w:val="00241738"/>
    <w:rsid w:val="00242383"/>
    <w:rsid w:val="00242C41"/>
    <w:rsid w:val="002437A8"/>
    <w:rsid w:val="00250259"/>
    <w:rsid w:val="00251ED1"/>
    <w:rsid w:val="002525B0"/>
    <w:rsid w:val="002530A8"/>
    <w:rsid w:val="00253F4D"/>
    <w:rsid w:val="0026191F"/>
    <w:rsid w:val="0026409E"/>
    <w:rsid w:val="00265153"/>
    <w:rsid w:val="002718D6"/>
    <w:rsid w:val="00272539"/>
    <w:rsid w:val="00272F62"/>
    <w:rsid w:val="00273A3C"/>
    <w:rsid w:val="002769BA"/>
    <w:rsid w:val="002800A7"/>
    <w:rsid w:val="002814AE"/>
    <w:rsid w:val="00281E7E"/>
    <w:rsid w:val="00282EFA"/>
    <w:rsid w:val="00283745"/>
    <w:rsid w:val="002837FC"/>
    <w:rsid w:val="00284C30"/>
    <w:rsid w:val="00284CBB"/>
    <w:rsid w:val="00287BA8"/>
    <w:rsid w:val="00290335"/>
    <w:rsid w:val="0029158C"/>
    <w:rsid w:val="002A06DA"/>
    <w:rsid w:val="002A1640"/>
    <w:rsid w:val="002A456F"/>
    <w:rsid w:val="002A6E2B"/>
    <w:rsid w:val="002A760C"/>
    <w:rsid w:val="002B4D79"/>
    <w:rsid w:val="002B7335"/>
    <w:rsid w:val="002B77F5"/>
    <w:rsid w:val="002C1D0C"/>
    <w:rsid w:val="002C1EC2"/>
    <w:rsid w:val="002C331D"/>
    <w:rsid w:val="002C7E3F"/>
    <w:rsid w:val="002D0891"/>
    <w:rsid w:val="002D15F3"/>
    <w:rsid w:val="002D1AE9"/>
    <w:rsid w:val="002D3103"/>
    <w:rsid w:val="002D4177"/>
    <w:rsid w:val="002D548B"/>
    <w:rsid w:val="002D7ECF"/>
    <w:rsid w:val="002E1B6D"/>
    <w:rsid w:val="002E46DE"/>
    <w:rsid w:val="002E5406"/>
    <w:rsid w:val="002E7EE6"/>
    <w:rsid w:val="002F3633"/>
    <w:rsid w:val="002F653C"/>
    <w:rsid w:val="002F7D4C"/>
    <w:rsid w:val="00300CED"/>
    <w:rsid w:val="00304677"/>
    <w:rsid w:val="00304925"/>
    <w:rsid w:val="00304C1D"/>
    <w:rsid w:val="003069E8"/>
    <w:rsid w:val="00307E85"/>
    <w:rsid w:val="00310269"/>
    <w:rsid w:val="00310E67"/>
    <w:rsid w:val="003111DB"/>
    <w:rsid w:val="00311373"/>
    <w:rsid w:val="00311CCB"/>
    <w:rsid w:val="00313937"/>
    <w:rsid w:val="00314466"/>
    <w:rsid w:val="003149E9"/>
    <w:rsid w:val="00316B83"/>
    <w:rsid w:val="003203C7"/>
    <w:rsid w:val="00320415"/>
    <w:rsid w:val="00322E0B"/>
    <w:rsid w:val="00323107"/>
    <w:rsid w:val="0032446E"/>
    <w:rsid w:val="00324485"/>
    <w:rsid w:val="003314B9"/>
    <w:rsid w:val="00331DCE"/>
    <w:rsid w:val="00332055"/>
    <w:rsid w:val="00332280"/>
    <w:rsid w:val="003323DB"/>
    <w:rsid w:val="00332B05"/>
    <w:rsid w:val="003330C7"/>
    <w:rsid w:val="00344EFE"/>
    <w:rsid w:val="00345525"/>
    <w:rsid w:val="00345AF7"/>
    <w:rsid w:val="00345D12"/>
    <w:rsid w:val="00353B1A"/>
    <w:rsid w:val="00355E73"/>
    <w:rsid w:val="00356841"/>
    <w:rsid w:val="00361E4C"/>
    <w:rsid w:val="0036217D"/>
    <w:rsid w:val="00364715"/>
    <w:rsid w:val="00365687"/>
    <w:rsid w:val="00370A03"/>
    <w:rsid w:val="00372A69"/>
    <w:rsid w:val="00373183"/>
    <w:rsid w:val="00375624"/>
    <w:rsid w:val="00376491"/>
    <w:rsid w:val="00380A15"/>
    <w:rsid w:val="00381107"/>
    <w:rsid w:val="00381308"/>
    <w:rsid w:val="003818E8"/>
    <w:rsid w:val="00383295"/>
    <w:rsid w:val="003848EF"/>
    <w:rsid w:val="00384905"/>
    <w:rsid w:val="003850D9"/>
    <w:rsid w:val="00385BF8"/>
    <w:rsid w:val="00386560"/>
    <w:rsid w:val="003879FD"/>
    <w:rsid w:val="00395058"/>
    <w:rsid w:val="00395DFD"/>
    <w:rsid w:val="00395F95"/>
    <w:rsid w:val="00396C1A"/>
    <w:rsid w:val="003975BC"/>
    <w:rsid w:val="003A151C"/>
    <w:rsid w:val="003A53C5"/>
    <w:rsid w:val="003A5EEC"/>
    <w:rsid w:val="003A6079"/>
    <w:rsid w:val="003A68AB"/>
    <w:rsid w:val="003A69B3"/>
    <w:rsid w:val="003A7572"/>
    <w:rsid w:val="003B04F0"/>
    <w:rsid w:val="003B1336"/>
    <w:rsid w:val="003B20FC"/>
    <w:rsid w:val="003B30DD"/>
    <w:rsid w:val="003B3E18"/>
    <w:rsid w:val="003B5080"/>
    <w:rsid w:val="003B72CF"/>
    <w:rsid w:val="003B78AB"/>
    <w:rsid w:val="003C2BE7"/>
    <w:rsid w:val="003C2DEE"/>
    <w:rsid w:val="003C3CC7"/>
    <w:rsid w:val="003C4286"/>
    <w:rsid w:val="003D1689"/>
    <w:rsid w:val="003D2341"/>
    <w:rsid w:val="003D2D82"/>
    <w:rsid w:val="003D33A3"/>
    <w:rsid w:val="003D3AD4"/>
    <w:rsid w:val="003D3BE0"/>
    <w:rsid w:val="003D4693"/>
    <w:rsid w:val="003D57B2"/>
    <w:rsid w:val="003D6960"/>
    <w:rsid w:val="003D77EE"/>
    <w:rsid w:val="003E0510"/>
    <w:rsid w:val="003E1BBB"/>
    <w:rsid w:val="003E2295"/>
    <w:rsid w:val="003E54B6"/>
    <w:rsid w:val="003E58BD"/>
    <w:rsid w:val="003E66BB"/>
    <w:rsid w:val="003E6957"/>
    <w:rsid w:val="003E7A4D"/>
    <w:rsid w:val="003F1F49"/>
    <w:rsid w:val="003F2FA0"/>
    <w:rsid w:val="003F42A7"/>
    <w:rsid w:val="003F6045"/>
    <w:rsid w:val="003F71C5"/>
    <w:rsid w:val="004016DE"/>
    <w:rsid w:val="00401F18"/>
    <w:rsid w:val="004025DC"/>
    <w:rsid w:val="00402E80"/>
    <w:rsid w:val="00403ACF"/>
    <w:rsid w:val="00403E63"/>
    <w:rsid w:val="004056AD"/>
    <w:rsid w:val="0040577D"/>
    <w:rsid w:val="00411EB7"/>
    <w:rsid w:val="00416050"/>
    <w:rsid w:val="004175D4"/>
    <w:rsid w:val="00417A9F"/>
    <w:rsid w:val="00423165"/>
    <w:rsid w:val="004240A9"/>
    <w:rsid w:val="0042494E"/>
    <w:rsid w:val="0043238D"/>
    <w:rsid w:val="00432445"/>
    <w:rsid w:val="0043446F"/>
    <w:rsid w:val="0043683F"/>
    <w:rsid w:val="004406D1"/>
    <w:rsid w:val="004422A6"/>
    <w:rsid w:val="00443397"/>
    <w:rsid w:val="004442E2"/>
    <w:rsid w:val="00445634"/>
    <w:rsid w:val="004509E6"/>
    <w:rsid w:val="0045253C"/>
    <w:rsid w:val="004547EA"/>
    <w:rsid w:val="00455895"/>
    <w:rsid w:val="00455EAA"/>
    <w:rsid w:val="00456494"/>
    <w:rsid w:val="00457365"/>
    <w:rsid w:val="004577E1"/>
    <w:rsid w:val="0045799A"/>
    <w:rsid w:val="00466326"/>
    <w:rsid w:val="00470BEA"/>
    <w:rsid w:val="00471060"/>
    <w:rsid w:val="004716AC"/>
    <w:rsid w:val="00471E07"/>
    <w:rsid w:val="00474AE1"/>
    <w:rsid w:val="00475192"/>
    <w:rsid w:val="004763AF"/>
    <w:rsid w:val="0048196D"/>
    <w:rsid w:val="00481DBF"/>
    <w:rsid w:val="00483E1A"/>
    <w:rsid w:val="00483FB7"/>
    <w:rsid w:val="0048543A"/>
    <w:rsid w:val="004860C0"/>
    <w:rsid w:val="00487074"/>
    <w:rsid w:val="00490FF7"/>
    <w:rsid w:val="004930F6"/>
    <w:rsid w:val="0049416F"/>
    <w:rsid w:val="004948C9"/>
    <w:rsid w:val="00495404"/>
    <w:rsid w:val="00497931"/>
    <w:rsid w:val="004A14BC"/>
    <w:rsid w:val="004A1654"/>
    <w:rsid w:val="004A3D93"/>
    <w:rsid w:val="004A3EFD"/>
    <w:rsid w:val="004A3F27"/>
    <w:rsid w:val="004A5B3A"/>
    <w:rsid w:val="004A7E39"/>
    <w:rsid w:val="004B3B7B"/>
    <w:rsid w:val="004B5251"/>
    <w:rsid w:val="004B5522"/>
    <w:rsid w:val="004B6552"/>
    <w:rsid w:val="004B66ED"/>
    <w:rsid w:val="004B74F6"/>
    <w:rsid w:val="004C4C8F"/>
    <w:rsid w:val="004D0574"/>
    <w:rsid w:val="004D0C7C"/>
    <w:rsid w:val="004D118B"/>
    <w:rsid w:val="004D1ED2"/>
    <w:rsid w:val="004D6A72"/>
    <w:rsid w:val="004E0ACF"/>
    <w:rsid w:val="004E1174"/>
    <w:rsid w:val="004E29C6"/>
    <w:rsid w:val="004E4095"/>
    <w:rsid w:val="004E6683"/>
    <w:rsid w:val="004E6E0B"/>
    <w:rsid w:val="004F04A9"/>
    <w:rsid w:val="004F58D7"/>
    <w:rsid w:val="004F7BA3"/>
    <w:rsid w:val="00500698"/>
    <w:rsid w:val="00500C9D"/>
    <w:rsid w:val="00503C39"/>
    <w:rsid w:val="00506528"/>
    <w:rsid w:val="00507986"/>
    <w:rsid w:val="005116B1"/>
    <w:rsid w:val="00517351"/>
    <w:rsid w:val="00520444"/>
    <w:rsid w:val="0052463E"/>
    <w:rsid w:val="00525511"/>
    <w:rsid w:val="00526B28"/>
    <w:rsid w:val="00527387"/>
    <w:rsid w:val="00527A7D"/>
    <w:rsid w:val="00527DDB"/>
    <w:rsid w:val="00533D7B"/>
    <w:rsid w:val="00534291"/>
    <w:rsid w:val="005409C5"/>
    <w:rsid w:val="00540A7C"/>
    <w:rsid w:val="00544292"/>
    <w:rsid w:val="005456EC"/>
    <w:rsid w:val="00547154"/>
    <w:rsid w:val="00554795"/>
    <w:rsid w:val="00556DEA"/>
    <w:rsid w:val="00560972"/>
    <w:rsid w:val="00563F7B"/>
    <w:rsid w:val="005640A6"/>
    <w:rsid w:val="0056540C"/>
    <w:rsid w:val="005654AA"/>
    <w:rsid w:val="00565A4C"/>
    <w:rsid w:val="0056664A"/>
    <w:rsid w:val="00570F8E"/>
    <w:rsid w:val="00571AC6"/>
    <w:rsid w:val="00571B06"/>
    <w:rsid w:val="00572118"/>
    <w:rsid w:val="00574A89"/>
    <w:rsid w:val="00574FA9"/>
    <w:rsid w:val="00575FFA"/>
    <w:rsid w:val="00576F30"/>
    <w:rsid w:val="00580D3F"/>
    <w:rsid w:val="00586CE4"/>
    <w:rsid w:val="00586D82"/>
    <w:rsid w:val="005875FD"/>
    <w:rsid w:val="005879B8"/>
    <w:rsid w:val="00591130"/>
    <w:rsid w:val="00593648"/>
    <w:rsid w:val="00594960"/>
    <w:rsid w:val="00594AC6"/>
    <w:rsid w:val="00594F99"/>
    <w:rsid w:val="00595087"/>
    <w:rsid w:val="00596F19"/>
    <w:rsid w:val="005970B5"/>
    <w:rsid w:val="005978D0"/>
    <w:rsid w:val="005A0B86"/>
    <w:rsid w:val="005A2FC0"/>
    <w:rsid w:val="005A5A4A"/>
    <w:rsid w:val="005A66F6"/>
    <w:rsid w:val="005A7A14"/>
    <w:rsid w:val="005B341F"/>
    <w:rsid w:val="005B44D6"/>
    <w:rsid w:val="005B5651"/>
    <w:rsid w:val="005B613F"/>
    <w:rsid w:val="005C0E7F"/>
    <w:rsid w:val="005D0BD1"/>
    <w:rsid w:val="005D27B8"/>
    <w:rsid w:val="005D2E03"/>
    <w:rsid w:val="005D4544"/>
    <w:rsid w:val="005D5178"/>
    <w:rsid w:val="005D5448"/>
    <w:rsid w:val="005D64C3"/>
    <w:rsid w:val="005D6EA8"/>
    <w:rsid w:val="005D6F05"/>
    <w:rsid w:val="005E10E3"/>
    <w:rsid w:val="005E20E0"/>
    <w:rsid w:val="005E2831"/>
    <w:rsid w:val="005E3FC7"/>
    <w:rsid w:val="005F2CCA"/>
    <w:rsid w:val="005F3F63"/>
    <w:rsid w:val="005F54D7"/>
    <w:rsid w:val="005F698B"/>
    <w:rsid w:val="005F7A90"/>
    <w:rsid w:val="00600956"/>
    <w:rsid w:val="00602401"/>
    <w:rsid w:val="00605CA1"/>
    <w:rsid w:val="0060666C"/>
    <w:rsid w:val="00606C5F"/>
    <w:rsid w:val="0061278A"/>
    <w:rsid w:val="00615CA5"/>
    <w:rsid w:val="00615D43"/>
    <w:rsid w:val="00616BCC"/>
    <w:rsid w:val="0061761A"/>
    <w:rsid w:val="00623DFF"/>
    <w:rsid w:val="00624299"/>
    <w:rsid w:val="006243EB"/>
    <w:rsid w:val="00624467"/>
    <w:rsid w:val="00625AC1"/>
    <w:rsid w:val="006267F8"/>
    <w:rsid w:val="0062754A"/>
    <w:rsid w:val="00630EC4"/>
    <w:rsid w:val="00630EC9"/>
    <w:rsid w:val="00631B4C"/>
    <w:rsid w:val="00632522"/>
    <w:rsid w:val="00632CB9"/>
    <w:rsid w:val="00641D5A"/>
    <w:rsid w:val="00643B89"/>
    <w:rsid w:val="00645936"/>
    <w:rsid w:val="00646433"/>
    <w:rsid w:val="0064694F"/>
    <w:rsid w:val="00646B92"/>
    <w:rsid w:val="00646DF1"/>
    <w:rsid w:val="00647402"/>
    <w:rsid w:val="00650282"/>
    <w:rsid w:val="00650A11"/>
    <w:rsid w:val="006511BB"/>
    <w:rsid w:val="006531EF"/>
    <w:rsid w:val="00656305"/>
    <w:rsid w:val="0066034A"/>
    <w:rsid w:val="006631B8"/>
    <w:rsid w:val="00664E6B"/>
    <w:rsid w:val="006656EC"/>
    <w:rsid w:val="006662EE"/>
    <w:rsid w:val="00667977"/>
    <w:rsid w:val="006725A4"/>
    <w:rsid w:val="00674010"/>
    <w:rsid w:val="00674043"/>
    <w:rsid w:val="0067720E"/>
    <w:rsid w:val="0068051F"/>
    <w:rsid w:val="00680871"/>
    <w:rsid w:val="006824EE"/>
    <w:rsid w:val="00684490"/>
    <w:rsid w:val="006867B7"/>
    <w:rsid w:val="00686F5E"/>
    <w:rsid w:val="006876E9"/>
    <w:rsid w:val="006914EF"/>
    <w:rsid w:val="00692DE8"/>
    <w:rsid w:val="006932E0"/>
    <w:rsid w:val="0069403E"/>
    <w:rsid w:val="006945C8"/>
    <w:rsid w:val="00694D87"/>
    <w:rsid w:val="006A0557"/>
    <w:rsid w:val="006A1B09"/>
    <w:rsid w:val="006A2A2C"/>
    <w:rsid w:val="006A2D92"/>
    <w:rsid w:val="006A56C1"/>
    <w:rsid w:val="006A5A2E"/>
    <w:rsid w:val="006B04D1"/>
    <w:rsid w:val="006B2248"/>
    <w:rsid w:val="006B2771"/>
    <w:rsid w:val="006B3C41"/>
    <w:rsid w:val="006B4257"/>
    <w:rsid w:val="006C0521"/>
    <w:rsid w:val="006C3F27"/>
    <w:rsid w:val="006C530A"/>
    <w:rsid w:val="006C5CE3"/>
    <w:rsid w:val="006C7426"/>
    <w:rsid w:val="006C756B"/>
    <w:rsid w:val="006C783B"/>
    <w:rsid w:val="006D1474"/>
    <w:rsid w:val="006D1F7D"/>
    <w:rsid w:val="006D2043"/>
    <w:rsid w:val="006D29CD"/>
    <w:rsid w:val="006D2BE3"/>
    <w:rsid w:val="006D2BF3"/>
    <w:rsid w:val="006D2EFC"/>
    <w:rsid w:val="006D37CF"/>
    <w:rsid w:val="006D7007"/>
    <w:rsid w:val="006E11EC"/>
    <w:rsid w:val="006E17B6"/>
    <w:rsid w:val="006E48D5"/>
    <w:rsid w:val="006E7242"/>
    <w:rsid w:val="006F0945"/>
    <w:rsid w:val="006F3BB8"/>
    <w:rsid w:val="00702D3E"/>
    <w:rsid w:val="00703D2D"/>
    <w:rsid w:val="00706FE9"/>
    <w:rsid w:val="007107D1"/>
    <w:rsid w:val="00710BF9"/>
    <w:rsid w:val="00712914"/>
    <w:rsid w:val="00712FF7"/>
    <w:rsid w:val="0071360C"/>
    <w:rsid w:val="0071367B"/>
    <w:rsid w:val="007139B6"/>
    <w:rsid w:val="0071686F"/>
    <w:rsid w:val="00716D5C"/>
    <w:rsid w:val="00716E66"/>
    <w:rsid w:val="00717760"/>
    <w:rsid w:val="00720415"/>
    <w:rsid w:val="007208D9"/>
    <w:rsid w:val="00720AE5"/>
    <w:rsid w:val="00720AF5"/>
    <w:rsid w:val="00720C9D"/>
    <w:rsid w:val="00720FFE"/>
    <w:rsid w:val="00722C80"/>
    <w:rsid w:val="0073258B"/>
    <w:rsid w:val="00732BA8"/>
    <w:rsid w:val="0073350E"/>
    <w:rsid w:val="00733AAE"/>
    <w:rsid w:val="00733F8C"/>
    <w:rsid w:val="00734E99"/>
    <w:rsid w:val="007359A7"/>
    <w:rsid w:val="00736712"/>
    <w:rsid w:val="00736A54"/>
    <w:rsid w:val="0074096A"/>
    <w:rsid w:val="0074343C"/>
    <w:rsid w:val="00744ECC"/>
    <w:rsid w:val="0074677C"/>
    <w:rsid w:val="00746E21"/>
    <w:rsid w:val="0074740B"/>
    <w:rsid w:val="00747E73"/>
    <w:rsid w:val="0075391E"/>
    <w:rsid w:val="0075393B"/>
    <w:rsid w:val="0075471A"/>
    <w:rsid w:val="00755912"/>
    <w:rsid w:val="0075771C"/>
    <w:rsid w:val="007608D7"/>
    <w:rsid w:val="00763651"/>
    <w:rsid w:val="00767A04"/>
    <w:rsid w:val="00773B58"/>
    <w:rsid w:val="00774343"/>
    <w:rsid w:val="007754E1"/>
    <w:rsid w:val="0077688C"/>
    <w:rsid w:val="0077708F"/>
    <w:rsid w:val="00777487"/>
    <w:rsid w:val="007777A1"/>
    <w:rsid w:val="0078003D"/>
    <w:rsid w:val="0078273E"/>
    <w:rsid w:val="00782DCD"/>
    <w:rsid w:val="00782F88"/>
    <w:rsid w:val="0078471D"/>
    <w:rsid w:val="00784EC0"/>
    <w:rsid w:val="0078730F"/>
    <w:rsid w:val="0078760F"/>
    <w:rsid w:val="007913FD"/>
    <w:rsid w:val="00792564"/>
    <w:rsid w:val="00796A50"/>
    <w:rsid w:val="007A01E1"/>
    <w:rsid w:val="007A4BDD"/>
    <w:rsid w:val="007A6B6C"/>
    <w:rsid w:val="007B05B3"/>
    <w:rsid w:val="007B14CE"/>
    <w:rsid w:val="007B4478"/>
    <w:rsid w:val="007C165C"/>
    <w:rsid w:val="007C1837"/>
    <w:rsid w:val="007C2377"/>
    <w:rsid w:val="007C293A"/>
    <w:rsid w:val="007C3E77"/>
    <w:rsid w:val="007D0CC0"/>
    <w:rsid w:val="007D42E5"/>
    <w:rsid w:val="007D537B"/>
    <w:rsid w:val="007D6F3F"/>
    <w:rsid w:val="007E6CF8"/>
    <w:rsid w:val="007E6ECC"/>
    <w:rsid w:val="007F0ABE"/>
    <w:rsid w:val="007F25A7"/>
    <w:rsid w:val="007F2645"/>
    <w:rsid w:val="007F4668"/>
    <w:rsid w:val="007F4DCB"/>
    <w:rsid w:val="007F64C7"/>
    <w:rsid w:val="007F69DD"/>
    <w:rsid w:val="007F71FE"/>
    <w:rsid w:val="00801EC3"/>
    <w:rsid w:val="008031EC"/>
    <w:rsid w:val="008054F0"/>
    <w:rsid w:val="00805BD3"/>
    <w:rsid w:val="00807DB6"/>
    <w:rsid w:val="00810FAC"/>
    <w:rsid w:val="00811294"/>
    <w:rsid w:val="00812F43"/>
    <w:rsid w:val="008143B2"/>
    <w:rsid w:val="00815425"/>
    <w:rsid w:val="008228A5"/>
    <w:rsid w:val="00822B3C"/>
    <w:rsid w:val="00826F71"/>
    <w:rsid w:val="00827B25"/>
    <w:rsid w:val="00830ED9"/>
    <w:rsid w:val="00834367"/>
    <w:rsid w:val="008369A3"/>
    <w:rsid w:val="00837300"/>
    <w:rsid w:val="00837F65"/>
    <w:rsid w:val="008410B6"/>
    <w:rsid w:val="00845B33"/>
    <w:rsid w:val="0084665E"/>
    <w:rsid w:val="008478CE"/>
    <w:rsid w:val="00847C2B"/>
    <w:rsid w:val="00847E7D"/>
    <w:rsid w:val="00847F14"/>
    <w:rsid w:val="00850CF7"/>
    <w:rsid w:val="00852AEF"/>
    <w:rsid w:val="008545CF"/>
    <w:rsid w:val="0085583B"/>
    <w:rsid w:val="00857E85"/>
    <w:rsid w:val="00860E75"/>
    <w:rsid w:val="0086103A"/>
    <w:rsid w:val="008617EA"/>
    <w:rsid w:val="008629E3"/>
    <w:rsid w:val="0086718F"/>
    <w:rsid w:val="00870D58"/>
    <w:rsid w:val="008729DD"/>
    <w:rsid w:val="00873250"/>
    <w:rsid w:val="00873825"/>
    <w:rsid w:val="008739EF"/>
    <w:rsid w:val="00873ADE"/>
    <w:rsid w:val="00876F9A"/>
    <w:rsid w:val="00877C17"/>
    <w:rsid w:val="0088181D"/>
    <w:rsid w:val="0088303F"/>
    <w:rsid w:val="008839E5"/>
    <w:rsid w:val="0088761A"/>
    <w:rsid w:val="00892576"/>
    <w:rsid w:val="008938CB"/>
    <w:rsid w:val="00893BFB"/>
    <w:rsid w:val="00894601"/>
    <w:rsid w:val="00894CD3"/>
    <w:rsid w:val="0089699B"/>
    <w:rsid w:val="0089782B"/>
    <w:rsid w:val="008A13DA"/>
    <w:rsid w:val="008A160E"/>
    <w:rsid w:val="008A4654"/>
    <w:rsid w:val="008A6708"/>
    <w:rsid w:val="008A7CF1"/>
    <w:rsid w:val="008B0674"/>
    <w:rsid w:val="008B0CFF"/>
    <w:rsid w:val="008B1832"/>
    <w:rsid w:val="008B20C2"/>
    <w:rsid w:val="008B333C"/>
    <w:rsid w:val="008B3CD2"/>
    <w:rsid w:val="008B5C6E"/>
    <w:rsid w:val="008B5F42"/>
    <w:rsid w:val="008B75E1"/>
    <w:rsid w:val="008C011F"/>
    <w:rsid w:val="008C0805"/>
    <w:rsid w:val="008C096C"/>
    <w:rsid w:val="008C0B6E"/>
    <w:rsid w:val="008C0FD8"/>
    <w:rsid w:val="008C1CAA"/>
    <w:rsid w:val="008C26F4"/>
    <w:rsid w:val="008C4888"/>
    <w:rsid w:val="008C52C1"/>
    <w:rsid w:val="008C624A"/>
    <w:rsid w:val="008D14E3"/>
    <w:rsid w:val="008D1DB1"/>
    <w:rsid w:val="008D1DF0"/>
    <w:rsid w:val="008D3892"/>
    <w:rsid w:val="008D39AA"/>
    <w:rsid w:val="008D5118"/>
    <w:rsid w:val="008D6A9C"/>
    <w:rsid w:val="008E2B2F"/>
    <w:rsid w:val="008E348C"/>
    <w:rsid w:val="008E4DFF"/>
    <w:rsid w:val="008E549E"/>
    <w:rsid w:val="008E67C0"/>
    <w:rsid w:val="008E7F9F"/>
    <w:rsid w:val="008F09FE"/>
    <w:rsid w:val="008F0D09"/>
    <w:rsid w:val="008F1046"/>
    <w:rsid w:val="008F18B3"/>
    <w:rsid w:val="008F1E40"/>
    <w:rsid w:val="008F281A"/>
    <w:rsid w:val="008F5890"/>
    <w:rsid w:val="008F5B59"/>
    <w:rsid w:val="008F6E9D"/>
    <w:rsid w:val="00900C12"/>
    <w:rsid w:val="00901EDF"/>
    <w:rsid w:val="00903CAE"/>
    <w:rsid w:val="00904B02"/>
    <w:rsid w:val="00904BBF"/>
    <w:rsid w:val="00904E06"/>
    <w:rsid w:val="009050B9"/>
    <w:rsid w:val="00905752"/>
    <w:rsid w:val="00906A9C"/>
    <w:rsid w:val="00906E14"/>
    <w:rsid w:val="009076FD"/>
    <w:rsid w:val="009128E8"/>
    <w:rsid w:val="00920962"/>
    <w:rsid w:val="009209F2"/>
    <w:rsid w:val="00920A27"/>
    <w:rsid w:val="009257BD"/>
    <w:rsid w:val="00926D83"/>
    <w:rsid w:val="00926DDB"/>
    <w:rsid w:val="0092726F"/>
    <w:rsid w:val="009308F0"/>
    <w:rsid w:val="0093333A"/>
    <w:rsid w:val="00934AC9"/>
    <w:rsid w:val="0093658E"/>
    <w:rsid w:val="00936C94"/>
    <w:rsid w:val="00937CD8"/>
    <w:rsid w:val="00937DFB"/>
    <w:rsid w:val="00941865"/>
    <w:rsid w:val="00941D69"/>
    <w:rsid w:val="00942695"/>
    <w:rsid w:val="00944597"/>
    <w:rsid w:val="00944936"/>
    <w:rsid w:val="00944AA7"/>
    <w:rsid w:val="00946AD7"/>
    <w:rsid w:val="009471E1"/>
    <w:rsid w:val="00947C30"/>
    <w:rsid w:val="00947F91"/>
    <w:rsid w:val="00952D7C"/>
    <w:rsid w:val="009540D9"/>
    <w:rsid w:val="009546F6"/>
    <w:rsid w:val="009549AD"/>
    <w:rsid w:val="009569C9"/>
    <w:rsid w:val="00956BA1"/>
    <w:rsid w:val="00957A0A"/>
    <w:rsid w:val="00961356"/>
    <w:rsid w:val="00962C9F"/>
    <w:rsid w:val="00962CA2"/>
    <w:rsid w:val="0096455D"/>
    <w:rsid w:val="00965CBF"/>
    <w:rsid w:val="00966271"/>
    <w:rsid w:val="00971D78"/>
    <w:rsid w:val="0097372C"/>
    <w:rsid w:val="009769C6"/>
    <w:rsid w:val="00977F47"/>
    <w:rsid w:val="0098079A"/>
    <w:rsid w:val="00980DB7"/>
    <w:rsid w:val="00980FD2"/>
    <w:rsid w:val="00981D4D"/>
    <w:rsid w:val="00983789"/>
    <w:rsid w:val="009837EF"/>
    <w:rsid w:val="00984BDC"/>
    <w:rsid w:val="00985122"/>
    <w:rsid w:val="009857E0"/>
    <w:rsid w:val="00987A1D"/>
    <w:rsid w:val="009918FB"/>
    <w:rsid w:val="00991CE2"/>
    <w:rsid w:val="009A0497"/>
    <w:rsid w:val="009A0902"/>
    <w:rsid w:val="009A1A9A"/>
    <w:rsid w:val="009A7FBA"/>
    <w:rsid w:val="009B0BE9"/>
    <w:rsid w:val="009B36BF"/>
    <w:rsid w:val="009B5872"/>
    <w:rsid w:val="009B5A80"/>
    <w:rsid w:val="009B671B"/>
    <w:rsid w:val="009B6ACF"/>
    <w:rsid w:val="009B6B48"/>
    <w:rsid w:val="009B7123"/>
    <w:rsid w:val="009C3731"/>
    <w:rsid w:val="009C3E19"/>
    <w:rsid w:val="009C74B5"/>
    <w:rsid w:val="009D0E47"/>
    <w:rsid w:val="009D114A"/>
    <w:rsid w:val="009D1F1C"/>
    <w:rsid w:val="009D2902"/>
    <w:rsid w:val="009D3AEC"/>
    <w:rsid w:val="009D6323"/>
    <w:rsid w:val="009D7957"/>
    <w:rsid w:val="009D7CE6"/>
    <w:rsid w:val="009E008F"/>
    <w:rsid w:val="009E0870"/>
    <w:rsid w:val="009E262C"/>
    <w:rsid w:val="009E720C"/>
    <w:rsid w:val="00A00F82"/>
    <w:rsid w:val="00A02AB8"/>
    <w:rsid w:val="00A02E16"/>
    <w:rsid w:val="00A05393"/>
    <w:rsid w:val="00A05924"/>
    <w:rsid w:val="00A12337"/>
    <w:rsid w:val="00A212FC"/>
    <w:rsid w:val="00A21C3A"/>
    <w:rsid w:val="00A22274"/>
    <w:rsid w:val="00A223AF"/>
    <w:rsid w:val="00A2267C"/>
    <w:rsid w:val="00A23419"/>
    <w:rsid w:val="00A32793"/>
    <w:rsid w:val="00A341F0"/>
    <w:rsid w:val="00A376D1"/>
    <w:rsid w:val="00A376E3"/>
    <w:rsid w:val="00A412A4"/>
    <w:rsid w:val="00A44E29"/>
    <w:rsid w:val="00A45E6D"/>
    <w:rsid w:val="00A46BA8"/>
    <w:rsid w:val="00A523CE"/>
    <w:rsid w:val="00A5242C"/>
    <w:rsid w:val="00A53058"/>
    <w:rsid w:val="00A54607"/>
    <w:rsid w:val="00A566F7"/>
    <w:rsid w:val="00A60EA5"/>
    <w:rsid w:val="00A624D4"/>
    <w:rsid w:val="00A63795"/>
    <w:rsid w:val="00A63817"/>
    <w:rsid w:val="00A64DFC"/>
    <w:rsid w:val="00A64E67"/>
    <w:rsid w:val="00A67516"/>
    <w:rsid w:val="00A71812"/>
    <w:rsid w:val="00A73B66"/>
    <w:rsid w:val="00A74FE2"/>
    <w:rsid w:val="00A75DAF"/>
    <w:rsid w:val="00A80316"/>
    <w:rsid w:val="00A80DCD"/>
    <w:rsid w:val="00A82660"/>
    <w:rsid w:val="00A8360B"/>
    <w:rsid w:val="00A8518C"/>
    <w:rsid w:val="00A857D9"/>
    <w:rsid w:val="00A87947"/>
    <w:rsid w:val="00A90A64"/>
    <w:rsid w:val="00A92245"/>
    <w:rsid w:val="00A93A78"/>
    <w:rsid w:val="00AA25A1"/>
    <w:rsid w:val="00AA2B6A"/>
    <w:rsid w:val="00AA4B70"/>
    <w:rsid w:val="00AA7756"/>
    <w:rsid w:val="00AB4200"/>
    <w:rsid w:val="00AB49BD"/>
    <w:rsid w:val="00AB4A42"/>
    <w:rsid w:val="00AB574B"/>
    <w:rsid w:val="00AC06AD"/>
    <w:rsid w:val="00AC1849"/>
    <w:rsid w:val="00AC1DB2"/>
    <w:rsid w:val="00AC23DD"/>
    <w:rsid w:val="00AC6D7C"/>
    <w:rsid w:val="00AC758F"/>
    <w:rsid w:val="00AD01BB"/>
    <w:rsid w:val="00AD02B4"/>
    <w:rsid w:val="00AD44FA"/>
    <w:rsid w:val="00AD4CDC"/>
    <w:rsid w:val="00AD5C7A"/>
    <w:rsid w:val="00AD640D"/>
    <w:rsid w:val="00AD6B21"/>
    <w:rsid w:val="00AD6D7F"/>
    <w:rsid w:val="00AE0DAF"/>
    <w:rsid w:val="00AE311C"/>
    <w:rsid w:val="00AE32FC"/>
    <w:rsid w:val="00AE3926"/>
    <w:rsid w:val="00AE46AA"/>
    <w:rsid w:val="00AE6061"/>
    <w:rsid w:val="00AF0388"/>
    <w:rsid w:val="00AF05EF"/>
    <w:rsid w:val="00AF0863"/>
    <w:rsid w:val="00AF29BB"/>
    <w:rsid w:val="00AF2B88"/>
    <w:rsid w:val="00AF5AAC"/>
    <w:rsid w:val="00AF63A9"/>
    <w:rsid w:val="00AF739D"/>
    <w:rsid w:val="00B006A9"/>
    <w:rsid w:val="00B01ECE"/>
    <w:rsid w:val="00B02511"/>
    <w:rsid w:val="00B053B2"/>
    <w:rsid w:val="00B05876"/>
    <w:rsid w:val="00B06148"/>
    <w:rsid w:val="00B068F2"/>
    <w:rsid w:val="00B12922"/>
    <w:rsid w:val="00B13E97"/>
    <w:rsid w:val="00B154EA"/>
    <w:rsid w:val="00B16395"/>
    <w:rsid w:val="00B16720"/>
    <w:rsid w:val="00B20969"/>
    <w:rsid w:val="00B2109F"/>
    <w:rsid w:val="00B22390"/>
    <w:rsid w:val="00B318B0"/>
    <w:rsid w:val="00B31E83"/>
    <w:rsid w:val="00B3230A"/>
    <w:rsid w:val="00B32524"/>
    <w:rsid w:val="00B328FC"/>
    <w:rsid w:val="00B3411C"/>
    <w:rsid w:val="00B4136C"/>
    <w:rsid w:val="00B4271C"/>
    <w:rsid w:val="00B42A04"/>
    <w:rsid w:val="00B43201"/>
    <w:rsid w:val="00B43453"/>
    <w:rsid w:val="00B450F8"/>
    <w:rsid w:val="00B47CFD"/>
    <w:rsid w:val="00B50649"/>
    <w:rsid w:val="00B50BE9"/>
    <w:rsid w:val="00B51DCA"/>
    <w:rsid w:val="00B51EDA"/>
    <w:rsid w:val="00B53B12"/>
    <w:rsid w:val="00B5400D"/>
    <w:rsid w:val="00B549E8"/>
    <w:rsid w:val="00B557B6"/>
    <w:rsid w:val="00B55E3F"/>
    <w:rsid w:val="00B60A1E"/>
    <w:rsid w:val="00B6502B"/>
    <w:rsid w:val="00B66384"/>
    <w:rsid w:val="00B664D8"/>
    <w:rsid w:val="00B7014D"/>
    <w:rsid w:val="00B7017B"/>
    <w:rsid w:val="00B722B5"/>
    <w:rsid w:val="00B73F2E"/>
    <w:rsid w:val="00B74113"/>
    <w:rsid w:val="00B74EE5"/>
    <w:rsid w:val="00B75053"/>
    <w:rsid w:val="00B827C5"/>
    <w:rsid w:val="00B83D1F"/>
    <w:rsid w:val="00B84190"/>
    <w:rsid w:val="00B9057D"/>
    <w:rsid w:val="00B91546"/>
    <w:rsid w:val="00B91D3B"/>
    <w:rsid w:val="00B93466"/>
    <w:rsid w:val="00B94293"/>
    <w:rsid w:val="00B94B1E"/>
    <w:rsid w:val="00B9718C"/>
    <w:rsid w:val="00B975CB"/>
    <w:rsid w:val="00B97C05"/>
    <w:rsid w:val="00BA1691"/>
    <w:rsid w:val="00BA326C"/>
    <w:rsid w:val="00BB18D8"/>
    <w:rsid w:val="00BB249D"/>
    <w:rsid w:val="00BB258E"/>
    <w:rsid w:val="00BB75D2"/>
    <w:rsid w:val="00BB76DF"/>
    <w:rsid w:val="00BB7B52"/>
    <w:rsid w:val="00BC2FCC"/>
    <w:rsid w:val="00BC468A"/>
    <w:rsid w:val="00BC50A5"/>
    <w:rsid w:val="00BC7D24"/>
    <w:rsid w:val="00BD0413"/>
    <w:rsid w:val="00BD0C96"/>
    <w:rsid w:val="00BD26D4"/>
    <w:rsid w:val="00BD2E17"/>
    <w:rsid w:val="00BD483E"/>
    <w:rsid w:val="00BD6434"/>
    <w:rsid w:val="00BD6E3E"/>
    <w:rsid w:val="00BD7B1A"/>
    <w:rsid w:val="00BE0D81"/>
    <w:rsid w:val="00BE214E"/>
    <w:rsid w:val="00BE2ED0"/>
    <w:rsid w:val="00BE4286"/>
    <w:rsid w:val="00BE4622"/>
    <w:rsid w:val="00BE5FB9"/>
    <w:rsid w:val="00BE647C"/>
    <w:rsid w:val="00BE650A"/>
    <w:rsid w:val="00BE7CC4"/>
    <w:rsid w:val="00BF268F"/>
    <w:rsid w:val="00BF6B96"/>
    <w:rsid w:val="00C0349A"/>
    <w:rsid w:val="00C03EF5"/>
    <w:rsid w:val="00C06A01"/>
    <w:rsid w:val="00C079DC"/>
    <w:rsid w:val="00C11151"/>
    <w:rsid w:val="00C120C0"/>
    <w:rsid w:val="00C13270"/>
    <w:rsid w:val="00C14E51"/>
    <w:rsid w:val="00C15A21"/>
    <w:rsid w:val="00C17AAA"/>
    <w:rsid w:val="00C202C8"/>
    <w:rsid w:val="00C2545A"/>
    <w:rsid w:val="00C31CC0"/>
    <w:rsid w:val="00C3203A"/>
    <w:rsid w:val="00C32C57"/>
    <w:rsid w:val="00C33045"/>
    <w:rsid w:val="00C35CDA"/>
    <w:rsid w:val="00C364F8"/>
    <w:rsid w:val="00C41A41"/>
    <w:rsid w:val="00C4306B"/>
    <w:rsid w:val="00C45162"/>
    <w:rsid w:val="00C509D3"/>
    <w:rsid w:val="00C5104B"/>
    <w:rsid w:val="00C5502B"/>
    <w:rsid w:val="00C57C7C"/>
    <w:rsid w:val="00C60BBD"/>
    <w:rsid w:val="00C63C5D"/>
    <w:rsid w:val="00C63CA5"/>
    <w:rsid w:val="00C67CAC"/>
    <w:rsid w:val="00C67CDD"/>
    <w:rsid w:val="00C72D85"/>
    <w:rsid w:val="00C734E1"/>
    <w:rsid w:val="00C74661"/>
    <w:rsid w:val="00C75C12"/>
    <w:rsid w:val="00C850F4"/>
    <w:rsid w:val="00C8797D"/>
    <w:rsid w:val="00C902D7"/>
    <w:rsid w:val="00C94463"/>
    <w:rsid w:val="00C94CD6"/>
    <w:rsid w:val="00C965A7"/>
    <w:rsid w:val="00CA10EB"/>
    <w:rsid w:val="00CA31D5"/>
    <w:rsid w:val="00CA3585"/>
    <w:rsid w:val="00CA6695"/>
    <w:rsid w:val="00CB2E94"/>
    <w:rsid w:val="00CB511B"/>
    <w:rsid w:val="00CB5B0C"/>
    <w:rsid w:val="00CC3809"/>
    <w:rsid w:val="00CD058E"/>
    <w:rsid w:val="00CD2AD5"/>
    <w:rsid w:val="00CD2C94"/>
    <w:rsid w:val="00CD2D98"/>
    <w:rsid w:val="00CD3F58"/>
    <w:rsid w:val="00CD44C8"/>
    <w:rsid w:val="00CD4E9E"/>
    <w:rsid w:val="00CE30A6"/>
    <w:rsid w:val="00CE42A1"/>
    <w:rsid w:val="00CE7C01"/>
    <w:rsid w:val="00CE7D28"/>
    <w:rsid w:val="00CF17F4"/>
    <w:rsid w:val="00CF2024"/>
    <w:rsid w:val="00CF3FBF"/>
    <w:rsid w:val="00CF4AD8"/>
    <w:rsid w:val="00CF5888"/>
    <w:rsid w:val="00CF61B6"/>
    <w:rsid w:val="00CF625F"/>
    <w:rsid w:val="00CF671F"/>
    <w:rsid w:val="00CF7959"/>
    <w:rsid w:val="00D00503"/>
    <w:rsid w:val="00D00846"/>
    <w:rsid w:val="00D01950"/>
    <w:rsid w:val="00D02C89"/>
    <w:rsid w:val="00D047CD"/>
    <w:rsid w:val="00D04919"/>
    <w:rsid w:val="00D052B4"/>
    <w:rsid w:val="00D10076"/>
    <w:rsid w:val="00D12778"/>
    <w:rsid w:val="00D12F9B"/>
    <w:rsid w:val="00D13B5A"/>
    <w:rsid w:val="00D1488F"/>
    <w:rsid w:val="00D16690"/>
    <w:rsid w:val="00D20645"/>
    <w:rsid w:val="00D20D4C"/>
    <w:rsid w:val="00D22AD5"/>
    <w:rsid w:val="00D23A87"/>
    <w:rsid w:val="00D2449C"/>
    <w:rsid w:val="00D24AAD"/>
    <w:rsid w:val="00D2758D"/>
    <w:rsid w:val="00D337D1"/>
    <w:rsid w:val="00D33EFF"/>
    <w:rsid w:val="00D357D2"/>
    <w:rsid w:val="00D35B70"/>
    <w:rsid w:val="00D35E5E"/>
    <w:rsid w:val="00D374F1"/>
    <w:rsid w:val="00D37C19"/>
    <w:rsid w:val="00D406B9"/>
    <w:rsid w:val="00D40F77"/>
    <w:rsid w:val="00D420DA"/>
    <w:rsid w:val="00D43DD5"/>
    <w:rsid w:val="00D43E31"/>
    <w:rsid w:val="00D4558E"/>
    <w:rsid w:val="00D478C9"/>
    <w:rsid w:val="00D50283"/>
    <w:rsid w:val="00D5127D"/>
    <w:rsid w:val="00D53613"/>
    <w:rsid w:val="00D545A8"/>
    <w:rsid w:val="00D56A9C"/>
    <w:rsid w:val="00D63378"/>
    <w:rsid w:val="00D675F9"/>
    <w:rsid w:val="00D712AD"/>
    <w:rsid w:val="00D714AA"/>
    <w:rsid w:val="00D73421"/>
    <w:rsid w:val="00D7450E"/>
    <w:rsid w:val="00D74A41"/>
    <w:rsid w:val="00D76907"/>
    <w:rsid w:val="00D81644"/>
    <w:rsid w:val="00D85D6C"/>
    <w:rsid w:val="00D92297"/>
    <w:rsid w:val="00D9441D"/>
    <w:rsid w:val="00DA04ED"/>
    <w:rsid w:val="00DA166D"/>
    <w:rsid w:val="00DA35CD"/>
    <w:rsid w:val="00DA46D2"/>
    <w:rsid w:val="00DA6D4E"/>
    <w:rsid w:val="00DA791C"/>
    <w:rsid w:val="00DA7FB6"/>
    <w:rsid w:val="00DB17A2"/>
    <w:rsid w:val="00DB1D74"/>
    <w:rsid w:val="00DB25E4"/>
    <w:rsid w:val="00DB344E"/>
    <w:rsid w:val="00DB36C2"/>
    <w:rsid w:val="00DB5C0C"/>
    <w:rsid w:val="00DB5F07"/>
    <w:rsid w:val="00DB6524"/>
    <w:rsid w:val="00DB6D0F"/>
    <w:rsid w:val="00DB7AF0"/>
    <w:rsid w:val="00DB7F08"/>
    <w:rsid w:val="00DC1159"/>
    <w:rsid w:val="00DC14F0"/>
    <w:rsid w:val="00DC1945"/>
    <w:rsid w:val="00DC4EEC"/>
    <w:rsid w:val="00DC68C9"/>
    <w:rsid w:val="00DC7E54"/>
    <w:rsid w:val="00DD1B1B"/>
    <w:rsid w:val="00DD32DC"/>
    <w:rsid w:val="00DD5A7D"/>
    <w:rsid w:val="00DD617D"/>
    <w:rsid w:val="00DD63E1"/>
    <w:rsid w:val="00DE04E0"/>
    <w:rsid w:val="00DE06E0"/>
    <w:rsid w:val="00DE2AC3"/>
    <w:rsid w:val="00DE55FF"/>
    <w:rsid w:val="00DE5F6F"/>
    <w:rsid w:val="00DE7F03"/>
    <w:rsid w:val="00DF2A6E"/>
    <w:rsid w:val="00DF2F4B"/>
    <w:rsid w:val="00DF71A3"/>
    <w:rsid w:val="00E002F3"/>
    <w:rsid w:val="00E00448"/>
    <w:rsid w:val="00E00B23"/>
    <w:rsid w:val="00E0117D"/>
    <w:rsid w:val="00E03125"/>
    <w:rsid w:val="00E04D95"/>
    <w:rsid w:val="00E0769B"/>
    <w:rsid w:val="00E10B5C"/>
    <w:rsid w:val="00E119E8"/>
    <w:rsid w:val="00E12973"/>
    <w:rsid w:val="00E141EC"/>
    <w:rsid w:val="00E14792"/>
    <w:rsid w:val="00E14DAE"/>
    <w:rsid w:val="00E15496"/>
    <w:rsid w:val="00E155FA"/>
    <w:rsid w:val="00E169CD"/>
    <w:rsid w:val="00E205A2"/>
    <w:rsid w:val="00E215C2"/>
    <w:rsid w:val="00E217A2"/>
    <w:rsid w:val="00E23208"/>
    <w:rsid w:val="00E24758"/>
    <w:rsid w:val="00E261D1"/>
    <w:rsid w:val="00E2763D"/>
    <w:rsid w:val="00E345DB"/>
    <w:rsid w:val="00E3545D"/>
    <w:rsid w:val="00E3574A"/>
    <w:rsid w:val="00E35A46"/>
    <w:rsid w:val="00E40533"/>
    <w:rsid w:val="00E405B8"/>
    <w:rsid w:val="00E435D8"/>
    <w:rsid w:val="00E50D28"/>
    <w:rsid w:val="00E51807"/>
    <w:rsid w:val="00E52A87"/>
    <w:rsid w:val="00E53113"/>
    <w:rsid w:val="00E53896"/>
    <w:rsid w:val="00E5597A"/>
    <w:rsid w:val="00E55ABB"/>
    <w:rsid w:val="00E5686D"/>
    <w:rsid w:val="00E6038C"/>
    <w:rsid w:val="00E60BCA"/>
    <w:rsid w:val="00E62FEA"/>
    <w:rsid w:val="00E64602"/>
    <w:rsid w:val="00E6798F"/>
    <w:rsid w:val="00E67B60"/>
    <w:rsid w:val="00E67D90"/>
    <w:rsid w:val="00E72931"/>
    <w:rsid w:val="00E74DC5"/>
    <w:rsid w:val="00E75380"/>
    <w:rsid w:val="00E7665D"/>
    <w:rsid w:val="00E766DF"/>
    <w:rsid w:val="00E77B7A"/>
    <w:rsid w:val="00E8143B"/>
    <w:rsid w:val="00E8172C"/>
    <w:rsid w:val="00E82A56"/>
    <w:rsid w:val="00E82B1A"/>
    <w:rsid w:val="00E83D8A"/>
    <w:rsid w:val="00E876F1"/>
    <w:rsid w:val="00E9063B"/>
    <w:rsid w:val="00E90731"/>
    <w:rsid w:val="00E947CA"/>
    <w:rsid w:val="00E95A84"/>
    <w:rsid w:val="00E96CB5"/>
    <w:rsid w:val="00E96DF8"/>
    <w:rsid w:val="00E977E8"/>
    <w:rsid w:val="00E9789E"/>
    <w:rsid w:val="00E97BF4"/>
    <w:rsid w:val="00EA0B74"/>
    <w:rsid w:val="00EA2A88"/>
    <w:rsid w:val="00EA75DC"/>
    <w:rsid w:val="00EA78FF"/>
    <w:rsid w:val="00EB002B"/>
    <w:rsid w:val="00EB094A"/>
    <w:rsid w:val="00EB2B0F"/>
    <w:rsid w:val="00EB43FD"/>
    <w:rsid w:val="00EB44BE"/>
    <w:rsid w:val="00EB453D"/>
    <w:rsid w:val="00EB477D"/>
    <w:rsid w:val="00EB7FCF"/>
    <w:rsid w:val="00EC28E5"/>
    <w:rsid w:val="00EC4398"/>
    <w:rsid w:val="00ED1E2C"/>
    <w:rsid w:val="00ED24F2"/>
    <w:rsid w:val="00ED3019"/>
    <w:rsid w:val="00EE0868"/>
    <w:rsid w:val="00EE1372"/>
    <w:rsid w:val="00EE1BFF"/>
    <w:rsid w:val="00EE1F4E"/>
    <w:rsid w:val="00EE49A3"/>
    <w:rsid w:val="00EF0B62"/>
    <w:rsid w:val="00EF1989"/>
    <w:rsid w:val="00EF3A40"/>
    <w:rsid w:val="00EF468B"/>
    <w:rsid w:val="00EF5429"/>
    <w:rsid w:val="00EF5C67"/>
    <w:rsid w:val="00F0049E"/>
    <w:rsid w:val="00F006DC"/>
    <w:rsid w:val="00F02857"/>
    <w:rsid w:val="00F03310"/>
    <w:rsid w:val="00F03424"/>
    <w:rsid w:val="00F04CDD"/>
    <w:rsid w:val="00F0606D"/>
    <w:rsid w:val="00F06EF6"/>
    <w:rsid w:val="00F071A7"/>
    <w:rsid w:val="00F0778D"/>
    <w:rsid w:val="00F077D3"/>
    <w:rsid w:val="00F07E0C"/>
    <w:rsid w:val="00F12941"/>
    <w:rsid w:val="00F12AD0"/>
    <w:rsid w:val="00F13939"/>
    <w:rsid w:val="00F13B21"/>
    <w:rsid w:val="00F14463"/>
    <w:rsid w:val="00F1462F"/>
    <w:rsid w:val="00F1653E"/>
    <w:rsid w:val="00F17FE9"/>
    <w:rsid w:val="00F23291"/>
    <w:rsid w:val="00F23B5A"/>
    <w:rsid w:val="00F25284"/>
    <w:rsid w:val="00F26CA1"/>
    <w:rsid w:val="00F33190"/>
    <w:rsid w:val="00F332A2"/>
    <w:rsid w:val="00F33B74"/>
    <w:rsid w:val="00F33D36"/>
    <w:rsid w:val="00F35821"/>
    <w:rsid w:val="00F436D8"/>
    <w:rsid w:val="00F45799"/>
    <w:rsid w:val="00F4755A"/>
    <w:rsid w:val="00F50057"/>
    <w:rsid w:val="00F547A2"/>
    <w:rsid w:val="00F54D65"/>
    <w:rsid w:val="00F5573B"/>
    <w:rsid w:val="00F60CC6"/>
    <w:rsid w:val="00F622E8"/>
    <w:rsid w:val="00F63F4E"/>
    <w:rsid w:val="00F64822"/>
    <w:rsid w:val="00F65CB3"/>
    <w:rsid w:val="00F667FF"/>
    <w:rsid w:val="00F66B4C"/>
    <w:rsid w:val="00F707E3"/>
    <w:rsid w:val="00F70A77"/>
    <w:rsid w:val="00F71FC5"/>
    <w:rsid w:val="00F7378F"/>
    <w:rsid w:val="00F77609"/>
    <w:rsid w:val="00F804E8"/>
    <w:rsid w:val="00F83412"/>
    <w:rsid w:val="00F9065F"/>
    <w:rsid w:val="00F91F5A"/>
    <w:rsid w:val="00F92F01"/>
    <w:rsid w:val="00F941C2"/>
    <w:rsid w:val="00F95B2C"/>
    <w:rsid w:val="00F971E5"/>
    <w:rsid w:val="00FA153A"/>
    <w:rsid w:val="00FA509B"/>
    <w:rsid w:val="00FB0F81"/>
    <w:rsid w:val="00FB3263"/>
    <w:rsid w:val="00FB4206"/>
    <w:rsid w:val="00FB5CFE"/>
    <w:rsid w:val="00FB6ED3"/>
    <w:rsid w:val="00FB79D5"/>
    <w:rsid w:val="00FC3832"/>
    <w:rsid w:val="00FC4754"/>
    <w:rsid w:val="00FC6BFA"/>
    <w:rsid w:val="00FD1F2A"/>
    <w:rsid w:val="00FD5FBF"/>
    <w:rsid w:val="00FE1737"/>
    <w:rsid w:val="00FE41CB"/>
    <w:rsid w:val="00FE574F"/>
    <w:rsid w:val="00FF029E"/>
    <w:rsid w:val="00FF0918"/>
    <w:rsid w:val="00FF0A78"/>
    <w:rsid w:val="00FF2332"/>
    <w:rsid w:val="00FF6F4D"/>
    <w:rsid w:val="00FF7B29"/>
    <w:rsid w:val="00FF7C4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List Number" w:uiPriority="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8D9"/>
    <w:rPr>
      <w:rFonts w:ascii="Arial" w:hAnsi="Arial" w:cs="Arial"/>
      <w:sz w:val="24"/>
      <w:szCs w:val="24"/>
      <w:lang w:eastAsia="en-US"/>
    </w:rPr>
  </w:style>
  <w:style w:type="paragraph" w:styleId="Heading1">
    <w:name w:val="heading 1"/>
    <w:basedOn w:val="Normal"/>
    <w:next w:val="Normal"/>
    <w:link w:val="Heading1Char"/>
    <w:uiPriority w:val="99"/>
    <w:qFormat/>
    <w:rsid w:val="00E3545D"/>
    <w:pPr>
      <w:keepNext/>
      <w:tabs>
        <w:tab w:val="right" w:pos="10206"/>
      </w:tabs>
      <w:spacing w:before="240" w:after="60"/>
      <w:outlineLvl w:val="0"/>
    </w:pPr>
    <w:rPr>
      <w:rFonts w:ascii="Arial Bold" w:hAnsi="Arial Bold" w:cs="Arial Bold"/>
      <w:b/>
      <w:bCs/>
      <w:spacing w:val="-4"/>
      <w:kern w:val="32"/>
      <w:sz w:val="32"/>
      <w:szCs w:val="32"/>
    </w:rPr>
  </w:style>
  <w:style w:type="paragraph" w:styleId="Heading2">
    <w:name w:val="heading 2"/>
    <w:aliases w:val="EBHeading1"/>
    <w:basedOn w:val="Normal"/>
    <w:next w:val="EBBodyPara"/>
    <w:link w:val="Heading2Char"/>
    <w:uiPriority w:val="99"/>
    <w:qFormat/>
    <w:rsid w:val="002B7335"/>
    <w:pPr>
      <w:keepNext/>
      <w:keepLines/>
      <w:spacing w:before="480" w:after="240"/>
      <w:outlineLvl w:val="1"/>
    </w:pPr>
    <w:rPr>
      <w:color w:val="000000"/>
      <w:sz w:val="32"/>
      <w:szCs w:val="32"/>
      <w:lang w:eastAsia="en-GB"/>
    </w:rPr>
  </w:style>
  <w:style w:type="paragraph" w:styleId="Heading3">
    <w:name w:val="heading 3"/>
    <w:aliases w:val="EBHeading2"/>
    <w:basedOn w:val="Normal"/>
    <w:next w:val="EBBodyPara"/>
    <w:link w:val="Heading3Char"/>
    <w:uiPriority w:val="99"/>
    <w:qFormat/>
    <w:rsid w:val="002B7335"/>
    <w:pPr>
      <w:keepNext/>
      <w:keepLines/>
      <w:spacing w:before="360" w:after="240"/>
      <w:outlineLvl w:val="2"/>
    </w:pPr>
    <w:rPr>
      <w:b/>
      <w:bCs/>
      <w:color w:val="000000"/>
      <w:lang w:eastAsia="en-GB"/>
    </w:rPr>
  </w:style>
  <w:style w:type="paragraph" w:styleId="Heading4">
    <w:name w:val="heading 4"/>
    <w:aliases w:val="EBHeading3"/>
    <w:basedOn w:val="EBBodyPara"/>
    <w:next w:val="Normal"/>
    <w:link w:val="Heading4Char"/>
    <w:uiPriority w:val="99"/>
    <w:qFormat/>
    <w:rsid w:val="002B7335"/>
    <w:pPr>
      <w:spacing w:before="240"/>
      <w:outlineLvl w:val="3"/>
    </w:pPr>
    <w:rPr>
      <w:b/>
      <w:bCs/>
    </w:rPr>
  </w:style>
  <w:style w:type="paragraph" w:styleId="Heading5">
    <w:name w:val="heading 5"/>
    <w:aliases w:val="EBHeading4"/>
    <w:basedOn w:val="Normal"/>
    <w:next w:val="Normal"/>
    <w:link w:val="Heading5Char"/>
    <w:uiPriority w:val="99"/>
    <w:qFormat/>
    <w:rsid w:val="002B7335"/>
    <w:pPr>
      <w:spacing w:before="240" w:after="120"/>
      <w:outlineLvl w:val="4"/>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257BD"/>
    <w:rPr>
      <w:rFonts w:ascii="Cambria" w:hAnsi="Cambria" w:cs="Cambria"/>
      <w:b/>
      <w:bCs/>
      <w:kern w:val="32"/>
      <w:sz w:val="32"/>
      <w:szCs w:val="32"/>
      <w:lang w:eastAsia="en-US"/>
    </w:rPr>
  </w:style>
  <w:style w:type="character" w:customStyle="1" w:styleId="Heading2Char">
    <w:name w:val="Heading 2 Char"/>
    <w:aliases w:val="EBHeading1 Char"/>
    <w:basedOn w:val="DefaultParagraphFont"/>
    <w:link w:val="Heading2"/>
    <w:uiPriority w:val="99"/>
    <w:semiHidden/>
    <w:rsid w:val="009257BD"/>
    <w:rPr>
      <w:rFonts w:ascii="Cambria" w:hAnsi="Cambria" w:cs="Cambria"/>
      <w:b/>
      <w:bCs/>
      <w:i/>
      <w:iCs/>
      <w:sz w:val="28"/>
      <w:szCs w:val="28"/>
      <w:lang w:eastAsia="en-US"/>
    </w:rPr>
  </w:style>
  <w:style w:type="character" w:customStyle="1" w:styleId="Heading3Char">
    <w:name w:val="Heading 3 Char"/>
    <w:aliases w:val="EBHeading2 Char"/>
    <w:basedOn w:val="DefaultParagraphFont"/>
    <w:link w:val="Heading3"/>
    <w:uiPriority w:val="99"/>
    <w:semiHidden/>
    <w:rsid w:val="009257BD"/>
    <w:rPr>
      <w:rFonts w:ascii="Cambria" w:hAnsi="Cambria" w:cs="Cambria"/>
      <w:b/>
      <w:bCs/>
      <w:sz w:val="26"/>
      <w:szCs w:val="26"/>
      <w:lang w:eastAsia="en-US"/>
    </w:rPr>
  </w:style>
  <w:style w:type="character" w:customStyle="1" w:styleId="Heading4Char">
    <w:name w:val="Heading 4 Char"/>
    <w:aliases w:val="EBHeading3 Char"/>
    <w:basedOn w:val="DefaultParagraphFont"/>
    <w:link w:val="Heading4"/>
    <w:uiPriority w:val="99"/>
    <w:semiHidden/>
    <w:rsid w:val="009257BD"/>
    <w:rPr>
      <w:rFonts w:ascii="Calibri" w:hAnsi="Calibri" w:cs="Calibri"/>
      <w:b/>
      <w:bCs/>
      <w:sz w:val="28"/>
      <w:szCs w:val="28"/>
      <w:lang w:eastAsia="en-US"/>
    </w:rPr>
  </w:style>
  <w:style w:type="character" w:customStyle="1" w:styleId="Heading5Char">
    <w:name w:val="Heading 5 Char"/>
    <w:aliases w:val="EBHeading4 Char"/>
    <w:basedOn w:val="DefaultParagraphFont"/>
    <w:link w:val="Heading5"/>
    <w:uiPriority w:val="99"/>
    <w:semiHidden/>
    <w:rsid w:val="009257BD"/>
    <w:rPr>
      <w:rFonts w:ascii="Calibri" w:hAnsi="Calibri" w:cs="Calibri"/>
      <w:b/>
      <w:bCs/>
      <w:i/>
      <w:iCs/>
      <w:sz w:val="26"/>
      <w:szCs w:val="26"/>
      <w:lang w:eastAsia="en-US"/>
    </w:rPr>
  </w:style>
  <w:style w:type="paragraph" w:customStyle="1" w:styleId="IATableLabel">
    <w:name w:val="IATableLabel"/>
    <w:basedOn w:val="Normal"/>
    <w:link w:val="IATableLabelCharChar"/>
    <w:uiPriority w:val="99"/>
    <w:rsid w:val="00402E80"/>
    <w:pPr>
      <w:spacing w:before="50" w:after="50"/>
      <w:ind w:left="113" w:right="113"/>
    </w:pPr>
    <w:rPr>
      <w:rFonts w:eastAsia="SimSun"/>
      <w:b/>
      <w:bCs/>
      <w:color w:val="000000"/>
      <w:spacing w:val="-5"/>
      <w:sz w:val="20"/>
      <w:szCs w:val="20"/>
      <w:lang w:eastAsia="zh-CN"/>
    </w:rPr>
  </w:style>
  <w:style w:type="character" w:customStyle="1" w:styleId="IATableLabelCharChar">
    <w:name w:val="IATableLabel Char Char"/>
    <w:basedOn w:val="DefaultParagraphFont"/>
    <w:link w:val="IATableLabel"/>
    <w:uiPriority w:val="99"/>
    <w:rsid w:val="00402E80"/>
    <w:rPr>
      <w:rFonts w:ascii="Arial" w:eastAsia="SimSun" w:hAnsi="Arial" w:cs="Arial"/>
      <w:b/>
      <w:bCs/>
      <w:color w:val="000000"/>
      <w:spacing w:val="-5"/>
      <w:lang w:val="en-GB" w:eastAsia="zh-CN"/>
    </w:rPr>
  </w:style>
  <w:style w:type="paragraph" w:customStyle="1" w:styleId="IASpacer">
    <w:name w:val="IASpacer"/>
    <w:basedOn w:val="Normal"/>
    <w:uiPriority w:val="99"/>
    <w:rsid w:val="007208D9"/>
    <w:pPr>
      <w:spacing w:line="80" w:lineRule="exact"/>
    </w:pPr>
    <w:rPr>
      <w:rFonts w:eastAsia="SimSun"/>
      <w:sz w:val="22"/>
      <w:szCs w:val="22"/>
      <w:lang w:eastAsia="zh-CN"/>
    </w:rPr>
  </w:style>
  <w:style w:type="paragraph" w:customStyle="1" w:styleId="IATableText">
    <w:name w:val="IATableText"/>
    <w:basedOn w:val="IATableLabel"/>
    <w:link w:val="IATableTextChar"/>
    <w:uiPriority w:val="99"/>
    <w:rsid w:val="00220F29"/>
    <w:rPr>
      <w:b w:val="0"/>
      <w:bCs w:val="0"/>
      <w:color w:val="auto"/>
      <w:sz w:val="22"/>
      <w:szCs w:val="22"/>
    </w:rPr>
  </w:style>
  <w:style w:type="character" w:customStyle="1" w:styleId="IATableTextChar">
    <w:name w:val="IATableText Char"/>
    <w:basedOn w:val="IATableLabelCharChar"/>
    <w:link w:val="IATableText"/>
    <w:uiPriority w:val="99"/>
    <w:rsid w:val="00220F29"/>
    <w:rPr>
      <w:rFonts w:ascii="Arial" w:eastAsia="SimSun" w:hAnsi="Arial" w:cs="Arial"/>
      <w:b/>
      <w:bCs/>
      <w:color w:val="000000"/>
      <w:spacing w:val="-5"/>
      <w:sz w:val="22"/>
      <w:szCs w:val="22"/>
      <w:lang w:val="en-GB" w:eastAsia="zh-CN"/>
    </w:rPr>
  </w:style>
  <w:style w:type="paragraph" w:styleId="BodyText">
    <w:name w:val="Body Text"/>
    <w:basedOn w:val="Normal"/>
    <w:link w:val="BodyTextChar"/>
    <w:uiPriority w:val="99"/>
    <w:rsid w:val="003E54B6"/>
    <w:pPr>
      <w:spacing w:after="120"/>
    </w:pPr>
    <w:rPr>
      <w:color w:val="000000"/>
      <w:sz w:val="22"/>
      <w:szCs w:val="22"/>
      <w:lang w:eastAsia="en-GB"/>
    </w:rPr>
  </w:style>
  <w:style w:type="character" w:customStyle="1" w:styleId="BodyTextChar">
    <w:name w:val="Body Text Char"/>
    <w:basedOn w:val="DefaultParagraphFont"/>
    <w:link w:val="BodyText"/>
    <w:uiPriority w:val="99"/>
    <w:rsid w:val="0049416F"/>
    <w:rPr>
      <w:rFonts w:ascii="Arial" w:hAnsi="Arial" w:cs="Arial"/>
      <w:color w:val="000000"/>
      <w:sz w:val="22"/>
      <w:szCs w:val="22"/>
      <w:lang w:val="en-GB" w:eastAsia="en-GB"/>
    </w:rPr>
  </w:style>
  <w:style w:type="table" w:styleId="TableGrid">
    <w:name w:val="Table Grid"/>
    <w:basedOn w:val="TableNormal"/>
    <w:uiPriority w:val="99"/>
    <w:rsid w:val="00026555"/>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7F64C7"/>
    <w:pPr>
      <w:ind w:left="113"/>
      <w:outlineLvl w:val="0"/>
    </w:pPr>
    <w:rPr>
      <w:color w:val="FFFFFF"/>
      <w:kern w:val="28"/>
      <w:sz w:val="32"/>
      <w:szCs w:val="32"/>
    </w:rPr>
  </w:style>
  <w:style w:type="character" w:customStyle="1" w:styleId="TitleChar">
    <w:name w:val="Title Char"/>
    <w:basedOn w:val="DefaultParagraphFont"/>
    <w:link w:val="Title"/>
    <w:uiPriority w:val="99"/>
    <w:rsid w:val="00174C10"/>
    <w:rPr>
      <w:rFonts w:ascii="Arial" w:hAnsi="Arial" w:cs="Arial"/>
      <w:color w:val="FFFFFF"/>
      <w:kern w:val="28"/>
      <w:sz w:val="32"/>
      <w:szCs w:val="32"/>
      <w:lang w:val="en-GB" w:eastAsia="en-US"/>
    </w:rPr>
  </w:style>
  <w:style w:type="paragraph" w:customStyle="1" w:styleId="IAHeadDept">
    <w:name w:val="IAHeadDept"/>
    <w:basedOn w:val="IATableText"/>
    <w:link w:val="IAHeadDeptChar"/>
    <w:uiPriority w:val="99"/>
    <w:rsid w:val="00C120C0"/>
    <w:pPr>
      <w:spacing w:after="120"/>
      <w:ind w:left="0" w:right="57"/>
    </w:pPr>
    <w:rPr>
      <w:spacing w:val="-6"/>
    </w:rPr>
  </w:style>
  <w:style w:type="paragraph" w:customStyle="1" w:styleId="IAHeadLabel">
    <w:name w:val="IAHeadLabel"/>
    <w:basedOn w:val="IATableLabel"/>
    <w:link w:val="IAHeadLabelChar"/>
    <w:uiPriority w:val="99"/>
    <w:rsid w:val="00570F8E"/>
    <w:pPr>
      <w:spacing w:before="110"/>
      <w:ind w:left="0" w:right="0"/>
    </w:pPr>
  </w:style>
  <w:style w:type="character" w:customStyle="1" w:styleId="IAHeadLabelChar">
    <w:name w:val="IAHeadLabel Char"/>
    <w:basedOn w:val="IATableLabelCharChar"/>
    <w:link w:val="IAHeadLabel"/>
    <w:uiPriority w:val="99"/>
    <w:rsid w:val="00570F8E"/>
    <w:rPr>
      <w:rFonts w:ascii="Arial" w:eastAsia="SimSun" w:hAnsi="Arial" w:cs="Arial"/>
      <w:b/>
      <w:bCs/>
      <w:color w:val="000000"/>
      <w:spacing w:val="-5"/>
      <w:lang w:val="en-GB" w:eastAsia="zh-CN"/>
    </w:rPr>
  </w:style>
  <w:style w:type="table" w:customStyle="1" w:styleId="TableIAHeading">
    <w:name w:val="Table_IAHeading"/>
    <w:uiPriority w:val="99"/>
    <w:semiHidden/>
    <w:rsid w:val="006A5A2E"/>
    <w:rPr>
      <w:rFonts w:eastAsia="SimSu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12" w:space="0" w:color="008080"/>
      </w:tblBorders>
      <w:tblCellMar>
        <w:top w:w="0" w:type="dxa"/>
        <w:left w:w="0" w:type="dxa"/>
        <w:bottom w:w="0" w:type="dxa"/>
        <w:right w:w="0" w:type="dxa"/>
      </w:tblCellMar>
    </w:tblPr>
    <w:tcPr>
      <w:shd w:val="clear" w:color="auto" w:fill="008080"/>
    </w:tcPr>
  </w:style>
  <w:style w:type="paragraph" w:customStyle="1" w:styleId="IATableNotes">
    <w:name w:val="IATableNotes"/>
    <w:basedOn w:val="Normal"/>
    <w:link w:val="IATableNotesChar"/>
    <w:uiPriority w:val="99"/>
    <w:rsid w:val="006A5A2E"/>
    <w:pPr>
      <w:spacing w:before="60" w:after="60"/>
      <w:ind w:left="113" w:right="113"/>
    </w:pPr>
    <w:rPr>
      <w:rFonts w:eastAsia="SimSun"/>
      <w:sz w:val="18"/>
      <w:szCs w:val="18"/>
      <w:lang w:eastAsia="zh-CN"/>
    </w:rPr>
  </w:style>
  <w:style w:type="character" w:customStyle="1" w:styleId="IATableNotesChar">
    <w:name w:val="IATableNotes Char"/>
    <w:basedOn w:val="DefaultParagraphFont"/>
    <w:link w:val="IATableNotes"/>
    <w:uiPriority w:val="99"/>
    <w:rsid w:val="006A5A2E"/>
    <w:rPr>
      <w:rFonts w:ascii="Arial" w:eastAsia="SimSun" w:hAnsi="Arial" w:cs="Arial"/>
      <w:sz w:val="18"/>
      <w:szCs w:val="18"/>
      <w:lang w:val="en-GB" w:eastAsia="zh-CN"/>
    </w:rPr>
  </w:style>
  <w:style w:type="paragraph" w:customStyle="1" w:styleId="IASignOff">
    <w:name w:val="IASignOff"/>
    <w:basedOn w:val="IATableNotes"/>
    <w:next w:val="IATableNotes"/>
    <w:link w:val="IASignOffChar"/>
    <w:uiPriority w:val="99"/>
    <w:semiHidden/>
    <w:rsid w:val="006A5A2E"/>
    <w:pPr>
      <w:spacing w:before="120" w:after="120"/>
      <w:ind w:left="567" w:right="567"/>
    </w:pPr>
    <w:rPr>
      <w:b/>
      <w:bCs/>
      <w:i/>
      <w:iCs/>
    </w:rPr>
  </w:style>
  <w:style w:type="character" w:customStyle="1" w:styleId="IASignOffChar">
    <w:name w:val="IASignOff Char"/>
    <w:basedOn w:val="IATableNotesChar"/>
    <w:link w:val="IASignOff"/>
    <w:uiPriority w:val="99"/>
    <w:rsid w:val="006A5A2E"/>
    <w:rPr>
      <w:rFonts w:ascii="Arial" w:eastAsia="SimSun" w:hAnsi="Arial" w:cs="Arial"/>
      <w:b/>
      <w:bCs/>
      <w:i/>
      <w:iCs/>
      <w:sz w:val="18"/>
      <w:szCs w:val="18"/>
      <w:lang w:val="en-GB" w:eastAsia="zh-CN"/>
    </w:rPr>
  </w:style>
  <w:style w:type="paragraph" w:customStyle="1" w:styleId="IAHeadTitle">
    <w:name w:val="IAHeadTitle"/>
    <w:basedOn w:val="IAHeadDept"/>
    <w:link w:val="IAHeadTitleChar"/>
    <w:uiPriority w:val="99"/>
    <w:rsid w:val="008228A5"/>
    <w:pPr>
      <w:spacing w:before="0" w:after="0"/>
    </w:pPr>
    <w:rPr>
      <w:b/>
      <w:bCs/>
      <w:sz w:val="28"/>
      <w:szCs w:val="28"/>
    </w:rPr>
  </w:style>
  <w:style w:type="paragraph" w:customStyle="1" w:styleId="IASignature">
    <w:name w:val="IA Signature"/>
    <w:basedOn w:val="IATableText"/>
    <w:uiPriority w:val="99"/>
    <w:rsid w:val="00C67CDD"/>
    <w:pPr>
      <w:tabs>
        <w:tab w:val="left" w:leader="dot" w:pos="6804"/>
        <w:tab w:val="right" w:leader="dot" w:pos="10206"/>
      </w:tabs>
      <w:spacing w:before="0" w:after="0"/>
      <w:ind w:left="0"/>
    </w:pPr>
  </w:style>
  <w:style w:type="paragraph" w:customStyle="1" w:styleId="IASign-offlabel">
    <w:name w:val="IA Sign-off label"/>
    <w:basedOn w:val="IAHeadLabel"/>
    <w:link w:val="IASign-offlabelChar"/>
    <w:uiPriority w:val="99"/>
    <w:rsid w:val="00FB5CFE"/>
    <w:pPr>
      <w:spacing w:after="120"/>
    </w:pPr>
    <w:rPr>
      <w:u w:val="single"/>
    </w:rPr>
  </w:style>
  <w:style w:type="character" w:customStyle="1" w:styleId="IASign-offlabelChar">
    <w:name w:val="IA Sign-off label Char"/>
    <w:basedOn w:val="IAHeadLabelChar"/>
    <w:link w:val="IASign-offlabel"/>
    <w:uiPriority w:val="99"/>
    <w:rsid w:val="009050B9"/>
    <w:rPr>
      <w:rFonts w:ascii="Arial" w:eastAsia="SimSun" w:hAnsi="Arial" w:cs="Arial"/>
      <w:b/>
      <w:bCs/>
      <w:color w:val="000000"/>
      <w:spacing w:val="-5"/>
      <w:sz w:val="22"/>
      <w:szCs w:val="22"/>
      <w:u w:val="single"/>
      <w:lang w:val="en-GB" w:eastAsia="zh-CN"/>
    </w:rPr>
  </w:style>
  <w:style w:type="paragraph" w:customStyle="1" w:styleId="IASign-off">
    <w:name w:val="IA Sign-off"/>
    <w:basedOn w:val="IATableText"/>
    <w:uiPriority w:val="99"/>
    <w:rsid w:val="00C67CDD"/>
    <w:pPr>
      <w:spacing w:before="0" w:after="0"/>
      <w:ind w:left="0" w:right="284"/>
    </w:pPr>
    <w:rPr>
      <w:b/>
      <w:bCs/>
      <w:i/>
      <w:iCs/>
    </w:rPr>
  </w:style>
  <w:style w:type="paragraph" w:customStyle="1" w:styleId="IAHeading2">
    <w:name w:val="IAHeading2"/>
    <w:basedOn w:val="Normal"/>
    <w:uiPriority w:val="99"/>
    <w:semiHidden/>
    <w:rsid w:val="000A79FC"/>
    <w:pPr>
      <w:keepNext/>
      <w:keepLines/>
      <w:spacing w:before="60" w:after="60"/>
      <w:ind w:left="113" w:right="113"/>
    </w:pPr>
    <w:rPr>
      <w:rFonts w:eastAsia="SimSun"/>
      <w:b/>
      <w:bCs/>
      <w:sz w:val="20"/>
      <w:szCs w:val="20"/>
      <w:lang w:eastAsia="zh-CN"/>
    </w:rPr>
  </w:style>
  <w:style w:type="table" w:customStyle="1" w:styleId="TableIABox">
    <w:name w:val="Table_IABox"/>
    <w:uiPriority w:val="99"/>
    <w:rsid w:val="007777A1"/>
    <w:rPr>
      <w:rFonts w:eastAsia="SimSun"/>
      <w:sz w:val="20"/>
      <w:szCs w:val="20"/>
    </w:rPr>
    <w:tblPr>
      <w:tblInd w:w="0" w:type="dxa"/>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Pr>
  </w:style>
  <w:style w:type="paragraph" w:styleId="Header">
    <w:name w:val="header"/>
    <w:basedOn w:val="Normal"/>
    <w:link w:val="HeaderChar"/>
    <w:uiPriority w:val="99"/>
    <w:rsid w:val="00E96CB5"/>
    <w:pPr>
      <w:jc w:val="center"/>
    </w:pPr>
    <w:rPr>
      <w:caps/>
    </w:rPr>
  </w:style>
  <w:style w:type="character" w:customStyle="1" w:styleId="HeaderChar">
    <w:name w:val="Header Char"/>
    <w:basedOn w:val="DefaultParagraphFont"/>
    <w:link w:val="Header"/>
    <w:uiPriority w:val="99"/>
    <w:semiHidden/>
    <w:rsid w:val="009257BD"/>
    <w:rPr>
      <w:rFonts w:ascii="Arial" w:hAnsi="Arial" w:cs="Arial"/>
      <w:sz w:val="24"/>
      <w:szCs w:val="24"/>
      <w:lang w:eastAsia="en-US"/>
    </w:rPr>
  </w:style>
  <w:style w:type="paragraph" w:styleId="Footer">
    <w:name w:val="footer"/>
    <w:basedOn w:val="Normal"/>
    <w:link w:val="FooterChar"/>
    <w:uiPriority w:val="99"/>
    <w:rsid w:val="000407D8"/>
    <w:pPr>
      <w:tabs>
        <w:tab w:val="center" w:pos="5132"/>
        <w:tab w:val="right" w:pos="10260"/>
      </w:tabs>
      <w:jc w:val="center"/>
    </w:pPr>
    <w:rPr>
      <w:b/>
      <w:bCs/>
      <w:sz w:val="18"/>
      <w:szCs w:val="18"/>
    </w:rPr>
  </w:style>
  <w:style w:type="character" w:customStyle="1" w:styleId="FooterChar">
    <w:name w:val="Footer Char"/>
    <w:basedOn w:val="DefaultParagraphFont"/>
    <w:link w:val="Footer"/>
    <w:uiPriority w:val="99"/>
    <w:semiHidden/>
    <w:rsid w:val="009257BD"/>
    <w:rPr>
      <w:rFonts w:ascii="Arial" w:hAnsi="Arial" w:cs="Arial"/>
      <w:sz w:val="24"/>
      <w:szCs w:val="24"/>
      <w:lang w:eastAsia="en-US"/>
    </w:rPr>
  </w:style>
  <w:style w:type="character" w:styleId="PageNumber">
    <w:name w:val="page number"/>
    <w:basedOn w:val="DefaultParagraphFont"/>
    <w:uiPriority w:val="99"/>
    <w:rsid w:val="00EB43FD"/>
  </w:style>
  <w:style w:type="paragraph" w:customStyle="1" w:styleId="IANotes">
    <w:name w:val="IANotes"/>
    <w:basedOn w:val="Normal"/>
    <w:uiPriority w:val="99"/>
    <w:semiHidden/>
    <w:rsid w:val="00650282"/>
    <w:rPr>
      <w:rFonts w:eastAsia="SimSun"/>
      <w:color w:val="008080"/>
      <w:sz w:val="22"/>
      <w:szCs w:val="22"/>
      <w:lang w:eastAsia="zh-CN"/>
    </w:rPr>
  </w:style>
  <w:style w:type="paragraph" w:customStyle="1" w:styleId="IATableHeading">
    <w:name w:val="IATableHeading"/>
    <w:basedOn w:val="IATableLabel"/>
    <w:uiPriority w:val="99"/>
    <w:rsid w:val="00716D5C"/>
    <w:rPr>
      <w:sz w:val="22"/>
      <w:szCs w:val="22"/>
    </w:rPr>
  </w:style>
  <w:style w:type="paragraph" w:styleId="FootnoteText">
    <w:name w:val="footnote text"/>
    <w:basedOn w:val="Normal"/>
    <w:link w:val="FootnoteTextChar"/>
    <w:uiPriority w:val="99"/>
    <w:semiHidden/>
    <w:rsid w:val="00490FF7"/>
    <w:rPr>
      <w:rFonts w:eastAsia="SimSun"/>
      <w:sz w:val="16"/>
      <w:szCs w:val="16"/>
      <w:lang w:eastAsia="zh-CN"/>
    </w:rPr>
  </w:style>
  <w:style w:type="character" w:customStyle="1" w:styleId="FootnoteTextChar">
    <w:name w:val="Footnote Text Char"/>
    <w:basedOn w:val="DefaultParagraphFont"/>
    <w:link w:val="FootnoteText"/>
    <w:uiPriority w:val="99"/>
    <w:semiHidden/>
    <w:rsid w:val="00EB2B0F"/>
    <w:rPr>
      <w:rFonts w:ascii="Arial" w:eastAsia="SimSun" w:hAnsi="Arial" w:cs="Arial"/>
      <w:sz w:val="16"/>
      <w:szCs w:val="16"/>
      <w:lang w:val="en-GB" w:eastAsia="zh-CN"/>
    </w:rPr>
  </w:style>
  <w:style w:type="character" w:styleId="FootnoteReference">
    <w:name w:val="footnote reference"/>
    <w:basedOn w:val="DefaultParagraphFont"/>
    <w:uiPriority w:val="99"/>
    <w:semiHidden/>
    <w:rsid w:val="00B84190"/>
    <w:rPr>
      <w:sz w:val="22"/>
      <w:szCs w:val="22"/>
      <w:vertAlign w:val="superscript"/>
    </w:rPr>
  </w:style>
  <w:style w:type="paragraph" w:customStyle="1" w:styleId="EBBodyPara">
    <w:name w:val="EBBodyPara"/>
    <w:basedOn w:val="BodyText"/>
    <w:uiPriority w:val="99"/>
    <w:rsid w:val="005A2FC0"/>
  </w:style>
  <w:style w:type="paragraph" w:styleId="BalloonText">
    <w:name w:val="Balloon Text"/>
    <w:basedOn w:val="Normal"/>
    <w:link w:val="BalloonTextChar"/>
    <w:uiPriority w:val="99"/>
    <w:semiHidden/>
    <w:rsid w:val="00300CED"/>
    <w:rPr>
      <w:rFonts w:ascii="Tahoma" w:hAnsi="Tahoma" w:cs="Tahoma"/>
      <w:sz w:val="16"/>
      <w:szCs w:val="16"/>
    </w:rPr>
  </w:style>
  <w:style w:type="character" w:customStyle="1" w:styleId="BalloonTextChar">
    <w:name w:val="Balloon Text Char"/>
    <w:basedOn w:val="DefaultParagraphFont"/>
    <w:link w:val="BalloonText"/>
    <w:uiPriority w:val="99"/>
    <w:semiHidden/>
    <w:rsid w:val="009257BD"/>
    <w:rPr>
      <w:sz w:val="2"/>
      <w:szCs w:val="2"/>
      <w:lang w:eastAsia="en-US"/>
    </w:rPr>
  </w:style>
  <w:style w:type="paragraph" w:customStyle="1" w:styleId="EBNumber">
    <w:name w:val="EBNumber"/>
    <w:basedOn w:val="BodyText"/>
    <w:uiPriority w:val="99"/>
    <w:rsid w:val="002B7335"/>
    <w:pPr>
      <w:numPr>
        <w:ilvl w:val="1"/>
        <w:numId w:val="20"/>
      </w:numPr>
    </w:pPr>
  </w:style>
  <w:style w:type="paragraph" w:customStyle="1" w:styleId="EBNumberRestart">
    <w:name w:val="EBNumberRestart"/>
    <w:basedOn w:val="BodyText"/>
    <w:next w:val="EBNumber"/>
    <w:uiPriority w:val="99"/>
    <w:rsid w:val="002B7335"/>
    <w:pPr>
      <w:numPr>
        <w:numId w:val="20"/>
      </w:numPr>
    </w:pPr>
  </w:style>
  <w:style w:type="paragraph" w:customStyle="1" w:styleId="StyleIATableText10ptRight">
    <w:name w:val="Style IATableText + 10 pt Right"/>
    <w:basedOn w:val="IATableText"/>
    <w:uiPriority w:val="99"/>
    <w:rsid w:val="008D39AA"/>
    <w:pPr>
      <w:ind w:left="0" w:right="57"/>
      <w:jc w:val="right"/>
    </w:pPr>
    <w:rPr>
      <w:rFonts w:eastAsia="Times New Roman"/>
      <w:sz w:val="20"/>
      <w:szCs w:val="20"/>
    </w:rPr>
  </w:style>
  <w:style w:type="paragraph" w:customStyle="1" w:styleId="SecurityClass">
    <w:name w:val="SecurityClass"/>
    <w:basedOn w:val="Header"/>
    <w:uiPriority w:val="99"/>
    <w:rsid w:val="00AE46AA"/>
  </w:style>
  <w:style w:type="paragraph" w:customStyle="1" w:styleId="IARefNumber">
    <w:name w:val="IARefNumber"/>
    <w:basedOn w:val="IATableText"/>
    <w:uiPriority w:val="99"/>
    <w:rsid w:val="001E152A"/>
    <w:pPr>
      <w:numPr>
        <w:numId w:val="12"/>
      </w:numPr>
      <w:ind w:left="0"/>
    </w:pPr>
  </w:style>
  <w:style w:type="character" w:styleId="Hyperlink">
    <w:name w:val="Hyperlink"/>
    <w:basedOn w:val="DefaultParagraphFont"/>
    <w:uiPriority w:val="99"/>
    <w:rsid w:val="00B4136C"/>
    <w:rPr>
      <w:color w:val="auto"/>
      <w:u w:val="single"/>
    </w:rPr>
  </w:style>
  <w:style w:type="paragraph" w:customStyle="1" w:styleId="POPBY">
    <w:name w:val="POPBY"/>
    <w:basedOn w:val="IATableLabel"/>
    <w:uiPriority w:val="99"/>
    <w:rsid w:val="00AB574B"/>
  </w:style>
  <w:style w:type="paragraph" w:customStyle="1" w:styleId="EBBullet">
    <w:name w:val="EBBullet"/>
    <w:basedOn w:val="BodyText"/>
    <w:uiPriority w:val="99"/>
    <w:rsid w:val="002B7335"/>
    <w:pPr>
      <w:numPr>
        <w:numId w:val="17"/>
      </w:numPr>
    </w:pPr>
  </w:style>
  <w:style w:type="paragraph" w:customStyle="1" w:styleId="IAHeadText">
    <w:name w:val="IAHeadText"/>
    <w:basedOn w:val="IATableText"/>
    <w:uiPriority w:val="99"/>
    <w:rsid w:val="00632CB9"/>
    <w:pPr>
      <w:spacing w:before="0" w:after="0"/>
      <w:ind w:left="0" w:right="57"/>
    </w:pPr>
    <w:rPr>
      <w:spacing w:val="-6"/>
    </w:rPr>
  </w:style>
  <w:style w:type="paragraph" w:customStyle="1" w:styleId="IAHeadLabel0">
    <w:name w:val="IAHeadLabel0"/>
    <w:basedOn w:val="IAHeadLabel"/>
    <w:next w:val="IAHeadTitle"/>
    <w:uiPriority w:val="99"/>
    <w:rsid w:val="00632CB9"/>
    <w:pPr>
      <w:spacing w:before="0"/>
    </w:pPr>
  </w:style>
  <w:style w:type="paragraph" w:customStyle="1" w:styleId="IATableLines">
    <w:name w:val="IATableLines"/>
    <w:basedOn w:val="IATableText"/>
    <w:link w:val="IATableLinesChar"/>
    <w:uiPriority w:val="99"/>
    <w:rsid w:val="00E82A56"/>
    <w:pPr>
      <w:spacing w:before="0" w:after="0"/>
    </w:pPr>
  </w:style>
  <w:style w:type="paragraph" w:customStyle="1" w:styleId="EvidenceHeadPIR">
    <w:name w:val="EvidenceHeadPIR"/>
    <w:uiPriority w:val="99"/>
    <w:rsid w:val="00BE650A"/>
    <w:pPr>
      <w:spacing w:after="120"/>
    </w:pPr>
    <w:rPr>
      <w:rFonts w:ascii="Arial" w:hAnsi="Arial" w:cs="Arial"/>
      <w:color w:val="000000"/>
    </w:rPr>
  </w:style>
  <w:style w:type="character" w:styleId="FollowedHyperlink">
    <w:name w:val="FollowedHyperlink"/>
    <w:basedOn w:val="DefaultParagraphFont"/>
    <w:uiPriority w:val="99"/>
    <w:rsid w:val="006D37CF"/>
    <w:rPr>
      <w:color w:val="auto"/>
      <w:u w:val="single"/>
    </w:rPr>
  </w:style>
  <w:style w:type="paragraph" w:customStyle="1" w:styleId="IASpacer2">
    <w:name w:val="IASpacer2"/>
    <w:basedOn w:val="IASpacer"/>
    <w:uiPriority w:val="99"/>
    <w:rsid w:val="00311373"/>
    <w:pPr>
      <w:spacing w:line="40" w:lineRule="exact"/>
    </w:pPr>
  </w:style>
  <w:style w:type="paragraph" w:customStyle="1" w:styleId="POPVBY">
    <w:name w:val="POPVBY"/>
    <w:basedOn w:val="IATableLabel"/>
    <w:uiPriority w:val="99"/>
    <w:rsid w:val="00AB574B"/>
  </w:style>
  <w:style w:type="paragraph" w:customStyle="1" w:styleId="POTPY">
    <w:name w:val="POTPY"/>
    <w:basedOn w:val="IATableLabel"/>
    <w:uiPriority w:val="99"/>
    <w:rsid w:val="00F622E8"/>
  </w:style>
  <w:style w:type="paragraph" w:customStyle="1" w:styleId="PONBLow">
    <w:name w:val="PONBLow"/>
    <w:basedOn w:val="IATableLabel"/>
    <w:link w:val="PONBLowCharChar"/>
    <w:uiPriority w:val="99"/>
    <w:rsid w:val="00F622E8"/>
    <w:rPr>
      <w:b w:val="0"/>
      <w:bCs w:val="0"/>
    </w:rPr>
  </w:style>
  <w:style w:type="character" w:customStyle="1" w:styleId="PONBLowCharChar">
    <w:name w:val="PONBLow Char Char"/>
    <w:basedOn w:val="IATableLabelCharChar"/>
    <w:link w:val="PONBLow"/>
    <w:uiPriority w:val="99"/>
    <w:rsid w:val="00F622E8"/>
    <w:rPr>
      <w:rFonts w:ascii="Arial" w:eastAsia="SimSun" w:hAnsi="Arial" w:cs="Arial"/>
      <w:b/>
      <w:bCs/>
      <w:color w:val="000000"/>
      <w:spacing w:val="-5"/>
      <w:sz w:val="22"/>
      <w:szCs w:val="22"/>
      <w:lang w:val="en-GB" w:eastAsia="zh-CN"/>
    </w:rPr>
  </w:style>
  <w:style w:type="paragraph" w:customStyle="1" w:styleId="PONBHigh">
    <w:name w:val="PONBHigh"/>
    <w:basedOn w:val="IATableLabel"/>
    <w:link w:val="PONBHighChar"/>
    <w:uiPriority w:val="99"/>
    <w:rsid w:val="00F622E8"/>
    <w:rPr>
      <w:b w:val="0"/>
      <w:bCs w:val="0"/>
    </w:rPr>
  </w:style>
  <w:style w:type="character" w:customStyle="1" w:styleId="PONBHighChar">
    <w:name w:val="PONBHigh Char"/>
    <w:basedOn w:val="IATableLabelCharChar"/>
    <w:link w:val="PONBHigh"/>
    <w:uiPriority w:val="99"/>
    <w:rsid w:val="00F622E8"/>
    <w:rPr>
      <w:rFonts w:ascii="Arial" w:eastAsia="SimSun" w:hAnsi="Arial" w:cs="Arial"/>
      <w:b/>
      <w:bCs/>
      <w:color w:val="000000"/>
      <w:spacing w:val="-5"/>
      <w:sz w:val="22"/>
      <w:szCs w:val="22"/>
      <w:lang w:val="en-GB" w:eastAsia="zh-CN"/>
    </w:rPr>
  </w:style>
  <w:style w:type="paragraph" w:customStyle="1" w:styleId="PONBBestEst">
    <w:name w:val="PONBBestEst"/>
    <w:basedOn w:val="IATableLabel"/>
    <w:link w:val="PONBBestEstChar"/>
    <w:uiPriority w:val="99"/>
    <w:rsid w:val="00F622E8"/>
    <w:rPr>
      <w:b w:val="0"/>
      <w:bCs w:val="0"/>
    </w:rPr>
  </w:style>
  <w:style w:type="character" w:customStyle="1" w:styleId="PONBBestEstChar">
    <w:name w:val="PONBBestEst Char"/>
    <w:basedOn w:val="IATableLabelCharChar"/>
    <w:link w:val="PONBBestEst"/>
    <w:uiPriority w:val="99"/>
    <w:rsid w:val="00F622E8"/>
    <w:rPr>
      <w:rFonts w:ascii="Arial" w:eastAsia="SimSun" w:hAnsi="Arial" w:cs="Arial"/>
      <w:b/>
      <w:bCs/>
      <w:color w:val="000000"/>
      <w:spacing w:val="-5"/>
      <w:sz w:val="22"/>
      <w:szCs w:val="22"/>
      <w:lang w:val="en-GB" w:eastAsia="zh-CN"/>
    </w:rPr>
  </w:style>
  <w:style w:type="paragraph" w:customStyle="1" w:styleId="POTTCostsHigh">
    <w:name w:val="POTTCostsHigh"/>
    <w:basedOn w:val="IATableText"/>
    <w:uiPriority w:val="99"/>
    <w:rsid w:val="00B318B0"/>
    <w:pPr>
      <w:jc w:val="right"/>
    </w:pPr>
  </w:style>
  <w:style w:type="paragraph" w:customStyle="1" w:styleId="POTTCostsLow">
    <w:name w:val="POTTCostsLow"/>
    <w:basedOn w:val="POTTCostsHigh"/>
    <w:uiPriority w:val="99"/>
    <w:rsid w:val="00B318B0"/>
  </w:style>
  <w:style w:type="paragraph" w:customStyle="1" w:styleId="POTTCostsBest">
    <w:name w:val="POTTCostsBest"/>
    <w:basedOn w:val="IATableText"/>
    <w:uiPriority w:val="99"/>
    <w:rsid w:val="00B318B0"/>
    <w:pPr>
      <w:jc w:val="right"/>
    </w:pPr>
  </w:style>
  <w:style w:type="paragraph" w:customStyle="1" w:styleId="POTTCostsYear">
    <w:name w:val="POTTCostsYear"/>
    <w:basedOn w:val="IATableText"/>
    <w:uiPriority w:val="99"/>
    <w:rsid w:val="00B318B0"/>
    <w:pPr>
      <w:jc w:val="center"/>
    </w:pPr>
  </w:style>
  <w:style w:type="paragraph" w:customStyle="1" w:styleId="POAACostsLow">
    <w:name w:val="POAACostsLow"/>
    <w:basedOn w:val="IATableText"/>
    <w:uiPriority w:val="99"/>
    <w:rsid w:val="00B318B0"/>
    <w:pPr>
      <w:jc w:val="right"/>
    </w:pPr>
  </w:style>
  <w:style w:type="paragraph" w:customStyle="1" w:styleId="POAACostsHigh">
    <w:name w:val="POAACostsHigh"/>
    <w:basedOn w:val="POAACostsLow"/>
    <w:uiPriority w:val="99"/>
    <w:rsid w:val="00B318B0"/>
  </w:style>
  <w:style w:type="paragraph" w:customStyle="1" w:styleId="POAACostsBest">
    <w:name w:val="POAACostsBest"/>
    <w:basedOn w:val="IATableText"/>
    <w:uiPriority w:val="99"/>
    <w:rsid w:val="00B318B0"/>
    <w:pPr>
      <w:jc w:val="right"/>
    </w:pPr>
  </w:style>
  <w:style w:type="paragraph" w:customStyle="1" w:styleId="POTCCostsLow">
    <w:name w:val="POTCCostsLow"/>
    <w:basedOn w:val="IATableText"/>
    <w:uiPriority w:val="99"/>
    <w:rsid w:val="00B318B0"/>
    <w:pPr>
      <w:jc w:val="right"/>
    </w:pPr>
    <w:rPr>
      <w:b/>
      <w:bCs/>
    </w:rPr>
  </w:style>
  <w:style w:type="paragraph" w:customStyle="1" w:styleId="POTCCostsHigh">
    <w:name w:val="POTCCostsHigh"/>
    <w:basedOn w:val="IATableText"/>
    <w:uiPriority w:val="99"/>
    <w:rsid w:val="00B318B0"/>
    <w:pPr>
      <w:jc w:val="right"/>
    </w:pPr>
    <w:rPr>
      <w:b/>
      <w:bCs/>
    </w:rPr>
  </w:style>
  <w:style w:type="paragraph" w:customStyle="1" w:styleId="POTCCostsBest">
    <w:name w:val="POTCCostsBest"/>
    <w:basedOn w:val="IATableText"/>
    <w:uiPriority w:val="99"/>
    <w:rsid w:val="00B318B0"/>
    <w:pPr>
      <w:jc w:val="right"/>
    </w:pPr>
    <w:rPr>
      <w:b/>
      <w:bCs/>
    </w:rPr>
  </w:style>
  <w:style w:type="paragraph" w:customStyle="1" w:styleId="IAPOQ1">
    <w:name w:val="IAPOQ1"/>
    <w:basedOn w:val="IATableLabel"/>
    <w:uiPriority w:val="99"/>
    <w:rsid w:val="00B006A9"/>
  </w:style>
  <w:style w:type="paragraph" w:customStyle="1" w:styleId="IAPOA1">
    <w:name w:val="IAPOA1"/>
    <w:basedOn w:val="IATableLines"/>
    <w:uiPriority w:val="99"/>
    <w:rsid w:val="00B006A9"/>
  </w:style>
  <w:style w:type="paragraph" w:customStyle="1" w:styleId="IAPOQ2">
    <w:name w:val="IAPOQ2"/>
    <w:basedOn w:val="IATableLabel"/>
    <w:link w:val="IAPOQ2Char"/>
    <w:uiPriority w:val="99"/>
    <w:rsid w:val="00B006A9"/>
  </w:style>
  <w:style w:type="paragraph" w:customStyle="1" w:styleId="IAPOA2">
    <w:name w:val="IAPOA2"/>
    <w:basedOn w:val="IATableLines"/>
    <w:uiPriority w:val="99"/>
    <w:rsid w:val="00B006A9"/>
  </w:style>
  <w:style w:type="paragraph" w:customStyle="1" w:styleId="POTTBenLow">
    <w:name w:val="POTTBenLow"/>
    <w:basedOn w:val="POTTCostsLow"/>
    <w:uiPriority w:val="99"/>
    <w:rsid w:val="00B006A9"/>
  </w:style>
  <w:style w:type="paragraph" w:customStyle="1" w:styleId="POTTBenHigh">
    <w:name w:val="POTTBenHigh"/>
    <w:basedOn w:val="POTTCostsHigh"/>
    <w:uiPriority w:val="99"/>
    <w:rsid w:val="00B006A9"/>
  </w:style>
  <w:style w:type="paragraph" w:customStyle="1" w:styleId="POTTBenBest">
    <w:name w:val="POTTBenBest"/>
    <w:basedOn w:val="POTTCostsBest"/>
    <w:uiPriority w:val="99"/>
    <w:rsid w:val="00B006A9"/>
  </w:style>
  <w:style w:type="paragraph" w:customStyle="1" w:styleId="POAABenLow">
    <w:name w:val="POAABenLow"/>
    <w:basedOn w:val="POAACostsLow"/>
    <w:uiPriority w:val="99"/>
    <w:rsid w:val="00B006A9"/>
  </w:style>
  <w:style w:type="paragraph" w:customStyle="1" w:styleId="POAABenHigh">
    <w:name w:val="POAABenHigh"/>
    <w:basedOn w:val="POAABenLow"/>
    <w:uiPriority w:val="99"/>
    <w:rsid w:val="00B006A9"/>
  </w:style>
  <w:style w:type="paragraph" w:customStyle="1" w:styleId="POAABenBest">
    <w:name w:val="POAABenBest"/>
    <w:basedOn w:val="POAABenHigh"/>
    <w:uiPriority w:val="99"/>
    <w:rsid w:val="00B006A9"/>
  </w:style>
  <w:style w:type="paragraph" w:customStyle="1" w:styleId="POTBBenLow">
    <w:name w:val="POTBBenLow"/>
    <w:basedOn w:val="POTCCostsLow"/>
    <w:uiPriority w:val="99"/>
    <w:rsid w:val="00B006A9"/>
  </w:style>
  <w:style w:type="paragraph" w:customStyle="1" w:styleId="POTBBenHigh">
    <w:name w:val="POTBBenHigh"/>
    <w:basedOn w:val="POTBBenLow"/>
    <w:uiPriority w:val="99"/>
    <w:rsid w:val="00B006A9"/>
  </w:style>
  <w:style w:type="paragraph" w:customStyle="1" w:styleId="POTBBenBest">
    <w:name w:val="POTBBenBest"/>
    <w:basedOn w:val="POTBBenHigh"/>
    <w:uiPriority w:val="99"/>
    <w:rsid w:val="00B006A9"/>
  </w:style>
  <w:style w:type="paragraph" w:customStyle="1" w:styleId="IPPOQ3">
    <w:name w:val="IPPOQ3"/>
    <w:basedOn w:val="IAPOQ2"/>
    <w:link w:val="IPPOQ3Char"/>
    <w:uiPriority w:val="99"/>
    <w:rsid w:val="00F1653E"/>
  </w:style>
  <w:style w:type="paragraph" w:customStyle="1" w:styleId="IAPOQ4">
    <w:name w:val="IAPOQ4"/>
    <w:basedOn w:val="IPPOQ3"/>
    <w:link w:val="IAPOQ4Char"/>
    <w:uiPriority w:val="99"/>
    <w:rsid w:val="00F1653E"/>
  </w:style>
  <w:style w:type="paragraph" w:customStyle="1" w:styleId="IAPOA3">
    <w:name w:val="IAPOA3"/>
    <w:basedOn w:val="IAPOA2"/>
    <w:uiPriority w:val="99"/>
    <w:rsid w:val="00F1653E"/>
  </w:style>
  <w:style w:type="paragraph" w:customStyle="1" w:styleId="IAPOA4">
    <w:name w:val="IAPOA4"/>
    <w:basedOn w:val="IAPOA3"/>
    <w:uiPriority w:val="99"/>
    <w:rsid w:val="00F1653E"/>
  </w:style>
  <w:style w:type="paragraph" w:customStyle="1" w:styleId="IAPOA5">
    <w:name w:val="IAPOA5"/>
    <w:basedOn w:val="IAPOA4"/>
    <w:uiPriority w:val="99"/>
    <w:rsid w:val="00F1653E"/>
  </w:style>
  <w:style w:type="paragraph" w:customStyle="1" w:styleId="IAPOQ5">
    <w:name w:val="IAPOQ5"/>
    <w:basedOn w:val="IAPOQ4"/>
    <w:link w:val="IAPOQ5Char"/>
    <w:uiPriority w:val="99"/>
    <w:rsid w:val="00F1653E"/>
  </w:style>
  <w:style w:type="character" w:customStyle="1" w:styleId="IAPOQ2Char">
    <w:name w:val="IAPOQ2 Char"/>
    <w:basedOn w:val="IATableLabelCharChar"/>
    <w:link w:val="IAPOQ2"/>
    <w:uiPriority w:val="99"/>
    <w:rsid w:val="00F1653E"/>
    <w:rPr>
      <w:rFonts w:ascii="Arial" w:eastAsia="SimSun" w:hAnsi="Arial" w:cs="Arial"/>
      <w:b/>
      <w:bCs/>
      <w:color w:val="000000"/>
      <w:spacing w:val="-5"/>
      <w:lang w:val="en-GB" w:eastAsia="zh-CN"/>
    </w:rPr>
  </w:style>
  <w:style w:type="character" w:customStyle="1" w:styleId="IPPOQ3Char">
    <w:name w:val="IPPOQ3 Char"/>
    <w:basedOn w:val="IAPOQ2Char"/>
    <w:link w:val="IPPOQ3"/>
    <w:uiPriority w:val="99"/>
    <w:rsid w:val="00F1653E"/>
    <w:rPr>
      <w:rFonts w:ascii="Arial" w:eastAsia="SimSun" w:hAnsi="Arial" w:cs="Arial"/>
      <w:b/>
      <w:bCs/>
      <w:color w:val="000000"/>
      <w:spacing w:val="-5"/>
      <w:lang w:val="en-GB" w:eastAsia="zh-CN"/>
    </w:rPr>
  </w:style>
  <w:style w:type="character" w:customStyle="1" w:styleId="IAPOQ4Char">
    <w:name w:val="IAPOQ4 Char"/>
    <w:basedOn w:val="IPPOQ3Char"/>
    <w:link w:val="IAPOQ4"/>
    <w:uiPriority w:val="99"/>
    <w:rsid w:val="00F1653E"/>
    <w:rPr>
      <w:rFonts w:ascii="Arial" w:eastAsia="SimSun" w:hAnsi="Arial" w:cs="Arial"/>
      <w:b/>
      <w:bCs/>
      <w:color w:val="000000"/>
      <w:spacing w:val="-5"/>
      <w:lang w:val="en-GB" w:eastAsia="zh-CN"/>
    </w:rPr>
  </w:style>
  <w:style w:type="character" w:customStyle="1" w:styleId="IAPOQ5Char">
    <w:name w:val="IAPOQ5 Char"/>
    <w:basedOn w:val="IAPOQ4Char"/>
    <w:link w:val="IAPOQ5"/>
    <w:uiPriority w:val="99"/>
    <w:rsid w:val="00F1653E"/>
    <w:rPr>
      <w:rFonts w:ascii="Arial" w:eastAsia="SimSun" w:hAnsi="Arial" w:cs="Arial"/>
      <w:b/>
      <w:bCs/>
      <w:color w:val="000000"/>
      <w:spacing w:val="-5"/>
      <w:lang w:val="en-GB" w:eastAsia="zh-CN"/>
    </w:rPr>
  </w:style>
  <w:style w:type="paragraph" w:customStyle="1" w:styleId="IAPODisRate">
    <w:name w:val="IAPODisRate"/>
    <w:basedOn w:val="IATableLabel"/>
    <w:uiPriority w:val="99"/>
    <w:rsid w:val="00F1653E"/>
    <w:pPr>
      <w:ind w:left="0"/>
      <w:jc w:val="center"/>
    </w:pPr>
    <w:rPr>
      <w:b w:val="0"/>
      <w:bCs w:val="0"/>
    </w:rPr>
  </w:style>
  <w:style w:type="paragraph" w:customStyle="1" w:styleId="IAPODICost">
    <w:name w:val="IAPODICost"/>
    <w:basedOn w:val="IATableLabel"/>
    <w:link w:val="IAPODICostChar"/>
    <w:uiPriority w:val="99"/>
    <w:rsid w:val="000E3FD7"/>
    <w:rPr>
      <w:b w:val="0"/>
      <w:bCs w:val="0"/>
      <w:sz w:val="22"/>
      <w:szCs w:val="22"/>
    </w:rPr>
  </w:style>
  <w:style w:type="character" w:customStyle="1" w:styleId="IAPODICostChar">
    <w:name w:val="IAPODICost Char"/>
    <w:basedOn w:val="IATableLabelCharChar"/>
    <w:link w:val="IAPODICost"/>
    <w:uiPriority w:val="99"/>
    <w:rsid w:val="000E3FD7"/>
    <w:rPr>
      <w:rFonts w:ascii="Arial" w:eastAsia="SimSun" w:hAnsi="Arial" w:cs="Arial"/>
      <w:b/>
      <w:bCs/>
      <w:color w:val="000000"/>
      <w:spacing w:val="-5"/>
      <w:sz w:val="22"/>
      <w:szCs w:val="22"/>
      <w:lang w:val="en-GB" w:eastAsia="zh-CN"/>
    </w:rPr>
  </w:style>
  <w:style w:type="paragraph" w:customStyle="1" w:styleId="IAPODIBen">
    <w:name w:val="IAPODIBen"/>
    <w:basedOn w:val="IATableLabel"/>
    <w:link w:val="IAPODIBenChar"/>
    <w:uiPriority w:val="99"/>
    <w:rsid w:val="000E3FD7"/>
    <w:rPr>
      <w:b w:val="0"/>
      <w:bCs w:val="0"/>
      <w:sz w:val="22"/>
      <w:szCs w:val="22"/>
    </w:rPr>
  </w:style>
  <w:style w:type="paragraph" w:customStyle="1" w:styleId="IAPODINet">
    <w:name w:val="IAPODINet"/>
    <w:basedOn w:val="IATableLabel"/>
    <w:link w:val="IAPODINetChar"/>
    <w:uiPriority w:val="99"/>
    <w:rsid w:val="000E3FD7"/>
    <w:rPr>
      <w:b w:val="0"/>
      <w:bCs w:val="0"/>
      <w:sz w:val="22"/>
      <w:szCs w:val="22"/>
    </w:rPr>
  </w:style>
  <w:style w:type="paragraph" w:customStyle="1" w:styleId="IAPODIOIOO">
    <w:name w:val="IAPODIOIOO"/>
    <w:basedOn w:val="IATableLabel"/>
    <w:uiPriority w:val="99"/>
    <w:rsid w:val="000E3FD7"/>
    <w:rPr>
      <w:b w:val="0"/>
      <w:bCs w:val="0"/>
      <w:sz w:val="22"/>
      <w:szCs w:val="22"/>
    </w:rPr>
  </w:style>
  <w:style w:type="character" w:customStyle="1" w:styleId="IAPODINetChar">
    <w:name w:val="IAPODINet Char"/>
    <w:basedOn w:val="IATableLabelCharChar"/>
    <w:link w:val="IAPODINet"/>
    <w:uiPriority w:val="99"/>
    <w:rsid w:val="000E3FD7"/>
    <w:rPr>
      <w:rFonts w:ascii="Arial" w:eastAsia="SimSun" w:hAnsi="Arial" w:cs="Arial"/>
      <w:b/>
      <w:bCs/>
      <w:color w:val="000000"/>
      <w:spacing w:val="-5"/>
      <w:sz w:val="22"/>
      <w:szCs w:val="22"/>
      <w:lang w:val="en-GB" w:eastAsia="zh-CN"/>
    </w:rPr>
  </w:style>
  <w:style w:type="character" w:customStyle="1" w:styleId="IAPODIBenChar">
    <w:name w:val="IAPODIBen Char"/>
    <w:basedOn w:val="IATableLabelCharChar"/>
    <w:link w:val="IAPODIBen"/>
    <w:uiPriority w:val="99"/>
    <w:rsid w:val="000E3FD7"/>
    <w:rPr>
      <w:rFonts w:ascii="Arial" w:eastAsia="SimSun" w:hAnsi="Arial" w:cs="Arial"/>
      <w:b/>
      <w:bCs/>
      <w:color w:val="000000"/>
      <w:spacing w:val="-5"/>
      <w:sz w:val="22"/>
      <w:szCs w:val="22"/>
      <w:lang w:val="en-GB" w:eastAsia="zh-CN"/>
    </w:rPr>
  </w:style>
  <w:style w:type="paragraph" w:customStyle="1" w:styleId="IAPODIMQ">
    <w:name w:val="IAPODIMQ"/>
    <w:basedOn w:val="IATableText"/>
    <w:uiPriority w:val="99"/>
    <w:rsid w:val="000E3FD7"/>
    <w:rPr>
      <w:color w:val="000000"/>
      <w:sz w:val="20"/>
      <w:szCs w:val="20"/>
    </w:rPr>
  </w:style>
  <w:style w:type="paragraph" w:customStyle="1" w:styleId="ebbullet0">
    <w:name w:val="ebbullet"/>
    <w:basedOn w:val="Normal"/>
    <w:uiPriority w:val="99"/>
    <w:rsid w:val="001F5423"/>
    <w:pPr>
      <w:spacing w:before="100" w:beforeAutospacing="1" w:after="100" w:afterAutospacing="1"/>
    </w:pPr>
    <w:rPr>
      <w:lang w:eastAsia="en-GB"/>
    </w:rPr>
  </w:style>
  <w:style w:type="paragraph" w:customStyle="1" w:styleId="IATitle">
    <w:name w:val="IATitle"/>
    <w:basedOn w:val="IAHeadTitle"/>
    <w:uiPriority w:val="99"/>
    <w:rsid w:val="008031EC"/>
    <w:pPr>
      <w:ind w:left="113"/>
    </w:pPr>
    <w:rPr>
      <w:noProof/>
      <w:sz w:val="22"/>
      <w:szCs w:val="22"/>
    </w:rPr>
  </w:style>
  <w:style w:type="paragraph" w:customStyle="1" w:styleId="IANo">
    <w:name w:val="IANo"/>
    <w:basedOn w:val="IAHeadTitle"/>
    <w:link w:val="IANoChar"/>
    <w:uiPriority w:val="99"/>
    <w:rsid w:val="00086128"/>
    <w:pPr>
      <w:ind w:left="113"/>
    </w:pPr>
    <w:rPr>
      <w:b w:val="0"/>
      <w:bCs w:val="0"/>
      <w:sz w:val="22"/>
      <w:szCs w:val="22"/>
    </w:rPr>
  </w:style>
  <w:style w:type="character" w:customStyle="1" w:styleId="IAHeadDeptChar">
    <w:name w:val="IAHeadDept Char"/>
    <w:basedOn w:val="IATableTextChar"/>
    <w:link w:val="IAHeadDept"/>
    <w:uiPriority w:val="99"/>
    <w:rsid w:val="008031EC"/>
    <w:rPr>
      <w:rFonts w:ascii="Arial" w:eastAsia="SimSun" w:hAnsi="Arial" w:cs="Arial"/>
      <w:b/>
      <w:bCs/>
      <w:color w:val="000000"/>
      <w:spacing w:val="-6"/>
      <w:sz w:val="22"/>
      <w:szCs w:val="22"/>
      <w:lang w:val="en-GB" w:eastAsia="zh-CN"/>
    </w:rPr>
  </w:style>
  <w:style w:type="character" w:customStyle="1" w:styleId="IAHeadTitleChar">
    <w:name w:val="IAHeadTitle Char"/>
    <w:basedOn w:val="IAHeadDeptChar"/>
    <w:link w:val="IAHeadTitle"/>
    <w:uiPriority w:val="99"/>
    <w:rsid w:val="008031EC"/>
    <w:rPr>
      <w:rFonts w:ascii="Arial" w:eastAsia="SimSun" w:hAnsi="Arial" w:cs="Arial"/>
      <w:b/>
      <w:bCs/>
      <w:color w:val="000000"/>
      <w:spacing w:val="-6"/>
      <w:sz w:val="28"/>
      <w:szCs w:val="28"/>
      <w:lang w:val="en-GB" w:eastAsia="zh-CN"/>
    </w:rPr>
  </w:style>
  <w:style w:type="character" w:customStyle="1" w:styleId="IANoChar">
    <w:name w:val="IANo Char"/>
    <w:basedOn w:val="IAHeadTitleChar"/>
    <w:link w:val="IANo"/>
    <w:uiPriority w:val="99"/>
    <w:rsid w:val="00086128"/>
    <w:rPr>
      <w:rFonts w:ascii="Arial" w:eastAsia="SimSun" w:hAnsi="Arial" w:cs="Arial"/>
      <w:b/>
      <w:bCs/>
      <w:color w:val="000000"/>
      <w:spacing w:val="-6"/>
      <w:sz w:val="22"/>
      <w:szCs w:val="22"/>
      <w:lang w:val="en-GB" w:eastAsia="zh-CN"/>
    </w:rPr>
  </w:style>
  <w:style w:type="paragraph" w:customStyle="1" w:styleId="IALeadDept">
    <w:name w:val="IALeadDept"/>
    <w:basedOn w:val="IAHeadText"/>
    <w:uiPriority w:val="99"/>
    <w:rsid w:val="008031EC"/>
    <w:pPr>
      <w:ind w:left="113"/>
    </w:pPr>
    <w:rPr>
      <w:sz w:val="20"/>
      <w:szCs w:val="20"/>
    </w:rPr>
  </w:style>
  <w:style w:type="paragraph" w:customStyle="1" w:styleId="IAOtherDepts">
    <w:name w:val="IAOtherDepts"/>
    <w:basedOn w:val="IATableLabel"/>
    <w:uiPriority w:val="99"/>
    <w:rsid w:val="008031EC"/>
    <w:pPr>
      <w:spacing w:after="0"/>
    </w:pPr>
    <w:rPr>
      <w:b w:val="0"/>
      <w:bCs w:val="0"/>
    </w:rPr>
  </w:style>
  <w:style w:type="paragraph" w:customStyle="1" w:styleId="IADate">
    <w:name w:val="IADate"/>
    <w:basedOn w:val="IATableLabel"/>
    <w:link w:val="IADateChar"/>
    <w:uiPriority w:val="99"/>
    <w:rsid w:val="008031EC"/>
    <w:rPr>
      <w:b w:val="0"/>
      <w:bCs w:val="0"/>
      <w:sz w:val="22"/>
      <w:szCs w:val="22"/>
    </w:rPr>
  </w:style>
  <w:style w:type="paragraph" w:customStyle="1" w:styleId="IAStage">
    <w:name w:val="IAStage"/>
    <w:basedOn w:val="IATableLabel"/>
    <w:link w:val="IAStageChar"/>
    <w:uiPriority w:val="99"/>
    <w:rsid w:val="008031EC"/>
    <w:rPr>
      <w:b w:val="0"/>
      <w:bCs w:val="0"/>
      <w:sz w:val="22"/>
      <w:szCs w:val="22"/>
    </w:rPr>
  </w:style>
  <w:style w:type="paragraph" w:customStyle="1" w:styleId="IASOI">
    <w:name w:val="IASOI"/>
    <w:basedOn w:val="IATableLabel"/>
    <w:link w:val="IASOIChar"/>
    <w:uiPriority w:val="99"/>
    <w:rsid w:val="008031EC"/>
    <w:rPr>
      <w:b w:val="0"/>
      <w:bCs w:val="0"/>
      <w:sz w:val="22"/>
      <w:szCs w:val="22"/>
    </w:rPr>
  </w:style>
  <w:style w:type="paragraph" w:customStyle="1" w:styleId="IATOM">
    <w:name w:val="IATOM"/>
    <w:basedOn w:val="IATableLabel"/>
    <w:link w:val="IATOMChar"/>
    <w:uiPriority w:val="99"/>
    <w:rsid w:val="008031EC"/>
    <w:rPr>
      <w:b w:val="0"/>
      <w:bCs w:val="0"/>
      <w:sz w:val="22"/>
      <w:szCs w:val="22"/>
    </w:rPr>
  </w:style>
  <w:style w:type="paragraph" w:customStyle="1" w:styleId="IACOE">
    <w:name w:val="IACOE"/>
    <w:basedOn w:val="IATableLines"/>
    <w:link w:val="IACOEChar"/>
    <w:uiPriority w:val="99"/>
    <w:rsid w:val="008031EC"/>
  </w:style>
  <w:style w:type="paragraph" w:customStyle="1" w:styleId="IARPC">
    <w:name w:val="IARPC"/>
    <w:basedOn w:val="Title"/>
    <w:link w:val="IARPCChar"/>
    <w:uiPriority w:val="99"/>
    <w:rsid w:val="00174C10"/>
    <w:rPr>
      <w:rFonts w:eastAsia="SimSun"/>
      <w:color w:val="000000"/>
      <w:sz w:val="24"/>
      <w:szCs w:val="24"/>
    </w:rPr>
  </w:style>
  <w:style w:type="paragraph" w:customStyle="1" w:styleId="IAIIOTNPV">
    <w:name w:val="IAIIOTNPV"/>
    <w:basedOn w:val="IATableLabel"/>
    <w:uiPriority w:val="99"/>
    <w:rsid w:val="008031EC"/>
    <w:pPr>
      <w:spacing w:before="0" w:after="0"/>
      <w:jc w:val="both"/>
    </w:pPr>
    <w:rPr>
      <w:b w:val="0"/>
      <w:bCs w:val="0"/>
      <w:sz w:val="22"/>
      <w:szCs w:val="22"/>
    </w:rPr>
  </w:style>
  <w:style w:type="paragraph" w:customStyle="1" w:styleId="IAIOBNPV">
    <w:name w:val="IAIOBNPV"/>
    <w:basedOn w:val="IATableLabel"/>
    <w:uiPriority w:val="99"/>
    <w:rsid w:val="008031EC"/>
    <w:pPr>
      <w:spacing w:before="0" w:after="0"/>
    </w:pPr>
    <w:rPr>
      <w:b w:val="0"/>
      <w:bCs w:val="0"/>
      <w:sz w:val="22"/>
      <w:szCs w:val="22"/>
    </w:rPr>
  </w:style>
  <w:style w:type="paragraph" w:customStyle="1" w:styleId="IAIONCTBPY">
    <w:name w:val="IAIONCTBPY"/>
    <w:basedOn w:val="IATableLabel"/>
    <w:uiPriority w:val="99"/>
    <w:rsid w:val="008031EC"/>
    <w:pPr>
      <w:spacing w:before="0" w:after="0"/>
    </w:pPr>
    <w:rPr>
      <w:b w:val="0"/>
      <w:bCs w:val="0"/>
      <w:sz w:val="22"/>
      <w:szCs w:val="22"/>
    </w:rPr>
  </w:style>
  <w:style w:type="paragraph" w:customStyle="1" w:styleId="IAIOInScopeInOut">
    <w:name w:val="IAIOInScopeInOut"/>
    <w:basedOn w:val="IATableLabel"/>
    <w:uiPriority w:val="99"/>
    <w:rsid w:val="008369A3"/>
    <w:pPr>
      <w:spacing w:before="0" w:after="0"/>
    </w:pPr>
    <w:rPr>
      <w:b w:val="0"/>
      <w:bCs w:val="0"/>
      <w:sz w:val="22"/>
      <w:szCs w:val="22"/>
    </w:rPr>
  </w:style>
  <w:style w:type="paragraph" w:customStyle="1" w:styleId="IAIOPrefMQ">
    <w:name w:val="IAIOPrefMQ"/>
    <w:basedOn w:val="IATableText"/>
    <w:uiPriority w:val="99"/>
    <w:rsid w:val="008369A3"/>
    <w:pPr>
      <w:spacing w:before="0" w:after="0"/>
    </w:pPr>
    <w:rPr>
      <w:color w:val="000000"/>
    </w:rPr>
  </w:style>
  <w:style w:type="paragraph" w:customStyle="1" w:styleId="IAIOQ1">
    <w:name w:val="IAIOQ1"/>
    <w:basedOn w:val="IATableLabel"/>
    <w:uiPriority w:val="99"/>
    <w:rsid w:val="008369A3"/>
  </w:style>
  <w:style w:type="paragraph" w:customStyle="1" w:styleId="IAIOA1">
    <w:name w:val="IAIOA1"/>
    <w:basedOn w:val="IATableLines"/>
    <w:uiPriority w:val="99"/>
    <w:rsid w:val="008369A3"/>
  </w:style>
  <w:style w:type="paragraph" w:customStyle="1" w:styleId="IAIOQ2">
    <w:name w:val="IAIOQ2"/>
    <w:basedOn w:val="IATableLabel"/>
    <w:uiPriority w:val="99"/>
    <w:rsid w:val="008369A3"/>
  </w:style>
  <w:style w:type="paragraph" w:customStyle="1" w:styleId="IAIOA2">
    <w:name w:val="IAIOA2"/>
    <w:basedOn w:val="IATableLines"/>
    <w:uiPriority w:val="99"/>
    <w:rsid w:val="008369A3"/>
  </w:style>
  <w:style w:type="paragraph" w:customStyle="1" w:styleId="IAIOQ3">
    <w:name w:val="IAIOQ3"/>
    <w:basedOn w:val="IATableLabel"/>
    <w:uiPriority w:val="99"/>
    <w:rsid w:val="008369A3"/>
  </w:style>
  <w:style w:type="paragraph" w:customStyle="1" w:styleId="IAIOA3">
    <w:name w:val="IAIOA3"/>
    <w:basedOn w:val="IATableLines"/>
    <w:uiPriority w:val="99"/>
    <w:rsid w:val="008369A3"/>
  </w:style>
  <w:style w:type="paragraph" w:customStyle="1" w:styleId="IAIOPolicyReview">
    <w:name w:val="IAIOPolicyReview"/>
    <w:basedOn w:val="IATableLabel"/>
    <w:link w:val="IAIOPolicyReviewChar"/>
    <w:uiPriority w:val="99"/>
    <w:rsid w:val="00F91F5A"/>
    <w:rPr>
      <w:b w:val="0"/>
      <w:bCs w:val="0"/>
      <w:sz w:val="22"/>
      <w:szCs w:val="22"/>
    </w:rPr>
  </w:style>
  <w:style w:type="character" w:customStyle="1" w:styleId="IAIOPolicyReviewChar">
    <w:name w:val="IAIOPolicyReview Char"/>
    <w:basedOn w:val="IATableLabelCharChar"/>
    <w:link w:val="IAIOPolicyReview"/>
    <w:uiPriority w:val="99"/>
    <w:rsid w:val="00F91F5A"/>
    <w:rPr>
      <w:rFonts w:ascii="Arial" w:eastAsia="SimSun" w:hAnsi="Arial" w:cs="Arial"/>
      <w:b/>
      <w:bCs/>
      <w:color w:val="000000"/>
      <w:spacing w:val="-5"/>
      <w:sz w:val="22"/>
      <w:szCs w:val="22"/>
      <w:lang w:val="en-GB" w:eastAsia="zh-CN"/>
    </w:rPr>
  </w:style>
  <w:style w:type="paragraph" w:customStyle="1" w:styleId="IAIOReviewMonth">
    <w:name w:val="IAIOReviewMonth"/>
    <w:basedOn w:val="IATableLabel"/>
    <w:link w:val="IAIOReviewMonthChar"/>
    <w:uiPriority w:val="99"/>
    <w:rsid w:val="00F91F5A"/>
    <w:rPr>
      <w:b w:val="0"/>
      <w:bCs w:val="0"/>
      <w:sz w:val="22"/>
      <w:szCs w:val="22"/>
    </w:rPr>
  </w:style>
  <w:style w:type="paragraph" w:customStyle="1" w:styleId="IAIOReviewYear">
    <w:name w:val="IAIOReviewYear"/>
    <w:basedOn w:val="IATableLabel"/>
    <w:link w:val="IAIOReviewYearChar"/>
    <w:uiPriority w:val="99"/>
    <w:rsid w:val="00F91F5A"/>
    <w:rPr>
      <w:b w:val="0"/>
      <w:bCs w:val="0"/>
      <w:sz w:val="22"/>
      <w:szCs w:val="22"/>
    </w:rPr>
  </w:style>
  <w:style w:type="paragraph" w:customStyle="1" w:styleId="IAIOCheckEU">
    <w:name w:val="IAIOCheckEU"/>
    <w:basedOn w:val="IATableText"/>
    <w:uiPriority w:val="99"/>
    <w:rsid w:val="00F91F5A"/>
    <w:pPr>
      <w:spacing w:before="0" w:after="0"/>
    </w:pPr>
    <w:rPr>
      <w:sz w:val="20"/>
      <w:szCs w:val="20"/>
    </w:rPr>
  </w:style>
  <w:style w:type="character" w:customStyle="1" w:styleId="IAIOReviewYearChar">
    <w:name w:val="IAIOReviewYear Char"/>
    <w:basedOn w:val="IATableLabelCharChar"/>
    <w:link w:val="IAIOReviewYear"/>
    <w:uiPriority w:val="99"/>
    <w:rsid w:val="00F91F5A"/>
    <w:rPr>
      <w:rFonts w:ascii="Arial" w:eastAsia="SimSun" w:hAnsi="Arial" w:cs="Arial"/>
      <w:b/>
      <w:bCs/>
      <w:color w:val="000000"/>
      <w:spacing w:val="-5"/>
      <w:sz w:val="22"/>
      <w:szCs w:val="22"/>
      <w:lang w:val="en-GB" w:eastAsia="zh-CN"/>
    </w:rPr>
  </w:style>
  <w:style w:type="character" w:customStyle="1" w:styleId="IAIOReviewMonthChar">
    <w:name w:val="IAIOReviewMonth Char"/>
    <w:basedOn w:val="IATableLabelCharChar"/>
    <w:link w:val="IAIOReviewMonth"/>
    <w:uiPriority w:val="99"/>
    <w:rsid w:val="00F91F5A"/>
    <w:rPr>
      <w:rFonts w:ascii="Arial" w:eastAsia="SimSun" w:hAnsi="Arial" w:cs="Arial"/>
      <w:b/>
      <w:bCs/>
      <w:color w:val="000000"/>
      <w:spacing w:val="-5"/>
      <w:sz w:val="22"/>
      <w:szCs w:val="22"/>
      <w:lang w:val="en-GB" w:eastAsia="zh-CN"/>
    </w:rPr>
  </w:style>
  <w:style w:type="paragraph" w:customStyle="1" w:styleId="IAIOCheckMicro">
    <w:name w:val="IAIOCheckMicro"/>
    <w:basedOn w:val="IATableLines"/>
    <w:link w:val="IAIOCheckMicroChar"/>
    <w:uiPriority w:val="99"/>
    <w:rsid w:val="00F91F5A"/>
    <w:rPr>
      <w:sz w:val="20"/>
      <w:szCs w:val="20"/>
    </w:rPr>
  </w:style>
  <w:style w:type="paragraph" w:customStyle="1" w:styleId="IAIOCheck20">
    <w:name w:val="IAIOCheck20"/>
    <w:basedOn w:val="IATableLines"/>
    <w:uiPriority w:val="99"/>
    <w:rsid w:val="00F91F5A"/>
    <w:rPr>
      <w:sz w:val="20"/>
      <w:szCs w:val="20"/>
    </w:rPr>
  </w:style>
  <w:style w:type="paragraph" w:customStyle="1" w:styleId="IAIOCheckSmall">
    <w:name w:val="IAIOCheckSmall"/>
    <w:basedOn w:val="IATableLines"/>
    <w:link w:val="IAIOCheckSmallChar"/>
    <w:uiPriority w:val="99"/>
    <w:rsid w:val="00F91F5A"/>
    <w:rPr>
      <w:sz w:val="20"/>
      <w:szCs w:val="20"/>
    </w:rPr>
  </w:style>
  <w:style w:type="paragraph" w:customStyle="1" w:styleId="IAIOCheckMedium">
    <w:name w:val="IAIOCheckMedium"/>
    <w:basedOn w:val="IATableLines"/>
    <w:link w:val="IAIOCheckMediumChar"/>
    <w:uiPriority w:val="99"/>
    <w:rsid w:val="00F91F5A"/>
    <w:rPr>
      <w:sz w:val="20"/>
      <w:szCs w:val="20"/>
    </w:rPr>
  </w:style>
  <w:style w:type="paragraph" w:customStyle="1" w:styleId="IAIOCheckLarge">
    <w:name w:val="IAIOCheckLarge"/>
    <w:basedOn w:val="IATableLines"/>
    <w:link w:val="IAIOCheckLargeChar"/>
    <w:uiPriority w:val="99"/>
    <w:rsid w:val="00F91F5A"/>
    <w:rPr>
      <w:sz w:val="20"/>
      <w:szCs w:val="20"/>
    </w:rPr>
  </w:style>
  <w:style w:type="paragraph" w:customStyle="1" w:styleId="IAIOCO2Traded">
    <w:name w:val="IAIOCO2Traded"/>
    <w:basedOn w:val="IATableLabel"/>
    <w:link w:val="IAIOCO2TradedChar"/>
    <w:uiPriority w:val="99"/>
    <w:rsid w:val="00F91F5A"/>
    <w:rPr>
      <w:b w:val="0"/>
      <w:bCs w:val="0"/>
      <w:sz w:val="22"/>
      <w:szCs w:val="22"/>
    </w:rPr>
  </w:style>
  <w:style w:type="paragraph" w:customStyle="1" w:styleId="IAIOCO2NonTraded">
    <w:name w:val="IAIOCO2NonTraded"/>
    <w:basedOn w:val="IATableLabel"/>
    <w:link w:val="IAIOCO2NonTradedChar"/>
    <w:uiPriority w:val="99"/>
    <w:rsid w:val="00F91F5A"/>
    <w:rPr>
      <w:b w:val="0"/>
      <w:bCs w:val="0"/>
      <w:sz w:val="22"/>
      <w:szCs w:val="22"/>
    </w:rPr>
  </w:style>
  <w:style w:type="paragraph" w:customStyle="1" w:styleId="IAIOtextSign">
    <w:name w:val="IAIOtextSign"/>
    <w:basedOn w:val="Normal"/>
    <w:uiPriority w:val="99"/>
    <w:rsid w:val="00F91F5A"/>
    <w:pPr>
      <w:jc w:val="center"/>
    </w:pPr>
  </w:style>
  <w:style w:type="paragraph" w:customStyle="1" w:styleId="IAIOSigDate">
    <w:name w:val="IAIOSigDate"/>
    <w:basedOn w:val="Normal"/>
    <w:uiPriority w:val="99"/>
    <w:rsid w:val="00F91F5A"/>
    <w:pPr>
      <w:jc w:val="center"/>
    </w:pPr>
    <w:rPr>
      <w:sz w:val="22"/>
      <w:szCs w:val="22"/>
    </w:rPr>
  </w:style>
  <w:style w:type="paragraph" w:customStyle="1" w:styleId="IAPODescription">
    <w:name w:val="IAPODescription"/>
    <w:basedOn w:val="IAHeadLabel"/>
    <w:link w:val="IAPODescriptionCharChar"/>
    <w:uiPriority w:val="99"/>
    <w:rsid w:val="00D00846"/>
    <w:pPr>
      <w:spacing w:before="50"/>
    </w:pPr>
    <w:rPr>
      <w:b w:val="0"/>
      <w:bCs w:val="0"/>
    </w:rPr>
  </w:style>
  <w:style w:type="character" w:customStyle="1" w:styleId="IAPODescriptionCharChar">
    <w:name w:val="IAPODescription Char Char"/>
    <w:basedOn w:val="IAHeadLabelChar"/>
    <w:link w:val="IAPODescription"/>
    <w:uiPriority w:val="99"/>
    <w:rsid w:val="00D00846"/>
    <w:rPr>
      <w:rFonts w:ascii="Arial" w:eastAsia="SimSun" w:hAnsi="Arial" w:cs="Arial"/>
      <w:b/>
      <w:bCs/>
      <w:color w:val="000000"/>
      <w:spacing w:val="-5"/>
      <w:lang w:val="en-GB" w:eastAsia="zh-CN"/>
    </w:rPr>
  </w:style>
  <w:style w:type="character" w:customStyle="1" w:styleId="IADateChar">
    <w:name w:val="IADate Char"/>
    <w:basedOn w:val="IATableLabelCharChar"/>
    <w:link w:val="IADate"/>
    <w:uiPriority w:val="99"/>
    <w:rsid w:val="00174C10"/>
    <w:rPr>
      <w:rFonts w:ascii="Arial" w:eastAsia="SimSun" w:hAnsi="Arial" w:cs="Arial"/>
      <w:b/>
      <w:bCs/>
      <w:color w:val="000000"/>
      <w:spacing w:val="-5"/>
      <w:sz w:val="22"/>
      <w:szCs w:val="22"/>
      <w:lang w:val="en-GB" w:eastAsia="zh-CN"/>
    </w:rPr>
  </w:style>
  <w:style w:type="character" w:customStyle="1" w:styleId="IATableLinesChar">
    <w:name w:val="IATableLines Char"/>
    <w:basedOn w:val="IATableTextChar"/>
    <w:link w:val="IATableLines"/>
    <w:uiPriority w:val="99"/>
    <w:rsid w:val="00174C10"/>
    <w:rPr>
      <w:rFonts w:ascii="Arial" w:eastAsia="SimSun" w:hAnsi="Arial" w:cs="Arial"/>
      <w:b/>
      <w:bCs/>
      <w:color w:val="000000"/>
      <w:spacing w:val="-5"/>
      <w:sz w:val="22"/>
      <w:szCs w:val="22"/>
      <w:lang w:val="en-GB" w:eastAsia="zh-CN"/>
    </w:rPr>
  </w:style>
  <w:style w:type="character" w:customStyle="1" w:styleId="IACOEChar">
    <w:name w:val="IACOE Char"/>
    <w:basedOn w:val="IATableLinesChar"/>
    <w:link w:val="IACOE"/>
    <w:uiPriority w:val="99"/>
    <w:rsid w:val="00174C10"/>
    <w:rPr>
      <w:rFonts w:ascii="Arial" w:eastAsia="SimSun" w:hAnsi="Arial" w:cs="Arial"/>
      <w:b/>
      <w:bCs/>
      <w:color w:val="000000"/>
      <w:spacing w:val="-5"/>
      <w:sz w:val="22"/>
      <w:szCs w:val="22"/>
      <w:lang w:val="en-GB" w:eastAsia="zh-CN"/>
    </w:rPr>
  </w:style>
  <w:style w:type="character" w:customStyle="1" w:styleId="IAStageChar">
    <w:name w:val="IAStage Char"/>
    <w:basedOn w:val="IATableLabelCharChar"/>
    <w:link w:val="IAStage"/>
    <w:uiPriority w:val="99"/>
    <w:rsid w:val="00174C10"/>
    <w:rPr>
      <w:rFonts w:ascii="Arial" w:eastAsia="SimSun" w:hAnsi="Arial" w:cs="Arial"/>
      <w:b/>
      <w:bCs/>
      <w:color w:val="000000"/>
      <w:spacing w:val="-5"/>
      <w:sz w:val="22"/>
      <w:szCs w:val="22"/>
      <w:lang w:val="en-GB" w:eastAsia="zh-CN"/>
    </w:rPr>
  </w:style>
  <w:style w:type="character" w:customStyle="1" w:styleId="IASOIChar">
    <w:name w:val="IASOI Char"/>
    <w:basedOn w:val="IATableLabelCharChar"/>
    <w:link w:val="IASOI"/>
    <w:uiPriority w:val="99"/>
    <w:rsid w:val="00174C10"/>
    <w:rPr>
      <w:rFonts w:ascii="Arial" w:eastAsia="SimSun" w:hAnsi="Arial" w:cs="Arial"/>
      <w:b/>
      <w:bCs/>
      <w:color w:val="000000"/>
      <w:spacing w:val="-5"/>
      <w:sz w:val="22"/>
      <w:szCs w:val="22"/>
      <w:lang w:val="en-GB" w:eastAsia="zh-CN"/>
    </w:rPr>
  </w:style>
  <w:style w:type="character" w:customStyle="1" w:styleId="IATOMChar">
    <w:name w:val="IATOM Char"/>
    <w:basedOn w:val="IATableLabelCharChar"/>
    <w:link w:val="IATOM"/>
    <w:uiPriority w:val="99"/>
    <w:rsid w:val="00174C10"/>
    <w:rPr>
      <w:rFonts w:ascii="Arial" w:eastAsia="SimSun" w:hAnsi="Arial" w:cs="Arial"/>
      <w:b/>
      <w:bCs/>
      <w:color w:val="000000"/>
      <w:spacing w:val="-5"/>
      <w:sz w:val="22"/>
      <w:szCs w:val="22"/>
      <w:lang w:val="en-GB" w:eastAsia="zh-CN"/>
    </w:rPr>
  </w:style>
  <w:style w:type="character" w:customStyle="1" w:styleId="IARPCChar">
    <w:name w:val="IARPC Char"/>
    <w:basedOn w:val="TitleChar"/>
    <w:link w:val="IARPC"/>
    <w:uiPriority w:val="99"/>
    <w:rsid w:val="00174C10"/>
    <w:rPr>
      <w:rFonts w:ascii="Arial" w:eastAsia="SimSun" w:hAnsi="Arial" w:cs="Arial"/>
      <w:color w:val="000000"/>
      <w:kern w:val="28"/>
      <w:sz w:val="24"/>
      <w:szCs w:val="24"/>
      <w:lang w:val="en-GB" w:eastAsia="en-US"/>
    </w:rPr>
  </w:style>
  <w:style w:type="character" w:customStyle="1" w:styleId="IAIOCheckMicroChar">
    <w:name w:val="IAIOCheckMicro Char"/>
    <w:basedOn w:val="IATableLinesChar"/>
    <w:link w:val="IAIOCheckMicro"/>
    <w:uiPriority w:val="99"/>
    <w:rsid w:val="00D478C9"/>
    <w:rPr>
      <w:rFonts w:ascii="Arial" w:eastAsia="SimSun" w:hAnsi="Arial" w:cs="Arial"/>
      <w:b/>
      <w:bCs/>
      <w:color w:val="000000"/>
      <w:spacing w:val="-5"/>
      <w:sz w:val="22"/>
      <w:szCs w:val="22"/>
      <w:lang w:val="en-GB" w:eastAsia="zh-CN"/>
    </w:rPr>
  </w:style>
  <w:style w:type="character" w:customStyle="1" w:styleId="IAIOCheckSmallChar">
    <w:name w:val="IAIOCheckSmall Char"/>
    <w:basedOn w:val="IATableLinesChar"/>
    <w:link w:val="IAIOCheckSmall"/>
    <w:uiPriority w:val="99"/>
    <w:rsid w:val="00D478C9"/>
    <w:rPr>
      <w:rFonts w:ascii="Arial" w:eastAsia="SimSun" w:hAnsi="Arial" w:cs="Arial"/>
      <w:b/>
      <w:bCs/>
      <w:color w:val="000000"/>
      <w:spacing w:val="-5"/>
      <w:sz w:val="22"/>
      <w:szCs w:val="22"/>
      <w:lang w:val="en-GB" w:eastAsia="zh-CN"/>
    </w:rPr>
  </w:style>
  <w:style w:type="character" w:customStyle="1" w:styleId="IAIOCheckMediumChar">
    <w:name w:val="IAIOCheckMedium Char"/>
    <w:basedOn w:val="IATableLinesChar"/>
    <w:link w:val="IAIOCheckMedium"/>
    <w:uiPriority w:val="99"/>
    <w:rsid w:val="00D478C9"/>
    <w:rPr>
      <w:rFonts w:ascii="Arial" w:eastAsia="SimSun" w:hAnsi="Arial" w:cs="Arial"/>
      <w:b/>
      <w:bCs/>
      <w:color w:val="000000"/>
      <w:spacing w:val="-5"/>
      <w:sz w:val="22"/>
      <w:szCs w:val="22"/>
      <w:lang w:val="en-GB" w:eastAsia="zh-CN"/>
    </w:rPr>
  </w:style>
  <w:style w:type="character" w:customStyle="1" w:styleId="IAIOCheckLargeChar">
    <w:name w:val="IAIOCheckLarge Char"/>
    <w:basedOn w:val="IATableLinesChar"/>
    <w:link w:val="IAIOCheckLarge"/>
    <w:uiPriority w:val="99"/>
    <w:rsid w:val="00D478C9"/>
    <w:rPr>
      <w:rFonts w:ascii="Arial" w:eastAsia="SimSun" w:hAnsi="Arial" w:cs="Arial"/>
      <w:b/>
      <w:bCs/>
      <w:color w:val="000000"/>
      <w:spacing w:val="-5"/>
      <w:sz w:val="22"/>
      <w:szCs w:val="22"/>
      <w:lang w:val="en-GB" w:eastAsia="zh-CN"/>
    </w:rPr>
  </w:style>
  <w:style w:type="character" w:customStyle="1" w:styleId="IAIOCO2TradedChar">
    <w:name w:val="IAIOCO2Traded Char"/>
    <w:basedOn w:val="IATableLabelCharChar"/>
    <w:link w:val="IAIOCO2Traded"/>
    <w:uiPriority w:val="99"/>
    <w:rsid w:val="00D478C9"/>
    <w:rPr>
      <w:rFonts w:ascii="Arial" w:eastAsia="SimSun" w:hAnsi="Arial" w:cs="Arial"/>
      <w:b/>
      <w:bCs/>
      <w:color w:val="000000"/>
      <w:spacing w:val="-5"/>
      <w:sz w:val="22"/>
      <w:szCs w:val="22"/>
      <w:lang w:val="en-GB" w:eastAsia="zh-CN"/>
    </w:rPr>
  </w:style>
  <w:style w:type="character" w:customStyle="1" w:styleId="IAIOCO2NonTradedChar">
    <w:name w:val="IAIOCO2NonTraded Char"/>
    <w:basedOn w:val="IATableLabelCharChar"/>
    <w:link w:val="IAIOCO2NonTraded"/>
    <w:uiPriority w:val="99"/>
    <w:rsid w:val="00D478C9"/>
    <w:rPr>
      <w:rFonts w:ascii="Arial" w:eastAsia="SimSun" w:hAnsi="Arial" w:cs="Arial"/>
      <w:b/>
      <w:bCs/>
      <w:color w:val="000000"/>
      <w:spacing w:val="-5"/>
      <w:sz w:val="22"/>
      <w:szCs w:val="22"/>
      <w:lang w:val="en-GB" w:eastAsia="zh-CN"/>
    </w:rPr>
  </w:style>
  <w:style w:type="paragraph" w:customStyle="1" w:styleId="Default">
    <w:name w:val="Default"/>
    <w:uiPriority w:val="99"/>
    <w:rsid w:val="00EB2B0F"/>
    <w:pPr>
      <w:autoSpaceDE w:val="0"/>
      <w:autoSpaceDN w:val="0"/>
      <w:adjustRightInd w:val="0"/>
    </w:pPr>
    <w:rPr>
      <w:rFonts w:ascii="Arial" w:hAnsi="Arial" w:cs="Arial"/>
      <w:color w:val="000000"/>
      <w:sz w:val="24"/>
      <w:szCs w:val="24"/>
    </w:rPr>
  </w:style>
  <w:style w:type="paragraph" w:customStyle="1" w:styleId="CM24">
    <w:name w:val="CM24"/>
    <w:basedOn w:val="Default"/>
    <w:next w:val="Default"/>
    <w:uiPriority w:val="99"/>
    <w:rsid w:val="00EB2B0F"/>
    <w:rPr>
      <w:rFonts w:ascii="AEHFH P+ Bliss 2" w:hAnsi="AEHFH P+ Bliss 2" w:cs="AEHFH P+ Bliss 2"/>
      <w:color w:val="auto"/>
    </w:rPr>
  </w:style>
  <w:style w:type="paragraph" w:styleId="ListParagraph">
    <w:name w:val="List Paragraph"/>
    <w:aliases w:val="Dot pt"/>
    <w:basedOn w:val="Normal"/>
    <w:link w:val="ListParagraphChar"/>
    <w:uiPriority w:val="99"/>
    <w:qFormat/>
    <w:rsid w:val="00980DB7"/>
    <w:pPr>
      <w:spacing w:after="200" w:line="276" w:lineRule="auto"/>
      <w:ind w:left="720"/>
      <w:contextualSpacing/>
    </w:pPr>
    <w:rPr>
      <w:rFonts w:ascii="Calibri" w:hAnsi="Calibri" w:cs="Calibri"/>
      <w:sz w:val="22"/>
      <w:szCs w:val="22"/>
    </w:rPr>
  </w:style>
  <w:style w:type="character" w:customStyle="1" w:styleId="ListParagraphChar">
    <w:name w:val="List Paragraph Char"/>
    <w:aliases w:val="Dot pt Char"/>
    <w:basedOn w:val="DefaultParagraphFont"/>
    <w:link w:val="ListParagraph"/>
    <w:uiPriority w:val="99"/>
    <w:rsid w:val="008545CF"/>
    <w:rPr>
      <w:rFonts w:ascii="Calibri" w:hAnsi="Calibri" w:cs="Calibri"/>
      <w:sz w:val="22"/>
      <w:szCs w:val="22"/>
      <w:lang w:val="en-GB" w:eastAsia="en-US"/>
    </w:rPr>
  </w:style>
  <w:style w:type="character" w:styleId="CommentReference">
    <w:name w:val="annotation reference"/>
    <w:basedOn w:val="DefaultParagraphFont"/>
    <w:uiPriority w:val="99"/>
    <w:semiHidden/>
    <w:rsid w:val="001B3C45"/>
    <w:rPr>
      <w:sz w:val="16"/>
      <w:szCs w:val="16"/>
    </w:rPr>
  </w:style>
  <w:style w:type="paragraph" w:styleId="CommentText">
    <w:name w:val="annotation text"/>
    <w:basedOn w:val="Normal"/>
    <w:link w:val="CommentTextChar"/>
    <w:uiPriority w:val="99"/>
    <w:semiHidden/>
    <w:rsid w:val="001B3C45"/>
  </w:style>
  <w:style w:type="character" w:customStyle="1" w:styleId="CommentTextChar">
    <w:name w:val="Comment Text Char"/>
    <w:basedOn w:val="DefaultParagraphFont"/>
    <w:link w:val="CommentText"/>
    <w:uiPriority w:val="99"/>
    <w:rsid w:val="001B3C45"/>
    <w:rPr>
      <w:rFonts w:ascii="Arial" w:hAnsi="Arial" w:cs="Arial"/>
      <w:sz w:val="24"/>
      <w:szCs w:val="24"/>
      <w:lang w:eastAsia="en-US"/>
    </w:rPr>
  </w:style>
  <w:style w:type="paragraph" w:styleId="CommentSubject">
    <w:name w:val="annotation subject"/>
    <w:basedOn w:val="CommentText"/>
    <w:next w:val="CommentText"/>
    <w:link w:val="CommentSubjectChar"/>
    <w:uiPriority w:val="99"/>
    <w:semiHidden/>
    <w:rsid w:val="00934AC9"/>
    <w:rPr>
      <w:b/>
      <w:bCs/>
      <w:sz w:val="20"/>
      <w:szCs w:val="20"/>
    </w:rPr>
  </w:style>
  <w:style w:type="character" w:customStyle="1" w:styleId="CommentSubjectChar">
    <w:name w:val="Comment Subject Char"/>
    <w:basedOn w:val="CommentTextChar"/>
    <w:link w:val="CommentSubject"/>
    <w:uiPriority w:val="99"/>
    <w:semiHidden/>
    <w:rsid w:val="00934AC9"/>
    <w:rPr>
      <w:rFonts w:ascii="Arial" w:hAnsi="Arial" w:cs="Arial"/>
      <w:b/>
      <w:bCs/>
      <w:sz w:val="20"/>
      <w:szCs w:val="20"/>
      <w:lang w:eastAsia="en-US"/>
    </w:rPr>
  </w:style>
  <w:style w:type="paragraph" w:styleId="ListNumber">
    <w:name w:val="List Number"/>
    <w:basedOn w:val="Normal"/>
    <w:rsid w:val="00E9063B"/>
    <w:pPr>
      <w:autoSpaceDE w:val="0"/>
      <w:autoSpaceDN w:val="0"/>
      <w:adjustRightInd w:val="0"/>
      <w:ind w:left="7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List Number" w:uiPriority="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8D9"/>
    <w:rPr>
      <w:rFonts w:ascii="Arial" w:hAnsi="Arial" w:cs="Arial"/>
      <w:sz w:val="24"/>
      <w:szCs w:val="24"/>
      <w:lang w:eastAsia="en-US"/>
    </w:rPr>
  </w:style>
  <w:style w:type="paragraph" w:styleId="Heading1">
    <w:name w:val="heading 1"/>
    <w:basedOn w:val="Normal"/>
    <w:next w:val="Normal"/>
    <w:link w:val="Heading1Char"/>
    <w:uiPriority w:val="99"/>
    <w:qFormat/>
    <w:rsid w:val="00E3545D"/>
    <w:pPr>
      <w:keepNext/>
      <w:tabs>
        <w:tab w:val="right" w:pos="10206"/>
      </w:tabs>
      <w:spacing w:before="240" w:after="60"/>
      <w:outlineLvl w:val="0"/>
    </w:pPr>
    <w:rPr>
      <w:rFonts w:ascii="Arial Bold" w:hAnsi="Arial Bold" w:cs="Arial Bold"/>
      <w:b/>
      <w:bCs/>
      <w:spacing w:val="-4"/>
      <w:kern w:val="32"/>
      <w:sz w:val="32"/>
      <w:szCs w:val="32"/>
    </w:rPr>
  </w:style>
  <w:style w:type="paragraph" w:styleId="Heading2">
    <w:name w:val="heading 2"/>
    <w:aliases w:val="EBHeading1"/>
    <w:basedOn w:val="Normal"/>
    <w:next w:val="EBBodyPara"/>
    <w:link w:val="Heading2Char"/>
    <w:uiPriority w:val="99"/>
    <w:qFormat/>
    <w:rsid w:val="002B7335"/>
    <w:pPr>
      <w:keepNext/>
      <w:keepLines/>
      <w:spacing w:before="480" w:after="240"/>
      <w:outlineLvl w:val="1"/>
    </w:pPr>
    <w:rPr>
      <w:color w:val="000000"/>
      <w:sz w:val="32"/>
      <w:szCs w:val="32"/>
      <w:lang w:eastAsia="en-GB"/>
    </w:rPr>
  </w:style>
  <w:style w:type="paragraph" w:styleId="Heading3">
    <w:name w:val="heading 3"/>
    <w:aliases w:val="EBHeading2"/>
    <w:basedOn w:val="Normal"/>
    <w:next w:val="EBBodyPara"/>
    <w:link w:val="Heading3Char"/>
    <w:uiPriority w:val="99"/>
    <w:qFormat/>
    <w:rsid w:val="002B7335"/>
    <w:pPr>
      <w:keepNext/>
      <w:keepLines/>
      <w:spacing w:before="360" w:after="240"/>
      <w:outlineLvl w:val="2"/>
    </w:pPr>
    <w:rPr>
      <w:b/>
      <w:bCs/>
      <w:color w:val="000000"/>
      <w:lang w:eastAsia="en-GB"/>
    </w:rPr>
  </w:style>
  <w:style w:type="paragraph" w:styleId="Heading4">
    <w:name w:val="heading 4"/>
    <w:aliases w:val="EBHeading3"/>
    <w:basedOn w:val="EBBodyPara"/>
    <w:next w:val="Normal"/>
    <w:link w:val="Heading4Char"/>
    <w:uiPriority w:val="99"/>
    <w:qFormat/>
    <w:rsid w:val="002B7335"/>
    <w:pPr>
      <w:spacing w:before="240"/>
      <w:outlineLvl w:val="3"/>
    </w:pPr>
    <w:rPr>
      <w:b/>
      <w:bCs/>
    </w:rPr>
  </w:style>
  <w:style w:type="paragraph" w:styleId="Heading5">
    <w:name w:val="heading 5"/>
    <w:aliases w:val="EBHeading4"/>
    <w:basedOn w:val="Normal"/>
    <w:next w:val="Normal"/>
    <w:link w:val="Heading5Char"/>
    <w:uiPriority w:val="99"/>
    <w:qFormat/>
    <w:rsid w:val="002B7335"/>
    <w:pPr>
      <w:spacing w:before="240" w:after="120"/>
      <w:outlineLvl w:val="4"/>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257BD"/>
    <w:rPr>
      <w:rFonts w:ascii="Cambria" w:hAnsi="Cambria" w:cs="Cambria"/>
      <w:b/>
      <w:bCs/>
      <w:kern w:val="32"/>
      <w:sz w:val="32"/>
      <w:szCs w:val="32"/>
      <w:lang w:eastAsia="en-US"/>
    </w:rPr>
  </w:style>
  <w:style w:type="character" w:customStyle="1" w:styleId="Heading2Char">
    <w:name w:val="Heading 2 Char"/>
    <w:aliases w:val="EBHeading1 Char"/>
    <w:basedOn w:val="DefaultParagraphFont"/>
    <w:link w:val="Heading2"/>
    <w:uiPriority w:val="99"/>
    <w:semiHidden/>
    <w:rsid w:val="009257BD"/>
    <w:rPr>
      <w:rFonts w:ascii="Cambria" w:hAnsi="Cambria" w:cs="Cambria"/>
      <w:b/>
      <w:bCs/>
      <w:i/>
      <w:iCs/>
      <w:sz w:val="28"/>
      <w:szCs w:val="28"/>
      <w:lang w:eastAsia="en-US"/>
    </w:rPr>
  </w:style>
  <w:style w:type="character" w:customStyle="1" w:styleId="Heading3Char">
    <w:name w:val="Heading 3 Char"/>
    <w:aliases w:val="EBHeading2 Char"/>
    <w:basedOn w:val="DefaultParagraphFont"/>
    <w:link w:val="Heading3"/>
    <w:uiPriority w:val="99"/>
    <w:semiHidden/>
    <w:rsid w:val="009257BD"/>
    <w:rPr>
      <w:rFonts w:ascii="Cambria" w:hAnsi="Cambria" w:cs="Cambria"/>
      <w:b/>
      <w:bCs/>
      <w:sz w:val="26"/>
      <w:szCs w:val="26"/>
      <w:lang w:eastAsia="en-US"/>
    </w:rPr>
  </w:style>
  <w:style w:type="character" w:customStyle="1" w:styleId="Heading4Char">
    <w:name w:val="Heading 4 Char"/>
    <w:aliases w:val="EBHeading3 Char"/>
    <w:basedOn w:val="DefaultParagraphFont"/>
    <w:link w:val="Heading4"/>
    <w:uiPriority w:val="99"/>
    <w:semiHidden/>
    <w:rsid w:val="009257BD"/>
    <w:rPr>
      <w:rFonts w:ascii="Calibri" w:hAnsi="Calibri" w:cs="Calibri"/>
      <w:b/>
      <w:bCs/>
      <w:sz w:val="28"/>
      <w:szCs w:val="28"/>
      <w:lang w:eastAsia="en-US"/>
    </w:rPr>
  </w:style>
  <w:style w:type="character" w:customStyle="1" w:styleId="Heading5Char">
    <w:name w:val="Heading 5 Char"/>
    <w:aliases w:val="EBHeading4 Char"/>
    <w:basedOn w:val="DefaultParagraphFont"/>
    <w:link w:val="Heading5"/>
    <w:uiPriority w:val="99"/>
    <w:semiHidden/>
    <w:rsid w:val="009257BD"/>
    <w:rPr>
      <w:rFonts w:ascii="Calibri" w:hAnsi="Calibri" w:cs="Calibri"/>
      <w:b/>
      <w:bCs/>
      <w:i/>
      <w:iCs/>
      <w:sz w:val="26"/>
      <w:szCs w:val="26"/>
      <w:lang w:eastAsia="en-US"/>
    </w:rPr>
  </w:style>
  <w:style w:type="paragraph" w:customStyle="1" w:styleId="IATableLabel">
    <w:name w:val="IATableLabel"/>
    <w:basedOn w:val="Normal"/>
    <w:link w:val="IATableLabelCharChar"/>
    <w:uiPriority w:val="99"/>
    <w:rsid w:val="00402E80"/>
    <w:pPr>
      <w:spacing w:before="50" w:after="50"/>
      <w:ind w:left="113" w:right="113"/>
    </w:pPr>
    <w:rPr>
      <w:rFonts w:eastAsia="SimSun"/>
      <w:b/>
      <w:bCs/>
      <w:color w:val="000000"/>
      <w:spacing w:val="-5"/>
      <w:sz w:val="20"/>
      <w:szCs w:val="20"/>
      <w:lang w:eastAsia="zh-CN"/>
    </w:rPr>
  </w:style>
  <w:style w:type="character" w:customStyle="1" w:styleId="IATableLabelCharChar">
    <w:name w:val="IATableLabel Char Char"/>
    <w:basedOn w:val="DefaultParagraphFont"/>
    <w:link w:val="IATableLabel"/>
    <w:uiPriority w:val="99"/>
    <w:rsid w:val="00402E80"/>
    <w:rPr>
      <w:rFonts w:ascii="Arial" w:eastAsia="SimSun" w:hAnsi="Arial" w:cs="Arial"/>
      <w:b/>
      <w:bCs/>
      <w:color w:val="000000"/>
      <w:spacing w:val="-5"/>
      <w:lang w:val="en-GB" w:eastAsia="zh-CN"/>
    </w:rPr>
  </w:style>
  <w:style w:type="paragraph" w:customStyle="1" w:styleId="IASpacer">
    <w:name w:val="IASpacer"/>
    <w:basedOn w:val="Normal"/>
    <w:uiPriority w:val="99"/>
    <w:rsid w:val="007208D9"/>
    <w:pPr>
      <w:spacing w:line="80" w:lineRule="exact"/>
    </w:pPr>
    <w:rPr>
      <w:rFonts w:eastAsia="SimSun"/>
      <w:sz w:val="22"/>
      <w:szCs w:val="22"/>
      <w:lang w:eastAsia="zh-CN"/>
    </w:rPr>
  </w:style>
  <w:style w:type="paragraph" w:customStyle="1" w:styleId="IATableText">
    <w:name w:val="IATableText"/>
    <w:basedOn w:val="IATableLabel"/>
    <w:link w:val="IATableTextChar"/>
    <w:uiPriority w:val="99"/>
    <w:rsid w:val="00220F29"/>
    <w:rPr>
      <w:b w:val="0"/>
      <w:bCs w:val="0"/>
      <w:color w:val="auto"/>
      <w:sz w:val="22"/>
      <w:szCs w:val="22"/>
    </w:rPr>
  </w:style>
  <w:style w:type="character" w:customStyle="1" w:styleId="IATableTextChar">
    <w:name w:val="IATableText Char"/>
    <w:basedOn w:val="IATableLabelCharChar"/>
    <w:link w:val="IATableText"/>
    <w:uiPriority w:val="99"/>
    <w:rsid w:val="00220F29"/>
    <w:rPr>
      <w:rFonts w:ascii="Arial" w:eastAsia="SimSun" w:hAnsi="Arial" w:cs="Arial"/>
      <w:b/>
      <w:bCs/>
      <w:color w:val="000000"/>
      <w:spacing w:val="-5"/>
      <w:sz w:val="22"/>
      <w:szCs w:val="22"/>
      <w:lang w:val="en-GB" w:eastAsia="zh-CN"/>
    </w:rPr>
  </w:style>
  <w:style w:type="paragraph" w:styleId="BodyText">
    <w:name w:val="Body Text"/>
    <w:basedOn w:val="Normal"/>
    <w:link w:val="BodyTextChar"/>
    <w:uiPriority w:val="99"/>
    <w:rsid w:val="003E54B6"/>
    <w:pPr>
      <w:spacing w:after="120"/>
    </w:pPr>
    <w:rPr>
      <w:color w:val="000000"/>
      <w:sz w:val="22"/>
      <w:szCs w:val="22"/>
      <w:lang w:eastAsia="en-GB"/>
    </w:rPr>
  </w:style>
  <w:style w:type="character" w:customStyle="1" w:styleId="BodyTextChar">
    <w:name w:val="Body Text Char"/>
    <w:basedOn w:val="DefaultParagraphFont"/>
    <w:link w:val="BodyText"/>
    <w:uiPriority w:val="99"/>
    <w:rsid w:val="0049416F"/>
    <w:rPr>
      <w:rFonts w:ascii="Arial" w:hAnsi="Arial" w:cs="Arial"/>
      <w:color w:val="000000"/>
      <w:sz w:val="22"/>
      <w:szCs w:val="22"/>
      <w:lang w:val="en-GB" w:eastAsia="en-GB"/>
    </w:rPr>
  </w:style>
  <w:style w:type="table" w:styleId="TableGrid">
    <w:name w:val="Table Grid"/>
    <w:basedOn w:val="TableNormal"/>
    <w:uiPriority w:val="99"/>
    <w:rsid w:val="00026555"/>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7F64C7"/>
    <w:pPr>
      <w:ind w:left="113"/>
      <w:outlineLvl w:val="0"/>
    </w:pPr>
    <w:rPr>
      <w:color w:val="FFFFFF"/>
      <w:kern w:val="28"/>
      <w:sz w:val="32"/>
      <w:szCs w:val="32"/>
    </w:rPr>
  </w:style>
  <w:style w:type="character" w:customStyle="1" w:styleId="TitleChar">
    <w:name w:val="Title Char"/>
    <w:basedOn w:val="DefaultParagraphFont"/>
    <w:link w:val="Title"/>
    <w:uiPriority w:val="99"/>
    <w:rsid w:val="00174C10"/>
    <w:rPr>
      <w:rFonts w:ascii="Arial" w:hAnsi="Arial" w:cs="Arial"/>
      <w:color w:val="FFFFFF"/>
      <w:kern w:val="28"/>
      <w:sz w:val="32"/>
      <w:szCs w:val="32"/>
      <w:lang w:val="en-GB" w:eastAsia="en-US"/>
    </w:rPr>
  </w:style>
  <w:style w:type="paragraph" w:customStyle="1" w:styleId="IAHeadDept">
    <w:name w:val="IAHeadDept"/>
    <w:basedOn w:val="IATableText"/>
    <w:link w:val="IAHeadDeptChar"/>
    <w:uiPriority w:val="99"/>
    <w:rsid w:val="00C120C0"/>
    <w:pPr>
      <w:spacing w:after="120"/>
      <w:ind w:left="0" w:right="57"/>
    </w:pPr>
    <w:rPr>
      <w:spacing w:val="-6"/>
    </w:rPr>
  </w:style>
  <w:style w:type="paragraph" w:customStyle="1" w:styleId="IAHeadLabel">
    <w:name w:val="IAHeadLabel"/>
    <w:basedOn w:val="IATableLabel"/>
    <w:link w:val="IAHeadLabelChar"/>
    <w:uiPriority w:val="99"/>
    <w:rsid w:val="00570F8E"/>
    <w:pPr>
      <w:spacing w:before="110"/>
      <w:ind w:left="0" w:right="0"/>
    </w:pPr>
  </w:style>
  <w:style w:type="character" w:customStyle="1" w:styleId="IAHeadLabelChar">
    <w:name w:val="IAHeadLabel Char"/>
    <w:basedOn w:val="IATableLabelCharChar"/>
    <w:link w:val="IAHeadLabel"/>
    <w:uiPriority w:val="99"/>
    <w:rsid w:val="00570F8E"/>
    <w:rPr>
      <w:rFonts w:ascii="Arial" w:eastAsia="SimSun" w:hAnsi="Arial" w:cs="Arial"/>
      <w:b/>
      <w:bCs/>
      <w:color w:val="000000"/>
      <w:spacing w:val="-5"/>
      <w:lang w:val="en-GB" w:eastAsia="zh-CN"/>
    </w:rPr>
  </w:style>
  <w:style w:type="table" w:customStyle="1" w:styleId="TableIAHeading">
    <w:name w:val="Table_IAHeading"/>
    <w:uiPriority w:val="99"/>
    <w:semiHidden/>
    <w:rsid w:val="006A5A2E"/>
    <w:rPr>
      <w:rFonts w:eastAsia="SimSu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12" w:space="0" w:color="008080"/>
      </w:tblBorders>
      <w:tblCellMar>
        <w:top w:w="0" w:type="dxa"/>
        <w:left w:w="0" w:type="dxa"/>
        <w:bottom w:w="0" w:type="dxa"/>
        <w:right w:w="0" w:type="dxa"/>
      </w:tblCellMar>
    </w:tblPr>
    <w:tcPr>
      <w:shd w:val="clear" w:color="auto" w:fill="008080"/>
    </w:tcPr>
  </w:style>
  <w:style w:type="paragraph" w:customStyle="1" w:styleId="IATableNotes">
    <w:name w:val="IATableNotes"/>
    <w:basedOn w:val="Normal"/>
    <w:link w:val="IATableNotesChar"/>
    <w:uiPriority w:val="99"/>
    <w:rsid w:val="006A5A2E"/>
    <w:pPr>
      <w:spacing w:before="60" w:after="60"/>
      <w:ind w:left="113" w:right="113"/>
    </w:pPr>
    <w:rPr>
      <w:rFonts w:eastAsia="SimSun"/>
      <w:sz w:val="18"/>
      <w:szCs w:val="18"/>
      <w:lang w:eastAsia="zh-CN"/>
    </w:rPr>
  </w:style>
  <w:style w:type="character" w:customStyle="1" w:styleId="IATableNotesChar">
    <w:name w:val="IATableNotes Char"/>
    <w:basedOn w:val="DefaultParagraphFont"/>
    <w:link w:val="IATableNotes"/>
    <w:uiPriority w:val="99"/>
    <w:rsid w:val="006A5A2E"/>
    <w:rPr>
      <w:rFonts w:ascii="Arial" w:eastAsia="SimSun" w:hAnsi="Arial" w:cs="Arial"/>
      <w:sz w:val="18"/>
      <w:szCs w:val="18"/>
      <w:lang w:val="en-GB" w:eastAsia="zh-CN"/>
    </w:rPr>
  </w:style>
  <w:style w:type="paragraph" w:customStyle="1" w:styleId="IASignOff">
    <w:name w:val="IASignOff"/>
    <w:basedOn w:val="IATableNotes"/>
    <w:next w:val="IATableNotes"/>
    <w:link w:val="IASignOffChar"/>
    <w:uiPriority w:val="99"/>
    <w:semiHidden/>
    <w:rsid w:val="006A5A2E"/>
    <w:pPr>
      <w:spacing w:before="120" w:after="120"/>
      <w:ind w:left="567" w:right="567"/>
    </w:pPr>
    <w:rPr>
      <w:b/>
      <w:bCs/>
      <w:i/>
      <w:iCs/>
    </w:rPr>
  </w:style>
  <w:style w:type="character" w:customStyle="1" w:styleId="IASignOffChar">
    <w:name w:val="IASignOff Char"/>
    <w:basedOn w:val="IATableNotesChar"/>
    <w:link w:val="IASignOff"/>
    <w:uiPriority w:val="99"/>
    <w:rsid w:val="006A5A2E"/>
    <w:rPr>
      <w:rFonts w:ascii="Arial" w:eastAsia="SimSun" w:hAnsi="Arial" w:cs="Arial"/>
      <w:b/>
      <w:bCs/>
      <w:i/>
      <w:iCs/>
      <w:sz w:val="18"/>
      <w:szCs w:val="18"/>
      <w:lang w:val="en-GB" w:eastAsia="zh-CN"/>
    </w:rPr>
  </w:style>
  <w:style w:type="paragraph" w:customStyle="1" w:styleId="IAHeadTitle">
    <w:name w:val="IAHeadTitle"/>
    <w:basedOn w:val="IAHeadDept"/>
    <w:link w:val="IAHeadTitleChar"/>
    <w:uiPriority w:val="99"/>
    <w:rsid w:val="008228A5"/>
    <w:pPr>
      <w:spacing w:before="0" w:after="0"/>
    </w:pPr>
    <w:rPr>
      <w:b/>
      <w:bCs/>
      <w:sz w:val="28"/>
      <w:szCs w:val="28"/>
    </w:rPr>
  </w:style>
  <w:style w:type="paragraph" w:customStyle="1" w:styleId="IASignature">
    <w:name w:val="IA Signature"/>
    <w:basedOn w:val="IATableText"/>
    <w:uiPriority w:val="99"/>
    <w:rsid w:val="00C67CDD"/>
    <w:pPr>
      <w:tabs>
        <w:tab w:val="left" w:leader="dot" w:pos="6804"/>
        <w:tab w:val="right" w:leader="dot" w:pos="10206"/>
      </w:tabs>
      <w:spacing w:before="0" w:after="0"/>
      <w:ind w:left="0"/>
    </w:pPr>
  </w:style>
  <w:style w:type="paragraph" w:customStyle="1" w:styleId="IASign-offlabel">
    <w:name w:val="IA Sign-off label"/>
    <w:basedOn w:val="IAHeadLabel"/>
    <w:link w:val="IASign-offlabelChar"/>
    <w:uiPriority w:val="99"/>
    <w:rsid w:val="00FB5CFE"/>
    <w:pPr>
      <w:spacing w:after="120"/>
    </w:pPr>
    <w:rPr>
      <w:u w:val="single"/>
    </w:rPr>
  </w:style>
  <w:style w:type="character" w:customStyle="1" w:styleId="IASign-offlabelChar">
    <w:name w:val="IA Sign-off label Char"/>
    <w:basedOn w:val="IAHeadLabelChar"/>
    <w:link w:val="IASign-offlabel"/>
    <w:uiPriority w:val="99"/>
    <w:rsid w:val="009050B9"/>
    <w:rPr>
      <w:rFonts w:ascii="Arial" w:eastAsia="SimSun" w:hAnsi="Arial" w:cs="Arial"/>
      <w:b/>
      <w:bCs/>
      <w:color w:val="000000"/>
      <w:spacing w:val="-5"/>
      <w:sz w:val="22"/>
      <w:szCs w:val="22"/>
      <w:u w:val="single"/>
      <w:lang w:val="en-GB" w:eastAsia="zh-CN"/>
    </w:rPr>
  </w:style>
  <w:style w:type="paragraph" w:customStyle="1" w:styleId="IASign-off">
    <w:name w:val="IA Sign-off"/>
    <w:basedOn w:val="IATableText"/>
    <w:uiPriority w:val="99"/>
    <w:rsid w:val="00C67CDD"/>
    <w:pPr>
      <w:spacing w:before="0" w:after="0"/>
      <w:ind w:left="0" w:right="284"/>
    </w:pPr>
    <w:rPr>
      <w:b/>
      <w:bCs/>
      <w:i/>
      <w:iCs/>
    </w:rPr>
  </w:style>
  <w:style w:type="paragraph" w:customStyle="1" w:styleId="IAHeading2">
    <w:name w:val="IAHeading2"/>
    <w:basedOn w:val="Normal"/>
    <w:uiPriority w:val="99"/>
    <w:semiHidden/>
    <w:rsid w:val="000A79FC"/>
    <w:pPr>
      <w:keepNext/>
      <w:keepLines/>
      <w:spacing w:before="60" w:after="60"/>
      <w:ind w:left="113" w:right="113"/>
    </w:pPr>
    <w:rPr>
      <w:rFonts w:eastAsia="SimSun"/>
      <w:b/>
      <w:bCs/>
      <w:sz w:val="20"/>
      <w:szCs w:val="20"/>
      <w:lang w:eastAsia="zh-CN"/>
    </w:rPr>
  </w:style>
  <w:style w:type="table" w:customStyle="1" w:styleId="TableIABox">
    <w:name w:val="Table_IABox"/>
    <w:uiPriority w:val="99"/>
    <w:rsid w:val="007777A1"/>
    <w:rPr>
      <w:rFonts w:eastAsia="SimSun"/>
      <w:sz w:val="20"/>
      <w:szCs w:val="20"/>
    </w:rPr>
    <w:tblPr>
      <w:tblInd w:w="0" w:type="dxa"/>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Pr>
  </w:style>
  <w:style w:type="paragraph" w:styleId="Header">
    <w:name w:val="header"/>
    <w:basedOn w:val="Normal"/>
    <w:link w:val="HeaderChar"/>
    <w:uiPriority w:val="99"/>
    <w:rsid w:val="00E96CB5"/>
    <w:pPr>
      <w:jc w:val="center"/>
    </w:pPr>
    <w:rPr>
      <w:caps/>
    </w:rPr>
  </w:style>
  <w:style w:type="character" w:customStyle="1" w:styleId="HeaderChar">
    <w:name w:val="Header Char"/>
    <w:basedOn w:val="DefaultParagraphFont"/>
    <w:link w:val="Header"/>
    <w:uiPriority w:val="99"/>
    <w:semiHidden/>
    <w:rsid w:val="009257BD"/>
    <w:rPr>
      <w:rFonts w:ascii="Arial" w:hAnsi="Arial" w:cs="Arial"/>
      <w:sz w:val="24"/>
      <w:szCs w:val="24"/>
      <w:lang w:eastAsia="en-US"/>
    </w:rPr>
  </w:style>
  <w:style w:type="paragraph" w:styleId="Footer">
    <w:name w:val="footer"/>
    <w:basedOn w:val="Normal"/>
    <w:link w:val="FooterChar"/>
    <w:uiPriority w:val="99"/>
    <w:rsid w:val="000407D8"/>
    <w:pPr>
      <w:tabs>
        <w:tab w:val="center" w:pos="5132"/>
        <w:tab w:val="right" w:pos="10260"/>
      </w:tabs>
      <w:jc w:val="center"/>
    </w:pPr>
    <w:rPr>
      <w:b/>
      <w:bCs/>
      <w:sz w:val="18"/>
      <w:szCs w:val="18"/>
    </w:rPr>
  </w:style>
  <w:style w:type="character" w:customStyle="1" w:styleId="FooterChar">
    <w:name w:val="Footer Char"/>
    <w:basedOn w:val="DefaultParagraphFont"/>
    <w:link w:val="Footer"/>
    <w:uiPriority w:val="99"/>
    <w:semiHidden/>
    <w:rsid w:val="009257BD"/>
    <w:rPr>
      <w:rFonts w:ascii="Arial" w:hAnsi="Arial" w:cs="Arial"/>
      <w:sz w:val="24"/>
      <w:szCs w:val="24"/>
      <w:lang w:eastAsia="en-US"/>
    </w:rPr>
  </w:style>
  <w:style w:type="character" w:styleId="PageNumber">
    <w:name w:val="page number"/>
    <w:basedOn w:val="DefaultParagraphFont"/>
    <w:uiPriority w:val="99"/>
    <w:rsid w:val="00EB43FD"/>
  </w:style>
  <w:style w:type="paragraph" w:customStyle="1" w:styleId="IANotes">
    <w:name w:val="IANotes"/>
    <w:basedOn w:val="Normal"/>
    <w:uiPriority w:val="99"/>
    <w:semiHidden/>
    <w:rsid w:val="00650282"/>
    <w:rPr>
      <w:rFonts w:eastAsia="SimSun"/>
      <w:color w:val="008080"/>
      <w:sz w:val="22"/>
      <w:szCs w:val="22"/>
      <w:lang w:eastAsia="zh-CN"/>
    </w:rPr>
  </w:style>
  <w:style w:type="paragraph" w:customStyle="1" w:styleId="IATableHeading">
    <w:name w:val="IATableHeading"/>
    <w:basedOn w:val="IATableLabel"/>
    <w:uiPriority w:val="99"/>
    <w:rsid w:val="00716D5C"/>
    <w:rPr>
      <w:sz w:val="22"/>
      <w:szCs w:val="22"/>
    </w:rPr>
  </w:style>
  <w:style w:type="paragraph" w:styleId="FootnoteText">
    <w:name w:val="footnote text"/>
    <w:basedOn w:val="Normal"/>
    <w:link w:val="FootnoteTextChar"/>
    <w:uiPriority w:val="99"/>
    <w:semiHidden/>
    <w:rsid w:val="00490FF7"/>
    <w:rPr>
      <w:rFonts w:eastAsia="SimSun"/>
      <w:sz w:val="16"/>
      <w:szCs w:val="16"/>
      <w:lang w:eastAsia="zh-CN"/>
    </w:rPr>
  </w:style>
  <w:style w:type="character" w:customStyle="1" w:styleId="FootnoteTextChar">
    <w:name w:val="Footnote Text Char"/>
    <w:basedOn w:val="DefaultParagraphFont"/>
    <w:link w:val="FootnoteText"/>
    <w:uiPriority w:val="99"/>
    <w:semiHidden/>
    <w:rsid w:val="00EB2B0F"/>
    <w:rPr>
      <w:rFonts w:ascii="Arial" w:eastAsia="SimSun" w:hAnsi="Arial" w:cs="Arial"/>
      <w:sz w:val="16"/>
      <w:szCs w:val="16"/>
      <w:lang w:val="en-GB" w:eastAsia="zh-CN"/>
    </w:rPr>
  </w:style>
  <w:style w:type="character" w:styleId="FootnoteReference">
    <w:name w:val="footnote reference"/>
    <w:basedOn w:val="DefaultParagraphFont"/>
    <w:uiPriority w:val="99"/>
    <w:semiHidden/>
    <w:rsid w:val="00B84190"/>
    <w:rPr>
      <w:sz w:val="22"/>
      <w:szCs w:val="22"/>
      <w:vertAlign w:val="superscript"/>
    </w:rPr>
  </w:style>
  <w:style w:type="paragraph" w:customStyle="1" w:styleId="EBBodyPara">
    <w:name w:val="EBBodyPara"/>
    <w:basedOn w:val="BodyText"/>
    <w:uiPriority w:val="99"/>
    <w:rsid w:val="005A2FC0"/>
  </w:style>
  <w:style w:type="paragraph" w:styleId="BalloonText">
    <w:name w:val="Balloon Text"/>
    <w:basedOn w:val="Normal"/>
    <w:link w:val="BalloonTextChar"/>
    <w:uiPriority w:val="99"/>
    <w:semiHidden/>
    <w:rsid w:val="00300CED"/>
    <w:rPr>
      <w:rFonts w:ascii="Tahoma" w:hAnsi="Tahoma" w:cs="Tahoma"/>
      <w:sz w:val="16"/>
      <w:szCs w:val="16"/>
    </w:rPr>
  </w:style>
  <w:style w:type="character" w:customStyle="1" w:styleId="BalloonTextChar">
    <w:name w:val="Balloon Text Char"/>
    <w:basedOn w:val="DefaultParagraphFont"/>
    <w:link w:val="BalloonText"/>
    <w:uiPriority w:val="99"/>
    <w:semiHidden/>
    <w:rsid w:val="009257BD"/>
    <w:rPr>
      <w:sz w:val="2"/>
      <w:szCs w:val="2"/>
      <w:lang w:eastAsia="en-US"/>
    </w:rPr>
  </w:style>
  <w:style w:type="paragraph" w:customStyle="1" w:styleId="EBNumber">
    <w:name w:val="EBNumber"/>
    <w:basedOn w:val="BodyText"/>
    <w:uiPriority w:val="99"/>
    <w:rsid w:val="002B7335"/>
    <w:pPr>
      <w:numPr>
        <w:ilvl w:val="1"/>
        <w:numId w:val="20"/>
      </w:numPr>
    </w:pPr>
  </w:style>
  <w:style w:type="paragraph" w:customStyle="1" w:styleId="EBNumberRestart">
    <w:name w:val="EBNumberRestart"/>
    <w:basedOn w:val="BodyText"/>
    <w:next w:val="EBNumber"/>
    <w:uiPriority w:val="99"/>
    <w:rsid w:val="002B7335"/>
    <w:pPr>
      <w:numPr>
        <w:numId w:val="20"/>
      </w:numPr>
    </w:pPr>
  </w:style>
  <w:style w:type="paragraph" w:customStyle="1" w:styleId="StyleIATableText10ptRight">
    <w:name w:val="Style IATableText + 10 pt Right"/>
    <w:basedOn w:val="IATableText"/>
    <w:uiPriority w:val="99"/>
    <w:rsid w:val="008D39AA"/>
    <w:pPr>
      <w:ind w:left="0" w:right="57"/>
      <w:jc w:val="right"/>
    </w:pPr>
    <w:rPr>
      <w:rFonts w:eastAsia="Times New Roman"/>
      <w:sz w:val="20"/>
      <w:szCs w:val="20"/>
    </w:rPr>
  </w:style>
  <w:style w:type="paragraph" w:customStyle="1" w:styleId="SecurityClass">
    <w:name w:val="SecurityClass"/>
    <w:basedOn w:val="Header"/>
    <w:uiPriority w:val="99"/>
    <w:rsid w:val="00AE46AA"/>
  </w:style>
  <w:style w:type="paragraph" w:customStyle="1" w:styleId="IARefNumber">
    <w:name w:val="IARefNumber"/>
    <w:basedOn w:val="IATableText"/>
    <w:uiPriority w:val="99"/>
    <w:rsid w:val="001E152A"/>
    <w:pPr>
      <w:numPr>
        <w:numId w:val="12"/>
      </w:numPr>
      <w:ind w:left="0"/>
    </w:pPr>
  </w:style>
  <w:style w:type="character" w:styleId="Hyperlink">
    <w:name w:val="Hyperlink"/>
    <w:basedOn w:val="DefaultParagraphFont"/>
    <w:uiPriority w:val="99"/>
    <w:rsid w:val="00B4136C"/>
    <w:rPr>
      <w:color w:val="auto"/>
      <w:u w:val="single"/>
    </w:rPr>
  </w:style>
  <w:style w:type="paragraph" w:customStyle="1" w:styleId="POPBY">
    <w:name w:val="POPBY"/>
    <w:basedOn w:val="IATableLabel"/>
    <w:uiPriority w:val="99"/>
    <w:rsid w:val="00AB574B"/>
  </w:style>
  <w:style w:type="paragraph" w:customStyle="1" w:styleId="EBBullet">
    <w:name w:val="EBBullet"/>
    <w:basedOn w:val="BodyText"/>
    <w:uiPriority w:val="99"/>
    <w:rsid w:val="002B7335"/>
    <w:pPr>
      <w:numPr>
        <w:numId w:val="17"/>
      </w:numPr>
    </w:pPr>
  </w:style>
  <w:style w:type="paragraph" w:customStyle="1" w:styleId="IAHeadText">
    <w:name w:val="IAHeadText"/>
    <w:basedOn w:val="IATableText"/>
    <w:uiPriority w:val="99"/>
    <w:rsid w:val="00632CB9"/>
    <w:pPr>
      <w:spacing w:before="0" w:after="0"/>
      <w:ind w:left="0" w:right="57"/>
    </w:pPr>
    <w:rPr>
      <w:spacing w:val="-6"/>
    </w:rPr>
  </w:style>
  <w:style w:type="paragraph" w:customStyle="1" w:styleId="IAHeadLabel0">
    <w:name w:val="IAHeadLabel0"/>
    <w:basedOn w:val="IAHeadLabel"/>
    <w:next w:val="IAHeadTitle"/>
    <w:uiPriority w:val="99"/>
    <w:rsid w:val="00632CB9"/>
    <w:pPr>
      <w:spacing w:before="0"/>
    </w:pPr>
  </w:style>
  <w:style w:type="paragraph" w:customStyle="1" w:styleId="IATableLines">
    <w:name w:val="IATableLines"/>
    <w:basedOn w:val="IATableText"/>
    <w:link w:val="IATableLinesChar"/>
    <w:uiPriority w:val="99"/>
    <w:rsid w:val="00E82A56"/>
    <w:pPr>
      <w:spacing w:before="0" w:after="0"/>
    </w:pPr>
  </w:style>
  <w:style w:type="paragraph" w:customStyle="1" w:styleId="EvidenceHeadPIR">
    <w:name w:val="EvidenceHeadPIR"/>
    <w:uiPriority w:val="99"/>
    <w:rsid w:val="00BE650A"/>
    <w:pPr>
      <w:spacing w:after="120"/>
    </w:pPr>
    <w:rPr>
      <w:rFonts w:ascii="Arial" w:hAnsi="Arial" w:cs="Arial"/>
      <w:color w:val="000000"/>
    </w:rPr>
  </w:style>
  <w:style w:type="character" w:styleId="FollowedHyperlink">
    <w:name w:val="FollowedHyperlink"/>
    <w:basedOn w:val="DefaultParagraphFont"/>
    <w:uiPriority w:val="99"/>
    <w:rsid w:val="006D37CF"/>
    <w:rPr>
      <w:color w:val="auto"/>
      <w:u w:val="single"/>
    </w:rPr>
  </w:style>
  <w:style w:type="paragraph" w:customStyle="1" w:styleId="IASpacer2">
    <w:name w:val="IASpacer2"/>
    <w:basedOn w:val="IASpacer"/>
    <w:uiPriority w:val="99"/>
    <w:rsid w:val="00311373"/>
    <w:pPr>
      <w:spacing w:line="40" w:lineRule="exact"/>
    </w:pPr>
  </w:style>
  <w:style w:type="paragraph" w:customStyle="1" w:styleId="POPVBY">
    <w:name w:val="POPVBY"/>
    <w:basedOn w:val="IATableLabel"/>
    <w:uiPriority w:val="99"/>
    <w:rsid w:val="00AB574B"/>
  </w:style>
  <w:style w:type="paragraph" w:customStyle="1" w:styleId="POTPY">
    <w:name w:val="POTPY"/>
    <w:basedOn w:val="IATableLabel"/>
    <w:uiPriority w:val="99"/>
    <w:rsid w:val="00F622E8"/>
  </w:style>
  <w:style w:type="paragraph" w:customStyle="1" w:styleId="PONBLow">
    <w:name w:val="PONBLow"/>
    <w:basedOn w:val="IATableLabel"/>
    <w:link w:val="PONBLowCharChar"/>
    <w:uiPriority w:val="99"/>
    <w:rsid w:val="00F622E8"/>
    <w:rPr>
      <w:b w:val="0"/>
      <w:bCs w:val="0"/>
    </w:rPr>
  </w:style>
  <w:style w:type="character" w:customStyle="1" w:styleId="PONBLowCharChar">
    <w:name w:val="PONBLow Char Char"/>
    <w:basedOn w:val="IATableLabelCharChar"/>
    <w:link w:val="PONBLow"/>
    <w:uiPriority w:val="99"/>
    <w:rsid w:val="00F622E8"/>
    <w:rPr>
      <w:rFonts w:ascii="Arial" w:eastAsia="SimSun" w:hAnsi="Arial" w:cs="Arial"/>
      <w:b/>
      <w:bCs/>
      <w:color w:val="000000"/>
      <w:spacing w:val="-5"/>
      <w:sz w:val="22"/>
      <w:szCs w:val="22"/>
      <w:lang w:val="en-GB" w:eastAsia="zh-CN"/>
    </w:rPr>
  </w:style>
  <w:style w:type="paragraph" w:customStyle="1" w:styleId="PONBHigh">
    <w:name w:val="PONBHigh"/>
    <w:basedOn w:val="IATableLabel"/>
    <w:link w:val="PONBHighChar"/>
    <w:uiPriority w:val="99"/>
    <w:rsid w:val="00F622E8"/>
    <w:rPr>
      <w:b w:val="0"/>
      <w:bCs w:val="0"/>
    </w:rPr>
  </w:style>
  <w:style w:type="character" w:customStyle="1" w:styleId="PONBHighChar">
    <w:name w:val="PONBHigh Char"/>
    <w:basedOn w:val="IATableLabelCharChar"/>
    <w:link w:val="PONBHigh"/>
    <w:uiPriority w:val="99"/>
    <w:rsid w:val="00F622E8"/>
    <w:rPr>
      <w:rFonts w:ascii="Arial" w:eastAsia="SimSun" w:hAnsi="Arial" w:cs="Arial"/>
      <w:b/>
      <w:bCs/>
      <w:color w:val="000000"/>
      <w:spacing w:val="-5"/>
      <w:sz w:val="22"/>
      <w:szCs w:val="22"/>
      <w:lang w:val="en-GB" w:eastAsia="zh-CN"/>
    </w:rPr>
  </w:style>
  <w:style w:type="paragraph" w:customStyle="1" w:styleId="PONBBestEst">
    <w:name w:val="PONBBestEst"/>
    <w:basedOn w:val="IATableLabel"/>
    <w:link w:val="PONBBestEstChar"/>
    <w:uiPriority w:val="99"/>
    <w:rsid w:val="00F622E8"/>
    <w:rPr>
      <w:b w:val="0"/>
      <w:bCs w:val="0"/>
    </w:rPr>
  </w:style>
  <w:style w:type="character" w:customStyle="1" w:styleId="PONBBestEstChar">
    <w:name w:val="PONBBestEst Char"/>
    <w:basedOn w:val="IATableLabelCharChar"/>
    <w:link w:val="PONBBestEst"/>
    <w:uiPriority w:val="99"/>
    <w:rsid w:val="00F622E8"/>
    <w:rPr>
      <w:rFonts w:ascii="Arial" w:eastAsia="SimSun" w:hAnsi="Arial" w:cs="Arial"/>
      <w:b/>
      <w:bCs/>
      <w:color w:val="000000"/>
      <w:spacing w:val="-5"/>
      <w:sz w:val="22"/>
      <w:szCs w:val="22"/>
      <w:lang w:val="en-GB" w:eastAsia="zh-CN"/>
    </w:rPr>
  </w:style>
  <w:style w:type="paragraph" w:customStyle="1" w:styleId="POTTCostsHigh">
    <w:name w:val="POTTCostsHigh"/>
    <w:basedOn w:val="IATableText"/>
    <w:uiPriority w:val="99"/>
    <w:rsid w:val="00B318B0"/>
    <w:pPr>
      <w:jc w:val="right"/>
    </w:pPr>
  </w:style>
  <w:style w:type="paragraph" w:customStyle="1" w:styleId="POTTCostsLow">
    <w:name w:val="POTTCostsLow"/>
    <w:basedOn w:val="POTTCostsHigh"/>
    <w:uiPriority w:val="99"/>
    <w:rsid w:val="00B318B0"/>
  </w:style>
  <w:style w:type="paragraph" w:customStyle="1" w:styleId="POTTCostsBest">
    <w:name w:val="POTTCostsBest"/>
    <w:basedOn w:val="IATableText"/>
    <w:uiPriority w:val="99"/>
    <w:rsid w:val="00B318B0"/>
    <w:pPr>
      <w:jc w:val="right"/>
    </w:pPr>
  </w:style>
  <w:style w:type="paragraph" w:customStyle="1" w:styleId="POTTCostsYear">
    <w:name w:val="POTTCostsYear"/>
    <w:basedOn w:val="IATableText"/>
    <w:uiPriority w:val="99"/>
    <w:rsid w:val="00B318B0"/>
    <w:pPr>
      <w:jc w:val="center"/>
    </w:pPr>
  </w:style>
  <w:style w:type="paragraph" w:customStyle="1" w:styleId="POAACostsLow">
    <w:name w:val="POAACostsLow"/>
    <w:basedOn w:val="IATableText"/>
    <w:uiPriority w:val="99"/>
    <w:rsid w:val="00B318B0"/>
    <w:pPr>
      <w:jc w:val="right"/>
    </w:pPr>
  </w:style>
  <w:style w:type="paragraph" w:customStyle="1" w:styleId="POAACostsHigh">
    <w:name w:val="POAACostsHigh"/>
    <w:basedOn w:val="POAACostsLow"/>
    <w:uiPriority w:val="99"/>
    <w:rsid w:val="00B318B0"/>
  </w:style>
  <w:style w:type="paragraph" w:customStyle="1" w:styleId="POAACostsBest">
    <w:name w:val="POAACostsBest"/>
    <w:basedOn w:val="IATableText"/>
    <w:uiPriority w:val="99"/>
    <w:rsid w:val="00B318B0"/>
    <w:pPr>
      <w:jc w:val="right"/>
    </w:pPr>
  </w:style>
  <w:style w:type="paragraph" w:customStyle="1" w:styleId="POTCCostsLow">
    <w:name w:val="POTCCostsLow"/>
    <w:basedOn w:val="IATableText"/>
    <w:uiPriority w:val="99"/>
    <w:rsid w:val="00B318B0"/>
    <w:pPr>
      <w:jc w:val="right"/>
    </w:pPr>
    <w:rPr>
      <w:b/>
      <w:bCs/>
    </w:rPr>
  </w:style>
  <w:style w:type="paragraph" w:customStyle="1" w:styleId="POTCCostsHigh">
    <w:name w:val="POTCCostsHigh"/>
    <w:basedOn w:val="IATableText"/>
    <w:uiPriority w:val="99"/>
    <w:rsid w:val="00B318B0"/>
    <w:pPr>
      <w:jc w:val="right"/>
    </w:pPr>
    <w:rPr>
      <w:b/>
      <w:bCs/>
    </w:rPr>
  </w:style>
  <w:style w:type="paragraph" w:customStyle="1" w:styleId="POTCCostsBest">
    <w:name w:val="POTCCostsBest"/>
    <w:basedOn w:val="IATableText"/>
    <w:uiPriority w:val="99"/>
    <w:rsid w:val="00B318B0"/>
    <w:pPr>
      <w:jc w:val="right"/>
    </w:pPr>
    <w:rPr>
      <w:b/>
      <w:bCs/>
    </w:rPr>
  </w:style>
  <w:style w:type="paragraph" w:customStyle="1" w:styleId="IAPOQ1">
    <w:name w:val="IAPOQ1"/>
    <w:basedOn w:val="IATableLabel"/>
    <w:uiPriority w:val="99"/>
    <w:rsid w:val="00B006A9"/>
  </w:style>
  <w:style w:type="paragraph" w:customStyle="1" w:styleId="IAPOA1">
    <w:name w:val="IAPOA1"/>
    <w:basedOn w:val="IATableLines"/>
    <w:uiPriority w:val="99"/>
    <w:rsid w:val="00B006A9"/>
  </w:style>
  <w:style w:type="paragraph" w:customStyle="1" w:styleId="IAPOQ2">
    <w:name w:val="IAPOQ2"/>
    <w:basedOn w:val="IATableLabel"/>
    <w:link w:val="IAPOQ2Char"/>
    <w:uiPriority w:val="99"/>
    <w:rsid w:val="00B006A9"/>
  </w:style>
  <w:style w:type="paragraph" w:customStyle="1" w:styleId="IAPOA2">
    <w:name w:val="IAPOA2"/>
    <w:basedOn w:val="IATableLines"/>
    <w:uiPriority w:val="99"/>
    <w:rsid w:val="00B006A9"/>
  </w:style>
  <w:style w:type="paragraph" w:customStyle="1" w:styleId="POTTBenLow">
    <w:name w:val="POTTBenLow"/>
    <w:basedOn w:val="POTTCostsLow"/>
    <w:uiPriority w:val="99"/>
    <w:rsid w:val="00B006A9"/>
  </w:style>
  <w:style w:type="paragraph" w:customStyle="1" w:styleId="POTTBenHigh">
    <w:name w:val="POTTBenHigh"/>
    <w:basedOn w:val="POTTCostsHigh"/>
    <w:uiPriority w:val="99"/>
    <w:rsid w:val="00B006A9"/>
  </w:style>
  <w:style w:type="paragraph" w:customStyle="1" w:styleId="POTTBenBest">
    <w:name w:val="POTTBenBest"/>
    <w:basedOn w:val="POTTCostsBest"/>
    <w:uiPriority w:val="99"/>
    <w:rsid w:val="00B006A9"/>
  </w:style>
  <w:style w:type="paragraph" w:customStyle="1" w:styleId="POAABenLow">
    <w:name w:val="POAABenLow"/>
    <w:basedOn w:val="POAACostsLow"/>
    <w:uiPriority w:val="99"/>
    <w:rsid w:val="00B006A9"/>
  </w:style>
  <w:style w:type="paragraph" w:customStyle="1" w:styleId="POAABenHigh">
    <w:name w:val="POAABenHigh"/>
    <w:basedOn w:val="POAABenLow"/>
    <w:uiPriority w:val="99"/>
    <w:rsid w:val="00B006A9"/>
  </w:style>
  <w:style w:type="paragraph" w:customStyle="1" w:styleId="POAABenBest">
    <w:name w:val="POAABenBest"/>
    <w:basedOn w:val="POAABenHigh"/>
    <w:uiPriority w:val="99"/>
    <w:rsid w:val="00B006A9"/>
  </w:style>
  <w:style w:type="paragraph" w:customStyle="1" w:styleId="POTBBenLow">
    <w:name w:val="POTBBenLow"/>
    <w:basedOn w:val="POTCCostsLow"/>
    <w:uiPriority w:val="99"/>
    <w:rsid w:val="00B006A9"/>
  </w:style>
  <w:style w:type="paragraph" w:customStyle="1" w:styleId="POTBBenHigh">
    <w:name w:val="POTBBenHigh"/>
    <w:basedOn w:val="POTBBenLow"/>
    <w:uiPriority w:val="99"/>
    <w:rsid w:val="00B006A9"/>
  </w:style>
  <w:style w:type="paragraph" w:customStyle="1" w:styleId="POTBBenBest">
    <w:name w:val="POTBBenBest"/>
    <w:basedOn w:val="POTBBenHigh"/>
    <w:uiPriority w:val="99"/>
    <w:rsid w:val="00B006A9"/>
  </w:style>
  <w:style w:type="paragraph" w:customStyle="1" w:styleId="IPPOQ3">
    <w:name w:val="IPPOQ3"/>
    <w:basedOn w:val="IAPOQ2"/>
    <w:link w:val="IPPOQ3Char"/>
    <w:uiPriority w:val="99"/>
    <w:rsid w:val="00F1653E"/>
  </w:style>
  <w:style w:type="paragraph" w:customStyle="1" w:styleId="IAPOQ4">
    <w:name w:val="IAPOQ4"/>
    <w:basedOn w:val="IPPOQ3"/>
    <w:link w:val="IAPOQ4Char"/>
    <w:uiPriority w:val="99"/>
    <w:rsid w:val="00F1653E"/>
  </w:style>
  <w:style w:type="paragraph" w:customStyle="1" w:styleId="IAPOA3">
    <w:name w:val="IAPOA3"/>
    <w:basedOn w:val="IAPOA2"/>
    <w:uiPriority w:val="99"/>
    <w:rsid w:val="00F1653E"/>
  </w:style>
  <w:style w:type="paragraph" w:customStyle="1" w:styleId="IAPOA4">
    <w:name w:val="IAPOA4"/>
    <w:basedOn w:val="IAPOA3"/>
    <w:uiPriority w:val="99"/>
    <w:rsid w:val="00F1653E"/>
  </w:style>
  <w:style w:type="paragraph" w:customStyle="1" w:styleId="IAPOA5">
    <w:name w:val="IAPOA5"/>
    <w:basedOn w:val="IAPOA4"/>
    <w:uiPriority w:val="99"/>
    <w:rsid w:val="00F1653E"/>
  </w:style>
  <w:style w:type="paragraph" w:customStyle="1" w:styleId="IAPOQ5">
    <w:name w:val="IAPOQ5"/>
    <w:basedOn w:val="IAPOQ4"/>
    <w:link w:val="IAPOQ5Char"/>
    <w:uiPriority w:val="99"/>
    <w:rsid w:val="00F1653E"/>
  </w:style>
  <w:style w:type="character" w:customStyle="1" w:styleId="IAPOQ2Char">
    <w:name w:val="IAPOQ2 Char"/>
    <w:basedOn w:val="IATableLabelCharChar"/>
    <w:link w:val="IAPOQ2"/>
    <w:uiPriority w:val="99"/>
    <w:rsid w:val="00F1653E"/>
    <w:rPr>
      <w:rFonts w:ascii="Arial" w:eastAsia="SimSun" w:hAnsi="Arial" w:cs="Arial"/>
      <w:b/>
      <w:bCs/>
      <w:color w:val="000000"/>
      <w:spacing w:val="-5"/>
      <w:lang w:val="en-GB" w:eastAsia="zh-CN"/>
    </w:rPr>
  </w:style>
  <w:style w:type="character" w:customStyle="1" w:styleId="IPPOQ3Char">
    <w:name w:val="IPPOQ3 Char"/>
    <w:basedOn w:val="IAPOQ2Char"/>
    <w:link w:val="IPPOQ3"/>
    <w:uiPriority w:val="99"/>
    <w:rsid w:val="00F1653E"/>
    <w:rPr>
      <w:rFonts w:ascii="Arial" w:eastAsia="SimSun" w:hAnsi="Arial" w:cs="Arial"/>
      <w:b/>
      <w:bCs/>
      <w:color w:val="000000"/>
      <w:spacing w:val="-5"/>
      <w:lang w:val="en-GB" w:eastAsia="zh-CN"/>
    </w:rPr>
  </w:style>
  <w:style w:type="character" w:customStyle="1" w:styleId="IAPOQ4Char">
    <w:name w:val="IAPOQ4 Char"/>
    <w:basedOn w:val="IPPOQ3Char"/>
    <w:link w:val="IAPOQ4"/>
    <w:uiPriority w:val="99"/>
    <w:rsid w:val="00F1653E"/>
    <w:rPr>
      <w:rFonts w:ascii="Arial" w:eastAsia="SimSun" w:hAnsi="Arial" w:cs="Arial"/>
      <w:b/>
      <w:bCs/>
      <w:color w:val="000000"/>
      <w:spacing w:val="-5"/>
      <w:lang w:val="en-GB" w:eastAsia="zh-CN"/>
    </w:rPr>
  </w:style>
  <w:style w:type="character" w:customStyle="1" w:styleId="IAPOQ5Char">
    <w:name w:val="IAPOQ5 Char"/>
    <w:basedOn w:val="IAPOQ4Char"/>
    <w:link w:val="IAPOQ5"/>
    <w:uiPriority w:val="99"/>
    <w:rsid w:val="00F1653E"/>
    <w:rPr>
      <w:rFonts w:ascii="Arial" w:eastAsia="SimSun" w:hAnsi="Arial" w:cs="Arial"/>
      <w:b/>
      <w:bCs/>
      <w:color w:val="000000"/>
      <w:spacing w:val="-5"/>
      <w:lang w:val="en-GB" w:eastAsia="zh-CN"/>
    </w:rPr>
  </w:style>
  <w:style w:type="paragraph" w:customStyle="1" w:styleId="IAPODisRate">
    <w:name w:val="IAPODisRate"/>
    <w:basedOn w:val="IATableLabel"/>
    <w:uiPriority w:val="99"/>
    <w:rsid w:val="00F1653E"/>
    <w:pPr>
      <w:ind w:left="0"/>
      <w:jc w:val="center"/>
    </w:pPr>
    <w:rPr>
      <w:b w:val="0"/>
      <w:bCs w:val="0"/>
    </w:rPr>
  </w:style>
  <w:style w:type="paragraph" w:customStyle="1" w:styleId="IAPODICost">
    <w:name w:val="IAPODICost"/>
    <w:basedOn w:val="IATableLabel"/>
    <w:link w:val="IAPODICostChar"/>
    <w:uiPriority w:val="99"/>
    <w:rsid w:val="000E3FD7"/>
    <w:rPr>
      <w:b w:val="0"/>
      <w:bCs w:val="0"/>
      <w:sz w:val="22"/>
      <w:szCs w:val="22"/>
    </w:rPr>
  </w:style>
  <w:style w:type="character" w:customStyle="1" w:styleId="IAPODICostChar">
    <w:name w:val="IAPODICost Char"/>
    <w:basedOn w:val="IATableLabelCharChar"/>
    <w:link w:val="IAPODICost"/>
    <w:uiPriority w:val="99"/>
    <w:rsid w:val="000E3FD7"/>
    <w:rPr>
      <w:rFonts w:ascii="Arial" w:eastAsia="SimSun" w:hAnsi="Arial" w:cs="Arial"/>
      <w:b/>
      <w:bCs/>
      <w:color w:val="000000"/>
      <w:spacing w:val="-5"/>
      <w:sz w:val="22"/>
      <w:szCs w:val="22"/>
      <w:lang w:val="en-GB" w:eastAsia="zh-CN"/>
    </w:rPr>
  </w:style>
  <w:style w:type="paragraph" w:customStyle="1" w:styleId="IAPODIBen">
    <w:name w:val="IAPODIBen"/>
    <w:basedOn w:val="IATableLabel"/>
    <w:link w:val="IAPODIBenChar"/>
    <w:uiPriority w:val="99"/>
    <w:rsid w:val="000E3FD7"/>
    <w:rPr>
      <w:b w:val="0"/>
      <w:bCs w:val="0"/>
      <w:sz w:val="22"/>
      <w:szCs w:val="22"/>
    </w:rPr>
  </w:style>
  <w:style w:type="paragraph" w:customStyle="1" w:styleId="IAPODINet">
    <w:name w:val="IAPODINet"/>
    <w:basedOn w:val="IATableLabel"/>
    <w:link w:val="IAPODINetChar"/>
    <w:uiPriority w:val="99"/>
    <w:rsid w:val="000E3FD7"/>
    <w:rPr>
      <w:b w:val="0"/>
      <w:bCs w:val="0"/>
      <w:sz w:val="22"/>
      <w:szCs w:val="22"/>
    </w:rPr>
  </w:style>
  <w:style w:type="paragraph" w:customStyle="1" w:styleId="IAPODIOIOO">
    <w:name w:val="IAPODIOIOO"/>
    <w:basedOn w:val="IATableLabel"/>
    <w:uiPriority w:val="99"/>
    <w:rsid w:val="000E3FD7"/>
    <w:rPr>
      <w:b w:val="0"/>
      <w:bCs w:val="0"/>
      <w:sz w:val="22"/>
      <w:szCs w:val="22"/>
    </w:rPr>
  </w:style>
  <w:style w:type="character" w:customStyle="1" w:styleId="IAPODINetChar">
    <w:name w:val="IAPODINet Char"/>
    <w:basedOn w:val="IATableLabelCharChar"/>
    <w:link w:val="IAPODINet"/>
    <w:uiPriority w:val="99"/>
    <w:rsid w:val="000E3FD7"/>
    <w:rPr>
      <w:rFonts w:ascii="Arial" w:eastAsia="SimSun" w:hAnsi="Arial" w:cs="Arial"/>
      <w:b/>
      <w:bCs/>
      <w:color w:val="000000"/>
      <w:spacing w:val="-5"/>
      <w:sz w:val="22"/>
      <w:szCs w:val="22"/>
      <w:lang w:val="en-GB" w:eastAsia="zh-CN"/>
    </w:rPr>
  </w:style>
  <w:style w:type="character" w:customStyle="1" w:styleId="IAPODIBenChar">
    <w:name w:val="IAPODIBen Char"/>
    <w:basedOn w:val="IATableLabelCharChar"/>
    <w:link w:val="IAPODIBen"/>
    <w:uiPriority w:val="99"/>
    <w:rsid w:val="000E3FD7"/>
    <w:rPr>
      <w:rFonts w:ascii="Arial" w:eastAsia="SimSun" w:hAnsi="Arial" w:cs="Arial"/>
      <w:b/>
      <w:bCs/>
      <w:color w:val="000000"/>
      <w:spacing w:val="-5"/>
      <w:sz w:val="22"/>
      <w:szCs w:val="22"/>
      <w:lang w:val="en-GB" w:eastAsia="zh-CN"/>
    </w:rPr>
  </w:style>
  <w:style w:type="paragraph" w:customStyle="1" w:styleId="IAPODIMQ">
    <w:name w:val="IAPODIMQ"/>
    <w:basedOn w:val="IATableText"/>
    <w:uiPriority w:val="99"/>
    <w:rsid w:val="000E3FD7"/>
    <w:rPr>
      <w:color w:val="000000"/>
      <w:sz w:val="20"/>
      <w:szCs w:val="20"/>
    </w:rPr>
  </w:style>
  <w:style w:type="paragraph" w:customStyle="1" w:styleId="ebbullet0">
    <w:name w:val="ebbullet"/>
    <w:basedOn w:val="Normal"/>
    <w:uiPriority w:val="99"/>
    <w:rsid w:val="001F5423"/>
    <w:pPr>
      <w:spacing w:before="100" w:beforeAutospacing="1" w:after="100" w:afterAutospacing="1"/>
    </w:pPr>
    <w:rPr>
      <w:lang w:eastAsia="en-GB"/>
    </w:rPr>
  </w:style>
  <w:style w:type="paragraph" w:customStyle="1" w:styleId="IATitle">
    <w:name w:val="IATitle"/>
    <w:basedOn w:val="IAHeadTitle"/>
    <w:uiPriority w:val="99"/>
    <w:rsid w:val="008031EC"/>
    <w:pPr>
      <w:ind w:left="113"/>
    </w:pPr>
    <w:rPr>
      <w:noProof/>
      <w:sz w:val="22"/>
      <w:szCs w:val="22"/>
    </w:rPr>
  </w:style>
  <w:style w:type="paragraph" w:customStyle="1" w:styleId="IANo">
    <w:name w:val="IANo"/>
    <w:basedOn w:val="IAHeadTitle"/>
    <w:link w:val="IANoChar"/>
    <w:uiPriority w:val="99"/>
    <w:rsid w:val="00086128"/>
    <w:pPr>
      <w:ind w:left="113"/>
    </w:pPr>
    <w:rPr>
      <w:b w:val="0"/>
      <w:bCs w:val="0"/>
      <w:sz w:val="22"/>
      <w:szCs w:val="22"/>
    </w:rPr>
  </w:style>
  <w:style w:type="character" w:customStyle="1" w:styleId="IAHeadDeptChar">
    <w:name w:val="IAHeadDept Char"/>
    <w:basedOn w:val="IATableTextChar"/>
    <w:link w:val="IAHeadDept"/>
    <w:uiPriority w:val="99"/>
    <w:rsid w:val="008031EC"/>
    <w:rPr>
      <w:rFonts w:ascii="Arial" w:eastAsia="SimSun" w:hAnsi="Arial" w:cs="Arial"/>
      <w:b/>
      <w:bCs/>
      <w:color w:val="000000"/>
      <w:spacing w:val="-6"/>
      <w:sz w:val="22"/>
      <w:szCs w:val="22"/>
      <w:lang w:val="en-GB" w:eastAsia="zh-CN"/>
    </w:rPr>
  </w:style>
  <w:style w:type="character" w:customStyle="1" w:styleId="IAHeadTitleChar">
    <w:name w:val="IAHeadTitle Char"/>
    <w:basedOn w:val="IAHeadDeptChar"/>
    <w:link w:val="IAHeadTitle"/>
    <w:uiPriority w:val="99"/>
    <w:rsid w:val="008031EC"/>
    <w:rPr>
      <w:rFonts w:ascii="Arial" w:eastAsia="SimSun" w:hAnsi="Arial" w:cs="Arial"/>
      <w:b/>
      <w:bCs/>
      <w:color w:val="000000"/>
      <w:spacing w:val="-6"/>
      <w:sz w:val="28"/>
      <w:szCs w:val="28"/>
      <w:lang w:val="en-GB" w:eastAsia="zh-CN"/>
    </w:rPr>
  </w:style>
  <w:style w:type="character" w:customStyle="1" w:styleId="IANoChar">
    <w:name w:val="IANo Char"/>
    <w:basedOn w:val="IAHeadTitleChar"/>
    <w:link w:val="IANo"/>
    <w:uiPriority w:val="99"/>
    <w:rsid w:val="00086128"/>
    <w:rPr>
      <w:rFonts w:ascii="Arial" w:eastAsia="SimSun" w:hAnsi="Arial" w:cs="Arial"/>
      <w:b/>
      <w:bCs/>
      <w:color w:val="000000"/>
      <w:spacing w:val="-6"/>
      <w:sz w:val="22"/>
      <w:szCs w:val="22"/>
      <w:lang w:val="en-GB" w:eastAsia="zh-CN"/>
    </w:rPr>
  </w:style>
  <w:style w:type="paragraph" w:customStyle="1" w:styleId="IALeadDept">
    <w:name w:val="IALeadDept"/>
    <w:basedOn w:val="IAHeadText"/>
    <w:uiPriority w:val="99"/>
    <w:rsid w:val="008031EC"/>
    <w:pPr>
      <w:ind w:left="113"/>
    </w:pPr>
    <w:rPr>
      <w:sz w:val="20"/>
      <w:szCs w:val="20"/>
    </w:rPr>
  </w:style>
  <w:style w:type="paragraph" w:customStyle="1" w:styleId="IAOtherDepts">
    <w:name w:val="IAOtherDepts"/>
    <w:basedOn w:val="IATableLabel"/>
    <w:uiPriority w:val="99"/>
    <w:rsid w:val="008031EC"/>
    <w:pPr>
      <w:spacing w:after="0"/>
    </w:pPr>
    <w:rPr>
      <w:b w:val="0"/>
      <w:bCs w:val="0"/>
    </w:rPr>
  </w:style>
  <w:style w:type="paragraph" w:customStyle="1" w:styleId="IADate">
    <w:name w:val="IADate"/>
    <w:basedOn w:val="IATableLabel"/>
    <w:link w:val="IADateChar"/>
    <w:uiPriority w:val="99"/>
    <w:rsid w:val="008031EC"/>
    <w:rPr>
      <w:b w:val="0"/>
      <w:bCs w:val="0"/>
      <w:sz w:val="22"/>
      <w:szCs w:val="22"/>
    </w:rPr>
  </w:style>
  <w:style w:type="paragraph" w:customStyle="1" w:styleId="IAStage">
    <w:name w:val="IAStage"/>
    <w:basedOn w:val="IATableLabel"/>
    <w:link w:val="IAStageChar"/>
    <w:uiPriority w:val="99"/>
    <w:rsid w:val="008031EC"/>
    <w:rPr>
      <w:b w:val="0"/>
      <w:bCs w:val="0"/>
      <w:sz w:val="22"/>
      <w:szCs w:val="22"/>
    </w:rPr>
  </w:style>
  <w:style w:type="paragraph" w:customStyle="1" w:styleId="IASOI">
    <w:name w:val="IASOI"/>
    <w:basedOn w:val="IATableLabel"/>
    <w:link w:val="IASOIChar"/>
    <w:uiPriority w:val="99"/>
    <w:rsid w:val="008031EC"/>
    <w:rPr>
      <w:b w:val="0"/>
      <w:bCs w:val="0"/>
      <w:sz w:val="22"/>
      <w:szCs w:val="22"/>
    </w:rPr>
  </w:style>
  <w:style w:type="paragraph" w:customStyle="1" w:styleId="IATOM">
    <w:name w:val="IATOM"/>
    <w:basedOn w:val="IATableLabel"/>
    <w:link w:val="IATOMChar"/>
    <w:uiPriority w:val="99"/>
    <w:rsid w:val="008031EC"/>
    <w:rPr>
      <w:b w:val="0"/>
      <w:bCs w:val="0"/>
      <w:sz w:val="22"/>
      <w:szCs w:val="22"/>
    </w:rPr>
  </w:style>
  <w:style w:type="paragraph" w:customStyle="1" w:styleId="IACOE">
    <w:name w:val="IACOE"/>
    <w:basedOn w:val="IATableLines"/>
    <w:link w:val="IACOEChar"/>
    <w:uiPriority w:val="99"/>
    <w:rsid w:val="008031EC"/>
  </w:style>
  <w:style w:type="paragraph" w:customStyle="1" w:styleId="IARPC">
    <w:name w:val="IARPC"/>
    <w:basedOn w:val="Title"/>
    <w:link w:val="IARPCChar"/>
    <w:uiPriority w:val="99"/>
    <w:rsid w:val="00174C10"/>
    <w:rPr>
      <w:rFonts w:eastAsia="SimSun"/>
      <w:color w:val="000000"/>
      <w:sz w:val="24"/>
      <w:szCs w:val="24"/>
    </w:rPr>
  </w:style>
  <w:style w:type="paragraph" w:customStyle="1" w:styleId="IAIIOTNPV">
    <w:name w:val="IAIIOTNPV"/>
    <w:basedOn w:val="IATableLabel"/>
    <w:uiPriority w:val="99"/>
    <w:rsid w:val="008031EC"/>
    <w:pPr>
      <w:spacing w:before="0" w:after="0"/>
      <w:jc w:val="both"/>
    </w:pPr>
    <w:rPr>
      <w:b w:val="0"/>
      <w:bCs w:val="0"/>
      <w:sz w:val="22"/>
      <w:szCs w:val="22"/>
    </w:rPr>
  </w:style>
  <w:style w:type="paragraph" w:customStyle="1" w:styleId="IAIOBNPV">
    <w:name w:val="IAIOBNPV"/>
    <w:basedOn w:val="IATableLabel"/>
    <w:uiPriority w:val="99"/>
    <w:rsid w:val="008031EC"/>
    <w:pPr>
      <w:spacing w:before="0" w:after="0"/>
    </w:pPr>
    <w:rPr>
      <w:b w:val="0"/>
      <w:bCs w:val="0"/>
      <w:sz w:val="22"/>
      <w:szCs w:val="22"/>
    </w:rPr>
  </w:style>
  <w:style w:type="paragraph" w:customStyle="1" w:styleId="IAIONCTBPY">
    <w:name w:val="IAIONCTBPY"/>
    <w:basedOn w:val="IATableLabel"/>
    <w:uiPriority w:val="99"/>
    <w:rsid w:val="008031EC"/>
    <w:pPr>
      <w:spacing w:before="0" w:after="0"/>
    </w:pPr>
    <w:rPr>
      <w:b w:val="0"/>
      <w:bCs w:val="0"/>
      <w:sz w:val="22"/>
      <w:szCs w:val="22"/>
    </w:rPr>
  </w:style>
  <w:style w:type="paragraph" w:customStyle="1" w:styleId="IAIOInScopeInOut">
    <w:name w:val="IAIOInScopeInOut"/>
    <w:basedOn w:val="IATableLabel"/>
    <w:uiPriority w:val="99"/>
    <w:rsid w:val="008369A3"/>
    <w:pPr>
      <w:spacing w:before="0" w:after="0"/>
    </w:pPr>
    <w:rPr>
      <w:b w:val="0"/>
      <w:bCs w:val="0"/>
      <w:sz w:val="22"/>
      <w:szCs w:val="22"/>
    </w:rPr>
  </w:style>
  <w:style w:type="paragraph" w:customStyle="1" w:styleId="IAIOPrefMQ">
    <w:name w:val="IAIOPrefMQ"/>
    <w:basedOn w:val="IATableText"/>
    <w:uiPriority w:val="99"/>
    <w:rsid w:val="008369A3"/>
    <w:pPr>
      <w:spacing w:before="0" w:after="0"/>
    </w:pPr>
    <w:rPr>
      <w:color w:val="000000"/>
    </w:rPr>
  </w:style>
  <w:style w:type="paragraph" w:customStyle="1" w:styleId="IAIOQ1">
    <w:name w:val="IAIOQ1"/>
    <w:basedOn w:val="IATableLabel"/>
    <w:uiPriority w:val="99"/>
    <w:rsid w:val="008369A3"/>
  </w:style>
  <w:style w:type="paragraph" w:customStyle="1" w:styleId="IAIOA1">
    <w:name w:val="IAIOA1"/>
    <w:basedOn w:val="IATableLines"/>
    <w:uiPriority w:val="99"/>
    <w:rsid w:val="008369A3"/>
  </w:style>
  <w:style w:type="paragraph" w:customStyle="1" w:styleId="IAIOQ2">
    <w:name w:val="IAIOQ2"/>
    <w:basedOn w:val="IATableLabel"/>
    <w:uiPriority w:val="99"/>
    <w:rsid w:val="008369A3"/>
  </w:style>
  <w:style w:type="paragraph" w:customStyle="1" w:styleId="IAIOA2">
    <w:name w:val="IAIOA2"/>
    <w:basedOn w:val="IATableLines"/>
    <w:uiPriority w:val="99"/>
    <w:rsid w:val="008369A3"/>
  </w:style>
  <w:style w:type="paragraph" w:customStyle="1" w:styleId="IAIOQ3">
    <w:name w:val="IAIOQ3"/>
    <w:basedOn w:val="IATableLabel"/>
    <w:uiPriority w:val="99"/>
    <w:rsid w:val="008369A3"/>
  </w:style>
  <w:style w:type="paragraph" w:customStyle="1" w:styleId="IAIOA3">
    <w:name w:val="IAIOA3"/>
    <w:basedOn w:val="IATableLines"/>
    <w:uiPriority w:val="99"/>
    <w:rsid w:val="008369A3"/>
  </w:style>
  <w:style w:type="paragraph" w:customStyle="1" w:styleId="IAIOPolicyReview">
    <w:name w:val="IAIOPolicyReview"/>
    <w:basedOn w:val="IATableLabel"/>
    <w:link w:val="IAIOPolicyReviewChar"/>
    <w:uiPriority w:val="99"/>
    <w:rsid w:val="00F91F5A"/>
    <w:rPr>
      <w:b w:val="0"/>
      <w:bCs w:val="0"/>
      <w:sz w:val="22"/>
      <w:szCs w:val="22"/>
    </w:rPr>
  </w:style>
  <w:style w:type="character" w:customStyle="1" w:styleId="IAIOPolicyReviewChar">
    <w:name w:val="IAIOPolicyReview Char"/>
    <w:basedOn w:val="IATableLabelCharChar"/>
    <w:link w:val="IAIOPolicyReview"/>
    <w:uiPriority w:val="99"/>
    <w:rsid w:val="00F91F5A"/>
    <w:rPr>
      <w:rFonts w:ascii="Arial" w:eastAsia="SimSun" w:hAnsi="Arial" w:cs="Arial"/>
      <w:b/>
      <w:bCs/>
      <w:color w:val="000000"/>
      <w:spacing w:val="-5"/>
      <w:sz w:val="22"/>
      <w:szCs w:val="22"/>
      <w:lang w:val="en-GB" w:eastAsia="zh-CN"/>
    </w:rPr>
  </w:style>
  <w:style w:type="paragraph" w:customStyle="1" w:styleId="IAIOReviewMonth">
    <w:name w:val="IAIOReviewMonth"/>
    <w:basedOn w:val="IATableLabel"/>
    <w:link w:val="IAIOReviewMonthChar"/>
    <w:uiPriority w:val="99"/>
    <w:rsid w:val="00F91F5A"/>
    <w:rPr>
      <w:b w:val="0"/>
      <w:bCs w:val="0"/>
      <w:sz w:val="22"/>
      <w:szCs w:val="22"/>
    </w:rPr>
  </w:style>
  <w:style w:type="paragraph" w:customStyle="1" w:styleId="IAIOReviewYear">
    <w:name w:val="IAIOReviewYear"/>
    <w:basedOn w:val="IATableLabel"/>
    <w:link w:val="IAIOReviewYearChar"/>
    <w:uiPriority w:val="99"/>
    <w:rsid w:val="00F91F5A"/>
    <w:rPr>
      <w:b w:val="0"/>
      <w:bCs w:val="0"/>
      <w:sz w:val="22"/>
      <w:szCs w:val="22"/>
    </w:rPr>
  </w:style>
  <w:style w:type="paragraph" w:customStyle="1" w:styleId="IAIOCheckEU">
    <w:name w:val="IAIOCheckEU"/>
    <w:basedOn w:val="IATableText"/>
    <w:uiPriority w:val="99"/>
    <w:rsid w:val="00F91F5A"/>
    <w:pPr>
      <w:spacing w:before="0" w:after="0"/>
    </w:pPr>
    <w:rPr>
      <w:sz w:val="20"/>
      <w:szCs w:val="20"/>
    </w:rPr>
  </w:style>
  <w:style w:type="character" w:customStyle="1" w:styleId="IAIOReviewYearChar">
    <w:name w:val="IAIOReviewYear Char"/>
    <w:basedOn w:val="IATableLabelCharChar"/>
    <w:link w:val="IAIOReviewYear"/>
    <w:uiPriority w:val="99"/>
    <w:rsid w:val="00F91F5A"/>
    <w:rPr>
      <w:rFonts w:ascii="Arial" w:eastAsia="SimSun" w:hAnsi="Arial" w:cs="Arial"/>
      <w:b/>
      <w:bCs/>
      <w:color w:val="000000"/>
      <w:spacing w:val="-5"/>
      <w:sz w:val="22"/>
      <w:szCs w:val="22"/>
      <w:lang w:val="en-GB" w:eastAsia="zh-CN"/>
    </w:rPr>
  </w:style>
  <w:style w:type="character" w:customStyle="1" w:styleId="IAIOReviewMonthChar">
    <w:name w:val="IAIOReviewMonth Char"/>
    <w:basedOn w:val="IATableLabelCharChar"/>
    <w:link w:val="IAIOReviewMonth"/>
    <w:uiPriority w:val="99"/>
    <w:rsid w:val="00F91F5A"/>
    <w:rPr>
      <w:rFonts w:ascii="Arial" w:eastAsia="SimSun" w:hAnsi="Arial" w:cs="Arial"/>
      <w:b/>
      <w:bCs/>
      <w:color w:val="000000"/>
      <w:spacing w:val="-5"/>
      <w:sz w:val="22"/>
      <w:szCs w:val="22"/>
      <w:lang w:val="en-GB" w:eastAsia="zh-CN"/>
    </w:rPr>
  </w:style>
  <w:style w:type="paragraph" w:customStyle="1" w:styleId="IAIOCheckMicro">
    <w:name w:val="IAIOCheckMicro"/>
    <w:basedOn w:val="IATableLines"/>
    <w:link w:val="IAIOCheckMicroChar"/>
    <w:uiPriority w:val="99"/>
    <w:rsid w:val="00F91F5A"/>
    <w:rPr>
      <w:sz w:val="20"/>
      <w:szCs w:val="20"/>
    </w:rPr>
  </w:style>
  <w:style w:type="paragraph" w:customStyle="1" w:styleId="IAIOCheck20">
    <w:name w:val="IAIOCheck20"/>
    <w:basedOn w:val="IATableLines"/>
    <w:uiPriority w:val="99"/>
    <w:rsid w:val="00F91F5A"/>
    <w:rPr>
      <w:sz w:val="20"/>
      <w:szCs w:val="20"/>
    </w:rPr>
  </w:style>
  <w:style w:type="paragraph" w:customStyle="1" w:styleId="IAIOCheckSmall">
    <w:name w:val="IAIOCheckSmall"/>
    <w:basedOn w:val="IATableLines"/>
    <w:link w:val="IAIOCheckSmallChar"/>
    <w:uiPriority w:val="99"/>
    <w:rsid w:val="00F91F5A"/>
    <w:rPr>
      <w:sz w:val="20"/>
      <w:szCs w:val="20"/>
    </w:rPr>
  </w:style>
  <w:style w:type="paragraph" w:customStyle="1" w:styleId="IAIOCheckMedium">
    <w:name w:val="IAIOCheckMedium"/>
    <w:basedOn w:val="IATableLines"/>
    <w:link w:val="IAIOCheckMediumChar"/>
    <w:uiPriority w:val="99"/>
    <w:rsid w:val="00F91F5A"/>
    <w:rPr>
      <w:sz w:val="20"/>
      <w:szCs w:val="20"/>
    </w:rPr>
  </w:style>
  <w:style w:type="paragraph" w:customStyle="1" w:styleId="IAIOCheckLarge">
    <w:name w:val="IAIOCheckLarge"/>
    <w:basedOn w:val="IATableLines"/>
    <w:link w:val="IAIOCheckLargeChar"/>
    <w:uiPriority w:val="99"/>
    <w:rsid w:val="00F91F5A"/>
    <w:rPr>
      <w:sz w:val="20"/>
      <w:szCs w:val="20"/>
    </w:rPr>
  </w:style>
  <w:style w:type="paragraph" w:customStyle="1" w:styleId="IAIOCO2Traded">
    <w:name w:val="IAIOCO2Traded"/>
    <w:basedOn w:val="IATableLabel"/>
    <w:link w:val="IAIOCO2TradedChar"/>
    <w:uiPriority w:val="99"/>
    <w:rsid w:val="00F91F5A"/>
    <w:rPr>
      <w:b w:val="0"/>
      <w:bCs w:val="0"/>
      <w:sz w:val="22"/>
      <w:szCs w:val="22"/>
    </w:rPr>
  </w:style>
  <w:style w:type="paragraph" w:customStyle="1" w:styleId="IAIOCO2NonTraded">
    <w:name w:val="IAIOCO2NonTraded"/>
    <w:basedOn w:val="IATableLabel"/>
    <w:link w:val="IAIOCO2NonTradedChar"/>
    <w:uiPriority w:val="99"/>
    <w:rsid w:val="00F91F5A"/>
    <w:rPr>
      <w:b w:val="0"/>
      <w:bCs w:val="0"/>
      <w:sz w:val="22"/>
      <w:szCs w:val="22"/>
    </w:rPr>
  </w:style>
  <w:style w:type="paragraph" w:customStyle="1" w:styleId="IAIOtextSign">
    <w:name w:val="IAIOtextSign"/>
    <w:basedOn w:val="Normal"/>
    <w:uiPriority w:val="99"/>
    <w:rsid w:val="00F91F5A"/>
    <w:pPr>
      <w:jc w:val="center"/>
    </w:pPr>
  </w:style>
  <w:style w:type="paragraph" w:customStyle="1" w:styleId="IAIOSigDate">
    <w:name w:val="IAIOSigDate"/>
    <w:basedOn w:val="Normal"/>
    <w:uiPriority w:val="99"/>
    <w:rsid w:val="00F91F5A"/>
    <w:pPr>
      <w:jc w:val="center"/>
    </w:pPr>
    <w:rPr>
      <w:sz w:val="22"/>
      <w:szCs w:val="22"/>
    </w:rPr>
  </w:style>
  <w:style w:type="paragraph" w:customStyle="1" w:styleId="IAPODescription">
    <w:name w:val="IAPODescription"/>
    <w:basedOn w:val="IAHeadLabel"/>
    <w:link w:val="IAPODescriptionCharChar"/>
    <w:uiPriority w:val="99"/>
    <w:rsid w:val="00D00846"/>
    <w:pPr>
      <w:spacing w:before="50"/>
    </w:pPr>
    <w:rPr>
      <w:b w:val="0"/>
      <w:bCs w:val="0"/>
    </w:rPr>
  </w:style>
  <w:style w:type="character" w:customStyle="1" w:styleId="IAPODescriptionCharChar">
    <w:name w:val="IAPODescription Char Char"/>
    <w:basedOn w:val="IAHeadLabelChar"/>
    <w:link w:val="IAPODescription"/>
    <w:uiPriority w:val="99"/>
    <w:rsid w:val="00D00846"/>
    <w:rPr>
      <w:rFonts w:ascii="Arial" w:eastAsia="SimSun" w:hAnsi="Arial" w:cs="Arial"/>
      <w:b/>
      <w:bCs/>
      <w:color w:val="000000"/>
      <w:spacing w:val="-5"/>
      <w:lang w:val="en-GB" w:eastAsia="zh-CN"/>
    </w:rPr>
  </w:style>
  <w:style w:type="character" w:customStyle="1" w:styleId="IADateChar">
    <w:name w:val="IADate Char"/>
    <w:basedOn w:val="IATableLabelCharChar"/>
    <w:link w:val="IADate"/>
    <w:uiPriority w:val="99"/>
    <w:rsid w:val="00174C10"/>
    <w:rPr>
      <w:rFonts w:ascii="Arial" w:eastAsia="SimSun" w:hAnsi="Arial" w:cs="Arial"/>
      <w:b/>
      <w:bCs/>
      <w:color w:val="000000"/>
      <w:spacing w:val="-5"/>
      <w:sz w:val="22"/>
      <w:szCs w:val="22"/>
      <w:lang w:val="en-GB" w:eastAsia="zh-CN"/>
    </w:rPr>
  </w:style>
  <w:style w:type="character" w:customStyle="1" w:styleId="IATableLinesChar">
    <w:name w:val="IATableLines Char"/>
    <w:basedOn w:val="IATableTextChar"/>
    <w:link w:val="IATableLines"/>
    <w:uiPriority w:val="99"/>
    <w:rsid w:val="00174C10"/>
    <w:rPr>
      <w:rFonts w:ascii="Arial" w:eastAsia="SimSun" w:hAnsi="Arial" w:cs="Arial"/>
      <w:b/>
      <w:bCs/>
      <w:color w:val="000000"/>
      <w:spacing w:val="-5"/>
      <w:sz w:val="22"/>
      <w:szCs w:val="22"/>
      <w:lang w:val="en-GB" w:eastAsia="zh-CN"/>
    </w:rPr>
  </w:style>
  <w:style w:type="character" w:customStyle="1" w:styleId="IACOEChar">
    <w:name w:val="IACOE Char"/>
    <w:basedOn w:val="IATableLinesChar"/>
    <w:link w:val="IACOE"/>
    <w:uiPriority w:val="99"/>
    <w:rsid w:val="00174C10"/>
    <w:rPr>
      <w:rFonts w:ascii="Arial" w:eastAsia="SimSun" w:hAnsi="Arial" w:cs="Arial"/>
      <w:b/>
      <w:bCs/>
      <w:color w:val="000000"/>
      <w:spacing w:val="-5"/>
      <w:sz w:val="22"/>
      <w:szCs w:val="22"/>
      <w:lang w:val="en-GB" w:eastAsia="zh-CN"/>
    </w:rPr>
  </w:style>
  <w:style w:type="character" w:customStyle="1" w:styleId="IAStageChar">
    <w:name w:val="IAStage Char"/>
    <w:basedOn w:val="IATableLabelCharChar"/>
    <w:link w:val="IAStage"/>
    <w:uiPriority w:val="99"/>
    <w:rsid w:val="00174C10"/>
    <w:rPr>
      <w:rFonts w:ascii="Arial" w:eastAsia="SimSun" w:hAnsi="Arial" w:cs="Arial"/>
      <w:b/>
      <w:bCs/>
      <w:color w:val="000000"/>
      <w:spacing w:val="-5"/>
      <w:sz w:val="22"/>
      <w:szCs w:val="22"/>
      <w:lang w:val="en-GB" w:eastAsia="zh-CN"/>
    </w:rPr>
  </w:style>
  <w:style w:type="character" w:customStyle="1" w:styleId="IASOIChar">
    <w:name w:val="IASOI Char"/>
    <w:basedOn w:val="IATableLabelCharChar"/>
    <w:link w:val="IASOI"/>
    <w:uiPriority w:val="99"/>
    <w:rsid w:val="00174C10"/>
    <w:rPr>
      <w:rFonts w:ascii="Arial" w:eastAsia="SimSun" w:hAnsi="Arial" w:cs="Arial"/>
      <w:b/>
      <w:bCs/>
      <w:color w:val="000000"/>
      <w:spacing w:val="-5"/>
      <w:sz w:val="22"/>
      <w:szCs w:val="22"/>
      <w:lang w:val="en-GB" w:eastAsia="zh-CN"/>
    </w:rPr>
  </w:style>
  <w:style w:type="character" w:customStyle="1" w:styleId="IATOMChar">
    <w:name w:val="IATOM Char"/>
    <w:basedOn w:val="IATableLabelCharChar"/>
    <w:link w:val="IATOM"/>
    <w:uiPriority w:val="99"/>
    <w:rsid w:val="00174C10"/>
    <w:rPr>
      <w:rFonts w:ascii="Arial" w:eastAsia="SimSun" w:hAnsi="Arial" w:cs="Arial"/>
      <w:b/>
      <w:bCs/>
      <w:color w:val="000000"/>
      <w:spacing w:val="-5"/>
      <w:sz w:val="22"/>
      <w:szCs w:val="22"/>
      <w:lang w:val="en-GB" w:eastAsia="zh-CN"/>
    </w:rPr>
  </w:style>
  <w:style w:type="character" w:customStyle="1" w:styleId="IARPCChar">
    <w:name w:val="IARPC Char"/>
    <w:basedOn w:val="TitleChar"/>
    <w:link w:val="IARPC"/>
    <w:uiPriority w:val="99"/>
    <w:rsid w:val="00174C10"/>
    <w:rPr>
      <w:rFonts w:ascii="Arial" w:eastAsia="SimSun" w:hAnsi="Arial" w:cs="Arial"/>
      <w:color w:val="000000"/>
      <w:kern w:val="28"/>
      <w:sz w:val="24"/>
      <w:szCs w:val="24"/>
      <w:lang w:val="en-GB" w:eastAsia="en-US"/>
    </w:rPr>
  </w:style>
  <w:style w:type="character" w:customStyle="1" w:styleId="IAIOCheckMicroChar">
    <w:name w:val="IAIOCheckMicro Char"/>
    <w:basedOn w:val="IATableLinesChar"/>
    <w:link w:val="IAIOCheckMicro"/>
    <w:uiPriority w:val="99"/>
    <w:rsid w:val="00D478C9"/>
    <w:rPr>
      <w:rFonts w:ascii="Arial" w:eastAsia="SimSun" w:hAnsi="Arial" w:cs="Arial"/>
      <w:b/>
      <w:bCs/>
      <w:color w:val="000000"/>
      <w:spacing w:val="-5"/>
      <w:sz w:val="22"/>
      <w:szCs w:val="22"/>
      <w:lang w:val="en-GB" w:eastAsia="zh-CN"/>
    </w:rPr>
  </w:style>
  <w:style w:type="character" w:customStyle="1" w:styleId="IAIOCheckSmallChar">
    <w:name w:val="IAIOCheckSmall Char"/>
    <w:basedOn w:val="IATableLinesChar"/>
    <w:link w:val="IAIOCheckSmall"/>
    <w:uiPriority w:val="99"/>
    <w:rsid w:val="00D478C9"/>
    <w:rPr>
      <w:rFonts w:ascii="Arial" w:eastAsia="SimSun" w:hAnsi="Arial" w:cs="Arial"/>
      <w:b/>
      <w:bCs/>
      <w:color w:val="000000"/>
      <w:spacing w:val="-5"/>
      <w:sz w:val="22"/>
      <w:szCs w:val="22"/>
      <w:lang w:val="en-GB" w:eastAsia="zh-CN"/>
    </w:rPr>
  </w:style>
  <w:style w:type="character" w:customStyle="1" w:styleId="IAIOCheckMediumChar">
    <w:name w:val="IAIOCheckMedium Char"/>
    <w:basedOn w:val="IATableLinesChar"/>
    <w:link w:val="IAIOCheckMedium"/>
    <w:uiPriority w:val="99"/>
    <w:rsid w:val="00D478C9"/>
    <w:rPr>
      <w:rFonts w:ascii="Arial" w:eastAsia="SimSun" w:hAnsi="Arial" w:cs="Arial"/>
      <w:b/>
      <w:bCs/>
      <w:color w:val="000000"/>
      <w:spacing w:val="-5"/>
      <w:sz w:val="22"/>
      <w:szCs w:val="22"/>
      <w:lang w:val="en-GB" w:eastAsia="zh-CN"/>
    </w:rPr>
  </w:style>
  <w:style w:type="character" w:customStyle="1" w:styleId="IAIOCheckLargeChar">
    <w:name w:val="IAIOCheckLarge Char"/>
    <w:basedOn w:val="IATableLinesChar"/>
    <w:link w:val="IAIOCheckLarge"/>
    <w:uiPriority w:val="99"/>
    <w:rsid w:val="00D478C9"/>
    <w:rPr>
      <w:rFonts w:ascii="Arial" w:eastAsia="SimSun" w:hAnsi="Arial" w:cs="Arial"/>
      <w:b/>
      <w:bCs/>
      <w:color w:val="000000"/>
      <w:spacing w:val="-5"/>
      <w:sz w:val="22"/>
      <w:szCs w:val="22"/>
      <w:lang w:val="en-GB" w:eastAsia="zh-CN"/>
    </w:rPr>
  </w:style>
  <w:style w:type="character" w:customStyle="1" w:styleId="IAIOCO2TradedChar">
    <w:name w:val="IAIOCO2Traded Char"/>
    <w:basedOn w:val="IATableLabelCharChar"/>
    <w:link w:val="IAIOCO2Traded"/>
    <w:uiPriority w:val="99"/>
    <w:rsid w:val="00D478C9"/>
    <w:rPr>
      <w:rFonts w:ascii="Arial" w:eastAsia="SimSun" w:hAnsi="Arial" w:cs="Arial"/>
      <w:b/>
      <w:bCs/>
      <w:color w:val="000000"/>
      <w:spacing w:val="-5"/>
      <w:sz w:val="22"/>
      <w:szCs w:val="22"/>
      <w:lang w:val="en-GB" w:eastAsia="zh-CN"/>
    </w:rPr>
  </w:style>
  <w:style w:type="character" w:customStyle="1" w:styleId="IAIOCO2NonTradedChar">
    <w:name w:val="IAIOCO2NonTraded Char"/>
    <w:basedOn w:val="IATableLabelCharChar"/>
    <w:link w:val="IAIOCO2NonTraded"/>
    <w:uiPriority w:val="99"/>
    <w:rsid w:val="00D478C9"/>
    <w:rPr>
      <w:rFonts w:ascii="Arial" w:eastAsia="SimSun" w:hAnsi="Arial" w:cs="Arial"/>
      <w:b/>
      <w:bCs/>
      <w:color w:val="000000"/>
      <w:spacing w:val="-5"/>
      <w:sz w:val="22"/>
      <w:szCs w:val="22"/>
      <w:lang w:val="en-GB" w:eastAsia="zh-CN"/>
    </w:rPr>
  </w:style>
  <w:style w:type="paragraph" w:customStyle="1" w:styleId="Default">
    <w:name w:val="Default"/>
    <w:uiPriority w:val="99"/>
    <w:rsid w:val="00EB2B0F"/>
    <w:pPr>
      <w:autoSpaceDE w:val="0"/>
      <w:autoSpaceDN w:val="0"/>
      <w:adjustRightInd w:val="0"/>
    </w:pPr>
    <w:rPr>
      <w:rFonts w:ascii="Arial" w:hAnsi="Arial" w:cs="Arial"/>
      <w:color w:val="000000"/>
      <w:sz w:val="24"/>
      <w:szCs w:val="24"/>
    </w:rPr>
  </w:style>
  <w:style w:type="paragraph" w:customStyle="1" w:styleId="CM24">
    <w:name w:val="CM24"/>
    <w:basedOn w:val="Default"/>
    <w:next w:val="Default"/>
    <w:uiPriority w:val="99"/>
    <w:rsid w:val="00EB2B0F"/>
    <w:rPr>
      <w:rFonts w:ascii="AEHFH P+ Bliss 2" w:hAnsi="AEHFH P+ Bliss 2" w:cs="AEHFH P+ Bliss 2"/>
      <w:color w:val="auto"/>
    </w:rPr>
  </w:style>
  <w:style w:type="paragraph" w:styleId="ListParagraph">
    <w:name w:val="List Paragraph"/>
    <w:aliases w:val="Dot pt"/>
    <w:basedOn w:val="Normal"/>
    <w:link w:val="ListParagraphChar"/>
    <w:uiPriority w:val="99"/>
    <w:qFormat/>
    <w:rsid w:val="00980DB7"/>
    <w:pPr>
      <w:spacing w:after="200" w:line="276" w:lineRule="auto"/>
      <w:ind w:left="720"/>
      <w:contextualSpacing/>
    </w:pPr>
    <w:rPr>
      <w:rFonts w:ascii="Calibri" w:hAnsi="Calibri" w:cs="Calibri"/>
      <w:sz w:val="22"/>
      <w:szCs w:val="22"/>
    </w:rPr>
  </w:style>
  <w:style w:type="character" w:customStyle="1" w:styleId="ListParagraphChar">
    <w:name w:val="List Paragraph Char"/>
    <w:aliases w:val="Dot pt Char"/>
    <w:basedOn w:val="DefaultParagraphFont"/>
    <w:link w:val="ListParagraph"/>
    <w:uiPriority w:val="99"/>
    <w:rsid w:val="008545CF"/>
    <w:rPr>
      <w:rFonts w:ascii="Calibri" w:hAnsi="Calibri" w:cs="Calibri"/>
      <w:sz w:val="22"/>
      <w:szCs w:val="22"/>
      <w:lang w:val="en-GB" w:eastAsia="en-US"/>
    </w:rPr>
  </w:style>
  <w:style w:type="character" w:styleId="CommentReference">
    <w:name w:val="annotation reference"/>
    <w:basedOn w:val="DefaultParagraphFont"/>
    <w:uiPriority w:val="99"/>
    <w:semiHidden/>
    <w:rsid w:val="001B3C45"/>
    <w:rPr>
      <w:sz w:val="16"/>
      <w:szCs w:val="16"/>
    </w:rPr>
  </w:style>
  <w:style w:type="paragraph" w:styleId="CommentText">
    <w:name w:val="annotation text"/>
    <w:basedOn w:val="Normal"/>
    <w:link w:val="CommentTextChar"/>
    <w:uiPriority w:val="99"/>
    <w:semiHidden/>
    <w:rsid w:val="001B3C45"/>
  </w:style>
  <w:style w:type="character" w:customStyle="1" w:styleId="CommentTextChar">
    <w:name w:val="Comment Text Char"/>
    <w:basedOn w:val="DefaultParagraphFont"/>
    <w:link w:val="CommentText"/>
    <w:uiPriority w:val="99"/>
    <w:rsid w:val="001B3C45"/>
    <w:rPr>
      <w:rFonts w:ascii="Arial" w:hAnsi="Arial" w:cs="Arial"/>
      <w:sz w:val="24"/>
      <w:szCs w:val="24"/>
      <w:lang w:eastAsia="en-US"/>
    </w:rPr>
  </w:style>
  <w:style w:type="paragraph" w:styleId="CommentSubject">
    <w:name w:val="annotation subject"/>
    <w:basedOn w:val="CommentText"/>
    <w:next w:val="CommentText"/>
    <w:link w:val="CommentSubjectChar"/>
    <w:uiPriority w:val="99"/>
    <w:semiHidden/>
    <w:rsid w:val="00934AC9"/>
    <w:rPr>
      <w:b/>
      <w:bCs/>
      <w:sz w:val="20"/>
      <w:szCs w:val="20"/>
    </w:rPr>
  </w:style>
  <w:style w:type="character" w:customStyle="1" w:styleId="CommentSubjectChar">
    <w:name w:val="Comment Subject Char"/>
    <w:basedOn w:val="CommentTextChar"/>
    <w:link w:val="CommentSubject"/>
    <w:uiPriority w:val="99"/>
    <w:semiHidden/>
    <w:rsid w:val="00934AC9"/>
    <w:rPr>
      <w:rFonts w:ascii="Arial" w:hAnsi="Arial" w:cs="Arial"/>
      <w:b/>
      <w:bCs/>
      <w:sz w:val="20"/>
      <w:szCs w:val="20"/>
      <w:lang w:eastAsia="en-US"/>
    </w:rPr>
  </w:style>
  <w:style w:type="paragraph" w:styleId="ListNumber">
    <w:name w:val="List Number"/>
    <w:basedOn w:val="Normal"/>
    <w:rsid w:val="00E9063B"/>
    <w:pPr>
      <w:autoSpaceDE w:val="0"/>
      <w:autoSpaceDN w:val="0"/>
      <w:adjustRightInd w:val="0"/>
      <w:ind w:left="7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53809">
      <w:bodyDiv w:val="1"/>
      <w:marLeft w:val="0"/>
      <w:marRight w:val="0"/>
      <w:marTop w:val="0"/>
      <w:marBottom w:val="0"/>
      <w:divBdr>
        <w:top w:val="none" w:sz="0" w:space="0" w:color="auto"/>
        <w:left w:val="none" w:sz="0" w:space="0" w:color="auto"/>
        <w:bottom w:val="none" w:sz="0" w:space="0" w:color="auto"/>
        <w:right w:val="none" w:sz="0" w:space="0" w:color="auto"/>
      </w:divBdr>
    </w:div>
    <w:div w:id="375397340">
      <w:bodyDiv w:val="1"/>
      <w:marLeft w:val="0"/>
      <w:marRight w:val="0"/>
      <w:marTop w:val="0"/>
      <w:marBottom w:val="0"/>
      <w:divBdr>
        <w:top w:val="none" w:sz="0" w:space="0" w:color="auto"/>
        <w:left w:val="none" w:sz="0" w:space="0" w:color="auto"/>
        <w:bottom w:val="none" w:sz="0" w:space="0" w:color="auto"/>
        <w:right w:val="none" w:sz="0" w:space="0" w:color="auto"/>
      </w:divBdr>
    </w:div>
    <w:div w:id="435294178">
      <w:bodyDiv w:val="1"/>
      <w:marLeft w:val="0"/>
      <w:marRight w:val="0"/>
      <w:marTop w:val="0"/>
      <w:marBottom w:val="0"/>
      <w:divBdr>
        <w:top w:val="none" w:sz="0" w:space="0" w:color="auto"/>
        <w:left w:val="none" w:sz="0" w:space="0" w:color="auto"/>
        <w:bottom w:val="none" w:sz="0" w:space="0" w:color="auto"/>
        <w:right w:val="none" w:sz="0" w:space="0" w:color="auto"/>
      </w:divBdr>
    </w:div>
    <w:div w:id="732775374">
      <w:bodyDiv w:val="1"/>
      <w:marLeft w:val="0"/>
      <w:marRight w:val="0"/>
      <w:marTop w:val="0"/>
      <w:marBottom w:val="0"/>
      <w:divBdr>
        <w:top w:val="none" w:sz="0" w:space="0" w:color="auto"/>
        <w:left w:val="none" w:sz="0" w:space="0" w:color="auto"/>
        <w:bottom w:val="none" w:sz="0" w:space="0" w:color="auto"/>
        <w:right w:val="none" w:sz="0" w:space="0" w:color="auto"/>
      </w:divBdr>
    </w:div>
    <w:div w:id="804927066">
      <w:bodyDiv w:val="1"/>
      <w:marLeft w:val="0"/>
      <w:marRight w:val="0"/>
      <w:marTop w:val="0"/>
      <w:marBottom w:val="0"/>
      <w:divBdr>
        <w:top w:val="none" w:sz="0" w:space="0" w:color="auto"/>
        <w:left w:val="none" w:sz="0" w:space="0" w:color="auto"/>
        <w:bottom w:val="none" w:sz="0" w:space="0" w:color="auto"/>
        <w:right w:val="none" w:sz="0" w:space="0" w:color="auto"/>
      </w:divBdr>
    </w:div>
    <w:div w:id="1349522782">
      <w:marLeft w:val="0"/>
      <w:marRight w:val="0"/>
      <w:marTop w:val="0"/>
      <w:marBottom w:val="0"/>
      <w:divBdr>
        <w:top w:val="none" w:sz="0" w:space="0" w:color="auto"/>
        <w:left w:val="none" w:sz="0" w:space="0" w:color="auto"/>
        <w:bottom w:val="none" w:sz="0" w:space="0" w:color="auto"/>
        <w:right w:val="none" w:sz="0" w:space="0" w:color="auto"/>
      </w:divBdr>
    </w:div>
    <w:div w:id="1349522783">
      <w:marLeft w:val="0"/>
      <w:marRight w:val="0"/>
      <w:marTop w:val="0"/>
      <w:marBottom w:val="0"/>
      <w:divBdr>
        <w:top w:val="none" w:sz="0" w:space="0" w:color="auto"/>
        <w:left w:val="none" w:sz="0" w:space="0" w:color="auto"/>
        <w:bottom w:val="none" w:sz="0" w:space="0" w:color="auto"/>
        <w:right w:val="none" w:sz="0" w:space="0" w:color="auto"/>
      </w:divBdr>
    </w:div>
    <w:div w:id="1349522784">
      <w:marLeft w:val="0"/>
      <w:marRight w:val="0"/>
      <w:marTop w:val="0"/>
      <w:marBottom w:val="0"/>
      <w:divBdr>
        <w:top w:val="none" w:sz="0" w:space="0" w:color="auto"/>
        <w:left w:val="none" w:sz="0" w:space="0" w:color="auto"/>
        <w:bottom w:val="none" w:sz="0" w:space="0" w:color="auto"/>
        <w:right w:val="none" w:sz="0" w:space="0" w:color="auto"/>
      </w:divBdr>
    </w:div>
    <w:div w:id="1349522785">
      <w:marLeft w:val="0"/>
      <w:marRight w:val="0"/>
      <w:marTop w:val="0"/>
      <w:marBottom w:val="0"/>
      <w:divBdr>
        <w:top w:val="none" w:sz="0" w:space="0" w:color="auto"/>
        <w:left w:val="none" w:sz="0" w:space="0" w:color="auto"/>
        <w:bottom w:val="none" w:sz="0" w:space="0" w:color="auto"/>
        <w:right w:val="none" w:sz="0" w:space="0" w:color="auto"/>
      </w:divBdr>
    </w:div>
    <w:div w:id="1349522786">
      <w:marLeft w:val="0"/>
      <w:marRight w:val="0"/>
      <w:marTop w:val="0"/>
      <w:marBottom w:val="0"/>
      <w:divBdr>
        <w:top w:val="none" w:sz="0" w:space="0" w:color="auto"/>
        <w:left w:val="none" w:sz="0" w:space="0" w:color="auto"/>
        <w:bottom w:val="none" w:sz="0" w:space="0" w:color="auto"/>
        <w:right w:val="none" w:sz="0" w:space="0" w:color="auto"/>
      </w:divBdr>
    </w:div>
    <w:div w:id="1349522787">
      <w:marLeft w:val="0"/>
      <w:marRight w:val="0"/>
      <w:marTop w:val="0"/>
      <w:marBottom w:val="0"/>
      <w:divBdr>
        <w:top w:val="none" w:sz="0" w:space="0" w:color="auto"/>
        <w:left w:val="none" w:sz="0" w:space="0" w:color="auto"/>
        <w:bottom w:val="none" w:sz="0" w:space="0" w:color="auto"/>
        <w:right w:val="none" w:sz="0" w:space="0" w:color="auto"/>
      </w:divBdr>
    </w:div>
    <w:div w:id="1349522788">
      <w:marLeft w:val="0"/>
      <w:marRight w:val="0"/>
      <w:marTop w:val="0"/>
      <w:marBottom w:val="0"/>
      <w:divBdr>
        <w:top w:val="none" w:sz="0" w:space="0" w:color="auto"/>
        <w:left w:val="none" w:sz="0" w:space="0" w:color="auto"/>
        <w:bottom w:val="none" w:sz="0" w:space="0" w:color="auto"/>
        <w:right w:val="none" w:sz="0" w:space="0" w:color="auto"/>
      </w:divBdr>
    </w:div>
    <w:div w:id="1349522789">
      <w:marLeft w:val="0"/>
      <w:marRight w:val="0"/>
      <w:marTop w:val="0"/>
      <w:marBottom w:val="0"/>
      <w:divBdr>
        <w:top w:val="none" w:sz="0" w:space="0" w:color="auto"/>
        <w:left w:val="none" w:sz="0" w:space="0" w:color="auto"/>
        <w:bottom w:val="none" w:sz="0" w:space="0" w:color="auto"/>
        <w:right w:val="none" w:sz="0" w:space="0" w:color="auto"/>
      </w:divBdr>
    </w:div>
    <w:div w:id="1349522790">
      <w:marLeft w:val="0"/>
      <w:marRight w:val="0"/>
      <w:marTop w:val="0"/>
      <w:marBottom w:val="0"/>
      <w:divBdr>
        <w:top w:val="none" w:sz="0" w:space="0" w:color="auto"/>
        <w:left w:val="none" w:sz="0" w:space="0" w:color="auto"/>
        <w:bottom w:val="none" w:sz="0" w:space="0" w:color="auto"/>
        <w:right w:val="none" w:sz="0" w:space="0" w:color="auto"/>
      </w:divBdr>
    </w:div>
    <w:div w:id="1349522791">
      <w:marLeft w:val="0"/>
      <w:marRight w:val="0"/>
      <w:marTop w:val="0"/>
      <w:marBottom w:val="0"/>
      <w:divBdr>
        <w:top w:val="none" w:sz="0" w:space="0" w:color="auto"/>
        <w:left w:val="none" w:sz="0" w:space="0" w:color="auto"/>
        <w:bottom w:val="none" w:sz="0" w:space="0" w:color="auto"/>
        <w:right w:val="none" w:sz="0" w:space="0" w:color="auto"/>
      </w:divBdr>
    </w:div>
    <w:div w:id="1349522792">
      <w:marLeft w:val="0"/>
      <w:marRight w:val="0"/>
      <w:marTop w:val="0"/>
      <w:marBottom w:val="0"/>
      <w:divBdr>
        <w:top w:val="none" w:sz="0" w:space="0" w:color="auto"/>
        <w:left w:val="none" w:sz="0" w:space="0" w:color="auto"/>
        <w:bottom w:val="none" w:sz="0" w:space="0" w:color="auto"/>
        <w:right w:val="none" w:sz="0" w:space="0" w:color="auto"/>
      </w:divBdr>
    </w:div>
    <w:div w:id="1349522793">
      <w:marLeft w:val="0"/>
      <w:marRight w:val="0"/>
      <w:marTop w:val="0"/>
      <w:marBottom w:val="0"/>
      <w:divBdr>
        <w:top w:val="none" w:sz="0" w:space="0" w:color="auto"/>
        <w:left w:val="none" w:sz="0" w:space="0" w:color="auto"/>
        <w:bottom w:val="none" w:sz="0" w:space="0" w:color="auto"/>
        <w:right w:val="none" w:sz="0" w:space="0" w:color="auto"/>
      </w:divBdr>
    </w:div>
    <w:div w:id="1349522794">
      <w:marLeft w:val="0"/>
      <w:marRight w:val="0"/>
      <w:marTop w:val="0"/>
      <w:marBottom w:val="0"/>
      <w:divBdr>
        <w:top w:val="none" w:sz="0" w:space="0" w:color="auto"/>
        <w:left w:val="none" w:sz="0" w:space="0" w:color="auto"/>
        <w:bottom w:val="none" w:sz="0" w:space="0" w:color="auto"/>
        <w:right w:val="none" w:sz="0" w:space="0" w:color="auto"/>
      </w:divBdr>
    </w:div>
    <w:div w:id="1349522795">
      <w:marLeft w:val="0"/>
      <w:marRight w:val="0"/>
      <w:marTop w:val="0"/>
      <w:marBottom w:val="0"/>
      <w:divBdr>
        <w:top w:val="none" w:sz="0" w:space="0" w:color="auto"/>
        <w:left w:val="none" w:sz="0" w:space="0" w:color="auto"/>
        <w:bottom w:val="none" w:sz="0" w:space="0" w:color="auto"/>
        <w:right w:val="none" w:sz="0" w:space="0" w:color="auto"/>
      </w:divBdr>
    </w:div>
    <w:div w:id="1349522796">
      <w:marLeft w:val="0"/>
      <w:marRight w:val="0"/>
      <w:marTop w:val="0"/>
      <w:marBottom w:val="0"/>
      <w:divBdr>
        <w:top w:val="none" w:sz="0" w:space="0" w:color="auto"/>
        <w:left w:val="none" w:sz="0" w:space="0" w:color="auto"/>
        <w:bottom w:val="none" w:sz="0" w:space="0" w:color="auto"/>
        <w:right w:val="none" w:sz="0" w:space="0" w:color="auto"/>
      </w:divBdr>
    </w:div>
    <w:div w:id="1349522797">
      <w:marLeft w:val="0"/>
      <w:marRight w:val="0"/>
      <w:marTop w:val="0"/>
      <w:marBottom w:val="0"/>
      <w:divBdr>
        <w:top w:val="none" w:sz="0" w:space="0" w:color="auto"/>
        <w:left w:val="none" w:sz="0" w:space="0" w:color="auto"/>
        <w:bottom w:val="none" w:sz="0" w:space="0" w:color="auto"/>
        <w:right w:val="none" w:sz="0" w:space="0" w:color="auto"/>
      </w:divBdr>
    </w:div>
    <w:div w:id="1555198414">
      <w:bodyDiv w:val="1"/>
      <w:marLeft w:val="0"/>
      <w:marRight w:val="0"/>
      <w:marTop w:val="0"/>
      <w:marBottom w:val="0"/>
      <w:divBdr>
        <w:top w:val="none" w:sz="0" w:space="0" w:color="auto"/>
        <w:left w:val="none" w:sz="0" w:space="0" w:color="auto"/>
        <w:bottom w:val="none" w:sz="0" w:space="0" w:color="auto"/>
        <w:right w:val="none" w:sz="0" w:space="0" w:color="auto"/>
      </w:divBdr>
    </w:div>
    <w:div w:id="1648047766">
      <w:bodyDiv w:val="1"/>
      <w:marLeft w:val="0"/>
      <w:marRight w:val="0"/>
      <w:marTop w:val="0"/>
      <w:marBottom w:val="0"/>
      <w:divBdr>
        <w:top w:val="none" w:sz="0" w:space="0" w:color="auto"/>
        <w:left w:val="none" w:sz="0" w:space="0" w:color="auto"/>
        <w:bottom w:val="none" w:sz="0" w:space="0" w:color="auto"/>
        <w:right w:val="none" w:sz="0" w:space="0" w:color="auto"/>
      </w:divBdr>
    </w:div>
    <w:div w:id="178823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archive.nationalarchives.gov.uk/+/http:/www.culture.gov.uk/reference_library/publications/6763.asp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gislation.gov.uk/ukpga/1990/9/conten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gov.uk/ukpga/1979/46/content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is.gov.uk/assets/biscore/better-regulation/docs/i/11-1413-implementation-of-penfold-review.pdf"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30258\AppData\Local\Microsoft\Windows\Temporary%20Internet%20Files\Content.IE5\XXCX2FAI\Impact%2520Assessment%2520Template%2520-%2520Aug%25202011%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2AE65-DCE5-41C9-8D91-EF47898D3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Impact%20Assessment%20Template%20-%20Aug%202011[1].dot</Template>
  <TotalTime>0</TotalTime>
  <Pages>3</Pages>
  <Words>6853</Words>
  <Characters>39064</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Impact Assessment</vt:lpstr>
    </vt:vector>
  </TitlesOfParts>
  <Company>DCMS</Company>
  <LinksUpToDate>false</LinksUpToDate>
  <CharactersWithSpaces>45826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Assessment</dc:title>
  <dc:creator>BUCKINGHAM, Sarah</dc:creator>
  <cp:lastModifiedBy>SAGGER HARMAN</cp:lastModifiedBy>
  <cp:revision>2</cp:revision>
  <cp:lastPrinted>2012-08-28T12:07:00Z</cp:lastPrinted>
  <dcterms:created xsi:type="dcterms:W3CDTF">2013-08-27T11:32:00Z</dcterms:created>
  <dcterms:modified xsi:type="dcterms:W3CDTF">2013-08-27T11:32:00Z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property>
  <property fmtid="{D5CDD505-2E9C-101B-9397-08002B2CF9AE}" pid="3" name="Stage">
    <vt:lpwstr>Development/Options</vt:lpwstr>
  </property>
</Properties>
</file>