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6A" w:rsidRPr="007C1879" w:rsidRDefault="00EC116A" w:rsidP="00EC116A">
      <w:pPr>
        <w:pStyle w:val="Default"/>
        <w:jc w:val="center"/>
        <w:rPr>
          <w:sz w:val="23"/>
          <w:szCs w:val="23"/>
          <w:u w:val="single"/>
        </w:rPr>
      </w:pPr>
      <w:r w:rsidRPr="007C1879">
        <w:rPr>
          <w:b/>
          <w:bCs/>
          <w:sz w:val="23"/>
          <w:szCs w:val="23"/>
          <w:u w:val="single"/>
        </w:rPr>
        <w:t>ELECTRICITY MARKET REFORM:</w:t>
      </w:r>
    </w:p>
    <w:p w:rsidR="00EC116A" w:rsidRPr="007C1879" w:rsidRDefault="00EC116A" w:rsidP="00EC116A">
      <w:pPr>
        <w:pStyle w:val="Default"/>
        <w:jc w:val="center"/>
        <w:rPr>
          <w:sz w:val="23"/>
          <w:szCs w:val="23"/>
          <w:u w:val="single"/>
        </w:rPr>
      </w:pPr>
      <w:r w:rsidRPr="007C1879">
        <w:rPr>
          <w:b/>
          <w:bCs/>
          <w:sz w:val="23"/>
          <w:szCs w:val="23"/>
          <w:u w:val="single"/>
        </w:rPr>
        <w:t>CfD EXPERT GROUP ON METERING - TERMS OF REFERENCE</w:t>
      </w:r>
    </w:p>
    <w:p w:rsidR="00EC116A" w:rsidRDefault="00EC116A" w:rsidP="00EC116A">
      <w:pPr>
        <w:pStyle w:val="Default"/>
        <w:rPr>
          <w:b/>
          <w:bCs/>
          <w:sz w:val="23"/>
          <w:szCs w:val="23"/>
        </w:rPr>
      </w:pPr>
    </w:p>
    <w:p w:rsidR="008F0DE0" w:rsidRDefault="008F0DE0" w:rsidP="00EC116A">
      <w:pPr>
        <w:pStyle w:val="Default"/>
        <w:rPr>
          <w:b/>
          <w:bCs/>
          <w:sz w:val="23"/>
          <w:szCs w:val="23"/>
        </w:rPr>
      </w:pPr>
    </w:p>
    <w:p w:rsidR="00EC116A" w:rsidRPr="007B3064" w:rsidRDefault="00EC116A" w:rsidP="00EC116A">
      <w:pPr>
        <w:pStyle w:val="Default"/>
        <w:rPr>
          <w:sz w:val="23"/>
          <w:szCs w:val="23"/>
        </w:rPr>
      </w:pPr>
      <w:r w:rsidRPr="007B3064">
        <w:rPr>
          <w:b/>
          <w:bCs/>
          <w:sz w:val="23"/>
          <w:szCs w:val="23"/>
        </w:rPr>
        <w:t xml:space="preserve">Objectives: </w:t>
      </w:r>
    </w:p>
    <w:p w:rsidR="00EC116A" w:rsidRPr="007B3064" w:rsidRDefault="00EC116A" w:rsidP="00391A61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 w:rsidRPr="007B3064">
        <w:rPr>
          <w:sz w:val="23"/>
          <w:szCs w:val="23"/>
        </w:rPr>
        <w:t xml:space="preserve">To support the development of DECC’s Electricity Market Reform (EMR) </w:t>
      </w:r>
      <w:r w:rsidR="004A71D4">
        <w:rPr>
          <w:sz w:val="23"/>
          <w:szCs w:val="23"/>
        </w:rPr>
        <w:t xml:space="preserve">programme, </w:t>
      </w:r>
      <w:r w:rsidR="00101378">
        <w:rPr>
          <w:sz w:val="23"/>
          <w:szCs w:val="23"/>
        </w:rPr>
        <w:t xml:space="preserve">specifically </w:t>
      </w:r>
      <w:r w:rsidR="00593DF6">
        <w:rPr>
          <w:sz w:val="23"/>
          <w:szCs w:val="23"/>
        </w:rPr>
        <w:t xml:space="preserve">on </w:t>
      </w:r>
      <w:r w:rsidR="004A71D4">
        <w:rPr>
          <w:sz w:val="23"/>
          <w:szCs w:val="23"/>
        </w:rPr>
        <w:t xml:space="preserve">the </w:t>
      </w:r>
      <w:r w:rsidRPr="007B3064">
        <w:rPr>
          <w:sz w:val="23"/>
          <w:szCs w:val="23"/>
        </w:rPr>
        <w:t>Contracts for Difference (CfD)</w:t>
      </w:r>
      <w:r w:rsidR="004A71D4">
        <w:rPr>
          <w:sz w:val="23"/>
          <w:szCs w:val="23"/>
        </w:rPr>
        <w:t xml:space="preserve"> scheme and </w:t>
      </w:r>
      <w:r w:rsidR="00615642">
        <w:rPr>
          <w:sz w:val="23"/>
          <w:szCs w:val="23"/>
        </w:rPr>
        <w:t xml:space="preserve">elements of the </w:t>
      </w:r>
      <w:r w:rsidR="004A71D4">
        <w:rPr>
          <w:sz w:val="23"/>
          <w:szCs w:val="23"/>
        </w:rPr>
        <w:t>Supplier Obligation model</w:t>
      </w:r>
      <w:r w:rsidRPr="007B3064">
        <w:rPr>
          <w:sz w:val="23"/>
          <w:szCs w:val="23"/>
        </w:rPr>
        <w:t xml:space="preserve">; </w:t>
      </w:r>
    </w:p>
    <w:p w:rsidR="00EC116A" w:rsidRPr="007B3064" w:rsidRDefault="00EC116A" w:rsidP="00391A61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 w:rsidRPr="007B3064">
        <w:rPr>
          <w:sz w:val="23"/>
          <w:szCs w:val="23"/>
        </w:rPr>
        <w:t>Provide expert feedback and suggestions</w:t>
      </w:r>
      <w:r w:rsidR="0045145C" w:rsidRPr="007B3064">
        <w:rPr>
          <w:sz w:val="23"/>
          <w:szCs w:val="23"/>
        </w:rPr>
        <w:t>,</w:t>
      </w:r>
      <w:r w:rsidRPr="007B3064">
        <w:rPr>
          <w:sz w:val="23"/>
          <w:szCs w:val="23"/>
        </w:rPr>
        <w:t xml:space="preserve"> </w:t>
      </w:r>
      <w:r w:rsidR="003933B1" w:rsidRPr="007B3064">
        <w:rPr>
          <w:sz w:val="23"/>
          <w:szCs w:val="23"/>
        </w:rPr>
        <w:t xml:space="preserve">specifically on CfD metering issues </w:t>
      </w:r>
      <w:r w:rsidR="0046093F" w:rsidRPr="007B3064">
        <w:rPr>
          <w:sz w:val="23"/>
          <w:szCs w:val="23"/>
        </w:rPr>
        <w:t xml:space="preserve">(including settlement) </w:t>
      </w:r>
      <w:r w:rsidRPr="007B3064">
        <w:rPr>
          <w:sz w:val="23"/>
          <w:szCs w:val="23"/>
        </w:rPr>
        <w:t xml:space="preserve">to </w:t>
      </w:r>
      <w:r w:rsidR="00FB2183" w:rsidRPr="007B3064">
        <w:rPr>
          <w:sz w:val="23"/>
          <w:szCs w:val="23"/>
        </w:rPr>
        <w:t>DECC</w:t>
      </w:r>
      <w:r w:rsidRPr="007B3064">
        <w:rPr>
          <w:sz w:val="23"/>
          <w:szCs w:val="23"/>
        </w:rPr>
        <w:t xml:space="preserve"> either </w:t>
      </w:r>
      <w:r w:rsidR="007D53A3" w:rsidRPr="007B3064">
        <w:rPr>
          <w:sz w:val="23"/>
          <w:szCs w:val="23"/>
        </w:rPr>
        <w:t>at Group</w:t>
      </w:r>
      <w:r w:rsidRPr="007B3064">
        <w:rPr>
          <w:sz w:val="23"/>
          <w:szCs w:val="23"/>
        </w:rPr>
        <w:t xml:space="preserve"> meetings or </w:t>
      </w:r>
      <w:r w:rsidR="00FB2183" w:rsidRPr="007B3064">
        <w:rPr>
          <w:sz w:val="23"/>
          <w:szCs w:val="23"/>
        </w:rPr>
        <w:t xml:space="preserve">via </w:t>
      </w:r>
      <w:r w:rsidRPr="007B3064">
        <w:rPr>
          <w:sz w:val="23"/>
          <w:szCs w:val="23"/>
        </w:rPr>
        <w:t>written format</w:t>
      </w:r>
      <w:r w:rsidR="00FB2183" w:rsidRPr="007B3064">
        <w:rPr>
          <w:sz w:val="23"/>
          <w:szCs w:val="23"/>
        </w:rPr>
        <w:t xml:space="preserve"> (email or letter correspondence)</w:t>
      </w:r>
      <w:r w:rsidRPr="007B3064">
        <w:rPr>
          <w:sz w:val="23"/>
          <w:szCs w:val="23"/>
        </w:rPr>
        <w:t>;</w:t>
      </w:r>
      <w:r w:rsidR="003F1A40" w:rsidRPr="007B3064">
        <w:rPr>
          <w:sz w:val="23"/>
          <w:szCs w:val="23"/>
        </w:rPr>
        <w:t xml:space="preserve"> and</w:t>
      </w:r>
      <w:r w:rsidRPr="007B3064">
        <w:rPr>
          <w:sz w:val="23"/>
          <w:szCs w:val="23"/>
        </w:rPr>
        <w:t xml:space="preserve"> </w:t>
      </w:r>
    </w:p>
    <w:p w:rsidR="00EC116A" w:rsidRPr="007B3064" w:rsidRDefault="00EC116A" w:rsidP="00391A61">
      <w:pPr>
        <w:pStyle w:val="Default"/>
        <w:numPr>
          <w:ilvl w:val="0"/>
          <w:numId w:val="1"/>
        </w:numPr>
        <w:spacing w:after="37"/>
        <w:rPr>
          <w:sz w:val="23"/>
          <w:szCs w:val="23"/>
        </w:rPr>
      </w:pPr>
      <w:r w:rsidRPr="007B3064">
        <w:rPr>
          <w:sz w:val="23"/>
          <w:szCs w:val="23"/>
        </w:rPr>
        <w:t>Ensure that a wide range of expert input is available to inform the design of the CfD</w:t>
      </w:r>
      <w:r w:rsidR="00FB2183" w:rsidRPr="007B3064">
        <w:rPr>
          <w:sz w:val="23"/>
          <w:szCs w:val="23"/>
        </w:rPr>
        <w:t xml:space="preserve"> metering issues</w:t>
      </w:r>
      <w:r w:rsidR="003F1A40" w:rsidRPr="007B3064">
        <w:rPr>
          <w:sz w:val="23"/>
          <w:szCs w:val="23"/>
        </w:rPr>
        <w:t>.</w:t>
      </w:r>
    </w:p>
    <w:p w:rsidR="00EC116A" w:rsidRDefault="00EC116A" w:rsidP="00EC116A">
      <w:pPr>
        <w:pStyle w:val="Default"/>
        <w:rPr>
          <w:sz w:val="23"/>
          <w:szCs w:val="23"/>
        </w:rPr>
      </w:pPr>
    </w:p>
    <w:p w:rsidR="00FB2183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Expert Group </w:t>
      </w:r>
      <w:r w:rsidR="00FB2183">
        <w:rPr>
          <w:sz w:val="23"/>
          <w:szCs w:val="23"/>
        </w:rPr>
        <w:t xml:space="preserve">on Metering will sit below the CfD Expert Group and </w:t>
      </w:r>
      <w:r>
        <w:rPr>
          <w:sz w:val="23"/>
          <w:szCs w:val="23"/>
        </w:rPr>
        <w:t xml:space="preserve">will explore proposals and highlight potential questions, challenges and practical issues, with a view to informing potential solutions and contributing to recommendations as requested by DECC. </w:t>
      </w:r>
    </w:p>
    <w:p w:rsidR="00FB2183" w:rsidRDefault="00FB2183" w:rsidP="00EC116A">
      <w:pPr>
        <w:pStyle w:val="Default"/>
        <w:rPr>
          <w:sz w:val="23"/>
          <w:szCs w:val="23"/>
        </w:rPr>
      </w:pPr>
    </w:p>
    <w:p w:rsidR="00EC116A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DECC will retain responsibility for all advice and recommendations made to Ministers. </w:t>
      </w:r>
    </w:p>
    <w:p w:rsidR="00380532" w:rsidRDefault="00380532" w:rsidP="00EC116A">
      <w:pPr>
        <w:pStyle w:val="Default"/>
        <w:rPr>
          <w:b/>
          <w:bCs/>
          <w:sz w:val="23"/>
          <w:szCs w:val="23"/>
        </w:rPr>
      </w:pPr>
    </w:p>
    <w:p w:rsidR="00EC116A" w:rsidRDefault="00EC116A" w:rsidP="00EC11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Meetings: </w:t>
      </w:r>
    </w:p>
    <w:p w:rsidR="00BF1660" w:rsidRDefault="00BF1660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Meetings will follow Chatham House rules to </w:t>
      </w:r>
      <w:r w:rsidR="008D393F">
        <w:rPr>
          <w:sz w:val="23"/>
          <w:szCs w:val="23"/>
        </w:rPr>
        <w:t>protect</w:t>
      </w:r>
      <w:r>
        <w:rPr>
          <w:sz w:val="23"/>
          <w:szCs w:val="23"/>
        </w:rPr>
        <w:t xml:space="preserve"> </w:t>
      </w:r>
      <w:r w:rsidR="00DA4724">
        <w:rPr>
          <w:sz w:val="23"/>
          <w:szCs w:val="23"/>
        </w:rPr>
        <w:t>confidentiality and allow members to speak freely in their expert capacity</w:t>
      </w:r>
      <w:r>
        <w:rPr>
          <w:sz w:val="23"/>
          <w:szCs w:val="23"/>
        </w:rPr>
        <w:t xml:space="preserve">. </w:t>
      </w:r>
    </w:p>
    <w:p w:rsidR="00BF1660" w:rsidRDefault="00BF1660" w:rsidP="00EC116A">
      <w:pPr>
        <w:pStyle w:val="Default"/>
        <w:rPr>
          <w:sz w:val="23"/>
          <w:szCs w:val="23"/>
        </w:rPr>
      </w:pPr>
    </w:p>
    <w:p w:rsidR="003B53DD" w:rsidRDefault="006152FC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 two-hour meeting window will be scheduled</w:t>
      </w:r>
      <w:r w:rsidR="00B1223E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B1223E">
        <w:rPr>
          <w:sz w:val="23"/>
          <w:szCs w:val="23"/>
        </w:rPr>
        <w:t xml:space="preserve">where possible, for </w:t>
      </w:r>
      <w:r>
        <w:rPr>
          <w:sz w:val="23"/>
          <w:szCs w:val="23"/>
        </w:rPr>
        <w:t>Thursday afternoons, on a fortnightly basis beginning the week of 29 April 2013. However, the regularity</w:t>
      </w:r>
      <w:r w:rsidR="002D3D1D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2D3D1D">
        <w:rPr>
          <w:sz w:val="23"/>
          <w:szCs w:val="23"/>
        </w:rPr>
        <w:t>l</w:t>
      </w:r>
      <w:r>
        <w:rPr>
          <w:sz w:val="23"/>
          <w:szCs w:val="23"/>
        </w:rPr>
        <w:t>ength</w:t>
      </w:r>
      <w:r w:rsidR="002D3D1D">
        <w:rPr>
          <w:sz w:val="23"/>
          <w:szCs w:val="23"/>
        </w:rPr>
        <w:t xml:space="preserve"> and date/time</w:t>
      </w:r>
      <w:r>
        <w:rPr>
          <w:sz w:val="23"/>
          <w:szCs w:val="23"/>
        </w:rPr>
        <w:t xml:space="preserve"> of meetings may vary depending </w:t>
      </w:r>
      <w:r w:rsidR="009135E5">
        <w:rPr>
          <w:sz w:val="23"/>
          <w:szCs w:val="23"/>
        </w:rPr>
        <w:t xml:space="preserve">on the </w:t>
      </w:r>
      <w:r w:rsidR="00F711A9">
        <w:rPr>
          <w:sz w:val="23"/>
          <w:szCs w:val="23"/>
        </w:rPr>
        <w:t>Chair</w:t>
      </w:r>
      <w:r w:rsidR="009135E5">
        <w:rPr>
          <w:sz w:val="23"/>
          <w:szCs w:val="23"/>
        </w:rPr>
        <w:t>’s</w:t>
      </w:r>
      <w:r w:rsidR="00F711A9">
        <w:rPr>
          <w:sz w:val="23"/>
          <w:szCs w:val="23"/>
        </w:rPr>
        <w:t xml:space="preserve"> availability, </w:t>
      </w:r>
      <w:r w:rsidR="00C45DE3">
        <w:rPr>
          <w:sz w:val="23"/>
          <w:szCs w:val="23"/>
        </w:rPr>
        <w:t xml:space="preserve">room availability </w:t>
      </w:r>
      <w:r w:rsidR="009135E5">
        <w:rPr>
          <w:sz w:val="23"/>
          <w:szCs w:val="23"/>
        </w:rPr>
        <w:t xml:space="preserve">and </w:t>
      </w:r>
      <w:r>
        <w:rPr>
          <w:sz w:val="23"/>
          <w:szCs w:val="23"/>
        </w:rPr>
        <w:t xml:space="preserve">complexity of the topics proposed for discussion. </w:t>
      </w:r>
    </w:p>
    <w:p w:rsidR="003B53DD" w:rsidRDefault="003B53DD" w:rsidP="00EC116A">
      <w:pPr>
        <w:pStyle w:val="Default"/>
        <w:rPr>
          <w:sz w:val="23"/>
          <w:szCs w:val="23"/>
        </w:rPr>
      </w:pPr>
    </w:p>
    <w:p w:rsidR="006152FC" w:rsidRDefault="00F711A9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</w:t>
      </w:r>
      <w:r w:rsidR="006152FC">
        <w:rPr>
          <w:sz w:val="23"/>
          <w:szCs w:val="23"/>
        </w:rPr>
        <w:t xml:space="preserve">eetings will be used to discuss individual issues in detail, </w:t>
      </w:r>
      <w:r>
        <w:rPr>
          <w:sz w:val="23"/>
          <w:szCs w:val="23"/>
        </w:rPr>
        <w:t xml:space="preserve">although it may be necessary to </w:t>
      </w:r>
      <w:r w:rsidR="006152FC">
        <w:rPr>
          <w:sz w:val="23"/>
          <w:szCs w:val="23"/>
        </w:rPr>
        <w:t>stretch</w:t>
      </w:r>
      <w:r>
        <w:rPr>
          <w:sz w:val="23"/>
          <w:szCs w:val="23"/>
        </w:rPr>
        <w:t xml:space="preserve"> some issues</w:t>
      </w:r>
      <w:r w:rsidR="006152FC">
        <w:rPr>
          <w:sz w:val="23"/>
          <w:szCs w:val="23"/>
        </w:rPr>
        <w:t xml:space="preserve"> over several sessions depending on appetite and need for further exploration. </w:t>
      </w:r>
      <w:r w:rsidR="00101378">
        <w:rPr>
          <w:sz w:val="23"/>
          <w:szCs w:val="23"/>
        </w:rPr>
        <w:t>The forward agenda for meetings may therefore change to reflect this.</w:t>
      </w:r>
    </w:p>
    <w:p w:rsidR="000F662A" w:rsidRDefault="000F662A" w:rsidP="00EC116A">
      <w:pPr>
        <w:pStyle w:val="Default"/>
        <w:rPr>
          <w:sz w:val="23"/>
          <w:szCs w:val="23"/>
        </w:rPr>
      </w:pPr>
    </w:p>
    <w:p w:rsidR="000F662A" w:rsidRDefault="000F662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Confirmation of each meeting</w:t>
      </w:r>
      <w:r w:rsidR="00E372F4">
        <w:rPr>
          <w:sz w:val="23"/>
          <w:szCs w:val="23"/>
        </w:rPr>
        <w:t>, including an agenda</w:t>
      </w:r>
      <w:r>
        <w:rPr>
          <w:sz w:val="23"/>
          <w:szCs w:val="23"/>
        </w:rPr>
        <w:t xml:space="preserve"> will be provided in advance to allow </w:t>
      </w:r>
      <w:r w:rsidR="00E372F4">
        <w:rPr>
          <w:sz w:val="23"/>
          <w:szCs w:val="23"/>
        </w:rPr>
        <w:t xml:space="preserve">DECC and other group </w:t>
      </w:r>
      <w:r w:rsidR="003B53DD">
        <w:rPr>
          <w:sz w:val="23"/>
          <w:szCs w:val="23"/>
        </w:rPr>
        <w:t>members to manage their work commitments</w:t>
      </w:r>
      <w:r w:rsidR="00BF1660">
        <w:rPr>
          <w:sz w:val="23"/>
          <w:szCs w:val="23"/>
        </w:rPr>
        <w:t xml:space="preserve">. </w:t>
      </w:r>
    </w:p>
    <w:p w:rsidR="00B43A10" w:rsidRDefault="00B43A10" w:rsidP="00EC116A">
      <w:pPr>
        <w:pStyle w:val="Default"/>
        <w:rPr>
          <w:sz w:val="23"/>
          <w:szCs w:val="23"/>
        </w:rPr>
      </w:pPr>
    </w:p>
    <w:p w:rsidR="00B43A10" w:rsidRDefault="00B43A10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7315FC">
        <w:rPr>
          <w:sz w:val="23"/>
          <w:szCs w:val="23"/>
        </w:rPr>
        <w:t xml:space="preserve">dedicated </w:t>
      </w:r>
      <w:r>
        <w:rPr>
          <w:sz w:val="23"/>
          <w:szCs w:val="23"/>
        </w:rPr>
        <w:t>teleconference facility will be made available at all group meetings.</w:t>
      </w:r>
      <w:r w:rsidR="007315FC">
        <w:rPr>
          <w:sz w:val="23"/>
          <w:szCs w:val="23"/>
        </w:rPr>
        <w:t xml:space="preserve"> The details are as follows:</w:t>
      </w:r>
    </w:p>
    <w:p w:rsidR="007315FC" w:rsidRDefault="007315FC" w:rsidP="00EC116A">
      <w:pPr>
        <w:pStyle w:val="Default"/>
        <w:rPr>
          <w:sz w:val="23"/>
          <w:szCs w:val="23"/>
        </w:rPr>
      </w:pPr>
    </w:p>
    <w:p w:rsidR="007315FC" w:rsidRDefault="007315FC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Dial-in Line: 08444 737373</w:t>
      </w:r>
    </w:p>
    <w:p w:rsidR="007315FC" w:rsidRDefault="007315FC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Pin: 274697</w:t>
      </w:r>
    </w:p>
    <w:p w:rsidR="000F662A" w:rsidRDefault="000F662A" w:rsidP="00EC116A">
      <w:pPr>
        <w:pStyle w:val="Default"/>
        <w:rPr>
          <w:b/>
          <w:bCs/>
          <w:sz w:val="23"/>
          <w:szCs w:val="23"/>
        </w:rPr>
      </w:pPr>
    </w:p>
    <w:p w:rsidR="00EC116A" w:rsidRDefault="00EC116A" w:rsidP="00EC11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Papers: </w:t>
      </w:r>
    </w:p>
    <w:p w:rsidR="00BF1660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DECC will aim to circulate </w:t>
      </w:r>
      <w:r w:rsidR="003B53DD">
        <w:rPr>
          <w:sz w:val="23"/>
          <w:szCs w:val="23"/>
        </w:rPr>
        <w:t>an</w:t>
      </w:r>
      <w:r w:rsidR="00BF1660">
        <w:rPr>
          <w:sz w:val="23"/>
          <w:szCs w:val="23"/>
        </w:rPr>
        <w:t xml:space="preserve"> agenda and any other </w:t>
      </w:r>
      <w:r>
        <w:rPr>
          <w:sz w:val="23"/>
          <w:szCs w:val="23"/>
        </w:rPr>
        <w:t>relevant material in advance of each meeting</w:t>
      </w:r>
      <w:r w:rsidR="00BF1660">
        <w:rPr>
          <w:sz w:val="23"/>
          <w:szCs w:val="23"/>
        </w:rPr>
        <w:t>.</w:t>
      </w:r>
    </w:p>
    <w:p w:rsidR="00BF1660" w:rsidRDefault="00BF1660" w:rsidP="00EC116A">
      <w:pPr>
        <w:pStyle w:val="Default"/>
        <w:rPr>
          <w:sz w:val="23"/>
          <w:szCs w:val="23"/>
        </w:rPr>
      </w:pPr>
    </w:p>
    <w:p w:rsidR="00EC116A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Group members will be required to handle any papers with discretion. </w:t>
      </w:r>
      <w:r w:rsidR="00B73A1B">
        <w:rPr>
          <w:sz w:val="23"/>
          <w:szCs w:val="23"/>
        </w:rPr>
        <w:t xml:space="preserve">For the purposes of facilitating group discussion, all papers developed by DECC should be treated as draft proposals and not as Government policy. </w:t>
      </w:r>
      <w:r>
        <w:rPr>
          <w:sz w:val="23"/>
          <w:szCs w:val="23"/>
        </w:rPr>
        <w:t xml:space="preserve">If any protectively marked documents are shared with members, guidance on document handling will be provided and must be followed. </w:t>
      </w:r>
    </w:p>
    <w:p w:rsidR="00DB5F5B" w:rsidRDefault="00DB5F5B" w:rsidP="00EC116A">
      <w:pPr>
        <w:pStyle w:val="Default"/>
        <w:rPr>
          <w:b/>
          <w:bCs/>
          <w:sz w:val="23"/>
          <w:szCs w:val="23"/>
        </w:rPr>
      </w:pPr>
    </w:p>
    <w:p w:rsidR="00B73A1B" w:rsidRDefault="00B73A1B" w:rsidP="00EC116A">
      <w:pPr>
        <w:pStyle w:val="Default"/>
        <w:rPr>
          <w:b/>
          <w:bCs/>
          <w:sz w:val="23"/>
          <w:szCs w:val="23"/>
        </w:rPr>
      </w:pPr>
    </w:p>
    <w:p w:rsidR="00EC116A" w:rsidRDefault="0045145C" w:rsidP="00EC11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Outputs: </w:t>
      </w:r>
    </w:p>
    <w:p w:rsidR="0045145C" w:rsidRDefault="004B4DD1" w:rsidP="003F1A40">
      <w:pPr>
        <w:pStyle w:val="Default"/>
        <w:rPr>
          <w:color w:val="1F497D"/>
        </w:rPr>
      </w:pPr>
      <w:r>
        <w:rPr>
          <w:sz w:val="23"/>
          <w:szCs w:val="23"/>
        </w:rPr>
        <w:t>M</w:t>
      </w:r>
      <w:r w:rsidR="007D53A3">
        <w:rPr>
          <w:sz w:val="23"/>
          <w:szCs w:val="23"/>
        </w:rPr>
        <w:t>ajor papers considered by the G</w:t>
      </w:r>
      <w:r w:rsidR="003F1A40">
        <w:rPr>
          <w:sz w:val="23"/>
          <w:szCs w:val="23"/>
        </w:rPr>
        <w:t xml:space="preserve">roup will be </w:t>
      </w:r>
      <w:r w:rsidR="00EC116A">
        <w:rPr>
          <w:sz w:val="23"/>
          <w:szCs w:val="23"/>
        </w:rPr>
        <w:t>mad</w:t>
      </w:r>
      <w:r w:rsidR="003F1A40">
        <w:rPr>
          <w:sz w:val="23"/>
          <w:szCs w:val="23"/>
        </w:rPr>
        <w:t>e available</w:t>
      </w:r>
      <w:r w:rsidR="003B53DD">
        <w:rPr>
          <w:sz w:val="23"/>
          <w:szCs w:val="23"/>
        </w:rPr>
        <w:t>, where possible,</w:t>
      </w:r>
      <w:r w:rsidR="003F1A40">
        <w:rPr>
          <w:sz w:val="23"/>
          <w:szCs w:val="23"/>
        </w:rPr>
        <w:t xml:space="preserve"> on DECC</w:t>
      </w:r>
      <w:r w:rsidR="003B53DD">
        <w:rPr>
          <w:sz w:val="23"/>
          <w:szCs w:val="23"/>
        </w:rPr>
        <w:t>’s</w:t>
      </w:r>
      <w:r w:rsidR="003F1A40">
        <w:rPr>
          <w:sz w:val="23"/>
          <w:szCs w:val="23"/>
        </w:rPr>
        <w:t xml:space="preserve"> website. </w:t>
      </w:r>
    </w:p>
    <w:p w:rsidR="007315FC" w:rsidRDefault="007315FC" w:rsidP="007315FC">
      <w:pPr>
        <w:pStyle w:val="Default"/>
        <w:rPr>
          <w:b/>
          <w:bCs/>
          <w:sz w:val="23"/>
          <w:szCs w:val="23"/>
        </w:rPr>
      </w:pPr>
    </w:p>
    <w:p w:rsidR="00EC116A" w:rsidRPr="007315FC" w:rsidRDefault="00EC116A" w:rsidP="007315F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Membership: </w:t>
      </w:r>
    </w:p>
    <w:p w:rsidR="004E7186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Members of the Group have </w:t>
      </w:r>
      <w:r w:rsidR="004E7186">
        <w:rPr>
          <w:sz w:val="23"/>
          <w:szCs w:val="23"/>
        </w:rPr>
        <w:t xml:space="preserve">either self-nominated with a specific interest in metering under the CfD scheme, or have been referred as a technical expert by a member of the CfD Expert Group or trade association. </w:t>
      </w:r>
    </w:p>
    <w:p w:rsidR="004E7186" w:rsidRDefault="004E7186" w:rsidP="00EC116A">
      <w:pPr>
        <w:pStyle w:val="Default"/>
        <w:rPr>
          <w:sz w:val="23"/>
          <w:szCs w:val="23"/>
        </w:rPr>
      </w:pPr>
    </w:p>
    <w:p w:rsidR="00657D27" w:rsidRPr="00657D27" w:rsidRDefault="00665089" w:rsidP="006650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Replacements</w:t>
      </w:r>
      <w:r w:rsidR="00EC116A">
        <w:rPr>
          <w:sz w:val="23"/>
          <w:szCs w:val="23"/>
        </w:rPr>
        <w:t xml:space="preserve"> </w:t>
      </w:r>
      <w:r w:rsidR="008D393F">
        <w:rPr>
          <w:sz w:val="23"/>
          <w:szCs w:val="23"/>
        </w:rPr>
        <w:t>should be nominated</w:t>
      </w:r>
      <w:r w:rsidR="004E7186">
        <w:rPr>
          <w:sz w:val="23"/>
          <w:szCs w:val="23"/>
        </w:rPr>
        <w:t xml:space="preserve"> </w:t>
      </w:r>
      <w:r w:rsidR="00657D27">
        <w:rPr>
          <w:sz w:val="23"/>
          <w:szCs w:val="23"/>
        </w:rPr>
        <w:t xml:space="preserve">from within the member organisation (or in the case of a referral, with </w:t>
      </w:r>
      <w:r>
        <w:rPr>
          <w:sz w:val="23"/>
          <w:szCs w:val="23"/>
        </w:rPr>
        <w:t>support</w:t>
      </w:r>
      <w:r w:rsidR="00657D27">
        <w:rPr>
          <w:sz w:val="23"/>
          <w:szCs w:val="23"/>
        </w:rPr>
        <w:t xml:space="preserve"> from the endorsee) </w:t>
      </w:r>
      <w:r>
        <w:rPr>
          <w:sz w:val="23"/>
          <w:szCs w:val="23"/>
        </w:rPr>
        <w:t xml:space="preserve">and </w:t>
      </w:r>
      <w:r w:rsidR="008D393F">
        <w:rPr>
          <w:sz w:val="23"/>
          <w:szCs w:val="23"/>
        </w:rPr>
        <w:t>should</w:t>
      </w:r>
      <w:r>
        <w:rPr>
          <w:sz w:val="23"/>
          <w:szCs w:val="23"/>
        </w:rPr>
        <w:t xml:space="preserve"> have </w:t>
      </w:r>
      <w:r w:rsidR="008D393F">
        <w:rPr>
          <w:sz w:val="23"/>
          <w:szCs w:val="23"/>
        </w:rPr>
        <w:t>prior consent</w:t>
      </w:r>
      <w:r>
        <w:rPr>
          <w:sz w:val="23"/>
          <w:szCs w:val="23"/>
        </w:rPr>
        <w:t xml:space="preserve"> from the Chair. </w:t>
      </w:r>
    </w:p>
    <w:p w:rsidR="00657D27" w:rsidRDefault="00657D27" w:rsidP="00657D27">
      <w:pPr>
        <w:pStyle w:val="Default"/>
        <w:rPr>
          <w:sz w:val="23"/>
          <w:szCs w:val="23"/>
        </w:rPr>
      </w:pPr>
    </w:p>
    <w:p w:rsidR="00EC116A" w:rsidRDefault="00EC116A" w:rsidP="00657D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DECC does, however, understand that circumstances might arise where members will be unable to attend meetings </w:t>
      </w:r>
      <w:r w:rsidR="00665089">
        <w:rPr>
          <w:sz w:val="23"/>
          <w:szCs w:val="23"/>
        </w:rPr>
        <w:t>over</w:t>
      </w:r>
      <w:r>
        <w:rPr>
          <w:sz w:val="23"/>
          <w:szCs w:val="23"/>
        </w:rPr>
        <w:t xml:space="preserve"> a given period</w:t>
      </w:r>
      <w:r w:rsidR="00665089">
        <w:rPr>
          <w:sz w:val="23"/>
          <w:szCs w:val="23"/>
        </w:rPr>
        <w:t xml:space="preserve">. In these circumstances, a suitable substitute/alternate may temporarily attend </w:t>
      </w:r>
      <w:r w:rsidR="007D53A3">
        <w:rPr>
          <w:sz w:val="23"/>
          <w:szCs w:val="23"/>
        </w:rPr>
        <w:t>G</w:t>
      </w:r>
      <w:r w:rsidR="00665089">
        <w:rPr>
          <w:sz w:val="23"/>
          <w:szCs w:val="23"/>
        </w:rPr>
        <w:t xml:space="preserve">roup meetings. </w:t>
      </w:r>
    </w:p>
    <w:p w:rsidR="004E7186" w:rsidRDefault="004E7186" w:rsidP="00EC116A">
      <w:pPr>
        <w:pStyle w:val="Default"/>
        <w:rPr>
          <w:sz w:val="23"/>
          <w:szCs w:val="23"/>
        </w:rPr>
      </w:pPr>
    </w:p>
    <w:p w:rsidR="002136A6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Members of the Group are expected to act impartially and they, their organisations or any of their subsidiaries will not be bound by any recommendations made by the Group.</w:t>
      </w:r>
    </w:p>
    <w:p w:rsidR="00EC116A" w:rsidRDefault="00EC116A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C116A" w:rsidRDefault="002136A6" w:rsidP="00EC11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National Grid</w:t>
      </w:r>
      <w:r w:rsidR="00EC116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PLC </w:t>
      </w:r>
      <w:r w:rsidR="00EC116A">
        <w:rPr>
          <w:sz w:val="23"/>
          <w:szCs w:val="23"/>
        </w:rPr>
        <w:t xml:space="preserve">officials that are members of this </w:t>
      </w:r>
      <w:r w:rsidR="007D53A3">
        <w:rPr>
          <w:sz w:val="23"/>
          <w:szCs w:val="23"/>
        </w:rPr>
        <w:t>G</w:t>
      </w:r>
      <w:r w:rsidR="00EC116A">
        <w:rPr>
          <w:sz w:val="23"/>
          <w:szCs w:val="23"/>
        </w:rPr>
        <w:t xml:space="preserve">roup do not represent the views of the </w:t>
      </w:r>
      <w:r>
        <w:rPr>
          <w:sz w:val="23"/>
          <w:szCs w:val="23"/>
        </w:rPr>
        <w:t xml:space="preserve">UK </w:t>
      </w:r>
      <w:r w:rsidR="00B1223E">
        <w:rPr>
          <w:sz w:val="23"/>
          <w:szCs w:val="23"/>
        </w:rPr>
        <w:t>System</w:t>
      </w:r>
      <w:r>
        <w:rPr>
          <w:sz w:val="23"/>
          <w:szCs w:val="23"/>
        </w:rPr>
        <w:t xml:space="preserve"> Operator</w:t>
      </w:r>
      <w:r w:rsidR="00B1223E">
        <w:rPr>
          <w:sz w:val="23"/>
          <w:szCs w:val="23"/>
        </w:rPr>
        <w:t>, but freely participate as an expert in their field</w:t>
      </w:r>
      <w:r w:rsidR="00EC116A">
        <w:rPr>
          <w:sz w:val="23"/>
          <w:szCs w:val="23"/>
        </w:rPr>
        <w:t xml:space="preserve">. </w:t>
      </w:r>
      <w:r w:rsidR="00B1223E">
        <w:rPr>
          <w:sz w:val="23"/>
          <w:szCs w:val="23"/>
        </w:rPr>
        <w:t>As such, t</w:t>
      </w:r>
      <w:r w:rsidR="00EC116A">
        <w:rPr>
          <w:sz w:val="23"/>
          <w:szCs w:val="23"/>
        </w:rPr>
        <w:t xml:space="preserve">heir attendance should not be considered an implicit or explicit endorsement or agreement to the outcomes and will not </w:t>
      </w:r>
      <w:r>
        <w:rPr>
          <w:sz w:val="23"/>
          <w:szCs w:val="23"/>
        </w:rPr>
        <w:t>bind</w:t>
      </w:r>
      <w:r w:rsidR="00EC116A">
        <w:rPr>
          <w:sz w:val="23"/>
          <w:szCs w:val="23"/>
        </w:rPr>
        <w:t xml:space="preserve"> the </w:t>
      </w:r>
      <w:r>
        <w:rPr>
          <w:sz w:val="23"/>
          <w:szCs w:val="23"/>
        </w:rPr>
        <w:t xml:space="preserve">Operator </w:t>
      </w:r>
      <w:r w:rsidR="00EC116A">
        <w:rPr>
          <w:sz w:val="23"/>
          <w:szCs w:val="23"/>
        </w:rPr>
        <w:t xml:space="preserve">or any of its subsidiaries </w:t>
      </w:r>
      <w:r>
        <w:rPr>
          <w:sz w:val="23"/>
          <w:szCs w:val="23"/>
        </w:rPr>
        <w:t xml:space="preserve">to </w:t>
      </w:r>
      <w:r w:rsidR="00EC116A">
        <w:rPr>
          <w:sz w:val="23"/>
          <w:szCs w:val="23"/>
        </w:rPr>
        <w:t xml:space="preserve">any recommendations made by the </w:t>
      </w:r>
      <w:r w:rsidR="007D53A3">
        <w:rPr>
          <w:sz w:val="23"/>
          <w:szCs w:val="23"/>
        </w:rPr>
        <w:t>G</w:t>
      </w:r>
      <w:r w:rsidR="00EC116A">
        <w:rPr>
          <w:sz w:val="23"/>
          <w:szCs w:val="23"/>
        </w:rPr>
        <w:t xml:space="preserve">roup. </w:t>
      </w:r>
    </w:p>
    <w:p w:rsidR="003305E7" w:rsidRDefault="003305E7" w:rsidP="00EC116A">
      <w:pPr>
        <w:pStyle w:val="Default"/>
        <w:rPr>
          <w:sz w:val="23"/>
          <w:szCs w:val="23"/>
        </w:rPr>
      </w:pPr>
    </w:p>
    <w:p w:rsidR="0016257A" w:rsidRDefault="003305E7" w:rsidP="00F94F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DECC </w:t>
      </w:r>
      <w:r w:rsidR="00085101">
        <w:rPr>
          <w:sz w:val="23"/>
          <w:szCs w:val="23"/>
        </w:rPr>
        <w:t>r</w:t>
      </w:r>
      <w:r>
        <w:rPr>
          <w:sz w:val="23"/>
          <w:szCs w:val="23"/>
        </w:rPr>
        <w:t>eserve the right to review</w:t>
      </w:r>
      <w:r w:rsidR="002136A6">
        <w:rPr>
          <w:sz w:val="23"/>
          <w:szCs w:val="23"/>
        </w:rPr>
        <w:t xml:space="preserve"> and modify</w:t>
      </w:r>
      <w:r>
        <w:rPr>
          <w:sz w:val="23"/>
          <w:szCs w:val="23"/>
        </w:rPr>
        <w:t xml:space="preserve"> membership of the Group </w:t>
      </w:r>
      <w:r w:rsidR="002136A6">
        <w:rPr>
          <w:sz w:val="23"/>
          <w:szCs w:val="23"/>
        </w:rPr>
        <w:t xml:space="preserve">as appropriate </w:t>
      </w:r>
      <w:r>
        <w:rPr>
          <w:sz w:val="23"/>
          <w:szCs w:val="23"/>
        </w:rPr>
        <w:t xml:space="preserve">to ensure it remains effective. </w:t>
      </w:r>
    </w:p>
    <w:p w:rsidR="00F94FFC" w:rsidRPr="00F94FFC" w:rsidRDefault="00F94FFC" w:rsidP="00F94FFC">
      <w:pPr>
        <w:pStyle w:val="Default"/>
        <w:rPr>
          <w:sz w:val="23"/>
          <w:szCs w:val="23"/>
        </w:rPr>
      </w:pPr>
    </w:p>
    <w:tbl>
      <w:tblPr>
        <w:tblStyle w:val="LightList"/>
        <w:tblW w:w="0" w:type="auto"/>
        <w:jc w:val="center"/>
        <w:tblInd w:w="-3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4796"/>
      </w:tblGrid>
      <w:tr w:rsidR="007C3599" w:rsidTr="00A77F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Default="007C3599" w:rsidP="007C3599">
            <w:pPr>
              <w:jc w:val="center"/>
            </w:pPr>
            <w:r>
              <w:t>Member</w:t>
            </w:r>
          </w:p>
        </w:tc>
        <w:tc>
          <w:tcPr>
            <w:tcW w:w="4796" w:type="dxa"/>
          </w:tcPr>
          <w:p w:rsidR="007C3599" w:rsidRDefault="007C3599" w:rsidP="007C3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</w:tr>
      <w:tr w:rsidR="007C3599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7C3599" w:rsidRPr="007C3599" w:rsidRDefault="0083328D" w:rsidP="0083328D">
            <w:pPr>
              <w:jc w:val="both"/>
              <w:rPr>
                <w:b w:val="0"/>
              </w:rPr>
            </w:pPr>
            <w:r>
              <w:rPr>
                <w:b w:val="0"/>
              </w:rPr>
              <w:t>Dan Mascarenhas</w:t>
            </w:r>
            <w:r w:rsidR="007C3599">
              <w:rPr>
                <w:b w:val="0"/>
              </w:rPr>
              <w:t xml:space="preserve"> (Chair) + CfD</w:t>
            </w:r>
            <w:r w:rsidR="00615642">
              <w:rPr>
                <w:b w:val="0"/>
              </w:rPr>
              <w:t xml:space="preserve"> design and institutions leads </w:t>
            </w:r>
            <w:r w:rsidR="007C3599">
              <w:rPr>
                <w:b w:val="0"/>
              </w:rPr>
              <w:t xml:space="preserve"> </w:t>
            </w:r>
          </w:p>
        </w:tc>
        <w:tc>
          <w:tcPr>
            <w:tcW w:w="4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C3599" w:rsidRDefault="00E372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Electricity Market Reform</w:t>
            </w:r>
            <w:r w:rsidR="00BE56B6">
              <w:t xml:space="preserve">, DECC </w:t>
            </w:r>
          </w:p>
        </w:tc>
      </w:tr>
      <w:tr w:rsidR="00E31F52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E31F52" w:rsidRPr="00E31F52" w:rsidRDefault="00E31F52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Emma McGuire</w:t>
            </w:r>
          </w:p>
        </w:tc>
        <w:tc>
          <w:tcPr>
            <w:tcW w:w="4796" w:type="dxa"/>
          </w:tcPr>
          <w:p w:rsidR="00E31F52" w:rsidRDefault="00E31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Office for Renewable Energy Development, DECC</w:t>
            </w:r>
          </w:p>
        </w:tc>
      </w:tr>
      <w:tr w:rsidR="007C3599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P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Colin Prestwich</w:t>
            </w:r>
          </w:p>
        </w:tc>
        <w:tc>
          <w:tcPr>
            <w:tcW w:w="4796" w:type="dxa"/>
          </w:tcPr>
          <w:p w:rsidR="007C3599" w:rsidRPr="00BE56B6" w:rsidRDefault="00BE5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Smartest Energy</w:t>
            </w:r>
          </w:p>
        </w:tc>
      </w:tr>
      <w:tr w:rsidR="007C3599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P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Bill Reed</w:t>
            </w:r>
          </w:p>
        </w:tc>
        <w:tc>
          <w:tcPr>
            <w:tcW w:w="4796" w:type="dxa"/>
          </w:tcPr>
          <w:p w:rsidR="007C3599" w:rsidRPr="00BE56B6" w:rsidRDefault="00BE5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RWE</w:t>
            </w:r>
          </w:p>
        </w:tc>
      </w:tr>
      <w:tr w:rsidR="007C3599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P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Martin Alder</w:t>
            </w:r>
          </w:p>
        </w:tc>
        <w:tc>
          <w:tcPr>
            <w:tcW w:w="4796" w:type="dxa"/>
          </w:tcPr>
          <w:p w:rsidR="007C3599" w:rsidRPr="00BE56B6" w:rsidRDefault="00BE5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Opten</w:t>
            </w:r>
            <w:proofErr w:type="spellEnd"/>
          </w:p>
        </w:tc>
      </w:tr>
      <w:tr w:rsidR="007C3599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P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Chris Allanson</w:t>
            </w:r>
          </w:p>
        </w:tc>
        <w:tc>
          <w:tcPr>
            <w:tcW w:w="4796" w:type="dxa"/>
          </w:tcPr>
          <w:p w:rsidR="007C3599" w:rsidRPr="00BE56B6" w:rsidRDefault="00BE5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Northern </w:t>
            </w:r>
            <w:proofErr w:type="spellStart"/>
            <w:r>
              <w:t>Powergrid</w:t>
            </w:r>
            <w:proofErr w:type="spellEnd"/>
          </w:p>
        </w:tc>
      </w:tr>
      <w:tr w:rsidR="007C3599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P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Martin Mate</w:t>
            </w:r>
          </w:p>
        </w:tc>
        <w:tc>
          <w:tcPr>
            <w:tcW w:w="4796" w:type="dxa"/>
          </w:tcPr>
          <w:p w:rsidR="007C3599" w:rsidRPr="00BE56B6" w:rsidRDefault="00BE5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EDF Energy</w:t>
            </w:r>
          </w:p>
        </w:tc>
      </w:tr>
      <w:tr w:rsidR="007C3599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C3599" w:rsidRPr="00BE56B6" w:rsidRDefault="00BE56B6" w:rsidP="00AC0C93">
            <w:pPr>
              <w:jc w:val="both"/>
              <w:rPr>
                <w:b w:val="0"/>
              </w:rPr>
            </w:pPr>
            <w:r>
              <w:rPr>
                <w:b w:val="0"/>
              </w:rPr>
              <w:t>Patrick Smart</w:t>
            </w:r>
            <w:r w:rsidR="003B53DD">
              <w:rPr>
                <w:b w:val="0"/>
              </w:rPr>
              <w:t>/</w:t>
            </w:r>
            <w:r w:rsidR="00AC0C93">
              <w:rPr>
                <w:b w:val="0"/>
              </w:rPr>
              <w:t>Graham Pannel</w:t>
            </w:r>
            <w:r w:rsidR="003B53DD">
              <w:rPr>
                <w:b w:val="0"/>
              </w:rPr>
              <w:t>l</w:t>
            </w:r>
          </w:p>
        </w:tc>
        <w:tc>
          <w:tcPr>
            <w:tcW w:w="4796" w:type="dxa"/>
          </w:tcPr>
          <w:p w:rsidR="007C3599" w:rsidRPr="00BE56B6" w:rsidRDefault="00BE5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</w:t>
            </w:r>
          </w:p>
        </w:tc>
      </w:tr>
      <w:tr w:rsidR="00BE56B6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Ben Hall</w:t>
            </w:r>
            <w:r w:rsidR="00D73E87">
              <w:rPr>
                <w:b w:val="0"/>
              </w:rPr>
              <w:t>/Ed Hall</w:t>
            </w:r>
          </w:p>
        </w:tc>
        <w:tc>
          <w:tcPr>
            <w:tcW w:w="4796" w:type="dxa"/>
          </w:tcPr>
          <w:p w:rsidR="00BE56B6" w:rsidRDefault="00BE5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Cornwall Energy</w:t>
            </w:r>
          </w:p>
        </w:tc>
      </w:tr>
      <w:tr w:rsidR="00BE56B6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Stephen Andrews</w:t>
            </w:r>
          </w:p>
        </w:tc>
        <w:tc>
          <w:tcPr>
            <w:tcW w:w="4796" w:type="dxa"/>
          </w:tcPr>
          <w:p w:rsidR="00BE56B6" w:rsidRDefault="00BE5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Lower Watts Consulting</w:t>
            </w:r>
          </w:p>
        </w:tc>
      </w:tr>
      <w:tr w:rsidR="00BE56B6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John Lucas</w:t>
            </w:r>
          </w:p>
        </w:tc>
        <w:tc>
          <w:tcPr>
            <w:tcW w:w="4796" w:type="dxa"/>
          </w:tcPr>
          <w:p w:rsidR="00BE56B6" w:rsidRDefault="00BE56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Elexon</w:t>
            </w:r>
          </w:p>
        </w:tc>
      </w:tr>
      <w:tr w:rsidR="00BE56B6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BE56B6" w:rsidRDefault="00BE56B6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John Perkins</w:t>
            </w:r>
            <w:r w:rsidR="0083328D">
              <w:rPr>
                <w:b w:val="0"/>
              </w:rPr>
              <w:t>/</w:t>
            </w:r>
            <w:proofErr w:type="spellStart"/>
            <w:r w:rsidR="0083328D">
              <w:rPr>
                <w:b w:val="0"/>
              </w:rPr>
              <w:t>Yasharn</w:t>
            </w:r>
            <w:proofErr w:type="spellEnd"/>
            <w:r w:rsidR="0083328D">
              <w:rPr>
                <w:b w:val="0"/>
              </w:rPr>
              <w:t xml:space="preserve"> Smith</w:t>
            </w:r>
          </w:p>
        </w:tc>
        <w:tc>
          <w:tcPr>
            <w:tcW w:w="4796" w:type="dxa"/>
          </w:tcPr>
          <w:p w:rsidR="00BE56B6" w:rsidRDefault="00787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Grid</w:t>
            </w:r>
          </w:p>
        </w:tc>
      </w:tr>
      <w:tr w:rsidR="00787990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87990" w:rsidRDefault="00787990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Michael Harris</w:t>
            </w:r>
          </w:p>
        </w:tc>
        <w:tc>
          <w:tcPr>
            <w:tcW w:w="4796" w:type="dxa"/>
          </w:tcPr>
          <w:p w:rsidR="00787990" w:rsidRDefault="00787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DETI – NI Government</w:t>
            </w:r>
          </w:p>
        </w:tc>
      </w:tr>
      <w:tr w:rsidR="00787990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87990" w:rsidRDefault="0045145C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 xml:space="preserve">Andrew </w:t>
            </w:r>
            <w:proofErr w:type="spellStart"/>
            <w:r>
              <w:rPr>
                <w:b w:val="0"/>
              </w:rPr>
              <w:t>McCorriston</w:t>
            </w:r>
            <w:proofErr w:type="spellEnd"/>
          </w:p>
        </w:tc>
        <w:tc>
          <w:tcPr>
            <w:tcW w:w="4796" w:type="dxa"/>
          </w:tcPr>
          <w:p w:rsidR="00787990" w:rsidRDefault="00451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 Utility Regulator</w:t>
            </w:r>
          </w:p>
        </w:tc>
      </w:tr>
      <w:tr w:rsidR="00787990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87990" w:rsidRDefault="00787990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Max Aitken</w:t>
            </w:r>
          </w:p>
        </w:tc>
        <w:tc>
          <w:tcPr>
            <w:tcW w:w="4796" w:type="dxa"/>
          </w:tcPr>
          <w:p w:rsidR="00787990" w:rsidRDefault="007879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Estover</w:t>
            </w:r>
            <w:proofErr w:type="spellEnd"/>
            <w:r>
              <w:t xml:space="preserve"> Energy</w:t>
            </w:r>
          </w:p>
        </w:tc>
      </w:tr>
      <w:tr w:rsidR="00787990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87990" w:rsidRDefault="00787990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Holly Tomlinson</w:t>
            </w:r>
          </w:p>
        </w:tc>
        <w:tc>
          <w:tcPr>
            <w:tcW w:w="4796" w:type="dxa"/>
          </w:tcPr>
          <w:p w:rsidR="00787990" w:rsidRDefault="007879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Ecotricity</w:t>
            </w:r>
            <w:proofErr w:type="spellEnd"/>
          </w:p>
        </w:tc>
      </w:tr>
      <w:tr w:rsidR="00787990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787990" w:rsidRDefault="00E31F52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Luke Hargreaves</w:t>
            </w:r>
          </w:p>
        </w:tc>
        <w:tc>
          <w:tcPr>
            <w:tcW w:w="4796" w:type="dxa"/>
          </w:tcPr>
          <w:p w:rsidR="00787990" w:rsidRDefault="00AC0C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OfGEM</w:t>
            </w:r>
            <w:proofErr w:type="spellEnd"/>
          </w:p>
        </w:tc>
      </w:tr>
      <w:tr w:rsidR="00CB71A4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CB71A4" w:rsidRPr="00CB71A4" w:rsidRDefault="00CB71A4" w:rsidP="00DF29D5">
            <w:pPr>
              <w:jc w:val="both"/>
              <w:rPr>
                <w:b w:val="0"/>
              </w:rPr>
            </w:pPr>
            <w:r w:rsidRPr="00CB71A4">
              <w:rPr>
                <w:b w:val="0"/>
              </w:rPr>
              <w:t>Robert Asquith</w:t>
            </w:r>
          </w:p>
        </w:tc>
        <w:tc>
          <w:tcPr>
            <w:tcW w:w="4796" w:type="dxa"/>
          </w:tcPr>
          <w:p w:rsidR="00CB71A4" w:rsidRPr="00CB71A4" w:rsidRDefault="00CB7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71A4">
              <w:t>New Earth Advanced Thermal Tech.</w:t>
            </w:r>
          </w:p>
        </w:tc>
      </w:tr>
      <w:tr w:rsidR="00DB5F5B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DB5F5B" w:rsidRPr="00DB5F5B" w:rsidRDefault="00DB5F5B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Stuart Stephens</w:t>
            </w:r>
          </w:p>
        </w:tc>
        <w:tc>
          <w:tcPr>
            <w:tcW w:w="4796" w:type="dxa"/>
          </w:tcPr>
          <w:p w:rsidR="00DB5F5B" w:rsidRPr="00CB71A4" w:rsidRDefault="00DB5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Non-Fossil Purchasing Agency</w:t>
            </w:r>
          </w:p>
        </w:tc>
      </w:tr>
      <w:tr w:rsidR="00A77FD1" w:rsidTr="00A77F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A77FD1" w:rsidRPr="0052781A" w:rsidRDefault="0052781A" w:rsidP="00DF29D5">
            <w:pPr>
              <w:jc w:val="both"/>
              <w:rPr>
                <w:b w:val="0"/>
              </w:rPr>
            </w:pPr>
            <w:r>
              <w:rPr>
                <w:b w:val="0"/>
              </w:rPr>
              <w:t>Keith Munday</w:t>
            </w:r>
          </w:p>
        </w:tc>
        <w:tc>
          <w:tcPr>
            <w:tcW w:w="4796" w:type="dxa"/>
          </w:tcPr>
          <w:p w:rsidR="00A77FD1" w:rsidRDefault="00527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Carbon Catalysts Group </w:t>
            </w:r>
          </w:p>
        </w:tc>
      </w:tr>
      <w:tr w:rsidR="0052781A" w:rsidTr="00A77F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6" w:type="dxa"/>
          </w:tcPr>
          <w:p w:rsidR="0052781A" w:rsidRDefault="0083328D" w:rsidP="0052781A">
            <w:pPr>
              <w:jc w:val="both"/>
              <w:rPr>
                <w:b w:val="0"/>
              </w:rPr>
            </w:pPr>
            <w:r>
              <w:rPr>
                <w:b w:val="0"/>
              </w:rPr>
              <w:t>Jonathan Graham</w:t>
            </w:r>
            <w:r w:rsidR="0099613A">
              <w:rPr>
                <w:b w:val="0"/>
              </w:rPr>
              <w:t>/</w:t>
            </w:r>
            <w:bookmarkStart w:id="0" w:name="_GoBack"/>
            <w:bookmarkEnd w:id="0"/>
            <w:r w:rsidR="0099613A">
              <w:rPr>
                <w:b w:val="0"/>
              </w:rPr>
              <w:t xml:space="preserve">Tim </w:t>
            </w:r>
            <w:proofErr w:type="spellStart"/>
            <w:r w:rsidR="0099613A">
              <w:rPr>
                <w:b w:val="0"/>
              </w:rPr>
              <w:t>Rotheray</w:t>
            </w:r>
            <w:proofErr w:type="spellEnd"/>
          </w:p>
        </w:tc>
        <w:tc>
          <w:tcPr>
            <w:tcW w:w="4796" w:type="dxa"/>
          </w:tcPr>
          <w:p w:rsidR="0052781A" w:rsidRDefault="005278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Combined Heat and Power Association </w:t>
            </w:r>
          </w:p>
        </w:tc>
      </w:tr>
    </w:tbl>
    <w:p w:rsidR="0045145C" w:rsidRDefault="0045145C" w:rsidP="00F94FFC"/>
    <w:sectPr w:rsidR="0045145C" w:rsidSect="00A77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879" w:rsidRDefault="007C1879" w:rsidP="007C1879">
      <w:pPr>
        <w:spacing w:after="0" w:line="240" w:lineRule="auto"/>
      </w:pPr>
      <w:r>
        <w:separator/>
      </w:r>
    </w:p>
  </w:endnote>
  <w:endnote w:type="continuationSeparator" w:id="0">
    <w:p w:rsidR="007C1879" w:rsidRDefault="007C1879" w:rsidP="007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7" w:rsidRDefault="005365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7" w:rsidRDefault="005365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7" w:rsidRDefault="005365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879" w:rsidRDefault="007C1879" w:rsidP="007C1879">
      <w:pPr>
        <w:spacing w:after="0" w:line="240" w:lineRule="auto"/>
      </w:pPr>
      <w:r>
        <w:separator/>
      </w:r>
    </w:p>
  </w:footnote>
  <w:footnote w:type="continuationSeparator" w:id="0">
    <w:p w:rsidR="007C1879" w:rsidRDefault="007C1879" w:rsidP="007C1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7" w:rsidRDefault="005365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879" w:rsidRDefault="007C1879" w:rsidP="007C1879">
    <w:pPr>
      <w:pStyle w:val="Header"/>
      <w:jc w:val="right"/>
    </w:pPr>
    <w:r>
      <w:rPr>
        <w:noProof/>
        <w:lang w:eastAsia="en-GB"/>
      </w:rPr>
      <w:drawing>
        <wp:inline distT="0" distB="0" distL="0" distR="0" wp14:anchorId="48C5D02D" wp14:editId="67D02184">
          <wp:extent cx="962025" cy="6366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CC_BLK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83" cy="636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597" w:rsidRDefault="005365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10C"/>
    <w:multiLevelType w:val="hybridMultilevel"/>
    <w:tmpl w:val="74AA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A2562"/>
    <w:multiLevelType w:val="hybridMultilevel"/>
    <w:tmpl w:val="6B18F2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6A"/>
    <w:rsid w:val="00013693"/>
    <w:rsid w:val="000250FB"/>
    <w:rsid w:val="00081BDE"/>
    <w:rsid w:val="00085101"/>
    <w:rsid w:val="000F662A"/>
    <w:rsid w:val="00101378"/>
    <w:rsid w:val="002136A6"/>
    <w:rsid w:val="0029005D"/>
    <w:rsid w:val="002D3D1D"/>
    <w:rsid w:val="003305E7"/>
    <w:rsid w:val="00380532"/>
    <w:rsid w:val="00391A61"/>
    <w:rsid w:val="003933B1"/>
    <w:rsid w:val="003B53DD"/>
    <w:rsid w:val="003D2C2C"/>
    <w:rsid w:val="003F1A40"/>
    <w:rsid w:val="0045145C"/>
    <w:rsid w:val="0046093F"/>
    <w:rsid w:val="004A71D4"/>
    <w:rsid w:val="004B4DD1"/>
    <w:rsid w:val="004C5840"/>
    <w:rsid w:val="004E7186"/>
    <w:rsid w:val="0052781A"/>
    <w:rsid w:val="00536597"/>
    <w:rsid w:val="00593DF6"/>
    <w:rsid w:val="006152FC"/>
    <w:rsid w:val="00615642"/>
    <w:rsid w:val="00624DFF"/>
    <w:rsid w:val="00657D27"/>
    <w:rsid w:val="00665089"/>
    <w:rsid w:val="006907E1"/>
    <w:rsid w:val="00712AA3"/>
    <w:rsid w:val="007315FC"/>
    <w:rsid w:val="00787990"/>
    <w:rsid w:val="007B3064"/>
    <w:rsid w:val="007C1879"/>
    <w:rsid w:val="007C3599"/>
    <w:rsid w:val="007D53A3"/>
    <w:rsid w:val="0083328D"/>
    <w:rsid w:val="008D0D1D"/>
    <w:rsid w:val="008D393F"/>
    <w:rsid w:val="008F0DE0"/>
    <w:rsid w:val="009135E5"/>
    <w:rsid w:val="0099613A"/>
    <w:rsid w:val="00A77FD1"/>
    <w:rsid w:val="00AC0C93"/>
    <w:rsid w:val="00B1223E"/>
    <w:rsid w:val="00B43A10"/>
    <w:rsid w:val="00B73A1B"/>
    <w:rsid w:val="00BE56B6"/>
    <w:rsid w:val="00BF1660"/>
    <w:rsid w:val="00C45DE3"/>
    <w:rsid w:val="00CB71A4"/>
    <w:rsid w:val="00D73E87"/>
    <w:rsid w:val="00DA4724"/>
    <w:rsid w:val="00DB5F5B"/>
    <w:rsid w:val="00DF29D5"/>
    <w:rsid w:val="00E31F52"/>
    <w:rsid w:val="00E372F4"/>
    <w:rsid w:val="00EC116A"/>
    <w:rsid w:val="00F62BDE"/>
    <w:rsid w:val="00F711A9"/>
    <w:rsid w:val="00F94FFC"/>
    <w:rsid w:val="00FB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C35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1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79"/>
  </w:style>
  <w:style w:type="paragraph" w:styleId="Footer">
    <w:name w:val="footer"/>
    <w:basedOn w:val="Normal"/>
    <w:link w:val="FooterChar"/>
    <w:uiPriority w:val="99"/>
    <w:unhideWhenUsed/>
    <w:rsid w:val="007C1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79"/>
  </w:style>
  <w:style w:type="paragraph" w:styleId="BalloonText">
    <w:name w:val="Balloon Text"/>
    <w:basedOn w:val="Normal"/>
    <w:link w:val="BalloonTextChar"/>
    <w:uiPriority w:val="99"/>
    <w:semiHidden/>
    <w:unhideWhenUsed/>
    <w:rsid w:val="007C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1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3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11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C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7C35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1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879"/>
  </w:style>
  <w:style w:type="paragraph" w:styleId="Footer">
    <w:name w:val="footer"/>
    <w:basedOn w:val="Normal"/>
    <w:link w:val="FooterChar"/>
    <w:uiPriority w:val="99"/>
    <w:unhideWhenUsed/>
    <w:rsid w:val="007C1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879"/>
  </w:style>
  <w:style w:type="paragraph" w:styleId="BalloonText">
    <w:name w:val="Balloon Text"/>
    <w:basedOn w:val="Normal"/>
    <w:link w:val="BalloonTextChar"/>
    <w:uiPriority w:val="99"/>
    <w:semiHidden/>
    <w:unhideWhenUsed/>
    <w:rsid w:val="007C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8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1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F538-8FA5-476E-BBDC-2BD411B4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764F7BEE</Template>
  <TotalTime>12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DECC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Mascarenhas Dan (Energy Markets and Networks)</dc:creator>
  <cp:lastModifiedBy>Mascarenhas Dan (Energy Markets and Networks)</cp:lastModifiedBy>
  <cp:revision>7</cp:revision>
  <cp:lastPrinted>2013-04-23T14:56:00Z</cp:lastPrinted>
  <dcterms:created xsi:type="dcterms:W3CDTF">2013-05-17T09:29:00Z</dcterms:created>
  <dcterms:modified xsi:type="dcterms:W3CDTF">2013-08-02T09:46:00Z</dcterms:modified>
</cp:coreProperties>
</file>