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5E" w:rsidRDefault="00CF385E">
      <w:pPr>
        <w:pStyle w:val="BodyText"/>
        <w:spacing w:after="0"/>
        <w:jc w:val="center"/>
        <w:rPr>
          <w:rFonts w:ascii="Humnst777 Lt BT" w:hAnsi="Humnst777 Lt BT"/>
        </w:rPr>
      </w:pPr>
      <w:bookmarkStart w:id="0" w:name="OLE_LINK2"/>
      <w:bookmarkStart w:id="1" w:name="OLE_LINK1"/>
      <w:r>
        <w:rPr>
          <w:rFonts w:ascii="Humnst777 Lt BT" w:hAnsi="Humnst777 Lt BT"/>
        </w:rPr>
        <w:t>PES (201</w:t>
      </w:r>
      <w:r w:rsidR="000C431D">
        <w:rPr>
          <w:rFonts w:ascii="Humnst777 Lt BT" w:hAnsi="Humnst777 Lt BT"/>
        </w:rPr>
        <w:t>3</w:t>
      </w:r>
      <w:r>
        <w:rPr>
          <w:rFonts w:ascii="Humnst777 Lt BT" w:hAnsi="Humnst777 Lt BT"/>
        </w:rPr>
        <w:t>) ANNEX B</w:t>
      </w:r>
    </w:p>
    <w:p w:rsidR="00CF385E" w:rsidRDefault="00CF385E">
      <w:pPr>
        <w:pStyle w:val="BodyText"/>
        <w:spacing w:after="0"/>
        <w:jc w:val="center"/>
        <w:rPr>
          <w:rFonts w:ascii="Humnst777 Lt BT" w:hAnsi="Humnst777 Lt BT"/>
          <w:sz w:val="22"/>
        </w:rPr>
      </w:pPr>
      <w:r>
        <w:rPr>
          <w:rFonts w:ascii="Humnst777 Lt BT" w:hAnsi="Humnst777 Lt BT"/>
        </w:rPr>
        <w:t>GUIDANCE FOR ALLOCATING EXPENDITURE TO COUNTRIES AND REGIONS</w:t>
      </w:r>
    </w:p>
    <w:p w:rsidR="00CF385E" w:rsidRDefault="00CF385E">
      <w:pPr>
        <w:spacing w:line="360" w:lineRule="auto"/>
        <w:rPr>
          <w:rFonts w:ascii="Humnst777 Lt BT" w:hAnsi="Humnst777 Lt BT" w:cs="Arial"/>
          <w:sz w:val="22"/>
        </w:rPr>
      </w:pPr>
    </w:p>
    <w:p w:rsidR="00CF385E" w:rsidRDefault="00CF385E">
      <w:pPr>
        <w:pStyle w:val="Heading5"/>
        <w:rPr>
          <w:rFonts w:ascii="Humnst777 Lt BT" w:hAnsi="Humnst777 Lt BT"/>
          <w:b w:val="0"/>
          <w:bCs w:val="0"/>
          <w:u w:val="none"/>
        </w:rPr>
      </w:pPr>
    </w:p>
    <w:p w:rsidR="00CF385E" w:rsidRDefault="001F5B4E">
      <w:pPr>
        <w:pStyle w:val="TOC1"/>
        <w:tabs>
          <w:tab w:val="right" w:leader="dot" w:pos="8630"/>
        </w:tabs>
        <w:spacing w:line="360" w:lineRule="auto"/>
        <w:rPr>
          <w:rFonts w:ascii="Humnst777 Lt BT" w:hAnsi="Humnst777 Lt BT"/>
          <w:b w:val="0"/>
          <w:sz w:val="22"/>
        </w:rPr>
      </w:pPr>
      <w:r w:rsidRPr="001F5B4E">
        <w:rPr>
          <w:rFonts w:ascii="Humnst777 Lt BT" w:hAnsi="Humnst777 Lt BT" w:cs="Arial"/>
          <w:sz w:val="22"/>
        </w:rPr>
        <w:fldChar w:fldCharType="begin"/>
      </w:r>
      <w:r w:rsidR="00CF385E">
        <w:rPr>
          <w:rFonts w:ascii="Humnst777 Lt BT" w:hAnsi="Humnst777 Lt BT" w:cs="Arial"/>
          <w:sz w:val="22"/>
        </w:rPr>
        <w:instrText xml:space="preserve"> TOC \o "1-2" \n \h \z </w:instrText>
      </w:r>
      <w:r w:rsidRPr="001F5B4E">
        <w:rPr>
          <w:rFonts w:ascii="Humnst777 Lt BT" w:hAnsi="Humnst777 Lt BT" w:cs="Arial"/>
          <w:sz w:val="22"/>
        </w:rPr>
        <w:fldChar w:fldCharType="separate"/>
      </w:r>
      <w:hyperlink w:anchor="_Toc244667863" w:history="1">
        <w:r w:rsidR="00CF385E">
          <w:rPr>
            <w:rStyle w:val="Hyperlink"/>
            <w:rFonts w:ascii="Humnst777 Lt BT" w:hAnsi="Humnst777 Lt BT"/>
            <w:sz w:val="22"/>
            <w:szCs w:val="20"/>
          </w:rPr>
          <w:t>1. Introduction and Background</w:t>
        </w:r>
      </w:hyperlink>
    </w:p>
    <w:p w:rsidR="00CF385E" w:rsidRDefault="001F5B4E">
      <w:pPr>
        <w:pStyle w:val="TOC2"/>
        <w:tabs>
          <w:tab w:val="right" w:leader="dot" w:pos="8630"/>
        </w:tabs>
        <w:spacing w:line="360" w:lineRule="auto"/>
        <w:rPr>
          <w:rFonts w:ascii="Humnst777 Lt BT" w:hAnsi="Humnst777 Lt BT"/>
          <w:sz w:val="22"/>
        </w:rPr>
      </w:pPr>
      <w:hyperlink w:anchor="_Toc244667864" w:history="1">
        <w:r w:rsidR="00CF385E">
          <w:rPr>
            <w:rStyle w:val="Hyperlink"/>
            <w:rFonts w:ascii="Humnst777 Lt BT" w:hAnsi="Humnst777 Lt BT"/>
            <w:sz w:val="22"/>
            <w:szCs w:val="20"/>
          </w:rPr>
          <w:t>1.1 Contacts</w:t>
        </w:r>
      </w:hyperlink>
    </w:p>
    <w:p w:rsidR="00CF385E" w:rsidRDefault="001F5B4E">
      <w:pPr>
        <w:pStyle w:val="TOC2"/>
        <w:tabs>
          <w:tab w:val="right" w:leader="dot" w:pos="8630"/>
        </w:tabs>
        <w:spacing w:line="360" w:lineRule="auto"/>
        <w:rPr>
          <w:rFonts w:ascii="Humnst777 Lt BT" w:hAnsi="Humnst777 Lt BT"/>
          <w:sz w:val="22"/>
        </w:rPr>
      </w:pPr>
      <w:hyperlink w:anchor="_Toc244667865" w:history="1">
        <w:r w:rsidR="00CF385E">
          <w:rPr>
            <w:rStyle w:val="Hyperlink"/>
            <w:rFonts w:ascii="Humnst777 Lt BT" w:hAnsi="Humnst777 Lt BT"/>
            <w:sz w:val="22"/>
            <w:szCs w:val="20"/>
          </w:rPr>
          <w:t>1.2 What we ask you to provide</w:t>
        </w:r>
      </w:hyperlink>
    </w:p>
    <w:p w:rsidR="00CF385E" w:rsidRDefault="001F5B4E">
      <w:pPr>
        <w:pStyle w:val="TOC2"/>
        <w:tabs>
          <w:tab w:val="right" w:leader="dot" w:pos="8630"/>
        </w:tabs>
        <w:spacing w:line="360" w:lineRule="auto"/>
        <w:rPr>
          <w:rFonts w:ascii="Humnst777 Lt BT" w:hAnsi="Humnst777 Lt BT"/>
          <w:sz w:val="22"/>
        </w:rPr>
      </w:pPr>
      <w:hyperlink w:anchor="_Toc244667866" w:history="1">
        <w:r w:rsidR="00CF385E">
          <w:rPr>
            <w:rStyle w:val="Hyperlink"/>
            <w:rFonts w:ascii="Humnst777 Lt BT" w:hAnsi="Humnst777 Lt BT"/>
            <w:sz w:val="22"/>
            <w:szCs w:val="20"/>
          </w:rPr>
          <w:t>1.3 Departmental Reports</w:t>
        </w:r>
      </w:hyperlink>
    </w:p>
    <w:p w:rsidR="00CF385E" w:rsidRDefault="001F5B4E">
      <w:pPr>
        <w:pStyle w:val="TOC1"/>
        <w:tabs>
          <w:tab w:val="right" w:leader="dot" w:pos="8630"/>
        </w:tabs>
        <w:spacing w:line="360" w:lineRule="auto"/>
        <w:rPr>
          <w:rFonts w:ascii="Humnst777 Lt BT" w:hAnsi="Humnst777 Lt BT"/>
          <w:b w:val="0"/>
          <w:sz w:val="22"/>
        </w:rPr>
      </w:pPr>
      <w:hyperlink w:anchor="_Toc244667867" w:history="1">
        <w:r w:rsidR="00CF385E">
          <w:rPr>
            <w:rStyle w:val="Hyperlink"/>
            <w:rFonts w:ascii="Humnst777 Lt BT" w:hAnsi="Humnst777 Lt BT"/>
            <w:sz w:val="22"/>
            <w:szCs w:val="20"/>
          </w:rPr>
          <w:t>2. Guidance for ‘Identifiable’ spending</w:t>
        </w:r>
      </w:hyperlink>
    </w:p>
    <w:p w:rsidR="00CF385E" w:rsidRDefault="001F5B4E">
      <w:pPr>
        <w:pStyle w:val="TOC2"/>
        <w:tabs>
          <w:tab w:val="right" w:leader="dot" w:pos="8630"/>
        </w:tabs>
        <w:spacing w:line="360" w:lineRule="auto"/>
        <w:rPr>
          <w:rFonts w:ascii="Humnst777 Lt BT" w:hAnsi="Humnst777 Lt BT"/>
          <w:sz w:val="22"/>
        </w:rPr>
      </w:pPr>
      <w:hyperlink w:anchor="_Toc244667868" w:history="1">
        <w:r w:rsidR="00CF385E">
          <w:rPr>
            <w:rStyle w:val="Hyperlink"/>
            <w:rFonts w:ascii="Humnst777 Lt BT" w:hAnsi="Humnst777 Lt BT"/>
            <w:sz w:val="22"/>
            <w:szCs w:val="20"/>
          </w:rPr>
          <w:t>2.1 Basis of spending data in the CRA forms</w:t>
        </w:r>
      </w:hyperlink>
    </w:p>
    <w:p w:rsidR="00CF385E" w:rsidRDefault="001F5B4E">
      <w:pPr>
        <w:pStyle w:val="TOC2"/>
        <w:tabs>
          <w:tab w:val="right" w:leader="dot" w:pos="8630"/>
        </w:tabs>
        <w:spacing w:line="360" w:lineRule="auto"/>
        <w:rPr>
          <w:rFonts w:ascii="Humnst777 Lt BT" w:hAnsi="Humnst777 Lt BT"/>
          <w:sz w:val="22"/>
        </w:rPr>
      </w:pPr>
      <w:hyperlink w:anchor="_Toc244667869" w:history="1">
        <w:r w:rsidR="00CF385E">
          <w:rPr>
            <w:rStyle w:val="Hyperlink"/>
            <w:rFonts w:ascii="Humnst777 Lt BT" w:hAnsi="Humnst777 Lt BT"/>
            <w:sz w:val="22"/>
            <w:szCs w:val="20"/>
          </w:rPr>
          <w:t>2.2 Geography of regions</w:t>
        </w:r>
      </w:hyperlink>
    </w:p>
    <w:p w:rsidR="00CF385E" w:rsidRDefault="001F5B4E">
      <w:pPr>
        <w:pStyle w:val="TOC2"/>
        <w:tabs>
          <w:tab w:val="right" w:leader="dot" w:pos="8630"/>
        </w:tabs>
        <w:spacing w:line="360" w:lineRule="auto"/>
        <w:rPr>
          <w:rFonts w:ascii="Humnst777 Lt BT" w:hAnsi="Humnst777 Lt BT"/>
          <w:sz w:val="22"/>
        </w:rPr>
      </w:pPr>
      <w:hyperlink w:anchor="_Toc244667870" w:history="1">
        <w:r w:rsidR="00CF385E">
          <w:rPr>
            <w:rStyle w:val="Hyperlink"/>
            <w:rFonts w:ascii="Humnst777 Lt BT" w:hAnsi="Humnst777 Lt BT"/>
            <w:sz w:val="22"/>
            <w:szCs w:val="20"/>
          </w:rPr>
          <w:t>2.3 Devolution</w:t>
        </w:r>
      </w:hyperlink>
    </w:p>
    <w:p w:rsidR="00CF385E" w:rsidRDefault="001F5B4E">
      <w:pPr>
        <w:pStyle w:val="TOC2"/>
        <w:tabs>
          <w:tab w:val="right" w:leader="dot" w:pos="8630"/>
        </w:tabs>
        <w:spacing w:line="360" w:lineRule="auto"/>
        <w:rPr>
          <w:rFonts w:ascii="Humnst777 Lt BT" w:hAnsi="Humnst777 Lt BT"/>
          <w:sz w:val="22"/>
        </w:rPr>
      </w:pPr>
      <w:hyperlink w:anchor="_Toc244667871" w:history="1">
        <w:r w:rsidR="00CF385E">
          <w:rPr>
            <w:rStyle w:val="Hyperlink"/>
            <w:rFonts w:ascii="Humnst777 Lt BT" w:hAnsi="Humnst777 Lt BT"/>
            <w:sz w:val="22"/>
            <w:szCs w:val="20"/>
          </w:rPr>
          <w:t>2.4 Use of relevant indicators</w:t>
        </w:r>
      </w:hyperlink>
    </w:p>
    <w:p w:rsidR="00CF385E" w:rsidRDefault="001F5B4E">
      <w:pPr>
        <w:pStyle w:val="TOC1"/>
        <w:tabs>
          <w:tab w:val="right" w:leader="dot" w:pos="8630"/>
        </w:tabs>
        <w:spacing w:line="360" w:lineRule="auto"/>
        <w:rPr>
          <w:rFonts w:ascii="Humnst777 Lt BT" w:hAnsi="Humnst777 Lt BT"/>
          <w:b w:val="0"/>
          <w:sz w:val="22"/>
        </w:rPr>
      </w:pPr>
      <w:hyperlink w:anchor="_Toc244667872" w:history="1">
        <w:r w:rsidR="00CF385E">
          <w:rPr>
            <w:rStyle w:val="Hyperlink"/>
            <w:rFonts w:ascii="Humnst777 Lt BT" w:hAnsi="Humnst777 Lt BT"/>
            <w:sz w:val="22"/>
            <w:szCs w:val="20"/>
          </w:rPr>
          <w:t>3. Concepts of spending by region</w:t>
        </w:r>
      </w:hyperlink>
    </w:p>
    <w:p w:rsidR="00CF385E" w:rsidRDefault="001F5B4E">
      <w:pPr>
        <w:pStyle w:val="TOC2"/>
        <w:tabs>
          <w:tab w:val="right" w:leader="dot" w:pos="8630"/>
        </w:tabs>
        <w:spacing w:line="360" w:lineRule="auto"/>
        <w:rPr>
          <w:rFonts w:ascii="Humnst777 Lt BT" w:hAnsi="Humnst777 Lt BT"/>
          <w:sz w:val="22"/>
        </w:rPr>
      </w:pPr>
      <w:hyperlink w:anchor="_Toc244667873" w:history="1">
        <w:r w:rsidR="00CF385E">
          <w:rPr>
            <w:rStyle w:val="Hyperlink"/>
            <w:rFonts w:ascii="Humnst777 Lt BT" w:hAnsi="Humnst777 Lt BT"/>
            <w:sz w:val="22"/>
            <w:szCs w:val="20"/>
          </w:rPr>
          <w:t>3.1 Current transfers</w:t>
        </w:r>
      </w:hyperlink>
    </w:p>
    <w:p w:rsidR="00CF385E" w:rsidRDefault="001F5B4E">
      <w:pPr>
        <w:pStyle w:val="TOC2"/>
        <w:tabs>
          <w:tab w:val="right" w:leader="dot" w:pos="8630"/>
        </w:tabs>
        <w:spacing w:line="360" w:lineRule="auto"/>
        <w:rPr>
          <w:rFonts w:ascii="Humnst777 Lt BT" w:hAnsi="Humnst777 Lt BT"/>
          <w:sz w:val="22"/>
        </w:rPr>
      </w:pPr>
      <w:hyperlink w:anchor="_Toc244667874" w:history="1">
        <w:r w:rsidR="00CF385E">
          <w:rPr>
            <w:rStyle w:val="Hyperlink"/>
            <w:rFonts w:ascii="Humnst777 Lt BT" w:hAnsi="Humnst777 Lt BT"/>
            <w:sz w:val="22"/>
            <w:szCs w:val="20"/>
          </w:rPr>
          <w:t>3.2 Capital grants</w:t>
        </w:r>
      </w:hyperlink>
    </w:p>
    <w:p w:rsidR="00CF385E" w:rsidRDefault="001F5B4E">
      <w:pPr>
        <w:pStyle w:val="TOC2"/>
        <w:tabs>
          <w:tab w:val="right" w:leader="dot" w:pos="8630"/>
        </w:tabs>
        <w:spacing w:line="360" w:lineRule="auto"/>
        <w:rPr>
          <w:rFonts w:ascii="Humnst777 Lt BT" w:hAnsi="Humnst777 Lt BT"/>
          <w:sz w:val="22"/>
        </w:rPr>
      </w:pPr>
      <w:hyperlink w:anchor="_Toc244667875" w:history="1">
        <w:r w:rsidR="00CF385E">
          <w:rPr>
            <w:rStyle w:val="Hyperlink"/>
            <w:rFonts w:ascii="Humnst777 Lt BT" w:hAnsi="Humnst777 Lt BT"/>
            <w:sz w:val="22"/>
            <w:szCs w:val="20"/>
          </w:rPr>
          <w:t>3.3 Services to individuals</w:t>
        </w:r>
      </w:hyperlink>
    </w:p>
    <w:p w:rsidR="00CF385E" w:rsidRDefault="001F5B4E">
      <w:pPr>
        <w:pStyle w:val="TOC2"/>
        <w:tabs>
          <w:tab w:val="right" w:leader="dot" w:pos="8630"/>
        </w:tabs>
        <w:spacing w:line="360" w:lineRule="auto"/>
        <w:rPr>
          <w:rFonts w:ascii="Humnst777 Lt BT" w:hAnsi="Humnst777 Lt BT"/>
          <w:sz w:val="22"/>
        </w:rPr>
      </w:pPr>
      <w:hyperlink w:anchor="_Toc244667876" w:history="1">
        <w:r w:rsidR="00CF385E">
          <w:rPr>
            <w:rStyle w:val="Hyperlink"/>
            <w:rFonts w:ascii="Humnst777 Lt BT" w:hAnsi="Humnst777 Lt BT"/>
            <w:sz w:val="22"/>
            <w:szCs w:val="20"/>
          </w:rPr>
          <w:t>3.4 Collective services</w:t>
        </w:r>
      </w:hyperlink>
    </w:p>
    <w:p w:rsidR="00CF385E" w:rsidRDefault="001F5B4E">
      <w:pPr>
        <w:pStyle w:val="TOC2"/>
        <w:tabs>
          <w:tab w:val="right" w:leader="dot" w:pos="8630"/>
        </w:tabs>
        <w:spacing w:line="360" w:lineRule="auto"/>
        <w:rPr>
          <w:rFonts w:ascii="Humnst777 Lt BT" w:hAnsi="Humnst777 Lt BT"/>
          <w:sz w:val="22"/>
        </w:rPr>
      </w:pPr>
      <w:hyperlink w:anchor="_Toc244667877" w:history="1">
        <w:r w:rsidR="00CF385E">
          <w:rPr>
            <w:rStyle w:val="Hyperlink"/>
            <w:rFonts w:ascii="Humnst777 Lt BT" w:hAnsi="Humnst777 Lt BT"/>
            <w:sz w:val="22"/>
            <w:szCs w:val="20"/>
          </w:rPr>
          <w:t>3.5 Capital expenditure (capital formation)</w:t>
        </w:r>
      </w:hyperlink>
    </w:p>
    <w:p w:rsidR="00CF385E" w:rsidRDefault="001F5B4E">
      <w:pPr>
        <w:spacing w:line="360" w:lineRule="auto"/>
        <w:rPr>
          <w:rFonts w:ascii="Humnst777 Lt BT" w:hAnsi="Humnst777 Lt BT" w:cs="Arial"/>
          <w:sz w:val="22"/>
        </w:rPr>
      </w:pPr>
      <w:r>
        <w:rPr>
          <w:rFonts w:ascii="Humnst777 Lt BT" w:hAnsi="Humnst777 Lt BT" w:cs="Arial"/>
          <w:sz w:val="22"/>
        </w:rPr>
        <w:fldChar w:fldCharType="end"/>
      </w:r>
    </w:p>
    <w:p w:rsidR="00CF385E" w:rsidRDefault="00CF385E" w:rsidP="0028620F">
      <w:pPr>
        <w:pStyle w:val="Heading1"/>
        <w:spacing w:after="120"/>
        <w:rPr>
          <w:rFonts w:ascii="Humnst777 Lt BT" w:hAnsi="Humnst777 Lt BT"/>
          <w:sz w:val="22"/>
        </w:rPr>
      </w:pPr>
      <w:bookmarkStart w:id="2" w:name="_Toc244667863"/>
      <w:r>
        <w:rPr>
          <w:rFonts w:ascii="Humnst777 Lt BT" w:hAnsi="Humnst777 Lt BT"/>
          <w:sz w:val="22"/>
        </w:rPr>
        <w:t>1. Introduction and Background</w:t>
      </w:r>
      <w:bookmarkEnd w:id="2"/>
    </w:p>
    <w:p w:rsidR="008222BA" w:rsidRDefault="00CF385E" w:rsidP="008222BA">
      <w:pPr>
        <w:numPr>
          <w:ilvl w:val="0"/>
          <w:numId w:val="9"/>
        </w:numPr>
        <w:spacing w:line="360" w:lineRule="auto"/>
        <w:jc w:val="both"/>
        <w:rPr>
          <w:rFonts w:ascii="Humnst777 Lt BT" w:hAnsi="Humnst777 Lt BT" w:cs="Arial"/>
          <w:b/>
          <w:bCs/>
          <w:sz w:val="22"/>
        </w:rPr>
      </w:pPr>
      <w:r>
        <w:rPr>
          <w:rFonts w:ascii="Humnst777 Lt BT" w:hAnsi="Humnst777 Lt BT" w:cs="Arial"/>
          <w:sz w:val="22"/>
        </w:rPr>
        <w:t>This note provides guidance for departments, their agencies and other public bodies on how to allocate spending by region for the Country and Regi</w:t>
      </w:r>
      <w:r w:rsidR="002929C2">
        <w:rPr>
          <w:rFonts w:ascii="Humnst777 Lt BT" w:hAnsi="Humnst777 Lt BT" w:cs="Arial"/>
          <w:sz w:val="22"/>
        </w:rPr>
        <w:t xml:space="preserve">onal Analysis (CRA) exercise.  </w:t>
      </w:r>
      <w:r w:rsidR="00D774EC">
        <w:rPr>
          <w:rFonts w:ascii="Humnst777 Lt BT" w:hAnsi="Humnst777 Lt BT" w:cs="Arial"/>
          <w:sz w:val="22"/>
        </w:rPr>
        <w:t xml:space="preserve"> </w:t>
      </w:r>
      <w:r w:rsidR="002929C2">
        <w:rPr>
          <w:rFonts w:ascii="Humnst777 Lt BT" w:hAnsi="Humnst777 Lt BT" w:cs="Arial"/>
          <w:sz w:val="22"/>
        </w:rPr>
        <w:t>This</w:t>
      </w:r>
      <w:r w:rsidR="00D65BD6">
        <w:rPr>
          <w:rFonts w:ascii="Humnst777 Lt BT" w:hAnsi="Humnst777 Lt BT" w:cs="Arial"/>
          <w:sz w:val="22"/>
        </w:rPr>
        <w:t xml:space="preserve"> is the </w:t>
      </w:r>
      <w:r w:rsidR="000C431D">
        <w:rPr>
          <w:rFonts w:ascii="Humnst777 Lt BT" w:hAnsi="Humnst777 Lt BT" w:cs="Arial"/>
          <w:sz w:val="22"/>
        </w:rPr>
        <w:t>third</w:t>
      </w:r>
      <w:r w:rsidR="0028620F">
        <w:rPr>
          <w:rFonts w:ascii="Humnst777 Lt BT" w:hAnsi="Humnst777 Lt BT" w:cs="Arial"/>
          <w:sz w:val="22"/>
        </w:rPr>
        <w:t xml:space="preserve"> </w:t>
      </w:r>
      <w:r w:rsidR="00D65BD6">
        <w:rPr>
          <w:rFonts w:ascii="Humnst777 Lt BT" w:hAnsi="Humnst777 Lt BT" w:cs="Arial"/>
          <w:sz w:val="22"/>
        </w:rPr>
        <w:t>CRA exercise</w:t>
      </w:r>
      <w:r w:rsidR="002929C2">
        <w:rPr>
          <w:rFonts w:ascii="Humnst777 Lt BT" w:hAnsi="Humnst777 Lt BT" w:cs="Arial"/>
          <w:sz w:val="22"/>
        </w:rPr>
        <w:t xml:space="preserve"> </w:t>
      </w:r>
      <w:r w:rsidR="00D65BD6">
        <w:rPr>
          <w:rFonts w:ascii="Humnst777 Lt BT" w:hAnsi="Humnst777 Lt BT" w:cs="Arial"/>
          <w:sz w:val="22"/>
        </w:rPr>
        <w:t xml:space="preserve">to </w:t>
      </w:r>
      <w:r w:rsidR="002929C2">
        <w:rPr>
          <w:rFonts w:ascii="Humnst777 Lt BT" w:hAnsi="Humnst777 Lt BT" w:cs="Arial"/>
          <w:sz w:val="22"/>
        </w:rPr>
        <w:t xml:space="preserve">be </w:t>
      </w:r>
      <w:r w:rsidR="00E820FB">
        <w:rPr>
          <w:rFonts w:ascii="Humnst777 Lt BT" w:hAnsi="Humnst777 Lt BT" w:cs="Arial"/>
          <w:sz w:val="22"/>
        </w:rPr>
        <w:t xml:space="preserve">carried </w:t>
      </w:r>
      <w:r w:rsidR="00E60835">
        <w:rPr>
          <w:rFonts w:ascii="Humnst777 Lt BT" w:hAnsi="Humnst777 Lt BT" w:cs="Arial"/>
          <w:sz w:val="22"/>
        </w:rPr>
        <w:t xml:space="preserve">out </w:t>
      </w:r>
      <w:r w:rsidR="00E820FB">
        <w:rPr>
          <w:rFonts w:ascii="Humnst777 Lt BT" w:hAnsi="Humnst777 Lt BT" w:cs="Arial"/>
          <w:sz w:val="22"/>
        </w:rPr>
        <w:t xml:space="preserve">under </w:t>
      </w:r>
      <w:r w:rsidR="0028620F">
        <w:rPr>
          <w:rFonts w:ascii="Humnst777 Lt BT" w:hAnsi="Humnst777 Lt BT" w:cs="Arial"/>
          <w:sz w:val="22"/>
        </w:rPr>
        <w:t>this</w:t>
      </w:r>
      <w:r w:rsidR="00E820FB">
        <w:rPr>
          <w:rFonts w:ascii="Humnst777 Lt BT" w:hAnsi="Humnst777 Lt BT" w:cs="Arial"/>
          <w:sz w:val="22"/>
        </w:rPr>
        <w:t xml:space="preserve"> timetable</w:t>
      </w:r>
      <w:r w:rsidR="00A21653">
        <w:rPr>
          <w:rFonts w:ascii="Humnst777 Lt BT" w:hAnsi="Humnst777 Lt BT" w:cs="Arial"/>
          <w:sz w:val="22"/>
        </w:rPr>
        <w:t xml:space="preserve">, </w:t>
      </w:r>
      <w:r w:rsidR="00E820FB">
        <w:rPr>
          <w:rFonts w:ascii="Humnst777 Lt BT" w:hAnsi="Humnst777 Lt BT" w:cs="Arial"/>
          <w:sz w:val="22"/>
        </w:rPr>
        <w:t xml:space="preserve">with </w:t>
      </w:r>
      <w:r w:rsidR="00E820FB" w:rsidRPr="00E820FB">
        <w:rPr>
          <w:rFonts w:ascii="Humnst777 Lt BT" w:hAnsi="Humnst777 Lt BT" w:cs="Arial"/>
          <w:sz w:val="22"/>
        </w:rPr>
        <w:t>the data be</w:t>
      </w:r>
      <w:r w:rsidR="00D774EC">
        <w:rPr>
          <w:rFonts w:ascii="Humnst777 Lt BT" w:hAnsi="Humnst777 Lt BT" w:cs="Arial"/>
          <w:sz w:val="22"/>
        </w:rPr>
        <w:t>ing</w:t>
      </w:r>
      <w:r w:rsidR="00E820FB" w:rsidRPr="00E820FB">
        <w:rPr>
          <w:rFonts w:ascii="Humnst777 Lt BT" w:hAnsi="Humnst777 Lt BT" w:cs="Arial"/>
          <w:sz w:val="22"/>
        </w:rPr>
        <w:t xml:space="preserve"> consistent with outturn </w:t>
      </w:r>
      <w:r w:rsidR="00D774EC">
        <w:rPr>
          <w:rFonts w:ascii="Humnst777 Lt BT" w:hAnsi="Humnst777 Lt BT" w:cs="Arial"/>
          <w:sz w:val="22"/>
        </w:rPr>
        <w:t>published in</w:t>
      </w:r>
      <w:r w:rsidR="00E820FB" w:rsidRPr="00E820FB">
        <w:rPr>
          <w:rFonts w:ascii="Humnst777 Lt BT" w:hAnsi="Humnst777 Lt BT" w:cs="Arial"/>
          <w:sz w:val="22"/>
        </w:rPr>
        <w:t xml:space="preserve"> </w:t>
      </w:r>
      <w:r w:rsidR="004A53F7">
        <w:rPr>
          <w:rFonts w:ascii="Humnst777 Lt BT" w:hAnsi="Humnst777 Lt BT" w:cs="Arial"/>
          <w:sz w:val="22"/>
        </w:rPr>
        <w:t>the July 201</w:t>
      </w:r>
      <w:r w:rsidR="000C431D">
        <w:rPr>
          <w:rFonts w:ascii="Humnst777 Lt BT" w:hAnsi="Humnst777 Lt BT" w:cs="Arial"/>
          <w:sz w:val="22"/>
        </w:rPr>
        <w:t>3</w:t>
      </w:r>
      <w:r w:rsidR="004A53F7">
        <w:rPr>
          <w:rFonts w:ascii="Humnst777 Lt BT" w:hAnsi="Humnst777 Lt BT" w:cs="Arial"/>
          <w:sz w:val="22"/>
        </w:rPr>
        <w:t xml:space="preserve"> Public Spending Statistics (PSS) release and </w:t>
      </w:r>
      <w:r w:rsidR="0028620F">
        <w:rPr>
          <w:rFonts w:ascii="Humnst777 Lt BT" w:hAnsi="Humnst777 Lt BT" w:cs="Arial"/>
          <w:sz w:val="22"/>
        </w:rPr>
        <w:t>PESA 201</w:t>
      </w:r>
      <w:r w:rsidR="000C431D">
        <w:rPr>
          <w:rFonts w:ascii="Humnst777 Lt BT" w:hAnsi="Humnst777 Lt BT" w:cs="Arial"/>
          <w:sz w:val="22"/>
        </w:rPr>
        <w:t>3</w:t>
      </w:r>
      <w:r w:rsidR="00E820FB">
        <w:rPr>
          <w:rFonts w:ascii="Humnst777 Lt BT" w:hAnsi="Humnst777 Lt BT" w:cs="Arial"/>
          <w:sz w:val="22"/>
        </w:rPr>
        <w:t xml:space="preserve">. </w:t>
      </w:r>
      <w:r w:rsidR="00D774EC">
        <w:rPr>
          <w:rFonts w:ascii="Humnst777 Lt BT" w:hAnsi="Humnst777 Lt BT" w:cs="Arial"/>
          <w:sz w:val="22"/>
        </w:rPr>
        <w:t xml:space="preserve"> </w:t>
      </w:r>
      <w:r w:rsidR="00E820FB">
        <w:rPr>
          <w:rFonts w:ascii="Humnst777 Lt BT" w:hAnsi="Humnst777 Lt BT" w:cs="Arial"/>
          <w:sz w:val="22"/>
        </w:rPr>
        <w:t>W</w:t>
      </w:r>
      <w:r>
        <w:rPr>
          <w:rFonts w:ascii="Humnst777 Lt BT" w:hAnsi="Humnst777 Lt BT" w:cs="Arial"/>
          <w:sz w:val="22"/>
        </w:rPr>
        <w:t xml:space="preserve">e expect </w:t>
      </w:r>
      <w:r w:rsidR="002704F3">
        <w:rPr>
          <w:rFonts w:ascii="Humnst777 Lt BT" w:hAnsi="Humnst777 Lt BT" w:cs="Arial"/>
          <w:sz w:val="22"/>
        </w:rPr>
        <w:t xml:space="preserve">data to be available on the OSCAR CRA application in the week beginning </w:t>
      </w:r>
      <w:r w:rsidR="000C431D">
        <w:rPr>
          <w:rFonts w:ascii="Humnst777 Lt BT" w:hAnsi="Humnst777 Lt BT" w:cs="Arial"/>
          <w:b/>
          <w:bCs/>
          <w:sz w:val="22"/>
        </w:rPr>
        <w:t>5th</w:t>
      </w:r>
      <w:r>
        <w:rPr>
          <w:rFonts w:ascii="Humnst777 Lt BT" w:hAnsi="Humnst777 Lt BT" w:cs="Arial"/>
          <w:b/>
          <w:bCs/>
          <w:sz w:val="22"/>
        </w:rPr>
        <w:t xml:space="preserve"> </w:t>
      </w:r>
      <w:r w:rsidR="0028620F">
        <w:rPr>
          <w:rFonts w:ascii="Humnst777 Lt BT" w:hAnsi="Humnst777 Lt BT" w:cs="Arial"/>
          <w:b/>
          <w:bCs/>
          <w:sz w:val="22"/>
        </w:rPr>
        <w:t>August</w:t>
      </w:r>
      <w:r>
        <w:rPr>
          <w:rFonts w:ascii="Humnst777 Lt BT" w:hAnsi="Humnst777 Lt BT" w:cs="Arial"/>
          <w:b/>
          <w:bCs/>
          <w:sz w:val="22"/>
        </w:rPr>
        <w:t xml:space="preserve"> 201</w:t>
      </w:r>
      <w:r w:rsidR="000C431D">
        <w:rPr>
          <w:rFonts w:ascii="Humnst777 Lt BT" w:hAnsi="Humnst777 Lt BT" w:cs="Arial"/>
          <w:b/>
          <w:bCs/>
          <w:sz w:val="22"/>
        </w:rPr>
        <w:t>3</w:t>
      </w:r>
      <w:r>
        <w:rPr>
          <w:rFonts w:ascii="Humnst777 Lt BT" w:hAnsi="Humnst777 Lt BT" w:cs="Arial"/>
          <w:sz w:val="22"/>
        </w:rPr>
        <w:t xml:space="preserve">. Departments are asked to </w:t>
      </w:r>
      <w:r w:rsidR="002704F3">
        <w:rPr>
          <w:rFonts w:ascii="Humnst777 Lt BT" w:hAnsi="Humnst777 Lt BT" w:cs="Arial"/>
          <w:sz w:val="22"/>
        </w:rPr>
        <w:t xml:space="preserve">submit their data on OSCAR by </w:t>
      </w:r>
      <w:r>
        <w:rPr>
          <w:rFonts w:ascii="Humnst777 Lt BT" w:hAnsi="Humnst777 Lt BT" w:cs="Arial"/>
          <w:sz w:val="22"/>
        </w:rPr>
        <w:t xml:space="preserve"> </w:t>
      </w:r>
      <w:r w:rsidR="00DB25A9">
        <w:rPr>
          <w:rFonts w:ascii="Humnst777 Lt BT" w:hAnsi="Humnst777 Lt BT" w:cs="Arial"/>
          <w:b/>
          <w:bCs/>
          <w:sz w:val="22"/>
        </w:rPr>
        <w:t xml:space="preserve">Friday </w:t>
      </w:r>
      <w:r w:rsidR="0028620F">
        <w:rPr>
          <w:rFonts w:ascii="Humnst777 Lt BT" w:hAnsi="Humnst777 Lt BT" w:cs="Arial"/>
          <w:b/>
          <w:bCs/>
          <w:sz w:val="22"/>
        </w:rPr>
        <w:t>2</w:t>
      </w:r>
      <w:r w:rsidR="000C431D">
        <w:rPr>
          <w:rFonts w:ascii="Humnst777 Lt BT" w:hAnsi="Humnst777 Lt BT" w:cs="Arial"/>
          <w:b/>
          <w:bCs/>
          <w:sz w:val="22"/>
        </w:rPr>
        <w:t>7</w:t>
      </w:r>
      <w:r>
        <w:rPr>
          <w:rFonts w:ascii="Humnst777 Lt BT" w:hAnsi="Humnst777 Lt BT" w:cs="Arial"/>
          <w:b/>
          <w:bCs/>
          <w:sz w:val="22"/>
          <w:vertAlign w:val="superscript"/>
        </w:rPr>
        <w:t>th</w:t>
      </w:r>
      <w:r>
        <w:rPr>
          <w:rFonts w:ascii="Humnst777 Lt BT" w:hAnsi="Humnst777 Lt BT" w:cs="Arial"/>
          <w:b/>
          <w:bCs/>
          <w:sz w:val="22"/>
        </w:rPr>
        <w:t xml:space="preserve"> September 201</w:t>
      </w:r>
      <w:r w:rsidR="000C431D">
        <w:rPr>
          <w:rFonts w:ascii="Humnst777 Lt BT" w:hAnsi="Humnst777 Lt BT" w:cs="Arial"/>
          <w:b/>
          <w:bCs/>
          <w:sz w:val="22"/>
        </w:rPr>
        <w:t>3</w:t>
      </w:r>
      <w:r>
        <w:rPr>
          <w:rFonts w:ascii="Humnst777 Lt BT" w:hAnsi="Humnst777 Lt BT" w:cs="Arial"/>
          <w:b/>
          <w:bCs/>
          <w:sz w:val="22"/>
        </w:rPr>
        <w:t xml:space="preserve">, giving </w:t>
      </w:r>
      <w:r w:rsidR="00DB25A9">
        <w:rPr>
          <w:rFonts w:ascii="Humnst777 Lt BT" w:hAnsi="Humnst777 Lt BT" w:cs="Arial"/>
          <w:b/>
          <w:bCs/>
          <w:sz w:val="22"/>
        </w:rPr>
        <w:t>8</w:t>
      </w:r>
      <w:r>
        <w:rPr>
          <w:rFonts w:ascii="Humnst777 Lt BT" w:hAnsi="Humnst777 Lt BT" w:cs="Arial"/>
          <w:b/>
          <w:bCs/>
          <w:sz w:val="22"/>
        </w:rPr>
        <w:t xml:space="preserve"> weeks to complete this year’s data collection exercise.</w:t>
      </w:r>
      <w:bookmarkStart w:id="3" w:name="_Contacts"/>
      <w:bookmarkEnd w:id="3"/>
    </w:p>
    <w:p w:rsidR="008222BA" w:rsidRPr="008222BA" w:rsidRDefault="008222BA" w:rsidP="008222BA">
      <w:pPr>
        <w:spacing w:line="360" w:lineRule="auto"/>
        <w:jc w:val="both"/>
        <w:rPr>
          <w:rFonts w:ascii="Humnst777 Lt BT" w:hAnsi="Humnst777 Lt BT" w:cs="Arial"/>
          <w:b/>
          <w:sz w:val="22"/>
        </w:rPr>
      </w:pPr>
      <w:r>
        <w:rPr>
          <w:rFonts w:ascii="Humnst777 Lt BT" w:hAnsi="Humnst777 Lt BT" w:cs="Arial"/>
          <w:b/>
          <w:bCs/>
          <w:sz w:val="22"/>
        </w:rPr>
        <w:br w:type="page"/>
      </w:r>
      <w:r w:rsidRPr="008222BA">
        <w:rPr>
          <w:rFonts w:ascii="Humnst777 Lt BT" w:hAnsi="Humnst777 Lt BT"/>
          <w:b/>
          <w:sz w:val="22"/>
        </w:rPr>
        <w:lastRenderedPageBreak/>
        <w:t>1.1 Contacts</w:t>
      </w:r>
    </w:p>
    <w:p w:rsidR="00CF385E" w:rsidRPr="008222BA" w:rsidRDefault="00CF385E" w:rsidP="008222BA">
      <w:pPr>
        <w:numPr>
          <w:ilvl w:val="0"/>
          <w:numId w:val="9"/>
        </w:numPr>
        <w:spacing w:line="360" w:lineRule="auto"/>
        <w:jc w:val="both"/>
        <w:rPr>
          <w:rFonts w:ascii="Humnst777 Lt BT" w:hAnsi="Humnst777 Lt BT" w:cs="Arial"/>
          <w:sz w:val="22"/>
        </w:rPr>
      </w:pPr>
      <w:r w:rsidRPr="008222BA">
        <w:rPr>
          <w:rFonts w:ascii="Humnst777 Lt BT" w:hAnsi="Humnst777 Lt BT" w:cs="Arial"/>
          <w:sz w:val="22"/>
        </w:rPr>
        <w:t>If any department requires any further assistance in completing their CRA return, they are asked to contact the central CRA coordinator in their own department, or contact PESA branch in the Treasury: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5"/>
        <w:gridCol w:w="2133"/>
        <w:gridCol w:w="4348"/>
      </w:tblGrid>
      <w:tr w:rsidR="00CF385E">
        <w:tc>
          <w:tcPr>
            <w:tcW w:w="2952" w:type="dxa"/>
          </w:tcPr>
          <w:p w:rsidR="00CF385E" w:rsidRDefault="00CF385E">
            <w:pPr>
              <w:spacing w:line="360" w:lineRule="auto"/>
              <w:jc w:val="both"/>
              <w:rPr>
                <w:rFonts w:ascii="Humnst777 Lt BT" w:hAnsi="Humnst777 Lt BT" w:cs="Arial"/>
                <w:sz w:val="22"/>
              </w:rPr>
            </w:pPr>
            <w:r>
              <w:rPr>
                <w:rFonts w:ascii="Humnst777 Lt BT" w:hAnsi="Humnst777 Lt BT" w:cs="Arial"/>
                <w:sz w:val="22"/>
              </w:rPr>
              <w:t>Mohammad Huq</w:t>
            </w:r>
          </w:p>
        </w:tc>
        <w:tc>
          <w:tcPr>
            <w:tcW w:w="2952" w:type="dxa"/>
          </w:tcPr>
          <w:p w:rsidR="00CF385E" w:rsidRDefault="00CF385E">
            <w:pPr>
              <w:spacing w:line="360" w:lineRule="auto"/>
              <w:jc w:val="both"/>
              <w:rPr>
                <w:rFonts w:ascii="Humnst777 Lt BT" w:hAnsi="Humnst777 Lt BT" w:cs="Arial"/>
                <w:sz w:val="22"/>
              </w:rPr>
            </w:pPr>
            <w:r>
              <w:rPr>
                <w:rFonts w:ascii="Humnst777 Lt BT" w:hAnsi="Humnst777 Lt BT" w:cs="Arial"/>
                <w:sz w:val="22"/>
              </w:rPr>
              <w:t>0207 270 6170</w:t>
            </w:r>
          </w:p>
        </w:tc>
        <w:tc>
          <w:tcPr>
            <w:tcW w:w="2952" w:type="dxa"/>
          </w:tcPr>
          <w:p w:rsidR="00CF385E" w:rsidRDefault="001F5B4E">
            <w:pPr>
              <w:spacing w:line="360" w:lineRule="auto"/>
              <w:jc w:val="both"/>
              <w:rPr>
                <w:rFonts w:ascii="Humnst777 Lt BT" w:hAnsi="Humnst777 Lt BT" w:cs="Arial"/>
                <w:sz w:val="22"/>
              </w:rPr>
            </w:pPr>
            <w:hyperlink r:id="rId8" w:history="1">
              <w:r w:rsidR="00CF385E">
                <w:rPr>
                  <w:rStyle w:val="Hyperlink"/>
                  <w:rFonts w:ascii="Humnst777 Lt BT" w:hAnsi="Humnst777 Lt BT" w:cs="Arial"/>
                  <w:sz w:val="22"/>
                </w:rPr>
                <w:t>Mohammad.Huq@hmtreasury.gsi.gov.uk</w:t>
              </w:r>
            </w:hyperlink>
            <w:r w:rsidR="00CF385E">
              <w:rPr>
                <w:rFonts w:ascii="Humnst777 Lt BT" w:hAnsi="Humnst777 Lt BT" w:cs="Arial"/>
                <w:sz w:val="22"/>
              </w:rPr>
              <w:t xml:space="preserve"> </w:t>
            </w:r>
          </w:p>
        </w:tc>
      </w:tr>
      <w:tr w:rsidR="00CF385E">
        <w:tc>
          <w:tcPr>
            <w:tcW w:w="2952" w:type="dxa"/>
          </w:tcPr>
          <w:p w:rsidR="00CF385E" w:rsidRDefault="000C431D" w:rsidP="0028620F">
            <w:pPr>
              <w:spacing w:line="360" w:lineRule="auto"/>
              <w:jc w:val="both"/>
              <w:rPr>
                <w:rFonts w:ascii="Humnst777 Lt BT" w:hAnsi="Humnst777 Lt BT" w:cs="Arial"/>
                <w:sz w:val="22"/>
              </w:rPr>
            </w:pPr>
            <w:r>
              <w:rPr>
                <w:rFonts w:ascii="Humnst777 Lt BT" w:hAnsi="Humnst777 Lt BT" w:cs="Arial"/>
                <w:sz w:val="22"/>
              </w:rPr>
              <w:t>Stephen Melbourne</w:t>
            </w:r>
          </w:p>
        </w:tc>
        <w:tc>
          <w:tcPr>
            <w:tcW w:w="2952" w:type="dxa"/>
          </w:tcPr>
          <w:p w:rsidR="00CF385E" w:rsidRDefault="003E4EDD" w:rsidP="0040219E">
            <w:pPr>
              <w:spacing w:line="360" w:lineRule="auto"/>
              <w:jc w:val="both"/>
              <w:rPr>
                <w:rFonts w:ascii="Humnst777 Lt BT" w:hAnsi="Humnst777 Lt BT" w:cs="Arial"/>
                <w:sz w:val="22"/>
              </w:rPr>
            </w:pPr>
            <w:r>
              <w:rPr>
                <w:rFonts w:ascii="Humnst777 Lt BT" w:hAnsi="Humnst777 Lt BT" w:cs="Arial"/>
                <w:sz w:val="22"/>
              </w:rPr>
              <w:t xml:space="preserve">0207 270 </w:t>
            </w:r>
            <w:r w:rsidR="0040219E">
              <w:rPr>
                <w:rFonts w:ascii="Humnst777 Lt BT" w:hAnsi="Humnst777 Lt BT" w:cs="Arial"/>
                <w:sz w:val="22"/>
              </w:rPr>
              <w:t>1154</w:t>
            </w:r>
          </w:p>
        </w:tc>
        <w:tc>
          <w:tcPr>
            <w:tcW w:w="2952" w:type="dxa"/>
          </w:tcPr>
          <w:p w:rsidR="000C431D" w:rsidRDefault="001F5B4E" w:rsidP="000C431D">
            <w:pPr>
              <w:spacing w:line="360" w:lineRule="auto"/>
              <w:jc w:val="both"/>
              <w:rPr>
                <w:rFonts w:ascii="Humnst777 Lt BT" w:hAnsi="Humnst777 Lt BT" w:cs="Arial"/>
                <w:sz w:val="22"/>
              </w:rPr>
            </w:pPr>
            <w:hyperlink r:id="rId9" w:history="1">
              <w:r w:rsidR="000C431D" w:rsidRPr="000C431D">
                <w:rPr>
                  <w:rStyle w:val="Hyperlink"/>
                  <w:rFonts w:ascii="Humnst777 Lt BT" w:hAnsi="Humnst777 Lt BT" w:cs="Arial"/>
                  <w:sz w:val="22"/>
                </w:rPr>
                <w:t>Stephen.Melbourne@hmtreasury.gsi.gov.uk</w:t>
              </w:r>
            </w:hyperlink>
          </w:p>
        </w:tc>
      </w:tr>
    </w:tbl>
    <w:p w:rsidR="00CF385E" w:rsidRDefault="00CF385E">
      <w:pPr>
        <w:spacing w:line="360" w:lineRule="auto"/>
        <w:jc w:val="both"/>
        <w:rPr>
          <w:rFonts w:ascii="Humnst777 Lt BT" w:hAnsi="Humnst777 Lt BT" w:cs="Arial"/>
          <w:sz w:val="22"/>
        </w:rPr>
      </w:pPr>
    </w:p>
    <w:p w:rsidR="00CF385E" w:rsidRDefault="00CF385E" w:rsidP="0028620F">
      <w:pPr>
        <w:pStyle w:val="Heading2"/>
        <w:spacing w:after="120"/>
        <w:rPr>
          <w:rFonts w:ascii="Humnst777 Lt BT" w:hAnsi="Humnst777 Lt BT"/>
          <w:sz w:val="22"/>
        </w:rPr>
      </w:pPr>
      <w:bookmarkStart w:id="4" w:name="_Toc244667865"/>
      <w:r>
        <w:rPr>
          <w:rFonts w:ascii="Humnst777 Lt BT" w:hAnsi="Humnst777 Lt BT"/>
          <w:sz w:val="22"/>
        </w:rPr>
        <w:t>1.2 What we ask you to provide</w:t>
      </w:r>
      <w:bookmarkEnd w:id="4"/>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All UK departments are asked to provide a breakdown of their expenditure on services by country/region, covering the </w:t>
      </w:r>
      <w:r w:rsidR="00C41659">
        <w:rPr>
          <w:rFonts w:ascii="Humnst777 Lt BT" w:hAnsi="Humnst777 Lt BT" w:cs="Arial"/>
          <w:sz w:val="22"/>
        </w:rPr>
        <w:t>five</w:t>
      </w:r>
      <w:r>
        <w:rPr>
          <w:rFonts w:ascii="Humnst777 Lt BT" w:hAnsi="Humnst777 Lt BT" w:cs="Arial"/>
          <w:sz w:val="22"/>
        </w:rPr>
        <w:t xml:space="preserve"> outturn years</w:t>
      </w:r>
      <w:r w:rsidR="00085A8A">
        <w:rPr>
          <w:rFonts w:ascii="Humnst777 Lt BT" w:hAnsi="Humnst777 Lt BT" w:cs="Arial"/>
          <w:sz w:val="22"/>
        </w:rPr>
        <w:t xml:space="preserve"> including </w:t>
      </w:r>
      <w:r>
        <w:rPr>
          <w:rFonts w:ascii="Humnst777 Lt BT" w:hAnsi="Humnst777 Lt BT" w:cs="Arial"/>
          <w:sz w:val="22"/>
        </w:rPr>
        <w:t>financial year</w:t>
      </w:r>
      <w:r w:rsidR="00085A8A">
        <w:rPr>
          <w:rFonts w:ascii="Humnst777 Lt BT" w:hAnsi="Humnst777 Lt BT" w:cs="Arial"/>
          <w:sz w:val="22"/>
        </w:rPr>
        <w:t xml:space="preserve"> 201</w:t>
      </w:r>
      <w:r w:rsidR="000C431D">
        <w:rPr>
          <w:rFonts w:ascii="Humnst777 Lt BT" w:hAnsi="Humnst777 Lt BT" w:cs="Arial"/>
          <w:sz w:val="22"/>
        </w:rPr>
        <w:t>2</w:t>
      </w:r>
      <w:r w:rsidR="00085A8A">
        <w:rPr>
          <w:rFonts w:ascii="Humnst777 Lt BT" w:hAnsi="Humnst777 Lt BT" w:cs="Arial"/>
          <w:sz w:val="22"/>
        </w:rPr>
        <w:t>-1</w:t>
      </w:r>
      <w:r w:rsidR="000C431D">
        <w:rPr>
          <w:rFonts w:ascii="Humnst777 Lt BT" w:hAnsi="Humnst777 Lt BT" w:cs="Arial"/>
          <w:sz w:val="22"/>
        </w:rPr>
        <w:t>3</w:t>
      </w:r>
      <w:r>
        <w:rPr>
          <w:rFonts w:ascii="Humnst777 Lt BT" w:hAnsi="Humnst777 Lt BT" w:cs="Arial"/>
          <w:sz w:val="22"/>
        </w:rPr>
        <w:t>.  These data are combined with (a) estimates of local authority spending by region from CLG and the devolved administrations, (b) data on spending by the devolved administrations and other departments with a single territory jurisdiction, to provide a full analysis of identifiable spending by country and region for UK public expenditure.  How we use the data is outlined in Annex A.</w:t>
      </w:r>
    </w:p>
    <w:p w:rsidR="00CF385E" w:rsidRDefault="004A53F7"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In recent </w:t>
      </w:r>
      <w:r w:rsidR="003E4EDD">
        <w:rPr>
          <w:rFonts w:ascii="Humnst777 Lt BT" w:hAnsi="Humnst777 Lt BT" w:cs="Arial"/>
          <w:sz w:val="22"/>
        </w:rPr>
        <w:t>CRA exercise</w:t>
      </w:r>
      <w:r>
        <w:rPr>
          <w:rFonts w:ascii="Humnst777 Lt BT" w:hAnsi="Humnst777 Lt BT" w:cs="Arial"/>
          <w:sz w:val="22"/>
        </w:rPr>
        <w:t>s</w:t>
      </w:r>
      <w:r w:rsidR="003E4EDD">
        <w:rPr>
          <w:rFonts w:ascii="Humnst777 Lt BT" w:hAnsi="Humnst777 Lt BT" w:cs="Arial"/>
          <w:sz w:val="22"/>
        </w:rPr>
        <w:t xml:space="preserve"> </w:t>
      </w:r>
      <w:r w:rsidR="002929C2">
        <w:rPr>
          <w:rFonts w:ascii="Humnst777 Lt BT" w:hAnsi="Humnst777 Lt BT" w:cs="Arial"/>
          <w:sz w:val="22"/>
        </w:rPr>
        <w:t>w</w:t>
      </w:r>
      <w:r w:rsidR="00CF385E">
        <w:rPr>
          <w:rFonts w:ascii="Humnst777 Lt BT" w:hAnsi="Humnst777 Lt BT" w:cs="Arial"/>
          <w:sz w:val="22"/>
        </w:rPr>
        <w:t>e introduced some significant changes to th</w:t>
      </w:r>
      <w:r w:rsidR="002929C2">
        <w:rPr>
          <w:rFonts w:ascii="Humnst777 Lt BT" w:hAnsi="Humnst777 Lt BT" w:cs="Arial"/>
          <w:sz w:val="22"/>
        </w:rPr>
        <w:t>e</w:t>
      </w:r>
      <w:r w:rsidR="00CF385E">
        <w:rPr>
          <w:rFonts w:ascii="Humnst777 Lt BT" w:hAnsi="Humnst777 Lt BT" w:cs="Arial"/>
          <w:sz w:val="22"/>
        </w:rPr>
        <w:t xml:space="preserve"> data re</w:t>
      </w:r>
      <w:r w:rsidR="00085A8A">
        <w:rPr>
          <w:rFonts w:ascii="Humnst777 Lt BT" w:hAnsi="Humnst777 Lt BT" w:cs="Arial"/>
          <w:sz w:val="22"/>
        </w:rPr>
        <w:t xml:space="preserve">quest </w:t>
      </w:r>
      <w:r>
        <w:rPr>
          <w:rFonts w:ascii="Humnst777 Lt BT" w:hAnsi="Humnst777 Lt BT" w:cs="Arial"/>
          <w:sz w:val="22"/>
        </w:rPr>
        <w:t xml:space="preserve">in order to </w:t>
      </w:r>
      <w:r w:rsidR="00CF385E">
        <w:rPr>
          <w:rFonts w:ascii="Humnst777 Lt BT" w:hAnsi="Humnst777 Lt BT" w:cs="Arial"/>
          <w:sz w:val="22"/>
        </w:rPr>
        <w:t>substantially reduce the reporting burden for participating departments.</w:t>
      </w:r>
      <w:r w:rsidR="00382EF5">
        <w:rPr>
          <w:rFonts w:ascii="Humnst777 Lt BT" w:hAnsi="Humnst777 Lt BT" w:cs="Arial"/>
          <w:sz w:val="22"/>
        </w:rPr>
        <w:t xml:space="preserve"> We will be </w:t>
      </w:r>
      <w:r w:rsidR="008F35F1">
        <w:rPr>
          <w:rFonts w:ascii="Humnst777 Lt BT" w:hAnsi="Humnst777 Lt BT" w:cs="Arial"/>
          <w:sz w:val="22"/>
        </w:rPr>
        <w:t>continuing with these measures for the upcoming exercise.</w:t>
      </w:r>
    </w:p>
    <w:p w:rsidR="00EF2129" w:rsidRDefault="00085A8A"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These measures</w:t>
      </w:r>
      <w:r w:rsidR="008F35F1">
        <w:rPr>
          <w:rFonts w:ascii="Humnst777 Lt BT" w:hAnsi="Humnst777 Lt BT" w:cs="Arial"/>
          <w:sz w:val="22"/>
        </w:rPr>
        <w:t xml:space="preserve"> </w:t>
      </w:r>
      <w:r w:rsidR="00D774EC">
        <w:rPr>
          <w:rFonts w:ascii="Humnst777 Lt BT" w:hAnsi="Humnst777 Lt BT" w:cs="Arial"/>
          <w:sz w:val="22"/>
        </w:rPr>
        <w:t>include</w:t>
      </w:r>
      <w:r>
        <w:rPr>
          <w:rFonts w:ascii="Humnst777 Lt BT" w:hAnsi="Humnst777 Lt BT" w:cs="Arial"/>
          <w:sz w:val="22"/>
        </w:rPr>
        <w:t>d</w:t>
      </w:r>
      <w:r w:rsidR="00EF2129">
        <w:rPr>
          <w:rFonts w:ascii="Humnst777 Lt BT" w:hAnsi="Humnst777 Lt BT" w:cs="Arial"/>
          <w:sz w:val="22"/>
        </w:rPr>
        <w:t>:</w:t>
      </w:r>
    </w:p>
    <w:p w:rsidR="00CF385E" w:rsidRDefault="00EF2129" w:rsidP="00EF2129">
      <w:pPr>
        <w:spacing w:after="120" w:line="360" w:lineRule="auto"/>
        <w:jc w:val="both"/>
        <w:rPr>
          <w:rFonts w:ascii="Humnst777 Lt BT" w:hAnsi="Humnst777 Lt BT" w:cs="Arial"/>
          <w:sz w:val="22"/>
        </w:rPr>
      </w:pPr>
      <w:r>
        <w:rPr>
          <w:rFonts w:ascii="Humnst777 Lt BT" w:hAnsi="Humnst777 Lt BT" w:cs="Arial"/>
          <w:sz w:val="22"/>
          <w:u w:val="single"/>
        </w:rPr>
        <w:t>R</w:t>
      </w:r>
      <w:r w:rsidR="00CF385E" w:rsidRPr="00EF2129">
        <w:rPr>
          <w:rFonts w:ascii="Humnst777 Lt BT" w:hAnsi="Humnst777 Lt BT" w:cs="Arial"/>
          <w:sz w:val="22"/>
          <w:u w:val="single"/>
        </w:rPr>
        <w:t>educ</w:t>
      </w:r>
      <w:r w:rsidR="00D774EC" w:rsidRPr="00EF2129">
        <w:rPr>
          <w:rFonts w:ascii="Humnst777 Lt BT" w:hAnsi="Humnst777 Lt BT" w:cs="Arial"/>
          <w:sz w:val="22"/>
          <w:u w:val="single"/>
        </w:rPr>
        <w:t>ing</w:t>
      </w:r>
      <w:r w:rsidR="00CF385E" w:rsidRPr="00EF2129">
        <w:rPr>
          <w:rFonts w:ascii="Humnst777 Lt BT" w:hAnsi="Humnst777 Lt BT" w:cs="Arial"/>
          <w:sz w:val="22"/>
          <w:u w:val="single"/>
        </w:rPr>
        <w:t xml:space="preserve"> the number of </w:t>
      </w:r>
      <w:r w:rsidR="00F152AC">
        <w:rPr>
          <w:rFonts w:ascii="Humnst777 Lt BT" w:hAnsi="Humnst777 Lt BT" w:cs="Arial"/>
          <w:sz w:val="22"/>
          <w:u w:val="single"/>
        </w:rPr>
        <w:t xml:space="preserve">CRA </w:t>
      </w:r>
      <w:r w:rsidR="000C431D">
        <w:rPr>
          <w:rFonts w:ascii="Humnst777 Lt BT" w:hAnsi="Humnst777 Lt BT" w:cs="Arial"/>
          <w:sz w:val="22"/>
          <w:u w:val="single"/>
        </w:rPr>
        <w:t>Segments</w:t>
      </w:r>
      <w:r>
        <w:rPr>
          <w:rFonts w:ascii="Humnst777 Lt BT" w:hAnsi="Humnst777 Lt BT" w:cs="Arial"/>
          <w:sz w:val="22"/>
        </w:rPr>
        <w:t xml:space="preserve">. We will ensure that </w:t>
      </w:r>
      <w:r w:rsidR="00085A8A">
        <w:rPr>
          <w:rFonts w:ascii="Humnst777 Lt BT" w:hAnsi="Humnst777 Lt BT" w:cs="Arial"/>
          <w:sz w:val="22"/>
        </w:rPr>
        <w:t xml:space="preserve">the CRA form </w:t>
      </w:r>
      <w:r w:rsidR="00CF385E">
        <w:rPr>
          <w:rFonts w:ascii="Humnst777 Lt BT" w:hAnsi="Humnst777 Lt BT" w:cs="Arial"/>
          <w:sz w:val="22"/>
        </w:rPr>
        <w:t>cover</w:t>
      </w:r>
      <w:r w:rsidR="00085A8A">
        <w:rPr>
          <w:rFonts w:ascii="Humnst777 Lt BT" w:hAnsi="Humnst777 Lt BT" w:cs="Arial"/>
          <w:sz w:val="22"/>
        </w:rPr>
        <w:t>s</w:t>
      </w:r>
      <w:r w:rsidR="00CF385E">
        <w:rPr>
          <w:rFonts w:ascii="Humnst777 Lt BT" w:hAnsi="Humnst777 Lt BT" w:cs="Arial"/>
          <w:sz w:val="22"/>
        </w:rPr>
        <w:t xml:space="preserve"> </w:t>
      </w:r>
      <w:r w:rsidR="0028620F">
        <w:rPr>
          <w:rFonts w:ascii="Humnst777 Lt BT" w:hAnsi="Humnst777 Lt BT" w:cs="Arial"/>
          <w:sz w:val="22"/>
        </w:rPr>
        <w:t xml:space="preserve">at least </w:t>
      </w:r>
      <w:r w:rsidR="00CF385E">
        <w:rPr>
          <w:rFonts w:ascii="Humnst777 Lt BT" w:hAnsi="Humnst777 Lt BT" w:cs="Arial"/>
          <w:sz w:val="22"/>
        </w:rPr>
        <w:t>95% of departments’ identifiable spending</w:t>
      </w:r>
      <w:r>
        <w:rPr>
          <w:rFonts w:ascii="Humnst777 Lt BT" w:hAnsi="Humnst777 Lt BT" w:cs="Arial"/>
          <w:sz w:val="22"/>
        </w:rPr>
        <w:t xml:space="preserve">, while removing a large number of </w:t>
      </w:r>
      <w:r w:rsidR="00F152AC">
        <w:rPr>
          <w:rFonts w:ascii="Humnst777 Lt BT" w:hAnsi="Humnst777 Lt BT" w:cs="Arial"/>
          <w:sz w:val="22"/>
        </w:rPr>
        <w:t xml:space="preserve">CRA </w:t>
      </w:r>
      <w:r w:rsidR="000C431D">
        <w:rPr>
          <w:rFonts w:ascii="Humnst777 Lt BT" w:hAnsi="Humnst777 Lt BT" w:cs="Arial"/>
          <w:sz w:val="22"/>
        </w:rPr>
        <w:t>Segments</w:t>
      </w:r>
      <w:r>
        <w:rPr>
          <w:rFonts w:ascii="Humnst777 Lt BT" w:hAnsi="Humnst777 Lt BT" w:cs="Arial"/>
          <w:sz w:val="22"/>
        </w:rPr>
        <w:t xml:space="preserve"> with very small amounts of spend from the exercise</w:t>
      </w:r>
      <w:r w:rsidR="00D774EC">
        <w:rPr>
          <w:rFonts w:ascii="Humnst777 Lt BT" w:hAnsi="Humnst777 Lt BT" w:cs="Arial"/>
          <w:sz w:val="22"/>
        </w:rPr>
        <w:t>.</w:t>
      </w:r>
      <w:r w:rsidR="00CF385E">
        <w:rPr>
          <w:rFonts w:ascii="Humnst777 Lt BT" w:hAnsi="Humnst777 Lt BT" w:cs="Arial"/>
          <w:sz w:val="22"/>
        </w:rPr>
        <w:t xml:space="preserve"> </w:t>
      </w:r>
      <w:r w:rsidR="00F14DA3">
        <w:rPr>
          <w:rFonts w:ascii="Humnst777 Lt BT" w:hAnsi="Humnst777 Lt BT" w:cs="Arial"/>
          <w:sz w:val="22"/>
        </w:rPr>
        <w:t>W</w:t>
      </w:r>
      <w:r w:rsidR="00CF385E">
        <w:rPr>
          <w:rFonts w:ascii="Humnst777 Lt BT" w:hAnsi="Humnst777 Lt BT" w:cs="Arial"/>
          <w:sz w:val="22"/>
        </w:rPr>
        <w:t xml:space="preserve">e </w:t>
      </w:r>
      <w:r w:rsidR="008F35F1">
        <w:rPr>
          <w:rFonts w:ascii="Humnst777 Lt BT" w:hAnsi="Humnst777 Lt BT" w:cs="Arial"/>
          <w:sz w:val="22"/>
        </w:rPr>
        <w:t xml:space="preserve">will </w:t>
      </w:r>
      <w:r w:rsidR="00F14DA3">
        <w:rPr>
          <w:rFonts w:ascii="Humnst777 Lt BT" w:hAnsi="Humnst777 Lt BT" w:cs="Arial"/>
          <w:sz w:val="22"/>
        </w:rPr>
        <w:t xml:space="preserve">also </w:t>
      </w:r>
      <w:r w:rsidR="00CF385E">
        <w:rPr>
          <w:rFonts w:ascii="Humnst777 Lt BT" w:hAnsi="Humnst777 Lt BT" w:cs="Arial"/>
          <w:sz w:val="22"/>
        </w:rPr>
        <w:t xml:space="preserve">remove the majority of </w:t>
      </w:r>
      <w:r w:rsidR="00F152AC">
        <w:rPr>
          <w:rFonts w:ascii="Humnst777 Lt BT" w:hAnsi="Humnst777 Lt BT" w:cs="Arial"/>
          <w:sz w:val="22"/>
        </w:rPr>
        <w:t xml:space="preserve">CRA </w:t>
      </w:r>
      <w:r w:rsidR="000C431D">
        <w:rPr>
          <w:rFonts w:ascii="Humnst777 Lt BT" w:hAnsi="Humnst777 Lt BT" w:cs="Arial"/>
          <w:sz w:val="22"/>
        </w:rPr>
        <w:t>Segments</w:t>
      </w:r>
      <w:r w:rsidR="00CF385E">
        <w:rPr>
          <w:rFonts w:ascii="Humnst777 Lt BT" w:hAnsi="Humnst777 Lt BT" w:cs="Arial"/>
          <w:sz w:val="22"/>
        </w:rPr>
        <w:t xml:space="preserve"> against which less than £</w:t>
      </w:r>
      <w:r w:rsidR="0020430C">
        <w:rPr>
          <w:rFonts w:ascii="Humnst777 Lt BT" w:hAnsi="Humnst777 Lt BT" w:cs="Arial"/>
          <w:sz w:val="22"/>
        </w:rPr>
        <w:t>83.3</w:t>
      </w:r>
      <w:r w:rsidR="00CF385E">
        <w:rPr>
          <w:rFonts w:ascii="Humnst777 Lt BT" w:hAnsi="Humnst777 Lt BT" w:cs="Arial"/>
          <w:sz w:val="22"/>
        </w:rPr>
        <w:t xml:space="preserve">m aggregate expenditure </w:t>
      </w:r>
      <w:r>
        <w:rPr>
          <w:rFonts w:ascii="Humnst777 Lt BT" w:hAnsi="Humnst777 Lt BT" w:cs="Arial"/>
          <w:sz w:val="22"/>
        </w:rPr>
        <w:t xml:space="preserve">has been </w:t>
      </w:r>
      <w:r w:rsidR="00CF385E">
        <w:rPr>
          <w:rFonts w:ascii="Humnst777 Lt BT" w:hAnsi="Humnst777 Lt BT" w:cs="Arial"/>
          <w:sz w:val="22"/>
        </w:rPr>
        <w:t>reported between 200</w:t>
      </w:r>
      <w:r w:rsidR="00F152AC">
        <w:rPr>
          <w:rFonts w:ascii="Humnst777 Lt BT" w:hAnsi="Humnst777 Lt BT" w:cs="Arial"/>
          <w:sz w:val="22"/>
        </w:rPr>
        <w:t>8</w:t>
      </w:r>
      <w:r w:rsidR="00CF385E">
        <w:rPr>
          <w:rFonts w:ascii="Humnst777 Lt BT" w:hAnsi="Humnst777 Lt BT" w:cs="Arial"/>
          <w:sz w:val="22"/>
        </w:rPr>
        <w:t>-</w:t>
      </w:r>
      <w:r w:rsidR="00F152AC">
        <w:rPr>
          <w:rFonts w:ascii="Humnst777 Lt BT" w:hAnsi="Humnst777 Lt BT" w:cs="Arial"/>
          <w:sz w:val="22"/>
        </w:rPr>
        <w:t>9</w:t>
      </w:r>
      <w:r w:rsidR="00CF385E">
        <w:rPr>
          <w:rFonts w:ascii="Humnst777 Lt BT" w:hAnsi="Humnst777 Lt BT" w:cs="Arial"/>
          <w:sz w:val="22"/>
        </w:rPr>
        <w:t xml:space="preserve"> and 201</w:t>
      </w:r>
      <w:r w:rsidR="00F152AC">
        <w:rPr>
          <w:rFonts w:ascii="Humnst777 Lt BT" w:hAnsi="Humnst777 Lt BT" w:cs="Arial"/>
          <w:sz w:val="22"/>
        </w:rPr>
        <w:t>2</w:t>
      </w:r>
      <w:r w:rsidR="00CF385E">
        <w:rPr>
          <w:rFonts w:ascii="Humnst777 Lt BT" w:hAnsi="Humnst777 Lt BT" w:cs="Arial"/>
          <w:sz w:val="22"/>
        </w:rPr>
        <w:t>-1</w:t>
      </w:r>
      <w:r w:rsidR="00F152AC">
        <w:rPr>
          <w:rFonts w:ascii="Humnst777 Lt BT" w:hAnsi="Humnst777 Lt BT" w:cs="Arial"/>
          <w:sz w:val="22"/>
        </w:rPr>
        <w:t>3</w:t>
      </w:r>
      <w:r w:rsidR="00CF385E">
        <w:rPr>
          <w:rFonts w:ascii="Humnst777 Lt BT" w:hAnsi="Humnst777 Lt BT" w:cs="Arial"/>
          <w:sz w:val="22"/>
        </w:rPr>
        <w:t>.</w:t>
      </w:r>
    </w:p>
    <w:p w:rsidR="00CF385E" w:rsidRDefault="00EF2129" w:rsidP="00EF2129">
      <w:pPr>
        <w:spacing w:after="120" w:line="360" w:lineRule="auto"/>
        <w:jc w:val="both"/>
        <w:rPr>
          <w:rFonts w:ascii="Humnst777 Lt BT" w:hAnsi="Humnst777 Lt BT" w:cs="Arial"/>
          <w:sz w:val="22"/>
        </w:rPr>
      </w:pPr>
      <w:r>
        <w:rPr>
          <w:rFonts w:ascii="Humnst777 Lt BT" w:hAnsi="Humnst777 Lt BT" w:cs="Arial"/>
          <w:sz w:val="22"/>
          <w:szCs w:val="20"/>
          <w:u w:val="single"/>
        </w:rPr>
        <w:t>Excluding plans years</w:t>
      </w:r>
      <w:r w:rsidR="00085A8A" w:rsidRPr="00085A8A">
        <w:rPr>
          <w:rFonts w:ascii="Humnst777 Lt BT" w:hAnsi="Humnst777 Lt BT" w:cs="Arial"/>
          <w:sz w:val="22"/>
          <w:szCs w:val="20"/>
          <w:u w:val="single"/>
        </w:rPr>
        <w:t>.</w:t>
      </w:r>
      <w:r w:rsidR="00085A8A" w:rsidRPr="00085A8A">
        <w:rPr>
          <w:rFonts w:ascii="Humnst777 Lt BT" w:hAnsi="Humnst777 Lt BT" w:cs="Arial"/>
          <w:sz w:val="22"/>
          <w:szCs w:val="20"/>
        </w:rPr>
        <w:t xml:space="preserve"> </w:t>
      </w:r>
      <w:r>
        <w:rPr>
          <w:rFonts w:ascii="Humnst777 Lt BT" w:hAnsi="Humnst777 Lt BT" w:cs="Arial"/>
          <w:sz w:val="22"/>
          <w:szCs w:val="20"/>
        </w:rPr>
        <w:t>Thi</w:t>
      </w:r>
      <w:r w:rsidR="00421884">
        <w:rPr>
          <w:rFonts w:ascii="Humnst777 Lt BT" w:hAnsi="Humnst777 Lt BT" w:cs="Arial"/>
          <w:sz w:val="22"/>
          <w:szCs w:val="20"/>
        </w:rPr>
        <w:t>s continu</w:t>
      </w:r>
      <w:r>
        <w:rPr>
          <w:rFonts w:ascii="Humnst777 Lt BT" w:hAnsi="Humnst777 Lt BT" w:cs="Arial"/>
          <w:sz w:val="22"/>
          <w:szCs w:val="20"/>
        </w:rPr>
        <w:t>es</w:t>
      </w:r>
      <w:r w:rsidR="00421884">
        <w:rPr>
          <w:rFonts w:ascii="Humnst777 Lt BT" w:hAnsi="Humnst777 Lt BT" w:cs="Arial"/>
          <w:sz w:val="22"/>
          <w:szCs w:val="20"/>
        </w:rPr>
        <w:t xml:space="preserve"> the practice of the last few CRAs, where it was </w:t>
      </w:r>
      <w:r w:rsidR="00E46681">
        <w:rPr>
          <w:rFonts w:ascii="Humnst777 Lt BT" w:hAnsi="Humnst777 Lt BT" w:cs="Arial"/>
          <w:sz w:val="22"/>
          <w:szCs w:val="20"/>
        </w:rPr>
        <w:t>felt that regional allocations for plans years suffered from</w:t>
      </w:r>
      <w:r w:rsidR="0020430C">
        <w:rPr>
          <w:rFonts w:ascii="Humnst777 Lt BT" w:hAnsi="Humnst777 Lt BT" w:cs="Arial"/>
          <w:sz w:val="22"/>
          <w:szCs w:val="20"/>
        </w:rPr>
        <w:t xml:space="preserve"> very</w:t>
      </w:r>
      <w:r w:rsidR="00E46681">
        <w:rPr>
          <w:rFonts w:ascii="Humnst777 Lt BT" w:hAnsi="Humnst777 Lt BT" w:cs="Arial"/>
          <w:sz w:val="22"/>
          <w:szCs w:val="20"/>
        </w:rPr>
        <w:t xml:space="preserve"> low data quality. </w:t>
      </w:r>
      <w:r w:rsidR="00382EF5" w:rsidRPr="00085A8A">
        <w:rPr>
          <w:rFonts w:ascii="Humnst777 Lt BT" w:hAnsi="Humnst777 Lt BT" w:cs="Arial"/>
          <w:sz w:val="22"/>
          <w:szCs w:val="20"/>
        </w:rPr>
        <w:t>Th</w:t>
      </w:r>
      <w:r w:rsidR="00421884">
        <w:rPr>
          <w:rFonts w:ascii="Humnst777 Lt BT" w:hAnsi="Humnst777 Lt BT" w:cs="Arial"/>
          <w:sz w:val="22"/>
          <w:szCs w:val="20"/>
        </w:rPr>
        <w:t xml:space="preserve">is year’s </w:t>
      </w:r>
      <w:r w:rsidR="00382EF5" w:rsidRPr="00085A8A">
        <w:rPr>
          <w:rFonts w:ascii="Humnst777 Lt BT" w:hAnsi="Humnst777 Lt BT" w:cs="Arial"/>
          <w:sz w:val="22"/>
          <w:szCs w:val="20"/>
        </w:rPr>
        <w:t xml:space="preserve">CRA </w:t>
      </w:r>
      <w:r w:rsidR="00421884">
        <w:rPr>
          <w:rFonts w:ascii="Humnst777 Lt BT" w:hAnsi="Humnst777 Lt BT" w:cs="Arial"/>
          <w:sz w:val="22"/>
          <w:szCs w:val="20"/>
        </w:rPr>
        <w:t>will align to the July 201</w:t>
      </w:r>
      <w:r w:rsidR="00F152AC">
        <w:rPr>
          <w:rFonts w:ascii="Humnst777 Lt BT" w:hAnsi="Humnst777 Lt BT" w:cs="Arial"/>
          <w:sz w:val="22"/>
          <w:szCs w:val="20"/>
        </w:rPr>
        <w:t>3</w:t>
      </w:r>
      <w:r w:rsidR="00421884">
        <w:rPr>
          <w:rFonts w:ascii="Humnst777 Lt BT" w:hAnsi="Humnst777 Lt BT" w:cs="Arial"/>
          <w:sz w:val="22"/>
          <w:szCs w:val="20"/>
        </w:rPr>
        <w:t xml:space="preserve"> </w:t>
      </w:r>
      <w:r w:rsidR="004A53F7">
        <w:rPr>
          <w:rFonts w:ascii="Humnst777 Lt BT" w:hAnsi="Humnst777 Lt BT" w:cs="Arial"/>
          <w:sz w:val="22"/>
          <w:szCs w:val="20"/>
        </w:rPr>
        <w:t>PSS</w:t>
      </w:r>
      <w:r w:rsidR="00421884">
        <w:rPr>
          <w:rFonts w:ascii="Humnst777 Lt BT" w:hAnsi="Humnst777 Lt BT" w:cs="Arial"/>
          <w:sz w:val="22"/>
          <w:szCs w:val="20"/>
        </w:rPr>
        <w:t xml:space="preserve"> outturn release</w:t>
      </w:r>
      <w:r>
        <w:rPr>
          <w:rFonts w:ascii="Humnst777 Lt BT" w:hAnsi="Humnst777 Lt BT" w:cs="Arial"/>
          <w:sz w:val="22"/>
          <w:szCs w:val="20"/>
        </w:rPr>
        <w:t>,</w:t>
      </w:r>
      <w:r w:rsidR="00421884">
        <w:rPr>
          <w:rFonts w:ascii="Humnst777 Lt BT" w:hAnsi="Humnst777 Lt BT" w:cs="Arial"/>
          <w:sz w:val="22"/>
          <w:szCs w:val="20"/>
        </w:rPr>
        <w:t xml:space="preserve"> as well as to out</w:t>
      </w:r>
      <w:r w:rsidR="00F152AC">
        <w:rPr>
          <w:rFonts w:ascii="Humnst777 Lt BT" w:hAnsi="Humnst777 Lt BT" w:cs="Arial"/>
          <w:sz w:val="22"/>
          <w:szCs w:val="20"/>
        </w:rPr>
        <w:t>turn data published in PESA 2013</w:t>
      </w:r>
      <w:r w:rsidR="00CF385E">
        <w:rPr>
          <w:rFonts w:ascii="Humnst777 Lt BT" w:hAnsi="Humnst777 Lt BT" w:cs="Arial"/>
          <w:sz w:val="22"/>
          <w:szCs w:val="20"/>
        </w:rPr>
        <w:t>. Hence, CRA 201</w:t>
      </w:r>
      <w:r w:rsidR="00F152AC">
        <w:rPr>
          <w:rFonts w:ascii="Humnst777 Lt BT" w:hAnsi="Humnst777 Lt BT" w:cs="Arial"/>
          <w:sz w:val="22"/>
          <w:szCs w:val="20"/>
        </w:rPr>
        <w:t>3</w:t>
      </w:r>
      <w:r w:rsidR="00CF385E">
        <w:rPr>
          <w:rFonts w:ascii="Humnst777 Lt BT" w:hAnsi="Humnst777 Lt BT" w:cs="Arial"/>
          <w:sz w:val="22"/>
          <w:szCs w:val="20"/>
        </w:rPr>
        <w:t xml:space="preserve"> will cover </w:t>
      </w:r>
      <w:r w:rsidR="00E60835">
        <w:rPr>
          <w:rFonts w:ascii="Humnst777 Lt BT" w:hAnsi="Humnst777 Lt BT" w:cs="Arial"/>
          <w:sz w:val="22"/>
          <w:szCs w:val="20"/>
        </w:rPr>
        <w:t>outturn periods</w:t>
      </w:r>
      <w:r w:rsidR="00CF385E">
        <w:rPr>
          <w:rFonts w:ascii="Humnst777 Lt BT" w:hAnsi="Humnst777 Lt BT" w:cs="Arial"/>
          <w:sz w:val="22"/>
          <w:szCs w:val="20"/>
        </w:rPr>
        <w:t xml:space="preserve"> 200</w:t>
      </w:r>
      <w:r w:rsidR="00F152AC">
        <w:rPr>
          <w:rFonts w:ascii="Humnst777 Lt BT" w:hAnsi="Humnst777 Lt BT" w:cs="Arial"/>
          <w:sz w:val="22"/>
          <w:szCs w:val="20"/>
        </w:rPr>
        <w:t>8-09</w:t>
      </w:r>
      <w:r w:rsidR="00CF385E">
        <w:rPr>
          <w:rFonts w:ascii="Humnst777 Lt BT" w:hAnsi="Humnst777 Lt BT" w:cs="Arial"/>
          <w:sz w:val="22"/>
          <w:szCs w:val="20"/>
        </w:rPr>
        <w:t xml:space="preserve"> to 201</w:t>
      </w:r>
      <w:r w:rsidR="00F152AC">
        <w:rPr>
          <w:rFonts w:ascii="Humnst777 Lt BT" w:hAnsi="Humnst777 Lt BT" w:cs="Arial"/>
          <w:sz w:val="22"/>
          <w:szCs w:val="20"/>
        </w:rPr>
        <w:t>2</w:t>
      </w:r>
      <w:r w:rsidR="00CF385E">
        <w:rPr>
          <w:rFonts w:ascii="Humnst777 Lt BT" w:hAnsi="Humnst777 Lt BT" w:cs="Arial"/>
          <w:sz w:val="22"/>
          <w:szCs w:val="20"/>
        </w:rPr>
        <w:t>-1</w:t>
      </w:r>
      <w:r w:rsidR="00F152AC">
        <w:rPr>
          <w:rFonts w:ascii="Humnst777 Lt BT" w:hAnsi="Humnst777 Lt BT" w:cs="Arial"/>
          <w:sz w:val="22"/>
          <w:szCs w:val="20"/>
        </w:rPr>
        <w:t>3</w:t>
      </w:r>
      <w:r w:rsidR="0020430C">
        <w:rPr>
          <w:rFonts w:ascii="Humnst777 Lt BT" w:hAnsi="Humnst777 Lt BT" w:cs="Arial"/>
          <w:sz w:val="22"/>
          <w:szCs w:val="20"/>
        </w:rPr>
        <w:t xml:space="preserve"> only</w:t>
      </w:r>
      <w:r w:rsidR="00CF385E">
        <w:rPr>
          <w:rFonts w:ascii="Humnst777 Lt BT" w:hAnsi="Humnst777 Lt BT" w:cs="Arial"/>
          <w:sz w:val="22"/>
          <w:szCs w:val="20"/>
        </w:rPr>
        <w:t>.</w:t>
      </w:r>
    </w:p>
    <w:p w:rsidR="00CF385E" w:rsidRDefault="00CF385E" w:rsidP="00F51E0D">
      <w:pPr>
        <w:pStyle w:val="Heading2"/>
        <w:spacing w:after="120"/>
        <w:rPr>
          <w:rFonts w:ascii="Humnst777 Lt BT" w:hAnsi="Humnst777 Lt BT"/>
          <w:sz w:val="22"/>
        </w:rPr>
      </w:pPr>
      <w:bookmarkStart w:id="5" w:name="_Toc244667866"/>
      <w:r>
        <w:rPr>
          <w:rFonts w:ascii="Humnst777 Lt BT" w:hAnsi="Humnst777 Lt BT"/>
          <w:sz w:val="22"/>
        </w:rPr>
        <w:lastRenderedPageBreak/>
        <w:t>1.3 Departmental Reports</w:t>
      </w:r>
      <w:bookmarkEnd w:id="5"/>
    </w:p>
    <w:p w:rsidR="00CF385E" w:rsidRDefault="00CF385E">
      <w:pPr>
        <w:numPr>
          <w:ilvl w:val="0"/>
          <w:numId w:val="9"/>
        </w:numPr>
        <w:spacing w:line="360" w:lineRule="auto"/>
        <w:jc w:val="both"/>
        <w:rPr>
          <w:rStyle w:val="Strong"/>
          <w:rFonts w:ascii="Humnst777 Lt BT" w:hAnsi="Humnst777 Lt BT" w:cs="Arial"/>
          <w:b w:val="0"/>
          <w:bCs w:val="0"/>
          <w:sz w:val="22"/>
        </w:rPr>
      </w:pPr>
      <w:r>
        <w:rPr>
          <w:rFonts w:ascii="Humnst777 Lt BT" w:hAnsi="Humnst777 Lt BT" w:cs="Arial"/>
          <w:sz w:val="22"/>
        </w:rPr>
        <w:t>For certain departments CRA returns will also be used to produce ‘UK public expenditure by region’ tables for Departmental Reports.  The mandatory</w:t>
      </w:r>
      <w:r w:rsidR="0020430C">
        <w:rPr>
          <w:rFonts w:ascii="Humnst777 Lt BT" w:hAnsi="Humnst777 Lt BT" w:cs="Arial"/>
          <w:sz w:val="22"/>
        </w:rPr>
        <w:t xml:space="preserve"> CRA</w:t>
      </w:r>
      <w:r>
        <w:rPr>
          <w:rFonts w:ascii="Humnst777 Lt BT" w:hAnsi="Humnst777 Lt BT" w:cs="Arial"/>
          <w:sz w:val="22"/>
        </w:rPr>
        <w:t xml:space="preserve"> tables in the spring Departmental Reports will cover the years </w:t>
      </w:r>
      <w:r w:rsidR="00836C71">
        <w:rPr>
          <w:rFonts w:ascii="Humnst777 Lt BT" w:hAnsi="Humnst777 Lt BT" w:cs="Arial"/>
          <w:sz w:val="22"/>
        </w:rPr>
        <w:t>200</w:t>
      </w:r>
      <w:r w:rsidR="00F152AC">
        <w:rPr>
          <w:rFonts w:ascii="Humnst777 Lt BT" w:hAnsi="Humnst777 Lt BT" w:cs="Arial"/>
          <w:sz w:val="22"/>
        </w:rPr>
        <w:t>8</w:t>
      </w:r>
      <w:r w:rsidR="00836C71">
        <w:rPr>
          <w:rFonts w:ascii="Humnst777 Lt BT" w:hAnsi="Humnst777 Lt BT" w:cs="Arial"/>
          <w:sz w:val="22"/>
        </w:rPr>
        <w:t>-0</w:t>
      </w:r>
      <w:r w:rsidR="00F152AC">
        <w:rPr>
          <w:rFonts w:ascii="Humnst777 Lt BT" w:hAnsi="Humnst777 Lt BT" w:cs="Arial"/>
          <w:sz w:val="22"/>
        </w:rPr>
        <w:t>9</w:t>
      </w:r>
      <w:r>
        <w:rPr>
          <w:rFonts w:ascii="Humnst777 Lt BT" w:hAnsi="Humnst777 Lt BT" w:cs="Arial"/>
          <w:sz w:val="22"/>
        </w:rPr>
        <w:t xml:space="preserve"> to 201</w:t>
      </w:r>
      <w:r w:rsidR="00F152AC">
        <w:rPr>
          <w:rFonts w:ascii="Humnst777 Lt BT" w:hAnsi="Humnst777 Lt BT" w:cs="Arial"/>
          <w:sz w:val="22"/>
        </w:rPr>
        <w:t>2</w:t>
      </w:r>
      <w:r>
        <w:rPr>
          <w:rFonts w:ascii="Humnst777 Lt BT" w:hAnsi="Humnst777 Lt BT" w:cs="Arial"/>
          <w:sz w:val="22"/>
        </w:rPr>
        <w:t>-1</w:t>
      </w:r>
      <w:r w:rsidR="00F152AC">
        <w:rPr>
          <w:rFonts w:ascii="Humnst777 Lt BT" w:hAnsi="Humnst777 Lt BT" w:cs="Arial"/>
          <w:sz w:val="22"/>
        </w:rPr>
        <w:t>3</w:t>
      </w:r>
      <w:r>
        <w:rPr>
          <w:rFonts w:ascii="Humnst777 Lt BT" w:hAnsi="Humnst777 Lt BT" w:cs="Arial"/>
          <w:sz w:val="22"/>
        </w:rPr>
        <w:t>.</w:t>
      </w:r>
    </w:p>
    <w:p w:rsidR="00CF385E" w:rsidRDefault="00CF385E">
      <w:pPr>
        <w:spacing w:line="360" w:lineRule="auto"/>
        <w:jc w:val="both"/>
        <w:rPr>
          <w:rFonts w:ascii="Humnst777 Lt BT" w:hAnsi="Humnst777 Lt BT" w:cs="Arial"/>
          <w:sz w:val="22"/>
        </w:rPr>
      </w:pPr>
    </w:p>
    <w:p w:rsidR="00CF385E" w:rsidRDefault="00CF385E" w:rsidP="00F51E0D">
      <w:pPr>
        <w:pStyle w:val="Heading1"/>
        <w:spacing w:after="120" w:line="360" w:lineRule="auto"/>
        <w:rPr>
          <w:rStyle w:val="Strong"/>
          <w:rFonts w:ascii="Humnst777 Lt BT" w:hAnsi="Humnst777 Lt BT"/>
          <w:b/>
          <w:bCs/>
          <w:sz w:val="22"/>
        </w:rPr>
      </w:pPr>
      <w:bookmarkStart w:id="6" w:name="_Toc244667867"/>
      <w:r>
        <w:rPr>
          <w:rStyle w:val="Strong"/>
          <w:rFonts w:ascii="Humnst777 Lt BT" w:hAnsi="Humnst777 Lt BT"/>
          <w:b/>
          <w:bCs/>
          <w:sz w:val="22"/>
        </w:rPr>
        <w:t>2. Guidance for ‘Identifiable’ spending</w:t>
      </w:r>
      <w:bookmarkEnd w:id="6"/>
    </w:p>
    <w:p w:rsidR="00CF385E" w:rsidRDefault="00CF385E">
      <w:pPr>
        <w:numPr>
          <w:ilvl w:val="0"/>
          <w:numId w:val="9"/>
        </w:numPr>
        <w:spacing w:line="360" w:lineRule="auto"/>
        <w:jc w:val="both"/>
        <w:rPr>
          <w:rFonts w:ascii="Humnst777 Lt BT" w:hAnsi="Humnst777 Lt BT" w:cs="Arial"/>
          <w:sz w:val="22"/>
        </w:rPr>
      </w:pPr>
      <w:r>
        <w:rPr>
          <w:rFonts w:ascii="Humnst777 Lt BT" w:hAnsi="Humnst777 Lt BT" w:cs="Arial"/>
          <w:sz w:val="22"/>
        </w:rPr>
        <w:t xml:space="preserve">For each department, the split between their identifiable and non-identifiable spending is set out in </w:t>
      </w:r>
      <w:r w:rsidR="00A95469">
        <w:rPr>
          <w:rFonts w:ascii="Humnst777 Lt BT" w:hAnsi="Humnst777 Lt BT" w:cs="Arial"/>
          <w:sz w:val="22"/>
        </w:rPr>
        <w:t xml:space="preserve">the </w:t>
      </w:r>
      <w:r w:rsidR="002704F3">
        <w:rPr>
          <w:rFonts w:ascii="Humnst777 Lt BT" w:hAnsi="Humnst777 Lt BT" w:cs="Arial"/>
          <w:sz w:val="22"/>
        </w:rPr>
        <w:t>CRA</w:t>
      </w:r>
      <w:r w:rsidR="00A95469">
        <w:rPr>
          <w:rFonts w:ascii="Humnst777 Lt BT" w:hAnsi="Humnst777 Lt BT" w:cs="Arial"/>
          <w:sz w:val="22"/>
        </w:rPr>
        <w:t xml:space="preserve"> app</w:t>
      </w:r>
      <w:r w:rsidR="002704F3">
        <w:rPr>
          <w:rFonts w:ascii="Humnst777 Lt BT" w:hAnsi="Humnst777 Lt BT" w:cs="Arial"/>
          <w:sz w:val="22"/>
        </w:rPr>
        <w:t>lication</w:t>
      </w:r>
      <w:r w:rsidR="00A95469">
        <w:rPr>
          <w:rFonts w:ascii="Humnst777 Lt BT" w:hAnsi="Humnst777 Lt BT" w:cs="Arial"/>
          <w:sz w:val="22"/>
        </w:rPr>
        <w:t xml:space="preserve"> on OSCAR</w:t>
      </w:r>
      <w:r>
        <w:rPr>
          <w:rFonts w:ascii="Humnst777 Lt BT" w:hAnsi="Humnst777 Lt BT" w:cs="Arial"/>
          <w:sz w:val="22"/>
        </w:rPr>
        <w:t xml:space="preserve">.  Some departments only have identifiable spending; some only have </w:t>
      </w:r>
      <w:r w:rsidR="0020430C">
        <w:rPr>
          <w:rFonts w:ascii="Humnst777 Lt BT" w:hAnsi="Humnst777 Lt BT" w:cs="Arial"/>
          <w:sz w:val="22"/>
        </w:rPr>
        <w:t>non-identifiable spending; and most</w:t>
      </w:r>
      <w:r>
        <w:rPr>
          <w:rFonts w:ascii="Humnst777 Lt BT" w:hAnsi="Humnst777 Lt BT" w:cs="Arial"/>
          <w:sz w:val="22"/>
        </w:rPr>
        <w:t xml:space="preserve"> have both.  The split of each department’s spending into identifiable and non-identifiable spending has been determined by the Treasury, following the principles set out in Annex C</w:t>
      </w:r>
      <w:r>
        <w:rPr>
          <w:rFonts w:ascii="Humnst777 Lt BT" w:hAnsi="Humnst777 Lt BT" w:cs="Arial"/>
          <w:color w:val="0000FF"/>
          <w:sz w:val="22"/>
        </w:rPr>
        <w:t xml:space="preserve"> </w:t>
      </w:r>
      <w:r>
        <w:rPr>
          <w:rFonts w:ascii="Humnst777 Lt BT" w:hAnsi="Humnst777 Lt BT" w:cs="Arial"/>
          <w:sz w:val="22"/>
        </w:rPr>
        <w:t>of this</w:t>
      </w:r>
      <w:r>
        <w:rPr>
          <w:rFonts w:ascii="Humnst777 Lt BT" w:hAnsi="Humnst777 Lt BT" w:cs="Arial"/>
          <w:color w:val="0000FF"/>
          <w:sz w:val="22"/>
        </w:rPr>
        <w:t xml:space="preserve"> </w:t>
      </w:r>
      <w:r w:rsidR="00F51E0D">
        <w:rPr>
          <w:rFonts w:ascii="Humnst777 Lt BT" w:hAnsi="Humnst777 Lt BT" w:cs="Arial"/>
          <w:sz w:val="22"/>
        </w:rPr>
        <w:t>guidance</w:t>
      </w:r>
      <w:r w:rsidR="008B7E3C">
        <w:rPr>
          <w:rFonts w:ascii="Humnst777 Lt BT" w:hAnsi="Humnst777 Lt BT" w:cs="Arial"/>
          <w:sz w:val="22"/>
        </w:rPr>
        <w:t xml:space="preserve">.  </w:t>
      </w:r>
      <w:r>
        <w:rPr>
          <w:rFonts w:ascii="Humnst777 Lt BT" w:hAnsi="Humnst777 Lt BT" w:cs="Arial"/>
          <w:sz w:val="22"/>
        </w:rPr>
        <w:t xml:space="preserve">In many cases this has been complemented by discussions with departments about the details of spending in particular </w:t>
      </w:r>
      <w:r w:rsidR="00F152AC">
        <w:rPr>
          <w:rFonts w:ascii="Humnst777 Lt BT" w:hAnsi="Humnst777 Lt BT" w:cs="Arial"/>
          <w:sz w:val="22"/>
        </w:rPr>
        <w:t>CRA</w:t>
      </w:r>
      <w:r w:rsidR="00A95469">
        <w:rPr>
          <w:rFonts w:ascii="Humnst777 Lt BT" w:hAnsi="Humnst777 Lt BT" w:cs="Arial"/>
          <w:sz w:val="22"/>
        </w:rPr>
        <w:t xml:space="preserve"> segments</w:t>
      </w:r>
      <w:r>
        <w:rPr>
          <w:rFonts w:ascii="Humnst777 Lt BT" w:hAnsi="Humnst777 Lt BT" w:cs="Arial"/>
          <w:sz w:val="22"/>
        </w:rPr>
        <w:t xml:space="preserve">.  If any department needs to discuss any further details of the split of their spending then they are asked to contact </w:t>
      </w:r>
      <w:hyperlink w:anchor="_Contacts" w:history="1">
        <w:r>
          <w:rPr>
            <w:rStyle w:val="Hyperlink"/>
            <w:rFonts w:ascii="Humnst777 Lt BT" w:hAnsi="Humnst777 Lt BT" w:cs="Arial"/>
            <w:sz w:val="22"/>
          </w:rPr>
          <w:t>PESA branch</w:t>
        </w:r>
      </w:hyperlink>
      <w:r>
        <w:rPr>
          <w:rFonts w:ascii="Humnst777 Lt BT" w:hAnsi="Humnst777 Lt BT" w:cs="Arial"/>
          <w:sz w:val="22"/>
        </w:rPr>
        <w:t>.</w:t>
      </w:r>
    </w:p>
    <w:p w:rsidR="00CF385E" w:rsidRDefault="00CF385E">
      <w:pPr>
        <w:spacing w:line="360" w:lineRule="auto"/>
        <w:jc w:val="both"/>
        <w:rPr>
          <w:rFonts w:ascii="Humnst777 Lt BT" w:hAnsi="Humnst777 Lt BT" w:cs="Arial"/>
          <w:sz w:val="22"/>
        </w:rPr>
      </w:pPr>
    </w:p>
    <w:p w:rsidR="00CF385E" w:rsidRDefault="00CF385E" w:rsidP="00F51E0D">
      <w:pPr>
        <w:pStyle w:val="Heading2"/>
        <w:spacing w:after="120"/>
        <w:rPr>
          <w:rFonts w:ascii="Humnst777 Lt BT" w:hAnsi="Humnst777 Lt BT"/>
          <w:sz w:val="22"/>
        </w:rPr>
      </w:pPr>
      <w:bookmarkStart w:id="7" w:name="_Toc244667868"/>
      <w:r>
        <w:rPr>
          <w:rFonts w:ascii="Humnst777 Lt BT" w:hAnsi="Humnst777 Lt BT"/>
          <w:sz w:val="22"/>
        </w:rPr>
        <w:t>2.1 Basis of spending data in the CRA forms</w:t>
      </w:r>
      <w:bookmarkEnd w:id="7"/>
    </w:p>
    <w:p w:rsidR="00CF385E" w:rsidRDefault="00CF385E" w:rsidP="004A53F7">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CRA forms will use </w:t>
      </w:r>
      <w:r w:rsidR="00F51E0D">
        <w:rPr>
          <w:rFonts w:ascii="Humnst777 Lt BT" w:hAnsi="Humnst777 Lt BT" w:cs="Arial"/>
          <w:sz w:val="22"/>
        </w:rPr>
        <w:t xml:space="preserve">outturn </w:t>
      </w:r>
      <w:r>
        <w:rPr>
          <w:rFonts w:ascii="Humnst777 Lt BT" w:hAnsi="Humnst777 Lt BT" w:cs="Arial"/>
          <w:sz w:val="22"/>
        </w:rPr>
        <w:t xml:space="preserve">data extracted from the </w:t>
      </w:r>
      <w:r w:rsidR="00A95469">
        <w:rPr>
          <w:rFonts w:ascii="Humnst777 Lt BT" w:hAnsi="Humnst777 Lt BT" w:cs="Arial"/>
          <w:sz w:val="22"/>
        </w:rPr>
        <w:t>OSCAR</w:t>
      </w:r>
      <w:r>
        <w:rPr>
          <w:rFonts w:ascii="Humnst777 Lt BT" w:hAnsi="Humnst777 Lt BT" w:cs="Arial"/>
          <w:sz w:val="22"/>
        </w:rPr>
        <w:t xml:space="preserve"> database</w:t>
      </w:r>
      <w:r>
        <w:rPr>
          <w:rFonts w:ascii="Humnst777 Lt BT" w:hAnsi="Humnst777 Lt BT" w:cs="Arial"/>
          <w:sz w:val="22"/>
          <w:szCs w:val="20"/>
        </w:rPr>
        <w:t xml:space="preserve"> consistent with the </w:t>
      </w:r>
      <w:r w:rsidR="00F51E0D">
        <w:rPr>
          <w:rFonts w:ascii="Humnst777 Lt BT" w:hAnsi="Humnst777 Lt BT" w:cs="Arial"/>
          <w:sz w:val="22"/>
          <w:szCs w:val="20"/>
        </w:rPr>
        <w:t>July 201</w:t>
      </w:r>
      <w:r w:rsidR="00A95469">
        <w:rPr>
          <w:rFonts w:ascii="Humnst777 Lt BT" w:hAnsi="Humnst777 Lt BT" w:cs="Arial"/>
          <w:sz w:val="22"/>
          <w:szCs w:val="20"/>
        </w:rPr>
        <w:t>3</w:t>
      </w:r>
      <w:r w:rsidR="00F51E0D">
        <w:rPr>
          <w:rFonts w:ascii="Humnst777 Lt BT" w:hAnsi="Humnst777 Lt BT" w:cs="Arial"/>
          <w:sz w:val="22"/>
          <w:szCs w:val="20"/>
        </w:rPr>
        <w:t xml:space="preserve"> </w:t>
      </w:r>
      <w:r w:rsidR="004A53F7">
        <w:rPr>
          <w:rFonts w:ascii="Humnst777 Lt BT" w:hAnsi="Humnst777 Lt BT" w:cs="Arial"/>
          <w:sz w:val="22"/>
        </w:rPr>
        <w:t>PSS</w:t>
      </w:r>
      <w:r w:rsidR="00F51E0D">
        <w:rPr>
          <w:rFonts w:ascii="Humnst777 Lt BT" w:hAnsi="Humnst777 Lt BT" w:cs="Arial"/>
          <w:sz w:val="22"/>
          <w:szCs w:val="20"/>
        </w:rPr>
        <w:t xml:space="preserve"> </w:t>
      </w:r>
      <w:r w:rsidR="00F51E0D">
        <w:rPr>
          <w:rFonts w:ascii="Humnst777 Lt BT" w:hAnsi="Humnst777 Lt BT" w:cs="Arial"/>
          <w:sz w:val="22"/>
        </w:rPr>
        <w:t>release</w:t>
      </w:r>
      <w:r w:rsidR="008B7E3C">
        <w:rPr>
          <w:rFonts w:ascii="Humnst777 Lt BT" w:hAnsi="Humnst777 Lt BT" w:cs="Arial"/>
          <w:sz w:val="22"/>
        </w:rPr>
        <w:t xml:space="preserve"> </w:t>
      </w:r>
      <w:r w:rsidR="00F51E0D">
        <w:rPr>
          <w:rFonts w:ascii="Humnst777 Lt BT" w:hAnsi="Humnst777 Lt BT" w:cs="Arial"/>
          <w:sz w:val="22"/>
        </w:rPr>
        <w:t>and PESA 201</w:t>
      </w:r>
      <w:r w:rsidR="00A95469">
        <w:rPr>
          <w:rFonts w:ascii="Humnst777 Lt BT" w:hAnsi="Humnst777 Lt BT" w:cs="Arial"/>
          <w:sz w:val="22"/>
        </w:rPr>
        <w:t>3</w:t>
      </w:r>
      <w:r>
        <w:rPr>
          <w:rFonts w:ascii="Humnst777 Lt BT" w:hAnsi="Humnst777 Lt BT" w:cs="Arial"/>
          <w:sz w:val="22"/>
        </w:rPr>
        <w:t xml:space="preserve">.  </w:t>
      </w:r>
    </w:p>
    <w:p w:rsidR="00CF385E" w:rsidRDefault="00CF385E">
      <w:pPr>
        <w:numPr>
          <w:ilvl w:val="0"/>
          <w:numId w:val="9"/>
        </w:numPr>
        <w:spacing w:line="360" w:lineRule="auto"/>
        <w:jc w:val="both"/>
        <w:rPr>
          <w:rFonts w:ascii="Humnst777 Lt BT" w:hAnsi="Humnst777 Lt BT" w:cs="Arial"/>
          <w:sz w:val="22"/>
        </w:rPr>
      </w:pPr>
      <w:r>
        <w:rPr>
          <w:rFonts w:ascii="Humnst777 Lt BT" w:hAnsi="Humnst777 Lt BT" w:cs="Arial"/>
          <w:sz w:val="22"/>
        </w:rPr>
        <w:t xml:space="preserve">The </w:t>
      </w:r>
      <w:r w:rsidR="00A95469">
        <w:rPr>
          <w:rFonts w:ascii="Humnst777 Lt BT" w:hAnsi="Humnst777 Lt BT" w:cs="Arial"/>
          <w:sz w:val="22"/>
        </w:rPr>
        <w:t>OSCAR</w:t>
      </w:r>
      <w:r>
        <w:rPr>
          <w:rFonts w:ascii="Humnst777 Lt BT" w:hAnsi="Humnst777 Lt BT" w:cs="Arial"/>
          <w:sz w:val="22"/>
        </w:rPr>
        <w:t xml:space="preserve"> data are based on the Treasury’s measure of ‘expenditure on services’, details of which can be found </w:t>
      </w:r>
      <w:hyperlink r:id="rId10" w:history="1">
        <w:r>
          <w:rPr>
            <w:rStyle w:val="Hyperlink"/>
            <w:rFonts w:ascii="Humnst777 Lt BT" w:hAnsi="Humnst777 Lt BT" w:cs="Arial"/>
            <w:sz w:val="22"/>
          </w:rPr>
          <w:t>here</w:t>
        </w:r>
      </w:hyperlink>
      <w:r>
        <w:rPr>
          <w:rFonts w:ascii="Humnst777 Lt BT" w:hAnsi="Humnst777 Lt BT" w:cs="Arial"/>
          <w:sz w:val="22"/>
        </w:rPr>
        <w:t xml:space="preserve"> alongside these Annexes. The key point to note is that expenditure on services is a cash-based measure (so excludes non-cash items) and does not include support paid to local authorities as we use local authorities’ own spending data to produce public sector aggregates.</w:t>
      </w:r>
    </w:p>
    <w:p w:rsidR="00CF385E" w:rsidRDefault="00CF385E">
      <w:pPr>
        <w:spacing w:line="360" w:lineRule="auto"/>
        <w:jc w:val="both"/>
        <w:rPr>
          <w:rFonts w:ascii="Humnst777 Lt BT" w:hAnsi="Humnst777 Lt BT" w:cs="Arial"/>
          <w:sz w:val="22"/>
        </w:rPr>
      </w:pPr>
    </w:p>
    <w:p w:rsidR="00CF385E" w:rsidRDefault="00CF385E" w:rsidP="00F51E0D">
      <w:pPr>
        <w:pStyle w:val="Heading2"/>
        <w:spacing w:after="120"/>
        <w:rPr>
          <w:rFonts w:ascii="Humnst777 Lt BT" w:hAnsi="Humnst777 Lt BT"/>
          <w:sz w:val="22"/>
        </w:rPr>
      </w:pPr>
      <w:bookmarkStart w:id="8" w:name="_Toc244667869"/>
      <w:r>
        <w:rPr>
          <w:rFonts w:ascii="Humnst777 Lt BT" w:hAnsi="Humnst777 Lt BT"/>
          <w:sz w:val="22"/>
        </w:rPr>
        <w:t>2.2 Geography of regions</w:t>
      </w:r>
      <w:bookmarkEnd w:id="8"/>
    </w:p>
    <w:p w:rsidR="00CF385E" w:rsidRDefault="00CF385E" w:rsidP="008222BA">
      <w:pPr>
        <w:pStyle w:val="NormalWeb"/>
        <w:numPr>
          <w:ilvl w:val="0"/>
          <w:numId w:val="9"/>
        </w:numPr>
        <w:spacing w:before="0" w:beforeAutospacing="0" w:after="120" w:afterAutospacing="0" w:line="360" w:lineRule="auto"/>
        <w:jc w:val="both"/>
        <w:rPr>
          <w:rFonts w:ascii="Humnst777 Lt BT" w:hAnsi="Humnst777 Lt BT" w:cs="Arial"/>
          <w:sz w:val="22"/>
        </w:rPr>
      </w:pPr>
      <w:r>
        <w:rPr>
          <w:rFonts w:ascii="Humnst777 Lt BT" w:hAnsi="Humnst777 Lt BT" w:cs="Arial"/>
          <w:sz w:val="22"/>
        </w:rPr>
        <w:t xml:space="preserve">  The regions used for the CRA exercise are the nine Government Office regions for England, plus Scotland, Wales and Northern Ireland.  This corresponds to the top level (NUTS1) in the EU’s Nomenclature of Territorial Units for Statistics.  Details of the coverage of the 12 NUTS1 regions are set out in Annex C.  For the purposes of the CRA exercise, departments will also have the option of allocating spending to a 13</w:t>
      </w:r>
      <w:r>
        <w:rPr>
          <w:rFonts w:ascii="Humnst777 Lt BT" w:hAnsi="Humnst777 Lt BT" w:cs="Arial"/>
          <w:sz w:val="22"/>
          <w:vertAlign w:val="superscript"/>
        </w:rPr>
        <w:t>th</w:t>
      </w:r>
      <w:r>
        <w:rPr>
          <w:rFonts w:ascii="Humnst777 Lt BT" w:hAnsi="Humnst777 Lt BT" w:cs="Arial"/>
          <w:sz w:val="22"/>
        </w:rPr>
        <w:t xml:space="preserve"> region, ‘outside UK’, in cases where the benefits from spending fall abroad (e.g. overseas aid).  The </w:t>
      </w:r>
      <w:r>
        <w:rPr>
          <w:rFonts w:ascii="Humnst777 Lt BT" w:hAnsi="Humnst777 Lt BT" w:cs="Arial"/>
          <w:sz w:val="22"/>
        </w:rPr>
        <w:lastRenderedPageBreak/>
        <w:t>internationally agreed terminology for the 13</w:t>
      </w:r>
      <w:r>
        <w:rPr>
          <w:rFonts w:ascii="Humnst777 Lt BT" w:hAnsi="Humnst777 Lt BT" w:cs="Arial"/>
          <w:sz w:val="22"/>
          <w:vertAlign w:val="superscript"/>
        </w:rPr>
        <w:t>th</w:t>
      </w:r>
      <w:r>
        <w:rPr>
          <w:rFonts w:ascii="Humnst777 Lt BT" w:hAnsi="Humnst777 Lt BT" w:cs="Arial"/>
          <w:sz w:val="22"/>
        </w:rPr>
        <w:t xml:space="preserve"> region is </w:t>
      </w:r>
      <w:r>
        <w:rPr>
          <w:rFonts w:ascii="Humnst777 Lt BT" w:hAnsi="Humnst777 Lt BT" w:cs="Arial"/>
          <w:i/>
          <w:iCs/>
          <w:sz w:val="22"/>
        </w:rPr>
        <w:t>extra-regio</w:t>
      </w:r>
      <w:r>
        <w:rPr>
          <w:rFonts w:ascii="Humnst777 Lt BT" w:hAnsi="Humnst777 Lt BT" w:cs="Arial"/>
          <w:sz w:val="22"/>
        </w:rPr>
        <w:t xml:space="preserve"> and it is set out as such in EU regulation (ESA95 and NUTS).</w:t>
      </w:r>
    </w:p>
    <w:p w:rsidR="00CF385E" w:rsidRDefault="00CF385E">
      <w:pPr>
        <w:pStyle w:val="NormalWeb"/>
        <w:numPr>
          <w:ilvl w:val="0"/>
          <w:numId w:val="9"/>
        </w:numPr>
        <w:spacing w:before="0" w:beforeAutospacing="0" w:after="0" w:afterAutospacing="0" w:line="360" w:lineRule="auto"/>
        <w:jc w:val="both"/>
        <w:rPr>
          <w:rFonts w:ascii="Humnst777 Lt BT" w:hAnsi="Humnst777 Lt BT" w:cs="Arial"/>
          <w:sz w:val="22"/>
        </w:rPr>
      </w:pPr>
      <w:r>
        <w:rPr>
          <w:rFonts w:ascii="Humnst777 Lt BT" w:hAnsi="Humnst777 Lt BT" w:cs="Arial"/>
          <w:sz w:val="22"/>
        </w:rPr>
        <w:t xml:space="preserve">  Where departments or their agencies and NDPBs are organised for administrative purposes around regional boundaries that are different from NUTS1, departments are asked to use appropriate statistical methods to derive estimates of their spending on a NUTS1 basis. </w:t>
      </w:r>
      <w:bookmarkEnd w:id="0"/>
    </w:p>
    <w:p w:rsidR="00CF385E" w:rsidRDefault="00CF385E">
      <w:pPr>
        <w:pStyle w:val="NormalWeb"/>
        <w:spacing w:before="0" w:beforeAutospacing="0" w:after="0" w:afterAutospacing="0" w:line="360" w:lineRule="auto"/>
        <w:jc w:val="both"/>
        <w:rPr>
          <w:rFonts w:ascii="Humnst777 Lt BT" w:hAnsi="Humnst777 Lt BT" w:cs="Arial"/>
          <w:sz w:val="22"/>
        </w:rPr>
      </w:pPr>
    </w:p>
    <w:p w:rsidR="00CF385E" w:rsidRDefault="00CF385E" w:rsidP="00F51E0D">
      <w:pPr>
        <w:pStyle w:val="Heading2"/>
        <w:spacing w:after="120"/>
        <w:rPr>
          <w:rFonts w:ascii="Humnst777 Lt BT" w:hAnsi="Humnst777 Lt BT"/>
          <w:sz w:val="22"/>
        </w:rPr>
      </w:pPr>
      <w:bookmarkStart w:id="9" w:name="_Toc244667870"/>
      <w:r>
        <w:rPr>
          <w:rFonts w:ascii="Humnst777 Lt BT" w:hAnsi="Humnst777 Lt BT"/>
          <w:sz w:val="22"/>
        </w:rPr>
        <w:t>2.3 Devolution</w:t>
      </w:r>
      <w:bookmarkEnd w:id="9"/>
    </w:p>
    <w:p w:rsidR="00CF385E" w:rsidRDefault="00CF385E" w:rsidP="008222BA">
      <w:pPr>
        <w:pStyle w:val="NormalWeb"/>
        <w:numPr>
          <w:ilvl w:val="0"/>
          <w:numId w:val="9"/>
        </w:numPr>
        <w:spacing w:before="0" w:beforeAutospacing="0" w:after="120" w:afterAutospacing="0" w:line="360" w:lineRule="auto"/>
        <w:jc w:val="both"/>
        <w:rPr>
          <w:rFonts w:ascii="Humnst777 Lt BT" w:hAnsi="Humnst777 Lt BT" w:cs="Arial"/>
          <w:sz w:val="22"/>
        </w:rPr>
      </w:pPr>
      <w:r>
        <w:rPr>
          <w:rFonts w:ascii="Humnst777 Lt BT" w:hAnsi="Humnst777 Lt BT" w:cs="Arial"/>
          <w:sz w:val="22"/>
        </w:rPr>
        <w:t xml:space="preserve">  The definition of what is devolved and reserved is determined by the devolution legislation and varies between Scotland, Wales and Northern Ireland.</w:t>
      </w:r>
    </w:p>
    <w:p w:rsidR="00CF385E" w:rsidRDefault="00CF385E">
      <w:pPr>
        <w:pStyle w:val="NormalWeb"/>
        <w:numPr>
          <w:ilvl w:val="0"/>
          <w:numId w:val="9"/>
        </w:numPr>
        <w:spacing w:before="0" w:beforeAutospacing="0" w:after="0" w:afterAutospacing="0" w:line="360" w:lineRule="auto"/>
        <w:jc w:val="both"/>
        <w:rPr>
          <w:rFonts w:ascii="Humnst777 Lt BT" w:hAnsi="Humnst777 Lt BT" w:cs="Arial"/>
          <w:sz w:val="22"/>
        </w:rPr>
      </w:pPr>
      <w:r>
        <w:rPr>
          <w:rFonts w:ascii="Humnst777 Lt BT" w:hAnsi="Humnst777 Lt BT" w:cs="Arial"/>
          <w:sz w:val="22"/>
        </w:rPr>
        <w:t xml:space="preserve">  Broadly speaking education, health, DCMS and CLG functions are almost all devolved, much of transport and DEFRA functions are devolved, Home Office and legal functions are generally devolved in Scotland, some BIS functions are devolved, social security is devolved in Northern Ireland.  If in doubt you should consult your policy division or Keith Jarrett in the DCU (Devolved Countries Unit) at the Treasury, on 0207 270 4809, or </w:t>
      </w:r>
      <w:hyperlink r:id="rId11" w:history="1">
        <w:r>
          <w:rPr>
            <w:rStyle w:val="Hyperlink"/>
            <w:rFonts w:ascii="Humnst777 Lt BT" w:hAnsi="Humnst777 Lt BT" w:cs="Arial"/>
            <w:sz w:val="22"/>
          </w:rPr>
          <w:t>Keith.Jarrett@hmtreasury.gsi.gov.uk</w:t>
        </w:r>
      </w:hyperlink>
      <w:r>
        <w:rPr>
          <w:rFonts w:ascii="Humnst777 Lt BT" w:hAnsi="Humnst777 Lt BT" w:cs="Arial"/>
          <w:sz w:val="22"/>
        </w:rPr>
        <w:t xml:space="preserve"> </w:t>
      </w:r>
    </w:p>
    <w:p w:rsidR="00CF385E" w:rsidRDefault="00CF385E">
      <w:pPr>
        <w:pStyle w:val="NormalWeb"/>
        <w:spacing w:before="0" w:beforeAutospacing="0" w:after="0" w:afterAutospacing="0" w:line="360" w:lineRule="auto"/>
        <w:jc w:val="both"/>
        <w:rPr>
          <w:rFonts w:ascii="Humnst777 Lt BT" w:hAnsi="Humnst777 Lt BT" w:cs="Arial"/>
          <w:sz w:val="22"/>
        </w:rPr>
      </w:pPr>
    </w:p>
    <w:p w:rsidR="00CF385E" w:rsidRDefault="00CF385E" w:rsidP="00353FBA">
      <w:pPr>
        <w:pStyle w:val="Heading2"/>
        <w:spacing w:after="120"/>
        <w:rPr>
          <w:rFonts w:ascii="Humnst777 Lt BT" w:hAnsi="Humnst777 Lt BT"/>
          <w:sz w:val="22"/>
        </w:rPr>
      </w:pPr>
      <w:bookmarkStart w:id="10" w:name="_Toc244667871"/>
      <w:r>
        <w:rPr>
          <w:rFonts w:ascii="Humnst777 Lt BT" w:hAnsi="Humnst777 Lt BT"/>
          <w:sz w:val="22"/>
        </w:rPr>
        <w:t>2.4 Use of relevant indicators</w:t>
      </w:r>
      <w:bookmarkEnd w:id="10"/>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This guidance sets out the principles that the Treasury would like departments to follow in allocating their spending data by region. But we fully appreciate that departments may not have actual data that allows them to follow these principles.  In such cases we would ask departments to produce best estimates of approximations of these allocations, for instance based on partial data or relevant indicators that best approximate actual data.  Where departments have to use estimation techniques then we expect them to involve their statisticians, or other specialists who might have an overview of data available to the department, and are able to provide some quality assurance to the estimates, which will be used as National Statistics.  </w:t>
      </w:r>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Departments should provide </w:t>
      </w:r>
      <w:r w:rsidR="00537EAC" w:rsidRPr="00537EAC">
        <w:rPr>
          <w:rFonts w:ascii="Humnst777 Lt BT" w:hAnsi="Humnst777 Lt BT" w:cs="Arial"/>
          <w:sz w:val="22"/>
        </w:rPr>
        <w:t xml:space="preserve">a short &amp; simple description of the method used to allocate spending to regions for each </w:t>
      </w:r>
      <w:r w:rsidR="00A95469">
        <w:rPr>
          <w:rFonts w:ascii="Humnst777 Lt BT" w:hAnsi="Humnst777 Lt BT" w:cs="Arial"/>
          <w:sz w:val="22"/>
        </w:rPr>
        <w:t>CRA Segment</w:t>
      </w:r>
      <w:r w:rsidR="00537EAC" w:rsidRPr="00537EAC">
        <w:rPr>
          <w:rFonts w:ascii="Humnst777 Lt BT" w:hAnsi="Humnst777 Lt BT" w:cs="Arial"/>
          <w:sz w:val="22"/>
        </w:rPr>
        <w:t xml:space="preserve"> </w:t>
      </w:r>
      <w:r w:rsidR="00537EAC">
        <w:rPr>
          <w:rFonts w:ascii="Humnst777 Lt BT" w:hAnsi="Humnst777 Lt BT" w:cs="Arial"/>
          <w:sz w:val="22"/>
        </w:rPr>
        <w:t>in the relevant column in the CRA forms</w:t>
      </w:r>
      <w:r w:rsidR="00537EAC" w:rsidRPr="00537EAC">
        <w:rPr>
          <w:rFonts w:ascii="Humnst777 Lt BT" w:hAnsi="Humnst777 Lt BT" w:cs="Arial"/>
          <w:sz w:val="22"/>
        </w:rPr>
        <w:t xml:space="preserve"> – this can be as simple as “allocated according to ticket sales” or “allocated by proxy – regional population share”.</w:t>
      </w:r>
      <w:r>
        <w:rPr>
          <w:rFonts w:ascii="Humnst777 Lt BT" w:hAnsi="Humnst777 Lt BT" w:cs="Arial"/>
          <w:sz w:val="22"/>
        </w:rPr>
        <w:t xml:space="preserve">  All departments should provide this or other detailed </w:t>
      </w:r>
      <w:r>
        <w:rPr>
          <w:rFonts w:ascii="Humnst777 Lt BT" w:hAnsi="Humnst777 Lt BT" w:cs="Arial"/>
          <w:sz w:val="22"/>
        </w:rPr>
        <w:lastRenderedPageBreak/>
        <w:t xml:space="preserve">documentation so HM Treasury can understand and deal with queries on the data.  It means that HM Treasury has an audit trail for National Statistics and it enables us to comment on data quality in </w:t>
      </w:r>
      <w:r w:rsidR="00C0396B">
        <w:rPr>
          <w:rFonts w:ascii="Humnst777 Lt BT" w:hAnsi="Humnst777 Lt BT" w:cs="Arial"/>
          <w:sz w:val="22"/>
        </w:rPr>
        <w:t>PSS/</w:t>
      </w:r>
      <w:r>
        <w:rPr>
          <w:rFonts w:ascii="Humnst777 Lt BT" w:hAnsi="Humnst777 Lt BT" w:cs="Arial"/>
          <w:sz w:val="22"/>
        </w:rPr>
        <w:t>PESA.  It also helps departments with documentation.</w:t>
      </w:r>
    </w:p>
    <w:p w:rsidR="00CF385E" w:rsidRDefault="00CF385E">
      <w:pPr>
        <w:numPr>
          <w:ilvl w:val="0"/>
          <w:numId w:val="9"/>
        </w:numPr>
        <w:spacing w:line="360" w:lineRule="auto"/>
        <w:jc w:val="both"/>
        <w:rPr>
          <w:rFonts w:ascii="Humnst777 Lt BT" w:hAnsi="Humnst777 Lt BT" w:cs="Arial"/>
          <w:sz w:val="22"/>
        </w:rPr>
      </w:pPr>
      <w:r>
        <w:rPr>
          <w:rFonts w:ascii="Humnst777 Lt BT" w:hAnsi="Humnst777 Lt BT" w:cs="Arial"/>
          <w:sz w:val="22"/>
        </w:rPr>
        <w:t>Departments should ensure that similar areas of expenditure in their CRA forms (e.g. spending on museums) use comparable methodology in allocating spend to regions.  This is to ensure consistency of approach in determining ‘who benefits’ from the spending.</w:t>
      </w:r>
    </w:p>
    <w:p w:rsidR="00CF385E" w:rsidRDefault="00CF385E">
      <w:pPr>
        <w:pStyle w:val="NormalWeb"/>
        <w:spacing w:before="0" w:beforeAutospacing="0" w:after="0" w:afterAutospacing="0" w:line="360" w:lineRule="auto"/>
        <w:jc w:val="both"/>
        <w:rPr>
          <w:rFonts w:ascii="Humnst777 Lt BT" w:hAnsi="Humnst777 Lt BT" w:cs="Arial"/>
          <w:sz w:val="22"/>
        </w:rPr>
      </w:pPr>
    </w:p>
    <w:p w:rsidR="00CF385E" w:rsidRDefault="00CF385E" w:rsidP="00353FBA">
      <w:pPr>
        <w:pStyle w:val="Heading1"/>
        <w:spacing w:after="120" w:line="360" w:lineRule="auto"/>
        <w:rPr>
          <w:rFonts w:ascii="Humnst777 Lt BT" w:hAnsi="Humnst777 Lt BT"/>
          <w:sz w:val="22"/>
        </w:rPr>
      </w:pPr>
      <w:bookmarkStart w:id="11" w:name="_Section_1._Rules"/>
      <w:bookmarkStart w:id="12" w:name="_Toc244667872"/>
      <w:bookmarkStart w:id="13" w:name="OLE_LINK3"/>
      <w:bookmarkEnd w:id="11"/>
      <w:r>
        <w:rPr>
          <w:rFonts w:ascii="Humnst777 Lt BT" w:hAnsi="Humnst777 Lt BT"/>
          <w:sz w:val="22"/>
        </w:rPr>
        <w:t>3. Concepts of spending by region</w:t>
      </w:r>
      <w:bookmarkEnd w:id="12"/>
    </w:p>
    <w:p w:rsidR="00CF385E" w:rsidRDefault="00CF385E">
      <w:pPr>
        <w:numPr>
          <w:ilvl w:val="0"/>
          <w:numId w:val="9"/>
        </w:numPr>
        <w:spacing w:line="360" w:lineRule="auto"/>
        <w:jc w:val="both"/>
        <w:rPr>
          <w:rFonts w:ascii="Humnst777 Lt BT" w:hAnsi="Humnst777 Lt BT" w:cs="Arial"/>
          <w:sz w:val="22"/>
        </w:rPr>
      </w:pPr>
      <w:r>
        <w:rPr>
          <w:rFonts w:ascii="Humnst777 Lt BT" w:hAnsi="Humnst777 Lt BT" w:cs="Arial"/>
          <w:sz w:val="22"/>
        </w:rPr>
        <w:t xml:space="preserve">  Identifiable expenditure will fall into one of the following categories of spending:</w:t>
      </w:r>
    </w:p>
    <w:p w:rsidR="00CF385E" w:rsidRDefault="00CF385E">
      <w:pPr>
        <w:numPr>
          <w:ilvl w:val="0"/>
          <w:numId w:val="8"/>
        </w:numPr>
        <w:spacing w:line="360" w:lineRule="auto"/>
        <w:jc w:val="both"/>
        <w:rPr>
          <w:rFonts w:ascii="Humnst777 Lt BT" w:hAnsi="Humnst777 Lt BT" w:cs="Arial"/>
          <w:sz w:val="22"/>
        </w:rPr>
      </w:pPr>
      <w:r>
        <w:rPr>
          <w:rFonts w:ascii="Humnst777 Lt BT" w:hAnsi="Humnst777 Lt BT" w:cs="Arial"/>
          <w:sz w:val="22"/>
        </w:rPr>
        <w:t>current transfer payments (current grants and subsidies);</w:t>
      </w:r>
    </w:p>
    <w:p w:rsidR="00CF385E" w:rsidRDefault="00CF385E">
      <w:pPr>
        <w:numPr>
          <w:ilvl w:val="0"/>
          <w:numId w:val="8"/>
        </w:numPr>
        <w:spacing w:line="360" w:lineRule="auto"/>
        <w:jc w:val="both"/>
        <w:rPr>
          <w:rFonts w:ascii="Humnst777 Lt BT" w:hAnsi="Humnst777 Lt BT" w:cs="Arial"/>
          <w:sz w:val="22"/>
        </w:rPr>
      </w:pPr>
      <w:r>
        <w:rPr>
          <w:rFonts w:ascii="Humnst777 Lt BT" w:hAnsi="Humnst777 Lt BT" w:cs="Arial"/>
          <w:sz w:val="22"/>
        </w:rPr>
        <w:t>capital grants;</w:t>
      </w:r>
    </w:p>
    <w:p w:rsidR="00CF385E" w:rsidRDefault="00CF385E">
      <w:pPr>
        <w:numPr>
          <w:ilvl w:val="0"/>
          <w:numId w:val="8"/>
        </w:numPr>
        <w:spacing w:line="360" w:lineRule="auto"/>
        <w:jc w:val="both"/>
        <w:rPr>
          <w:rFonts w:ascii="Humnst777 Lt BT" w:hAnsi="Humnst777 Lt BT" w:cs="Arial"/>
          <w:sz w:val="22"/>
        </w:rPr>
      </w:pPr>
      <w:r>
        <w:rPr>
          <w:rFonts w:ascii="Humnst777 Lt BT" w:hAnsi="Humnst777 Lt BT" w:cs="Arial"/>
          <w:sz w:val="22"/>
        </w:rPr>
        <w:t>spending on public services to individuals;</w:t>
      </w:r>
    </w:p>
    <w:p w:rsidR="00CF385E" w:rsidRDefault="00CF385E">
      <w:pPr>
        <w:numPr>
          <w:ilvl w:val="0"/>
          <w:numId w:val="8"/>
        </w:numPr>
        <w:spacing w:line="360" w:lineRule="auto"/>
        <w:jc w:val="both"/>
        <w:rPr>
          <w:rFonts w:ascii="Humnst777 Lt BT" w:hAnsi="Humnst777 Lt BT" w:cs="Arial"/>
          <w:sz w:val="22"/>
        </w:rPr>
      </w:pPr>
      <w:r>
        <w:rPr>
          <w:rFonts w:ascii="Humnst777 Lt BT" w:hAnsi="Humnst777 Lt BT" w:cs="Arial"/>
          <w:sz w:val="22"/>
        </w:rPr>
        <w:t>spending on collective services (where most of this spending is delivered and consumed locally); and</w:t>
      </w:r>
    </w:p>
    <w:p w:rsidR="00CF385E" w:rsidRDefault="00CF385E" w:rsidP="008222BA">
      <w:pPr>
        <w:numPr>
          <w:ilvl w:val="0"/>
          <w:numId w:val="8"/>
        </w:numPr>
        <w:spacing w:after="120" w:line="360" w:lineRule="auto"/>
        <w:ind w:left="714" w:hanging="357"/>
        <w:jc w:val="both"/>
        <w:rPr>
          <w:rFonts w:ascii="Humnst777 Lt BT" w:hAnsi="Humnst777 Lt BT" w:cs="Arial"/>
          <w:sz w:val="22"/>
        </w:rPr>
      </w:pPr>
      <w:r>
        <w:rPr>
          <w:rFonts w:ascii="Humnst777 Lt BT" w:hAnsi="Humnst777 Lt BT" w:cs="Arial"/>
          <w:sz w:val="22"/>
        </w:rPr>
        <w:t>capital expenditure (capital formation) .</w:t>
      </w:r>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How spending should be allocated by region will depend on which of the above categories of spending it falls into.  Detailed guidelines are set out in the following sections. To help departments apply these rules, the CRA forms show these categories of spending within the raw data.</w:t>
      </w:r>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The aim is to find the region that contains the people who benefit from the spending. That may be difficult to determine at the conceptual or the practical level. </w:t>
      </w:r>
    </w:p>
    <w:p w:rsidR="008222BA"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Sometimes the concept is clear: the residence of an individual in receipt of a social security grant tells you which region benefits.  The postcode of the recipient can be mapped to the regions using a spreadsheet, which can be provided by the Treasury. At other times a judgment needs to be made: Who benefits from a grant to a company? Consumers, shareholders, suppliers or workers?</w:t>
      </w:r>
    </w:p>
    <w:p w:rsidR="00CF385E" w:rsidRPr="008222BA" w:rsidRDefault="00CF385E" w:rsidP="008222BA">
      <w:pPr>
        <w:numPr>
          <w:ilvl w:val="0"/>
          <w:numId w:val="9"/>
        </w:numPr>
        <w:spacing w:line="360" w:lineRule="auto"/>
        <w:jc w:val="both"/>
        <w:rPr>
          <w:rFonts w:ascii="Humnst777 Lt BT" w:hAnsi="Humnst777 Lt BT" w:cs="Arial"/>
          <w:sz w:val="22"/>
        </w:rPr>
      </w:pPr>
      <w:r w:rsidRPr="008222BA">
        <w:rPr>
          <w:rFonts w:ascii="Humnst777 Lt BT" w:hAnsi="Humnst777 Lt BT" w:cs="Arial"/>
          <w:sz w:val="22"/>
        </w:rPr>
        <w:t xml:space="preserve">The guidance gives practical rules that work to give a reasonably accurate result assessed on a consistent basis across the range of government activities. </w:t>
      </w:r>
    </w:p>
    <w:p w:rsidR="00CF385E" w:rsidRDefault="00CF385E">
      <w:pPr>
        <w:pStyle w:val="NormalWeb"/>
        <w:spacing w:before="0" w:beforeAutospacing="0" w:after="0" w:afterAutospacing="0" w:line="360" w:lineRule="auto"/>
        <w:rPr>
          <w:rFonts w:ascii="Humnst777 Lt BT" w:hAnsi="Humnst777 Lt BT" w:cs="Arial"/>
          <w:sz w:val="22"/>
        </w:rPr>
      </w:pPr>
    </w:p>
    <w:p w:rsidR="00CF385E" w:rsidRDefault="00CF385E" w:rsidP="00353FBA">
      <w:pPr>
        <w:pStyle w:val="Heading2"/>
        <w:spacing w:after="120"/>
        <w:rPr>
          <w:rFonts w:ascii="Humnst777 Lt BT" w:hAnsi="Humnst777 Lt BT"/>
          <w:sz w:val="22"/>
        </w:rPr>
      </w:pPr>
      <w:bookmarkStart w:id="14" w:name="_Toc244667873"/>
      <w:r>
        <w:rPr>
          <w:rFonts w:ascii="Humnst777 Lt BT" w:hAnsi="Humnst777 Lt BT"/>
          <w:sz w:val="22"/>
        </w:rPr>
        <w:lastRenderedPageBreak/>
        <w:t>3.1 Current transfers</w:t>
      </w:r>
      <w:bookmarkEnd w:id="14"/>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Current transfer payments by government can be to households (e.g. social benefits), to the company sector (subsidies), to non-profit-making institutions (some current grants), or to overseas recipients (current grants abroad).  The general principle for allocating transfer payments by region should be with reference to the residence/location of the recipient, or direct beneficiary.  All transfer payments are identifiable by region.  Net transfer payments should be allocated separately if the regions are different with reference to the location of the beneficiaries of both the gross payments and receipts.</w:t>
      </w:r>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Where grants are paid out by non-departmental public bodies (NDPBs), usually financed by a grant from the sponsor department, it is the spending on grants of those NDPBs that should be allocated by region, on the basis of residence of the grant recipient.  Research councils are a good example (</w:t>
      </w:r>
      <w:hyperlink w:anchor="_Scientific_research_and" w:history="1">
        <w:r>
          <w:rPr>
            <w:rStyle w:val="Hyperlink"/>
            <w:rFonts w:ascii="Humnst777 Lt BT" w:hAnsi="Humnst777 Lt BT" w:cs="Arial"/>
            <w:sz w:val="22"/>
          </w:rPr>
          <w:t>see box on scientific research and research councils</w:t>
        </w:r>
      </w:hyperlink>
      <w:r>
        <w:rPr>
          <w:rFonts w:ascii="Humnst777 Lt BT" w:hAnsi="Humnst777 Lt BT" w:cs="Arial"/>
          <w:sz w:val="22"/>
        </w:rPr>
        <w:t xml:space="preserve">).  In such cases, departments will need to collect information of the regional distribution of their grant spending from their NDPBs. </w:t>
      </w:r>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w:t>
      </w:r>
      <w:r>
        <w:rPr>
          <w:rFonts w:ascii="Humnst777 Lt BT" w:hAnsi="Humnst777 Lt BT" w:cs="Arial"/>
          <w:b/>
          <w:bCs/>
          <w:i/>
          <w:iCs/>
          <w:sz w:val="22"/>
        </w:rPr>
        <w:t>Current grants paid to households</w:t>
      </w:r>
      <w:r>
        <w:rPr>
          <w:rFonts w:ascii="Humnst777 Lt BT" w:hAnsi="Humnst777 Lt BT" w:cs="Arial"/>
          <w:sz w:val="22"/>
        </w:rPr>
        <w:t xml:space="preserve"> should be allocated according to the region of permanent residence of the recipient.  By convention, students and long-term hospital patients should only be treated as residents of their ‘host’ region if they have stayed there on a continuous basis for more than a year.  Otherwise they should be treated as residents of their ‘home’ region.  </w:t>
      </w:r>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w:t>
      </w:r>
      <w:r>
        <w:rPr>
          <w:rFonts w:ascii="Humnst777 Lt BT" w:hAnsi="Humnst777 Lt BT" w:cs="Arial"/>
          <w:b/>
          <w:bCs/>
          <w:i/>
          <w:iCs/>
          <w:sz w:val="22"/>
        </w:rPr>
        <w:t xml:space="preserve">Current grants paid to non-profit-making institutions </w:t>
      </w:r>
      <w:r>
        <w:rPr>
          <w:rFonts w:ascii="Humnst777 Lt BT" w:hAnsi="Humnst777 Lt BT" w:cs="Arial"/>
          <w:sz w:val="22"/>
        </w:rPr>
        <w:t>should normally be allocated on the basis of the location of the institution receiving the grant, as that will normally be a good proxy for location of benefit from that spending.  But where payment is made to a head office that then distributes the money to a number of units in different locations, allocation should be on the basis of location of the units that benefit, not the location of the head office.  (Where the institution is a regional or local one, location of head office will be an acceptable proxy.)</w:t>
      </w:r>
    </w:p>
    <w:p w:rsidR="00CF385E" w:rsidRDefault="00CF385E" w:rsidP="008222BA">
      <w:pPr>
        <w:spacing w:after="120" w:line="360" w:lineRule="auto"/>
        <w:jc w:val="both"/>
        <w:rPr>
          <w:rFonts w:ascii="Humnst777 Lt BT" w:hAnsi="Humnst777 Lt BT" w:cs="Arial"/>
          <w:i/>
          <w:iCs/>
          <w:sz w:val="22"/>
        </w:rPr>
      </w:pPr>
      <w:r>
        <w:rPr>
          <w:rFonts w:ascii="Humnst777 Lt BT" w:hAnsi="Humnst777 Lt BT" w:cs="Arial"/>
          <w:b/>
          <w:bCs/>
          <w:i/>
          <w:iCs/>
          <w:sz w:val="22"/>
        </w:rPr>
        <w:t>Exception</w:t>
      </w:r>
      <w:r>
        <w:rPr>
          <w:rFonts w:ascii="Humnst777 Lt BT" w:hAnsi="Humnst777 Lt BT" w:cs="Arial"/>
          <w:i/>
          <w:iCs/>
          <w:sz w:val="22"/>
        </w:rPr>
        <w:t xml:space="preserve">: Where a current grant paid to non-profit-making institutions is intended to directly finance provision of a public service, allocation of that government expenditure to region should “look through” the non-profit-making institution to the beneficiary from that service.  </w:t>
      </w:r>
    </w:p>
    <w:p w:rsidR="00CF385E" w:rsidRDefault="00CF385E">
      <w:pPr>
        <w:numPr>
          <w:ilvl w:val="0"/>
          <w:numId w:val="9"/>
        </w:numPr>
        <w:spacing w:line="360" w:lineRule="auto"/>
        <w:jc w:val="both"/>
        <w:rPr>
          <w:rFonts w:ascii="Humnst777 Lt BT" w:hAnsi="Humnst777 Lt BT" w:cs="Arial"/>
          <w:sz w:val="22"/>
        </w:rPr>
      </w:pPr>
      <w:r>
        <w:rPr>
          <w:rFonts w:ascii="Humnst777 Lt BT" w:hAnsi="Humnst777 Lt BT" w:cs="Arial"/>
          <w:sz w:val="22"/>
        </w:rPr>
        <w:t xml:space="preserve">  </w:t>
      </w:r>
      <w:r>
        <w:rPr>
          <w:rFonts w:ascii="Humnst777 Lt BT" w:hAnsi="Humnst777 Lt BT" w:cs="Arial"/>
          <w:b/>
          <w:bCs/>
          <w:i/>
          <w:iCs/>
          <w:sz w:val="22"/>
        </w:rPr>
        <w:t xml:space="preserve">Current grants paid </w:t>
      </w:r>
      <w:r w:rsidR="00A95469">
        <w:rPr>
          <w:rFonts w:ascii="Humnst777 Lt BT" w:hAnsi="Humnst777 Lt BT" w:cs="Arial"/>
          <w:b/>
          <w:bCs/>
          <w:i/>
          <w:iCs/>
          <w:sz w:val="22"/>
        </w:rPr>
        <w:t>overseas</w:t>
      </w:r>
      <w:r>
        <w:rPr>
          <w:rFonts w:ascii="Humnst777 Lt BT" w:hAnsi="Humnst777 Lt BT" w:cs="Arial"/>
          <w:b/>
          <w:bCs/>
          <w:i/>
          <w:iCs/>
          <w:sz w:val="22"/>
        </w:rPr>
        <w:t xml:space="preserve"> </w:t>
      </w:r>
      <w:r>
        <w:rPr>
          <w:rFonts w:ascii="Humnst777 Lt BT" w:hAnsi="Humnst777 Lt BT" w:cs="Arial"/>
          <w:sz w:val="22"/>
        </w:rPr>
        <w:t>should be allocated to ‘outside UK’.</w:t>
      </w:r>
    </w:p>
    <w:p w:rsidR="00CF385E" w:rsidRDefault="00CF385E" w:rsidP="008222BA">
      <w:pPr>
        <w:spacing w:after="120" w:line="360" w:lineRule="auto"/>
        <w:jc w:val="both"/>
        <w:rPr>
          <w:rFonts w:ascii="Humnst777 Lt BT" w:hAnsi="Humnst777 Lt BT" w:cs="Arial"/>
          <w:sz w:val="22"/>
        </w:rPr>
      </w:pPr>
      <w:r>
        <w:rPr>
          <w:rFonts w:ascii="Humnst777 Lt BT" w:hAnsi="Humnst777 Lt BT" w:cs="Arial"/>
          <w:b/>
          <w:bCs/>
          <w:i/>
          <w:iCs/>
          <w:sz w:val="22"/>
        </w:rPr>
        <w:lastRenderedPageBreak/>
        <w:t>Exception</w:t>
      </w:r>
      <w:r>
        <w:rPr>
          <w:rFonts w:ascii="Humnst777 Lt BT" w:hAnsi="Humnst777 Lt BT" w:cs="Arial"/>
          <w:sz w:val="22"/>
        </w:rPr>
        <w:t xml:space="preserve">: </w:t>
      </w:r>
      <w:r>
        <w:rPr>
          <w:rFonts w:ascii="Humnst777 Lt BT" w:hAnsi="Humnst777 Lt BT" w:cs="Arial"/>
          <w:i/>
          <w:iCs/>
          <w:sz w:val="22"/>
        </w:rPr>
        <w:t xml:space="preserve">Where a current grant paid </w:t>
      </w:r>
      <w:r w:rsidR="00A95469">
        <w:rPr>
          <w:rFonts w:ascii="Humnst777 Lt BT" w:hAnsi="Humnst777 Lt BT" w:cs="Arial"/>
          <w:i/>
          <w:iCs/>
          <w:sz w:val="22"/>
        </w:rPr>
        <w:t>overseas</w:t>
      </w:r>
      <w:r>
        <w:rPr>
          <w:rFonts w:ascii="Humnst777 Lt BT" w:hAnsi="Humnst777 Lt BT" w:cs="Arial"/>
          <w:i/>
          <w:iCs/>
          <w:sz w:val="22"/>
        </w:rPr>
        <w:t xml:space="preserve"> is for the direct benefit of the UK, expenditure should be allocated as non-identifiable after discussion with </w:t>
      </w:r>
      <w:hyperlink w:anchor="_Contacts" w:history="1">
        <w:r>
          <w:rPr>
            <w:rStyle w:val="Hyperlink"/>
            <w:rFonts w:ascii="Humnst777 Lt BT" w:hAnsi="Humnst777 Lt BT" w:cs="Arial"/>
            <w:i/>
            <w:iCs/>
            <w:sz w:val="22"/>
          </w:rPr>
          <w:t>PESA Branch</w:t>
        </w:r>
      </w:hyperlink>
      <w:r>
        <w:rPr>
          <w:rFonts w:ascii="Humnst777 Lt BT" w:hAnsi="Humnst777 Lt BT" w:cs="Arial"/>
          <w:i/>
          <w:iCs/>
          <w:sz w:val="22"/>
        </w:rPr>
        <w:t>.  Examples include transfers to international research councils (e.g. medical research council).</w:t>
      </w:r>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b/>
          <w:bCs/>
          <w:i/>
          <w:iCs/>
          <w:sz w:val="22"/>
        </w:rPr>
        <w:t xml:space="preserve">  Subsidies to companies</w:t>
      </w:r>
      <w:r>
        <w:rPr>
          <w:rFonts w:ascii="Humnst777 Lt BT" w:hAnsi="Humnst777 Lt BT" w:cs="Arial"/>
          <w:sz w:val="22"/>
        </w:rPr>
        <w:t xml:space="preserve"> should be allocated on the basis of location of the company receiving the subsidy, as that will normally be a good proxy for location of benefit from that spending. As with non-profit-making institutions, allocation should be on the basis of location of the unit or subsidiary that directly benefits, not on the location of the head office that first receives the money.</w:t>
      </w:r>
    </w:p>
    <w:p w:rsidR="00CF385E" w:rsidRDefault="00CF385E">
      <w:pPr>
        <w:spacing w:line="360" w:lineRule="auto"/>
        <w:jc w:val="both"/>
        <w:rPr>
          <w:rFonts w:ascii="Humnst777 Lt BT" w:hAnsi="Humnst777 Lt BT" w:cs="Arial"/>
          <w:sz w:val="22"/>
        </w:rPr>
      </w:pPr>
      <w:r>
        <w:rPr>
          <w:rFonts w:ascii="Humnst777 Lt BT" w:hAnsi="Humnst777 Lt BT" w:cs="Arial"/>
          <w:b/>
          <w:bCs/>
          <w:i/>
          <w:iCs/>
          <w:sz w:val="22"/>
        </w:rPr>
        <w:t>Exception</w:t>
      </w:r>
      <w:r>
        <w:rPr>
          <w:rFonts w:ascii="Humnst777 Lt BT" w:hAnsi="Humnst777 Lt BT" w:cs="Arial"/>
          <w:sz w:val="22"/>
        </w:rPr>
        <w:t xml:space="preserve">: </w:t>
      </w:r>
      <w:r>
        <w:rPr>
          <w:rFonts w:ascii="Humnst777 Lt BT" w:hAnsi="Humnst777 Lt BT" w:cs="Arial"/>
          <w:i/>
          <w:iCs/>
          <w:sz w:val="22"/>
        </w:rPr>
        <w:t>Where a subsidy paid to a company is intended to directly subsidise provision of a public service, then allocation of that government expenditure to region should “look through” the company to the beneficiary from that service. For example, subsidies to Bus Service Operators to provide passenger services should be allocated on the basis of residence of the passengers to whom the subsidized services are provided.</w:t>
      </w:r>
    </w:p>
    <w:p w:rsidR="00CF385E" w:rsidRDefault="00CF385E">
      <w:pPr>
        <w:pStyle w:val="Heading4"/>
        <w:spacing w:line="360" w:lineRule="auto"/>
        <w:rPr>
          <w:rFonts w:ascii="Humnst777 Lt BT" w:hAnsi="Humnst777 Lt BT" w:cs="Arial"/>
          <w:sz w:val="22"/>
        </w:rPr>
      </w:pPr>
      <w:r>
        <w:rPr>
          <w:rFonts w:ascii="Humnst777 Lt BT" w:hAnsi="Humnst777 Lt BT" w:cs="Arial"/>
          <w:sz w:val="22"/>
        </w:rPr>
        <w:t>Net pension payments by the seven main departmental occupational pension schemes</w:t>
      </w:r>
    </w:p>
    <w:p w:rsidR="00CF385E" w:rsidRDefault="00CF385E">
      <w:pPr>
        <w:pBdr>
          <w:top w:val="single" w:sz="4" w:space="1" w:color="auto"/>
          <w:left w:val="single" w:sz="4" w:space="4" w:color="auto"/>
          <w:bottom w:val="single" w:sz="4" w:space="1" w:color="auto"/>
          <w:right w:val="single" w:sz="4" w:space="4" w:color="auto"/>
        </w:pBdr>
        <w:spacing w:line="360" w:lineRule="auto"/>
        <w:jc w:val="both"/>
        <w:rPr>
          <w:rFonts w:ascii="Humnst777 Lt BT" w:hAnsi="Humnst777 Lt BT" w:cs="Arial"/>
          <w:sz w:val="22"/>
        </w:rPr>
      </w:pPr>
      <w:r>
        <w:rPr>
          <w:rFonts w:ascii="Humnst777 Lt BT" w:hAnsi="Humnst777 Lt BT" w:cs="Arial"/>
          <w:sz w:val="22"/>
        </w:rPr>
        <w:t xml:space="preserve">Pensions schemes data included in the CRA consist of just the </w:t>
      </w:r>
      <w:r>
        <w:rPr>
          <w:rFonts w:ascii="Humnst777 Lt BT" w:hAnsi="Humnst777 Lt BT" w:cs="Arial"/>
          <w:b/>
          <w:bCs/>
          <w:i/>
          <w:iCs/>
          <w:sz w:val="22"/>
        </w:rPr>
        <w:t>cash</w:t>
      </w:r>
      <w:r>
        <w:rPr>
          <w:rFonts w:ascii="Humnst777 Lt BT" w:hAnsi="Humnst777 Lt BT" w:cs="Arial"/>
          <w:sz w:val="22"/>
        </w:rPr>
        <w:t xml:space="preserve"> payments to pensioners, coded as </w:t>
      </w:r>
      <w:r w:rsidR="00A95469">
        <w:rPr>
          <w:rFonts w:ascii="Humnst777 Lt BT" w:hAnsi="Humnst777 Lt BT" w:cs="Arial"/>
          <w:sz w:val="22"/>
        </w:rPr>
        <w:t>ECs D401 and D411</w:t>
      </w:r>
      <w:r>
        <w:rPr>
          <w:rFonts w:ascii="Humnst777 Lt BT" w:hAnsi="Humnst777 Lt BT" w:cs="Arial"/>
          <w:sz w:val="22"/>
        </w:rPr>
        <w:t xml:space="preserve"> on </w:t>
      </w:r>
      <w:r w:rsidR="00A95469">
        <w:rPr>
          <w:rFonts w:ascii="Humnst777 Lt BT" w:hAnsi="Humnst777 Lt BT" w:cs="Arial"/>
          <w:sz w:val="22"/>
        </w:rPr>
        <w:t>OSCAR</w:t>
      </w:r>
      <w:r>
        <w:rPr>
          <w:rFonts w:ascii="Humnst777 Lt BT" w:hAnsi="Humnst777 Lt BT" w:cs="Arial"/>
          <w:sz w:val="22"/>
        </w:rPr>
        <w:t xml:space="preserve">, </w:t>
      </w:r>
      <w:r>
        <w:rPr>
          <w:rFonts w:ascii="Humnst777 Lt BT" w:hAnsi="Humnst777 Lt BT" w:cs="Arial"/>
          <w:b/>
          <w:bCs/>
          <w:i/>
          <w:iCs/>
          <w:sz w:val="22"/>
        </w:rPr>
        <w:t>less</w:t>
      </w:r>
      <w:r>
        <w:rPr>
          <w:rFonts w:ascii="Humnst777 Lt BT" w:hAnsi="Humnst777 Lt BT" w:cs="Arial"/>
          <w:sz w:val="22"/>
        </w:rPr>
        <w:t xml:space="preserve"> cash receipts from departments, coded as </w:t>
      </w:r>
      <w:r w:rsidR="00A95469">
        <w:rPr>
          <w:rFonts w:ascii="Humnst777 Lt BT" w:hAnsi="Humnst777 Lt BT" w:cs="Arial"/>
          <w:sz w:val="22"/>
        </w:rPr>
        <w:t>ECs</w:t>
      </w:r>
      <w:r>
        <w:rPr>
          <w:rFonts w:ascii="Humnst777 Lt BT" w:hAnsi="Humnst777 Lt BT" w:cs="Arial"/>
          <w:sz w:val="22"/>
        </w:rPr>
        <w:t xml:space="preserve"> D402</w:t>
      </w:r>
      <w:r w:rsidR="00A95469">
        <w:rPr>
          <w:rFonts w:ascii="Humnst777 Lt BT" w:hAnsi="Humnst777 Lt BT" w:cs="Arial"/>
          <w:sz w:val="22"/>
        </w:rPr>
        <w:t>, D412 and D422</w:t>
      </w:r>
      <w:r>
        <w:rPr>
          <w:rFonts w:ascii="Humnst777 Lt BT" w:hAnsi="Humnst777 Lt BT" w:cs="Arial"/>
          <w:sz w:val="22"/>
        </w:rPr>
        <w:t xml:space="preserve">.  </w:t>
      </w:r>
    </w:p>
    <w:p w:rsidR="00CF385E" w:rsidRDefault="00CF385E">
      <w:pPr>
        <w:pBdr>
          <w:top w:val="single" w:sz="4" w:space="1" w:color="auto"/>
          <w:left w:val="single" w:sz="4" w:space="4" w:color="auto"/>
          <w:bottom w:val="single" w:sz="4" w:space="1" w:color="auto"/>
          <w:right w:val="single" w:sz="4" w:space="4" w:color="auto"/>
        </w:pBdr>
        <w:spacing w:line="360" w:lineRule="auto"/>
        <w:jc w:val="both"/>
        <w:rPr>
          <w:rFonts w:ascii="Humnst777 Lt BT" w:hAnsi="Humnst777 Lt BT" w:cs="Arial"/>
          <w:sz w:val="22"/>
        </w:rPr>
      </w:pPr>
      <w:r>
        <w:rPr>
          <w:rFonts w:ascii="Humnst777 Lt BT" w:hAnsi="Humnst777 Lt BT" w:cs="Arial"/>
          <w:sz w:val="22"/>
        </w:rPr>
        <w:t>Guidance for the seven main departmental occupational pension schemes</w:t>
      </w:r>
      <w:r>
        <w:rPr>
          <w:rStyle w:val="FootnoteReference"/>
          <w:rFonts w:ascii="Humnst777 Lt BT" w:hAnsi="Humnst777 Lt BT" w:cs="Arial"/>
          <w:sz w:val="22"/>
        </w:rPr>
        <w:footnoteReference w:id="1"/>
      </w:r>
      <w:r>
        <w:rPr>
          <w:rFonts w:ascii="Humnst777 Lt BT" w:hAnsi="Humnst777 Lt BT" w:cs="Arial"/>
          <w:sz w:val="22"/>
        </w:rPr>
        <w:t xml:space="preserve"> is that these net D4 payments should be allocated according to the regional distribution of the </w:t>
      </w:r>
      <w:r>
        <w:rPr>
          <w:rFonts w:ascii="Humnst777 Lt BT" w:hAnsi="Humnst777 Lt BT" w:cs="Arial"/>
          <w:b/>
          <w:bCs/>
          <w:i/>
          <w:iCs/>
          <w:sz w:val="22"/>
        </w:rPr>
        <w:t>gross</w:t>
      </w:r>
      <w:r>
        <w:rPr>
          <w:rFonts w:ascii="Humnst777 Lt BT" w:hAnsi="Humnst777 Lt BT" w:cs="Arial"/>
          <w:sz w:val="22"/>
        </w:rPr>
        <w:t xml:space="preserve"> cash payments to pensioners, excluding bulk transfer payments.</w:t>
      </w:r>
    </w:p>
    <w:p w:rsidR="00CF385E" w:rsidRDefault="00CF385E">
      <w:pPr>
        <w:spacing w:line="360" w:lineRule="auto"/>
        <w:jc w:val="both"/>
        <w:rPr>
          <w:rFonts w:ascii="Humnst777 Lt BT" w:hAnsi="Humnst777 Lt BT" w:cs="Arial"/>
          <w:sz w:val="22"/>
        </w:rPr>
      </w:pPr>
    </w:p>
    <w:p w:rsidR="00CF385E" w:rsidRDefault="00CF385E" w:rsidP="00353FBA">
      <w:pPr>
        <w:pStyle w:val="Heading2"/>
        <w:spacing w:after="120"/>
        <w:rPr>
          <w:rFonts w:ascii="Humnst777 Lt BT" w:hAnsi="Humnst777 Lt BT"/>
          <w:sz w:val="22"/>
        </w:rPr>
      </w:pPr>
      <w:bookmarkStart w:id="15" w:name="_Toc244667874"/>
      <w:r>
        <w:rPr>
          <w:rFonts w:ascii="Humnst777 Lt BT" w:hAnsi="Humnst777 Lt BT"/>
          <w:sz w:val="22"/>
        </w:rPr>
        <w:t>3.2 Capital grants</w:t>
      </w:r>
      <w:bookmarkEnd w:id="15"/>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w:t>
      </w:r>
      <w:r>
        <w:rPr>
          <w:rFonts w:ascii="Humnst777 Lt BT" w:hAnsi="Humnst777 Lt BT" w:cs="Arial"/>
          <w:b/>
          <w:bCs/>
          <w:sz w:val="22"/>
        </w:rPr>
        <w:t>Capital grants</w:t>
      </w:r>
      <w:r>
        <w:rPr>
          <w:rFonts w:ascii="Humnst777 Lt BT" w:hAnsi="Humnst777 Lt BT" w:cs="Arial"/>
          <w:sz w:val="22"/>
        </w:rPr>
        <w:t xml:space="preserve"> are transfer payments made for the specific purpose of financing capital expenditure.  They are normally made to companies or non-profit-making institutions.  Where capital grants are made by NDPBs, e.g. research councils, it is the grant spending of the NDPB (not the funding grant from the department to the NDPB) that needs to be allocated by region.   </w:t>
      </w:r>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b/>
          <w:bCs/>
          <w:sz w:val="22"/>
        </w:rPr>
        <w:t xml:space="preserve">  Capital grants</w:t>
      </w:r>
      <w:r>
        <w:rPr>
          <w:rFonts w:ascii="Humnst777 Lt BT" w:hAnsi="Humnst777 Lt BT" w:cs="Arial"/>
          <w:sz w:val="22"/>
        </w:rPr>
        <w:t xml:space="preserve"> should be allocated on the basis of location of the recipient of the grant.  As with current grants and subsidies, allocation should be on the basis of location of the unit or subsidiary that benefits from the grant, not on the location of the head office </w:t>
      </w:r>
      <w:r>
        <w:rPr>
          <w:rFonts w:ascii="Humnst777 Lt BT" w:hAnsi="Humnst777 Lt BT" w:cs="Arial"/>
          <w:sz w:val="22"/>
        </w:rPr>
        <w:lastRenderedPageBreak/>
        <w:t xml:space="preserve">that first receives the money.  In most cases, location of the investment financed by a capital grant will be a good proxy for location of benefit from that spending. </w:t>
      </w:r>
    </w:p>
    <w:p w:rsidR="00CF385E" w:rsidRPr="008222BA" w:rsidRDefault="00CF385E" w:rsidP="008222BA">
      <w:pPr>
        <w:spacing w:line="360" w:lineRule="auto"/>
        <w:jc w:val="both"/>
        <w:rPr>
          <w:rFonts w:ascii="Humnst777 Lt BT" w:hAnsi="Humnst777 Lt BT" w:cs="Arial"/>
          <w:sz w:val="22"/>
        </w:rPr>
      </w:pPr>
      <w:r>
        <w:rPr>
          <w:rFonts w:ascii="Humnst777 Lt BT" w:hAnsi="Humnst777 Lt BT" w:cs="Arial"/>
          <w:b/>
          <w:bCs/>
          <w:i/>
          <w:iCs/>
          <w:sz w:val="22"/>
        </w:rPr>
        <w:t>Exception</w:t>
      </w:r>
      <w:r>
        <w:rPr>
          <w:rFonts w:ascii="Humnst777 Lt BT" w:hAnsi="Humnst777 Lt BT" w:cs="Arial"/>
          <w:b/>
          <w:bCs/>
          <w:sz w:val="22"/>
        </w:rPr>
        <w:t>:</w:t>
      </w:r>
      <w:r w:rsidR="008F0AB8">
        <w:rPr>
          <w:rFonts w:ascii="Humnst777 Lt BT" w:hAnsi="Humnst777 Lt BT" w:cs="Arial"/>
          <w:sz w:val="22"/>
        </w:rPr>
        <w:t xml:space="preserve"> </w:t>
      </w:r>
      <w:r>
        <w:rPr>
          <w:rFonts w:ascii="Humnst777 Lt BT" w:hAnsi="Humnst777 Lt BT" w:cs="Arial"/>
          <w:i/>
          <w:iCs/>
          <w:sz w:val="22"/>
        </w:rPr>
        <w:t>Where a capital grant paid to a company is intended to directly finance provision of a public service, allocation of that government expenditure to region should “look through” the company to the beneficiary from that service.  For example, capital grants to Network Rail should be allocated on the basis of residence of the passengers to whom the services are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CF385E" w:rsidTr="00353FBA">
        <w:tc>
          <w:tcPr>
            <w:tcW w:w="8748" w:type="dxa"/>
          </w:tcPr>
          <w:p w:rsidR="00CF385E" w:rsidRDefault="00CF385E">
            <w:pPr>
              <w:pStyle w:val="Heading4"/>
              <w:spacing w:line="360" w:lineRule="auto"/>
              <w:rPr>
                <w:rFonts w:ascii="Humnst777 Lt BT" w:hAnsi="Humnst777 Lt BT"/>
                <w:sz w:val="22"/>
              </w:rPr>
            </w:pPr>
            <w:bookmarkStart w:id="16" w:name="_Scientific_research_and"/>
            <w:bookmarkEnd w:id="16"/>
            <w:r>
              <w:rPr>
                <w:rFonts w:ascii="Humnst777 Lt BT" w:hAnsi="Humnst777 Lt BT"/>
                <w:sz w:val="22"/>
              </w:rPr>
              <w:t>Scientific research and research councils</w:t>
            </w:r>
          </w:p>
          <w:p w:rsidR="00CF385E" w:rsidRDefault="00CF385E">
            <w:pPr>
              <w:pStyle w:val="Heading4"/>
              <w:spacing w:line="360" w:lineRule="auto"/>
              <w:rPr>
                <w:rFonts w:ascii="Humnst777 Lt BT" w:hAnsi="Humnst777 Lt BT"/>
                <w:b w:val="0"/>
                <w:bCs w:val="0"/>
                <w:sz w:val="22"/>
              </w:rPr>
            </w:pPr>
            <w:r>
              <w:rPr>
                <w:rFonts w:ascii="Humnst777 Lt BT" w:hAnsi="Humnst777 Lt BT"/>
                <w:b w:val="0"/>
                <w:bCs w:val="0"/>
                <w:sz w:val="22"/>
              </w:rPr>
              <w:t>Spending on basic research carried out by a government body will usually be classed as non-identifiable by region, as it represents spending on collective services for the benefit of the country as a whole.  But much of government spending on research is in the form of grants to institutions and individuals, often through the medium of research councils (classified as NDPBs).  As transfer payments, all spending on grants by central government bodies, including transfer payments made by research councils is identifiable by region and should normally be allocated on the basis of location/residence of the recipient institution or individual.</w:t>
            </w:r>
          </w:p>
        </w:tc>
      </w:tr>
    </w:tbl>
    <w:p w:rsidR="00CF385E" w:rsidRDefault="00CF385E">
      <w:pPr>
        <w:pStyle w:val="Heading2"/>
        <w:rPr>
          <w:rFonts w:ascii="Humnst777 Lt BT" w:hAnsi="Humnst777 Lt BT"/>
          <w:sz w:val="22"/>
        </w:rPr>
      </w:pPr>
    </w:p>
    <w:p w:rsidR="00CF385E" w:rsidRDefault="00CF385E" w:rsidP="00353FBA">
      <w:pPr>
        <w:pStyle w:val="Heading2"/>
        <w:spacing w:after="120"/>
        <w:rPr>
          <w:rFonts w:ascii="Humnst777 Lt BT" w:hAnsi="Humnst777 Lt BT"/>
          <w:sz w:val="22"/>
        </w:rPr>
      </w:pPr>
      <w:bookmarkStart w:id="17" w:name="_Toc244667875"/>
      <w:r>
        <w:rPr>
          <w:rFonts w:ascii="Humnst777 Lt BT" w:hAnsi="Humnst777 Lt BT"/>
          <w:sz w:val="22"/>
        </w:rPr>
        <w:t>3.3 Services to individuals</w:t>
      </w:r>
      <w:bookmarkEnd w:id="17"/>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Much government expenditure finances provision of public services to individuals/households typically provided free at the point of use.  Public services to individuals include the following services: education, health, social welfare, sport, recreation and culture, housing, and operation of the transport system.</w:t>
      </w:r>
    </w:p>
    <w:p w:rsidR="00CF385E" w:rsidRDefault="00CF385E" w:rsidP="008222BA">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The general principle for allocating spending on public services to individuals over regions is similar to that for transfer payments.  Spending should be allocated on the basis of permanent residence of the individuals who consume the services provided.  In practice, residence of customer for the service and place of delivery of the service are likely to be the same at the NUTS1 level for most of public expenditure on services to individuals.</w:t>
      </w:r>
    </w:p>
    <w:p w:rsidR="00CF385E" w:rsidRDefault="00CF385E">
      <w:pPr>
        <w:pStyle w:val="BodyTextIndent"/>
        <w:numPr>
          <w:ilvl w:val="0"/>
          <w:numId w:val="9"/>
        </w:numPr>
        <w:spacing w:line="360" w:lineRule="auto"/>
        <w:jc w:val="both"/>
        <w:rPr>
          <w:rFonts w:ascii="Humnst777 Lt BT" w:hAnsi="Humnst777 Lt BT" w:cs="Arial"/>
          <w:sz w:val="22"/>
        </w:rPr>
      </w:pPr>
      <w:r>
        <w:rPr>
          <w:rFonts w:ascii="Humnst777 Lt BT" w:hAnsi="Humnst777 Lt BT" w:cs="Arial"/>
          <w:sz w:val="22"/>
        </w:rPr>
        <w:t xml:space="preserve">  Wherever possible, regional allocation of spending on public services to individuals should be based on residence of the customers.  However information on residence of customers may not be readily available in many cases, whereas information on place of </w:t>
      </w:r>
      <w:r>
        <w:rPr>
          <w:rFonts w:ascii="Humnst777 Lt BT" w:hAnsi="Humnst777 Lt BT" w:cs="Arial"/>
          <w:sz w:val="22"/>
        </w:rPr>
        <w:lastRenderedPageBreak/>
        <w:t>service delivery generally will be.  In most cases allocation of spending to regions on place of service delivery will be a good proxy for residence of customers, and can be used.</w:t>
      </w:r>
    </w:p>
    <w:p w:rsidR="00CF385E" w:rsidRDefault="00CF385E" w:rsidP="008F0AB8">
      <w:pPr>
        <w:pStyle w:val="BodyTextIndent"/>
        <w:spacing w:after="0" w:line="360" w:lineRule="auto"/>
        <w:ind w:left="0"/>
        <w:jc w:val="both"/>
        <w:rPr>
          <w:rFonts w:ascii="Humnst777 Lt BT" w:hAnsi="Humnst777 Lt BT" w:cs="Arial"/>
          <w:sz w:val="22"/>
        </w:rPr>
      </w:pPr>
      <w:r>
        <w:rPr>
          <w:rFonts w:ascii="Humnst777 Lt BT" w:hAnsi="Humnst777 Lt BT" w:cs="Arial"/>
          <w:b/>
          <w:bCs/>
          <w:i/>
          <w:iCs/>
          <w:sz w:val="22"/>
        </w:rPr>
        <w:t>Exceptions</w:t>
      </w:r>
      <w:r>
        <w:rPr>
          <w:rFonts w:ascii="Humnst777 Lt BT" w:hAnsi="Humnst777 Lt BT" w:cs="Arial"/>
          <w:sz w:val="22"/>
        </w:rPr>
        <w:t>:</w:t>
      </w:r>
    </w:p>
    <w:p w:rsidR="00CF385E" w:rsidRDefault="00CF385E" w:rsidP="008222BA">
      <w:pPr>
        <w:spacing w:after="120" w:line="360" w:lineRule="auto"/>
        <w:jc w:val="both"/>
        <w:rPr>
          <w:rFonts w:ascii="Humnst777 Lt BT" w:hAnsi="Humnst777 Lt BT" w:cs="Arial"/>
          <w:i/>
          <w:iCs/>
          <w:sz w:val="22"/>
        </w:rPr>
      </w:pPr>
      <w:r>
        <w:rPr>
          <w:rFonts w:ascii="Humnst777 Lt BT" w:hAnsi="Humnst777 Lt BT" w:cs="Arial"/>
          <w:i/>
          <w:iCs/>
          <w:sz w:val="22"/>
        </w:rPr>
        <w:t>(</w:t>
      </w:r>
      <w:r w:rsidR="008222BA">
        <w:rPr>
          <w:rFonts w:ascii="Humnst777 Lt BT" w:hAnsi="Humnst777 Lt BT" w:cs="Arial"/>
          <w:i/>
          <w:iCs/>
          <w:sz w:val="22"/>
        </w:rPr>
        <w:t>i</w:t>
      </w:r>
      <w:r>
        <w:rPr>
          <w:rFonts w:ascii="Humnst777 Lt BT" w:hAnsi="Humnst777 Lt BT" w:cs="Arial"/>
          <w:i/>
          <w:iCs/>
          <w:sz w:val="22"/>
        </w:rPr>
        <w:t>) Where there are good reasons to believe that using the place of service delivery will give an answer that does not properly reflect the regional distribution of residence of the beneficiaries from those services. Then the allocation should be based on residence of customers.  If good data on residence of customers are not available, then an allocation method should be used that takes proper account of the differentials between residence of customers and location of service delivery bodies.  A good example is national museums, mostly located in London but whose visitors are drawn from all over the country and indeed from overseas.   Allocating spending on the British Museum to London on the basis of location is likely to produce a distorted picture of the regional distribution of the benefits from that spending. In this case, allocation of spending over regions needs to take some account of where museum visitors come from.</w:t>
      </w:r>
    </w:p>
    <w:p w:rsidR="00CF385E" w:rsidRDefault="00CF385E">
      <w:pPr>
        <w:spacing w:line="360" w:lineRule="auto"/>
        <w:jc w:val="both"/>
        <w:rPr>
          <w:rFonts w:ascii="Humnst777 Lt BT" w:hAnsi="Humnst777 Lt BT" w:cs="Arial"/>
          <w:sz w:val="22"/>
        </w:rPr>
      </w:pPr>
      <w:r>
        <w:rPr>
          <w:rFonts w:ascii="Humnst777 Lt BT" w:hAnsi="Humnst777 Lt BT" w:cs="Arial"/>
          <w:i/>
          <w:iCs/>
          <w:sz w:val="22"/>
        </w:rPr>
        <w:t>(</w:t>
      </w:r>
      <w:r w:rsidR="008222BA">
        <w:rPr>
          <w:rFonts w:ascii="Humnst777 Lt BT" w:hAnsi="Humnst777 Lt BT" w:cs="Arial"/>
          <w:i/>
          <w:iCs/>
          <w:sz w:val="22"/>
        </w:rPr>
        <w:t>ii</w:t>
      </w:r>
      <w:r>
        <w:rPr>
          <w:rFonts w:ascii="Humnst777 Lt BT" w:hAnsi="Humnst777 Lt BT" w:cs="Arial"/>
          <w:i/>
          <w:iCs/>
          <w:sz w:val="22"/>
        </w:rPr>
        <w:t>) Allocation of ‘corporate administration costs’, e.g. the costs of central government departmental headquarters.  Spending on corporate administration costs should be spread over regions according to the regional allocation of the programme spending that this central administrative spending supports, rather than allocated on the basis of actual location of the headquarters.</w:t>
      </w:r>
    </w:p>
    <w:p w:rsidR="00CF385E" w:rsidRDefault="00CF385E">
      <w:pPr>
        <w:pStyle w:val="Heading2"/>
        <w:rPr>
          <w:rFonts w:ascii="Humnst777 Lt BT" w:hAnsi="Humnst777 Lt BT"/>
          <w:sz w:val="22"/>
          <w:lang w:val="en-US"/>
        </w:rPr>
      </w:pPr>
    </w:p>
    <w:p w:rsidR="00CF385E" w:rsidRDefault="00CF385E" w:rsidP="00353FBA">
      <w:pPr>
        <w:pStyle w:val="Heading2"/>
        <w:spacing w:after="120"/>
        <w:rPr>
          <w:rFonts w:ascii="Humnst777 Lt BT" w:hAnsi="Humnst777 Lt BT"/>
          <w:sz w:val="22"/>
          <w:lang w:val="en-US"/>
        </w:rPr>
      </w:pPr>
      <w:bookmarkStart w:id="18" w:name="_Toc244667876"/>
      <w:r>
        <w:rPr>
          <w:rFonts w:ascii="Humnst777 Lt BT" w:hAnsi="Humnst777 Lt BT"/>
          <w:sz w:val="22"/>
          <w:lang w:val="en-US"/>
        </w:rPr>
        <w:t>3.4 Collective services</w:t>
      </w:r>
      <w:bookmarkEnd w:id="18"/>
    </w:p>
    <w:p w:rsidR="00CF385E" w:rsidRDefault="00CF385E" w:rsidP="008F0AB8">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Spending on collective services will only be classed as identifiable where services are delivered and consumed at a regional or local level.  Such spending will typically be delivered by a regional authority (devolved administration or RDA) but can also be delivered by a central government body.  Collective services delivered and/or consumed at a national level are classed as non-identifiable.</w:t>
      </w:r>
    </w:p>
    <w:p w:rsidR="00CF385E" w:rsidRDefault="00CF385E" w:rsidP="008F0AB8">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Collective services delivered and consumed at a regional or local level that are provided by a regional or local body should be allocated on the basis of location of the spending authority, e.g. spending by an RDA in its home region, and LA spending according to the region of each local authority.</w:t>
      </w:r>
    </w:p>
    <w:p w:rsidR="00CF385E" w:rsidRDefault="00CF385E" w:rsidP="008F0AB8">
      <w:pPr>
        <w:numPr>
          <w:ilvl w:val="0"/>
          <w:numId w:val="9"/>
        </w:numPr>
        <w:spacing w:after="120" w:line="360" w:lineRule="auto"/>
        <w:jc w:val="both"/>
        <w:rPr>
          <w:rFonts w:ascii="Humnst777 Lt BT" w:hAnsi="Humnst777 Lt BT" w:cs="Arial"/>
          <w:sz w:val="22"/>
        </w:rPr>
      </w:pPr>
      <w:r>
        <w:rPr>
          <w:rFonts w:ascii="Humnst777 Lt BT" w:hAnsi="Humnst777 Lt BT" w:cs="Arial"/>
          <w:sz w:val="22"/>
        </w:rPr>
        <w:lastRenderedPageBreak/>
        <w:t xml:space="preserve">  Spending on collective services by central government bodies that is classed as identifiable by region will be so classed because it is both delivered in a specific region and is (mostly) for the benefit of a regional or local community, rather than the national community.  Where region of delivery is a good proxy for the benefit from this expenditure, allocation should be according to the region of delivery.  Some environmental protection spending, e.g. flood defences, meets this description.  </w:t>
      </w:r>
    </w:p>
    <w:p w:rsidR="00CF385E" w:rsidRDefault="008F0AB8" w:rsidP="008F0AB8">
      <w:pPr>
        <w:spacing w:line="360" w:lineRule="auto"/>
        <w:rPr>
          <w:rFonts w:ascii="Humnst777 Lt BT" w:hAnsi="Humnst777 Lt BT" w:cs="Arial"/>
          <w:sz w:val="22"/>
        </w:rPr>
      </w:pPr>
      <w:r>
        <w:rPr>
          <w:rFonts w:ascii="Humnst777 Lt BT" w:hAnsi="Humnst777 Lt BT" w:cs="Arial"/>
          <w:b/>
          <w:bCs/>
          <w:i/>
          <w:iCs/>
          <w:sz w:val="22"/>
        </w:rPr>
        <w:t>Exception</w:t>
      </w:r>
      <w:r>
        <w:rPr>
          <w:rFonts w:ascii="Humnst777 Lt BT" w:hAnsi="Humnst777 Lt BT" w:cs="Arial"/>
          <w:sz w:val="22"/>
        </w:rPr>
        <w:t>: See next page.</w:t>
      </w:r>
      <w:r>
        <w:rPr>
          <w:rFonts w:ascii="Humnst777 Lt BT" w:hAnsi="Humnst777 Lt BT" w:cs="Arial"/>
          <w:b/>
          <w:bCs/>
          <w:i/>
          <w:iCs/>
          <w:sz w:val="22"/>
        </w:rPr>
        <w:br w:type="page"/>
      </w:r>
      <w:r w:rsidR="00CF385E">
        <w:rPr>
          <w:rFonts w:ascii="Humnst777 Lt BT" w:hAnsi="Humnst777 Lt BT" w:cs="Arial"/>
          <w:b/>
          <w:bCs/>
          <w:i/>
          <w:iCs/>
          <w:sz w:val="22"/>
        </w:rPr>
        <w:lastRenderedPageBreak/>
        <w:t>Exception</w:t>
      </w:r>
      <w:r w:rsidR="00CF385E">
        <w:rPr>
          <w:rFonts w:ascii="Humnst777 Lt BT" w:hAnsi="Humnst777 Lt BT" w:cs="Arial"/>
          <w:sz w:val="22"/>
        </w:rPr>
        <w:t>:</w:t>
      </w:r>
    </w:p>
    <w:p w:rsidR="00CF385E" w:rsidRDefault="00CF385E" w:rsidP="008F0AB8">
      <w:pPr>
        <w:spacing w:after="120" w:line="360" w:lineRule="auto"/>
        <w:jc w:val="both"/>
        <w:rPr>
          <w:rFonts w:ascii="Humnst777 Lt BT" w:hAnsi="Humnst777 Lt BT" w:cs="Arial"/>
          <w:i/>
          <w:iCs/>
          <w:sz w:val="22"/>
        </w:rPr>
      </w:pPr>
      <w:r>
        <w:rPr>
          <w:rFonts w:ascii="Humnst777 Lt BT" w:hAnsi="Humnst777 Lt BT" w:cs="Arial"/>
          <w:i/>
          <w:iCs/>
          <w:sz w:val="22"/>
        </w:rPr>
        <w:t>(</w:t>
      </w:r>
      <w:r w:rsidR="008F0AB8">
        <w:rPr>
          <w:rFonts w:ascii="Humnst777 Lt BT" w:hAnsi="Humnst777 Lt BT" w:cs="Arial"/>
          <w:i/>
          <w:iCs/>
          <w:sz w:val="22"/>
        </w:rPr>
        <w:t>i</w:t>
      </w:r>
      <w:r>
        <w:rPr>
          <w:rFonts w:ascii="Humnst777 Lt BT" w:hAnsi="Humnst777 Lt BT" w:cs="Arial"/>
          <w:i/>
          <w:iCs/>
          <w:sz w:val="22"/>
        </w:rPr>
        <w:t>) Where it is clear that region of delivery will not be a good proxy for location of benefits, estimates of the regional benefit of spending should use information on the residence of users/beneficiaries.</w:t>
      </w:r>
    </w:p>
    <w:p w:rsidR="00CF385E" w:rsidRDefault="00CF385E">
      <w:pPr>
        <w:spacing w:line="360" w:lineRule="auto"/>
        <w:jc w:val="both"/>
        <w:rPr>
          <w:rFonts w:ascii="Humnst777 Lt BT" w:hAnsi="Humnst777 Lt BT" w:cs="Arial"/>
          <w:i/>
          <w:iCs/>
          <w:sz w:val="22"/>
        </w:rPr>
      </w:pPr>
      <w:r>
        <w:rPr>
          <w:rFonts w:ascii="Humnst777 Lt BT" w:hAnsi="Humnst777 Lt BT" w:cs="Arial"/>
          <w:i/>
          <w:iCs/>
          <w:sz w:val="22"/>
        </w:rPr>
        <w:t>(</w:t>
      </w:r>
      <w:r w:rsidR="008F0AB8">
        <w:rPr>
          <w:rFonts w:ascii="Humnst777 Lt BT" w:hAnsi="Humnst777 Lt BT" w:cs="Arial"/>
          <w:i/>
          <w:iCs/>
          <w:sz w:val="22"/>
        </w:rPr>
        <w:t>ii</w:t>
      </w:r>
      <w:r>
        <w:rPr>
          <w:rFonts w:ascii="Humnst777 Lt BT" w:hAnsi="Humnst777 Lt BT" w:cs="Arial"/>
          <w:i/>
          <w:iCs/>
          <w:sz w:val="22"/>
        </w:rPr>
        <w:t xml:space="preserve">) Where spending is administrative spending in support of collective public services that are delivered and consumed by region, it will normally be classed as identifiable expenditure.  Such spending should be allocated in proportion to the regional allocation of the collective services spending that the administrative expenditure supports.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CF385E" w:rsidTr="00353FBA">
        <w:tc>
          <w:tcPr>
            <w:tcW w:w="8748" w:type="dxa"/>
          </w:tcPr>
          <w:p w:rsidR="00CF385E" w:rsidRDefault="00CF385E">
            <w:pPr>
              <w:pStyle w:val="Heading3"/>
              <w:spacing w:line="360" w:lineRule="auto"/>
              <w:rPr>
                <w:rFonts w:ascii="Humnst777 Lt BT" w:hAnsi="Humnst777 Lt BT"/>
                <w:sz w:val="22"/>
              </w:rPr>
            </w:pPr>
            <w:r>
              <w:rPr>
                <w:rFonts w:ascii="Humnst777 Lt BT" w:hAnsi="Humnst777 Lt BT"/>
                <w:sz w:val="22"/>
              </w:rPr>
              <w:t>Central services in support of regional collective services</w:t>
            </w:r>
          </w:p>
          <w:p w:rsidR="00CF385E" w:rsidRDefault="00CF385E">
            <w:pPr>
              <w:pStyle w:val="BodyText2"/>
              <w:spacing w:line="360" w:lineRule="auto"/>
              <w:rPr>
                <w:rFonts w:ascii="Humnst777 Lt BT" w:hAnsi="Humnst777 Lt BT" w:cs="Arial"/>
                <w:sz w:val="22"/>
              </w:rPr>
            </w:pPr>
            <w:r>
              <w:rPr>
                <w:rFonts w:ascii="Humnst777 Lt BT" w:hAnsi="Humnst777 Lt BT" w:cs="Arial"/>
                <w:sz w:val="22"/>
              </w:rPr>
              <w:t>For a number of areas of collective public services, spending by central government departments is for the most part delivered and consumed regionally, but there are a number of smaller sub-programmes that are national by nature.  For spending in these areas, the ‘national’ sub-programmes should be regarded as central services in support of the main regionally delivered services, and allocated over regions in proportion to the regionally delivered spending that they support.  These services include (examples of central services in brackets):</w:t>
            </w:r>
          </w:p>
          <w:p w:rsidR="00CF385E" w:rsidRDefault="00CF385E">
            <w:pPr>
              <w:numPr>
                <w:ilvl w:val="0"/>
                <w:numId w:val="12"/>
              </w:numPr>
              <w:spacing w:line="360" w:lineRule="auto"/>
              <w:jc w:val="both"/>
              <w:rPr>
                <w:rFonts w:ascii="Humnst777 Lt BT" w:hAnsi="Humnst777 Lt BT" w:cs="Arial"/>
                <w:sz w:val="22"/>
              </w:rPr>
            </w:pPr>
            <w:r>
              <w:rPr>
                <w:rFonts w:ascii="Humnst777 Lt BT" w:hAnsi="Humnst777 Lt BT" w:cs="Arial"/>
                <w:sz w:val="22"/>
              </w:rPr>
              <w:t xml:space="preserve">policing (forensic science service, national criminal intelligence service); </w:t>
            </w:r>
          </w:p>
          <w:p w:rsidR="00CF385E" w:rsidRDefault="00CF385E">
            <w:pPr>
              <w:numPr>
                <w:ilvl w:val="0"/>
                <w:numId w:val="12"/>
              </w:numPr>
              <w:spacing w:line="360" w:lineRule="auto"/>
              <w:jc w:val="both"/>
              <w:rPr>
                <w:rFonts w:ascii="Humnst777 Lt BT" w:hAnsi="Humnst777 Lt BT" w:cs="Arial"/>
                <w:sz w:val="22"/>
              </w:rPr>
            </w:pPr>
            <w:r>
              <w:rPr>
                <w:rFonts w:ascii="Humnst777 Lt BT" w:hAnsi="Humnst777 Lt BT" w:cs="Arial"/>
                <w:sz w:val="22"/>
              </w:rPr>
              <w:t>administration of justice (legal services commission);</w:t>
            </w:r>
          </w:p>
          <w:p w:rsidR="00CF385E" w:rsidRDefault="00CF385E">
            <w:pPr>
              <w:numPr>
                <w:ilvl w:val="0"/>
                <w:numId w:val="12"/>
              </w:numPr>
              <w:spacing w:line="360" w:lineRule="auto"/>
              <w:jc w:val="both"/>
              <w:rPr>
                <w:rFonts w:ascii="Humnst777 Lt BT" w:hAnsi="Humnst777 Lt BT" w:cs="Arial"/>
                <w:sz w:val="22"/>
              </w:rPr>
            </w:pPr>
            <w:r>
              <w:rPr>
                <w:rFonts w:ascii="Humnst777 Lt BT" w:hAnsi="Humnst777 Lt BT" w:cs="Arial"/>
                <w:sz w:val="22"/>
              </w:rPr>
              <w:t>fire service (fire service college);</w:t>
            </w:r>
          </w:p>
          <w:p w:rsidR="00CF385E" w:rsidRDefault="00CF385E">
            <w:pPr>
              <w:numPr>
                <w:ilvl w:val="0"/>
                <w:numId w:val="12"/>
              </w:numPr>
              <w:spacing w:line="360" w:lineRule="auto"/>
              <w:jc w:val="both"/>
              <w:rPr>
                <w:rFonts w:ascii="Humnst777 Lt BT" w:hAnsi="Humnst777 Lt BT" w:cs="Arial"/>
                <w:sz w:val="22"/>
              </w:rPr>
            </w:pPr>
            <w:r>
              <w:rPr>
                <w:rFonts w:ascii="Humnst777 Lt BT" w:hAnsi="Humnst777 Lt BT" w:cs="Arial"/>
                <w:sz w:val="22"/>
              </w:rPr>
              <w:t>secondary schools (qualifications framework);</w:t>
            </w:r>
          </w:p>
          <w:p w:rsidR="00CF385E" w:rsidRDefault="00CF385E">
            <w:pPr>
              <w:numPr>
                <w:ilvl w:val="0"/>
                <w:numId w:val="12"/>
              </w:numPr>
              <w:spacing w:after="120" w:line="360" w:lineRule="auto"/>
              <w:jc w:val="both"/>
              <w:rPr>
                <w:rFonts w:ascii="Humnst777 Lt BT" w:hAnsi="Humnst777 Lt BT" w:cs="Arial"/>
                <w:sz w:val="22"/>
              </w:rPr>
            </w:pPr>
            <w:r>
              <w:rPr>
                <w:rFonts w:ascii="Humnst777 Lt BT" w:hAnsi="Humnst777 Lt BT" w:cs="Arial"/>
                <w:sz w:val="22"/>
              </w:rPr>
              <w:t>road transport (highways agency administration).</w:t>
            </w:r>
          </w:p>
          <w:p w:rsidR="00CF385E" w:rsidRDefault="00CF385E">
            <w:pPr>
              <w:spacing w:line="360" w:lineRule="auto"/>
              <w:jc w:val="both"/>
              <w:rPr>
                <w:rFonts w:ascii="Humnst777 Lt BT" w:hAnsi="Humnst777 Lt BT" w:cs="Arial"/>
                <w:sz w:val="22"/>
              </w:rPr>
            </w:pPr>
            <w:r>
              <w:rPr>
                <w:rFonts w:ascii="Humnst777 Lt BT" w:hAnsi="Humnst777 Lt BT" w:cs="Arial"/>
                <w:sz w:val="22"/>
              </w:rPr>
              <w:t>In some cases, e.g. policing, secondary schools, the majority of spending is by local authorities, and the proportions used to allocate central service spending by region should take account of the regional distribution of LA spending in that service area.</w:t>
            </w:r>
          </w:p>
        </w:tc>
      </w:tr>
    </w:tbl>
    <w:p w:rsidR="00CF385E" w:rsidRDefault="00CF385E">
      <w:pPr>
        <w:spacing w:line="360" w:lineRule="auto"/>
        <w:jc w:val="both"/>
        <w:rPr>
          <w:rFonts w:ascii="Humnst777 Lt BT" w:hAnsi="Humnst777 Lt BT" w:cs="Arial"/>
          <w:sz w:val="22"/>
        </w:rPr>
      </w:pPr>
      <w:r>
        <w:rPr>
          <w:rFonts w:ascii="Humnst777 Lt BT" w:hAnsi="Humnst777 Lt BT" w:cs="Arial"/>
          <w:sz w:val="22"/>
        </w:rPr>
        <w:t xml:space="preserve"> </w:t>
      </w:r>
    </w:p>
    <w:p w:rsidR="00CF385E" w:rsidRDefault="00CF385E" w:rsidP="00353FBA">
      <w:pPr>
        <w:pStyle w:val="Heading2"/>
        <w:spacing w:after="120"/>
        <w:rPr>
          <w:rFonts w:ascii="Humnst777 Lt BT" w:hAnsi="Humnst777 Lt BT"/>
          <w:sz w:val="22"/>
        </w:rPr>
      </w:pPr>
      <w:bookmarkStart w:id="19" w:name="_Capital_expenditure_(capital"/>
      <w:bookmarkStart w:id="20" w:name="_Toc244667877"/>
      <w:bookmarkEnd w:id="19"/>
      <w:r>
        <w:rPr>
          <w:rFonts w:ascii="Humnst777 Lt BT" w:hAnsi="Humnst777 Lt BT"/>
          <w:sz w:val="22"/>
        </w:rPr>
        <w:t>3.5 Capital expenditure (capital formation)</w:t>
      </w:r>
      <w:bookmarkEnd w:id="20"/>
    </w:p>
    <w:p w:rsidR="00CF385E" w:rsidRDefault="00CF385E" w:rsidP="008F0AB8">
      <w:pPr>
        <w:pStyle w:val="BodyTextIndent"/>
        <w:numPr>
          <w:ilvl w:val="0"/>
          <w:numId w:val="9"/>
        </w:numPr>
        <w:spacing w:line="360" w:lineRule="auto"/>
        <w:jc w:val="both"/>
        <w:rPr>
          <w:rFonts w:ascii="Humnst777 Lt BT" w:hAnsi="Humnst777 Lt BT" w:cs="Arial"/>
          <w:sz w:val="22"/>
        </w:rPr>
      </w:pPr>
      <w:r>
        <w:rPr>
          <w:rFonts w:ascii="Humnst777 Lt BT" w:hAnsi="Humnst777 Lt BT" w:cs="Arial"/>
          <w:sz w:val="22"/>
        </w:rPr>
        <w:t xml:space="preserve">  The general principle for allocating identifiable capital expenditure by region should be to identify which current expenditure the capital spending supports, and allocate spending to beneficiaries according to the regional distribution method of current spending on those services.  For capital spending in support of public services supplied to individuals, and also in support of transfer payments, the general principle for allocating capital spending should </w:t>
      </w:r>
      <w:r>
        <w:rPr>
          <w:rFonts w:ascii="Humnst777 Lt BT" w:hAnsi="Humnst777 Lt BT" w:cs="Arial"/>
          <w:sz w:val="22"/>
        </w:rPr>
        <w:lastRenderedPageBreak/>
        <w:t xml:space="preserve">be with reference to the residence/location of the recipient, or direct beneficiary of the current expenditure. </w:t>
      </w:r>
    </w:p>
    <w:p w:rsidR="00CF385E" w:rsidRDefault="00CF385E" w:rsidP="00353FBA">
      <w:pPr>
        <w:pStyle w:val="BodyTextIndent"/>
        <w:numPr>
          <w:ilvl w:val="0"/>
          <w:numId w:val="9"/>
        </w:numPr>
        <w:spacing w:after="0" w:line="360" w:lineRule="auto"/>
        <w:jc w:val="both"/>
        <w:rPr>
          <w:rFonts w:ascii="Humnst777 Lt BT" w:hAnsi="Humnst777 Lt BT" w:cs="Arial"/>
          <w:sz w:val="22"/>
        </w:rPr>
      </w:pPr>
      <w:r>
        <w:rPr>
          <w:rFonts w:ascii="Humnst777 Lt BT" w:hAnsi="Humnst777 Lt BT" w:cs="Arial"/>
          <w:sz w:val="22"/>
        </w:rPr>
        <w:t xml:space="preserve">  Where the public services that capital spending supports are collective services, allocation of capital spending by region will depend on whether the associated services are delivered nationally, or regionally/locally.  Capital spending in support of collective services that is delivered nationally will be classed as non-identifiable expenditure; departments are not being asked to allocate such spending by region. </w:t>
      </w:r>
    </w:p>
    <w:p w:rsidR="00CF385E" w:rsidRDefault="00CF385E" w:rsidP="008F0AB8">
      <w:pPr>
        <w:pStyle w:val="BodyTextIndent"/>
        <w:numPr>
          <w:ilvl w:val="0"/>
          <w:numId w:val="9"/>
        </w:numPr>
        <w:spacing w:line="360" w:lineRule="auto"/>
        <w:jc w:val="both"/>
        <w:rPr>
          <w:rFonts w:ascii="Humnst777 Lt BT" w:hAnsi="Humnst777 Lt BT" w:cs="Arial"/>
          <w:sz w:val="22"/>
        </w:rPr>
      </w:pPr>
      <w:r>
        <w:rPr>
          <w:rFonts w:ascii="Humnst777 Lt BT" w:hAnsi="Humnst777 Lt BT" w:cs="Arial"/>
          <w:sz w:val="22"/>
        </w:rPr>
        <w:t xml:space="preserve">  For most capital spending in support of services to individuals and transfers, it will be possible to use place of delivery of the capital asset (generally location of the government unit taking delivery of the asset) as a proxy for location of benefits.  But there will be some cases where place of delivery is not a good proxy.</w:t>
      </w:r>
    </w:p>
    <w:p w:rsidR="00CF385E" w:rsidRPr="003C4300" w:rsidRDefault="00CF385E" w:rsidP="003C4300">
      <w:pPr>
        <w:spacing w:after="120" w:line="360" w:lineRule="auto"/>
        <w:jc w:val="both"/>
        <w:rPr>
          <w:rFonts w:ascii="Humnst777 Lt BT" w:hAnsi="Humnst777 Lt BT" w:cs="Arial"/>
          <w:sz w:val="22"/>
        </w:rPr>
      </w:pPr>
      <w:r>
        <w:rPr>
          <w:rFonts w:ascii="Humnst777 Lt BT" w:hAnsi="Humnst777 Lt BT" w:cs="Arial"/>
          <w:b/>
          <w:bCs/>
          <w:i/>
          <w:iCs/>
          <w:sz w:val="22"/>
        </w:rPr>
        <w:t>Exception</w:t>
      </w:r>
      <w:r>
        <w:rPr>
          <w:rFonts w:ascii="Humnst777 Lt BT" w:hAnsi="Humnst777 Lt BT" w:cs="Arial"/>
          <w:sz w:val="22"/>
        </w:rPr>
        <w:t>:</w:t>
      </w:r>
      <w:r w:rsidR="003C4300">
        <w:rPr>
          <w:rFonts w:ascii="Humnst777 Lt BT" w:hAnsi="Humnst777 Lt BT" w:cs="Arial"/>
          <w:sz w:val="22"/>
        </w:rPr>
        <w:t xml:space="preserve"> </w:t>
      </w:r>
      <w:r>
        <w:rPr>
          <w:rFonts w:ascii="Humnst777 Lt BT" w:hAnsi="Humnst777 Lt BT" w:cs="Arial"/>
          <w:i/>
          <w:iCs/>
          <w:sz w:val="22"/>
        </w:rPr>
        <w:t>Where it is clear that place of delivery of capital asset will not be a good proxy for location of benefits, estimates of the regional allocation of spending need to use information on the regional distribution of the services that the capital spending is expected to support.  An example is IT assets delivered to a central computer centre that supports services over the country as a whole, or over a number of regions.</w:t>
      </w:r>
    </w:p>
    <w:p w:rsidR="00CF385E" w:rsidRDefault="00CF385E">
      <w:pPr>
        <w:pStyle w:val="BodyTextIndent"/>
        <w:numPr>
          <w:ilvl w:val="0"/>
          <w:numId w:val="9"/>
        </w:numPr>
        <w:spacing w:line="360" w:lineRule="auto"/>
        <w:jc w:val="both"/>
        <w:rPr>
          <w:rFonts w:ascii="Humnst777 Lt BT" w:hAnsi="Humnst777 Lt BT" w:cs="Arial"/>
          <w:sz w:val="22"/>
        </w:rPr>
      </w:pPr>
      <w:r>
        <w:rPr>
          <w:rFonts w:ascii="Humnst777 Lt BT" w:hAnsi="Humnst777 Lt BT" w:cs="Arial"/>
          <w:sz w:val="22"/>
        </w:rPr>
        <w:t xml:space="preserve">  As with current expenditure, capital spending in support of collective services provided at a regional or local level</w:t>
      </w:r>
      <w:r>
        <w:rPr>
          <w:rFonts w:ascii="Humnst777 Lt BT" w:hAnsi="Humnst777 Lt BT" w:cs="Arial"/>
          <w:b/>
          <w:bCs/>
          <w:i/>
          <w:iCs/>
          <w:sz w:val="22"/>
        </w:rPr>
        <w:t xml:space="preserve"> </w:t>
      </w:r>
      <w:r>
        <w:rPr>
          <w:rFonts w:ascii="Humnst777 Lt BT" w:hAnsi="Humnst777 Lt BT" w:cs="Arial"/>
          <w:sz w:val="22"/>
        </w:rPr>
        <w:t>should be allocated on the basis of location of spending authority, or, where delivered regionally or locally by a central government body, on the basis of region of delivery.</w:t>
      </w:r>
    </w:p>
    <w:p w:rsidR="00CF385E" w:rsidRPr="003C4300" w:rsidRDefault="00CF385E" w:rsidP="003C4300">
      <w:pPr>
        <w:spacing w:after="120" w:line="360" w:lineRule="auto"/>
        <w:jc w:val="both"/>
        <w:rPr>
          <w:rFonts w:ascii="Humnst777 Lt BT" w:hAnsi="Humnst777 Lt BT" w:cs="Arial"/>
          <w:sz w:val="22"/>
        </w:rPr>
      </w:pPr>
      <w:r>
        <w:rPr>
          <w:rFonts w:ascii="Humnst777 Lt BT" w:hAnsi="Humnst777 Lt BT" w:cs="Arial"/>
          <w:b/>
          <w:bCs/>
          <w:i/>
          <w:iCs/>
          <w:sz w:val="22"/>
        </w:rPr>
        <w:t>Exception</w:t>
      </w:r>
      <w:r>
        <w:rPr>
          <w:rFonts w:ascii="Humnst777 Lt BT" w:hAnsi="Humnst777 Lt BT" w:cs="Arial"/>
          <w:sz w:val="22"/>
        </w:rPr>
        <w:t>:</w:t>
      </w:r>
      <w:r w:rsidR="003C4300">
        <w:rPr>
          <w:rFonts w:ascii="Humnst777 Lt BT" w:hAnsi="Humnst777 Lt BT" w:cs="Arial"/>
          <w:sz w:val="22"/>
        </w:rPr>
        <w:t xml:space="preserve"> </w:t>
      </w:r>
      <w:r>
        <w:rPr>
          <w:rFonts w:ascii="Humnst777 Lt BT" w:hAnsi="Humnst777 Lt BT" w:cs="Arial"/>
          <w:i/>
          <w:iCs/>
          <w:sz w:val="22"/>
        </w:rPr>
        <w:t xml:space="preserve">Where it is clear that region of delivery of capital asset will not be a good proxy for location of benefits, estimates of the regional benefit of spending should use information on the regional distribution of the benefit from the services that the capital spending is expected to support.  </w:t>
      </w:r>
    </w:p>
    <w:p w:rsidR="00CF385E" w:rsidRPr="00353FBA" w:rsidRDefault="00CF385E" w:rsidP="003C4300">
      <w:pPr>
        <w:numPr>
          <w:ilvl w:val="0"/>
          <w:numId w:val="9"/>
        </w:numPr>
        <w:spacing w:after="120" w:line="360" w:lineRule="auto"/>
        <w:jc w:val="both"/>
        <w:rPr>
          <w:rFonts w:ascii="Humnst777 Lt BT" w:hAnsi="Humnst777 Lt BT" w:cs="Arial"/>
          <w:sz w:val="22"/>
        </w:rPr>
      </w:pPr>
      <w:r>
        <w:rPr>
          <w:rFonts w:ascii="Humnst777 Lt BT" w:hAnsi="Humnst777 Lt BT" w:cs="Arial"/>
          <w:sz w:val="22"/>
        </w:rPr>
        <w:t xml:space="preserve">  Capital spending in support of collective services provided at a national level should be regarded, like current spending on such services, as non-identifiable by region; departments are not being asked to allocate such spending by region.</w:t>
      </w:r>
      <w:r w:rsidRPr="00353FBA">
        <w:rPr>
          <w:rFonts w:ascii="Humnst777 Lt BT" w:hAnsi="Humnst777 Lt BT" w:cs="Arial"/>
          <w:sz w:val="22"/>
        </w:rPr>
        <w:t xml:space="preserve"> </w:t>
      </w:r>
      <w:bookmarkEnd w:id="13"/>
    </w:p>
    <w:p w:rsidR="00CF385E" w:rsidRDefault="00CF385E">
      <w:pPr>
        <w:numPr>
          <w:ilvl w:val="0"/>
          <w:numId w:val="9"/>
        </w:numPr>
        <w:spacing w:line="360" w:lineRule="auto"/>
        <w:jc w:val="both"/>
        <w:rPr>
          <w:rFonts w:ascii="Humnst777 Lt BT" w:hAnsi="Humnst777 Lt BT" w:cs="Arial"/>
          <w:sz w:val="22"/>
        </w:rPr>
      </w:pPr>
      <w:r>
        <w:rPr>
          <w:rFonts w:ascii="Humnst777 Lt BT" w:hAnsi="Humnst777 Lt BT" w:cs="Arial"/>
          <w:i/>
          <w:iCs/>
          <w:sz w:val="22"/>
        </w:rPr>
        <w:t xml:space="preserve"> </w:t>
      </w:r>
      <w:r>
        <w:rPr>
          <w:rFonts w:ascii="Humnst777 Lt BT" w:hAnsi="Humnst777 Lt BT" w:cs="Arial"/>
          <w:sz w:val="22"/>
        </w:rPr>
        <w:t>Capital spending by PCs should be allocated by region on the basis of the beneficiaries of the service provided.  Given that PCs are trading bodies this will usually be with reference to the location of the customer.</w:t>
      </w:r>
      <w:bookmarkStart w:id="21" w:name="_Section_2._Rules"/>
      <w:bookmarkEnd w:id="1"/>
      <w:bookmarkEnd w:id="21"/>
    </w:p>
    <w:sectPr w:rsidR="00CF385E" w:rsidSect="003C6B2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69" w:rsidRDefault="00A95469">
      <w:r>
        <w:separator/>
      </w:r>
    </w:p>
  </w:endnote>
  <w:endnote w:type="continuationSeparator" w:id="0">
    <w:p w:rsidR="00A95469" w:rsidRDefault="00A95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umnst777 Lt BT">
    <w:panose1 w:val="020B0402030504020204"/>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69" w:rsidRDefault="001F5B4E" w:rsidP="00F14DA3">
    <w:pPr>
      <w:pStyle w:val="Footer"/>
      <w:framePr w:wrap="around" w:vAnchor="text" w:hAnchor="margin" w:xAlign="right" w:y="1"/>
      <w:jc w:val="center"/>
      <w:rPr>
        <w:rStyle w:val="PageNumber"/>
      </w:rPr>
    </w:pPr>
    <w:r>
      <w:rPr>
        <w:rStyle w:val="PageNumber"/>
      </w:rPr>
      <w:fldChar w:fldCharType="begin"/>
    </w:r>
    <w:r w:rsidR="00A95469" w:rsidRPr="0040219E">
      <w:rPr>
        <w:rStyle w:val="PageNumber"/>
        <w:rFonts w:ascii="Calibri" w:hAnsi="Calibri"/>
        <w:color w:val="000000"/>
        <w:sz w:val="22"/>
      </w:rPr>
      <w:instrText xml:space="preserve"> DOCPROPERTY  bjDocumentSecurityLabel"  \* MERGEFORMAT </w:instrText>
    </w:r>
    <w:r>
      <w:rPr>
        <w:rStyle w:val="PageNumber"/>
      </w:rPr>
      <w:fldChar w:fldCharType="separate"/>
    </w:r>
    <w:r w:rsidR="0040219E">
      <w:rPr>
        <w:rStyle w:val="PageNumber"/>
        <w:rFonts w:ascii="Calibri" w:hAnsi="Calibri"/>
        <w:color w:val="000000"/>
        <w:sz w:val="22"/>
      </w:rPr>
      <w:t>UNCLASSIFIED</w:t>
    </w:r>
    <w:r>
      <w:rPr>
        <w:rStyle w:val="PageNumber"/>
      </w:rPr>
      <w:fldChar w:fldCharType="end"/>
    </w:r>
    <w:r>
      <w:rPr>
        <w:rStyle w:val="PageNumber"/>
      </w:rPr>
      <w:fldChar w:fldCharType="begin"/>
    </w:r>
    <w:r w:rsidR="00A95469">
      <w:rPr>
        <w:rStyle w:val="PageNumber"/>
      </w:rPr>
      <w:instrText xml:space="preserve">PAGE  </w:instrText>
    </w:r>
    <w:r>
      <w:rPr>
        <w:rStyle w:val="PageNumber"/>
      </w:rPr>
      <w:fldChar w:fldCharType="end"/>
    </w:r>
  </w:p>
  <w:p w:rsidR="00A95469" w:rsidRDefault="00A95469" w:rsidP="00F14DA3">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69" w:rsidRDefault="001F5B4E" w:rsidP="00F14DA3">
    <w:pPr>
      <w:pStyle w:val="Footer"/>
      <w:framePr w:wrap="around" w:vAnchor="text" w:hAnchor="margin" w:xAlign="right" w:y="1"/>
      <w:jc w:val="center"/>
      <w:rPr>
        <w:rStyle w:val="PageNumber"/>
      </w:rPr>
    </w:pPr>
    <w:r>
      <w:rPr>
        <w:rStyle w:val="PageNumber"/>
      </w:rPr>
      <w:fldChar w:fldCharType="begin"/>
    </w:r>
    <w:r w:rsidR="00A95469" w:rsidRPr="0040219E">
      <w:rPr>
        <w:rStyle w:val="PageNumber"/>
        <w:rFonts w:ascii="Calibri" w:hAnsi="Calibri"/>
        <w:color w:val="000000"/>
        <w:sz w:val="22"/>
      </w:rPr>
      <w:instrText xml:space="preserve"> DOCPROPERTY  bjDocumentSecurityLabel"  \* MERGEFORMAT </w:instrText>
    </w:r>
    <w:r>
      <w:rPr>
        <w:rStyle w:val="PageNumber"/>
      </w:rPr>
      <w:fldChar w:fldCharType="separate"/>
    </w:r>
    <w:r w:rsidR="0040219E">
      <w:rPr>
        <w:rStyle w:val="PageNumber"/>
        <w:rFonts w:ascii="Calibri" w:hAnsi="Calibri"/>
        <w:color w:val="000000"/>
        <w:sz w:val="22"/>
      </w:rPr>
      <w:t>UNCLASSIFIED</w:t>
    </w:r>
    <w:r>
      <w:rPr>
        <w:rStyle w:val="PageNumber"/>
      </w:rPr>
      <w:fldChar w:fldCharType="end"/>
    </w:r>
  </w:p>
  <w:p w:rsidR="00A95469" w:rsidRDefault="001F5B4E" w:rsidP="00F14DA3">
    <w:pPr>
      <w:pStyle w:val="Footer"/>
      <w:framePr w:wrap="around" w:vAnchor="text" w:hAnchor="margin" w:xAlign="right" w:y="1"/>
      <w:jc w:val="center"/>
      <w:rPr>
        <w:rStyle w:val="PageNumber"/>
      </w:rPr>
    </w:pPr>
    <w:r>
      <w:rPr>
        <w:rStyle w:val="PageNumber"/>
      </w:rPr>
      <w:fldChar w:fldCharType="begin"/>
    </w:r>
    <w:r w:rsidR="00A95469">
      <w:rPr>
        <w:rStyle w:val="PageNumber"/>
      </w:rPr>
      <w:instrText xml:space="preserve">PAGE  </w:instrText>
    </w:r>
    <w:r>
      <w:rPr>
        <w:rStyle w:val="PageNumber"/>
      </w:rPr>
      <w:fldChar w:fldCharType="separate"/>
    </w:r>
    <w:r w:rsidR="0040219E">
      <w:rPr>
        <w:rStyle w:val="PageNumber"/>
      </w:rPr>
      <w:t>1</w:t>
    </w:r>
    <w:r>
      <w:rPr>
        <w:rStyle w:val="PageNumber"/>
      </w:rPr>
      <w:fldChar w:fldCharType="end"/>
    </w:r>
  </w:p>
  <w:p w:rsidR="00A95469" w:rsidRDefault="00A95469" w:rsidP="00F14DA3">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69" w:rsidRDefault="001F5B4E" w:rsidP="00F14DA3">
    <w:pPr>
      <w:pStyle w:val="Footer"/>
      <w:jc w:val="center"/>
    </w:pPr>
    <w:r>
      <w:fldChar w:fldCharType="begin"/>
    </w:r>
    <w:r w:rsidR="00A95469" w:rsidRPr="0040219E">
      <w:rPr>
        <w:rFonts w:ascii="Calibri" w:hAnsi="Calibri"/>
        <w:color w:val="000000"/>
        <w:sz w:val="22"/>
      </w:rPr>
      <w:instrText xml:space="preserve"> DOCPROPERTY  bjDocumentSecurityLabel"  \* MERGEFORMAT </w:instrText>
    </w:r>
    <w:r>
      <w:fldChar w:fldCharType="separate"/>
    </w:r>
    <w:r w:rsidR="0040219E">
      <w:rPr>
        <w:rFonts w:ascii="Calibri" w:hAnsi="Calibri"/>
        <w:color w:val="000000"/>
        <w:sz w:val="22"/>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69" w:rsidRDefault="00A95469">
      <w:r>
        <w:separator/>
      </w:r>
    </w:p>
  </w:footnote>
  <w:footnote w:type="continuationSeparator" w:id="0">
    <w:p w:rsidR="00A95469" w:rsidRDefault="00A95469">
      <w:r>
        <w:continuationSeparator/>
      </w:r>
    </w:p>
  </w:footnote>
  <w:footnote w:id="1">
    <w:p w:rsidR="00A95469" w:rsidRDefault="00A95469">
      <w:pPr>
        <w:pStyle w:val="FootnoteText"/>
        <w:rPr>
          <w:rFonts w:ascii="MS Reference Sans Serif" w:hAnsi="MS Reference Sans Serif"/>
          <w:sz w:val="16"/>
        </w:rPr>
      </w:pPr>
      <w:r>
        <w:rPr>
          <w:rStyle w:val="FootnoteReference"/>
          <w:rFonts w:ascii="MS Reference Sans Serif" w:hAnsi="MS Reference Sans Serif"/>
          <w:sz w:val="16"/>
        </w:rPr>
        <w:footnoteRef/>
      </w:r>
      <w:r>
        <w:rPr>
          <w:rFonts w:ascii="MS Reference Sans Serif" w:hAnsi="MS Reference Sans Serif"/>
          <w:sz w:val="16"/>
        </w:rPr>
        <w:t xml:space="preserve"> PCSPS, Judicial Pension Scheme, DfID: Overseas Superannuation, Teachers’ Pension Scheme, NHS Pension Scheme, UKAEA Superannuation Schemes, Armed Forces retired pay and pensions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69" w:rsidRDefault="001F5B4E" w:rsidP="00F14DA3">
    <w:pPr>
      <w:pStyle w:val="Header"/>
      <w:jc w:val="center"/>
    </w:pPr>
    <w:r>
      <w:fldChar w:fldCharType="begin"/>
    </w:r>
    <w:r w:rsidR="00A95469" w:rsidRPr="0040219E">
      <w:rPr>
        <w:rFonts w:ascii="Calibri" w:hAnsi="Calibri"/>
        <w:color w:val="000000"/>
        <w:sz w:val="22"/>
      </w:rPr>
      <w:instrText xml:space="preserve"> DOCPROPERTY  bjDocumentSecurityLabel"  \* MERGEFORMAT </w:instrText>
    </w:r>
    <w:r>
      <w:fldChar w:fldCharType="separate"/>
    </w:r>
    <w:r w:rsidR="0040219E">
      <w:rPr>
        <w:rFonts w:ascii="Calibri" w:hAnsi="Calibri"/>
        <w:color w:val="000000"/>
        <w:sz w:val="22"/>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69" w:rsidRDefault="001F5B4E" w:rsidP="00F14DA3">
    <w:pPr>
      <w:pStyle w:val="Header"/>
      <w:jc w:val="center"/>
    </w:pPr>
    <w:r>
      <w:fldChar w:fldCharType="begin"/>
    </w:r>
    <w:r w:rsidR="00A95469" w:rsidRPr="0040219E">
      <w:rPr>
        <w:rFonts w:ascii="Calibri" w:hAnsi="Calibri"/>
        <w:color w:val="000000"/>
        <w:sz w:val="22"/>
      </w:rPr>
      <w:instrText xml:space="preserve"> DOCPROPERTY  bjDocumentSecurityLabel"  \* MERGEFORMAT </w:instrText>
    </w:r>
    <w:r>
      <w:fldChar w:fldCharType="separate"/>
    </w:r>
    <w:r w:rsidR="0040219E">
      <w:rPr>
        <w:rFonts w:ascii="Calibri" w:hAnsi="Calibri"/>
        <w:color w:val="000000"/>
        <w:sz w:val="22"/>
      </w:rPr>
      <w:t>UNCLASSIFIED</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69" w:rsidRDefault="001F5B4E" w:rsidP="00F14DA3">
    <w:pPr>
      <w:pStyle w:val="Header"/>
      <w:jc w:val="center"/>
    </w:pPr>
    <w:r>
      <w:fldChar w:fldCharType="begin"/>
    </w:r>
    <w:r w:rsidR="00A95469" w:rsidRPr="0040219E">
      <w:rPr>
        <w:rFonts w:ascii="Calibri" w:hAnsi="Calibri"/>
        <w:color w:val="000000"/>
        <w:sz w:val="22"/>
      </w:rPr>
      <w:instrText xml:space="preserve"> DOCPROPERTY  bjDocumentSecurityLabel"  \* MERGEFORMAT </w:instrText>
    </w:r>
    <w:r>
      <w:fldChar w:fldCharType="separate"/>
    </w:r>
    <w:r w:rsidR="0040219E">
      <w:rPr>
        <w:rFonts w:ascii="Calibri" w:hAnsi="Calibri"/>
        <w:color w:val="000000"/>
        <w:sz w:val="22"/>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80620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B969B7A"/>
    <w:lvl w:ilvl="0">
      <w:numFmt w:val="decimal"/>
      <w:lvlText w:val="*"/>
      <w:lvlJc w:val="left"/>
    </w:lvl>
  </w:abstractNum>
  <w:abstractNum w:abstractNumId="2">
    <w:nsid w:val="01695158"/>
    <w:multiLevelType w:val="hybridMultilevel"/>
    <w:tmpl w:val="E20463AA"/>
    <w:lvl w:ilvl="0" w:tplc="08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077"/>
        </w:tabs>
        <w:ind w:left="1077" w:hanging="360"/>
      </w:pPr>
      <w:rPr>
        <w:rFonts w:ascii="Courier New" w:hAnsi="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3">
    <w:nsid w:val="0403255F"/>
    <w:multiLevelType w:val="hybridMultilevel"/>
    <w:tmpl w:val="D6481E76"/>
    <w:lvl w:ilvl="0" w:tplc="D6D0A156">
      <w:start w:val="1"/>
      <w:numFmt w:val="decimal"/>
      <w:lvlText w:val="%1."/>
      <w:lvlJc w:val="left"/>
      <w:pPr>
        <w:tabs>
          <w:tab w:val="num" w:pos="360"/>
        </w:tabs>
        <w:ind w:left="0" w:firstLine="0"/>
      </w:pPr>
      <w:rPr>
        <w:rFonts w:hint="default"/>
        <w:b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C6BE3"/>
    <w:multiLevelType w:val="hybridMultilevel"/>
    <w:tmpl w:val="40B26CFA"/>
    <w:lvl w:ilvl="0" w:tplc="505A00A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20209"/>
    <w:multiLevelType w:val="hybridMultilevel"/>
    <w:tmpl w:val="80B8AFE8"/>
    <w:lvl w:ilvl="0" w:tplc="D116C136">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95016"/>
    <w:multiLevelType w:val="hybridMultilevel"/>
    <w:tmpl w:val="8B54891A"/>
    <w:lvl w:ilvl="0" w:tplc="370419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D2584"/>
    <w:multiLevelType w:val="hybridMultilevel"/>
    <w:tmpl w:val="24E26F1C"/>
    <w:lvl w:ilvl="0" w:tplc="FCB8E552">
      <w:start w:val="1"/>
      <w:numFmt w:val="bullet"/>
      <w:lvlText w:val=""/>
      <w:lvlJc w:val="left"/>
      <w:pPr>
        <w:tabs>
          <w:tab w:val="num" w:pos="624"/>
        </w:tabs>
        <w:ind w:left="62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DE152E"/>
    <w:multiLevelType w:val="hybridMultilevel"/>
    <w:tmpl w:val="8B54891A"/>
    <w:lvl w:ilvl="0" w:tplc="0409000F">
      <w:start w:val="1"/>
      <w:numFmt w:val="decimal"/>
      <w:lvlText w:val="%1."/>
      <w:lvlJc w:val="left"/>
      <w:pPr>
        <w:tabs>
          <w:tab w:val="num" w:pos="720"/>
        </w:tabs>
        <w:ind w:left="720" w:hanging="360"/>
      </w:p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8458B"/>
    <w:multiLevelType w:val="hybridMultilevel"/>
    <w:tmpl w:val="3C6A3060"/>
    <w:lvl w:ilvl="0" w:tplc="D322521A">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2D597E"/>
    <w:multiLevelType w:val="hybridMultilevel"/>
    <w:tmpl w:val="24E26F1C"/>
    <w:lvl w:ilvl="0" w:tplc="4714521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3B1E83"/>
    <w:multiLevelType w:val="hybridMultilevel"/>
    <w:tmpl w:val="ED766076"/>
    <w:lvl w:ilvl="0" w:tplc="08090001">
      <w:start w:val="1"/>
      <w:numFmt w:val="bullet"/>
      <w:lvlText w:val=""/>
      <w:lvlJc w:val="left"/>
      <w:pPr>
        <w:tabs>
          <w:tab w:val="num" w:pos="360"/>
        </w:tabs>
        <w:ind w:left="360" w:hanging="360"/>
      </w:pPr>
      <w:rPr>
        <w:rFonts w:ascii="Symbol" w:hAnsi="Symbol" w:hint="default"/>
      </w:rPr>
    </w:lvl>
    <w:lvl w:ilvl="1" w:tplc="79D07E20">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A08E9"/>
    <w:multiLevelType w:val="hybridMultilevel"/>
    <w:tmpl w:val="80B8AFE8"/>
    <w:lvl w:ilvl="0" w:tplc="EF36890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E2639"/>
    <w:multiLevelType w:val="hybridMultilevel"/>
    <w:tmpl w:val="35BE163E"/>
    <w:lvl w:ilvl="0" w:tplc="08090001">
      <w:start w:val="1"/>
      <w:numFmt w:val="bullet"/>
      <w:lvlText w:val=""/>
      <w:lvlJc w:val="left"/>
      <w:pPr>
        <w:tabs>
          <w:tab w:val="num" w:pos="360"/>
        </w:tabs>
        <w:ind w:left="360" w:hanging="360"/>
      </w:pPr>
      <w:rPr>
        <w:rFonts w:ascii="Symbol" w:hAnsi="Symbol" w:hint="default"/>
      </w:rPr>
    </w:lvl>
    <w:lvl w:ilvl="1" w:tplc="87647004">
      <w:start w:val="2"/>
      <w:numFmt w:val="decimal"/>
      <w:lvlText w:val="%2."/>
      <w:lvlJc w:val="left"/>
      <w:pPr>
        <w:tabs>
          <w:tab w:val="num" w:pos="720"/>
        </w:tabs>
        <w:ind w:left="360" w:firstLine="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A2B7ED8"/>
    <w:multiLevelType w:val="hybridMultilevel"/>
    <w:tmpl w:val="0630AF66"/>
    <w:lvl w:ilvl="0" w:tplc="37041994">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717"/>
        </w:tabs>
        <w:ind w:left="717" w:hanging="360"/>
      </w:pPr>
      <w:rPr>
        <w:rFonts w:ascii="Courier New" w:hAnsi="Courier New" w:hint="default"/>
      </w:rPr>
    </w:lvl>
    <w:lvl w:ilvl="2" w:tplc="04090005" w:tentative="1">
      <w:start w:val="1"/>
      <w:numFmt w:val="bullet"/>
      <w:lvlText w:val=""/>
      <w:lvlJc w:val="left"/>
      <w:pPr>
        <w:tabs>
          <w:tab w:val="num" w:pos="1437"/>
        </w:tabs>
        <w:ind w:left="1437" w:hanging="360"/>
      </w:pPr>
      <w:rPr>
        <w:rFonts w:ascii="Wingdings" w:hAnsi="Wingdings" w:hint="default"/>
      </w:rPr>
    </w:lvl>
    <w:lvl w:ilvl="3" w:tplc="04090001" w:tentative="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15">
    <w:nsid w:val="2B800D1E"/>
    <w:multiLevelType w:val="hybridMultilevel"/>
    <w:tmpl w:val="C748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7E0C4A"/>
    <w:multiLevelType w:val="hybridMultilevel"/>
    <w:tmpl w:val="2940DCB4"/>
    <w:lvl w:ilvl="0" w:tplc="6904302C">
      <w:start w:val="1"/>
      <w:numFmt w:val="bullet"/>
      <w:lvlText w:val=""/>
      <w:lvlJc w:val="left"/>
      <w:pPr>
        <w:tabs>
          <w:tab w:val="num" w:pos="780"/>
        </w:tabs>
        <w:ind w:left="780" w:hanging="66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717962"/>
    <w:multiLevelType w:val="hybridMultilevel"/>
    <w:tmpl w:val="D840C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985F71"/>
    <w:multiLevelType w:val="hybridMultilevel"/>
    <w:tmpl w:val="A868427A"/>
    <w:lvl w:ilvl="0" w:tplc="CED4429A">
      <w:start w:val="1"/>
      <w:numFmt w:val="bullet"/>
      <w:pStyle w:val="List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7A76E8"/>
    <w:multiLevelType w:val="hybridMultilevel"/>
    <w:tmpl w:val="0630AF66"/>
    <w:lvl w:ilvl="0" w:tplc="37041994">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2D2AD7"/>
    <w:multiLevelType w:val="hybridMultilevel"/>
    <w:tmpl w:val="8B54891A"/>
    <w:lvl w:ilvl="0" w:tplc="37041994">
      <w:start w:val="1"/>
      <w:numFmt w:val="bullet"/>
      <w:lvlText w:val="─"/>
      <w:lvlJc w:val="left"/>
      <w:pPr>
        <w:tabs>
          <w:tab w:val="num" w:pos="720"/>
        </w:tabs>
        <w:ind w:left="720" w:hanging="360"/>
      </w:pPr>
      <w:rPr>
        <w:rFonts w:ascii="Times New Roman" w:hAnsi="Times New Roman" w:cs="Times New Roman" w:hint="default"/>
      </w:r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EC3E66"/>
    <w:multiLevelType w:val="hybridMultilevel"/>
    <w:tmpl w:val="2F54FBF6"/>
    <w:lvl w:ilvl="0" w:tplc="04090001">
      <w:start w:val="1"/>
      <w:numFmt w:val="bullet"/>
      <w:lvlText w:val=""/>
      <w:lvlJc w:val="left"/>
      <w:pPr>
        <w:tabs>
          <w:tab w:val="num" w:pos="720"/>
        </w:tabs>
        <w:ind w:left="720" w:hanging="360"/>
      </w:pPr>
      <w:rPr>
        <w:rFonts w:ascii="Symbol" w:hAnsi="Symbol" w:hint="default"/>
      </w:rPr>
    </w:lvl>
    <w:lvl w:ilvl="1" w:tplc="D322521A">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A2F21"/>
    <w:multiLevelType w:val="hybridMultilevel"/>
    <w:tmpl w:val="81842C58"/>
    <w:lvl w:ilvl="0" w:tplc="0F7C6D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C43652"/>
    <w:multiLevelType w:val="hybridMultilevel"/>
    <w:tmpl w:val="5F2C7EFE"/>
    <w:lvl w:ilvl="0" w:tplc="37041994">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613AF"/>
    <w:multiLevelType w:val="hybridMultilevel"/>
    <w:tmpl w:val="C1100C76"/>
    <w:lvl w:ilvl="0" w:tplc="04090001">
      <w:start w:val="1"/>
      <w:numFmt w:val="bullet"/>
      <w:lvlText w:val=""/>
      <w:lvlJc w:val="left"/>
      <w:pPr>
        <w:tabs>
          <w:tab w:val="num" w:pos="720"/>
        </w:tabs>
        <w:ind w:left="720" w:hanging="360"/>
      </w:pPr>
      <w:rPr>
        <w:rFonts w:ascii="Symbol" w:hAnsi="Symbol" w:hint="default"/>
      </w:r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6F5D02"/>
    <w:multiLevelType w:val="hybridMultilevel"/>
    <w:tmpl w:val="BE32130C"/>
    <w:lvl w:ilvl="0" w:tplc="D322521A">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173397"/>
    <w:multiLevelType w:val="hybridMultilevel"/>
    <w:tmpl w:val="A8DA3EF8"/>
    <w:lvl w:ilvl="0" w:tplc="6904302C">
      <w:start w:val="1"/>
      <w:numFmt w:val="bullet"/>
      <w:lvlText w:val=""/>
      <w:lvlJc w:val="left"/>
      <w:pPr>
        <w:tabs>
          <w:tab w:val="num" w:pos="780"/>
        </w:tabs>
        <w:ind w:left="780" w:hanging="667"/>
      </w:pPr>
      <w:rPr>
        <w:rFonts w:ascii="Symbol" w:hAnsi="Symbol" w:cs="Times New Roman" w:hint="default"/>
      </w:r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84049B"/>
    <w:multiLevelType w:val="hybridMultilevel"/>
    <w:tmpl w:val="BFA6B31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20338A"/>
    <w:multiLevelType w:val="hybridMultilevel"/>
    <w:tmpl w:val="81842C58"/>
    <w:lvl w:ilvl="0" w:tplc="0F7C6D1A">
      <w:start w:val="1"/>
      <w:numFmt w:val="bullet"/>
      <w:lvlText w:val=""/>
      <w:lvlJc w:val="left"/>
      <w:pPr>
        <w:tabs>
          <w:tab w:val="num" w:pos="720"/>
        </w:tabs>
        <w:ind w:left="720" w:hanging="360"/>
      </w:pPr>
      <w:rPr>
        <w:rFonts w:ascii="Symbol" w:hAnsi="Symbol" w:hint="default"/>
      </w:rPr>
    </w:lvl>
    <w:lvl w:ilvl="1" w:tplc="97F03FE6">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D376D5"/>
    <w:multiLevelType w:val="hybridMultilevel"/>
    <w:tmpl w:val="24E26F1C"/>
    <w:lvl w:ilvl="0" w:tplc="D116C136">
      <w:start w:val="1"/>
      <w:numFmt w:val="bullet"/>
      <w:lvlText w:val=""/>
      <w:lvlJc w:val="left"/>
      <w:pPr>
        <w:tabs>
          <w:tab w:val="num" w:pos="927"/>
        </w:tabs>
        <w:ind w:left="907"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841C0E"/>
    <w:multiLevelType w:val="hybridMultilevel"/>
    <w:tmpl w:val="EB584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4931AA5"/>
    <w:multiLevelType w:val="hybridMultilevel"/>
    <w:tmpl w:val="C974E476"/>
    <w:lvl w:ilvl="0" w:tplc="6904302C">
      <w:start w:val="1"/>
      <w:numFmt w:val="bullet"/>
      <w:lvlText w:val=""/>
      <w:lvlJc w:val="left"/>
      <w:pPr>
        <w:tabs>
          <w:tab w:val="num" w:pos="1860"/>
        </w:tabs>
        <w:ind w:left="1860" w:hanging="667"/>
      </w:pPr>
      <w:rPr>
        <w:rFonts w:ascii="Symbol"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70033BF"/>
    <w:multiLevelType w:val="hybridMultilevel"/>
    <w:tmpl w:val="F3BAD3F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8B90B1C8">
      <w:start w:val="1"/>
      <w:numFmt w:val="lowerLetter"/>
      <w:lvlText w:val="(%3)"/>
      <w:lvlJc w:val="left"/>
      <w:pPr>
        <w:tabs>
          <w:tab w:val="num" w:pos="2700"/>
        </w:tabs>
        <w:ind w:left="2700" w:hanging="360"/>
      </w:pPr>
      <w:rPr>
        <w:rFonts w:hint="default"/>
      </w:rPr>
    </w:lvl>
    <w:lvl w:ilvl="3" w:tplc="54D837F4">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D35476A"/>
    <w:multiLevelType w:val="hybridMultilevel"/>
    <w:tmpl w:val="8B54891A"/>
    <w:lvl w:ilvl="0" w:tplc="37041994">
      <w:start w:val="1"/>
      <w:numFmt w:val="bullet"/>
      <w:lvlText w:val="─"/>
      <w:lvlJc w:val="left"/>
      <w:pPr>
        <w:tabs>
          <w:tab w:val="num" w:pos="720"/>
        </w:tabs>
        <w:ind w:left="720" w:hanging="360"/>
      </w:pPr>
      <w:rPr>
        <w:rFonts w:ascii="Times New Roman" w:hAnsi="Times New Roman" w:cs="Times New Roman" w:hint="default"/>
      </w:r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8934D9"/>
    <w:multiLevelType w:val="hybridMultilevel"/>
    <w:tmpl w:val="C1100C7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05700C"/>
    <w:multiLevelType w:val="hybridMultilevel"/>
    <w:tmpl w:val="A6047F20"/>
    <w:lvl w:ilvl="0" w:tplc="37041994">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55786A"/>
    <w:multiLevelType w:val="hybridMultilevel"/>
    <w:tmpl w:val="81B22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B54097"/>
    <w:multiLevelType w:val="hybridMultilevel"/>
    <w:tmpl w:val="2F24030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4519CB"/>
    <w:multiLevelType w:val="hybridMultilevel"/>
    <w:tmpl w:val="CC9CFD9A"/>
    <w:lvl w:ilvl="0" w:tplc="C2864570">
      <w:start w:val="1"/>
      <w:numFmt w:val="bullet"/>
      <w:lvlText w:val="■"/>
      <w:lvlJc w:val="left"/>
      <w:pPr>
        <w:tabs>
          <w:tab w:val="num" w:pos="681"/>
        </w:tabs>
        <w:ind w:left="681" w:hanging="681"/>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8"/>
  </w:num>
  <w:num w:numId="3">
    <w:abstractNumId w:val="24"/>
  </w:num>
  <w:num w:numId="4">
    <w:abstractNumId w:val="1"/>
    <w:lvlOverride w:ilvl="0">
      <w:lvl w:ilvl="0">
        <w:numFmt w:val="bullet"/>
        <w:lvlText w:val=""/>
        <w:legacy w:legacy="1" w:legacySpace="0" w:legacyIndent="0"/>
        <w:lvlJc w:val="left"/>
        <w:rPr>
          <w:rFonts w:ascii="Symbol" w:hAnsi="Symbol" w:hint="default"/>
        </w:rPr>
      </w:lvl>
    </w:lvlOverride>
  </w:num>
  <w:num w:numId="5">
    <w:abstractNumId w:val="34"/>
  </w:num>
  <w:num w:numId="6">
    <w:abstractNumId w:val="37"/>
  </w:num>
  <w:num w:numId="7">
    <w:abstractNumId w:val="2"/>
  </w:num>
  <w:num w:numId="8">
    <w:abstractNumId w:val="32"/>
  </w:num>
  <w:num w:numId="9">
    <w:abstractNumId w:val="3"/>
  </w:num>
  <w:num w:numId="10">
    <w:abstractNumId w:val="11"/>
  </w:num>
  <w:num w:numId="11">
    <w:abstractNumId w:val="13"/>
  </w:num>
  <w:num w:numId="12">
    <w:abstractNumId w:val="27"/>
  </w:num>
  <w:num w:numId="13">
    <w:abstractNumId w:val="16"/>
  </w:num>
  <w:num w:numId="14">
    <w:abstractNumId w:val="31"/>
  </w:num>
  <w:num w:numId="15">
    <w:abstractNumId w:val="26"/>
  </w:num>
  <w:num w:numId="16">
    <w:abstractNumId w:val="8"/>
  </w:num>
  <w:num w:numId="17">
    <w:abstractNumId w:val="6"/>
  </w:num>
  <w:num w:numId="18">
    <w:abstractNumId w:val="20"/>
  </w:num>
  <w:num w:numId="19">
    <w:abstractNumId w:val="19"/>
  </w:num>
  <w:num w:numId="20">
    <w:abstractNumId w:val="35"/>
  </w:num>
  <w:num w:numId="21">
    <w:abstractNumId w:val="23"/>
  </w:num>
  <w:num w:numId="22">
    <w:abstractNumId w:val="4"/>
  </w:num>
  <w:num w:numId="23">
    <w:abstractNumId w:val="14"/>
  </w:num>
  <w:num w:numId="24">
    <w:abstractNumId w:val="33"/>
  </w:num>
  <w:num w:numId="25">
    <w:abstractNumId w:val="10"/>
  </w:num>
  <w:num w:numId="26">
    <w:abstractNumId w:val="7"/>
  </w:num>
  <w:num w:numId="27">
    <w:abstractNumId w:val="29"/>
  </w:num>
  <w:num w:numId="28">
    <w:abstractNumId w:val="5"/>
  </w:num>
  <w:num w:numId="29">
    <w:abstractNumId w:val="12"/>
  </w:num>
  <w:num w:numId="30">
    <w:abstractNumId w:val="17"/>
  </w:num>
  <w:num w:numId="31">
    <w:abstractNumId w:val="21"/>
  </w:num>
  <w:num w:numId="32">
    <w:abstractNumId w:val="0"/>
  </w:num>
  <w:num w:numId="33">
    <w:abstractNumId w:val="38"/>
  </w:num>
  <w:num w:numId="34">
    <w:abstractNumId w:val="25"/>
  </w:num>
  <w:num w:numId="35">
    <w:abstractNumId w:val="9"/>
  </w:num>
  <w:num w:numId="36">
    <w:abstractNumId w:val="18"/>
  </w:num>
  <w:num w:numId="37">
    <w:abstractNumId w:val="36"/>
  </w:num>
  <w:num w:numId="38">
    <w:abstractNumId w:val="15"/>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noPunctuationKerning/>
  <w:characterSpacingControl w:val="doNotCompress"/>
  <w:hdrShapeDefaults>
    <o:shapedefaults v:ext="edit" spidmax="7169"/>
  </w:hdrShapeDefaults>
  <w:footnotePr>
    <w:footnote w:id="-1"/>
    <w:footnote w:id="0"/>
  </w:footnotePr>
  <w:endnotePr>
    <w:endnote w:id="-1"/>
    <w:endnote w:id="0"/>
  </w:endnotePr>
  <w:compat/>
  <w:rsids>
    <w:rsidRoot w:val="00CF385E"/>
    <w:rsid w:val="00085A8A"/>
    <w:rsid w:val="000C431D"/>
    <w:rsid w:val="001903E2"/>
    <w:rsid w:val="001E164C"/>
    <w:rsid w:val="001F5B4E"/>
    <w:rsid w:val="0020430C"/>
    <w:rsid w:val="00230F17"/>
    <w:rsid w:val="00261B92"/>
    <w:rsid w:val="002704F3"/>
    <w:rsid w:val="0028620F"/>
    <w:rsid w:val="002929C2"/>
    <w:rsid w:val="002A0270"/>
    <w:rsid w:val="00353FBA"/>
    <w:rsid w:val="00382EF5"/>
    <w:rsid w:val="003C4300"/>
    <w:rsid w:val="003C6B20"/>
    <w:rsid w:val="003E4EDD"/>
    <w:rsid w:val="0040219E"/>
    <w:rsid w:val="00421884"/>
    <w:rsid w:val="00445517"/>
    <w:rsid w:val="004A53F7"/>
    <w:rsid w:val="00537EAC"/>
    <w:rsid w:val="00546DB3"/>
    <w:rsid w:val="0056206A"/>
    <w:rsid w:val="00792340"/>
    <w:rsid w:val="007E151C"/>
    <w:rsid w:val="008222BA"/>
    <w:rsid w:val="00836C71"/>
    <w:rsid w:val="0089689F"/>
    <w:rsid w:val="008B7E3C"/>
    <w:rsid w:val="008F0AB8"/>
    <w:rsid w:val="008F35F1"/>
    <w:rsid w:val="00940270"/>
    <w:rsid w:val="00984288"/>
    <w:rsid w:val="009E6F3F"/>
    <w:rsid w:val="00A21653"/>
    <w:rsid w:val="00A95469"/>
    <w:rsid w:val="00AE6FEA"/>
    <w:rsid w:val="00BA3283"/>
    <w:rsid w:val="00C0396B"/>
    <w:rsid w:val="00C41659"/>
    <w:rsid w:val="00CF385E"/>
    <w:rsid w:val="00D65BD6"/>
    <w:rsid w:val="00D774EC"/>
    <w:rsid w:val="00DB25A9"/>
    <w:rsid w:val="00E46681"/>
    <w:rsid w:val="00E60835"/>
    <w:rsid w:val="00E820FB"/>
    <w:rsid w:val="00EF2129"/>
    <w:rsid w:val="00F0717A"/>
    <w:rsid w:val="00F12FE7"/>
    <w:rsid w:val="00F14DA3"/>
    <w:rsid w:val="00F152AC"/>
    <w:rsid w:val="00F4685C"/>
    <w:rsid w:val="00F51E0D"/>
    <w:rsid w:val="00F571B1"/>
    <w:rsid w:val="00F87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20"/>
    <w:rPr>
      <w:noProof/>
      <w:sz w:val="24"/>
      <w:szCs w:val="24"/>
      <w:lang w:eastAsia="en-US"/>
    </w:rPr>
  </w:style>
  <w:style w:type="paragraph" w:styleId="Heading1">
    <w:name w:val="heading 1"/>
    <w:basedOn w:val="Normal"/>
    <w:next w:val="Normal"/>
    <w:qFormat/>
    <w:rsid w:val="003C6B20"/>
    <w:pPr>
      <w:keepNext/>
      <w:outlineLvl w:val="0"/>
    </w:pPr>
    <w:rPr>
      <w:rFonts w:ascii="MS Reference Sans Serif" w:hAnsi="MS Reference Sans Serif" w:cs="Arial"/>
      <w:b/>
      <w:bCs/>
      <w:sz w:val="20"/>
    </w:rPr>
  </w:style>
  <w:style w:type="paragraph" w:styleId="Heading2">
    <w:name w:val="heading 2"/>
    <w:basedOn w:val="Normal"/>
    <w:next w:val="Normal"/>
    <w:qFormat/>
    <w:rsid w:val="003C6B20"/>
    <w:pPr>
      <w:keepNext/>
      <w:spacing w:line="360" w:lineRule="auto"/>
      <w:outlineLvl w:val="1"/>
    </w:pPr>
    <w:rPr>
      <w:rFonts w:ascii="MS Reference Sans Serif" w:hAnsi="MS Reference Sans Serif" w:cs="Arial"/>
      <w:b/>
      <w:bCs/>
      <w:sz w:val="20"/>
    </w:rPr>
  </w:style>
  <w:style w:type="paragraph" w:styleId="Heading3">
    <w:name w:val="heading 3"/>
    <w:basedOn w:val="Normal"/>
    <w:next w:val="Normal"/>
    <w:qFormat/>
    <w:rsid w:val="003C6B20"/>
    <w:pPr>
      <w:keepNext/>
      <w:jc w:val="both"/>
      <w:outlineLvl w:val="2"/>
    </w:pPr>
    <w:rPr>
      <w:b/>
      <w:bCs/>
    </w:rPr>
  </w:style>
  <w:style w:type="paragraph" w:styleId="Heading4">
    <w:name w:val="heading 4"/>
    <w:basedOn w:val="Normal"/>
    <w:next w:val="Normal"/>
    <w:qFormat/>
    <w:rsid w:val="003C6B20"/>
    <w:pPr>
      <w:keepNext/>
      <w:pBdr>
        <w:top w:val="single" w:sz="4" w:space="1" w:color="auto"/>
        <w:left w:val="single" w:sz="4" w:space="4" w:color="auto"/>
        <w:bottom w:val="single" w:sz="4" w:space="1" w:color="auto"/>
        <w:right w:val="single" w:sz="4" w:space="4" w:color="auto"/>
      </w:pBdr>
      <w:jc w:val="both"/>
      <w:outlineLvl w:val="3"/>
    </w:pPr>
    <w:rPr>
      <w:b/>
      <w:bCs/>
    </w:rPr>
  </w:style>
  <w:style w:type="paragraph" w:styleId="Heading5">
    <w:name w:val="heading 5"/>
    <w:basedOn w:val="Normal"/>
    <w:next w:val="Normal"/>
    <w:qFormat/>
    <w:rsid w:val="003C6B20"/>
    <w:pPr>
      <w:keepNext/>
      <w:spacing w:line="360" w:lineRule="auto"/>
      <w:outlineLvl w:val="4"/>
    </w:pPr>
    <w:rPr>
      <w:rFonts w:ascii="MS Reference Sans Serif" w:hAnsi="MS Reference Sans Serif"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C6B20"/>
    <w:pPr>
      <w:spacing w:before="100" w:beforeAutospacing="1" w:after="100" w:afterAutospacing="1"/>
    </w:pPr>
  </w:style>
  <w:style w:type="paragraph" w:styleId="BodyText">
    <w:name w:val="Body Text"/>
    <w:basedOn w:val="Normal"/>
    <w:semiHidden/>
    <w:rsid w:val="003C6B20"/>
    <w:pPr>
      <w:spacing w:after="360"/>
    </w:pPr>
    <w:rPr>
      <w:b/>
      <w:bCs/>
    </w:rPr>
  </w:style>
  <w:style w:type="paragraph" w:styleId="BodyText2">
    <w:name w:val="Body Text 2"/>
    <w:basedOn w:val="Normal"/>
    <w:semiHidden/>
    <w:rsid w:val="003C6B20"/>
    <w:pPr>
      <w:jc w:val="both"/>
    </w:pPr>
  </w:style>
  <w:style w:type="character" w:styleId="Strong">
    <w:name w:val="Strong"/>
    <w:basedOn w:val="DefaultParagraphFont"/>
    <w:qFormat/>
    <w:rsid w:val="003C6B20"/>
    <w:rPr>
      <w:b/>
      <w:bCs/>
    </w:rPr>
  </w:style>
  <w:style w:type="paragraph" w:styleId="Footer">
    <w:name w:val="footer"/>
    <w:basedOn w:val="Normal"/>
    <w:semiHidden/>
    <w:rsid w:val="003C6B20"/>
    <w:pPr>
      <w:tabs>
        <w:tab w:val="center" w:pos="4153"/>
        <w:tab w:val="right" w:pos="8306"/>
      </w:tabs>
    </w:pPr>
  </w:style>
  <w:style w:type="paragraph" w:styleId="BodyTextIndent">
    <w:name w:val="Body Text Indent"/>
    <w:basedOn w:val="Normal"/>
    <w:semiHidden/>
    <w:rsid w:val="003C6B20"/>
    <w:pPr>
      <w:spacing w:after="120"/>
      <w:ind w:left="60"/>
    </w:pPr>
  </w:style>
  <w:style w:type="character" w:styleId="Hyperlink">
    <w:name w:val="Hyperlink"/>
    <w:basedOn w:val="DefaultParagraphFont"/>
    <w:semiHidden/>
    <w:rsid w:val="003C6B20"/>
    <w:rPr>
      <w:color w:val="0000FF"/>
      <w:u w:val="single"/>
    </w:rPr>
  </w:style>
  <w:style w:type="paragraph" w:styleId="FootnoteText">
    <w:name w:val="footnote text"/>
    <w:basedOn w:val="Normal"/>
    <w:semiHidden/>
    <w:rsid w:val="003C6B20"/>
    <w:rPr>
      <w:sz w:val="20"/>
      <w:szCs w:val="20"/>
    </w:rPr>
  </w:style>
  <w:style w:type="character" w:styleId="FootnoteReference">
    <w:name w:val="footnote reference"/>
    <w:basedOn w:val="DefaultParagraphFont"/>
    <w:semiHidden/>
    <w:rsid w:val="003C6B20"/>
    <w:rPr>
      <w:vertAlign w:val="superscript"/>
    </w:rPr>
  </w:style>
  <w:style w:type="character" w:styleId="FollowedHyperlink">
    <w:name w:val="FollowedHyperlink"/>
    <w:basedOn w:val="DefaultParagraphFont"/>
    <w:semiHidden/>
    <w:rsid w:val="003C6B20"/>
    <w:rPr>
      <w:color w:val="800080"/>
      <w:u w:val="single"/>
    </w:rPr>
  </w:style>
  <w:style w:type="paragraph" w:styleId="ListBullet">
    <w:name w:val="List Bullet"/>
    <w:basedOn w:val="Normal"/>
    <w:autoRedefine/>
    <w:semiHidden/>
    <w:rsid w:val="003C6B20"/>
    <w:pPr>
      <w:numPr>
        <w:numId w:val="36"/>
      </w:numPr>
      <w:tabs>
        <w:tab w:val="clear" w:pos="1440"/>
        <w:tab w:val="num" w:pos="720"/>
      </w:tabs>
      <w:ind w:left="720" w:hanging="360"/>
    </w:pPr>
  </w:style>
  <w:style w:type="paragraph" w:styleId="BodyText3">
    <w:name w:val="Body Text 3"/>
    <w:basedOn w:val="Normal"/>
    <w:semiHidden/>
    <w:rsid w:val="003C6B20"/>
    <w:pPr>
      <w:jc w:val="both"/>
    </w:pPr>
    <w:rPr>
      <w:color w:val="FF0000"/>
    </w:rPr>
  </w:style>
  <w:style w:type="paragraph" w:styleId="BalloonText">
    <w:name w:val="Balloon Text"/>
    <w:basedOn w:val="Normal"/>
    <w:semiHidden/>
    <w:rsid w:val="003C6B20"/>
    <w:rPr>
      <w:rFonts w:ascii="Tahoma" w:hAnsi="Tahoma" w:cs="Tahoma"/>
      <w:sz w:val="16"/>
      <w:szCs w:val="16"/>
    </w:rPr>
  </w:style>
  <w:style w:type="character" w:styleId="CommentReference">
    <w:name w:val="annotation reference"/>
    <w:basedOn w:val="DefaultParagraphFont"/>
    <w:semiHidden/>
    <w:rsid w:val="003C6B20"/>
    <w:rPr>
      <w:sz w:val="16"/>
      <w:szCs w:val="16"/>
    </w:rPr>
  </w:style>
  <w:style w:type="paragraph" w:styleId="CommentText">
    <w:name w:val="annotation text"/>
    <w:basedOn w:val="Normal"/>
    <w:semiHidden/>
    <w:rsid w:val="003C6B20"/>
    <w:rPr>
      <w:sz w:val="20"/>
      <w:szCs w:val="20"/>
    </w:rPr>
  </w:style>
  <w:style w:type="paragraph" w:styleId="CommentSubject">
    <w:name w:val="annotation subject"/>
    <w:basedOn w:val="CommentText"/>
    <w:next w:val="CommentText"/>
    <w:semiHidden/>
    <w:rsid w:val="003C6B20"/>
    <w:rPr>
      <w:b/>
      <w:bCs/>
    </w:rPr>
  </w:style>
  <w:style w:type="paragraph" w:styleId="TOC1">
    <w:name w:val="toc 1"/>
    <w:basedOn w:val="Normal"/>
    <w:next w:val="Normal"/>
    <w:autoRedefine/>
    <w:semiHidden/>
    <w:rsid w:val="003C6B20"/>
    <w:rPr>
      <w:rFonts w:ascii="MS Reference Sans Serif" w:hAnsi="MS Reference Sans Serif"/>
      <w:b/>
      <w:sz w:val="20"/>
    </w:rPr>
  </w:style>
  <w:style w:type="paragraph" w:styleId="TOC2">
    <w:name w:val="toc 2"/>
    <w:basedOn w:val="Normal"/>
    <w:next w:val="Normal"/>
    <w:autoRedefine/>
    <w:semiHidden/>
    <w:rsid w:val="003C6B20"/>
    <w:pPr>
      <w:ind w:left="240"/>
    </w:pPr>
    <w:rPr>
      <w:rFonts w:ascii="MS Reference Sans Serif" w:hAnsi="MS Reference Sans Serif"/>
      <w:sz w:val="20"/>
    </w:rPr>
  </w:style>
  <w:style w:type="paragraph" w:styleId="TOC3">
    <w:name w:val="toc 3"/>
    <w:basedOn w:val="Normal"/>
    <w:next w:val="Normal"/>
    <w:autoRedefine/>
    <w:semiHidden/>
    <w:rsid w:val="003C6B20"/>
    <w:pPr>
      <w:ind w:left="480"/>
    </w:pPr>
  </w:style>
  <w:style w:type="paragraph" w:styleId="TOC4">
    <w:name w:val="toc 4"/>
    <w:basedOn w:val="Normal"/>
    <w:next w:val="Normal"/>
    <w:autoRedefine/>
    <w:semiHidden/>
    <w:rsid w:val="003C6B20"/>
    <w:pPr>
      <w:ind w:left="720"/>
    </w:pPr>
  </w:style>
  <w:style w:type="paragraph" w:styleId="TOC5">
    <w:name w:val="toc 5"/>
    <w:basedOn w:val="Normal"/>
    <w:next w:val="Normal"/>
    <w:autoRedefine/>
    <w:semiHidden/>
    <w:rsid w:val="003C6B20"/>
    <w:pPr>
      <w:ind w:left="960"/>
    </w:pPr>
  </w:style>
  <w:style w:type="paragraph" w:styleId="TOC6">
    <w:name w:val="toc 6"/>
    <w:basedOn w:val="Normal"/>
    <w:next w:val="Normal"/>
    <w:autoRedefine/>
    <w:semiHidden/>
    <w:rsid w:val="003C6B20"/>
    <w:pPr>
      <w:ind w:left="1200"/>
    </w:pPr>
  </w:style>
  <w:style w:type="paragraph" w:styleId="TOC7">
    <w:name w:val="toc 7"/>
    <w:basedOn w:val="Normal"/>
    <w:next w:val="Normal"/>
    <w:autoRedefine/>
    <w:semiHidden/>
    <w:rsid w:val="003C6B20"/>
    <w:pPr>
      <w:ind w:left="1440"/>
    </w:pPr>
  </w:style>
  <w:style w:type="paragraph" w:styleId="TOC8">
    <w:name w:val="toc 8"/>
    <w:basedOn w:val="Normal"/>
    <w:next w:val="Normal"/>
    <w:autoRedefine/>
    <w:semiHidden/>
    <w:rsid w:val="003C6B20"/>
    <w:pPr>
      <w:ind w:left="1680"/>
    </w:pPr>
  </w:style>
  <w:style w:type="paragraph" w:styleId="TOC9">
    <w:name w:val="toc 9"/>
    <w:basedOn w:val="Normal"/>
    <w:next w:val="Normal"/>
    <w:autoRedefine/>
    <w:semiHidden/>
    <w:rsid w:val="003C6B20"/>
    <w:pPr>
      <w:ind w:left="1920"/>
    </w:pPr>
  </w:style>
  <w:style w:type="character" w:styleId="PageNumber">
    <w:name w:val="page number"/>
    <w:basedOn w:val="DefaultParagraphFont"/>
    <w:semiHidden/>
    <w:rsid w:val="003C6B20"/>
  </w:style>
  <w:style w:type="paragraph" w:styleId="Header">
    <w:name w:val="header"/>
    <w:basedOn w:val="Normal"/>
    <w:link w:val="HeaderChar"/>
    <w:uiPriority w:val="99"/>
    <w:semiHidden/>
    <w:unhideWhenUsed/>
    <w:rsid w:val="00CF385E"/>
    <w:pPr>
      <w:tabs>
        <w:tab w:val="center" w:pos="4513"/>
        <w:tab w:val="right" w:pos="9026"/>
      </w:tabs>
    </w:pPr>
  </w:style>
  <w:style w:type="character" w:customStyle="1" w:styleId="HeaderChar">
    <w:name w:val="Header Char"/>
    <w:basedOn w:val="DefaultParagraphFont"/>
    <w:link w:val="Header"/>
    <w:uiPriority w:val="99"/>
    <w:semiHidden/>
    <w:rsid w:val="00CF385E"/>
    <w:rPr>
      <w:noProof/>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ad.Huq@hmtreasury.gsi.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Jarrett@hm-treasury.gs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m-treasury.gov.uk/pespub_country_regional_analysi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en.Melbourne@hmtreasury.gs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newpolicy" value=""/>
  <element uid="id_unclassified" value=""/>
</label>
</file>

<file path=customXml/itemProps1.xml><?xml version="1.0" encoding="utf-8"?>
<ds:datastoreItem xmlns:ds="http://schemas.openxmlformats.org/officeDocument/2006/customXml" ds:itemID="{DC17E3FF-05DF-4C10-BC14-69A36950AA5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3686</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new Annex B</vt:lpstr>
    </vt:vector>
  </TitlesOfParts>
  <Company>Her Majesty's Treasury</Company>
  <LinksUpToDate>false</LinksUpToDate>
  <CharactersWithSpaces>24363</CharactersWithSpaces>
  <SharedDoc>false</SharedDoc>
  <HLinks>
    <vt:vector size="132" baseType="variant">
      <vt:variant>
        <vt:i4>1572903</vt:i4>
      </vt:variant>
      <vt:variant>
        <vt:i4>66</vt:i4>
      </vt:variant>
      <vt:variant>
        <vt:i4>0</vt:i4>
      </vt:variant>
      <vt:variant>
        <vt:i4>5</vt:i4>
      </vt:variant>
      <vt:variant>
        <vt:lpwstr/>
      </vt:variant>
      <vt:variant>
        <vt:lpwstr>_Contacts</vt:lpwstr>
      </vt:variant>
      <vt:variant>
        <vt:i4>3407898</vt:i4>
      </vt:variant>
      <vt:variant>
        <vt:i4>63</vt:i4>
      </vt:variant>
      <vt:variant>
        <vt:i4>0</vt:i4>
      </vt:variant>
      <vt:variant>
        <vt:i4>5</vt:i4>
      </vt:variant>
      <vt:variant>
        <vt:lpwstr/>
      </vt:variant>
      <vt:variant>
        <vt:lpwstr>_Scientific_research_and</vt:lpwstr>
      </vt:variant>
      <vt:variant>
        <vt:i4>3211293</vt:i4>
      </vt:variant>
      <vt:variant>
        <vt:i4>60</vt:i4>
      </vt:variant>
      <vt:variant>
        <vt:i4>0</vt:i4>
      </vt:variant>
      <vt:variant>
        <vt:i4>5</vt:i4>
      </vt:variant>
      <vt:variant>
        <vt:lpwstr>mailto:Keith.Jarrett@hm-treasury.gsi.gov.uk</vt:lpwstr>
      </vt:variant>
      <vt:variant>
        <vt:lpwstr/>
      </vt:variant>
      <vt:variant>
        <vt:i4>1376360</vt:i4>
      </vt:variant>
      <vt:variant>
        <vt:i4>57</vt:i4>
      </vt:variant>
      <vt:variant>
        <vt:i4>0</vt:i4>
      </vt:variant>
      <vt:variant>
        <vt:i4>5</vt:i4>
      </vt:variant>
      <vt:variant>
        <vt:lpwstr>http://www.hm-treasury.gov.uk/pespub_country_regional_analysis.htm</vt:lpwstr>
      </vt:variant>
      <vt:variant>
        <vt:lpwstr/>
      </vt:variant>
      <vt:variant>
        <vt:i4>1572903</vt:i4>
      </vt:variant>
      <vt:variant>
        <vt:i4>54</vt:i4>
      </vt:variant>
      <vt:variant>
        <vt:i4>0</vt:i4>
      </vt:variant>
      <vt:variant>
        <vt:i4>5</vt:i4>
      </vt:variant>
      <vt:variant>
        <vt:lpwstr/>
      </vt:variant>
      <vt:variant>
        <vt:lpwstr>_Contacts</vt:lpwstr>
      </vt:variant>
      <vt:variant>
        <vt:i4>4653103</vt:i4>
      </vt:variant>
      <vt:variant>
        <vt:i4>51</vt:i4>
      </vt:variant>
      <vt:variant>
        <vt:i4>0</vt:i4>
      </vt:variant>
      <vt:variant>
        <vt:i4>5</vt:i4>
      </vt:variant>
      <vt:variant>
        <vt:lpwstr>mailto:Henry.Baker@hmtreasury.gsi.gov.uk</vt:lpwstr>
      </vt:variant>
      <vt:variant>
        <vt:lpwstr/>
      </vt:variant>
      <vt:variant>
        <vt:i4>6815774</vt:i4>
      </vt:variant>
      <vt:variant>
        <vt:i4>48</vt:i4>
      </vt:variant>
      <vt:variant>
        <vt:i4>0</vt:i4>
      </vt:variant>
      <vt:variant>
        <vt:i4>5</vt:i4>
      </vt:variant>
      <vt:variant>
        <vt:lpwstr>mailto:Mohammad.Huq@hmtreasury.gsi.gov.uk</vt:lpwstr>
      </vt:variant>
      <vt:variant>
        <vt:lpwstr/>
      </vt:variant>
      <vt:variant>
        <vt:i4>1376312</vt:i4>
      </vt:variant>
      <vt:variant>
        <vt:i4>44</vt:i4>
      </vt:variant>
      <vt:variant>
        <vt:i4>0</vt:i4>
      </vt:variant>
      <vt:variant>
        <vt:i4>5</vt:i4>
      </vt:variant>
      <vt:variant>
        <vt:lpwstr/>
      </vt:variant>
      <vt:variant>
        <vt:lpwstr>_Toc244667877</vt:lpwstr>
      </vt:variant>
      <vt:variant>
        <vt:i4>1376312</vt:i4>
      </vt:variant>
      <vt:variant>
        <vt:i4>41</vt:i4>
      </vt:variant>
      <vt:variant>
        <vt:i4>0</vt:i4>
      </vt:variant>
      <vt:variant>
        <vt:i4>5</vt:i4>
      </vt:variant>
      <vt:variant>
        <vt:lpwstr/>
      </vt:variant>
      <vt:variant>
        <vt:lpwstr>_Toc244667876</vt:lpwstr>
      </vt:variant>
      <vt:variant>
        <vt:i4>1376312</vt:i4>
      </vt:variant>
      <vt:variant>
        <vt:i4>38</vt:i4>
      </vt:variant>
      <vt:variant>
        <vt:i4>0</vt:i4>
      </vt:variant>
      <vt:variant>
        <vt:i4>5</vt:i4>
      </vt:variant>
      <vt:variant>
        <vt:lpwstr/>
      </vt:variant>
      <vt:variant>
        <vt:lpwstr>_Toc244667875</vt:lpwstr>
      </vt:variant>
      <vt:variant>
        <vt:i4>1376312</vt:i4>
      </vt:variant>
      <vt:variant>
        <vt:i4>35</vt:i4>
      </vt:variant>
      <vt:variant>
        <vt:i4>0</vt:i4>
      </vt:variant>
      <vt:variant>
        <vt:i4>5</vt:i4>
      </vt:variant>
      <vt:variant>
        <vt:lpwstr/>
      </vt:variant>
      <vt:variant>
        <vt:lpwstr>_Toc244667874</vt:lpwstr>
      </vt:variant>
      <vt:variant>
        <vt:i4>1376312</vt:i4>
      </vt:variant>
      <vt:variant>
        <vt:i4>32</vt:i4>
      </vt:variant>
      <vt:variant>
        <vt:i4>0</vt:i4>
      </vt:variant>
      <vt:variant>
        <vt:i4>5</vt:i4>
      </vt:variant>
      <vt:variant>
        <vt:lpwstr/>
      </vt:variant>
      <vt:variant>
        <vt:lpwstr>_Toc244667873</vt:lpwstr>
      </vt:variant>
      <vt:variant>
        <vt:i4>1376312</vt:i4>
      </vt:variant>
      <vt:variant>
        <vt:i4>29</vt:i4>
      </vt:variant>
      <vt:variant>
        <vt:i4>0</vt:i4>
      </vt:variant>
      <vt:variant>
        <vt:i4>5</vt:i4>
      </vt:variant>
      <vt:variant>
        <vt:lpwstr/>
      </vt:variant>
      <vt:variant>
        <vt:lpwstr>_Toc244667872</vt:lpwstr>
      </vt:variant>
      <vt:variant>
        <vt:i4>1376312</vt:i4>
      </vt:variant>
      <vt:variant>
        <vt:i4>26</vt:i4>
      </vt:variant>
      <vt:variant>
        <vt:i4>0</vt:i4>
      </vt:variant>
      <vt:variant>
        <vt:i4>5</vt:i4>
      </vt:variant>
      <vt:variant>
        <vt:lpwstr/>
      </vt:variant>
      <vt:variant>
        <vt:lpwstr>_Toc244667871</vt:lpwstr>
      </vt:variant>
      <vt:variant>
        <vt:i4>1376312</vt:i4>
      </vt:variant>
      <vt:variant>
        <vt:i4>23</vt:i4>
      </vt:variant>
      <vt:variant>
        <vt:i4>0</vt:i4>
      </vt:variant>
      <vt:variant>
        <vt:i4>5</vt:i4>
      </vt:variant>
      <vt:variant>
        <vt:lpwstr/>
      </vt:variant>
      <vt:variant>
        <vt:lpwstr>_Toc244667870</vt:lpwstr>
      </vt:variant>
      <vt:variant>
        <vt:i4>1310776</vt:i4>
      </vt:variant>
      <vt:variant>
        <vt:i4>20</vt:i4>
      </vt:variant>
      <vt:variant>
        <vt:i4>0</vt:i4>
      </vt:variant>
      <vt:variant>
        <vt:i4>5</vt:i4>
      </vt:variant>
      <vt:variant>
        <vt:lpwstr/>
      </vt:variant>
      <vt:variant>
        <vt:lpwstr>_Toc244667869</vt:lpwstr>
      </vt:variant>
      <vt:variant>
        <vt:i4>1310776</vt:i4>
      </vt:variant>
      <vt:variant>
        <vt:i4>17</vt:i4>
      </vt:variant>
      <vt:variant>
        <vt:i4>0</vt:i4>
      </vt:variant>
      <vt:variant>
        <vt:i4>5</vt:i4>
      </vt:variant>
      <vt:variant>
        <vt:lpwstr/>
      </vt:variant>
      <vt:variant>
        <vt:lpwstr>_Toc244667868</vt:lpwstr>
      </vt:variant>
      <vt:variant>
        <vt:i4>1310776</vt:i4>
      </vt:variant>
      <vt:variant>
        <vt:i4>14</vt:i4>
      </vt:variant>
      <vt:variant>
        <vt:i4>0</vt:i4>
      </vt:variant>
      <vt:variant>
        <vt:i4>5</vt:i4>
      </vt:variant>
      <vt:variant>
        <vt:lpwstr/>
      </vt:variant>
      <vt:variant>
        <vt:lpwstr>_Toc244667867</vt:lpwstr>
      </vt:variant>
      <vt:variant>
        <vt:i4>1310776</vt:i4>
      </vt:variant>
      <vt:variant>
        <vt:i4>11</vt:i4>
      </vt:variant>
      <vt:variant>
        <vt:i4>0</vt:i4>
      </vt:variant>
      <vt:variant>
        <vt:i4>5</vt:i4>
      </vt:variant>
      <vt:variant>
        <vt:lpwstr/>
      </vt:variant>
      <vt:variant>
        <vt:lpwstr>_Toc244667866</vt:lpwstr>
      </vt:variant>
      <vt:variant>
        <vt:i4>1310776</vt:i4>
      </vt:variant>
      <vt:variant>
        <vt:i4>8</vt:i4>
      </vt:variant>
      <vt:variant>
        <vt:i4>0</vt:i4>
      </vt:variant>
      <vt:variant>
        <vt:i4>5</vt:i4>
      </vt:variant>
      <vt:variant>
        <vt:lpwstr/>
      </vt:variant>
      <vt:variant>
        <vt:lpwstr>_Toc244667865</vt:lpwstr>
      </vt:variant>
      <vt:variant>
        <vt:i4>1310776</vt:i4>
      </vt:variant>
      <vt:variant>
        <vt:i4>5</vt:i4>
      </vt:variant>
      <vt:variant>
        <vt:i4>0</vt:i4>
      </vt:variant>
      <vt:variant>
        <vt:i4>5</vt:i4>
      </vt:variant>
      <vt:variant>
        <vt:lpwstr/>
      </vt:variant>
      <vt:variant>
        <vt:lpwstr>_Toc244667864</vt:lpwstr>
      </vt:variant>
      <vt:variant>
        <vt:i4>1310776</vt:i4>
      </vt:variant>
      <vt:variant>
        <vt:i4>2</vt:i4>
      </vt:variant>
      <vt:variant>
        <vt:i4>0</vt:i4>
      </vt:variant>
      <vt:variant>
        <vt:i4>5</vt:i4>
      </vt:variant>
      <vt:variant>
        <vt:lpwstr/>
      </vt:variant>
      <vt:variant>
        <vt:lpwstr>_Toc244667863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Annex B</dc:title>
  <dc:subject/>
  <dc:creator>Martin Phillips</dc:creator>
  <cp:keywords/>
  <dc:description/>
  <cp:lastModifiedBy>matthew carter</cp:lastModifiedBy>
  <cp:revision>5</cp:revision>
  <cp:lastPrinted>2013-07-31T09:59:00Z</cp:lastPrinted>
  <dcterms:created xsi:type="dcterms:W3CDTF">2013-07-31T12:35:00Z</dcterms:created>
  <dcterms:modified xsi:type="dcterms:W3CDTF">2013-07-31T14:55:00Z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91ea25b1-42ad-4977-93a3-48dcbe9903fe</vt:lpwstr>
  </property>
</Properties>
</file>