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012" w:rsidRDefault="002E1012">
      <w:pPr>
        <w:pStyle w:val="Heading1"/>
      </w:pPr>
      <w:r>
        <w:t>Annex A: Template for costing the policies of opposition parties</w:t>
      </w:r>
    </w:p>
    <w:tbl>
      <w:tblPr>
        <w:tblW w:w="0" w:type="auto"/>
        <w:tblInd w:w="120" w:type="dxa"/>
        <w:tblCellMar>
          <w:left w:w="120" w:type="dxa"/>
          <w:right w:w="120" w:type="dxa"/>
        </w:tblCellMar>
        <w:tblLook w:val="0000"/>
      </w:tblPr>
      <w:tblGrid>
        <w:gridCol w:w="8489"/>
      </w:tblGrid>
      <w:tr w:rsidR="002E1012">
        <w:tc>
          <w:tcPr>
            <w:tcW w:w="0" w:type="auto"/>
            <w:tcBorders>
              <w:top w:val="single" w:sz="7" w:space="0" w:color="000000"/>
              <w:left w:val="single" w:sz="7" w:space="0" w:color="000000"/>
              <w:bottom w:val="single" w:sz="7" w:space="0" w:color="000000"/>
              <w:right w:val="single" w:sz="7" w:space="0" w:color="000000"/>
            </w:tcBorders>
            <w:shd w:val="pct30" w:color="000000" w:fill="FFFFFF"/>
          </w:tcPr>
          <w:p w:rsidR="002E1012" w:rsidRDefault="002E1012">
            <w:pPr>
              <w:pStyle w:val="BodyText"/>
              <w:ind w:left="60"/>
              <w:rPr>
                <w:rFonts w:cs="Arial"/>
                <w:sz w:val="22"/>
              </w:rPr>
            </w:pPr>
            <w:r>
              <w:rPr>
                <w:rFonts w:cs="Arial"/>
                <w:sz w:val="22"/>
              </w:rPr>
              <w:t xml:space="preserve">1). Description of policy, including any assumptions necessary to allow the commitments to be </w:t>
            </w:r>
            <w:proofErr w:type="spellStart"/>
            <w:r>
              <w:rPr>
                <w:rFonts w:cs="Arial"/>
                <w:sz w:val="22"/>
              </w:rPr>
              <w:t>costed</w:t>
            </w:r>
            <w:proofErr w:type="spellEnd"/>
            <w:r>
              <w:rPr>
                <w:rFonts w:cs="Arial"/>
                <w:sz w:val="22"/>
              </w:rPr>
              <w:t>:</w:t>
            </w:r>
          </w:p>
        </w:tc>
      </w:tr>
      <w:tr w:rsidR="002E1012">
        <w:tc>
          <w:tcPr>
            <w:tcW w:w="0" w:type="auto"/>
            <w:tcBorders>
              <w:top w:val="single" w:sz="7" w:space="0" w:color="000000"/>
              <w:left w:val="single" w:sz="7" w:space="0" w:color="000000"/>
              <w:bottom w:val="single" w:sz="7" w:space="0" w:color="000000"/>
              <w:right w:val="single" w:sz="7" w:space="0" w:color="000000"/>
            </w:tcBorders>
          </w:tcPr>
          <w:p w:rsidR="002E1012" w:rsidRDefault="00710499" w:rsidP="00E707B3">
            <w:pPr>
              <w:pStyle w:val="BodyText"/>
              <w:ind w:left="0"/>
              <w:rPr>
                <w:rFonts w:cs="Arial"/>
                <w:sz w:val="22"/>
                <w:szCs w:val="24"/>
              </w:rPr>
            </w:pPr>
            <w:r w:rsidRPr="0054378E">
              <w:rPr>
                <w:rFonts w:cs="Arial"/>
                <w:sz w:val="22"/>
                <w:szCs w:val="24"/>
              </w:rPr>
              <w:t>To ask the Chancellor of the Exchequer for the Treasury’s estimate of the cost to the Exchequer of creating a full-time job for six months paid at the minimum wage for all people aged 25 and over unemployed for over two years in the fiscal year 2015/16 according to official a) claimant count forecasts and b) ILO unemployment forecasts</w:t>
            </w:r>
            <w:r w:rsidR="006C6270">
              <w:rPr>
                <w:rFonts w:cs="Arial"/>
                <w:sz w:val="22"/>
                <w:szCs w:val="24"/>
              </w:rPr>
              <w:t>.</w:t>
            </w:r>
          </w:p>
          <w:p w:rsidR="006C6270" w:rsidRDefault="006C6270" w:rsidP="006C6270">
            <w:pPr>
              <w:rPr>
                <w:rFonts w:ascii="Arial" w:hAnsi="Arial" w:cs="Arial"/>
                <w:sz w:val="22"/>
              </w:rPr>
            </w:pPr>
            <w:r>
              <w:rPr>
                <w:rFonts w:ascii="Arial" w:hAnsi="Arial" w:cs="Arial"/>
                <w:sz w:val="22"/>
              </w:rPr>
              <w:t>Source:</w:t>
            </w:r>
          </w:p>
          <w:p w:rsidR="006C6270" w:rsidRDefault="006C6270" w:rsidP="006C6270">
            <w:pPr>
              <w:rPr>
                <w:rFonts w:ascii="Arial" w:hAnsi="Arial" w:cs="Arial"/>
                <w:sz w:val="22"/>
              </w:rPr>
            </w:pPr>
            <w:r>
              <w:rPr>
                <w:rFonts w:ascii="Arial" w:hAnsi="Arial" w:cs="Arial"/>
                <w:sz w:val="22"/>
              </w:rPr>
              <w:t>“</w:t>
            </w:r>
            <w:r w:rsidRPr="00D121C7">
              <w:rPr>
                <w:rFonts w:ascii="Arial" w:hAnsi="Arial" w:cs="Arial"/>
                <w:sz w:val="22"/>
              </w:rPr>
              <w:t>Labour will today call for a compulsory Jobs Guarantee for long-term unemployed adults.</w:t>
            </w:r>
          </w:p>
          <w:p w:rsidR="006C6270" w:rsidRPr="00D121C7" w:rsidRDefault="006C6270" w:rsidP="006C6270">
            <w:pPr>
              <w:rPr>
                <w:rFonts w:ascii="Arial" w:hAnsi="Arial" w:cs="Arial"/>
                <w:sz w:val="22"/>
              </w:rPr>
            </w:pPr>
          </w:p>
          <w:p w:rsidR="006C6270" w:rsidRDefault="006C6270" w:rsidP="006C6270">
            <w:pPr>
              <w:rPr>
                <w:rFonts w:ascii="Arial" w:hAnsi="Arial" w:cs="Arial"/>
                <w:sz w:val="22"/>
              </w:rPr>
            </w:pPr>
            <w:r w:rsidRPr="00D121C7">
              <w:rPr>
                <w:rFonts w:ascii="Arial" w:hAnsi="Arial" w:cs="Arial"/>
                <w:sz w:val="22"/>
              </w:rPr>
              <w:t>In an article for Politics Home calling for a One Nation approach to welfare reform shadow chancellor Ed Balls says that, under the jobs guarantee, government will ensure there is a job for every adult who is long-term unemployed and people out of work will be obliged to take up those jobs or face losing benefits. </w:t>
            </w:r>
          </w:p>
          <w:p w:rsidR="006C6270" w:rsidRPr="00D121C7" w:rsidRDefault="006C6270" w:rsidP="006C6270">
            <w:pPr>
              <w:rPr>
                <w:rFonts w:ascii="Arial" w:hAnsi="Arial" w:cs="Arial"/>
                <w:sz w:val="22"/>
              </w:rPr>
            </w:pPr>
          </w:p>
          <w:p w:rsidR="006C6270" w:rsidRDefault="006C6270" w:rsidP="006C6270">
            <w:pPr>
              <w:rPr>
                <w:rFonts w:ascii="Arial" w:hAnsi="Arial" w:cs="Arial"/>
                <w:sz w:val="22"/>
              </w:rPr>
            </w:pPr>
            <w:r w:rsidRPr="00D121C7">
              <w:rPr>
                <w:rFonts w:ascii="Arial" w:hAnsi="Arial" w:cs="Arial"/>
                <w:sz w:val="22"/>
              </w:rPr>
              <w:t>Initially the guarantee would be for adults who are out of work for 24 months or more, but we would seek to reduce this to 18 or 12 months over time</w:t>
            </w:r>
            <w:r>
              <w:rPr>
                <w:rFonts w:ascii="Arial" w:hAnsi="Arial" w:cs="Arial"/>
                <w:sz w:val="22"/>
              </w:rPr>
              <w:t>.”</w:t>
            </w:r>
          </w:p>
          <w:p w:rsidR="006C6270" w:rsidRPr="00D121C7" w:rsidRDefault="006C6270" w:rsidP="006C6270">
            <w:pPr>
              <w:rPr>
                <w:rFonts w:ascii="Arial" w:hAnsi="Arial" w:cs="Arial"/>
                <w:sz w:val="22"/>
              </w:rPr>
            </w:pPr>
          </w:p>
          <w:p w:rsidR="006C6270" w:rsidRPr="00D121C7" w:rsidRDefault="00100C75" w:rsidP="006C6270">
            <w:pPr>
              <w:rPr>
                <w:rFonts w:ascii="Arial" w:hAnsi="Arial" w:cs="Arial"/>
                <w:sz w:val="22"/>
              </w:rPr>
            </w:pPr>
            <w:hyperlink r:id="rId8" w:history="1">
              <w:r w:rsidR="006C6270" w:rsidRPr="00D121C7">
                <w:rPr>
                  <w:rStyle w:val="Hyperlink"/>
                  <w:rFonts w:ascii="Arial" w:hAnsi="Arial" w:cs="Arial"/>
                  <w:sz w:val="22"/>
                </w:rPr>
                <w:t>http://www.labour.org.uk/labours-compulsory-jobs-guarantee,2013-01-04</w:t>
              </w:r>
            </w:hyperlink>
          </w:p>
          <w:p w:rsidR="006C6270" w:rsidRPr="0054378E" w:rsidRDefault="006C6270" w:rsidP="00E707B3">
            <w:pPr>
              <w:pStyle w:val="BodyText"/>
              <w:ind w:left="0"/>
              <w:rPr>
                <w:rFonts w:cs="Arial"/>
                <w:sz w:val="22"/>
              </w:rPr>
            </w:pPr>
          </w:p>
        </w:tc>
      </w:tr>
      <w:tr w:rsidR="002E1012">
        <w:tc>
          <w:tcPr>
            <w:tcW w:w="0" w:type="auto"/>
            <w:tcBorders>
              <w:top w:val="single" w:sz="7" w:space="0" w:color="000000"/>
              <w:left w:val="single" w:sz="7" w:space="0" w:color="000000"/>
              <w:bottom w:val="single" w:sz="7" w:space="0" w:color="000000"/>
              <w:right w:val="single" w:sz="7" w:space="0" w:color="000000"/>
            </w:tcBorders>
            <w:shd w:val="pct30" w:color="000000" w:fill="FFFFFF"/>
          </w:tcPr>
          <w:p w:rsidR="002E1012" w:rsidRDefault="002E1012">
            <w:pPr>
              <w:pStyle w:val="BodyText"/>
              <w:ind w:left="60"/>
              <w:rPr>
                <w:rFonts w:cs="Arial"/>
                <w:sz w:val="22"/>
              </w:rPr>
            </w:pPr>
            <w:r>
              <w:rPr>
                <w:rFonts w:cs="Arial"/>
                <w:sz w:val="22"/>
              </w:rPr>
              <w:t>2).  Information required on distributional effects of the policy:</w:t>
            </w:r>
          </w:p>
        </w:tc>
      </w:tr>
      <w:tr w:rsidR="002E1012">
        <w:tc>
          <w:tcPr>
            <w:tcW w:w="0" w:type="auto"/>
            <w:tcBorders>
              <w:top w:val="single" w:sz="7" w:space="0" w:color="000000"/>
              <w:left w:val="single" w:sz="7" w:space="0" w:color="000000"/>
              <w:bottom w:val="single" w:sz="7" w:space="0" w:color="000000"/>
              <w:right w:val="single" w:sz="7" w:space="0" w:color="000000"/>
            </w:tcBorders>
          </w:tcPr>
          <w:p w:rsidR="002E1012" w:rsidRDefault="00E707B3">
            <w:pPr>
              <w:pStyle w:val="BodyText"/>
              <w:ind w:left="0"/>
              <w:rPr>
                <w:rFonts w:cs="Arial"/>
                <w:sz w:val="22"/>
              </w:rPr>
            </w:pPr>
            <w:r>
              <w:rPr>
                <w:rFonts w:cs="Arial"/>
                <w:sz w:val="22"/>
              </w:rPr>
              <w:t>None</w:t>
            </w:r>
          </w:p>
        </w:tc>
      </w:tr>
      <w:tr w:rsidR="002E1012">
        <w:tc>
          <w:tcPr>
            <w:tcW w:w="0" w:type="auto"/>
            <w:tcBorders>
              <w:top w:val="single" w:sz="7" w:space="0" w:color="000000"/>
              <w:left w:val="single" w:sz="7" w:space="0" w:color="000000"/>
              <w:bottom w:val="single" w:sz="7" w:space="0" w:color="000000"/>
              <w:right w:val="single" w:sz="7" w:space="0" w:color="000000"/>
            </w:tcBorders>
            <w:shd w:val="pct30" w:color="000000" w:fill="FFFFFF"/>
          </w:tcPr>
          <w:p w:rsidR="002E1012" w:rsidRDefault="002E1012">
            <w:pPr>
              <w:pStyle w:val="BodyText"/>
              <w:ind w:left="0"/>
              <w:rPr>
                <w:rFonts w:cs="Arial"/>
                <w:sz w:val="22"/>
              </w:rPr>
            </w:pPr>
            <w:r>
              <w:rPr>
                <w:rFonts w:cs="Arial"/>
                <w:sz w:val="22"/>
              </w:rPr>
              <w:t>3).   Cost/Revenue to the Exchequer over five years:</w:t>
            </w:r>
          </w:p>
        </w:tc>
      </w:tr>
      <w:tr w:rsidR="002E1012" w:rsidTr="005437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EF"/>
        </w:tblPrEx>
        <w:trPr>
          <w:trHeight w:val="808"/>
        </w:trPr>
        <w:tc>
          <w:tcPr>
            <w:tcW w:w="8426" w:type="dxa"/>
          </w:tcPr>
          <w:p w:rsidR="004C1442" w:rsidRPr="004C1442" w:rsidRDefault="004C1442" w:rsidP="00D45B8F">
            <w:pPr>
              <w:rPr>
                <w:rFonts w:ascii="Arial" w:hAnsi="Arial" w:cs="Arial"/>
                <w:bCs/>
                <w:sz w:val="22"/>
              </w:rPr>
            </w:pPr>
            <w:r w:rsidRPr="004C1442">
              <w:rPr>
                <w:rFonts w:ascii="Arial" w:hAnsi="Arial" w:cs="Arial"/>
                <w:sz w:val="22"/>
              </w:rPr>
              <w:t xml:space="preserve">Due to limitations of the data available, specifically a lack of forecasts for unemployment </w:t>
            </w:r>
            <w:r w:rsidRPr="004C1442">
              <w:rPr>
                <w:rFonts w:ascii="Arial" w:hAnsi="Arial" w:cs="Arial"/>
                <w:bCs/>
                <w:sz w:val="22"/>
              </w:rPr>
              <w:t>broken down by age and duration on benefit, the cost of the described policy cannot be estimated for 2015-16.</w:t>
            </w:r>
            <w:r w:rsidR="00F91979" w:rsidRPr="00F91979">
              <w:rPr>
                <w:rFonts w:ascii="Arial" w:hAnsi="Arial" w:cs="Arial"/>
                <w:sz w:val="20"/>
                <w:szCs w:val="20"/>
                <w:lang w:val="en-US"/>
              </w:rPr>
              <w:t xml:space="preserve"> </w:t>
            </w:r>
            <w:r w:rsidR="00F91979" w:rsidRPr="00F91979">
              <w:rPr>
                <w:rFonts w:ascii="Arial" w:hAnsi="Arial" w:cs="Arial"/>
                <w:bCs/>
                <w:sz w:val="22"/>
                <w:lang w:val="en-US"/>
              </w:rPr>
              <w:t xml:space="preserve">Instead, the Treasury has used the data available to estimate the cost of the policy </w:t>
            </w:r>
            <w:r w:rsidR="00F91979">
              <w:rPr>
                <w:rFonts w:ascii="Arial" w:hAnsi="Arial" w:cs="Arial"/>
                <w:bCs/>
                <w:sz w:val="22"/>
                <w:lang w:val="en-US"/>
              </w:rPr>
              <w:t>in</w:t>
            </w:r>
            <w:r w:rsidR="00F91979" w:rsidRPr="00F91979">
              <w:rPr>
                <w:rFonts w:ascii="Arial" w:hAnsi="Arial" w:cs="Arial"/>
                <w:bCs/>
                <w:sz w:val="22"/>
                <w:lang w:val="en-US"/>
              </w:rPr>
              <w:t xml:space="preserve"> 2012-13.</w:t>
            </w:r>
          </w:p>
          <w:p w:rsidR="004C1442" w:rsidRDefault="004C1442" w:rsidP="00D45B8F">
            <w:pPr>
              <w:rPr>
                <w:rFonts w:ascii="Arial" w:hAnsi="Arial" w:cs="Arial"/>
                <w:bCs/>
                <w:sz w:val="22"/>
              </w:rPr>
            </w:pPr>
          </w:p>
          <w:p w:rsidR="00F2180A" w:rsidRPr="00F2180A" w:rsidRDefault="00F2180A" w:rsidP="00F2180A">
            <w:pPr>
              <w:rPr>
                <w:rFonts w:ascii="Arial" w:hAnsi="Arial" w:cs="Arial"/>
                <w:bCs/>
                <w:sz w:val="22"/>
              </w:rPr>
            </w:pPr>
            <w:r w:rsidRPr="00F2180A">
              <w:rPr>
                <w:rFonts w:ascii="Arial" w:hAnsi="Arial" w:cs="Arial"/>
                <w:bCs/>
                <w:sz w:val="22"/>
              </w:rPr>
              <w:t xml:space="preserve">The Future Jobs Fund </w:t>
            </w:r>
            <w:r w:rsidR="00C92D06">
              <w:rPr>
                <w:rFonts w:ascii="Arial" w:hAnsi="Arial" w:cs="Arial"/>
                <w:bCs/>
                <w:sz w:val="22"/>
              </w:rPr>
              <w:t xml:space="preserve">(FJF) </w:t>
            </w:r>
            <w:r w:rsidRPr="00F2180A">
              <w:rPr>
                <w:rFonts w:ascii="Arial" w:hAnsi="Arial" w:cs="Arial"/>
                <w:bCs/>
                <w:sz w:val="22"/>
              </w:rPr>
              <w:t>had a similar offer of a full-time job for six months at National Minimum Wage. Therefore this costing uses the unit cost from the Future Jobs Fund, noting that the unit cost is higher than the wage cost</w:t>
            </w:r>
            <w:r>
              <w:rPr>
                <w:rFonts w:ascii="Arial" w:hAnsi="Arial" w:cs="Arial"/>
                <w:bCs/>
                <w:sz w:val="22"/>
              </w:rPr>
              <w:t xml:space="preserve"> alone</w:t>
            </w:r>
            <w:r w:rsidRPr="00F2180A">
              <w:rPr>
                <w:rFonts w:ascii="Arial" w:hAnsi="Arial" w:cs="Arial"/>
                <w:bCs/>
                <w:sz w:val="22"/>
              </w:rPr>
              <w:t>.</w:t>
            </w:r>
            <w:r>
              <w:rPr>
                <w:rFonts w:ascii="Arial" w:hAnsi="Arial" w:cs="Arial"/>
                <w:bCs/>
                <w:sz w:val="22"/>
              </w:rPr>
              <w:t xml:space="preserve"> This also assumes that the unit cost of providing a job for someone </w:t>
            </w:r>
            <w:r w:rsidR="003C06EF">
              <w:rPr>
                <w:rFonts w:ascii="Arial" w:hAnsi="Arial" w:cs="Arial"/>
                <w:bCs/>
                <w:sz w:val="22"/>
              </w:rPr>
              <w:t xml:space="preserve">who has claimed </w:t>
            </w:r>
            <w:r>
              <w:rPr>
                <w:rFonts w:ascii="Arial" w:hAnsi="Arial" w:cs="Arial"/>
                <w:bCs/>
                <w:sz w:val="22"/>
              </w:rPr>
              <w:t xml:space="preserve">Jobseeker’s Allowance </w:t>
            </w:r>
            <w:r w:rsidR="00BC3CD2">
              <w:rPr>
                <w:rFonts w:ascii="Arial" w:hAnsi="Arial" w:cs="Arial"/>
                <w:bCs/>
                <w:sz w:val="22"/>
              </w:rPr>
              <w:t xml:space="preserve">for six to nine months is the same as providing a job for </w:t>
            </w:r>
            <w:r w:rsidR="003C06EF">
              <w:rPr>
                <w:rFonts w:ascii="Arial" w:hAnsi="Arial" w:cs="Arial"/>
                <w:bCs/>
                <w:sz w:val="22"/>
              </w:rPr>
              <w:t xml:space="preserve">someone </w:t>
            </w:r>
            <w:r w:rsidR="00F91979">
              <w:rPr>
                <w:rFonts w:ascii="Arial" w:hAnsi="Arial" w:cs="Arial"/>
                <w:bCs/>
                <w:sz w:val="22"/>
              </w:rPr>
              <w:t xml:space="preserve">aged 25+ </w:t>
            </w:r>
            <w:r w:rsidR="003C06EF">
              <w:rPr>
                <w:rFonts w:ascii="Arial" w:hAnsi="Arial" w:cs="Arial"/>
                <w:bCs/>
                <w:sz w:val="22"/>
              </w:rPr>
              <w:t xml:space="preserve">who has claimed JSA for over two years. </w:t>
            </w:r>
          </w:p>
          <w:p w:rsidR="00F2180A" w:rsidRPr="004C1442" w:rsidRDefault="00F2180A" w:rsidP="00D45B8F">
            <w:pPr>
              <w:rPr>
                <w:rFonts w:ascii="Arial" w:hAnsi="Arial" w:cs="Arial"/>
                <w:bCs/>
                <w:sz w:val="22"/>
              </w:rPr>
            </w:pPr>
          </w:p>
          <w:p w:rsidR="009D5DD3" w:rsidRDefault="004C1442" w:rsidP="009D5DD3">
            <w:pPr>
              <w:pStyle w:val="BodyText2"/>
            </w:pPr>
            <w:r>
              <w:t>The cost is estimated to be £</w:t>
            </w:r>
            <w:r w:rsidR="001C1DDC">
              <w:t>1.54 billion. This includes over 25s who reach two years on the claimant count during 2012-13,</w:t>
            </w:r>
            <w:r w:rsidR="001C1DDC" w:rsidRPr="001C1DDC">
              <w:rPr>
                <w:sz w:val="20"/>
                <w:szCs w:val="20"/>
                <w:lang w:val="en-US"/>
              </w:rPr>
              <w:t xml:space="preserve"> </w:t>
            </w:r>
            <w:r w:rsidR="001C1DDC" w:rsidRPr="001C1DDC">
              <w:rPr>
                <w:lang w:val="en-US"/>
              </w:rPr>
              <w:t xml:space="preserve">as well as the existing stock in April 2012 of </w:t>
            </w:r>
            <w:r w:rsidR="001C1DDC">
              <w:rPr>
                <w:lang w:val="en-US"/>
              </w:rPr>
              <w:t>over 25s</w:t>
            </w:r>
            <w:r w:rsidR="001C1DDC" w:rsidRPr="001C1DDC">
              <w:rPr>
                <w:lang w:val="en-US"/>
              </w:rPr>
              <w:t xml:space="preserve"> on the claimant count for over</w:t>
            </w:r>
            <w:r w:rsidR="001C1DDC">
              <w:rPr>
                <w:lang w:val="en-US"/>
              </w:rPr>
              <w:t xml:space="preserve"> two years</w:t>
            </w:r>
            <w:r w:rsidR="009D5DD3">
              <w:t>.</w:t>
            </w:r>
          </w:p>
          <w:p w:rsidR="006F1062" w:rsidRDefault="006F1062" w:rsidP="009D5DD3">
            <w:pPr>
              <w:pStyle w:val="BodyText2"/>
            </w:pPr>
          </w:p>
          <w:p w:rsidR="00C92D06" w:rsidRPr="00BB40B4" w:rsidRDefault="00C92D06" w:rsidP="00C92D06">
            <w:pPr>
              <w:rPr>
                <w:rFonts w:ascii="Arial" w:hAnsi="Arial" w:cs="Arial"/>
                <w:bCs/>
                <w:sz w:val="22"/>
              </w:rPr>
            </w:pPr>
            <w:r w:rsidRPr="00C92D06">
              <w:rPr>
                <w:rFonts w:ascii="Arial" w:hAnsi="Arial" w:cs="Arial"/>
                <w:bCs/>
                <w:sz w:val="22"/>
                <w:lang w:val="en-US"/>
              </w:rPr>
              <w:t>The estimated annual cost of this policy is higher than the cost of the FJF over its entire 18 month duration (£680 million).</w:t>
            </w:r>
            <w:r w:rsidRPr="00BB40B4">
              <w:rPr>
                <w:rFonts w:ascii="Arial" w:hAnsi="Arial" w:cs="Arial"/>
                <w:bCs/>
                <w:sz w:val="22"/>
              </w:rPr>
              <w:t xml:space="preserve"> </w:t>
            </w:r>
            <w:r>
              <w:rPr>
                <w:rFonts w:ascii="Arial" w:hAnsi="Arial" w:cs="Arial"/>
                <w:bCs/>
                <w:sz w:val="22"/>
              </w:rPr>
              <w:t xml:space="preserve">The reason for this is that the FJF was only available to a small proportion of 25+ year olds reaching 9 months on Jobseeker’s Allowance (just 15% of FJF participants were aged over 25). </w:t>
            </w:r>
            <w:r w:rsidRPr="00BB40B4">
              <w:rPr>
                <w:rFonts w:ascii="Arial" w:hAnsi="Arial" w:cs="Arial"/>
                <w:bCs/>
                <w:sz w:val="22"/>
              </w:rPr>
              <w:t>This costing assumes that all cla</w:t>
            </w:r>
            <w:r>
              <w:rPr>
                <w:rFonts w:ascii="Arial" w:hAnsi="Arial" w:cs="Arial"/>
                <w:bCs/>
                <w:sz w:val="22"/>
              </w:rPr>
              <w:t xml:space="preserve">imants </w:t>
            </w:r>
            <w:r w:rsidRPr="00BB40B4">
              <w:rPr>
                <w:rFonts w:ascii="Arial" w:hAnsi="Arial" w:cs="Arial"/>
                <w:bCs/>
                <w:sz w:val="22"/>
              </w:rPr>
              <w:t xml:space="preserve">passing </w:t>
            </w:r>
            <w:r>
              <w:rPr>
                <w:rFonts w:ascii="Arial" w:hAnsi="Arial" w:cs="Arial"/>
                <w:bCs/>
                <w:sz w:val="22"/>
              </w:rPr>
              <w:t>2 year</w:t>
            </w:r>
            <w:r w:rsidRPr="00BB40B4">
              <w:rPr>
                <w:rFonts w:ascii="Arial" w:hAnsi="Arial" w:cs="Arial"/>
                <w:bCs/>
                <w:sz w:val="22"/>
              </w:rPr>
              <w:t xml:space="preserve"> </w:t>
            </w:r>
            <w:r>
              <w:rPr>
                <w:rFonts w:ascii="Arial" w:hAnsi="Arial" w:cs="Arial"/>
                <w:bCs/>
                <w:sz w:val="22"/>
              </w:rPr>
              <w:t xml:space="preserve">duration </w:t>
            </w:r>
            <w:r w:rsidRPr="00BB40B4">
              <w:rPr>
                <w:rFonts w:ascii="Arial" w:hAnsi="Arial" w:cs="Arial"/>
                <w:bCs/>
                <w:sz w:val="22"/>
              </w:rPr>
              <w:t>take up the offered job.</w:t>
            </w:r>
          </w:p>
          <w:p w:rsidR="00C92D06" w:rsidRPr="00BB40B4" w:rsidRDefault="00C92D06" w:rsidP="00C92D06">
            <w:pPr>
              <w:rPr>
                <w:rFonts w:ascii="Arial" w:hAnsi="Arial" w:cs="Arial"/>
                <w:bCs/>
                <w:sz w:val="22"/>
              </w:rPr>
            </w:pPr>
            <w:r w:rsidRPr="00BB40B4">
              <w:rPr>
                <w:rFonts w:ascii="Arial" w:hAnsi="Arial" w:cs="Arial"/>
                <w:bCs/>
                <w:sz w:val="22"/>
              </w:rPr>
              <w:t xml:space="preserve">The FJF applied </w:t>
            </w:r>
            <w:r>
              <w:rPr>
                <w:rFonts w:ascii="Arial" w:hAnsi="Arial" w:cs="Arial"/>
                <w:bCs/>
                <w:sz w:val="22"/>
              </w:rPr>
              <w:t xml:space="preserve">mainly </w:t>
            </w:r>
            <w:r w:rsidRPr="00BB40B4">
              <w:rPr>
                <w:rFonts w:ascii="Arial" w:hAnsi="Arial" w:cs="Arial"/>
                <w:bCs/>
                <w:sz w:val="22"/>
              </w:rPr>
              <w:t>to young people who had been unemployed for 6 months (and in some cases less). This policy applies t</w:t>
            </w:r>
            <w:r>
              <w:rPr>
                <w:rFonts w:ascii="Arial" w:hAnsi="Arial" w:cs="Arial"/>
                <w:bCs/>
                <w:sz w:val="22"/>
              </w:rPr>
              <w:t>o over-25s unemployed for over 2 years.</w:t>
            </w:r>
          </w:p>
          <w:p w:rsidR="00C92D06" w:rsidRDefault="00C92D06" w:rsidP="009D5DD3">
            <w:pPr>
              <w:pStyle w:val="BodyText2"/>
            </w:pPr>
          </w:p>
          <w:p w:rsidR="00C92D06" w:rsidRDefault="00C92D06" w:rsidP="009D5DD3">
            <w:pPr>
              <w:pStyle w:val="BodyText2"/>
            </w:pPr>
          </w:p>
          <w:p w:rsidR="00CD0638" w:rsidRPr="00CD0638" w:rsidRDefault="00CD0638" w:rsidP="00CD0638">
            <w:pPr>
              <w:pStyle w:val="BodyText2"/>
            </w:pPr>
            <w:r w:rsidRPr="00CD0638">
              <w:t>This does not include any offsetting savings as their size is uncertain.</w:t>
            </w:r>
          </w:p>
          <w:p w:rsidR="004C1442" w:rsidRPr="004C1442" w:rsidRDefault="004C1442" w:rsidP="00D45B8F">
            <w:pPr>
              <w:rPr>
                <w:rFonts w:ascii="Arial" w:hAnsi="Arial" w:cs="Arial"/>
                <w:sz w:val="22"/>
              </w:rPr>
            </w:pPr>
          </w:p>
          <w:p w:rsidR="00F2180A" w:rsidRPr="00F2180A" w:rsidRDefault="00F2180A" w:rsidP="00F2180A">
            <w:pPr>
              <w:rPr>
                <w:rFonts w:ascii="Arial" w:hAnsi="Arial" w:cs="Arial"/>
                <w:sz w:val="22"/>
              </w:rPr>
            </w:pPr>
            <w:r w:rsidRPr="00F2180A">
              <w:rPr>
                <w:rFonts w:ascii="Arial" w:hAnsi="Arial" w:cs="Arial"/>
                <w:sz w:val="22"/>
              </w:rPr>
              <w:t>The costing was estimated as follows:</w:t>
            </w:r>
          </w:p>
          <w:tbl>
            <w:tblPr>
              <w:tblW w:w="8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
              <w:gridCol w:w="2651"/>
              <w:gridCol w:w="2052"/>
              <w:gridCol w:w="3132"/>
            </w:tblGrid>
            <w:tr w:rsidR="004C1442" w:rsidRPr="0054378E" w:rsidTr="00172A1E">
              <w:tc>
                <w:tcPr>
                  <w:tcW w:w="404" w:type="dxa"/>
                  <w:vAlign w:val="bottom"/>
                </w:tcPr>
                <w:p w:rsidR="004C1442" w:rsidRPr="0054378E" w:rsidRDefault="004C1442" w:rsidP="00D45B8F">
                  <w:pPr>
                    <w:rPr>
                      <w:rFonts w:ascii="Arial" w:hAnsi="Arial" w:cs="Arial"/>
                      <w:color w:val="000000"/>
                      <w:sz w:val="22"/>
                      <w:szCs w:val="22"/>
                    </w:rPr>
                  </w:pPr>
                </w:p>
              </w:tc>
              <w:tc>
                <w:tcPr>
                  <w:tcW w:w="2651" w:type="dxa"/>
                  <w:vAlign w:val="bottom"/>
                </w:tcPr>
                <w:p w:rsidR="004C1442" w:rsidRPr="0054378E" w:rsidRDefault="004C1442" w:rsidP="00D45B8F">
                  <w:pPr>
                    <w:rPr>
                      <w:rFonts w:ascii="Arial" w:hAnsi="Arial" w:cs="Arial"/>
                      <w:color w:val="000000"/>
                      <w:sz w:val="22"/>
                      <w:szCs w:val="22"/>
                    </w:rPr>
                  </w:pPr>
                  <w:r w:rsidRPr="0054378E">
                    <w:rPr>
                      <w:rFonts w:ascii="Arial" w:hAnsi="Arial" w:cs="Arial"/>
                      <w:b/>
                      <w:bCs/>
                      <w:color w:val="000000"/>
                      <w:sz w:val="22"/>
                      <w:szCs w:val="22"/>
                    </w:rPr>
                    <w:t>For 2012-13</w:t>
                  </w:r>
                </w:p>
              </w:tc>
              <w:tc>
                <w:tcPr>
                  <w:tcW w:w="2052" w:type="dxa"/>
                  <w:vAlign w:val="bottom"/>
                </w:tcPr>
                <w:p w:rsidR="004C1442" w:rsidRPr="0054378E" w:rsidRDefault="004C1442" w:rsidP="00D45B8F">
                  <w:pPr>
                    <w:rPr>
                      <w:rFonts w:ascii="Arial" w:hAnsi="Arial" w:cs="Arial"/>
                      <w:color w:val="000000"/>
                      <w:sz w:val="22"/>
                      <w:szCs w:val="22"/>
                    </w:rPr>
                  </w:pPr>
                </w:p>
              </w:tc>
              <w:tc>
                <w:tcPr>
                  <w:tcW w:w="3132" w:type="dxa"/>
                  <w:vAlign w:val="bottom"/>
                </w:tcPr>
                <w:p w:rsidR="004C1442" w:rsidRPr="0054378E" w:rsidRDefault="004C1442" w:rsidP="00D45B8F">
                  <w:pPr>
                    <w:rPr>
                      <w:rFonts w:ascii="Arial" w:hAnsi="Arial" w:cs="Arial"/>
                      <w:color w:val="000000"/>
                      <w:sz w:val="22"/>
                      <w:szCs w:val="22"/>
                    </w:rPr>
                  </w:pPr>
                </w:p>
              </w:tc>
            </w:tr>
            <w:tr w:rsidR="009D42D1" w:rsidRPr="0054378E" w:rsidTr="009D42D1">
              <w:tc>
                <w:tcPr>
                  <w:tcW w:w="404"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A</w:t>
                  </w:r>
                </w:p>
              </w:tc>
              <w:tc>
                <w:tcPr>
                  <w:tcW w:w="2651"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2012-13 monthly through-flow of over-25s on CC for 2 years</w:t>
                  </w:r>
                </w:p>
              </w:tc>
              <w:tc>
                <w:tcPr>
                  <w:tcW w:w="2052"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12,314</w:t>
                  </w:r>
                </w:p>
              </w:tc>
              <w:tc>
                <w:tcPr>
                  <w:tcW w:w="3132" w:type="dxa"/>
                </w:tcPr>
                <w:p w:rsidR="009D42D1" w:rsidRPr="001D5F6D" w:rsidRDefault="009D42D1" w:rsidP="009D42D1">
                  <w:pPr>
                    <w:rPr>
                      <w:rFonts w:ascii="Arial" w:hAnsi="Arial" w:cs="Arial"/>
                      <w:color w:val="000000"/>
                      <w:sz w:val="22"/>
                      <w:szCs w:val="22"/>
                    </w:rPr>
                  </w:pPr>
                  <w:r>
                    <w:rPr>
                      <w:rFonts w:ascii="Arial" w:hAnsi="Arial" w:cs="Arial"/>
                      <w:color w:val="000000"/>
                      <w:sz w:val="22"/>
                      <w:szCs w:val="22"/>
                    </w:rPr>
                    <w:t xml:space="preserve">Average number of over-25s that reach 2 years on the claimant count each month. </w:t>
                  </w:r>
                  <w:r w:rsidRPr="009D42D1">
                    <w:rPr>
                      <w:rFonts w:ascii="Arial" w:hAnsi="Arial" w:cs="Arial"/>
                      <w:color w:val="000000"/>
                      <w:sz w:val="22"/>
                      <w:szCs w:val="22"/>
                    </w:rPr>
                    <w:t>May 2012 - Ma</w:t>
                  </w:r>
                  <w:r>
                    <w:rPr>
                      <w:rFonts w:ascii="Arial" w:hAnsi="Arial" w:cs="Arial"/>
                      <w:color w:val="000000"/>
                      <w:sz w:val="22"/>
                      <w:szCs w:val="22"/>
                    </w:rPr>
                    <w:t>rch 2013 average (April through-</w:t>
                  </w:r>
                  <w:r w:rsidRPr="009D42D1">
                    <w:rPr>
                      <w:rFonts w:ascii="Arial" w:hAnsi="Arial" w:cs="Arial"/>
                      <w:color w:val="000000"/>
                      <w:sz w:val="22"/>
                      <w:szCs w:val="22"/>
                    </w:rPr>
                    <w:t>flow is part of April stock</w:t>
                  </w:r>
                  <w:r w:rsidR="009574A4">
                    <w:rPr>
                      <w:rFonts w:ascii="Arial" w:hAnsi="Arial" w:cs="Arial"/>
                      <w:color w:val="000000"/>
                      <w:sz w:val="22"/>
                      <w:szCs w:val="22"/>
                    </w:rPr>
                    <w:t>, see notes</w:t>
                  </w:r>
                  <w:r w:rsidRPr="009D42D1">
                    <w:rPr>
                      <w:rFonts w:ascii="Arial" w:hAnsi="Arial" w:cs="Arial"/>
                      <w:color w:val="000000"/>
                      <w:sz w:val="22"/>
                      <w:szCs w:val="22"/>
                    </w:rPr>
                    <w:t xml:space="preserve">) </w:t>
                  </w:r>
                  <w:r w:rsidRPr="001D5F6D">
                    <w:rPr>
                      <w:rFonts w:ascii="Arial" w:hAnsi="Arial" w:cs="Arial"/>
                      <w:color w:val="000000"/>
                      <w:sz w:val="22"/>
                      <w:szCs w:val="22"/>
                    </w:rPr>
                    <w:t xml:space="preserve">(Source: </w:t>
                  </w:r>
                  <w:proofErr w:type="spellStart"/>
                  <w:r w:rsidRPr="001D5F6D">
                    <w:rPr>
                      <w:rFonts w:ascii="Arial" w:hAnsi="Arial" w:cs="Arial"/>
                      <w:color w:val="000000"/>
                      <w:sz w:val="22"/>
                      <w:szCs w:val="22"/>
                    </w:rPr>
                    <w:t>nomis</w:t>
                  </w:r>
                  <w:proofErr w:type="spellEnd"/>
                  <w:r w:rsidRPr="001D5F6D">
                    <w:rPr>
                      <w:rFonts w:ascii="Arial" w:hAnsi="Arial" w:cs="Arial"/>
                      <w:color w:val="000000"/>
                      <w:sz w:val="22"/>
                      <w:szCs w:val="22"/>
                    </w:rPr>
                    <w:t xml:space="preserve"> data)</w:t>
                  </w:r>
                </w:p>
              </w:tc>
            </w:tr>
            <w:tr w:rsidR="009D42D1" w:rsidRPr="0054378E" w:rsidTr="009D42D1">
              <w:tc>
                <w:tcPr>
                  <w:tcW w:w="404" w:type="dxa"/>
                </w:tcPr>
                <w:p w:rsidR="009D42D1" w:rsidRPr="009D42D1" w:rsidRDefault="009D42D1" w:rsidP="009D42D1">
                  <w:pPr>
                    <w:rPr>
                      <w:rFonts w:ascii="Arial" w:hAnsi="Arial" w:cs="Arial"/>
                      <w:color w:val="000000"/>
                      <w:sz w:val="22"/>
                      <w:szCs w:val="22"/>
                    </w:rPr>
                  </w:pPr>
                </w:p>
              </w:tc>
              <w:tc>
                <w:tcPr>
                  <w:tcW w:w="2651" w:type="dxa"/>
                </w:tcPr>
                <w:p w:rsidR="009D42D1" w:rsidRPr="009D42D1" w:rsidRDefault="009D42D1" w:rsidP="009D42D1">
                  <w:pPr>
                    <w:rPr>
                      <w:rFonts w:ascii="Arial" w:hAnsi="Arial" w:cs="Arial"/>
                      <w:color w:val="000000"/>
                      <w:sz w:val="22"/>
                      <w:szCs w:val="22"/>
                    </w:rPr>
                  </w:pPr>
                </w:p>
              </w:tc>
              <w:tc>
                <w:tcPr>
                  <w:tcW w:w="2052" w:type="dxa"/>
                </w:tcPr>
                <w:p w:rsidR="009D42D1" w:rsidRPr="009D42D1" w:rsidRDefault="009D42D1" w:rsidP="009D42D1">
                  <w:pPr>
                    <w:rPr>
                      <w:rFonts w:ascii="Arial" w:hAnsi="Arial" w:cs="Arial"/>
                      <w:color w:val="000000"/>
                      <w:sz w:val="22"/>
                      <w:szCs w:val="22"/>
                    </w:rPr>
                  </w:pPr>
                </w:p>
              </w:tc>
              <w:tc>
                <w:tcPr>
                  <w:tcW w:w="3132" w:type="dxa"/>
                </w:tcPr>
                <w:p w:rsidR="009D42D1" w:rsidRPr="001D5F6D" w:rsidRDefault="009D42D1" w:rsidP="009D42D1">
                  <w:pPr>
                    <w:rPr>
                      <w:rFonts w:ascii="Arial" w:hAnsi="Arial" w:cs="Arial"/>
                      <w:color w:val="000000"/>
                      <w:sz w:val="22"/>
                      <w:szCs w:val="22"/>
                    </w:rPr>
                  </w:pPr>
                </w:p>
              </w:tc>
            </w:tr>
            <w:tr w:rsidR="009D42D1" w:rsidRPr="0054378E" w:rsidTr="009D42D1">
              <w:tc>
                <w:tcPr>
                  <w:tcW w:w="404"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B</w:t>
                  </w:r>
                </w:p>
              </w:tc>
              <w:tc>
                <w:tcPr>
                  <w:tcW w:w="2651"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Unit cost of FJF placement in 2012-13 prices</w:t>
                  </w:r>
                </w:p>
              </w:tc>
              <w:tc>
                <w:tcPr>
                  <w:tcW w:w="2052"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£6,850</w:t>
                  </w:r>
                </w:p>
              </w:tc>
              <w:tc>
                <w:tcPr>
                  <w:tcW w:w="3132" w:type="dxa"/>
                </w:tcPr>
                <w:p w:rsidR="009D42D1" w:rsidRPr="001D5F6D" w:rsidRDefault="009D42D1" w:rsidP="009D42D1">
                  <w:pPr>
                    <w:rPr>
                      <w:rFonts w:ascii="Arial" w:hAnsi="Arial" w:cs="Arial"/>
                      <w:color w:val="000000"/>
                      <w:sz w:val="22"/>
                      <w:szCs w:val="22"/>
                    </w:rPr>
                  </w:pPr>
                  <w:r w:rsidRPr="001D5F6D">
                    <w:rPr>
                      <w:rFonts w:ascii="Arial" w:hAnsi="Arial" w:cs="Arial"/>
                      <w:color w:val="000000"/>
                      <w:sz w:val="22"/>
                      <w:szCs w:val="22"/>
                    </w:rPr>
                    <w:t>Full-time job for six months at NMW was the FJF offer, so use FJF unit costs (Source: DWP analysis of FJF costs and benefits</w:t>
                  </w:r>
                  <w:r>
                    <w:rPr>
                      <w:rStyle w:val="FootnoteReference"/>
                      <w:rFonts w:ascii="Arial" w:hAnsi="Arial" w:cs="Arial"/>
                      <w:color w:val="000000"/>
                      <w:sz w:val="22"/>
                      <w:szCs w:val="22"/>
                    </w:rPr>
                    <w:footnoteReference w:id="1"/>
                  </w:r>
                  <w:r>
                    <w:rPr>
                      <w:rFonts w:ascii="Arial" w:hAnsi="Arial" w:cs="Arial"/>
                      <w:color w:val="000000"/>
                      <w:sz w:val="22"/>
                      <w:szCs w:val="22"/>
                    </w:rPr>
                    <w:t>)</w:t>
                  </w:r>
                </w:p>
              </w:tc>
            </w:tr>
            <w:tr w:rsidR="009D42D1" w:rsidRPr="0054378E" w:rsidTr="009D42D1">
              <w:tc>
                <w:tcPr>
                  <w:tcW w:w="404" w:type="dxa"/>
                </w:tcPr>
                <w:p w:rsidR="009D42D1" w:rsidRPr="009D42D1" w:rsidRDefault="009D42D1" w:rsidP="009D42D1">
                  <w:pPr>
                    <w:rPr>
                      <w:rFonts w:ascii="Arial" w:hAnsi="Arial" w:cs="Arial"/>
                      <w:color w:val="000000"/>
                      <w:sz w:val="22"/>
                      <w:szCs w:val="22"/>
                    </w:rPr>
                  </w:pPr>
                </w:p>
              </w:tc>
              <w:tc>
                <w:tcPr>
                  <w:tcW w:w="2651" w:type="dxa"/>
                </w:tcPr>
                <w:p w:rsidR="009D42D1" w:rsidRPr="009D42D1" w:rsidRDefault="009D42D1" w:rsidP="009D42D1">
                  <w:pPr>
                    <w:rPr>
                      <w:rFonts w:ascii="Arial" w:hAnsi="Arial" w:cs="Arial"/>
                      <w:color w:val="000000"/>
                      <w:sz w:val="22"/>
                      <w:szCs w:val="22"/>
                    </w:rPr>
                  </w:pPr>
                </w:p>
              </w:tc>
              <w:tc>
                <w:tcPr>
                  <w:tcW w:w="2052" w:type="dxa"/>
                </w:tcPr>
                <w:p w:rsidR="009D42D1" w:rsidRPr="009D42D1" w:rsidRDefault="009D42D1" w:rsidP="009D42D1">
                  <w:pPr>
                    <w:rPr>
                      <w:rFonts w:ascii="Arial" w:hAnsi="Arial" w:cs="Arial"/>
                      <w:color w:val="000000"/>
                      <w:sz w:val="22"/>
                      <w:szCs w:val="22"/>
                    </w:rPr>
                  </w:pPr>
                </w:p>
              </w:tc>
              <w:tc>
                <w:tcPr>
                  <w:tcW w:w="3132" w:type="dxa"/>
                </w:tcPr>
                <w:p w:rsidR="009D42D1" w:rsidRPr="001D5F6D" w:rsidRDefault="009D42D1" w:rsidP="009D42D1">
                  <w:pPr>
                    <w:rPr>
                      <w:rFonts w:ascii="Arial" w:hAnsi="Arial" w:cs="Arial"/>
                      <w:color w:val="000000"/>
                      <w:sz w:val="22"/>
                      <w:szCs w:val="22"/>
                    </w:rPr>
                  </w:pPr>
                </w:p>
              </w:tc>
            </w:tr>
            <w:tr w:rsidR="009D42D1" w:rsidRPr="0054378E" w:rsidTr="009D42D1">
              <w:tc>
                <w:tcPr>
                  <w:tcW w:w="404"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C</w:t>
                  </w:r>
                </w:p>
              </w:tc>
              <w:tc>
                <w:tcPr>
                  <w:tcW w:w="2651"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Monthly cost of through-flows in 2012-13 [A*B]</w:t>
                  </w:r>
                </w:p>
              </w:tc>
              <w:tc>
                <w:tcPr>
                  <w:tcW w:w="2052"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£84,350,900.00</w:t>
                  </w:r>
                </w:p>
              </w:tc>
              <w:tc>
                <w:tcPr>
                  <w:tcW w:w="3132" w:type="dxa"/>
                </w:tcPr>
                <w:p w:rsidR="009D42D1" w:rsidRPr="00696BBE" w:rsidRDefault="009D42D1" w:rsidP="009D42D1">
                  <w:pPr>
                    <w:rPr>
                      <w:rFonts w:ascii="Arial" w:hAnsi="Arial" w:cs="Arial"/>
                      <w:color w:val="000000"/>
                      <w:sz w:val="22"/>
                      <w:szCs w:val="22"/>
                    </w:rPr>
                  </w:pPr>
                  <w:r>
                    <w:rPr>
                      <w:rFonts w:ascii="Arial" w:hAnsi="Arial" w:cs="Arial"/>
                      <w:color w:val="000000"/>
                      <w:sz w:val="22"/>
                      <w:szCs w:val="22"/>
                    </w:rPr>
                    <w:t>Multiplies monthly through-flows by unit cost</w:t>
                  </w:r>
                </w:p>
              </w:tc>
            </w:tr>
            <w:tr w:rsidR="009D42D1" w:rsidRPr="0054378E" w:rsidTr="009D42D1">
              <w:tc>
                <w:tcPr>
                  <w:tcW w:w="404"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D</w:t>
                  </w:r>
                </w:p>
              </w:tc>
              <w:tc>
                <w:tcPr>
                  <w:tcW w:w="2651"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Annual cost of through-flows in 2012-13 [C*11]</w:t>
                  </w:r>
                </w:p>
              </w:tc>
              <w:tc>
                <w:tcPr>
                  <w:tcW w:w="2052"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£927,859,900.00</w:t>
                  </w:r>
                </w:p>
              </w:tc>
              <w:tc>
                <w:tcPr>
                  <w:tcW w:w="3132" w:type="dxa"/>
                </w:tcPr>
                <w:p w:rsidR="009D42D1" w:rsidRPr="001D5F6D" w:rsidRDefault="00D87DD3" w:rsidP="009D42D1">
                  <w:pPr>
                    <w:rPr>
                      <w:rFonts w:ascii="Arial" w:hAnsi="Arial" w:cs="Arial"/>
                      <w:color w:val="000000"/>
                      <w:sz w:val="22"/>
                      <w:szCs w:val="22"/>
                    </w:rPr>
                  </w:pPr>
                  <w:r>
                    <w:rPr>
                      <w:rFonts w:ascii="Arial" w:hAnsi="Arial" w:cs="Arial"/>
                      <w:color w:val="000000"/>
                      <w:sz w:val="22"/>
                      <w:szCs w:val="22"/>
                    </w:rPr>
                    <w:t>Only 11 months because April through-flow is included in April stock</w:t>
                  </w:r>
                  <w:r w:rsidR="006A666E">
                    <w:rPr>
                      <w:rFonts w:ascii="Arial" w:hAnsi="Arial" w:cs="Arial"/>
                      <w:color w:val="000000"/>
                      <w:sz w:val="22"/>
                      <w:szCs w:val="22"/>
                    </w:rPr>
                    <w:t xml:space="preserve"> (see notes)</w:t>
                  </w:r>
                </w:p>
              </w:tc>
            </w:tr>
            <w:tr w:rsidR="009D42D1" w:rsidRPr="0054378E" w:rsidTr="009D42D1">
              <w:tc>
                <w:tcPr>
                  <w:tcW w:w="404"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E</w:t>
                  </w:r>
                </w:p>
              </w:tc>
              <w:tc>
                <w:tcPr>
                  <w:tcW w:w="2651"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Rounded annual cost of through-flows in 2012-13</w:t>
                  </w:r>
                </w:p>
              </w:tc>
              <w:tc>
                <w:tcPr>
                  <w:tcW w:w="2052"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£930,000,000</w:t>
                  </w:r>
                </w:p>
              </w:tc>
              <w:tc>
                <w:tcPr>
                  <w:tcW w:w="3132" w:type="dxa"/>
                </w:tcPr>
                <w:p w:rsidR="009D42D1" w:rsidRPr="001D5F6D" w:rsidRDefault="009D42D1" w:rsidP="009D42D1">
                  <w:pPr>
                    <w:rPr>
                      <w:rFonts w:ascii="Arial" w:hAnsi="Arial" w:cs="Arial"/>
                      <w:color w:val="000000"/>
                      <w:sz w:val="22"/>
                      <w:szCs w:val="22"/>
                    </w:rPr>
                  </w:pPr>
                </w:p>
              </w:tc>
            </w:tr>
            <w:tr w:rsidR="009D42D1" w:rsidRPr="0054378E" w:rsidTr="009D42D1">
              <w:tc>
                <w:tcPr>
                  <w:tcW w:w="404" w:type="dxa"/>
                </w:tcPr>
                <w:p w:rsidR="009D42D1" w:rsidRPr="009D42D1" w:rsidRDefault="009D42D1" w:rsidP="009D42D1">
                  <w:pPr>
                    <w:rPr>
                      <w:rFonts w:ascii="Arial" w:hAnsi="Arial" w:cs="Arial"/>
                      <w:color w:val="000000"/>
                      <w:sz w:val="22"/>
                      <w:szCs w:val="22"/>
                    </w:rPr>
                  </w:pPr>
                </w:p>
              </w:tc>
              <w:tc>
                <w:tcPr>
                  <w:tcW w:w="2651" w:type="dxa"/>
                </w:tcPr>
                <w:p w:rsidR="009D42D1" w:rsidRPr="009D42D1" w:rsidRDefault="009D42D1" w:rsidP="009D42D1">
                  <w:pPr>
                    <w:rPr>
                      <w:rFonts w:ascii="Arial" w:hAnsi="Arial" w:cs="Arial"/>
                      <w:color w:val="000000"/>
                      <w:sz w:val="22"/>
                      <w:szCs w:val="22"/>
                    </w:rPr>
                  </w:pPr>
                </w:p>
              </w:tc>
              <w:tc>
                <w:tcPr>
                  <w:tcW w:w="2052" w:type="dxa"/>
                </w:tcPr>
                <w:p w:rsidR="009D42D1" w:rsidRPr="009D42D1" w:rsidRDefault="009D42D1" w:rsidP="009D42D1">
                  <w:pPr>
                    <w:rPr>
                      <w:rFonts w:ascii="Arial" w:hAnsi="Arial" w:cs="Arial"/>
                      <w:color w:val="000000"/>
                      <w:sz w:val="22"/>
                      <w:szCs w:val="22"/>
                    </w:rPr>
                  </w:pPr>
                </w:p>
              </w:tc>
              <w:tc>
                <w:tcPr>
                  <w:tcW w:w="3132" w:type="dxa"/>
                </w:tcPr>
                <w:p w:rsidR="009D42D1" w:rsidRPr="001D5F6D" w:rsidRDefault="009D42D1" w:rsidP="009D42D1">
                  <w:pPr>
                    <w:rPr>
                      <w:rFonts w:ascii="Arial" w:hAnsi="Arial" w:cs="Arial"/>
                      <w:color w:val="000000"/>
                      <w:sz w:val="22"/>
                      <w:szCs w:val="22"/>
                    </w:rPr>
                  </w:pPr>
                </w:p>
              </w:tc>
            </w:tr>
            <w:tr w:rsidR="009D42D1" w:rsidRPr="0054378E" w:rsidTr="009D42D1">
              <w:tc>
                <w:tcPr>
                  <w:tcW w:w="404"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F</w:t>
                  </w:r>
                </w:p>
              </w:tc>
              <w:tc>
                <w:tcPr>
                  <w:tcW w:w="2651"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Existing stock of 25+ on CC over 2 years</w:t>
                  </w:r>
                </w:p>
              </w:tc>
              <w:tc>
                <w:tcPr>
                  <w:tcW w:w="2052"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89,750</w:t>
                  </w:r>
                </w:p>
              </w:tc>
              <w:tc>
                <w:tcPr>
                  <w:tcW w:w="3132" w:type="dxa"/>
                </w:tcPr>
                <w:p w:rsidR="009D42D1" w:rsidRPr="001D5F6D" w:rsidRDefault="009D42D1" w:rsidP="009D42D1">
                  <w:pPr>
                    <w:rPr>
                      <w:rFonts w:ascii="Arial" w:hAnsi="Arial" w:cs="Arial"/>
                      <w:color w:val="000000"/>
                      <w:sz w:val="22"/>
                      <w:szCs w:val="22"/>
                    </w:rPr>
                  </w:pPr>
                  <w:r>
                    <w:rPr>
                      <w:rFonts w:ascii="Arial" w:hAnsi="Arial" w:cs="Arial"/>
                      <w:color w:val="000000"/>
                      <w:sz w:val="22"/>
                      <w:szCs w:val="22"/>
                    </w:rPr>
                    <w:t>April 2012</w:t>
                  </w:r>
                  <w:r w:rsidRPr="001D5F6D">
                    <w:rPr>
                      <w:rFonts w:ascii="Arial" w:hAnsi="Arial" w:cs="Arial"/>
                      <w:color w:val="000000"/>
                      <w:sz w:val="22"/>
                      <w:szCs w:val="22"/>
                    </w:rPr>
                    <w:t xml:space="preserve"> (Source: </w:t>
                  </w:r>
                  <w:proofErr w:type="spellStart"/>
                  <w:r w:rsidRPr="001D5F6D">
                    <w:rPr>
                      <w:rFonts w:ascii="Arial" w:hAnsi="Arial" w:cs="Arial"/>
                      <w:color w:val="000000"/>
                      <w:sz w:val="22"/>
                      <w:szCs w:val="22"/>
                    </w:rPr>
                    <w:t>nomis</w:t>
                  </w:r>
                  <w:proofErr w:type="spellEnd"/>
                  <w:r w:rsidRPr="001D5F6D">
                    <w:rPr>
                      <w:rFonts w:ascii="Arial" w:hAnsi="Arial" w:cs="Arial"/>
                      <w:color w:val="000000"/>
                      <w:sz w:val="22"/>
                      <w:szCs w:val="22"/>
                    </w:rPr>
                    <w:t xml:space="preserve"> data)</w:t>
                  </w:r>
                </w:p>
              </w:tc>
            </w:tr>
            <w:tr w:rsidR="009D42D1" w:rsidRPr="0054378E" w:rsidTr="009D42D1">
              <w:tc>
                <w:tcPr>
                  <w:tcW w:w="404"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G</w:t>
                  </w:r>
                </w:p>
              </w:tc>
              <w:tc>
                <w:tcPr>
                  <w:tcW w:w="2651"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Cost of work placements for existing 25+ stock [F*B]</w:t>
                  </w:r>
                </w:p>
              </w:tc>
              <w:tc>
                <w:tcPr>
                  <w:tcW w:w="2052"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£614,787,500.00</w:t>
                  </w:r>
                </w:p>
              </w:tc>
              <w:tc>
                <w:tcPr>
                  <w:tcW w:w="3132" w:type="dxa"/>
                </w:tcPr>
                <w:p w:rsidR="009D42D1" w:rsidRPr="001D5F6D" w:rsidRDefault="009D42D1" w:rsidP="009D42D1">
                  <w:pPr>
                    <w:rPr>
                      <w:rFonts w:ascii="Arial" w:hAnsi="Arial" w:cs="Arial"/>
                      <w:color w:val="000000"/>
                      <w:sz w:val="22"/>
                      <w:szCs w:val="22"/>
                    </w:rPr>
                  </w:pPr>
                </w:p>
              </w:tc>
            </w:tr>
            <w:tr w:rsidR="009D42D1" w:rsidRPr="0054378E" w:rsidTr="009D42D1">
              <w:tc>
                <w:tcPr>
                  <w:tcW w:w="404" w:type="dxa"/>
                </w:tcPr>
                <w:p w:rsidR="009D42D1" w:rsidRPr="009D42D1" w:rsidRDefault="009D42D1" w:rsidP="009D42D1">
                  <w:pPr>
                    <w:rPr>
                      <w:rFonts w:ascii="Arial" w:hAnsi="Arial" w:cs="Arial"/>
                      <w:color w:val="000000"/>
                      <w:sz w:val="22"/>
                      <w:szCs w:val="22"/>
                    </w:rPr>
                  </w:pPr>
                </w:p>
              </w:tc>
              <w:tc>
                <w:tcPr>
                  <w:tcW w:w="2651" w:type="dxa"/>
                </w:tcPr>
                <w:p w:rsidR="009D42D1" w:rsidRPr="009D42D1" w:rsidRDefault="009D42D1" w:rsidP="009D42D1">
                  <w:pPr>
                    <w:rPr>
                      <w:rFonts w:ascii="Arial" w:hAnsi="Arial" w:cs="Arial"/>
                      <w:color w:val="000000"/>
                      <w:sz w:val="22"/>
                      <w:szCs w:val="22"/>
                    </w:rPr>
                  </w:pPr>
                </w:p>
              </w:tc>
              <w:tc>
                <w:tcPr>
                  <w:tcW w:w="2052" w:type="dxa"/>
                </w:tcPr>
                <w:p w:rsidR="009D42D1" w:rsidRPr="009D42D1" w:rsidRDefault="009D42D1" w:rsidP="009D42D1">
                  <w:pPr>
                    <w:rPr>
                      <w:rFonts w:ascii="Arial" w:hAnsi="Arial" w:cs="Arial"/>
                      <w:color w:val="000000"/>
                      <w:sz w:val="22"/>
                      <w:szCs w:val="22"/>
                    </w:rPr>
                  </w:pPr>
                </w:p>
              </w:tc>
              <w:tc>
                <w:tcPr>
                  <w:tcW w:w="3132" w:type="dxa"/>
                </w:tcPr>
                <w:p w:rsidR="009D42D1" w:rsidRPr="001D5F6D" w:rsidRDefault="009D42D1" w:rsidP="009D42D1">
                  <w:pPr>
                    <w:rPr>
                      <w:rFonts w:ascii="Arial" w:hAnsi="Arial" w:cs="Arial"/>
                      <w:color w:val="000000"/>
                      <w:sz w:val="22"/>
                      <w:szCs w:val="22"/>
                    </w:rPr>
                  </w:pPr>
                </w:p>
              </w:tc>
            </w:tr>
            <w:tr w:rsidR="009D42D1" w:rsidRPr="0054378E" w:rsidTr="009D42D1">
              <w:tc>
                <w:tcPr>
                  <w:tcW w:w="404"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H</w:t>
                  </w:r>
                </w:p>
              </w:tc>
              <w:tc>
                <w:tcPr>
                  <w:tcW w:w="2651"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Overall 2012-13 cost [D+G]</w:t>
                  </w:r>
                </w:p>
              </w:tc>
              <w:tc>
                <w:tcPr>
                  <w:tcW w:w="2052"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£1,542,647,400.00</w:t>
                  </w:r>
                </w:p>
              </w:tc>
              <w:tc>
                <w:tcPr>
                  <w:tcW w:w="3132" w:type="dxa"/>
                </w:tcPr>
                <w:p w:rsidR="009D42D1" w:rsidRPr="001D5F6D" w:rsidRDefault="009D42D1" w:rsidP="009D42D1">
                  <w:pPr>
                    <w:rPr>
                      <w:rFonts w:ascii="Arial" w:hAnsi="Arial" w:cs="Arial"/>
                      <w:color w:val="000000"/>
                      <w:sz w:val="22"/>
                      <w:szCs w:val="22"/>
                    </w:rPr>
                  </w:pPr>
                </w:p>
              </w:tc>
            </w:tr>
            <w:tr w:rsidR="009D42D1" w:rsidRPr="0054378E" w:rsidTr="009D42D1">
              <w:tc>
                <w:tcPr>
                  <w:tcW w:w="404"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I</w:t>
                  </w:r>
                </w:p>
              </w:tc>
              <w:tc>
                <w:tcPr>
                  <w:tcW w:w="2651"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Rounded overall 2012-13 cost</w:t>
                  </w:r>
                </w:p>
              </w:tc>
              <w:tc>
                <w:tcPr>
                  <w:tcW w:w="2052" w:type="dxa"/>
                </w:tcPr>
                <w:p w:rsidR="009D42D1" w:rsidRPr="009D42D1" w:rsidRDefault="009D42D1" w:rsidP="009D42D1">
                  <w:pPr>
                    <w:rPr>
                      <w:rFonts w:ascii="Arial" w:hAnsi="Arial" w:cs="Arial"/>
                      <w:color w:val="000000"/>
                      <w:sz w:val="22"/>
                      <w:szCs w:val="22"/>
                    </w:rPr>
                  </w:pPr>
                  <w:r w:rsidRPr="009D42D1">
                    <w:rPr>
                      <w:rFonts w:ascii="Arial" w:hAnsi="Arial" w:cs="Arial"/>
                      <w:color w:val="000000"/>
                      <w:sz w:val="22"/>
                      <w:szCs w:val="22"/>
                    </w:rPr>
                    <w:t>£1,540,000,000</w:t>
                  </w:r>
                </w:p>
              </w:tc>
              <w:tc>
                <w:tcPr>
                  <w:tcW w:w="3132" w:type="dxa"/>
                </w:tcPr>
                <w:p w:rsidR="009D42D1" w:rsidRPr="001D5F6D" w:rsidRDefault="009D42D1" w:rsidP="009D42D1">
                  <w:pPr>
                    <w:rPr>
                      <w:rFonts w:ascii="Arial" w:hAnsi="Arial" w:cs="Arial"/>
                      <w:color w:val="000000"/>
                      <w:sz w:val="22"/>
                      <w:szCs w:val="22"/>
                    </w:rPr>
                  </w:pPr>
                </w:p>
              </w:tc>
            </w:tr>
          </w:tbl>
          <w:p w:rsidR="004C1442" w:rsidRPr="004C1442" w:rsidRDefault="004C1442" w:rsidP="00D45B8F">
            <w:pPr>
              <w:rPr>
                <w:rFonts w:ascii="Arial" w:hAnsi="Arial" w:cs="Arial"/>
                <w:sz w:val="22"/>
              </w:rPr>
            </w:pPr>
          </w:p>
          <w:p w:rsidR="004C1442" w:rsidRPr="004C1442" w:rsidRDefault="004C1442" w:rsidP="00D45B8F">
            <w:pPr>
              <w:rPr>
                <w:rFonts w:ascii="Arial" w:hAnsi="Arial" w:cs="Arial"/>
                <w:sz w:val="22"/>
              </w:rPr>
            </w:pPr>
            <w:r w:rsidRPr="004C1442">
              <w:rPr>
                <w:rFonts w:ascii="Arial" w:hAnsi="Arial" w:cs="Arial"/>
                <w:sz w:val="22"/>
              </w:rPr>
              <w:t>Notes:</w:t>
            </w:r>
          </w:p>
          <w:p w:rsidR="009574A4" w:rsidRDefault="009574A4" w:rsidP="00D45B8F">
            <w:pPr>
              <w:numPr>
                <w:ilvl w:val="0"/>
                <w:numId w:val="4"/>
              </w:numPr>
              <w:rPr>
                <w:rFonts w:ascii="Arial" w:hAnsi="Arial" w:cs="Arial"/>
                <w:sz w:val="22"/>
              </w:rPr>
            </w:pPr>
            <w:r>
              <w:rPr>
                <w:rFonts w:ascii="Arial" w:hAnsi="Arial" w:cs="Arial"/>
                <w:sz w:val="22"/>
              </w:rPr>
              <w:t>To obtain the estimate for 2012-13, the costing above takes into account both the</w:t>
            </w:r>
            <w:r w:rsidR="006A666E">
              <w:rPr>
                <w:rFonts w:ascii="Arial" w:hAnsi="Arial" w:cs="Arial"/>
                <w:sz w:val="22"/>
              </w:rPr>
              <w:t xml:space="preserve"> through-</w:t>
            </w:r>
            <w:r>
              <w:rPr>
                <w:rFonts w:ascii="Arial" w:hAnsi="Arial" w:cs="Arial"/>
                <w:sz w:val="22"/>
              </w:rPr>
              <w:t>flow of claimants reaching two years on the claimant count each month, and the initial stock who have claimed for over two years in April 2012. However, the April 2012 stock also includes those who reached two years on the claimant count in that month, so through-flows are only counted from May 2012 onwards.</w:t>
            </w:r>
          </w:p>
          <w:p w:rsidR="004C1442" w:rsidRPr="00BB40B4" w:rsidRDefault="004C1442" w:rsidP="00D45B8F">
            <w:pPr>
              <w:numPr>
                <w:ilvl w:val="0"/>
                <w:numId w:val="4"/>
              </w:numPr>
              <w:rPr>
                <w:rFonts w:ascii="Arial" w:hAnsi="Arial" w:cs="Arial"/>
                <w:sz w:val="22"/>
              </w:rPr>
            </w:pPr>
            <w:r w:rsidRPr="00BB40B4">
              <w:rPr>
                <w:rFonts w:ascii="Arial" w:hAnsi="Arial" w:cs="Arial"/>
                <w:sz w:val="22"/>
              </w:rPr>
              <w:t xml:space="preserve">The costing does not adjust the unit cost for age group because, according to DWP FJF analysis: </w:t>
            </w:r>
            <w:r w:rsidR="00BB40B4">
              <w:rPr>
                <w:rFonts w:ascii="Arial" w:hAnsi="Arial" w:cs="Arial"/>
                <w:sz w:val="22"/>
              </w:rPr>
              <w:br/>
            </w:r>
            <w:r w:rsidRPr="00BB40B4">
              <w:rPr>
                <w:rFonts w:ascii="Arial" w:hAnsi="Arial" w:cs="Arial"/>
                <w:sz w:val="22"/>
              </w:rPr>
              <w:t xml:space="preserve">"The cost paid to each organisation was a maximum of £6,500 for each job: 40% (£2,600) was paid in advance to cover set up costs. 60% (£3,900) was </w:t>
            </w:r>
            <w:r w:rsidRPr="00BB40B4">
              <w:rPr>
                <w:rFonts w:ascii="Arial" w:hAnsi="Arial" w:cs="Arial"/>
                <w:sz w:val="22"/>
              </w:rPr>
              <w:lastRenderedPageBreak/>
              <w:t>claimed in arrears based on actual weeks worked by FJF employees (i.e. £150 per week for a maximum of 26 weeks)."</w:t>
            </w:r>
          </w:p>
          <w:p w:rsidR="00BB40B4" w:rsidRPr="00BB40B4" w:rsidRDefault="00BB40B4" w:rsidP="00BB40B4">
            <w:pPr>
              <w:numPr>
                <w:ilvl w:val="0"/>
                <w:numId w:val="3"/>
              </w:numPr>
              <w:rPr>
                <w:rFonts w:ascii="Arial" w:hAnsi="Arial" w:cs="Arial"/>
                <w:bCs/>
                <w:sz w:val="22"/>
              </w:rPr>
            </w:pPr>
            <w:r w:rsidRPr="00BB40B4">
              <w:rPr>
                <w:rFonts w:ascii="Arial" w:hAnsi="Arial" w:cs="Arial"/>
                <w:bCs/>
                <w:sz w:val="22"/>
              </w:rPr>
              <w:t xml:space="preserve">The costing assumes that there is no attrition, i.e. that all participants stay in the six-month job for its entire duration. This is reasonable based on DWP’s quotation of the FJF unit cost as £6,500 and low FJF attrition rates. </w:t>
            </w:r>
          </w:p>
          <w:p w:rsidR="00BB40B4" w:rsidRDefault="00BB40B4" w:rsidP="00DD27BD">
            <w:pPr>
              <w:rPr>
                <w:rFonts w:ascii="Arial" w:hAnsi="Arial" w:cs="Arial"/>
                <w:bCs/>
                <w:sz w:val="22"/>
              </w:rPr>
            </w:pPr>
          </w:p>
          <w:p w:rsidR="00DD27BD" w:rsidRDefault="00DD27BD" w:rsidP="00DD27BD">
            <w:pPr>
              <w:rPr>
                <w:rFonts w:ascii="Arial" w:hAnsi="Arial" w:cs="Arial"/>
                <w:b/>
                <w:bCs/>
                <w:sz w:val="22"/>
              </w:rPr>
            </w:pPr>
          </w:p>
        </w:tc>
      </w:tr>
      <w:tr w:rsidR="002E1012">
        <w:tc>
          <w:tcPr>
            <w:tcW w:w="0" w:type="auto"/>
            <w:tcBorders>
              <w:top w:val="single" w:sz="7" w:space="0" w:color="000000"/>
              <w:left w:val="single" w:sz="7" w:space="0" w:color="000000"/>
              <w:bottom w:val="single" w:sz="7" w:space="0" w:color="000000"/>
              <w:right w:val="single" w:sz="7" w:space="0" w:color="000000"/>
            </w:tcBorders>
            <w:shd w:val="pct30" w:color="000000" w:fill="FFFFFF"/>
          </w:tcPr>
          <w:p w:rsidR="002E1012" w:rsidRDefault="002E1012">
            <w:pPr>
              <w:pStyle w:val="BodyText"/>
              <w:ind w:left="0"/>
              <w:rPr>
                <w:rFonts w:cs="Arial"/>
                <w:sz w:val="22"/>
              </w:rPr>
            </w:pPr>
            <w:r>
              <w:rPr>
                <w:rFonts w:cs="Arial"/>
                <w:sz w:val="22"/>
              </w:rPr>
              <w:lastRenderedPageBreak/>
              <w:t>4).  Distributional effects (if none requested, any significant):</w:t>
            </w:r>
          </w:p>
        </w:tc>
      </w:tr>
      <w:tr w:rsidR="002E1012">
        <w:tc>
          <w:tcPr>
            <w:tcW w:w="0" w:type="auto"/>
            <w:tcBorders>
              <w:top w:val="single" w:sz="7" w:space="0" w:color="000000"/>
              <w:left w:val="single" w:sz="7" w:space="0" w:color="000000"/>
              <w:bottom w:val="single" w:sz="7" w:space="0" w:color="000000"/>
              <w:right w:val="single" w:sz="7" w:space="0" w:color="000000"/>
            </w:tcBorders>
          </w:tcPr>
          <w:p w:rsidR="002E1012" w:rsidRDefault="002E1012">
            <w:pPr>
              <w:pStyle w:val="BodyText"/>
              <w:ind w:left="0"/>
              <w:rPr>
                <w:rFonts w:cs="Arial"/>
                <w:sz w:val="22"/>
              </w:rPr>
            </w:pPr>
          </w:p>
        </w:tc>
      </w:tr>
      <w:tr w:rsidR="002E1012">
        <w:tc>
          <w:tcPr>
            <w:tcW w:w="0" w:type="auto"/>
            <w:tcBorders>
              <w:top w:val="single" w:sz="7" w:space="0" w:color="000000"/>
              <w:left w:val="single" w:sz="7" w:space="0" w:color="000000"/>
              <w:bottom w:val="single" w:sz="7" w:space="0" w:color="000000"/>
              <w:right w:val="single" w:sz="7" w:space="0" w:color="000000"/>
            </w:tcBorders>
            <w:shd w:val="pct30" w:color="000000" w:fill="FFFFFF"/>
          </w:tcPr>
          <w:p w:rsidR="002E1012" w:rsidRDefault="002E1012">
            <w:pPr>
              <w:pStyle w:val="BodyText"/>
              <w:ind w:left="0"/>
              <w:rPr>
                <w:rFonts w:cs="Arial"/>
                <w:sz w:val="22"/>
              </w:rPr>
            </w:pPr>
            <w:r>
              <w:rPr>
                <w:rFonts w:cs="Arial"/>
                <w:sz w:val="22"/>
              </w:rPr>
              <w:t>5).  Comparison with current system (if applicable):</w:t>
            </w:r>
          </w:p>
        </w:tc>
      </w:tr>
      <w:tr w:rsidR="002E1012">
        <w:tc>
          <w:tcPr>
            <w:tcW w:w="0" w:type="auto"/>
            <w:tcBorders>
              <w:top w:val="single" w:sz="7" w:space="0" w:color="000000"/>
              <w:left w:val="single" w:sz="7" w:space="0" w:color="000000"/>
              <w:bottom w:val="single" w:sz="7" w:space="0" w:color="000000"/>
              <w:right w:val="single" w:sz="7" w:space="0" w:color="000000"/>
            </w:tcBorders>
          </w:tcPr>
          <w:p w:rsidR="00406F62" w:rsidRDefault="00D8322A" w:rsidP="00DD27BD">
            <w:pPr>
              <w:tabs>
                <w:tab w:val="left" w:pos="-11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s>
              <w:ind w:right="298"/>
              <w:rPr>
                <w:rFonts w:ascii="Arial" w:hAnsi="Arial" w:cs="Arial"/>
                <w:sz w:val="22"/>
                <w:szCs w:val="28"/>
              </w:rPr>
            </w:pPr>
            <w:r w:rsidRPr="00D8322A">
              <w:rPr>
                <w:rFonts w:ascii="Arial" w:hAnsi="Arial" w:cs="Arial"/>
                <w:sz w:val="22"/>
                <w:szCs w:val="28"/>
              </w:rPr>
              <w:t>Over the next five years Government is investing £3-5bn to deliver specialist support to 2.4 m of the longer term unemployed</w:t>
            </w:r>
            <w:r>
              <w:rPr>
                <w:rFonts w:ascii="Arial" w:hAnsi="Arial" w:cs="Arial"/>
                <w:sz w:val="22"/>
                <w:szCs w:val="28"/>
              </w:rPr>
              <w:t xml:space="preserve"> and most vulnerable jobseekers through the </w:t>
            </w:r>
            <w:r w:rsidR="0054378E" w:rsidRPr="0054378E">
              <w:rPr>
                <w:rFonts w:ascii="Arial" w:hAnsi="Arial" w:cs="Arial"/>
                <w:sz w:val="22"/>
                <w:szCs w:val="28"/>
              </w:rPr>
              <w:t>Work Programme. The Work Programme is moving an increasing number of people off benefit and into work and keeping them in employment.  Since June 2011, the Work Programme has supported over 1.2 million long-term unemployed</w:t>
            </w:r>
            <w:r w:rsidR="00406F62">
              <w:rPr>
                <w:rFonts w:ascii="Arial" w:hAnsi="Arial" w:cs="Arial"/>
                <w:sz w:val="22"/>
                <w:szCs w:val="28"/>
              </w:rPr>
              <w:t>. In their report “The Work Programme: the first year”, DWP estimate that th</w:t>
            </w:r>
            <w:r w:rsidR="005E7B72">
              <w:rPr>
                <w:rFonts w:ascii="Arial" w:hAnsi="Arial" w:cs="Arial"/>
                <w:sz w:val="22"/>
                <w:szCs w:val="28"/>
              </w:rPr>
              <w:t>e</w:t>
            </w:r>
            <w:r w:rsidR="00406F62">
              <w:rPr>
                <w:rFonts w:ascii="Arial" w:hAnsi="Arial" w:cs="Arial"/>
                <w:sz w:val="22"/>
                <w:szCs w:val="28"/>
              </w:rPr>
              <w:t xml:space="preserve"> </w:t>
            </w:r>
            <w:r w:rsidR="00406F62" w:rsidRPr="00406F62">
              <w:rPr>
                <w:rFonts w:ascii="Arial" w:hAnsi="Arial" w:cs="Arial"/>
                <w:sz w:val="22"/>
                <w:szCs w:val="28"/>
              </w:rPr>
              <w:t>Work Programme has cost just over £2,000 per job started so far</w:t>
            </w:r>
            <w:r w:rsidR="00406F62">
              <w:rPr>
                <w:rFonts w:ascii="Arial" w:hAnsi="Arial" w:cs="Arial"/>
                <w:sz w:val="22"/>
                <w:szCs w:val="28"/>
              </w:rPr>
              <w:t>.</w:t>
            </w:r>
          </w:p>
          <w:p w:rsidR="00DD27BD" w:rsidRDefault="00DD27BD" w:rsidP="00DD27BD">
            <w:pPr>
              <w:tabs>
                <w:tab w:val="left" w:pos="-11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s>
              <w:ind w:right="298"/>
              <w:rPr>
                <w:rFonts w:cs="Arial"/>
                <w:sz w:val="22"/>
              </w:rPr>
            </w:pPr>
          </w:p>
        </w:tc>
      </w:tr>
      <w:tr w:rsidR="002E1012">
        <w:tc>
          <w:tcPr>
            <w:tcW w:w="0" w:type="auto"/>
            <w:tcBorders>
              <w:top w:val="single" w:sz="7" w:space="0" w:color="000000"/>
              <w:left w:val="single" w:sz="7" w:space="0" w:color="000000"/>
              <w:bottom w:val="single" w:sz="7" w:space="0" w:color="000000"/>
              <w:right w:val="single" w:sz="7" w:space="0" w:color="000000"/>
            </w:tcBorders>
            <w:shd w:val="pct30" w:color="000000" w:fill="FFFFFF"/>
          </w:tcPr>
          <w:p w:rsidR="002E1012" w:rsidRDefault="002E1012">
            <w:pPr>
              <w:pStyle w:val="BodyText"/>
              <w:ind w:left="0"/>
              <w:rPr>
                <w:rFonts w:cs="Arial"/>
                <w:sz w:val="22"/>
              </w:rPr>
            </w:pPr>
            <w:r>
              <w:rPr>
                <w:rFonts w:cs="Arial"/>
                <w:sz w:val="22"/>
              </w:rPr>
              <w:t>6).  Other comments (including other Departments consulted):</w:t>
            </w:r>
          </w:p>
        </w:tc>
      </w:tr>
      <w:tr w:rsidR="002E1012">
        <w:tc>
          <w:tcPr>
            <w:tcW w:w="0" w:type="auto"/>
            <w:tcBorders>
              <w:top w:val="single" w:sz="7" w:space="0" w:color="000000"/>
              <w:left w:val="single" w:sz="7" w:space="0" w:color="000000"/>
              <w:bottom w:val="single" w:sz="7" w:space="0" w:color="000000"/>
              <w:right w:val="single" w:sz="7" w:space="0" w:color="000000"/>
            </w:tcBorders>
          </w:tcPr>
          <w:p w:rsidR="002E1012" w:rsidRDefault="002E1012">
            <w:pPr>
              <w:pStyle w:val="BodyText"/>
              <w:ind w:left="0"/>
              <w:rPr>
                <w:rFonts w:cs="Arial"/>
                <w:sz w:val="22"/>
              </w:rPr>
            </w:pPr>
          </w:p>
        </w:tc>
      </w:tr>
    </w:tbl>
    <w:p w:rsidR="002E1012" w:rsidRDefault="002E1012">
      <w:pPr>
        <w:pStyle w:val="BodyText"/>
        <w:ind w:left="0"/>
        <w:rPr>
          <w:rFonts w:cs="Arial"/>
          <w:sz w:val="22"/>
        </w:rPr>
      </w:pPr>
    </w:p>
    <w:p w:rsidR="002E1012" w:rsidRDefault="002E1012">
      <w:pPr>
        <w:pStyle w:val="BlockText"/>
        <w:ind w:left="0"/>
        <w:jc w:val="both"/>
        <w:rPr>
          <w:sz w:val="22"/>
        </w:rPr>
      </w:pPr>
    </w:p>
    <w:sectPr w:rsidR="002E1012" w:rsidSect="00F255B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759" w:rsidRDefault="000A0759" w:rsidP="002E1012">
      <w:r>
        <w:separator/>
      </w:r>
    </w:p>
  </w:endnote>
  <w:endnote w:type="continuationSeparator" w:id="0">
    <w:p w:rsidR="000A0759" w:rsidRDefault="000A0759" w:rsidP="002E101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25" w:rsidRDefault="00100C75" w:rsidP="00E43C9E">
    <w:pPr>
      <w:pStyle w:val="Footer"/>
      <w:jc w:val="center"/>
    </w:pPr>
    <w:r>
      <w:fldChar w:fldCharType="begin"/>
    </w:r>
    <w:r w:rsidR="00E43C9E" w:rsidRPr="00493D1D">
      <w:rPr>
        <w:rFonts w:ascii="Calibri" w:hAnsi="Calibri"/>
        <w:color w:val="000000"/>
        <w:sz w:val="22"/>
      </w:rPr>
      <w:instrText xml:space="preserve"> DOCPROPERTY  bjDocumentSecurityLabel"  \* MERGEFORMAT </w:instrText>
    </w:r>
    <w:r>
      <w:fldChar w:fldCharType="separate"/>
    </w:r>
    <w:r w:rsidR="00493D1D">
      <w:rPr>
        <w:rFonts w:ascii="Calibri" w:hAnsi="Calibri"/>
        <w:color w:val="000000"/>
        <w:sz w:val="22"/>
      </w:rPr>
      <w:t>RESTRICTED</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25" w:rsidRDefault="00100C75" w:rsidP="00E43C9E">
    <w:pPr>
      <w:pStyle w:val="Footer"/>
      <w:jc w:val="center"/>
    </w:pPr>
    <w:r>
      <w:fldChar w:fldCharType="begin"/>
    </w:r>
    <w:r w:rsidR="00E43C9E" w:rsidRPr="00493D1D">
      <w:rPr>
        <w:rFonts w:ascii="Calibri" w:hAnsi="Calibri"/>
        <w:color w:val="000000"/>
        <w:sz w:val="22"/>
      </w:rPr>
      <w:instrText xml:space="preserve"> DOCPROPERTY  bjDocumentSecurityLabel"  \* MERGEFORMAT </w:instrText>
    </w:r>
    <w:r>
      <w:fldChar w:fldCharType="separate"/>
    </w:r>
    <w:r w:rsidR="00493D1D">
      <w:rPr>
        <w:rFonts w:ascii="Calibri" w:hAnsi="Calibri"/>
        <w:color w:val="000000"/>
        <w:sz w:val="22"/>
      </w:rPr>
      <w:t>RESTRICTED</w:t>
    </w:r>
    <w:r>
      <w:fldChar w:fldCharType="end"/>
    </w:r>
    <w:r w:rsidR="00E43C9E">
      <w:t xml:space="preserve"> </w:t>
    </w:r>
    <w:r w:rsidR="00E43C9E" w:rsidRPr="00E43C9E">
      <w:rPr>
        <w:rFonts w:ascii="Calibri" w:hAnsi="Calibri"/>
      </w:rPr>
      <w:t>(protect when complete)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25" w:rsidRDefault="00100C75" w:rsidP="00E43C9E">
    <w:pPr>
      <w:pStyle w:val="Footer"/>
      <w:jc w:val="center"/>
    </w:pPr>
    <w:r>
      <w:fldChar w:fldCharType="begin"/>
    </w:r>
    <w:r w:rsidR="00E43C9E" w:rsidRPr="00493D1D">
      <w:rPr>
        <w:rFonts w:ascii="Calibri" w:hAnsi="Calibri"/>
        <w:color w:val="000000"/>
        <w:sz w:val="22"/>
      </w:rPr>
      <w:instrText xml:space="preserve"> DOCPROPERTY  bjDocumentSecurityLabel"  \* MERGEFORMAT </w:instrText>
    </w:r>
    <w:r>
      <w:fldChar w:fldCharType="separate"/>
    </w:r>
    <w:r w:rsidR="00493D1D">
      <w:rPr>
        <w:rFonts w:ascii="Calibri" w:hAnsi="Calibri"/>
        <w:color w:val="000000"/>
        <w:sz w:val="22"/>
      </w:rPr>
      <w:t>RESTRICTED</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759" w:rsidRDefault="000A0759" w:rsidP="002E1012">
      <w:r>
        <w:separator/>
      </w:r>
    </w:p>
  </w:footnote>
  <w:footnote w:type="continuationSeparator" w:id="0">
    <w:p w:rsidR="000A0759" w:rsidRDefault="000A0759" w:rsidP="002E1012">
      <w:r>
        <w:continuationSeparator/>
      </w:r>
    </w:p>
  </w:footnote>
  <w:footnote w:id="1">
    <w:p w:rsidR="009D42D1" w:rsidRDefault="009D42D1">
      <w:pPr>
        <w:pStyle w:val="FootnoteText"/>
      </w:pPr>
      <w:r>
        <w:rPr>
          <w:rStyle w:val="FootnoteReference"/>
        </w:rPr>
        <w:footnoteRef/>
      </w:r>
      <w:r>
        <w:t xml:space="preserve"> </w:t>
      </w:r>
      <w:hyperlink r:id="rId1" w:history="1">
        <w:r w:rsidRPr="00312CF4">
          <w:rPr>
            <w:rStyle w:val="Hyperlink"/>
            <w:rFonts w:ascii="Arial" w:hAnsi="Arial" w:cs="Arial"/>
          </w:rPr>
          <w:t>https://www.gov.uk/government/uploads/system/uploads/attachment_data/file/196719/impacts_costs_benefits_fjf.pdf.pdf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25" w:rsidRDefault="00100C75" w:rsidP="00E43C9E">
    <w:pPr>
      <w:pStyle w:val="Header"/>
      <w:jc w:val="center"/>
    </w:pPr>
    <w:r>
      <w:fldChar w:fldCharType="begin"/>
    </w:r>
    <w:r w:rsidR="00E43C9E" w:rsidRPr="00493D1D">
      <w:rPr>
        <w:rFonts w:ascii="Calibri" w:hAnsi="Calibri"/>
        <w:color w:val="000000"/>
        <w:sz w:val="22"/>
      </w:rPr>
      <w:instrText xml:space="preserve"> DOCPROPERTY  bjDocumentSecurityLabel"  \* MERGEFORMAT </w:instrText>
    </w:r>
    <w:r>
      <w:fldChar w:fldCharType="separate"/>
    </w:r>
    <w:r w:rsidR="00493D1D">
      <w:rPr>
        <w:rFonts w:ascii="Calibri" w:hAnsi="Calibri"/>
        <w:color w:val="000000"/>
        <w:sz w:val="22"/>
      </w:rPr>
      <w:t>RESTRICTED</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012" w:rsidRDefault="00100C75" w:rsidP="00E43C9E">
    <w:pPr>
      <w:spacing w:line="240" w:lineRule="exact"/>
      <w:jc w:val="center"/>
    </w:pPr>
    <w:r>
      <w:fldChar w:fldCharType="begin"/>
    </w:r>
    <w:r w:rsidR="00E43C9E" w:rsidRPr="00493D1D">
      <w:rPr>
        <w:rFonts w:ascii="Calibri" w:hAnsi="Calibri"/>
        <w:color w:val="000000"/>
        <w:sz w:val="22"/>
      </w:rPr>
      <w:instrText xml:space="preserve"> DOCPROPERTY  bjDocumentSecurityLabel"  \* MERGEFORMAT </w:instrText>
    </w:r>
    <w:r>
      <w:fldChar w:fldCharType="separate"/>
    </w:r>
    <w:r w:rsidR="00493D1D">
      <w:rPr>
        <w:rFonts w:ascii="Calibri" w:hAnsi="Calibri"/>
        <w:color w:val="000000"/>
        <w:sz w:val="22"/>
      </w:rPr>
      <w:t>RESTRICTED</w:t>
    </w:r>
    <w:r>
      <w:fldChar w:fldCharType="end"/>
    </w:r>
    <w:r w:rsidR="00E43C9E">
      <w:t xml:space="preserve"> </w:t>
    </w:r>
    <w:r w:rsidR="00E43C9E" w:rsidRPr="00E43C9E">
      <w:rPr>
        <w:rFonts w:ascii="Calibri" w:hAnsi="Calibri"/>
      </w:rPr>
      <w:t>(protect when complete)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25" w:rsidRDefault="00100C75" w:rsidP="00E43C9E">
    <w:pPr>
      <w:pStyle w:val="Header"/>
      <w:jc w:val="center"/>
    </w:pPr>
    <w:r>
      <w:fldChar w:fldCharType="begin"/>
    </w:r>
    <w:r w:rsidR="00E43C9E" w:rsidRPr="00493D1D">
      <w:rPr>
        <w:rFonts w:ascii="Calibri" w:hAnsi="Calibri"/>
        <w:color w:val="000000"/>
        <w:sz w:val="22"/>
      </w:rPr>
      <w:instrText xml:space="preserve"> DOCPROPERTY  bjDocumentSecurityLabel"  \* MERGEFORMAT </w:instrText>
    </w:r>
    <w:r>
      <w:fldChar w:fldCharType="separate"/>
    </w:r>
    <w:r w:rsidR="00493D1D">
      <w:rPr>
        <w:rFonts w:ascii="Calibri" w:hAnsi="Calibri"/>
        <w:color w:val="000000"/>
        <w:sz w:val="22"/>
      </w:rPr>
      <w:t>RESTRICTED</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DCD"/>
    <w:multiLevelType w:val="hybridMultilevel"/>
    <w:tmpl w:val="29E23BF6"/>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A16E78"/>
    <w:multiLevelType w:val="hybridMultilevel"/>
    <w:tmpl w:val="68EE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590B0D"/>
    <w:multiLevelType w:val="hybridMultilevel"/>
    <w:tmpl w:val="17C66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9F1FF4"/>
    <w:multiLevelType w:val="hybridMultilevel"/>
    <w:tmpl w:val="C39EF592"/>
    <w:lvl w:ilvl="0" w:tplc="0F521EF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20"/>
  <w:noPunctuationKerning/>
  <w:characterSpacingControl w:val="doNotCompress"/>
  <w:hdrShapeDefaults>
    <o:shapedefaults v:ext="edit" spidmax="31746"/>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2825"/>
    <w:rsid w:val="00082F98"/>
    <w:rsid w:val="000A0759"/>
    <w:rsid w:val="00100C75"/>
    <w:rsid w:val="00172A1E"/>
    <w:rsid w:val="001C1DDC"/>
    <w:rsid w:val="001D5F6D"/>
    <w:rsid w:val="00274773"/>
    <w:rsid w:val="002B51CC"/>
    <w:rsid w:val="002E1012"/>
    <w:rsid w:val="00312CF4"/>
    <w:rsid w:val="003C06EF"/>
    <w:rsid w:val="004065D8"/>
    <w:rsid w:val="00406F62"/>
    <w:rsid w:val="00493D1D"/>
    <w:rsid w:val="004C1442"/>
    <w:rsid w:val="004C3A21"/>
    <w:rsid w:val="0054378E"/>
    <w:rsid w:val="005E7B72"/>
    <w:rsid w:val="006151AA"/>
    <w:rsid w:val="00635B2C"/>
    <w:rsid w:val="0063690C"/>
    <w:rsid w:val="006424C6"/>
    <w:rsid w:val="00684CC0"/>
    <w:rsid w:val="006A666E"/>
    <w:rsid w:val="006C6270"/>
    <w:rsid w:val="006F1062"/>
    <w:rsid w:val="006F2443"/>
    <w:rsid w:val="00710499"/>
    <w:rsid w:val="007256BC"/>
    <w:rsid w:val="007B3308"/>
    <w:rsid w:val="007D78DC"/>
    <w:rsid w:val="007F022E"/>
    <w:rsid w:val="00880F05"/>
    <w:rsid w:val="009574A4"/>
    <w:rsid w:val="009B5210"/>
    <w:rsid w:val="009D42D1"/>
    <w:rsid w:val="009D5DD3"/>
    <w:rsid w:val="00A1032B"/>
    <w:rsid w:val="00AF515E"/>
    <w:rsid w:val="00B654C5"/>
    <w:rsid w:val="00B700EB"/>
    <w:rsid w:val="00BB40B4"/>
    <w:rsid w:val="00BC30CE"/>
    <w:rsid w:val="00BC3CD2"/>
    <w:rsid w:val="00BE7780"/>
    <w:rsid w:val="00C13C84"/>
    <w:rsid w:val="00C37384"/>
    <w:rsid w:val="00C92D06"/>
    <w:rsid w:val="00CB7244"/>
    <w:rsid w:val="00CC7DB9"/>
    <w:rsid w:val="00CD0638"/>
    <w:rsid w:val="00D45B8F"/>
    <w:rsid w:val="00D74E3F"/>
    <w:rsid w:val="00D8322A"/>
    <w:rsid w:val="00D8397B"/>
    <w:rsid w:val="00D87DD3"/>
    <w:rsid w:val="00DD27BD"/>
    <w:rsid w:val="00E34C67"/>
    <w:rsid w:val="00E43C9E"/>
    <w:rsid w:val="00E45B8C"/>
    <w:rsid w:val="00E6450D"/>
    <w:rsid w:val="00E707B3"/>
    <w:rsid w:val="00E817C3"/>
    <w:rsid w:val="00F2180A"/>
    <w:rsid w:val="00F255B9"/>
    <w:rsid w:val="00F91979"/>
    <w:rsid w:val="00FF282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B9"/>
    <w:rPr>
      <w:sz w:val="24"/>
      <w:szCs w:val="24"/>
      <w:lang w:eastAsia="en-US"/>
    </w:rPr>
  </w:style>
  <w:style w:type="paragraph" w:styleId="Heading1">
    <w:name w:val="heading 1"/>
    <w:basedOn w:val="Normal"/>
    <w:next w:val="BodyText"/>
    <w:autoRedefine/>
    <w:qFormat/>
    <w:rsid w:val="00F255B9"/>
    <w:pPr>
      <w:keepNext/>
      <w:keepLines/>
      <w:spacing w:after="220" w:line="200" w:lineRule="atLeast"/>
      <w:jc w:val="center"/>
      <w:outlineLvl w:val="0"/>
    </w:pPr>
    <w:rPr>
      <w:rFonts w:ascii="Arial" w:hAnsi="Arial" w:cs="Arial"/>
      <w:spacing w:val="-10"/>
      <w:kern w:val="28"/>
      <w:sz w:val="22"/>
      <w:szCs w:val="20"/>
    </w:rPr>
  </w:style>
  <w:style w:type="paragraph" w:styleId="Heading2">
    <w:name w:val="heading 2"/>
    <w:basedOn w:val="Normal"/>
    <w:next w:val="BodyText"/>
    <w:qFormat/>
    <w:rsid w:val="00F255B9"/>
    <w:pPr>
      <w:keepNext/>
      <w:keepLines/>
      <w:spacing w:line="200" w:lineRule="atLeast"/>
      <w:ind w:left="835"/>
      <w:outlineLvl w:val="1"/>
    </w:pPr>
    <w:rPr>
      <w:rFonts w:ascii="Arial Black" w:hAnsi="Arial Black"/>
      <w:spacing w:val="-10"/>
      <w:kern w:val="28"/>
      <w:sz w:val="20"/>
      <w:szCs w:val="20"/>
    </w:rPr>
  </w:style>
  <w:style w:type="paragraph" w:styleId="Heading3">
    <w:name w:val="heading 3"/>
    <w:basedOn w:val="Normal"/>
    <w:next w:val="Normal"/>
    <w:qFormat/>
    <w:rsid w:val="00F255B9"/>
    <w:pPr>
      <w:keepNext/>
      <w:ind w:left="-67"/>
      <w:outlineLvl w:val="2"/>
    </w:pPr>
    <w:rPr>
      <w:rFonts w:ascii="Arial" w:hAnsi="Arial" w:cs="Arial"/>
      <w:b/>
      <w:bCs/>
    </w:rPr>
  </w:style>
  <w:style w:type="paragraph" w:styleId="Heading4">
    <w:name w:val="heading 4"/>
    <w:basedOn w:val="Normal"/>
    <w:next w:val="Normal"/>
    <w:qFormat/>
    <w:rsid w:val="00F255B9"/>
    <w:pPr>
      <w:keepNext/>
      <w:ind w:left="-53"/>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255B9"/>
    <w:pPr>
      <w:autoSpaceDE w:val="0"/>
      <w:autoSpaceDN w:val="0"/>
      <w:adjustRightInd w:val="0"/>
      <w:spacing w:before="100" w:after="100"/>
      <w:ind w:left="360" w:right="360"/>
    </w:pPr>
    <w:rPr>
      <w:rFonts w:ascii="Arial" w:hAnsi="Arial" w:cs="Arial"/>
      <w:sz w:val="20"/>
      <w:szCs w:val="20"/>
      <w:lang w:val="en-US"/>
    </w:rPr>
  </w:style>
  <w:style w:type="character" w:styleId="Hyperlink">
    <w:name w:val="Hyperlink"/>
    <w:basedOn w:val="DefaultParagraphFont"/>
    <w:semiHidden/>
    <w:rsid w:val="00F255B9"/>
    <w:rPr>
      <w:color w:val="0000FF"/>
      <w:u w:val="single"/>
    </w:rPr>
  </w:style>
  <w:style w:type="paragraph" w:styleId="BodyText">
    <w:name w:val="Body Text"/>
    <w:basedOn w:val="Normal"/>
    <w:semiHidden/>
    <w:rsid w:val="00F255B9"/>
    <w:pPr>
      <w:spacing w:after="220" w:line="180" w:lineRule="atLeast"/>
      <w:ind w:left="835"/>
      <w:jc w:val="both"/>
    </w:pPr>
    <w:rPr>
      <w:rFonts w:ascii="Arial" w:hAnsi="Arial"/>
      <w:spacing w:val="-5"/>
      <w:sz w:val="20"/>
      <w:szCs w:val="20"/>
    </w:rPr>
  </w:style>
  <w:style w:type="character" w:styleId="FollowedHyperlink">
    <w:name w:val="FollowedHyperlink"/>
    <w:basedOn w:val="DefaultParagraphFont"/>
    <w:semiHidden/>
    <w:rsid w:val="00F255B9"/>
    <w:rPr>
      <w:color w:val="800080"/>
      <w:u w:val="single"/>
    </w:rPr>
  </w:style>
  <w:style w:type="paragraph" w:styleId="BodyText2">
    <w:name w:val="Body Text 2"/>
    <w:basedOn w:val="Normal"/>
    <w:semiHidden/>
    <w:rsid w:val="00F255B9"/>
    <w:rPr>
      <w:rFonts w:ascii="Arial" w:hAnsi="Arial" w:cs="Arial"/>
      <w:sz w:val="22"/>
    </w:rPr>
  </w:style>
  <w:style w:type="paragraph" w:styleId="Header">
    <w:name w:val="header"/>
    <w:basedOn w:val="Normal"/>
    <w:semiHidden/>
    <w:rsid w:val="00F255B9"/>
    <w:pPr>
      <w:tabs>
        <w:tab w:val="center" w:pos="4153"/>
        <w:tab w:val="right" w:pos="8306"/>
      </w:tabs>
    </w:pPr>
  </w:style>
  <w:style w:type="paragraph" w:styleId="Footer">
    <w:name w:val="footer"/>
    <w:basedOn w:val="Normal"/>
    <w:semiHidden/>
    <w:rsid w:val="00F255B9"/>
    <w:pPr>
      <w:tabs>
        <w:tab w:val="center" w:pos="4153"/>
        <w:tab w:val="right" w:pos="8306"/>
      </w:tabs>
    </w:pPr>
  </w:style>
  <w:style w:type="paragraph" w:styleId="FootnoteText">
    <w:name w:val="footnote text"/>
    <w:basedOn w:val="Normal"/>
    <w:link w:val="FootnoteTextChar"/>
    <w:uiPriority w:val="99"/>
    <w:semiHidden/>
    <w:unhideWhenUsed/>
    <w:rsid w:val="00312CF4"/>
    <w:rPr>
      <w:sz w:val="20"/>
      <w:szCs w:val="20"/>
    </w:rPr>
  </w:style>
  <w:style w:type="character" w:customStyle="1" w:styleId="FootnoteTextChar">
    <w:name w:val="Footnote Text Char"/>
    <w:basedOn w:val="DefaultParagraphFont"/>
    <w:link w:val="FootnoteText"/>
    <w:uiPriority w:val="99"/>
    <w:semiHidden/>
    <w:rsid w:val="00312CF4"/>
    <w:rPr>
      <w:lang w:eastAsia="en-US"/>
    </w:rPr>
  </w:style>
  <w:style w:type="character" w:styleId="FootnoteReference">
    <w:name w:val="footnote reference"/>
    <w:basedOn w:val="DefaultParagraphFont"/>
    <w:uiPriority w:val="99"/>
    <w:semiHidden/>
    <w:unhideWhenUsed/>
    <w:rsid w:val="00312CF4"/>
    <w:rPr>
      <w:vertAlign w:val="superscript"/>
    </w:rPr>
  </w:style>
</w:styles>
</file>

<file path=word/webSettings.xml><?xml version="1.0" encoding="utf-8"?>
<w:webSettings xmlns:r="http://schemas.openxmlformats.org/officeDocument/2006/relationships" xmlns:w="http://schemas.openxmlformats.org/wordprocessingml/2006/main">
  <w:divs>
    <w:div w:id="814639701">
      <w:bodyDiv w:val="1"/>
      <w:marLeft w:val="0"/>
      <w:marRight w:val="0"/>
      <w:marTop w:val="0"/>
      <w:marBottom w:val="0"/>
      <w:divBdr>
        <w:top w:val="none" w:sz="0" w:space="0" w:color="auto"/>
        <w:left w:val="none" w:sz="0" w:space="0" w:color="auto"/>
        <w:bottom w:val="none" w:sz="0" w:space="0" w:color="auto"/>
        <w:right w:val="none" w:sz="0" w:space="0" w:color="auto"/>
      </w:divBdr>
    </w:div>
    <w:div w:id="159790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our.org.uk/labours-compulsory-jobs-guarantee,2013-01-0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196719/impacts_costs_benefits_fjf.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abel version="1.0">
  <element uid="id_newpolicy" value=""/>
  <element uid="id_restricted" value=""/>
</label>
</file>

<file path=customXml/itemProps1.xml><?xml version="1.0" encoding="utf-8"?>
<ds:datastoreItem xmlns:ds="http://schemas.openxmlformats.org/officeDocument/2006/customXml" ds:itemID="{862A6757-8953-4466-B424-A29F51C57C05}">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COSTING OPPOSITION POLICIES – GUIDANCE NOTE</vt:lpstr>
    </vt:vector>
  </TitlesOfParts>
  <Company>Her Majesty's Treasury</Company>
  <LinksUpToDate>false</LinksUpToDate>
  <CharactersWithSpaces>5783</CharactersWithSpaces>
  <SharedDoc>false</SharedDoc>
  <HLinks>
    <vt:vector size="6" baseType="variant">
      <vt:variant>
        <vt:i4>5898256</vt:i4>
      </vt:variant>
      <vt:variant>
        <vt:i4>0</vt:i4>
      </vt:variant>
      <vt:variant>
        <vt:i4>0</vt:i4>
      </vt:variant>
      <vt:variant>
        <vt:i4>5</vt:i4>
      </vt:variant>
      <vt:variant>
        <vt:lpwstr>http://www.cabinetoffice.gov.uk/upload/assets/www.cabinetoffice.gov.uk/propriety_and_ethics/csg-vol1.pdf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COSTING OPPOSITION POLICIES – GUIDANCE NOTE</dc:title>
  <dc:subject/>
  <dc:creator>Will Macfarlane</dc:creator>
  <cp:keywords/>
  <dc:description/>
  <cp:lastModifiedBy>James Underwood</cp:lastModifiedBy>
  <cp:revision>11</cp:revision>
  <cp:lastPrinted>2013-07-16T13:21:00Z</cp:lastPrinted>
  <dcterms:created xsi:type="dcterms:W3CDTF">2013-07-16T12:24:00Z</dcterms:created>
  <dcterms:modified xsi:type="dcterms:W3CDTF">2013-09-18T13:23:00Z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RESTRICTED</vt:lpwstr>
  </property>
  <property fmtid="{D5CDD505-2E9C-101B-9397-08002B2CF9AE}" pid="3" name="Document Security Label">
    <vt:lpwstr>RESTRICTED</vt:lpwstr>
  </property>
  <property fmtid="{D5CDD505-2E9C-101B-9397-08002B2CF9AE}" pid="4" name="bjDocumentSecurityXML">
    <vt:lpwstr>&lt;label version="1.0"&gt;&lt;element uid="id_newpolicy" value=""/&gt;&lt;element uid="id_restricted"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RESTRICTED</vt:lpwstr>
  </property>
  <property fmtid="{D5CDD505-2E9C-101B-9397-08002B2CF9AE}" pid="8" name="bjSecLabelProp1ID">
    <vt:lpwstr>id_restricted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1f4caca1-de56-4ab9-830e-59d957f4f47e</vt:lpwstr>
  </property>
</Properties>
</file>