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C8" w:rsidRPr="00DA47D8" w:rsidRDefault="00D92BC8" w:rsidP="00DA1910">
      <w:pPr>
        <w:jc w:val="both"/>
      </w:pPr>
      <w:bookmarkStart w:id="0" w:name="_GoBack"/>
      <w:bookmarkEnd w:id="0"/>
    </w:p>
    <w:tbl>
      <w:tblPr>
        <w:tblStyle w:val="TableGrid"/>
        <w:tblW w:w="14283" w:type="dxa"/>
        <w:tblCellMar>
          <w:top w:w="57" w:type="dxa"/>
          <w:bottom w:w="57" w:type="dxa"/>
        </w:tblCellMar>
        <w:tblLook w:val="04A0" w:firstRow="1" w:lastRow="0" w:firstColumn="1" w:lastColumn="0" w:noHBand="0" w:noVBand="1"/>
      </w:tblPr>
      <w:tblGrid>
        <w:gridCol w:w="14283"/>
      </w:tblGrid>
      <w:tr w:rsidR="00DA1910" w:rsidTr="002151A2">
        <w:tc>
          <w:tcPr>
            <w:tcW w:w="14283" w:type="dxa"/>
          </w:tcPr>
          <w:p w:rsidR="00E801B1" w:rsidRDefault="00823D24" w:rsidP="005026DD">
            <w:r>
              <w:t>Ensuring value for money in the allocation of CfDs is central to Government</w:t>
            </w:r>
            <w:r w:rsidR="003211F7">
              <w:t>’</w:t>
            </w:r>
            <w:r>
              <w:t xml:space="preserve">s objective </w:t>
            </w:r>
            <w:r w:rsidR="005313EC">
              <w:t xml:space="preserve">of </w:t>
            </w:r>
            <w:r w:rsidR="003211F7">
              <w:t xml:space="preserve">decarbonising the </w:t>
            </w:r>
            <w:r>
              <w:t>electricity system</w:t>
            </w:r>
            <w:r w:rsidR="003211F7">
              <w:t xml:space="preserve"> at least cost to consumers</w:t>
            </w:r>
            <w:r>
              <w:t>.</w:t>
            </w:r>
            <w:r w:rsidR="00A55F57">
              <w:t xml:space="preserve"> Government has set out a process where CfDs for renewables will</w:t>
            </w:r>
            <w:r w:rsidR="003B355B">
              <w:t xml:space="preserve"> be</w:t>
            </w:r>
            <w:r w:rsidR="00A55F57">
              <w:t xml:space="preserve"> </w:t>
            </w:r>
            <w:r w:rsidR="003B355B">
              <w:t>allocated on lowest price where demand exceeds availability, and</w:t>
            </w:r>
            <w:r w:rsidR="003211F7">
              <w:t xml:space="preserve"> a</w:t>
            </w:r>
            <w:r w:rsidR="003B355B">
              <w:t xml:space="preserve"> vision </w:t>
            </w:r>
            <w:r w:rsidR="003211F7">
              <w:t xml:space="preserve">for </w:t>
            </w:r>
            <w:r w:rsidR="00096AD5">
              <w:t xml:space="preserve">CfD </w:t>
            </w:r>
            <w:r w:rsidR="003211F7">
              <w:t xml:space="preserve">allocation seeing increasing </w:t>
            </w:r>
            <w:r w:rsidR="00096AD5">
              <w:t xml:space="preserve">competition within </w:t>
            </w:r>
            <w:r w:rsidR="003211F7">
              <w:t xml:space="preserve">and </w:t>
            </w:r>
            <w:r w:rsidR="00096AD5">
              <w:t xml:space="preserve">between </w:t>
            </w:r>
            <w:r w:rsidR="003211F7">
              <w:t>low-carbon technologies</w:t>
            </w:r>
            <w:r w:rsidR="00096AD5">
              <w:t xml:space="preserve">. </w:t>
            </w:r>
            <w:r w:rsidR="00B16EC6" w:rsidRPr="00DA47D8">
              <w:t xml:space="preserve">In August 2013, Government set out its intention that future CfD allocation for nuclear and CCS projects </w:t>
            </w:r>
            <w:r w:rsidR="00096AD5">
              <w:t>would come within this framework.</w:t>
            </w:r>
            <w:r w:rsidR="00B16EC6" w:rsidRPr="00DA47D8">
              <w:t xml:space="preserve"> </w:t>
            </w:r>
            <w:r w:rsidR="0017265E" w:rsidRPr="00DA47D8">
              <w:t>A wor</w:t>
            </w:r>
            <w:r w:rsidR="001524ED" w:rsidRPr="00DA47D8">
              <w:t xml:space="preserve">kshop with </w:t>
            </w:r>
            <w:r w:rsidR="00096AD5">
              <w:t xml:space="preserve">CCS and Nuclear developers and other interested parties </w:t>
            </w:r>
            <w:r w:rsidR="001524ED" w:rsidRPr="00DA47D8">
              <w:t xml:space="preserve">was held on 9 October </w:t>
            </w:r>
            <w:r w:rsidR="00701ADC" w:rsidRPr="00DA47D8">
              <w:t>13</w:t>
            </w:r>
            <w:r w:rsidR="001524ED" w:rsidRPr="00DA47D8">
              <w:t xml:space="preserve"> to discuss how CfD allocation could work for nuclear and CCS and the potential for using</w:t>
            </w:r>
            <w:r w:rsidR="00E801B1">
              <w:t xml:space="preserve"> competitive allocation models. The slides presented at the workshop have been published alongside this request for feedback</w:t>
            </w:r>
            <w:r w:rsidR="001524ED" w:rsidRPr="00DA47D8">
              <w:t xml:space="preserve">. </w:t>
            </w:r>
          </w:p>
          <w:p w:rsidR="00E801B1" w:rsidRDefault="00E801B1" w:rsidP="005026DD"/>
          <w:p w:rsidR="005026DD" w:rsidRPr="00DA47D8" w:rsidRDefault="005026DD" w:rsidP="005026DD">
            <w:r w:rsidRPr="00DA47D8">
              <w:t xml:space="preserve">We are now </w:t>
            </w:r>
            <w:r w:rsidR="00302EEE" w:rsidRPr="00DA47D8">
              <w:t>seeking more detailed feedback on the issues discussed</w:t>
            </w:r>
            <w:r w:rsidR="00096AD5">
              <w:t xml:space="preserve"> from </w:t>
            </w:r>
            <w:r w:rsidR="00E801B1">
              <w:t xml:space="preserve">those that attended the meeting, </w:t>
            </w:r>
            <w:r w:rsidR="00096AD5" w:rsidRPr="00E801B1">
              <w:t>as well as inviting comments from o</w:t>
            </w:r>
            <w:r w:rsidR="003211F7" w:rsidRPr="00E801B1">
              <w:t>thers that may have an interest</w:t>
            </w:r>
            <w:r w:rsidR="00302EEE" w:rsidRPr="00E801B1">
              <w:t>.</w:t>
            </w:r>
            <w:r w:rsidR="00302EEE" w:rsidRPr="00DA47D8">
              <w:t xml:space="preserve"> </w:t>
            </w:r>
            <w:r w:rsidR="00096AD5">
              <w:t>B</w:t>
            </w:r>
            <w:r w:rsidR="00302EEE" w:rsidRPr="00DA47D8">
              <w:t xml:space="preserve">elow, </w:t>
            </w:r>
            <w:r w:rsidR="00CD0A1A">
              <w:t>is a list of the areas on which we would particularly welcome feedback</w:t>
            </w:r>
            <w:r w:rsidR="00302EEE" w:rsidRPr="00DA47D8">
              <w:t xml:space="preserve">, although </w:t>
            </w:r>
            <w:r w:rsidR="00CD0A1A">
              <w:t>please don’t feel constrained to these areas if there are other</w:t>
            </w:r>
            <w:r w:rsidR="003211F7">
              <w:t xml:space="preserve"> </w:t>
            </w:r>
            <w:r w:rsidR="00E801B1">
              <w:t xml:space="preserve">related </w:t>
            </w:r>
            <w:r w:rsidR="00CD0A1A">
              <w:t>points you would like to make.</w:t>
            </w:r>
          </w:p>
          <w:p w:rsidR="001524ED" w:rsidRPr="00DA47D8" w:rsidRDefault="001524ED" w:rsidP="00701ADC">
            <w:pPr>
              <w:jc w:val="both"/>
            </w:pPr>
          </w:p>
          <w:p w:rsidR="001524ED" w:rsidRPr="00DA47D8" w:rsidRDefault="001524ED" w:rsidP="001524ED">
            <w:pPr>
              <w:jc w:val="both"/>
            </w:pPr>
            <w:r w:rsidRPr="00DA47D8">
              <w:t>Feedback provided, including personal information, may be subject to publication or disclosure in accordance with the access to information legislation (primarily the Freedom of Information Act 2000, the Data Protection Act 1998 and the Environmental Information Regulations 2004).</w:t>
            </w:r>
          </w:p>
          <w:p w:rsidR="001524ED" w:rsidRPr="00DA47D8" w:rsidRDefault="001524ED" w:rsidP="001524ED">
            <w:pPr>
              <w:jc w:val="both"/>
            </w:pPr>
          </w:p>
          <w:p w:rsidR="001524ED" w:rsidRPr="00DA47D8" w:rsidRDefault="001524ED" w:rsidP="001524ED">
            <w:pPr>
              <w:jc w:val="both"/>
            </w:pPr>
            <w:r w:rsidRPr="00DA47D8">
              <w:t>If you want information that you provide to be treated as confidential please say so clearly in writing when you send your feedback.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by us as a confidentiality request.</w:t>
            </w:r>
          </w:p>
          <w:p w:rsidR="001524ED" w:rsidRPr="00DA47D8" w:rsidRDefault="001524ED" w:rsidP="00701ADC">
            <w:pPr>
              <w:jc w:val="both"/>
            </w:pPr>
          </w:p>
          <w:p w:rsidR="00DA1910" w:rsidRDefault="005026DD" w:rsidP="00E801B1">
            <w:pPr>
              <w:jc w:val="both"/>
              <w:rPr>
                <w:sz w:val="28"/>
                <w:szCs w:val="28"/>
              </w:rPr>
            </w:pPr>
            <w:r w:rsidRPr="00DA47D8">
              <w:t xml:space="preserve">Any feedback should be supported with evidence and emailed to </w:t>
            </w:r>
            <w:hyperlink r:id="rId9" w:history="1">
              <w:r w:rsidRPr="00DA47D8">
                <w:rPr>
                  <w:rStyle w:val="Hyperlink"/>
                </w:rPr>
                <w:t>emrcfddesign@decc.gsi.gov.uk</w:t>
              </w:r>
            </w:hyperlink>
            <w:r w:rsidRPr="00DA47D8">
              <w:rPr>
                <w:u w:val="single"/>
              </w:rPr>
              <w:t xml:space="preserve"> </w:t>
            </w:r>
            <w:r w:rsidRPr="00DA47D8">
              <w:t xml:space="preserve"> </w:t>
            </w:r>
            <w:r w:rsidR="001524ED" w:rsidRPr="00DA47D8">
              <w:rPr>
                <w:b/>
              </w:rPr>
              <w:t>by 1700 on 31</w:t>
            </w:r>
            <w:r w:rsidR="00DA1910" w:rsidRPr="00DA47D8">
              <w:rPr>
                <w:b/>
              </w:rPr>
              <w:t xml:space="preserve"> </w:t>
            </w:r>
            <w:r w:rsidR="001524ED" w:rsidRPr="00DA47D8">
              <w:rPr>
                <w:b/>
              </w:rPr>
              <w:t xml:space="preserve">October </w:t>
            </w:r>
            <w:r w:rsidR="00DA1910" w:rsidRPr="00DA47D8">
              <w:rPr>
                <w:b/>
              </w:rPr>
              <w:t>2013</w:t>
            </w:r>
            <w:r w:rsidR="00DA1910" w:rsidRPr="00DA47D8">
              <w:t>.</w:t>
            </w:r>
          </w:p>
        </w:tc>
      </w:tr>
    </w:tbl>
    <w:p w:rsidR="00567D3E" w:rsidRPr="00DA47D8" w:rsidRDefault="00567D3E">
      <w:pPr>
        <w:rPr>
          <w:b/>
        </w:rPr>
      </w:pPr>
      <w:r>
        <w:rPr>
          <w:b/>
          <w:sz w:val="28"/>
          <w:szCs w:val="28"/>
        </w:rPr>
        <w:br w:type="page"/>
      </w:r>
    </w:p>
    <w:p w:rsidR="005B3DF3" w:rsidRPr="00DA47D8" w:rsidRDefault="005B3DF3" w:rsidP="00BB6924">
      <w:pPr>
        <w:rPr>
          <w:b/>
          <w:sz w:val="24"/>
          <w:szCs w:val="24"/>
        </w:rPr>
      </w:pPr>
      <w:r w:rsidRPr="00DA47D8">
        <w:rPr>
          <w:b/>
          <w:sz w:val="24"/>
          <w:szCs w:val="24"/>
        </w:rPr>
        <w:lastRenderedPageBreak/>
        <w:t>Respondent’s details</w:t>
      </w:r>
    </w:p>
    <w:tbl>
      <w:tblPr>
        <w:tblStyle w:val="TableGrid"/>
        <w:tblW w:w="14283" w:type="dxa"/>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526"/>
        <w:gridCol w:w="5386"/>
        <w:gridCol w:w="450"/>
        <w:gridCol w:w="1392"/>
        <w:gridCol w:w="5529"/>
      </w:tblGrid>
      <w:tr w:rsidR="0087191F" w:rsidRPr="00DA47D8" w:rsidTr="002151A2">
        <w:tc>
          <w:tcPr>
            <w:tcW w:w="1526" w:type="dxa"/>
          </w:tcPr>
          <w:p w:rsidR="0087191F" w:rsidRPr="00DA47D8" w:rsidRDefault="0087191F" w:rsidP="0087191F">
            <w:pPr>
              <w:rPr>
                <w:b/>
                <w:sz w:val="24"/>
                <w:szCs w:val="24"/>
              </w:rPr>
            </w:pPr>
            <w:r w:rsidRPr="00DA47D8">
              <w:rPr>
                <w:b/>
                <w:sz w:val="24"/>
                <w:szCs w:val="24"/>
              </w:rPr>
              <w:t>Name:</w:t>
            </w:r>
          </w:p>
        </w:tc>
        <w:tc>
          <w:tcPr>
            <w:tcW w:w="5386" w:type="dxa"/>
          </w:tcPr>
          <w:p w:rsidR="0087191F" w:rsidRPr="00DA47D8" w:rsidRDefault="0087191F" w:rsidP="0087191F">
            <w:pPr>
              <w:rPr>
                <w:b/>
                <w:sz w:val="24"/>
                <w:szCs w:val="24"/>
              </w:rPr>
            </w:pPr>
          </w:p>
          <w:p w:rsidR="00136A10" w:rsidRPr="00DA47D8" w:rsidRDefault="00136A10" w:rsidP="0087191F">
            <w:pPr>
              <w:rPr>
                <w:b/>
                <w:sz w:val="24"/>
                <w:szCs w:val="24"/>
              </w:rPr>
            </w:pPr>
          </w:p>
        </w:tc>
        <w:tc>
          <w:tcPr>
            <w:tcW w:w="450" w:type="dxa"/>
          </w:tcPr>
          <w:p w:rsidR="0087191F" w:rsidRPr="00DA47D8" w:rsidRDefault="0087191F" w:rsidP="0087191F">
            <w:pPr>
              <w:rPr>
                <w:sz w:val="24"/>
                <w:szCs w:val="24"/>
              </w:rPr>
            </w:pPr>
          </w:p>
        </w:tc>
        <w:tc>
          <w:tcPr>
            <w:tcW w:w="1392" w:type="dxa"/>
          </w:tcPr>
          <w:p w:rsidR="0087191F" w:rsidRPr="00DA47D8" w:rsidRDefault="0087191F" w:rsidP="0087191F">
            <w:pPr>
              <w:rPr>
                <w:b/>
                <w:sz w:val="24"/>
                <w:szCs w:val="24"/>
              </w:rPr>
            </w:pPr>
            <w:r w:rsidRPr="00DA47D8">
              <w:rPr>
                <w:b/>
                <w:sz w:val="24"/>
                <w:szCs w:val="24"/>
              </w:rPr>
              <w:t>Company:</w:t>
            </w:r>
          </w:p>
        </w:tc>
        <w:tc>
          <w:tcPr>
            <w:tcW w:w="5529" w:type="dxa"/>
          </w:tcPr>
          <w:p w:rsidR="0087191F" w:rsidRPr="00DA47D8" w:rsidRDefault="0087191F" w:rsidP="0087191F">
            <w:pPr>
              <w:rPr>
                <w:b/>
                <w:sz w:val="24"/>
                <w:szCs w:val="24"/>
              </w:rPr>
            </w:pPr>
          </w:p>
        </w:tc>
      </w:tr>
      <w:tr w:rsidR="0087191F" w:rsidRPr="00DA47D8" w:rsidTr="002151A2">
        <w:tc>
          <w:tcPr>
            <w:tcW w:w="1526" w:type="dxa"/>
          </w:tcPr>
          <w:p w:rsidR="0087191F" w:rsidRPr="00DA47D8" w:rsidRDefault="0087191F" w:rsidP="0087191F">
            <w:pPr>
              <w:rPr>
                <w:b/>
                <w:sz w:val="24"/>
                <w:szCs w:val="24"/>
              </w:rPr>
            </w:pPr>
            <w:r w:rsidRPr="00DA47D8">
              <w:rPr>
                <w:b/>
                <w:sz w:val="24"/>
                <w:szCs w:val="24"/>
              </w:rPr>
              <w:t>Role / Position:</w:t>
            </w:r>
          </w:p>
        </w:tc>
        <w:tc>
          <w:tcPr>
            <w:tcW w:w="5386" w:type="dxa"/>
          </w:tcPr>
          <w:p w:rsidR="0087191F" w:rsidRPr="00DA47D8" w:rsidRDefault="0087191F" w:rsidP="0087191F">
            <w:pPr>
              <w:rPr>
                <w:b/>
                <w:sz w:val="24"/>
                <w:szCs w:val="24"/>
              </w:rPr>
            </w:pPr>
          </w:p>
          <w:p w:rsidR="00136A10" w:rsidRPr="00DA47D8" w:rsidRDefault="00136A10" w:rsidP="0087191F">
            <w:pPr>
              <w:rPr>
                <w:b/>
                <w:sz w:val="24"/>
                <w:szCs w:val="24"/>
              </w:rPr>
            </w:pPr>
          </w:p>
        </w:tc>
        <w:tc>
          <w:tcPr>
            <w:tcW w:w="450" w:type="dxa"/>
          </w:tcPr>
          <w:p w:rsidR="0087191F" w:rsidRPr="00DA47D8" w:rsidRDefault="0087191F" w:rsidP="0087191F">
            <w:pPr>
              <w:rPr>
                <w:sz w:val="24"/>
                <w:szCs w:val="24"/>
              </w:rPr>
            </w:pPr>
          </w:p>
        </w:tc>
        <w:tc>
          <w:tcPr>
            <w:tcW w:w="1392" w:type="dxa"/>
          </w:tcPr>
          <w:p w:rsidR="0087191F" w:rsidRPr="00DA47D8" w:rsidRDefault="0087191F" w:rsidP="0087191F">
            <w:pPr>
              <w:rPr>
                <w:b/>
                <w:sz w:val="24"/>
                <w:szCs w:val="24"/>
              </w:rPr>
            </w:pPr>
            <w:r w:rsidRPr="00DA47D8">
              <w:rPr>
                <w:b/>
                <w:sz w:val="24"/>
                <w:szCs w:val="24"/>
              </w:rPr>
              <w:t>Business address:</w:t>
            </w:r>
          </w:p>
        </w:tc>
        <w:tc>
          <w:tcPr>
            <w:tcW w:w="5529" w:type="dxa"/>
            <w:vMerge w:val="restart"/>
          </w:tcPr>
          <w:p w:rsidR="0087191F" w:rsidRPr="00DA47D8" w:rsidRDefault="0087191F" w:rsidP="0087191F">
            <w:pPr>
              <w:rPr>
                <w:b/>
                <w:sz w:val="24"/>
                <w:szCs w:val="24"/>
              </w:rPr>
            </w:pPr>
          </w:p>
        </w:tc>
      </w:tr>
      <w:tr w:rsidR="0087191F" w:rsidRPr="00DA47D8" w:rsidTr="002151A2">
        <w:tc>
          <w:tcPr>
            <w:tcW w:w="1526" w:type="dxa"/>
          </w:tcPr>
          <w:p w:rsidR="0087191F" w:rsidRPr="00DA47D8" w:rsidRDefault="0087191F" w:rsidP="0087191F">
            <w:pPr>
              <w:rPr>
                <w:b/>
                <w:sz w:val="24"/>
                <w:szCs w:val="24"/>
              </w:rPr>
            </w:pPr>
            <w:r w:rsidRPr="00DA47D8">
              <w:rPr>
                <w:b/>
                <w:sz w:val="24"/>
                <w:szCs w:val="24"/>
              </w:rPr>
              <w:t>Email:</w:t>
            </w:r>
          </w:p>
        </w:tc>
        <w:tc>
          <w:tcPr>
            <w:tcW w:w="5386" w:type="dxa"/>
          </w:tcPr>
          <w:p w:rsidR="0087191F" w:rsidRPr="00DA47D8" w:rsidRDefault="0087191F" w:rsidP="0087191F">
            <w:pPr>
              <w:rPr>
                <w:b/>
                <w:sz w:val="24"/>
                <w:szCs w:val="24"/>
              </w:rPr>
            </w:pPr>
          </w:p>
          <w:p w:rsidR="00136A10" w:rsidRPr="00DA47D8" w:rsidRDefault="00136A10" w:rsidP="0087191F">
            <w:pPr>
              <w:rPr>
                <w:b/>
                <w:sz w:val="24"/>
                <w:szCs w:val="24"/>
              </w:rPr>
            </w:pPr>
          </w:p>
        </w:tc>
        <w:tc>
          <w:tcPr>
            <w:tcW w:w="450" w:type="dxa"/>
          </w:tcPr>
          <w:p w:rsidR="0087191F" w:rsidRPr="00DA47D8" w:rsidRDefault="0087191F" w:rsidP="0087191F">
            <w:pPr>
              <w:rPr>
                <w:sz w:val="24"/>
                <w:szCs w:val="24"/>
              </w:rPr>
            </w:pPr>
          </w:p>
        </w:tc>
        <w:tc>
          <w:tcPr>
            <w:tcW w:w="1392" w:type="dxa"/>
          </w:tcPr>
          <w:p w:rsidR="0087191F" w:rsidRPr="00DA47D8" w:rsidRDefault="0087191F" w:rsidP="0087191F">
            <w:pPr>
              <w:rPr>
                <w:b/>
                <w:sz w:val="24"/>
                <w:szCs w:val="24"/>
              </w:rPr>
            </w:pPr>
          </w:p>
        </w:tc>
        <w:tc>
          <w:tcPr>
            <w:tcW w:w="5529" w:type="dxa"/>
            <w:vMerge/>
          </w:tcPr>
          <w:p w:rsidR="0087191F" w:rsidRPr="00DA47D8" w:rsidRDefault="0087191F" w:rsidP="0087191F">
            <w:pPr>
              <w:rPr>
                <w:b/>
                <w:sz w:val="24"/>
                <w:szCs w:val="24"/>
              </w:rPr>
            </w:pPr>
          </w:p>
        </w:tc>
      </w:tr>
      <w:tr w:rsidR="0087191F" w:rsidRPr="00DA47D8" w:rsidTr="002151A2">
        <w:tc>
          <w:tcPr>
            <w:tcW w:w="1526" w:type="dxa"/>
          </w:tcPr>
          <w:p w:rsidR="0087191F" w:rsidRPr="00DA47D8" w:rsidRDefault="0087191F" w:rsidP="0087191F">
            <w:pPr>
              <w:rPr>
                <w:b/>
                <w:sz w:val="24"/>
                <w:szCs w:val="24"/>
              </w:rPr>
            </w:pPr>
            <w:r w:rsidRPr="00DA47D8">
              <w:rPr>
                <w:b/>
                <w:sz w:val="24"/>
                <w:szCs w:val="24"/>
              </w:rPr>
              <w:t>Telephone:</w:t>
            </w:r>
          </w:p>
        </w:tc>
        <w:tc>
          <w:tcPr>
            <w:tcW w:w="5386" w:type="dxa"/>
          </w:tcPr>
          <w:p w:rsidR="0087191F" w:rsidRPr="00DA47D8" w:rsidRDefault="0087191F" w:rsidP="0087191F">
            <w:pPr>
              <w:rPr>
                <w:b/>
                <w:sz w:val="24"/>
                <w:szCs w:val="24"/>
              </w:rPr>
            </w:pPr>
          </w:p>
          <w:p w:rsidR="00136A10" w:rsidRPr="00DA47D8" w:rsidRDefault="00136A10" w:rsidP="0087191F">
            <w:pPr>
              <w:rPr>
                <w:b/>
                <w:sz w:val="24"/>
                <w:szCs w:val="24"/>
              </w:rPr>
            </w:pPr>
          </w:p>
        </w:tc>
        <w:tc>
          <w:tcPr>
            <w:tcW w:w="450" w:type="dxa"/>
          </w:tcPr>
          <w:p w:rsidR="0087191F" w:rsidRPr="00DA47D8" w:rsidRDefault="0087191F" w:rsidP="0087191F">
            <w:pPr>
              <w:rPr>
                <w:sz w:val="24"/>
                <w:szCs w:val="24"/>
              </w:rPr>
            </w:pPr>
          </w:p>
        </w:tc>
        <w:tc>
          <w:tcPr>
            <w:tcW w:w="1392" w:type="dxa"/>
          </w:tcPr>
          <w:p w:rsidR="0087191F" w:rsidRPr="00DA47D8" w:rsidRDefault="0087191F" w:rsidP="0087191F">
            <w:pPr>
              <w:rPr>
                <w:b/>
                <w:sz w:val="24"/>
                <w:szCs w:val="24"/>
              </w:rPr>
            </w:pPr>
            <w:r w:rsidRPr="00DA47D8">
              <w:rPr>
                <w:b/>
                <w:sz w:val="24"/>
                <w:szCs w:val="24"/>
              </w:rPr>
              <w:t>Industry sector:</w:t>
            </w:r>
          </w:p>
        </w:tc>
        <w:tc>
          <w:tcPr>
            <w:tcW w:w="5529" w:type="dxa"/>
          </w:tcPr>
          <w:p w:rsidR="0087191F" w:rsidRPr="00DA47D8" w:rsidRDefault="0087191F" w:rsidP="0087191F">
            <w:pPr>
              <w:rPr>
                <w:b/>
                <w:sz w:val="24"/>
                <w:szCs w:val="24"/>
              </w:rPr>
            </w:pPr>
          </w:p>
        </w:tc>
      </w:tr>
    </w:tbl>
    <w:p w:rsidR="00096AF7" w:rsidRPr="00DA47D8" w:rsidRDefault="00096AF7">
      <w:pPr>
        <w:rPr>
          <w:b/>
          <w:sz w:val="24"/>
          <w:szCs w:val="24"/>
        </w:rPr>
      </w:pPr>
      <w:r w:rsidRPr="00DA47D8">
        <w:rPr>
          <w:b/>
          <w:sz w:val="24"/>
          <w:szCs w:val="24"/>
        </w:rPr>
        <w:br w:type="page"/>
      </w:r>
    </w:p>
    <w:p w:rsidR="00537C9D" w:rsidRDefault="00567D3E" w:rsidP="00567D3E">
      <w:pPr>
        <w:pStyle w:val="Heading2"/>
      </w:pPr>
      <w:r>
        <w:lastRenderedPageBreak/>
        <w:t>Questions</w:t>
      </w:r>
    </w:p>
    <w:p w:rsidR="00BE0F1D" w:rsidRPr="00BE0F1D" w:rsidRDefault="00BE0F1D" w:rsidP="00BE0F1D">
      <w:r>
        <w:t>In answering the questions below, it may be helpful to refer to the Allocation Methodology for Renewable Generation, published in August 2013</w:t>
      </w:r>
      <w:r>
        <w:rPr>
          <w:rStyle w:val="FootnoteReference"/>
        </w:rPr>
        <w:footnoteReference w:id="1"/>
      </w:r>
      <w:r>
        <w:t xml:space="preserve">. </w:t>
      </w:r>
      <w:r w:rsidR="00DA47D8">
        <w:t xml:space="preserve">Please </w:t>
      </w:r>
      <w:r>
        <w:t>justify your responses with reference to the specific characteristics of nuclear and CCS technologies relative to renewable</w:t>
      </w:r>
      <w:r w:rsidR="00DA47D8">
        <w:t xml:space="preserve"> technologies</w:t>
      </w:r>
      <w:r>
        <w:t>.</w:t>
      </w:r>
    </w:p>
    <w:p w:rsidR="00567D3E" w:rsidRDefault="00567D3E" w:rsidP="00567D3E">
      <w:pPr>
        <w:pStyle w:val="Heading3"/>
      </w:pPr>
      <w:r>
        <w:t>General allocation issues</w:t>
      </w:r>
    </w:p>
    <w:p w:rsidR="00567D3E" w:rsidRDefault="00796898" w:rsidP="00FF77CF">
      <w:pPr>
        <w:pStyle w:val="ListParagraph"/>
        <w:numPr>
          <w:ilvl w:val="0"/>
          <w:numId w:val="2"/>
        </w:numPr>
      </w:pPr>
      <w:r>
        <w:t xml:space="preserve">The Allocation Methodology sets out a system of eligibility checks, milestones and target commissioning windows and longstop dates that are intended to provide developers with certainty of CfD award at earlier stage while ensuring that successful applicants are those with a strong chance of progressing to commissioning. </w:t>
      </w:r>
      <w:r w:rsidR="00FF77CF">
        <w:t xml:space="preserve">Is the proposed system suitable for </w:t>
      </w:r>
      <w:r w:rsidR="00567D3E">
        <w:t>nuclear and CCS</w:t>
      </w:r>
      <w:r w:rsidR="00FF77CF">
        <w:t xml:space="preserve"> projects</w:t>
      </w:r>
      <w:r w:rsidR="00567D3E">
        <w:t>?</w:t>
      </w:r>
      <w:r w:rsidR="00D95A32">
        <w:t xml:space="preserve"> </w:t>
      </w:r>
    </w:p>
    <w:p w:rsidR="00567D3E" w:rsidRDefault="00567D3E" w:rsidP="00567D3E">
      <w:pPr>
        <w:pStyle w:val="ListParagraph"/>
        <w:numPr>
          <w:ilvl w:val="0"/>
          <w:numId w:val="2"/>
        </w:numPr>
      </w:pPr>
      <w:r>
        <w:t>Would the proposed eligibility criteria work for nuclear or CCS? What additional eligibility checks might be needed?</w:t>
      </w:r>
    </w:p>
    <w:p w:rsidR="00923872" w:rsidRDefault="00567D3E" w:rsidP="00923872">
      <w:pPr>
        <w:pStyle w:val="ListParagraph"/>
        <w:numPr>
          <w:ilvl w:val="0"/>
          <w:numId w:val="2"/>
        </w:numPr>
      </w:pPr>
      <w:r>
        <w:t>What might demonstrate suitable evidence of financial commitment for nuclear and CCS projects?</w:t>
      </w:r>
      <w:r w:rsidR="00923872">
        <w:t xml:space="preserve"> How does DECC/CfD Counterparty ensure developers make progress towards getting the necessary approvals (and eventually commission)?</w:t>
      </w:r>
    </w:p>
    <w:p w:rsidR="00567D3E" w:rsidRDefault="00567D3E" w:rsidP="00567D3E">
      <w:pPr>
        <w:pStyle w:val="ListParagraph"/>
        <w:numPr>
          <w:ilvl w:val="0"/>
          <w:numId w:val="2"/>
        </w:numPr>
      </w:pPr>
      <w:r>
        <w:t xml:space="preserve">What variations to </w:t>
      </w:r>
      <w:r w:rsidR="00923872">
        <w:t xml:space="preserve">target commissioning windows and longstop dates </w:t>
      </w:r>
      <w:r>
        <w:t>might be needed for nuclear/CCS?</w:t>
      </w:r>
    </w:p>
    <w:p w:rsidR="00090355" w:rsidRDefault="00090355" w:rsidP="00090355">
      <w:pPr>
        <w:pStyle w:val="ListParagraph"/>
        <w:numPr>
          <w:ilvl w:val="0"/>
          <w:numId w:val="2"/>
        </w:numPr>
      </w:pPr>
      <w:r>
        <w:t>Is the proposed structure for adjustments to capacity appropriate</w:t>
      </w:r>
      <w:r w:rsidR="00FA3587">
        <w:t xml:space="preserve"> or necessary</w:t>
      </w:r>
      <w:r>
        <w:t xml:space="preserve"> for nuclear / CCS?</w:t>
      </w:r>
    </w:p>
    <w:p w:rsidR="00DA47D8" w:rsidRDefault="00DA47D8" w:rsidP="00DA47D8">
      <w:pPr>
        <w:pStyle w:val="ListParagraph"/>
        <w:numPr>
          <w:ilvl w:val="0"/>
          <w:numId w:val="2"/>
        </w:numPr>
      </w:pPr>
      <w:r>
        <w:t>How might the system of eligibility, milestones, target commissioning windows and longstop dates need to vary under a competitive allocation process?</w:t>
      </w:r>
    </w:p>
    <w:p w:rsidR="00090355" w:rsidRDefault="00090355" w:rsidP="00090355">
      <w:pPr>
        <w:pStyle w:val="Heading3"/>
      </w:pPr>
      <w:r>
        <w:t>Competitive allocation models</w:t>
      </w:r>
    </w:p>
    <w:p w:rsidR="00090355" w:rsidRDefault="00090355" w:rsidP="00090355">
      <w:pPr>
        <w:pStyle w:val="ListParagraph"/>
        <w:numPr>
          <w:ilvl w:val="0"/>
          <w:numId w:val="2"/>
        </w:numPr>
      </w:pPr>
      <w:r>
        <w:t xml:space="preserve">What are the </w:t>
      </w:r>
      <w:r w:rsidR="00DA47D8">
        <w:t xml:space="preserve">barriers </w:t>
      </w:r>
      <w:r>
        <w:t>to further improvements in underlying competitive conditions</w:t>
      </w:r>
      <w:r w:rsidR="00DA47D8">
        <w:t xml:space="preserve"> for nuclear and CCS</w:t>
      </w:r>
      <w:r>
        <w:t>? What steps can industry and Government take to resolve these barriers?</w:t>
      </w:r>
    </w:p>
    <w:p w:rsidR="00090355" w:rsidRDefault="00796898" w:rsidP="00090355">
      <w:pPr>
        <w:pStyle w:val="ListParagraph"/>
        <w:numPr>
          <w:ilvl w:val="0"/>
          <w:numId w:val="2"/>
        </w:numPr>
      </w:pPr>
      <w:r>
        <w:t xml:space="preserve">What options for </w:t>
      </w:r>
      <w:r w:rsidR="00090355">
        <w:t xml:space="preserve">competitive allocation </w:t>
      </w:r>
      <w:r>
        <w:t xml:space="preserve">should </w:t>
      </w:r>
      <w:r w:rsidR="00090355">
        <w:t>Government be considering?</w:t>
      </w:r>
    </w:p>
    <w:p w:rsidR="00090355" w:rsidRDefault="00090355" w:rsidP="00090355">
      <w:pPr>
        <w:pStyle w:val="ListParagraph"/>
        <w:numPr>
          <w:ilvl w:val="0"/>
          <w:numId w:val="2"/>
        </w:numPr>
      </w:pPr>
      <w:r>
        <w:t xml:space="preserve">Does the structure of evaluation and price-setting </w:t>
      </w:r>
      <w:r w:rsidR="00DA47D8">
        <w:t xml:space="preserve">of the “constrained allocation” process </w:t>
      </w:r>
      <w:r w:rsidR="00BE0F1D">
        <w:t>in the Allocation Methodology</w:t>
      </w:r>
      <w:r>
        <w:t xml:space="preserve"> work for nuclear and CCS?</w:t>
      </w:r>
    </w:p>
    <w:p w:rsidR="00090355" w:rsidRDefault="00090355" w:rsidP="00090355">
      <w:pPr>
        <w:pStyle w:val="ListParagraph"/>
        <w:numPr>
          <w:ilvl w:val="0"/>
          <w:numId w:val="2"/>
        </w:numPr>
      </w:pPr>
      <w:r>
        <w:t>Are there criteria other than price that are important in selecting nuclear and CCS projects? If so, which?</w:t>
      </w:r>
      <w:r w:rsidR="00796898">
        <w:t xml:space="preserve"> How can these criteria be assessed</w:t>
      </w:r>
      <w:r>
        <w:t>?</w:t>
      </w:r>
      <w:r w:rsidR="00796898">
        <w:t xml:space="preserve"> How can delivery against these criteria be monitored?</w:t>
      </w:r>
    </w:p>
    <w:p w:rsidR="00090355" w:rsidRDefault="00090355" w:rsidP="00090355">
      <w:pPr>
        <w:pStyle w:val="ListParagraph"/>
        <w:numPr>
          <w:ilvl w:val="0"/>
          <w:numId w:val="2"/>
        </w:numPr>
      </w:pPr>
      <w:r>
        <w:t xml:space="preserve">Does the position </w:t>
      </w:r>
      <w:r w:rsidR="00BE0F1D">
        <w:t xml:space="preserve">in the Allocation Methodology </w:t>
      </w:r>
      <w:r>
        <w:t>on adjustments to the Strike Price reflect an efficient balance of risks, given the specifics of nuclear and CCS projects?</w:t>
      </w:r>
    </w:p>
    <w:p w:rsidR="00D95A32" w:rsidRPr="00090355" w:rsidRDefault="00090355" w:rsidP="00D95A32">
      <w:pPr>
        <w:pStyle w:val="ListParagraph"/>
        <w:numPr>
          <w:ilvl w:val="0"/>
          <w:numId w:val="2"/>
        </w:numPr>
      </w:pPr>
      <w:r>
        <w:t>Can contract terms for nuclear or CCS projects be largely fixed ahead of launching the allocation process?</w:t>
      </w:r>
    </w:p>
    <w:sectPr w:rsidR="00D95A32" w:rsidRPr="00090355" w:rsidSect="00BB692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39" w:rsidRDefault="003B2539" w:rsidP="00BE331A">
      <w:pPr>
        <w:spacing w:after="0" w:line="240" w:lineRule="auto"/>
      </w:pPr>
      <w:r>
        <w:separator/>
      </w:r>
    </w:p>
  </w:endnote>
  <w:endnote w:type="continuationSeparator" w:id="0">
    <w:p w:rsidR="003B2539" w:rsidRDefault="003B2539" w:rsidP="00BE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28631"/>
      <w:docPartObj>
        <w:docPartGallery w:val="Page Numbers (Bottom of Page)"/>
        <w:docPartUnique/>
      </w:docPartObj>
    </w:sdtPr>
    <w:sdtEndPr>
      <w:rPr>
        <w:noProof/>
      </w:rPr>
    </w:sdtEndPr>
    <w:sdtContent>
      <w:p w:rsidR="00D95A32" w:rsidRDefault="00D95A32" w:rsidP="00DA47D8">
        <w:pPr>
          <w:pStyle w:val="Footer"/>
          <w:jc w:val="right"/>
        </w:pPr>
        <w:r>
          <w:fldChar w:fldCharType="begin"/>
        </w:r>
        <w:r>
          <w:instrText xml:space="preserve"> PAGE   \* MERGEFORMAT </w:instrText>
        </w:r>
        <w:r>
          <w:fldChar w:fldCharType="separate"/>
        </w:r>
        <w:r w:rsidR="002E3F4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39" w:rsidRDefault="003B2539" w:rsidP="00BE331A">
      <w:pPr>
        <w:spacing w:after="0" w:line="240" w:lineRule="auto"/>
      </w:pPr>
      <w:r>
        <w:separator/>
      </w:r>
    </w:p>
  </w:footnote>
  <w:footnote w:type="continuationSeparator" w:id="0">
    <w:p w:rsidR="003B2539" w:rsidRDefault="003B2539" w:rsidP="00BE331A">
      <w:pPr>
        <w:spacing w:after="0" w:line="240" w:lineRule="auto"/>
      </w:pPr>
      <w:r>
        <w:continuationSeparator/>
      </w:r>
    </w:p>
  </w:footnote>
  <w:footnote w:id="1">
    <w:p w:rsidR="00BE0F1D" w:rsidRDefault="00BE0F1D" w:rsidP="00BE0F1D">
      <w:pPr>
        <w:pStyle w:val="FootnoteText"/>
      </w:pPr>
      <w:r>
        <w:rPr>
          <w:rStyle w:val="FootnoteReference"/>
        </w:rPr>
        <w:footnoteRef/>
      </w:r>
      <w:r>
        <w:t xml:space="preserve"> </w:t>
      </w:r>
      <w:hyperlink r:id="rId1" w:history="1">
        <w:r w:rsidRPr="009226AE">
          <w:rPr>
            <w:rStyle w:val="Hyperlink"/>
          </w:rPr>
          <w:t>https://www.gov.uk/government/uploads/system/uploads/attachment_data/file/226976/Allocation_Methodology_-_MASTER_-_6_Aug_v_FINAL.pdf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32" w:rsidRPr="00DA47D8" w:rsidRDefault="00D95A32" w:rsidP="00BE331A">
    <w:pPr>
      <w:jc w:val="center"/>
      <w:rPr>
        <w:b/>
        <w:sz w:val="24"/>
        <w:szCs w:val="24"/>
      </w:rPr>
    </w:pPr>
    <w:r w:rsidRPr="00DA47D8">
      <w:rPr>
        <w:b/>
        <w:sz w:val="24"/>
        <w:szCs w:val="24"/>
      </w:rPr>
      <w:t>Electricity Market Reform - Contracts for Difference</w:t>
    </w:r>
  </w:p>
  <w:p w:rsidR="00D95A32" w:rsidRPr="00DA47D8" w:rsidRDefault="00D95A32" w:rsidP="00BE331A">
    <w:pPr>
      <w:jc w:val="center"/>
      <w:rPr>
        <w:b/>
        <w:sz w:val="24"/>
        <w:szCs w:val="24"/>
      </w:rPr>
    </w:pPr>
    <w:r w:rsidRPr="00DA47D8">
      <w:rPr>
        <w:b/>
        <w:sz w:val="24"/>
        <w:szCs w:val="24"/>
      </w:rPr>
      <w:t>Nuclear and CCS CfD allocation – Request for feedback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A65"/>
    <w:multiLevelType w:val="hybridMultilevel"/>
    <w:tmpl w:val="583C5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16314E"/>
    <w:multiLevelType w:val="hybridMultilevel"/>
    <w:tmpl w:val="6D34B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3D68D3"/>
    <w:multiLevelType w:val="hybridMultilevel"/>
    <w:tmpl w:val="356A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4D"/>
    <w:rsid w:val="00090355"/>
    <w:rsid w:val="00096AD5"/>
    <w:rsid w:val="00096AF7"/>
    <w:rsid w:val="00132807"/>
    <w:rsid w:val="00136A10"/>
    <w:rsid w:val="0014374D"/>
    <w:rsid w:val="001524ED"/>
    <w:rsid w:val="0017265E"/>
    <w:rsid w:val="002151A2"/>
    <w:rsid w:val="00215F4B"/>
    <w:rsid w:val="00252039"/>
    <w:rsid w:val="002774DA"/>
    <w:rsid w:val="002E3F4E"/>
    <w:rsid w:val="00302EEE"/>
    <w:rsid w:val="003211F7"/>
    <w:rsid w:val="003B2539"/>
    <w:rsid w:val="003B355B"/>
    <w:rsid w:val="004C62C7"/>
    <w:rsid w:val="005026DD"/>
    <w:rsid w:val="005313EC"/>
    <w:rsid w:val="00537C9D"/>
    <w:rsid w:val="00567D3E"/>
    <w:rsid w:val="005B3DF3"/>
    <w:rsid w:val="00625F43"/>
    <w:rsid w:val="00650232"/>
    <w:rsid w:val="00701ADC"/>
    <w:rsid w:val="00796898"/>
    <w:rsid w:val="00823D24"/>
    <w:rsid w:val="0084082C"/>
    <w:rsid w:val="0087191F"/>
    <w:rsid w:val="00923872"/>
    <w:rsid w:val="00940556"/>
    <w:rsid w:val="009639BF"/>
    <w:rsid w:val="009D7909"/>
    <w:rsid w:val="00A43AC1"/>
    <w:rsid w:val="00A55F57"/>
    <w:rsid w:val="00A57547"/>
    <w:rsid w:val="00B16EC6"/>
    <w:rsid w:val="00BB6924"/>
    <w:rsid w:val="00BD4419"/>
    <w:rsid w:val="00BE0F1D"/>
    <w:rsid w:val="00BE331A"/>
    <w:rsid w:val="00CD0A1A"/>
    <w:rsid w:val="00CE1125"/>
    <w:rsid w:val="00D206AB"/>
    <w:rsid w:val="00D92BC8"/>
    <w:rsid w:val="00D95A32"/>
    <w:rsid w:val="00DA1910"/>
    <w:rsid w:val="00DA47D8"/>
    <w:rsid w:val="00E801B1"/>
    <w:rsid w:val="00F7678E"/>
    <w:rsid w:val="00FA3587"/>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D3E"/>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67D3E"/>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909"/>
    <w:pPr>
      <w:ind w:left="720"/>
      <w:contextualSpacing/>
    </w:pPr>
  </w:style>
  <w:style w:type="character" w:styleId="Hyperlink">
    <w:name w:val="Hyperlink"/>
    <w:basedOn w:val="DefaultParagraphFont"/>
    <w:uiPriority w:val="99"/>
    <w:unhideWhenUsed/>
    <w:rsid w:val="00CE1125"/>
    <w:rPr>
      <w:color w:val="0000FF" w:themeColor="hyperlink"/>
      <w:u w:val="single"/>
    </w:rPr>
  </w:style>
  <w:style w:type="paragraph" w:styleId="Header">
    <w:name w:val="header"/>
    <w:basedOn w:val="Normal"/>
    <w:link w:val="HeaderChar"/>
    <w:uiPriority w:val="99"/>
    <w:unhideWhenUsed/>
    <w:rsid w:val="00BE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1A"/>
  </w:style>
  <w:style w:type="paragraph" w:styleId="Footer">
    <w:name w:val="footer"/>
    <w:basedOn w:val="Normal"/>
    <w:link w:val="FooterChar"/>
    <w:uiPriority w:val="99"/>
    <w:unhideWhenUsed/>
    <w:rsid w:val="00BE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1A"/>
  </w:style>
  <w:style w:type="paragraph" w:styleId="FootnoteText">
    <w:name w:val="footnote text"/>
    <w:basedOn w:val="Normal"/>
    <w:link w:val="FootnoteTextChar"/>
    <w:uiPriority w:val="99"/>
    <w:unhideWhenUsed/>
    <w:rsid w:val="005026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026DD"/>
    <w:rPr>
      <w:rFonts w:ascii="Calibri" w:eastAsia="Calibri" w:hAnsi="Calibri" w:cs="Times New Roman"/>
      <w:sz w:val="20"/>
      <w:szCs w:val="20"/>
    </w:rPr>
  </w:style>
  <w:style w:type="character" w:styleId="FootnoteReference">
    <w:name w:val="footnote reference"/>
    <w:uiPriority w:val="99"/>
    <w:unhideWhenUsed/>
    <w:rsid w:val="005026DD"/>
    <w:rPr>
      <w:vertAlign w:val="superscript"/>
    </w:rPr>
  </w:style>
  <w:style w:type="character" w:customStyle="1" w:styleId="Heading2Char">
    <w:name w:val="Heading 2 Char"/>
    <w:basedOn w:val="DefaultParagraphFont"/>
    <w:link w:val="Heading2"/>
    <w:uiPriority w:val="9"/>
    <w:rsid w:val="00567D3E"/>
    <w:rPr>
      <w:rFonts w:eastAsiaTheme="majorEastAsia" w:cstheme="majorBidi"/>
      <w:b/>
      <w:bCs/>
      <w:sz w:val="24"/>
      <w:szCs w:val="26"/>
    </w:rPr>
  </w:style>
  <w:style w:type="character" w:customStyle="1" w:styleId="Heading3Char">
    <w:name w:val="Heading 3 Char"/>
    <w:basedOn w:val="DefaultParagraphFont"/>
    <w:link w:val="Heading3"/>
    <w:uiPriority w:val="9"/>
    <w:rsid w:val="00567D3E"/>
    <w:rPr>
      <w:rFonts w:eastAsiaTheme="majorEastAsia" w:cstheme="majorBidi"/>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D3E"/>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67D3E"/>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909"/>
    <w:pPr>
      <w:ind w:left="720"/>
      <w:contextualSpacing/>
    </w:pPr>
  </w:style>
  <w:style w:type="character" w:styleId="Hyperlink">
    <w:name w:val="Hyperlink"/>
    <w:basedOn w:val="DefaultParagraphFont"/>
    <w:uiPriority w:val="99"/>
    <w:unhideWhenUsed/>
    <w:rsid w:val="00CE1125"/>
    <w:rPr>
      <w:color w:val="0000FF" w:themeColor="hyperlink"/>
      <w:u w:val="single"/>
    </w:rPr>
  </w:style>
  <w:style w:type="paragraph" w:styleId="Header">
    <w:name w:val="header"/>
    <w:basedOn w:val="Normal"/>
    <w:link w:val="HeaderChar"/>
    <w:uiPriority w:val="99"/>
    <w:unhideWhenUsed/>
    <w:rsid w:val="00BE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1A"/>
  </w:style>
  <w:style w:type="paragraph" w:styleId="Footer">
    <w:name w:val="footer"/>
    <w:basedOn w:val="Normal"/>
    <w:link w:val="FooterChar"/>
    <w:uiPriority w:val="99"/>
    <w:unhideWhenUsed/>
    <w:rsid w:val="00BE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1A"/>
  </w:style>
  <w:style w:type="paragraph" w:styleId="FootnoteText">
    <w:name w:val="footnote text"/>
    <w:basedOn w:val="Normal"/>
    <w:link w:val="FootnoteTextChar"/>
    <w:uiPriority w:val="99"/>
    <w:unhideWhenUsed/>
    <w:rsid w:val="005026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026DD"/>
    <w:rPr>
      <w:rFonts w:ascii="Calibri" w:eastAsia="Calibri" w:hAnsi="Calibri" w:cs="Times New Roman"/>
      <w:sz w:val="20"/>
      <w:szCs w:val="20"/>
    </w:rPr>
  </w:style>
  <w:style w:type="character" w:styleId="FootnoteReference">
    <w:name w:val="footnote reference"/>
    <w:uiPriority w:val="99"/>
    <w:unhideWhenUsed/>
    <w:rsid w:val="005026DD"/>
    <w:rPr>
      <w:vertAlign w:val="superscript"/>
    </w:rPr>
  </w:style>
  <w:style w:type="character" w:customStyle="1" w:styleId="Heading2Char">
    <w:name w:val="Heading 2 Char"/>
    <w:basedOn w:val="DefaultParagraphFont"/>
    <w:link w:val="Heading2"/>
    <w:uiPriority w:val="9"/>
    <w:rsid w:val="00567D3E"/>
    <w:rPr>
      <w:rFonts w:eastAsiaTheme="majorEastAsia" w:cstheme="majorBidi"/>
      <w:b/>
      <w:bCs/>
      <w:sz w:val="24"/>
      <w:szCs w:val="26"/>
    </w:rPr>
  </w:style>
  <w:style w:type="character" w:customStyle="1" w:styleId="Heading3Char">
    <w:name w:val="Heading 3 Char"/>
    <w:basedOn w:val="DefaultParagraphFont"/>
    <w:link w:val="Heading3"/>
    <w:uiPriority w:val="9"/>
    <w:rsid w:val="00567D3E"/>
    <w:rPr>
      <w:rFonts w:eastAsiaTheme="majorEastAsia" w:cstheme="majorBidi"/>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2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rcfddesign@decc.gs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26976/Allocation_Methodology_-_MASTER_-_6_Aug_v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DB07-6259-44EC-8572-373197A6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C275FE25</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Simon (Energy Markets and Networks)</dc:creator>
  <cp:lastModifiedBy>Balachandar Vikram (Energy Markets &amp; Networks)</cp:lastModifiedBy>
  <cp:revision>2</cp:revision>
  <dcterms:created xsi:type="dcterms:W3CDTF">2013-10-11T11:46:00Z</dcterms:created>
  <dcterms:modified xsi:type="dcterms:W3CDTF">2013-10-11T11:46:00Z</dcterms:modified>
</cp:coreProperties>
</file>