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5C" w:rsidRPr="00B13EEC" w:rsidRDefault="00744E5C" w:rsidP="00533B92">
      <w:pPr>
        <w:pStyle w:val="Heading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www.accountingweb.co.uk/sites/default/files/styles/large/public/HMRC_new_logo.jpg" style="position:absolute;margin-left:-9pt;margin-top:-54.1pt;width:99pt;height:55.7pt;z-index:-251658240;visibility:visible" wrapcoords="-164 0 -164 21308 21600 21308 21600 0 -164 0">
            <v:imagedata r:id="rId7" o:title=""/>
            <w10:wrap type="tight"/>
          </v:shape>
        </w:pict>
      </w:r>
      <w:r>
        <w:t xml:space="preserve">Abolition of employers National Insurance contributions for the under 21s </w:t>
      </w:r>
    </w:p>
    <w:p w:rsidR="00744E5C" w:rsidRPr="00B13EEC" w:rsidRDefault="00744E5C" w:rsidP="00B13EEC">
      <w:pPr>
        <w:pStyle w:val="Heading3"/>
      </w:pPr>
      <w:r w:rsidRPr="00B13EEC">
        <w:t>Who is likely to be affected?</w:t>
      </w:r>
    </w:p>
    <w:p w:rsidR="00744E5C" w:rsidRDefault="00744E5C" w:rsidP="001D0863">
      <w:r>
        <w:t xml:space="preserve">Employers with employees under the age of 21. </w:t>
      </w:r>
    </w:p>
    <w:p w:rsidR="00744E5C" w:rsidRDefault="00744E5C" w:rsidP="001D0863"/>
    <w:p w:rsidR="00744E5C" w:rsidRPr="00B13EEC" w:rsidRDefault="00744E5C" w:rsidP="00B13EEC">
      <w:pPr>
        <w:pStyle w:val="Heading3"/>
      </w:pPr>
      <w:r w:rsidRPr="00B13EEC">
        <w:t>General description of the measure</w:t>
      </w:r>
    </w:p>
    <w:p w:rsidR="00744E5C" w:rsidRDefault="00744E5C" w:rsidP="00462000">
      <w:r>
        <w:t xml:space="preserve">From 6 April 2015 every employer with employees under the age of 21 will no longer be required to pay Class 1 secondary National Insurance contributions (NICs) on earnings up to the upper earning limit (UEL), for those employees. </w:t>
      </w:r>
    </w:p>
    <w:p w:rsidR="00744E5C" w:rsidRDefault="00744E5C" w:rsidP="00847147"/>
    <w:p w:rsidR="00744E5C" w:rsidRPr="00B13EEC" w:rsidRDefault="00744E5C" w:rsidP="00B13EEC">
      <w:pPr>
        <w:pStyle w:val="Heading3"/>
      </w:pPr>
      <w:r w:rsidRPr="00B13EEC">
        <w:t>Policy objective</w:t>
      </w:r>
    </w:p>
    <w:p w:rsidR="00744E5C" w:rsidRDefault="00744E5C" w:rsidP="00462000">
      <w:r>
        <w:t xml:space="preserve">The removal of the requirement for employers to pay Class 1 secondary NICs aims to encourage them to employ individuals under the age of 21. </w:t>
      </w:r>
    </w:p>
    <w:p w:rsidR="00744E5C" w:rsidRDefault="00744E5C" w:rsidP="001D0863"/>
    <w:p w:rsidR="00744E5C" w:rsidRPr="00B13EEC" w:rsidRDefault="00744E5C" w:rsidP="00B13EEC">
      <w:pPr>
        <w:pStyle w:val="Heading3"/>
      </w:pPr>
      <w:r w:rsidRPr="00B13EEC">
        <w:t>Background to the measure</w:t>
      </w:r>
    </w:p>
    <w:p w:rsidR="00744E5C" w:rsidRDefault="00744E5C" w:rsidP="00462000">
      <w:r>
        <w:t>The abolition of employer Class 1 secondary NICs for employees under the age of 21 earning up to the UEL complements other government policies that seek to encourage youth employment and boost economic development.</w:t>
      </w:r>
    </w:p>
    <w:p w:rsidR="00744E5C" w:rsidRDefault="00744E5C" w:rsidP="00DF338F"/>
    <w:p w:rsidR="00744E5C" w:rsidRPr="00B13EEC" w:rsidRDefault="00744E5C" w:rsidP="00B13EEC">
      <w:pPr>
        <w:pStyle w:val="Heading2"/>
      </w:pPr>
      <w:r w:rsidRPr="00B13EEC">
        <w:t>Detailed proposal</w:t>
      </w:r>
    </w:p>
    <w:p w:rsidR="00744E5C" w:rsidRPr="0020446D" w:rsidRDefault="00744E5C" w:rsidP="00B13EEC">
      <w:pPr>
        <w:pStyle w:val="Heading3"/>
      </w:pPr>
      <w:r w:rsidRPr="00B13EEC">
        <w:t>Operative date</w:t>
      </w:r>
    </w:p>
    <w:p w:rsidR="00744E5C" w:rsidRDefault="00744E5C" w:rsidP="003C0894">
      <w:r>
        <w:t>This measure will take effect from 6 April 2015.</w:t>
      </w:r>
    </w:p>
    <w:p w:rsidR="00744E5C" w:rsidRDefault="00744E5C" w:rsidP="00D34360"/>
    <w:p w:rsidR="00744E5C" w:rsidRPr="00582AA8" w:rsidRDefault="00744E5C" w:rsidP="003C0894">
      <w:pPr>
        <w:pStyle w:val="Heading3"/>
      </w:pPr>
      <w:r>
        <w:t>Current</w:t>
      </w:r>
      <w:r w:rsidRPr="00582AA8">
        <w:t xml:space="preserve"> law </w:t>
      </w:r>
    </w:p>
    <w:p w:rsidR="00744E5C" w:rsidRPr="00582AA8" w:rsidRDefault="00744E5C" w:rsidP="003C0894">
      <w:r>
        <w:t xml:space="preserve">Section 6(1) of the Social Security Contributions and Benefits Act and the </w:t>
      </w:r>
      <w:smartTag w:uri="urn:schemas-microsoft-com:office:smarttags" w:element="country-region">
        <w:smartTag w:uri="urn:schemas-microsoft-com:office:smarttags" w:element="place">
          <w:r>
            <w:t>Northern Ireland</w:t>
          </w:r>
        </w:smartTag>
      </w:smartTag>
      <w:r>
        <w:t xml:space="preserve"> equivalent makes employers liable to Class 1 secondary NICs on all earnings paid to employees over the age of 16 provided the earnings exceed the secondary threshold which is currently £148 per week.</w:t>
      </w:r>
    </w:p>
    <w:p w:rsidR="00744E5C" w:rsidRDefault="00744E5C" w:rsidP="000506AF"/>
    <w:p w:rsidR="00744E5C" w:rsidRDefault="00744E5C" w:rsidP="003C0894">
      <w:pPr>
        <w:rPr>
          <w:b/>
          <w:sz w:val="24"/>
          <w:szCs w:val="24"/>
        </w:rPr>
      </w:pPr>
      <w:r w:rsidRPr="00C041EE">
        <w:rPr>
          <w:rStyle w:val="Heading3Char"/>
          <w:sz w:val="24"/>
          <w:szCs w:val="24"/>
        </w:rPr>
        <w:t>Proposed revisions</w:t>
      </w:r>
      <w:r w:rsidRPr="00533B92">
        <w:rPr>
          <w:b/>
          <w:sz w:val="24"/>
          <w:szCs w:val="24"/>
        </w:rPr>
        <w:t xml:space="preserve"> </w:t>
      </w:r>
    </w:p>
    <w:p w:rsidR="00744E5C" w:rsidRDefault="00744E5C" w:rsidP="003C0894"/>
    <w:p w:rsidR="00744E5C" w:rsidRDefault="00744E5C" w:rsidP="003C0894">
      <w:r>
        <w:t>Under proposals and subject to earnings up to the UEL, employers who employ or engage employees under the age of 21 at or after 6 April 2015 will not be required to pay employer NICs on the earnings they pay to those employees. The UEL in 2015-16 is expected to be £813 per week (annual equivalent £42,285).</w:t>
      </w:r>
    </w:p>
    <w:p w:rsidR="00744E5C" w:rsidRDefault="00744E5C" w:rsidP="00D34360">
      <w:pPr>
        <w:rPr>
          <w:b/>
          <w:sz w:val="24"/>
          <w:szCs w:val="24"/>
        </w:rPr>
      </w:pPr>
    </w:p>
    <w:p w:rsidR="00744E5C" w:rsidRDefault="00744E5C" w:rsidP="00D34360">
      <w:pPr>
        <w:rPr>
          <w:b/>
          <w:sz w:val="24"/>
          <w:szCs w:val="24"/>
        </w:rPr>
      </w:pPr>
    </w:p>
    <w:p w:rsidR="00744E5C" w:rsidRPr="00533B92" w:rsidRDefault="00744E5C" w:rsidP="00533B92">
      <w:pPr>
        <w:spacing w:after="120"/>
        <w:rPr>
          <w:b/>
          <w:sz w:val="24"/>
          <w:szCs w:val="24"/>
        </w:rPr>
      </w:pPr>
      <w:r>
        <w:rPr>
          <w:b/>
          <w:sz w:val="24"/>
          <w:szCs w:val="24"/>
        </w:rPr>
        <w:br w:type="page"/>
      </w:r>
      <w:r w:rsidRPr="00533B92">
        <w:rPr>
          <w:b/>
          <w:sz w:val="24"/>
          <w:szCs w:val="24"/>
        </w:rPr>
        <w:t>Summary of impacts</w:t>
      </w:r>
    </w:p>
    <w:p w:rsidR="00744E5C" w:rsidRDefault="00744E5C" w:rsidP="00DF338F">
      <w:r>
        <w:t>This table represents the Government's current understanding of the impact of this measure.</w:t>
      </w:r>
    </w:p>
    <w:p w:rsidR="00744E5C" w:rsidRPr="00DF338F" w:rsidRDefault="00744E5C" w:rsidP="00DF338F"/>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9"/>
        <w:gridCol w:w="1221"/>
        <w:gridCol w:w="1260"/>
        <w:gridCol w:w="1440"/>
        <w:gridCol w:w="1249"/>
        <w:gridCol w:w="1271"/>
        <w:gridCol w:w="1137"/>
      </w:tblGrid>
      <w:tr w:rsidR="00744E5C" w:rsidRPr="00B61B33" w:rsidTr="00990DA8">
        <w:tc>
          <w:tcPr>
            <w:tcW w:w="1659" w:type="dxa"/>
            <w:vMerge w:val="restart"/>
          </w:tcPr>
          <w:p w:rsidR="00744E5C" w:rsidRPr="00B61B33" w:rsidRDefault="00744E5C" w:rsidP="00001742">
            <w:pPr>
              <w:pStyle w:val="StyleBold"/>
            </w:pPr>
            <w:r>
              <w:t>Excheq</w:t>
            </w:r>
            <w:r w:rsidRPr="00B61B33">
              <w:t>uer impact (£m)</w:t>
            </w:r>
          </w:p>
        </w:tc>
        <w:tc>
          <w:tcPr>
            <w:tcW w:w="1221" w:type="dxa"/>
          </w:tcPr>
          <w:p w:rsidR="00744E5C" w:rsidRPr="00B13EEC" w:rsidRDefault="00744E5C" w:rsidP="00B13EEC">
            <w:r w:rsidRPr="00B13EEC">
              <w:t>201</w:t>
            </w:r>
            <w:r>
              <w:t>3</w:t>
            </w:r>
            <w:r w:rsidRPr="00B13EEC">
              <w:t>-1</w:t>
            </w:r>
            <w:r>
              <w:t>4</w:t>
            </w:r>
          </w:p>
        </w:tc>
        <w:tc>
          <w:tcPr>
            <w:tcW w:w="1260" w:type="dxa"/>
          </w:tcPr>
          <w:p w:rsidR="00744E5C" w:rsidRPr="00B13EEC" w:rsidRDefault="00744E5C" w:rsidP="00B13EEC">
            <w:r w:rsidRPr="00B13EEC">
              <w:t>20</w:t>
            </w:r>
            <w:r>
              <w:t>14</w:t>
            </w:r>
            <w:r w:rsidRPr="00B13EEC">
              <w:t>-1</w:t>
            </w:r>
            <w:r>
              <w:t>5</w:t>
            </w:r>
          </w:p>
        </w:tc>
        <w:tc>
          <w:tcPr>
            <w:tcW w:w="1440" w:type="dxa"/>
          </w:tcPr>
          <w:p w:rsidR="00744E5C" w:rsidRPr="00B13EEC" w:rsidRDefault="00744E5C" w:rsidP="00B13EEC">
            <w:r>
              <w:t>2015-16</w:t>
            </w:r>
          </w:p>
        </w:tc>
        <w:tc>
          <w:tcPr>
            <w:tcW w:w="1249" w:type="dxa"/>
          </w:tcPr>
          <w:p w:rsidR="00744E5C" w:rsidRPr="00B13EEC" w:rsidRDefault="00744E5C" w:rsidP="00B13EEC">
            <w:r w:rsidRPr="00B13EEC">
              <w:t>201</w:t>
            </w:r>
            <w:r>
              <w:t>6</w:t>
            </w:r>
            <w:r w:rsidRPr="00B13EEC">
              <w:t>-1</w:t>
            </w:r>
            <w:r>
              <w:t>7</w:t>
            </w:r>
          </w:p>
        </w:tc>
        <w:tc>
          <w:tcPr>
            <w:tcW w:w="1271" w:type="dxa"/>
          </w:tcPr>
          <w:p w:rsidR="00744E5C" w:rsidRPr="00B13EEC" w:rsidRDefault="00744E5C" w:rsidP="00B13EEC">
            <w:r w:rsidRPr="00B13EEC">
              <w:t>201</w:t>
            </w:r>
            <w:r>
              <w:t>7</w:t>
            </w:r>
            <w:r w:rsidRPr="00B13EEC">
              <w:t>-</w:t>
            </w:r>
            <w:r>
              <w:t>18</w:t>
            </w:r>
          </w:p>
        </w:tc>
        <w:tc>
          <w:tcPr>
            <w:tcW w:w="1137" w:type="dxa"/>
          </w:tcPr>
          <w:p w:rsidR="00744E5C" w:rsidRPr="00B13EEC" w:rsidRDefault="00744E5C" w:rsidP="00B13EEC">
            <w:r>
              <w:t>2018-19</w:t>
            </w:r>
          </w:p>
        </w:tc>
      </w:tr>
      <w:tr w:rsidR="00744E5C" w:rsidRPr="00B61B33" w:rsidTr="00990DA8">
        <w:tc>
          <w:tcPr>
            <w:tcW w:w="1659" w:type="dxa"/>
            <w:vMerge/>
          </w:tcPr>
          <w:p w:rsidR="00744E5C" w:rsidRPr="0020446D" w:rsidRDefault="00744E5C" w:rsidP="00B13EEC"/>
        </w:tc>
        <w:tc>
          <w:tcPr>
            <w:tcW w:w="1221" w:type="dxa"/>
          </w:tcPr>
          <w:p w:rsidR="00744E5C" w:rsidRPr="00B13EEC" w:rsidRDefault="00744E5C" w:rsidP="008B5314">
            <w:pPr>
              <w:jc w:val="left"/>
            </w:pPr>
            <w:r>
              <w:t>nil</w:t>
            </w:r>
          </w:p>
        </w:tc>
        <w:tc>
          <w:tcPr>
            <w:tcW w:w="1260" w:type="dxa"/>
          </w:tcPr>
          <w:p w:rsidR="00744E5C" w:rsidRPr="00B13EEC" w:rsidRDefault="00744E5C" w:rsidP="008B5314">
            <w:pPr>
              <w:jc w:val="left"/>
            </w:pPr>
            <w:r>
              <w:t>nil</w:t>
            </w:r>
          </w:p>
        </w:tc>
        <w:tc>
          <w:tcPr>
            <w:tcW w:w="1440" w:type="dxa"/>
          </w:tcPr>
          <w:p w:rsidR="00744E5C" w:rsidRPr="00B13EEC" w:rsidRDefault="00744E5C" w:rsidP="008B5314">
            <w:pPr>
              <w:jc w:val="left"/>
            </w:pPr>
            <w:r>
              <w:t>-465</w:t>
            </w:r>
          </w:p>
        </w:tc>
        <w:tc>
          <w:tcPr>
            <w:tcW w:w="1249" w:type="dxa"/>
          </w:tcPr>
          <w:p w:rsidR="00744E5C" w:rsidRPr="00B13EEC" w:rsidRDefault="00744E5C" w:rsidP="008B5314">
            <w:pPr>
              <w:jc w:val="left"/>
            </w:pPr>
            <w:r>
              <w:t>-495</w:t>
            </w:r>
          </w:p>
        </w:tc>
        <w:tc>
          <w:tcPr>
            <w:tcW w:w="1271" w:type="dxa"/>
          </w:tcPr>
          <w:p w:rsidR="00744E5C" w:rsidRPr="00B13EEC" w:rsidRDefault="00744E5C" w:rsidP="008B5314">
            <w:pPr>
              <w:jc w:val="left"/>
            </w:pPr>
            <w:r>
              <w:t>-520</w:t>
            </w:r>
          </w:p>
        </w:tc>
        <w:tc>
          <w:tcPr>
            <w:tcW w:w="1137" w:type="dxa"/>
          </w:tcPr>
          <w:p w:rsidR="00744E5C" w:rsidRPr="00B13EEC" w:rsidRDefault="00744E5C" w:rsidP="008B5314">
            <w:pPr>
              <w:jc w:val="left"/>
            </w:pPr>
            <w:r>
              <w:t>-530</w:t>
            </w:r>
          </w:p>
        </w:tc>
      </w:tr>
      <w:tr w:rsidR="00744E5C" w:rsidRPr="00B61B33" w:rsidTr="00A501A9">
        <w:tc>
          <w:tcPr>
            <w:tcW w:w="1659" w:type="dxa"/>
            <w:vMerge/>
          </w:tcPr>
          <w:p w:rsidR="00744E5C" w:rsidRPr="0020446D" w:rsidRDefault="00744E5C" w:rsidP="00B13EEC"/>
        </w:tc>
        <w:tc>
          <w:tcPr>
            <w:tcW w:w="7578" w:type="dxa"/>
            <w:gridSpan w:val="6"/>
          </w:tcPr>
          <w:p w:rsidR="00744E5C" w:rsidRPr="00920AAD" w:rsidRDefault="00744E5C" w:rsidP="005D0AAD">
            <w:pPr>
              <w:spacing w:after="120"/>
            </w:pPr>
            <w:r w:rsidRPr="00920AAD">
              <w:t>These figures are set out in Table 2.1 of the Autumn Statement and have been certified by the Office for Budget Responsibility. More details can be found in the policy costings document published alongside the Autumn Statement.</w:t>
            </w:r>
          </w:p>
        </w:tc>
      </w:tr>
      <w:tr w:rsidR="00744E5C" w:rsidRPr="00B61B33" w:rsidTr="00A501A9">
        <w:tc>
          <w:tcPr>
            <w:tcW w:w="1659" w:type="dxa"/>
          </w:tcPr>
          <w:p w:rsidR="00744E5C" w:rsidRPr="00B61B33" w:rsidRDefault="00744E5C" w:rsidP="00001742">
            <w:pPr>
              <w:pStyle w:val="StyleBold"/>
            </w:pPr>
            <w:r w:rsidRPr="00B61B33">
              <w:t>Economic impact</w:t>
            </w:r>
          </w:p>
        </w:tc>
        <w:tc>
          <w:tcPr>
            <w:tcW w:w="7578" w:type="dxa"/>
            <w:gridSpan w:val="6"/>
          </w:tcPr>
          <w:p w:rsidR="00744E5C" w:rsidRPr="0020446D" w:rsidRDefault="00744E5C" w:rsidP="005D0AAD">
            <w:pPr>
              <w:spacing w:after="120"/>
            </w:pPr>
            <w:r w:rsidRPr="000D16BA">
              <w:t xml:space="preserve">The measure will abolish employer NICs for employees under the age of 21 earning up to NICs </w:t>
            </w:r>
            <w:r>
              <w:t xml:space="preserve">UEL </w:t>
            </w:r>
            <w:r w:rsidRPr="000D16BA">
              <w:t>in any pay period.  Reducing the fiscal burde</w:t>
            </w:r>
            <w:r>
              <w:t>n of employer NICs will support</w:t>
            </w:r>
            <w:r w:rsidRPr="000D16BA">
              <w:t xml:space="preserve"> youth employment.  The overall economic impact of this measure will depend on aggregate labour demand and the p</w:t>
            </w:r>
            <w:r>
              <w:t>erformance of the wider economy.</w:t>
            </w:r>
          </w:p>
        </w:tc>
      </w:tr>
      <w:tr w:rsidR="00744E5C" w:rsidRPr="00B61B33" w:rsidTr="00A501A9">
        <w:trPr>
          <w:trHeight w:val="1141"/>
        </w:trPr>
        <w:tc>
          <w:tcPr>
            <w:tcW w:w="1659" w:type="dxa"/>
          </w:tcPr>
          <w:p w:rsidR="00744E5C" w:rsidRPr="00DE78FF" w:rsidRDefault="00744E5C" w:rsidP="00D014A8">
            <w:pPr>
              <w:pStyle w:val="StyleBold"/>
            </w:pPr>
            <w:r w:rsidRPr="00B61B33">
              <w:t xml:space="preserve">Impact on individuals and households </w:t>
            </w:r>
          </w:p>
        </w:tc>
        <w:tc>
          <w:tcPr>
            <w:tcW w:w="7578" w:type="dxa"/>
            <w:gridSpan w:val="6"/>
          </w:tcPr>
          <w:p w:rsidR="00744E5C" w:rsidRPr="0020446D" w:rsidRDefault="00744E5C" w:rsidP="005D0AAD">
            <w:pPr>
              <w:spacing w:after="120"/>
            </w:pPr>
            <w:r w:rsidRPr="00FD352F">
              <w:rPr>
                <w:rFonts w:cs="Arial"/>
              </w:rPr>
              <w:t>The employer NICs liability for nearly 1.5 million employees aged between 16 and 20 will be eliminated.</w:t>
            </w:r>
            <w:r>
              <w:rPr>
                <w:rFonts w:cs="Arial"/>
              </w:rPr>
              <w:t xml:space="preserve">  </w:t>
            </w:r>
            <w:r>
              <w:t xml:space="preserve">While there are no direct impacts on individuals and households, one of the goals of the measure is to support youth employment and thereby benefit individuals and households, especially those in lower income groups and areas particularly affected by youth unemployment. </w:t>
            </w:r>
          </w:p>
        </w:tc>
      </w:tr>
      <w:tr w:rsidR="00744E5C" w:rsidRPr="00B61B33" w:rsidTr="00A501A9">
        <w:trPr>
          <w:trHeight w:val="1385"/>
        </w:trPr>
        <w:tc>
          <w:tcPr>
            <w:tcW w:w="1659" w:type="dxa"/>
          </w:tcPr>
          <w:p w:rsidR="00744E5C" w:rsidRPr="00B61B33" w:rsidRDefault="00744E5C" w:rsidP="00001742">
            <w:pPr>
              <w:pStyle w:val="StyleBold"/>
            </w:pPr>
            <w:r w:rsidRPr="00B61B33">
              <w:t>Equalities impacts</w:t>
            </w:r>
          </w:p>
        </w:tc>
        <w:tc>
          <w:tcPr>
            <w:tcW w:w="7578" w:type="dxa"/>
            <w:gridSpan w:val="6"/>
          </w:tcPr>
          <w:p w:rsidR="00744E5C" w:rsidRPr="0020446D" w:rsidRDefault="00744E5C" w:rsidP="003C1D1C">
            <w:pPr>
              <w:spacing w:after="120"/>
            </w:pPr>
            <w:r w:rsidRPr="00614A11">
              <w:t xml:space="preserve">The policy discriminates in favour of those aged under 21 in order to improve their prospects on the employment market. There is a strong policy rationale for focusing help on reducing youth unemployment, and this measure aims to help those at the youngest end of the employment scale where unemployment levels are at their most acute. Accordingly, the scope of the measure represents a proportionate response to the </w:t>
            </w:r>
            <w:r>
              <w:t>issue</w:t>
            </w:r>
            <w:r w:rsidRPr="00614A11">
              <w:t xml:space="preserve"> of youth unemployment</w:t>
            </w:r>
            <w:r>
              <w:t>.</w:t>
            </w:r>
          </w:p>
        </w:tc>
      </w:tr>
      <w:tr w:rsidR="00744E5C" w:rsidRPr="00B61B33" w:rsidTr="00A501A9">
        <w:trPr>
          <w:trHeight w:val="818"/>
        </w:trPr>
        <w:tc>
          <w:tcPr>
            <w:tcW w:w="1659" w:type="dxa"/>
          </w:tcPr>
          <w:p w:rsidR="00744E5C" w:rsidRPr="00B61B33" w:rsidRDefault="00744E5C" w:rsidP="00001742">
            <w:pPr>
              <w:pStyle w:val="StyleBold"/>
            </w:pPr>
            <w:r w:rsidRPr="00B61B33">
              <w:t xml:space="preserve">Impact on business including </w:t>
            </w:r>
            <w:r>
              <w:t>civil society organisations</w:t>
            </w:r>
          </w:p>
        </w:tc>
        <w:tc>
          <w:tcPr>
            <w:tcW w:w="7578" w:type="dxa"/>
            <w:gridSpan w:val="6"/>
          </w:tcPr>
          <w:p w:rsidR="00744E5C" w:rsidRDefault="00744E5C" w:rsidP="00F80A10">
            <w:pPr>
              <w:rPr>
                <w:rFonts w:cs="Arial"/>
              </w:rPr>
            </w:pPr>
            <w:r w:rsidRPr="000A4424">
              <w:rPr>
                <w:rFonts w:cs="Arial"/>
              </w:rPr>
              <w:t>There will be some additional burdens on employers to update their systems so the correct NIC letter is applied to employees w</w:t>
            </w:r>
            <w:r>
              <w:rPr>
                <w:rFonts w:cs="Arial"/>
              </w:rPr>
              <w:t xml:space="preserve">ho are under 21. </w:t>
            </w:r>
            <w:r w:rsidRPr="000A4424">
              <w:rPr>
                <w:rFonts w:cs="Arial"/>
              </w:rPr>
              <w:t xml:space="preserve">The measure is expected to directly affect around 340,000 employers. </w:t>
            </w:r>
            <w:r>
              <w:rPr>
                <w:rFonts w:cs="Arial"/>
              </w:rPr>
              <w:t>In the majority of cases p</w:t>
            </w:r>
            <w:r w:rsidRPr="000A4424">
              <w:rPr>
                <w:rFonts w:cs="Arial"/>
              </w:rPr>
              <w:t>ayroll software will be able to implement the exemption automati</w:t>
            </w:r>
            <w:r>
              <w:rPr>
                <w:rFonts w:cs="Arial"/>
              </w:rPr>
              <w:t>cally. The ongoing administration costs relate to employers who may need to update their systems manually</w:t>
            </w:r>
            <w:r w:rsidRPr="000A4424">
              <w:rPr>
                <w:rFonts w:cs="Arial"/>
              </w:rPr>
              <w:t>.</w:t>
            </w:r>
            <w:r>
              <w:rPr>
                <w:rFonts w:cs="Arial"/>
              </w:rPr>
              <w:t xml:space="preserve"> The ongoing cost is estimated to average just under £5 per eligible employee (totalling £700,000 across affected businesses). </w:t>
            </w:r>
          </w:p>
          <w:p w:rsidR="00744E5C" w:rsidRDefault="00744E5C" w:rsidP="00F80A10">
            <w:pPr>
              <w:rPr>
                <w:rFonts w:cs="Arial"/>
              </w:rPr>
            </w:pPr>
            <w:r w:rsidRPr="000A4424">
              <w:rPr>
                <w:rFonts w:cs="Arial"/>
              </w:rPr>
              <w:t xml:space="preserve">Anticipated one-off costs relate to training and familiarisation, given this a relatively straightforward change </w:t>
            </w:r>
            <w:r>
              <w:rPr>
                <w:rFonts w:cs="Arial"/>
              </w:rPr>
              <w:t>it</w:t>
            </w:r>
            <w:r w:rsidRPr="000A4424">
              <w:rPr>
                <w:rFonts w:cs="Arial"/>
              </w:rPr>
              <w:t xml:space="preserve"> is assumed to require around 30 minut</w:t>
            </w:r>
            <w:r>
              <w:rPr>
                <w:rFonts w:cs="Arial"/>
              </w:rPr>
              <w:t xml:space="preserve">es of preparation per employer already employing under 21 year olds and a smaller time period for all other employers. </w:t>
            </w:r>
            <w:r w:rsidRPr="000A4424">
              <w:rPr>
                <w:rFonts w:cs="Arial"/>
              </w:rPr>
              <w:t>In total, HMRC anticipates one-off cost</w:t>
            </w:r>
            <w:r>
              <w:rPr>
                <w:rFonts w:cs="Arial"/>
              </w:rPr>
              <w:t xml:space="preserve">s across employers of around £7.5 </w:t>
            </w:r>
            <w:r w:rsidRPr="000A4424">
              <w:rPr>
                <w:rFonts w:cs="Arial"/>
              </w:rPr>
              <w:t>m</w:t>
            </w:r>
            <w:r>
              <w:rPr>
                <w:rFonts w:cs="Arial"/>
              </w:rPr>
              <w:t>illion</w:t>
            </w:r>
            <w:r w:rsidRPr="000A4424">
              <w:rPr>
                <w:rFonts w:cs="Arial"/>
              </w:rPr>
              <w:t xml:space="preserve">.  </w:t>
            </w:r>
          </w:p>
          <w:p w:rsidR="00744E5C" w:rsidRDefault="00744E5C" w:rsidP="00F80A10">
            <w:pPr>
              <w:rPr>
                <w:rFonts w:cs="Arial"/>
              </w:rPr>
            </w:pPr>
          </w:p>
          <w:p w:rsidR="00744E5C" w:rsidRPr="000A4424" w:rsidRDefault="00744E5C" w:rsidP="00F80A10">
            <w:pPr>
              <w:rPr>
                <w:rFonts w:cs="Arial"/>
              </w:rPr>
            </w:pPr>
            <w:r w:rsidRPr="000A4424">
              <w:rPr>
                <w:rFonts w:cs="Arial"/>
              </w:rPr>
              <w:t>Estimates of compliance costs are shown in the table below, including an estimate of total costs for a five year period at present value.</w:t>
            </w:r>
          </w:p>
          <w:p w:rsidR="00744E5C" w:rsidRDefault="00744E5C" w:rsidP="00F80A10"/>
          <w:tbl>
            <w:tblPr>
              <w:tblW w:w="7362" w:type="dxa"/>
              <w:tblLook w:val="0000"/>
            </w:tblPr>
            <w:tblGrid>
              <w:gridCol w:w="2767"/>
              <w:gridCol w:w="2141"/>
              <w:gridCol w:w="2454"/>
            </w:tblGrid>
            <w:tr w:rsidR="00744E5C" w:rsidTr="003C1D1C">
              <w:trPr>
                <w:trHeight w:val="281"/>
              </w:trPr>
              <w:tc>
                <w:tcPr>
                  <w:tcW w:w="2767" w:type="dxa"/>
                </w:tcPr>
                <w:p w:rsidR="00744E5C" w:rsidRDefault="00744E5C" w:rsidP="003C1D1C"/>
              </w:tc>
              <w:tc>
                <w:tcPr>
                  <w:tcW w:w="2141" w:type="dxa"/>
                </w:tcPr>
                <w:p w:rsidR="00744E5C" w:rsidRDefault="00744E5C" w:rsidP="003C1D1C">
                  <w:r>
                    <w:t>Cost</w:t>
                  </w:r>
                </w:p>
              </w:tc>
              <w:tc>
                <w:tcPr>
                  <w:tcW w:w="2454" w:type="dxa"/>
                </w:tcPr>
                <w:p w:rsidR="00744E5C" w:rsidRDefault="00744E5C" w:rsidP="003C1D1C">
                  <w:r>
                    <w:t>Time Period</w:t>
                  </w:r>
                </w:p>
              </w:tc>
            </w:tr>
            <w:tr w:rsidR="00744E5C" w:rsidTr="003C1D1C">
              <w:trPr>
                <w:trHeight w:val="281"/>
              </w:trPr>
              <w:tc>
                <w:tcPr>
                  <w:tcW w:w="7362" w:type="dxa"/>
                  <w:gridSpan w:val="3"/>
                </w:tcPr>
                <w:p w:rsidR="00744E5C" w:rsidRDefault="00744E5C" w:rsidP="003C1D1C">
                  <w:pPr>
                    <w:tabs>
                      <w:tab w:val="left" w:pos="2865"/>
                    </w:tabs>
                  </w:pPr>
                  <w:r>
                    <w:t>Compliance Cost</w:t>
                  </w:r>
                </w:p>
              </w:tc>
            </w:tr>
            <w:tr w:rsidR="00744E5C" w:rsidTr="003C1D1C">
              <w:trPr>
                <w:trHeight w:val="281"/>
              </w:trPr>
              <w:tc>
                <w:tcPr>
                  <w:tcW w:w="2767" w:type="dxa"/>
                </w:tcPr>
                <w:p w:rsidR="00744E5C" w:rsidRDefault="00744E5C" w:rsidP="003C1D1C">
                  <w:r>
                    <w:t>One-Off Costs</w:t>
                  </w:r>
                </w:p>
              </w:tc>
              <w:tc>
                <w:tcPr>
                  <w:tcW w:w="2141" w:type="dxa"/>
                </w:tcPr>
                <w:p w:rsidR="00744E5C" w:rsidRDefault="00744E5C" w:rsidP="0039732D">
                  <w:r>
                    <w:t>£7.5m</w:t>
                  </w:r>
                </w:p>
              </w:tc>
              <w:tc>
                <w:tcPr>
                  <w:tcW w:w="2454" w:type="dxa"/>
                </w:tcPr>
                <w:p w:rsidR="00744E5C" w:rsidRDefault="00744E5C" w:rsidP="003C1D1C">
                  <w:r>
                    <w:t>N/A</w:t>
                  </w:r>
                </w:p>
              </w:tc>
            </w:tr>
            <w:tr w:rsidR="00744E5C" w:rsidTr="003C1D1C">
              <w:trPr>
                <w:trHeight w:val="281"/>
              </w:trPr>
              <w:tc>
                <w:tcPr>
                  <w:tcW w:w="2767" w:type="dxa"/>
                </w:tcPr>
                <w:p w:rsidR="00744E5C" w:rsidRDefault="00744E5C" w:rsidP="003C1D1C">
                  <w:r>
                    <w:t>Average Annual Costs</w:t>
                  </w:r>
                </w:p>
              </w:tc>
              <w:tc>
                <w:tcPr>
                  <w:tcW w:w="2141" w:type="dxa"/>
                </w:tcPr>
                <w:p w:rsidR="00744E5C" w:rsidRDefault="00744E5C" w:rsidP="003C1D1C">
                  <w:r>
                    <w:t>£0.7m</w:t>
                  </w:r>
                </w:p>
              </w:tc>
              <w:tc>
                <w:tcPr>
                  <w:tcW w:w="2454" w:type="dxa"/>
                </w:tcPr>
                <w:p w:rsidR="00744E5C" w:rsidRDefault="00744E5C" w:rsidP="003C1D1C">
                  <w:r>
                    <w:t>5</w:t>
                  </w:r>
                </w:p>
              </w:tc>
            </w:tr>
            <w:tr w:rsidR="00744E5C" w:rsidTr="003C1D1C">
              <w:trPr>
                <w:trHeight w:val="281"/>
              </w:trPr>
              <w:tc>
                <w:tcPr>
                  <w:tcW w:w="2767" w:type="dxa"/>
                </w:tcPr>
                <w:p w:rsidR="00744E5C" w:rsidRDefault="00744E5C" w:rsidP="003C1D1C">
                  <w:r>
                    <w:t>Total Costs (PV)</w:t>
                  </w:r>
                </w:p>
              </w:tc>
              <w:tc>
                <w:tcPr>
                  <w:tcW w:w="2141" w:type="dxa"/>
                </w:tcPr>
                <w:p w:rsidR="00744E5C" w:rsidRDefault="00744E5C" w:rsidP="003C1D1C">
                  <w:r>
                    <w:t>£11m</w:t>
                  </w:r>
                </w:p>
              </w:tc>
              <w:tc>
                <w:tcPr>
                  <w:tcW w:w="2454" w:type="dxa"/>
                </w:tcPr>
                <w:p w:rsidR="00744E5C" w:rsidRDefault="00744E5C" w:rsidP="003C1D1C">
                  <w:r>
                    <w:t>N/A</w:t>
                  </w:r>
                </w:p>
              </w:tc>
            </w:tr>
            <w:tr w:rsidR="00744E5C" w:rsidTr="003C1D1C">
              <w:trPr>
                <w:trHeight w:val="281"/>
              </w:trPr>
              <w:tc>
                <w:tcPr>
                  <w:tcW w:w="2767" w:type="dxa"/>
                </w:tcPr>
                <w:p w:rsidR="00744E5C" w:rsidRDefault="00744E5C" w:rsidP="003C1D1C">
                  <w:r>
                    <w:t>Compliance Benefits</w:t>
                  </w:r>
                </w:p>
              </w:tc>
              <w:tc>
                <w:tcPr>
                  <w:tcW w:w="2141" w:type="dxa"/>
                </w:tcPr>
                <w:p w:rsidR="00744E5C" w:rsidRDefault="00744E5C" w:rsidP="003C1D1C">
                  <w:r>
                    <w:t>N/A</w:t>
                  </w:r>
                </w:p>
              </w:tc>
              <w:tc>
                <w:tcPr>
                  <w:tcW w:w="2454" w:type="dxa"/>
                </w:tcPr>
                <w:p w:rsidR="00744E5C" w:rsidRDefault="00744E5C" w:rsidP="003C1D1C">
                  <w:r>
                    <w:t>N/A</w:t>
                  </w:r>
                </w:p>
              </w:tc>
            </w:tr>
            <w:tr w:rsidR="00744E5C" w:rsidTr="003C1D1C">
              <w:trPr>
                <w:trHeight w:val="265"/>
              </w:trPr>
              <w:tc>
                <w:tcPr>
                  <w:tcW w:w="2767" w:type="dxa"/>
                </w:tcPr>
                <w:p w:rsidR="00744E5C" w:rsidRDefault="00744E5C" w:rsidP="003C1D1C">
                  <w:r w:rsidRPr="00BB0165">
                    <w:t>One-off Benefit</w:t>
                  </w:r>
                </w:p>
              </w:tc>
              <w:tc>
                <w:tcPr>
                  <w:tcW w:w="2141" w:type="dxa"/>
                </w:tcPr>
                <w:p w:rsidR="00744E5C" w:rsidRDefault="00744E5C" w:rsidP="003C1D1C">
                  <w:r>
                    <w:t>N/A</w:t>
                  </w:r>
                </w:p>
              </w:tc>
              <w:tc>
                <w:tcPr>
                  <w:tcW w:w="2454" w:type="dxa"/>
                </w:tcPr>
                <w:p w:rsidR="00744E5C" w:rsidRDefault="00744E5C" w:rsidP="003C1D1C">
                  <w:r>
                    <w:t>N/A</w:t>
                  </w:r>
                </w:p>
              </w:tc>
            </w:tr>
            <w:tr w:rsidR="00744E5C" w:rsidTr="003C1D1C">
              <w:trPr>
                <w:trHeight w:val="379"/>
              </w:trPr>
              <w:tc>
                <w:tcPr>
                  <w:tcW w:w="2767" w:type="dxa"/>
                </w:tcPr>
                <w:p w:rsidR="00744E5C" w:rsidRDefault="00744E5C" w:rsidP="003C1D1C">
                  <w:r>
                    <w:t>Average Annual Benefit</w:t>
                  </w:r>
                </w:p>
              </w:tc>
              <w:tc>
                <w:tcPr>
                  <w:tcW w:w="2141" w:type="dxa"/>
                </w:tcPr>
                <w:p w:rsidR="00744E5C" w:rsidRDefault="00744E5C" w:rsidP="003C1D1C">
                  <w:r>
                    <w:t>N/A</w:t>
                  </w:r>
                </w:p>
              </w:tc>
              <w:tc>
                <w:tcPr>
                  <w:tcW w:w="2454" w:type="dxa"/>
                </w:tcPr>
                <w:p w:rsidR="00744E5C" w:rsidRDefault="00744E5C" w:rsidP="003C1D1C">
                  <w:r>
                    <w:t>N/A</w:t>
                  </w:r>
                </w:p>
              </w:tc>
            </w:tr>
            <w:tr w:rsidR="00744E5C" w:rsidTr="003C1D1C">
              <w:trPr>
                <w:trHeight w:val="281"/>
              </w:trPr>
              <w:tc>
                <w:tcPr>
                  <w:tcW w:w="2767" w:type="dxa"/>
                </w:tcPr>
                <w:p w:rsidR="00744E5C" w:rsidRDefault="00744E5C" w:rsidP="003C1D1C">
                  <w:r w:rsidRPr="00BB0165">
                    <w:t>Total Benefit (PV)</w:t>
                  </w:r>
                </w:p>
              </w:tc>
              <w:tc>
                <w:tcPr>
                  <w:tcW w:w="2141" w:type="dxa"/>
                </w:tcPr>
                <w:p w:rsidR="00744E5C" w:rsidRDefault="00744E5C" w:rsidP="003C1D1C">
                  <w:r>
                    <w:t>N/A</w:t>
                  </w:r>
                </w:p>
              </w:tc>
              <w:tc>
                <w:tcPr>
                  <w:tcW w:w="2454" w:type="dxa"/>
                </w:tcPr>
                <w:p w:rsidR="00744E5C" w:rsidRDefault="00744E5C" w:rsidP="003C1D1C">
                  <w:r>
                    <w:t>N/A</w:t>
                  </w:r>
                </w:p>
              </w:tc>
            </w:tr>
            <w:tr w:rsidR="00744E5C" w:rsidTr="003C1D1C">
              <w:trPr>
                <w:trHeight w:val="281"/>
              </w:trPr>
              <w:tc>
                <w:tcPr>
                  <w:tcW w:w="2767" w:type="dxa"/>
                </w:tcPr>
                <w:p w:rsidR="00744E5C" w:rsidRDefault="00744E5C" w:rsidP="003C1D1C">
                  <w:r w:rsidRPr="00BB0165">
                    <w:t xml:space="preserve">Net </w:t>
                  </w:r>
                  <w:r>
                    <w:t>Compliance</w:t>
                  </w:r>
                  <w:r w:rsidRPr="00BB0165">
                    <w:t xml:space="preserve"> Benefit (NPV)</w:t>
                  </w:r>
                </w:p>
              </w:tc>
              <w:tc>
                <w:tcPr>
                  <w:tcW w:w="2141" w:type="dxa"/>
                </w:tcPr>
                <w:p w:rsidR="00744E5C" w:rsidRDefault="00744E5C" w:rsidP="003C1D1C">
                  <w:r>
                    <w:t>-£11m</w:t>
                  </w:r>
                </w:p>
              </w:tc>
              <w:tc>
                <w:tcPr>
                  <w:tcW w:w="2454" w:type="dxa"/>
                </w:tcPr>
                <w:p w:rsidR="00744E5C" w:rsidRDefault="00744E5C" w:rsidP="003C1D1C">
                  <w:r>
                    <w:t>5</w:t>
                  </w:r>
                </w:p>
              </w:tc>
            </w:tr>
            <w:tr w:rsidR="00744E5C" w:rsidTr="003C1D1C">
              <w:trPr>
                <w:trHeight w:val="281"/>
              </w:trPr>
              <w:tc>
                <w:tcPr>
                  <w:tcW w:w="7362" w:type="dxa"/>
                  <w:gridSpan w:val="3"/>
                </w:tcPr>
                <w:p w:rsidR="00744E5C" w:rsidRDefault="00744E5C" w:rsidP="003C1D1C">
                  <w:r w:rsidRPr="00BB0165">
                    <w:t xml:space="preserve">Impact on Administrative Burden (included in Net </w:t>
                  </w:r>
                  <w:r>
                    <w:t>Compliance</w:t>
                  </w:r>
                  <w:r w:rsidRPr="00BB0165">
                    <w:t xml:space="preserve"> Benefit)</w:t>
                  </w:r>
                </w:p>
              </w:tc>
            </w:tr>
            <w:tr w:rsidR="00744E5C" w:rsidTr="003C1D1C">
              <w:trPr>
                <w:trHeight w:val="281"/>
              </w:trPr>
              <w:tc>
                <w:tcPr>
                  <w:tcW w:w="2767" w:type="dxa"/>
                </w:tcPr>
                <w:p w:rsidR="00744E5C" w:rsidRDefault="00744E5C" w:rsidP="003C1D1C">
                  <w:r w:rsidRPr="00BB0165">
                    <w:t>Increase</w:t>
                  </w:r>
                </w:p>
              </w:tc>
              <w:tc>
                <w:tcPr>
                  <w:tcW w:w="2141" w:type="dxa"/>
                </w:tcPr>
                <w:p w:rsidR="00744E5C" w:rsidRDefault="00744E5C" w:rsidP="003C1D1C">
                  <w:r>
                    <w:t>Decrease</w:t>
                  </w:r>
                </w:p>
              </w:tc>
              <w:tc>
                <w:tcPr>
                  <w:tcW w:w="2454" w:type="dxa"/>
                </w:tcPr>
                <w:p w:rsidR="00744E5C" w:rsidRDefault="00744E5C" w:rsidP="003C1D1C">
                  <w:r>
                    <w:t>Net Impact</w:t>
                  </w:r>
                </w:p>
              </w:tc>
            </w:tr>
            <w:tr w:rsidR="00744E5C" w:rsidTr="003C1D1C">
              <w:trPr>
                <w:trHeight w:val="265"/>
              </w:trPr>
              <w:tc>
                <w:tcPr>
                  <w:tcW w:w="2767" w:type="dxa"/>
                </w:tcPr>
                <w:p w:rsidR="00744E5C" w:rsidRDefault="00744E5C" w:rsidP="003C1D1C">
                  <w:r>
                    <w:t>£0.7m</w:t>
                  </w:r>
                </w:p>
              </w:tc>
              <w:tc>
                <w:tcPr>
                  <w:tcW w:w="2141" w:type="dxa"/>
                </w:tcPr>
                <w:p w:rsidR="00744E5C" w:rsidRDefault="00744E5C" w:rsidP="003C1D1C">
                  <w:r>
                    <w:t>£0</w:t>
                  </w:r>
                </w:p>
              </w:tc>
              <w:tc>
                <w:tcPr>
                  <w:tcW w:w="2454" w:type="dxa"/>
                </w:tcPr>
                <w:p w:rsidR="00744E5C" w:rsidRDefault="00744E5C" w:rsidP="003C1D1C">
                  <w:r>
                    <w:t>£0.7m</w:t>
                  </w:r>
                </w:p>
              </w:tc>
            </w:tr>
          </w:tbl>
          <w:p w:rsidR="00744E5C" w:rsidRPr="0020446D" w:rsidRDefault="00744E5C" w:rsidP="00B13EEC"/>
        </w:tc>
      </w:tr>
      <w:tr w:rsidR="00744E5C" w:rsidRPr="00B61B33" w:rsidTr="00A501A9">
        <w:tc>
          <w:tcPr>
            <w:tcW w:w="1659" w:type="dxa"/>
          </w:tcPr>
          <w:p w:rsidR="00744E5C" w:rsidRPr="00B61B33" w:rsidRDefault="00744E5C" w:rsidP="00001742">
            <w:pPr>
              <w:pStyle w:val="StyleBold"/>
            </w:pPr>
            <w:r w:rsidRPr="00B61B33">
              <w:t>Operational impact (£m) (HMRC or other)</w:t>
            </w:r>
          </w:p>
        </w:tc>
        <w:tc>
          <w:tcPr>
            <w:tcW w:w="7578" w:type="dxa"/>
            <w:gridSpan w:val="6"/>
          </w:tcPr>
          <w:p w:rsidR="00744E5C" w:rsidRPr="0020446D" w:rsidRDefault="00744E5C" w:rsidP="0039732D">
            <w:r>
              <w:t xml:space="preserve">The cost to HMRC of implementing this change is estimated to be in the region of £2 million. This is made up of £1.7 million IT costs and £300,000 staff costs for delivery. </w:t>
            </w:r>
          </w:p>
        </w:tc>
      </w:tr>
      <w:tr w:rsidR="00744E5C" w:rsidRPr="00B61B33" w:rsidTr="00A501A9">
        <w:tc>
          <w:tcPr>
            <w:tcW w:w="1659" w:type="dxa"/>
          </w:tcPr>
          <w:p w:rsidR="00744E5C" w:rsidRPr="00B61B33" w:rsidRDefault="00744E5C" w:rsidP="00001742">
            <w:pPr>
              <w:pStyle w:val="StyleBold"/>
            </w:pPr>
            <w:r w:rsidRPr="00B61B33">
              <w:t>Other impacts</w:t>
            </w:r>
          </w:p>
        </w:tc>
        <w:tc>
          <w:tcPr>
            <w:tcW w:w="7578" w:type="dxa"/>
            <w:gridSpan w:val="6"/>
          </w:tcPr>
          <w:p w:rsidR="00744E5C" w:rsidRDefault="00744E5C" w:rsidP="005D0AAD">
            <w:pPr>
              <w:spacing w:after="120"/>
              <w:rPr>
                <w:u w:val="single"/>
              </w:rPr>
            </w:pPr>
            <w:r w:rsidRPr="004C34D4">
              <w:rPr>
                <w:u w:val="single"/>
              </w:rPr>
              <w:t xml:space="preserve">Small </w:t>
            </w:r>
            <w:r>
              <w:rPr>
                <w:u w:val="single"/>
              </w:rPr>
              <w:t>and micro business assessment (SMBA)</w:t>
            </w:r>
            <w:r w:rsidRPr="004C34D4">
              <w:t xml:space="preserve">: </w:t>
            </w:r>
            <w:r>
              <w:t xml:space="preserve">This measure is likely to have a positive impact on small and micro businesses as it will encourage them to recruit and retain employees under the age of 21. </w:t>
            </w:r>
            <w:r w:rsidRPr="000A4424">
              <w:rPr>
                <w:rFonts w:cs="Arial"/>
              </w:rPr>
              <w:t xml:space="preserve">There will be some additional burdens </w:t>
            </w:r>
            <w:r>
              <w:rPr>
                <w:rFonts w:cs="Arial"/>
              </w:rPr>
              <w:t xml:space="preserve">placed </w:t>
            </w:r>
            <w:r w:rsidRPr="000A4424">
              <w:rPr>
                <w:rFonts w:cs="Arial"/>
              </w:rPr>
              <w:t xml:space="preserve">on </w:t>
            </w:r>
            <w:r>
              <w:rPr>
                <w:rFonts w:cs="Arial"/>
              </w:rPr>
              <w:t xml:space="preserve">SMBAs </w:t>
            </w:r>
            <w:r w:rsidRPr="000A4424">
              <w:rPr>
                <w:rFonts w:cs="Arial"/>
              </w:rPr>
              <w:t>to update their systems so the correct NIC letter is applied to employees w</w:t>
            </w:r>
            <w:r>
              <w:rPr>
                <w:rFonts w:cs="Arial"/>
              </w:rPr>
              <w:t>ho are under 21.</w:t>
            </w:r>
          </w:p>
          <w:p w:rsidR="00744E5C" w:rsidRDefault="00744E5C" w:rsidP="005D0AAD">
            <w:pPr>
              <w:spacing w:after="120"/>
            </w:pPr>
            <w:r w:rsidRPr="004C34D4">
              <w:rPr>
                <w:u w:val="single"/>
              </w:rPr>
              <w:t>Competition assessment</w:t>
            </w:r>
            <w:r>
              <w:t xml:space="preserve">: this measure is not targeted at any specific sector. All employers are eligible, so its introduction is unlikely to affect competition. </w:t>
            </w:r>
          </w:p>
          <w:p w:rsidR="00744E5C" w:rsidRPr="0020446D" w:rsidRDefault="00744E5C" w:rsidP="005D0AAD">
            <w:pPr>
              <w:spacing w:after="120"/>
            </w:pPr>
            <w:r>
              <w:t>Other impacts have been considered and non have been identified</w:t>
            </w:r>
          </w:p>
        </w:tc>
      </w:tr>
    </w:tbl>
    <w:p w:rsidR="00744E5C" w:rsidRPr="00B13EEC" w:rsidRDefault="00744E5C" w:rsidP="00B13EEC"/>
    <w:p w:rsidR="00744E5C" w:rsidRPr="00B13EEC" w:rsidRDefault="00744E5C" w:rsidP="00B13EEC">
      <w:pPr>
        <w:pStyle w:val="Heading3"/>
      </w:pPr>
      <w:r w:rsidRPr="00B13EEC">
        <w:t>Monitoring and evaluation</w:t>
      </w:r>
    </w:p>
    <w:p w:rsidR="00744E5C" w:rsidRDefault="00744E5C" w:rsidP="00F009A9">
      <w:r>
        <w:t>This policy will be kept under review through communication with affected taxpayer groups.</w:t>
      </w:r>
    </w:p>
    <w:p w:rsidR="00744E5C" w:rsidRPr="00B13EEC" w:rsidRDefault="00744E5C" w:rsidP="00B13EEC"/>
    <w:p w:rsidR="00744E5C" w:rsidRPr="00B13EEC" w:rsidRDefault="00744E5C" w:rsidP="00B13EEC">
      <w:pPr>
        <w:pStyle w:val="Heading3"/>
      </w:pPr>
      <w:r w:rsidRPr="00B13EEC">
        <w:t>Further advice</w:t>
      </w:r>
    </w:p>
    <w:p w:rsidR="00744E5C" w:rsidRDefault="00744E5C" w:rsidP="00F009A9">
      <w:r w:rsidRPr="00B13EEC">
        <w:t xml:space="preserve">If you have any questions about this change, please contact </w:t>
      </w:r>
      <w:r>
        <w:t>David Woodhouse</w:t>
      </w:r>
      <w:r w:rsidRPr="00B13EEC">
        <w:t xml:space="preserve"> on </w:t>
      </w:r>
      <w:r>
        <w:t>03000 586840</w:t>
      </w:r>
      <w:r w:rsidRPr="00B13EEC">
        <w:t xml:space="preserve"> e</w:t>
      </w:r>
      <w:r>
        <w:t>-</w:t>
      </w:r>
      <w:r w:rsidRPr="00B13EEC">
        <w:t xml:space="preserve">mail: </w:t>
      </w:r>
      <w:hyperlink r:id="rId8" w:history="1">
        <w:r w:rsidRPr="007874AB">
          <w:t>david.woodhouse@hmrc.gsi.gov.uk</w:t>
        </w:r>
      </w:hyperlink>
      <w:r>
        <w:t xml:space="preserve"> and Ativie Edebiri on 03000 584748 e</w:t>
      </w:r>
      <w:r>
        <w:noBreakHyphen/>
        <w:t>mail: ativie.edebiri@hmrc.gsi.gov.uk</w:t>
      </w:r>
    </w:p>
    <w:p w:rsidR="00744E5C" w:rsidRDefault="00744E5C" w:rsidP="00B13EEC"/>
    <w:p w:rsidR="00744E5C" w:rsidRDefault="00744E5C" w:rsidP="000E75E2">
      <w:pPr>
        <w:pStyle w:val="Heading3"/>
      </w:pPr>
      <w:r>
        <w:t>Declaration</w:t>
      </w:r>
    </w:p>
    <w:p w:rsidR="00744E5C" w:rsidRDefault="00744E5C" w:rsidP="00F009A9">
      <w:r>
        <w:t>David Gauke MP, Exchequer Secretary to the Treasury, has read this Tax Information and Impact Note and is satisfied that, given the available evidence, it represents a reasonable view of the likely costs, benefits and impacts of the measure.</w:t>
      </w:r>
    </w:p>
    <w:p w:rsidR="00744E5C" w:rsidRPr="002C3453" w:rsidRDefault="00744E5C" w:rsidP="0020446D"/>
    <w:sectPr w:rsidR="00744E5C" w:rsidRPr="002C3453" w:rsidSect="00271E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5C" w:rsidRDefault="00744E5C" w:rsidP="00271ECA">
      <w:r>
        <w:separator/>
      </w:r>
    </w:p>
  </w:endnote>
  <w:endnote w:type="continuationSeparator" w:id="0">
    <w:p w:rsidR="00744E5C" w:rsidRDefault="00744E5C" w:rsidP="00271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Humnst777 B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umnst777 Cn BT">
    <w:altName w:val="Arial Narrow"/>
    <w:panose1 w:val="00000000000000000000"/>
    <w:charset w:val="00"/>
    <w:family w:val="swiss"/>
    <w:notTrueType/>
    <w:pitch w:val="variable"/>
    <w:sig w:usb0="00000003" w:usb1="00000000" w:usb2="00000000" w:usb3="00000000" w:csb0="00000001" w:csb1="00000000"/>
  </w:font>
  <w:font w:name="Tahoma">
    <w:altName w:val="Arial (W1)"/>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5C" w:rsidRDefault="00744E5C" w:rsidP="00AE6A50">
    <w:pPr>
      <w:jc w:val="center"/>
    </w:pPr>
    <w:r w:rsidRPr="00F973A9">
      <w:rPr>
        <w:rFonts w:ascii="Calibri" w:hAnsi="Calibri"/>
        <w:color w:val="000000"/>
      </w:rPr>
      <w:fldChar w:fldCharType="begin"/>
    </w:r>
    <w:r w:rsidRPr="00F973A9">
      <w:rPr>
        <w:rFonts w:ascii="Calibri" w:hAnsi="Calibri"/>
        <w:color w:val="000000"/>
      </w:rPr>
      <w:instrText xml:space="preserve"> DOCPROPERTY  bjDocumentSecurityLabel"  \* MERGEFORMAT </w:instrText>
    </w:r>
    <w:r w:rsidRPr="00F973A9">
      <w:rPr>
        <w:rFonts w:ascii="Calibri" w:hAnsi="Calibri"/>
        <w:color w:val="000000"/>
      </w:rPr>
      <w:fldChar w:fldCharType="separate"/>
    </w:r>
    <w:r>
      <w:rPr>
        <w:rFonts w:ascii="Calibri" w:hAnsi="Calibri"/>
        <w:color w:val="000000"/>
      </w:rPr>
      <w:t>PROTECT [IL1]</w:t>
    </w:r>
    <w:r w:rsidRPr="00F973A9">
      <w:rPr>
        <w:rFonts w:ascii="Calibri" w:hAnsi="Calibri"/>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168"/>
      <w:gridCol w:w="4140"/>
      <w:gridCol w:w="1934"/>
    </w:tblGrid>
    <w:tr w:rsidR="00744E5C" w:rsidTr="0084784B">
      <w:tc>
        <w:tcPr>
          <w:tcW w:w="3168" w:type="dxa"/>
        </w:tcPr>
        <w:p w:rsidR="00744E5C" w:rsidRDefault="00744E5C" w:rsidP="00F973A9">
          <w:pPr>
            <w:pStyle w:val="TIINFooter"/>
          </w:pPr>
          <w:r w:rsidRPr="003F6ECC">
            <w:t xml:space="preserve">Tax </w:t>
          </w:r>
          <w:r>
            <w:t>I</w:t>
          </w:r>
          <w:r w:rsidRPr="003F6ECC">
            <w:t>nformation and Impact Note</w:t>
          </w:r>
        </w:p>
      </w:tc>
      <w:tc>
        <w:tcPr>
          <w:tcW w:w="4140" w:type="dxa"/>
        </w:tcPr>
        <w:p w:rsidR="00744E5C" w:rsidRPr="00535B49" w:rsidRDefault="00744E5C" w:rsidP="00F973A9">
          <w:pPr>
            <w:pStyle w:val="TIINFooter"/>
          </w:pPr>
          <w:r w:rsidRPr="00535B49">
            <w:rPr>
              <w:rStyle w:val="PageNumber"/>
              <w:color w:val="auto"/>
            </w:rPr>
            <w:fldChar w:fldCharType="begin"/>
          </w:r>
          <w:r w:rsidRPr="00535B49">
            <w:rPr>
              <w:rStyle w:val="PageNumber"/>
              <w:color w:val="auto"/>
            </w:rPr>
            <w:instrText xml:space="preserve"> PAGE </w:instrText>
          </w:r>
          <w:r w:rsidRPr="00535B49">
            <w:rPr>
              <w:rStyle w:val="PageNumber"/>
              <w:color w:val="auto"/>
            </w:rPr>
            <w:fldChar w:fldCharType="separate"/>
          </w:r>
          <w:r>
            <w:rPr>
              <w:rStyle w:val="PageNumber"/>
              <w:noProof/>
              <w:color w:val="auto"/>
            </w:rPr>
            <w:t>1</w:t>
          </w:r>
          <w:r w:rsidRPr="00535B49">
            <w:rPr>
              <w:rStyle w:val="PageNumber"/>
              <w:color w:val="auto"/>
            </w:rPr>
            <w:fldChar w:fldCharType="end"/>
          </w:r>
        </w:p>
      </w:tc>
      <w:tc>
        <w:tcPr>
          <w:tcW w:w="1934" w:type="dxa"/>
        </w:tcPr>
        <w:p w:rsidR="00744E5C" w:rsidRDefault="00744E5C" w:rsidP="00F973A9">
          <w:pPr>
            <w:pStyle w:val="TIINFooter"/>
          </w:pPr>
          <w:r>
            <w:t>5 December 2013</w:t>
          </w:r>
        </w:p>
      </w:tc>
    </w:tr>
  </w:tbl>
  <w:p w:rsidR="00744E5C" w:rsidRPr="00535B49" w:rsidRDefault="00744E5C" w:rsidP="00F973A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5C" w:rsidRDefault="00744E5C" w:rsidP="00AE6A50">
    <w:pPr>
      <w:jc w:val="center"/>
    </w:pPr>
    <w:r w:rsidRPr="00F973A9">
      <w:rPr>
        <w:rFonts w:ascii="Calibri" w:hAnsi="Calibri"/>
        <w:color w:val="000000"/>
      </w:rPr>
      <w:fldChar w:fldCharType="begin"/>
    </w:r>
    <w:r w:rsidRPr="00F973A9">
      <w:rPr>
        <w:rFonts w:ascii="Calibri" w:hAnsi="Calibri"/>
        <w:color w:val="000000"/>
      </w:rPr>
      <w:instrText xml:space="preserve"> DOCPROPERTY  bjDocumentSecurityLabel"  \* MERGEFORMAT </w:instrText>
    </w:r>
    <w:r w:rsidRPr="00F973A9">
      <w:rPr>
        <w:rFonts w:ascii="Calibri" w:hAnsi="Calibri"/>
        <w:color w:val="000000"/>
      </w:rPr>
      <w:fldChar w:fldCharType="separate"/>
    </w:r>
    <w:r>
      <w:rPr>
        <w:rFonts w:ascii="Calibri" w:hAnsi="Calibri"/>
        <w:color w:val="000000"/>
      </w:rPr>
      <w:t>PROTECT [IL1]</w:t>
    </w:r>
    <w:r w:rsidRPr="00F973A9">
      <w:rPr>
        <w:rFonts w:ascii="Calibri" w:hAnsi="Calibri"/>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5C" w:rsidRDefault="00744E5C" w:rsidP="00271ECA">
      <w:r>
        <w:separator/>
      </w:r>
    </w:p>
  </w:footnote>
  <w:footnote w:type="continuationSeparator" w:id="0">
    <w:p w:rsidR="00744E5C" w:rsidRDefault="00744E5C" w:rsidP="00271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5C" w:rsidRDefault="00744E5C" w:rsidP="00D01FCC">
    <w:pPr>
      <w:jc w:val="center"/>
    </w:pPr>
    <w:r w:rsidRPr="00F973A9">
      <w:rPr>
        <w:rFonts w:ascii="Calibri" w:hAnsi="Calibri"/>
        <w:color w:val="000000"/>
      </w:rPr>
      <w:fldChar w:fldCharType="begin"/>
    </w:r>
    <w:r w:rsidRPr="00F973A9">
      <w:rPr>
        <w:rFonts w:ascii="Calibri" w:hAnsi="Calibri"/>
        <w:color w:val="000000"/>
      </w:rPr>
      <w:instrText xml:space="preserve"> DOCPROPERTY  bjDocumentSecurityLabel"  \* MERGEFORMAT </w:instrText>
    </w:r>
    <w:r w:rsidRPr="00F973A9">
      <w:rPr>
        <w:rFonts w:ascii="Calibri" w:hAnsi="Calibri"/>
        <w:color w:val="000000"/>
      </w:rPr>
      <w:fldChar w:fldCharType="separate"/>
    </w:r>
    <w:r>
      <w:rPr>
        <w:rFonts w:ascii="Calibri" w:hAnsi="Calibri"/>
        <w:color w:val="000000"/>
      </w:rPr>
      <w:t>PROTECT [IL1]</w:t>
    </w:r>
    <w:r w:rsidRPr="00F973A9">
      <w:rPr>
        <w:rFonts w:ascii="Calibri" w:hAnsi="Calibri"/>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5C" w:rsidRDefault="00744E5C" w:rsidP="00F973A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5C" w:rsidRDefault="00744E5C" w:rsidP="00D01FCC">
    <w:pPr>
      <w:jc w:val="center"/>
    </w:pPr>
    <w:r w:rsidRPr="00F973A9">
      <w:rPr>
        <w:rFonts w:ascii="Calibri" w:hAnsi="Calibri"/>
        <w:color w:val="000000"/>
      </w:rPr>
      <w:fldChar w:fldCharType="begin"/>
    </w:r>
    <w:r w:rsidRPr="00F973A9">
      <w:rPr>
        <w:rFonts w:ascii="Calibri" w:hAnsi="Calibri"/>
        <w:color w:val="000000"/>
      </w:rPr>
      <w:instrText xml:space="preserve"> DOCPROPERTY  bjDocumentSecurityLabel"  \* MERGEFORMAT </w:instrText>
    </w:r>
    <w:r w:rsidRPr="00F973A9">
      <w:rPr>
        <w:rFonts w:ascii="Calibri" w:hAnsi="Calibri"/>
        <w:color w:val="000000"/>
      </w:rPr>
      <w:fldChar w:fldCharType="separate"/>
    </w:r>
    <w:r>
      <w:rPr>
        <w:rFonts w:ascii="Calibri" w:hAnsi="Calibri"/>
        <w:color w:val="000000"/>
      </w:rPr>
      <w:t>PROTECT [IL1]</w:t>
    </w:r>
    <w:r w:rsidRPr="00F973A9">
      <w:rPr>
        <w:rFonts w:ascii="Calibri" w:hAnsi="Calibri"/>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7288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6439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24F2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36A8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58D0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701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3C01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42F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E2D2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6C2CAA"/>
    <w:lvl w:ilvl="0">
      <w:start w:val="1"/>
      <w:numFmt w:val="bullet"/>
      <w:lvlText w:val=""/>
      <w:lvlJc w:val="left"/>
      <w:pPr>
        <w:tabs>
          <w:tab w:val="num" w:pos="360"/>
        </w:tabs>
        <w:ind w:left="360" w:hanging="360"/>
      </w:pPr>
      <w:rPr>
        <w:rFonts w:ascii="Symbol" w:hAnsi="Symbol" w:hint="default"/>
      </w:rPr>
    </w:lvl>
  </w:abstractNum>
  <w:abstractNum w:abstractNumId="10">
    <w:nsid w:val="00206A1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B057AE8"/>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07901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8F3B88"/>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1425E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487E07"/>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7C615DAF"/>
    <w:multiLevelType w:val="multilevel"/>
    <w:tmpl w:val="709EB79A"/>
    <w:name w:val="ChapNum"/>
    <w:lvl w:ilvl="0">
      <w:start w:val="1"/>
      <w:numFmt w:val="decimal"/>
      <w:lvlRestart w:val="0"/>
      <w:pStyle w:val="BodyText2"/>
      <w:suff w:val="nothing"/>
      <w:lvlText w:val="%1"/>
      <w:lvlJc w:val="left"/>
      <w:pPr>
        <w:ind w:left="5580" w:hanging="5580"/>
      </w:pPr>
      <w:rPr>
        <w:rFonts w:cs="Times New Roman" w:hint="default"/>
      </w:rPr>
    </w:lvl>
    <w:lvl w:ilvl="1">
      <w:start w:val="1"/>
      <w:numFmt w:val="decimal"/>
      <w:pStyle w:val="BodyText"/>
      <w:suff w:val="space"/>
      <w:lvlText w:val="%1.%2"/>
      <w:lvlJc w:val="left"/>
      <w:rPr>
        <w:rFonts w:ascii="Humnst777 Lt BT" w:hAnsi="Humnst777 Lt BT" w:cs="Humnst777 Lt BT" w:hint="default"/>
        <w:b/>
        <w:bCs/>
        <w:i w:val="0"/>
        <w:iCs w:val="0"/>
        <w:color w:val="C40012"/>
        <w:sz w:val="22"/>
        <w:szCs w:val="22"/>
      </w:rPr>
    </w:lvl>
    <w:lvl w:ilvl="2">
      <w:start w:val="1"/>
      <w:numFmt w:val="decimal"/>
      <w:suff w:val="space"/>
      <w:lvlText w:val="%1.%2.%3"/>
      <w:lvlJc w:val="left"/>
      <w:rPr>
        <w:rFonts w:ascii="Humnst777 Lt BT" w:hAnsi="Humnst777 Lt BT" w:cs="Humnst777 Lt BT" w:hint="default"/>
        <w:b/>
        <w:bCs/>
        <w:i w:val="0"/>
        <w:iCs w:val="0"/>
        <w:color w:val="C40012"/>
        <w:sz w:val="22"/>
        <w:szCs w:val="22"/>
      </w:rPr>
    </w:lvl>
    <w:lvl w:ilvl="3">
      <w:start w:val="1"/>
      <w:numFmt w:val="upperLetter"/>
      <w:lvlRestart w:val="0"/>
      <w:suff w:val="space"/>
      <w:lvlText w:val="Box %1.%4:"/>
      <w:lvlJc w:val="left"/>
      <w:rPr>
        <w:rFonts w:ascii="Humnst777 BT" w:hAnsi="Humnst777 BT" w:cs="Humnst777 BT" w:hint="default"/>
        <w:b/>
        <w:bCs/>
        <w:color w:val="C40012"/>
        <w:sz w:val="20"/>
        <w:szCs w:val="20"/>
      </w:rPr>
    </w:lvl>
    <w:lvl w:ilvl="4">
      <w:start w:val="1"/>
      <w:numFmt w:val="upperLetter"/>
      <w:lvlRestart w:val="0"/>
      <w:suff w:val="space"/>
      <w:lvlText w:val="Figure %1.%5:"/>
      <w:lvlJc w:val="left"/>
      <w:rPr>
        <w:rFonts w:ascii="Humnst777 BT" w:hAnsi="Humnst777 BT" w:cs="Humnst777 BT" w:hint="default"/>
        <w:b/>
        <w:bCs/>
        <w:color w:val="C40012"/>
        <w:sz w:val="20"/>
        <w:szCs w:val="20"/>
      </w:rPr>
    </w:lvl>
    <w:lvl w:ilvl="5">
      <w:start w:val="1"/>
      <w:numFmt w:val="upperLetter"/>
      <w:lvlRestart w:val="0"/>
      <w:suff w:val="space"/>
      <w:lvlText w:val="Table %1.%6:"/>
      <w:lvlJc w:val="left"/>
      <w:rPr>
        <w:rFonts w:ascii="Humnst777 BT" w:hAnsi="Humnst777 BT" w:cs="Humnst777 BT" w:hint="default"/>
        <w:b/>
        <w:bCs/>
        <w:color w:val="C40012"/>
        <w:sz w:val="20"/>
        <w:szCs w:val="20"/>
      </w:rPr>
    </w:lvl>
    <w:lvl w:ilvl="6">
      <w:start w:val="1"/>
      <w:numFmt w:val="upperLetter"/>
      <w:lvlRestart w:val="0"/>
      <w:suff w:val="space"/>
      <w:lvlText w:val="Chart %1.%7:"/>
      <w:lvlJc w:val="left"/>
      <w:rPr>
        <w:rFonts w:ascii="Humnst777 BT" w:hAnsi="Humnst777 BT" w:cs="Humnst777 BT" w:hint="default"/>
        <w:b/>
        <w:bCs/>
        <w:color w:val="C40012"/>
        <w:sz w:val="20"/>
        <w:szCs w:val="20"/>
      </w:rPr>
    </w:lvl>
    <w:lvl w:ilvl="7">
      <w:start w:val="1"/>
      <w:numFmt w:val="lowerLetter"/>
      <w:lvlText w:val="%8."/>
      <w:lvlJc w:val="left"/>
      <w:pPr>
        <w:tabs>
          <w:tab w:val="num" w:pos="8100"/>
        </w:tabs>
        <w:ind w:left="8100" w:hanging="360"/>
      </w:pPr>
      <w:rPr>
        <w:rFonts w:cs="Times New Roman" w:hint="default"/>
      </w:rPr>
    </w:lvl>
    <w:lvl w:ilvl="8">
      <w:start w:val="1"/>
      <w:numFmt w:val="lowerRoman"/>
      <w:lvlText w:val="%9."/>
      <w:lvlJc w:val="left"/>
      <w:pPr>
        <w:tabs>
          <w:tab w:val="num" w:pos="8460"/>
        </w:tabs>
        <w:ind w:left="846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3"/>
  </w:num>
  <w:num w:numId="24">
    <w:abstractNumId w:val="11"/>
  </w:num>
  <w:num w:numId="25">
    <w:abstractNumId w:val="10"/>
  </w:num>
  <w:num w:numId="26">
    <w:abstractNumId w:val="14"/>
  </w:num>
  <w:num w:numId="27">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ocumentProtection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ECA"/>
    <w:rsid w:val="00001742"/>
    <w:rsid w:val="000032AD"/>
    <w:rsid w:val="00007375"/>
    <w:rsid w:val="0002134E"/>
    <w:rsid w:val="00022303"/>
    <w:rsid w:val="000234E0"/>
    <w:rsid w:val="000330AB"/>
    <w:rsid w:val="000330F6"/>
    <w:rsid w:val="00041C29"/>
    <w:rsid w:val="00047D28"/>
    <w:rsid w:val="000506AF"/>
    <w:rsid w:val="00067DC9"/>
    <w:rsid w:val="00067FA1"/>
    <w:rsid w:val="000703F6"/>
    <w:rsid w:val="00074434"/>
    <w:rsid w:val="00084E3A"/>
    <w:rsid w:val="00093585"/>
    <w:rsid w:val="00097358"/>
    <w:rsid w:val="000A1828"/>
    <w:rsid w:val="000A4424"/>
    <w:rsid w:val="000A6805"/>
    <w:rsid w:val="000B02A5"/>
    <w:rsid w:val="000B225B"/>
    <w:rsid w:val="000C76E2"/>
    <w:rsid w:val="000D16BA"/>
    <w:rsid w:val="000D456C"/>
    <w:rsid w:val="000D7A98"/>
    <w:rsid w:val="000D7F40"/>
    <w:rsid w:val="000E1A38"/>
    <w:rsid w:val="000E26CC"/>
    <w:rsid w:val="000E75E2"/>
    <w:rsid w:val="000F340C"/>
    <w:rsid w:val="000F35CB"/>
    <w:rsid w:val="000F6A15"/>
    <w:rsid w:val="000F79C9"/>
    <w:rsid w:val="00103911"/>
    <w:rsid w:val="00111DB3"/>
    <w:rsid w:val="001166FA"/>
    <w:rsid w:val="00117758"/>
    <w:rsid w:val="00122764"/>
    <w:rsid w:val="001317D6"/>
    <w:rsid w:val="001334BE"/>
    <w:rsid w:val="0013695D"/>
    <w:rsid w:val="00150E00"/>
    <w:rsid w:val="0015132C"/>
    <w:rsid w:val="001525DD"/>
    <w:rsid w:val="00154746"/>
    <w:rsid w:val="00165FF2"/>
    <w:rsid w:val="0017307E"/>
    <w:rsid w:val="00173C9F"/>
    <w:rsid w:val="00173FAD"/>
    <w:rsid w:val="00176527"/>
    <w:rsid w:val="0017701B"/>
    <w:rsid w:val="00181BA3"/>
    <w:rsid w:val="00181D7E"/>
    <w:rsid w:val="00182415"/>
    <w:rsid w:val="00183E9E"/>
    <w:rsid w:val="00186912"/>
    <w:rsid w:val="001A223D"/>
    <w:rsid w:val="001A308D"/>
    <w:rsid w:val="001A55E1"/>
    <w:rsid w:val="001A67FD"/>
    <w:rsid w:val="001B2754"/>
    <w:rsid w:val="001B7933"/>
    <w:rsid w:val="001C21D7"/>
    <w:rsid w:val="001C3CA7"/>
    <w:rsid w:val="001C4D9A"/>
    <w:rsid w:val="001D0863"/>
    <w:rsid w:val="001D437D"/>
    <w:rsid w:val="001D47F0"/>
    <w:rsid w:val="001D7575"/>
    <w:rsid w:val="001E58F0"/>
    <w:rsid w:val="001F433C"/>
    <w:rsid w:val="001F4A68"/>
    <w:rsid w:val="001F4FD6"/>
    <w:rsid w:val="0020446D"/>
    <w:rsid w:val="002049F8"/>
    <w:rsid w:val="00207B4E"/>
    <w:rsid w:val="00212917"/>
    <w:rsid w:val="00214523"/>
    <w:rsid w:val="002263D1"/>
    <w:rsid w:val="00227E43"/>
    <w:rsid w:val="00232E31"/>
    <w:rsid w:val="002338B9"/>
    <w:rsid w:val="0023754D"/>
    <w:rsid w:val="00237648"/>
    <w:rsid w:val="0023788D"/>
    <w:rsid w:val="0024019C"/>
    <w:rsid w:val="002429D3"/>
    <w:rsid w:val="00242A99"/>
    <w:rsid w:val="00250732"/>
    <w:rsid w:val="0025132A"/>
    <w:rsid w:val="00251395"/>
    <w:rsid w:val="00257135"/>
    <w:rsid w:val="00257D37"/>
    <w:rsid w:val="00261009"/>
    <w:rsid w:val="002615E9"/>
    <w:rsid w:val="00265FB6"/>
    <w:rsid w:val="00271ECA"/>
    <w:rsid w:val="00273733"/>
    <w:rsid w:val="0027412D"/>
    <w:rsid w:val="002810FF"/>
    <w:rsid w:val="00282E6F"/>
    <w:rsid w:val="00285B8C"/>
    <w:rsid w:val="00286151"/>
    <w:rsid w:val="00287435"/>
    <w:rsid w:val="00290BB0"/>
    <w:rsid w:val="00293D71"/>
    <w:rsid w:val="002A0053"/>
    <w:rsid w:val="002A58B9"/>
    <w:rsid w:val="002C06EC"/>
    <w:rsid w:val="002C0F48"/>
    <w:rsid w:val="002C175A"/>
    <w:rsid w:val="002C235C"/>
    <w:rsid w:val="002C3453"/>
    <w:rsid w:val="002C4151"/>
    <w:rsid w:val="002D0A7F"/>
    <w:rsid w:val="002D43A8"/>
    <w:rsid w:val="002D785B"/>
    <w:rsid w:val="002E1507"/>
    <w:rsid w:val="002E4C89"/>
    <w:rsid w:val="002F1BA1"/>
    <w:rsid w:val="002F7FA1"/>
    <w:rsid w:val="00302B59"/>
    <w:rsid w:val="00304A2A"/>
    <w:rsid w:val="00307A21"/>
    <w:rsid w:val="003130C1"/>
    <w:rsid w:val="00316E2B"/>
    <w:rsid w:val="003222AE"/>
    <w:rsid w:val="0032517F"/>
    <w:rsid w:val="00325CF2"/>
    <w:rsid w:val="00325E32"/>
    <w:rsid w:val="00326AF7"/>
    <w:rsid w:val="003321D4"/>
    <w:rsid w:val="00332654"/>
    <w:rsid w:val="00335232"/>
    <w:rsid w:val="003408D2"/>
    <w:rsid w:val="003418B5"/>
    <w:rsid w:val="00341C6D"/>
    <w:rsid w:val="003569A3"/>
    <w:rsid w:val="0036142A"/>
    <w:rsid w:val="00362655"/>
    <w:rsid w:val="0036296F"/>
    <w:rsid w:val="003633DC"/>
    <w:rsid w:val="00370BBD"/>
    <w:rsid w:val="00370F01"/>
    <w:rsid w:val="00374800"/>
    <w:rsid w:val="00377950"/>
    <w:rsid w:val="003808A6"/>
    <w:rsid w:val="0038411B"/>
    <w:rsid w:val="00390A0F"/>
    <w:rsid w:val="0039732D"/>
    <w:rsid w:val="00397335"/>
    <w:rsid w:val="003A48A4"/>
    <w:rsid w:val="003B14F1"/>
    <w:rsid w:val="003B5AE1"/>
    <w:rsid w:val="003B74AC"/>
    <w:rsid w:val="003C0894"/>
    <w:rsid w:val="003C1D1C"/>
    <w:rsid w:val="003C3BC9"/>
    <w:rsid w:val="003C501B"/>
    <w:rsid w:val="003D04E1"/>
    <w:rsid w:val="003D0E6D"/>
    <w:rsid w:val="003D75BD"/>
    <w:rsid w:val="003E32CB"/>
    <w:rsid w:val="003E4DB1"/>
    <w:rsid w:val="003F441C"/>
    <w:rsid w:val="003F51B3"/>
    <w:rsid w:val="003F5428"/>
    <w:rsid w:val="003F6490"/>
    <w:rsid w:val="003F6ECC"/>
    <w:rsid w:val="004025B2"/>
    <w:rsid w:val="00403489"/>
    <w:rsid w:val="0040409C"/>
    <w:rsid w:val="004074C2"/>
    <w:rsid w:val="0041487E"/>
    <w:rsid w:val="0042287D"/>
    <w:rsid w:val="00423A05"/>
    <w:rsid w:val="00424615"/>
    <w:rsid w:val="00432397"/>
    <w:rsid w:val="00432A27"/>
    <w:rsid w:val="00434B8E"/>
    <w:rsid w:val="00434D48"/>
    <w:rsid w:val="00441B1D"/>
    <w:rsid w:val="00442110"/>
    <w:rsid w:val="00456833"/>
    <w:rsid w:val="00457773"/>
    <w:rsid w:val="004607F7"/>
    <w:rsid w:val="00462000"/>
    <w:rsid w:val="0047209E"/>
    <w:rsid w:val="00474B59"/>
    <w:rsid w:val="00475D02"/>
    <w:rsid w:val="00484A22"/>
    <w:rsid w:val="00484EE2"/>
    <w:rsid w:val="00491507"/>
    <w:rsid w:val="00491DAB"/>
    <w:rsid w:val="004A034A"/>
    <w:rsid w:val="004B1167"/>
    <w:rsid w:val="004B46DF"/>
    <w:rsid w:val="004C34D4"/>
    <w:rsid w:val="004C4B7E"/>
    <w:rsid w:val="004C62FF"/>
    <w:rsid w:val="004C7472"/>
    <w:rsid w:val="004C7BB2"/>
    <w:rsid w:val="004D15EE"/>
    <w:rsid w:val="004D34CB"/>
    <w:rsid w:val="004E6CEF"/>
    <w:rsid w:val="004F1B3F"/>
    <w:rsid w:val="004F2631"/>
    <w:rsid w:val="004F32D2"/>
    <w:rsid w:val="004F466B"/>
    <w:rsid w:val="0050053F"/>
    <w:rsid w:val="005106F2"/>
    <w:rsid w:val="00513FDA"/>
    <w:rsid w:val="005164FA"/>
    <w:rsid w:val="005201CC"/>
    <w:rsid w:val="005266EC"/>
    <w:rsid w:val="00533250"/>
    <w:rsid w:val="00533B92"/>
    <w:rsid w:val="00535B49"/>
    <w:rsid w:val="00542CB4"/>
    <w:rsid w:val="00542E28"/>
    <w:rsid w:val="00544ECD"/>
    <w:rsid w:val="005465CF"/>
    <w:rsid w:val="005467EA"/>
    <w:rsid w:val="00547487"/>
    <w:rsid w:val="00552838"/>
    <w:rsid w:val="00552ED5"/>
    <w:rsid w:val="00556D0F"/>
    <w:rsid w:val="00561997"/>
    <w:rsid w:val="00563E25"/>
    <w:rsid w:val="005666E9"/>
    <w:rsid w:val="0056799A"/>
    <w:rsid w:val="005716F7"/>
    <w:rsid w:val="00582AA8"/>
    <w:rsid w:val="005848EF"/>
    <w:rsid w:val="0058711F"/>
    <w:rsid w:val="005902F0"/>
    <w:rsid w:val="00593075"/>
    <w:rsid w:val="005A345E"/>
    <w:rsid w:val="005B12EB"/>
    <w:rsid w:val="005B286B"/>
    <w:rsid w:val="005B4763"/>
    <w:rsid w:val="005D0AAD"/>
    <w:rsid w:val="005D4B50"/>
    <w:rsid w:val="005D50F8"/>
    <w:rsid w:val="005E15D8"/>
    <w:rsid w:val="005E59BB"/>
    <w:rsid w:val="005F1592"/>
    <w:rsid w:val="00604DAD"/>
    <w:rsid w:val="00605C0E"/>
    <w:rsid w:val="00606A25"/>
    <w:rsid w:val="00606EBD"/>
    <w:rsid w:val="00611132"/>
    <w:rsid w:val="0061339A"/>
    <w:rsid w:val="006137CB"/>
    <w:rsid w:val="0061413B"/>
    <w:rsid w:val="00614A11"/>
    <w:rsid w:val="00616FDE"/>
    <w:rsid w:val="006176E0"/>
    <w:rsid w:val="00625481"/>
    <w:rsid w:val="00625A50"/>
    <w:rsid w:val="00625B0D"/>
    <w:rsid w:val="00627D01"/>
    <w:rsid w:val="00632587"/>
    <w:rsid w:val="00637912"/>
    <w:rsid w:val="006411D5"/>
    <w:rsid w:val="00651D73"/>
    <w:rsid w:val="006540C3"/>
    <w:rsid w:val="0065466B"/>
    <w:rsid w:val="0065593F"/>
    <w:rsid w:val="006705BE"/>
    <w:rsid w:val="006724D1"/>
    <w:rsid w:val="00676B25"/>
    <w:rsid w:val="00684103"/>
    <w:rsid w:val="00685210"/>
    <w:rsid w:val="00690BCD"/>
    <w:rsid w:val="006A1EE7"/>
    <w:rsid w:val="006A6E67"/>
    <w:rsid w:val="006A764D"/>
    <w:rsid w:val="006B2A79"/>
    <w:rsid w:val="006B55D0"/>
    <w:rsid w:val="006C00E9"/>
    <w:rsid w:val="006C6FC6"/>
    <w:rsid w:val="006C75E3"/>
    <w:rsid w:val="006C7EEB"/>
    <w:rsid w:val="006D4281"/>
    <w:rsid w:val="006D6C60"/>
    <w:rsid w:val="006E0404"/>
    <w:rsid w:val="006E23A1"/>
    <w:rsid w:val="006E2B97"/>
    <w:rsid w:val="006F0BF7"/>
    <w:rsid w:val="006F3232"/>
    <w:rsid w:val="00701E29"/>
    <w:rsid w:val="00702F96"/>
    <w:rsid w:val="007047B9"/>
    <w:rsid w:val="00706B11"/>
    <w:rsid w:val="00706D56"/>
    <w:rsid w:val="00713DAA"/>
    <w:rsid w:val="0071579F"/>
    <w:rsid w:val="00721C00"/>
    <w:rsid w:val="007223EA"/>
    <w:rsid w:val="0072259E"/>
    <w:rsid w:val="00725347"/>
    <w:rsid w:val="00731A44"/>
    <w:rsid w:val="007421DC"/>
    <w:rsid w:val="0074226A"/>
    <w:rsid w:val="00744CF7"/>
    <w:rsid w:val="00744E5C"/>
    <w:rsid w:val="00745E0F"/>
    <w:rsid w:val="00746A2B"/>
    <w:rsid w:val="00754FC3"/>
    <w:rsid w:val="00756588"/>
    <w:rsid w:val="0076146F"/>
    <w:rsid w:val="00763AF3"/>
    <w:rsid w:val="007725D1"/>
    <w:rsid w:val="00773902"/>
    <w:rsid w:val="00775427"/>
    <w:rsid w:val="00780C99"/>
    <w:rsid w:val="007819CD"/>
    <w:rsid w:val="007874AB"/>
    <w:rsid w:val="007921AE"/>
    <w:rsid w:val="007931AB"/>
    <w:rsid w:val="00794AD7"/>
    <w:rsid w:val="00794F3E"/>
    <w:rsid w:val="00796DC2"/>
    <w:rsid w:val="007A47A2"/>
    <w:rsid w:val="007A5282"/>
    <w:rsid w:val="007B060E"/>
    <w:rsid w:val="007B1D8E"/>
    <w:rsid w:val="007D41F1"/>
    <w:rsid w:val="007D796F"/>
    <w:rsid w:val="007E18AF"/>
    <w:rsid w:val="007E1D44"/>
    <w:rsid w:val="007E5C02"/>
    <w:rsid w:val="007E7476"/>
    <w:rsid w:val="007F01E1"/>
    <w:rsid w:val="007F1694"/>
    <w:rsid w:val="007F29B2"/>
    <w:rsid w:val="007F307D"/>
    <w:rsid w:val="00801033"/>
    <w:rsid w:val="00802508"/>
    <w:rsid w:val="00806F19"/>
    <w:rsid w:val="00806F54"/>
    <w:rsid w:val="00807904"/>
    <w:rsid w:val="00810B9B"/>
    <w:rsid w:val="00813C10"/>
    <w:rsid w:val="008218F2"/>
    <w:rsid w:val="00827D60"/>
    <w:rsid w:val="00830CFA"/>
    <w:rsid w:val="00832965"/>
    <w:rsid w:val="00833271"/>
    <w:rsid w:val="00834ACD"/>
    <w:rsid w:val="00834C5D"/>
    <w:rsid w:val="0083649B"/>
    <w:rsid w:val="00840F5A"/>
    <w:rsid w:val="008417D5"/>
    <w:rsid w:val="00846220"/>
    <w:rsid w:val="0084677D"/>
    <w:rsid w:val="00847147"/>
    <w:rsid w:val="0084784B"/>
    <w:rsid w:val="00847B46"/>
    <w:rsid w:val="00852C3A"/>
    <w:rsid w:val="008547BF"/>
    <w:rsid w:val="00856543"/>
    <w:rsid w:val="008645BC"/>
    <w:rsid w:val="008721ED"/>
    <w:rsid w:val="00874304"/>
    <w:rsid w:val="00877286"/>
    <w:rsid w:val="00880993"/>
    <w:rsid w:val="00891C04"/>
    <w:rsid w:val="00895ED1"/>
    <w:rsid w:val="008B3C56"/>
    <w:rsid w:val="008B485E"/>
    <w:rsid w:val="008B5314"/>
    <w:rsid w:val="008C0FE3"/>
    <w:rsid w:val="008C1AF8"/>
    <w:rsid w:val="008C6A81"/>
    <w:rsid w:val="008D2F74"/>
    <w:rsid w:val="008D317B"/>
    <w:rsid w:val="008D3FFC"/>
    <w:rsid w:val="008D63AC"/>
    <w:rsid w:val="008E3E2E"/>
    <w:rsid w:val="008F268C"/>
    <w:rsid w:val="008F76CE"/>
    <w:rsid w:val="009007A2"/>
    <w:rsid w:val="00911621"/>
    <w:rsid w:val="00920AAD"/>
    <w:rsid w:val="009212E4"/>
    <w:rsid w:val="00941B53"/>
    <w:rsid w:val="00941D8A"/>
    <w:rsid w:val="009453B7"/>
    <w:rsid w:val="00946BDF"/>
    <w:rsid w:val="00953C86"/>
    <w:rsid w:val="009643CC"/>
    <w:rsid w:val="00964A8C"/>
    <w:rsid w:val="00966C6D"/>
    <w:rsid w:val="00971D1D"/>
    <w:rsid w:val="0098313E"/>
    <w:rsid w:val="00983389"/>
    <w:rsid w:val="00990DA8"/>
    <w:rsid w:val="00991573"/>
    <w:rsid w:val="00991EFA"/>
    <w:rsid w:val="00994CB8"/>
    <w:rsid w:val="00994F1A"/>
    <w:rsid w:val="00997FDD"/>
    <w:rsid w:val="009A3A45"/>
    <w:rsid w:val="009B1047"/>
    <w:rsid w:val="009B2690"/>
    <w:rsid w:val="009B5E2C"/>
    <w:rsid w:val="009C09E9"/>
    <w:rsid w:val="009C5539"/>
    <w:rsid w:val="009C575F"/>
    <w:rsid w:val="009C6110"/>
    <w:rsid w:val="009C763D"/>
    <w:rsid w:val="009D3ADD"/>
    <w:rsid w:val="009D7172"/>
    <w:rsid w:val="009E00EE"/>
    <w:rsid w:val="009E7F85"/>
    <w:rsid w:val="009F30FD"/>
    <w:rsid w:val="009F5B74"/>
    <w:rsid w:val="00A02097"/>
    <w:rsid w:val="00A06FCA"/>
    <w:rsid w:val="00A13964"/>
    <w:rsid w:val="00A15239"/>
    <w:rsid w:val="00A1785D"/>
    <w:rsid w:val="00A22C3D"/>
    <w:rsid w:val="00A22E1C"/>
    <w:rsid w:val="00A2693F"/>
    <w:rsid w:val="00A30B8C"/>
    <w:rsid w:val="00A321F5"/>
    <w:rsid w:val="00A3539B"/>
    <w:rsid w:val="00A375BA"/>
    <w:rsid w:val="00A37866"/>
    <w:rsid w:val="00A501A9"/>
    <w:rsid w:val="00A52636"/>
    <w:rsid w:val="00A56EC2"/>
    <w:rsid w:val="00A610C4"/>
    <w:rsid w:val="00A63F4E"/>
    <w:rsid w:val="00A65202"/>
    <w:rsid w:val="00A7017F"/>
    <w:rsid w:val="00A70D5F"/>
    <w:rsid w:val="00A71B4D"/>
    <w:rsid w:val="00A71C52"/>
    <w:rsid w:val="00A7475B"/>
    <w:rsid w:val="00A76419"/>
    <w:rsid w:val="00A83232"/>
    <w:rsid w:val="00A96E53"/>
    <w:rsid w:val="00A973C6"/>
    <w:rsid w:val="00AA2F48"/>
    <w:rsid w:val="00AB2E4E"/>
    <w:rsid w:val="00AB32C1"/>
    <w:rsid w:val="00AB5B71"/>
    <w:rsid w:val="00AB6536"/>
    <w:rsid w:val="00AC1FDA"/>
    <w:rsid w:val="00AC73D8"/>
    <w:rsid w:val="00AD5223"/>
    <w:rsid w:val="00AD704F"/>
    <w:rsid w:val="00AE47A7"/>
    <w:rsid w:val="00AE498A"/>
    <w:rsid w:val="00AE4C29"/>
    <w:rsid w:val="00AE6A50"/>
    <w:rsid w:val="00AF2314"/>
    <w:rsid w:val="00AF6102"/>
    <w:rsid w:val="00AF6CD2"/>
    <w:rsid w:val="00AF7EDE"/>
    <w:rsid w:val="00B00E22"/>
    <w:rsid w:val="00B07527"/>
    <w:rsid w:val="00B13EEC"/>
    <w:rsid w:val="00B15ACF"/>
    <w:rsid w:val="00B178DB"/>
    <w:rsid w:val="00B20F8B"/>
    <w:rsid w:val="00B32808"/>
    <w:rsid w:val="00B32AF5"/>
    <w:rsid w:val="00B37A73"/>
    <w:rsid w:val="00B418E4"/>
    <w:rsid w:val="00B441D5"/>
    <w:rsid w:val="00B5091A"/>
    <w:rsid w:val="00B519CF"/>
    <w:rsid w:val="00B52C4C"/>
    <w:rsid w:val="00B54F23"/>
    <w:rsid w:val="00B61B33"/>
    <w:rsid w:val="00B61DFE"/>
    <w:rsid w:val="00B638CE"/>
    <w:rsid w:val="00B70B80"/>
    <w:rsid w:val="00B76074"/>
    <w:rsid w:val="00B80E49"/>
    <w:rsid w:val="00B81F0D"/>
    <w:rsid w:val="00B906D2"/>
    <w:rsid w:val="00B93E22"/>
    <w:rsid w:val="00B9670E"/>
    <w:rsid w:val="00BA1A5C"/>
    <w:rsid w:val="00BA1CA1"/>
    <w:rsid w:val="00BA5B72"/>
    <w:rsid w:val="00BA6C88"/>
    <w:rsid w:val="00BB0165"/>
    <w:rsid w:val="00BB11AE"/>
    <w:rsid w:val="00BC0A58"/>
    <w:rsid w:val="00BC598F"/>
    <w:rsid w:val="00BD2697"/>
    <w:rsid w:val="00BD4206"/>
    <w:rsid w:val="00BD4578"/>
    <w:rsid w:val="00BD52E8"/>
    <w:rsid w:val="00BD5398"/>
    <w:rsid w:val="00BD7A20"/>
    <w:rsid w:val="00BE3436"/>
    <w:rsid w:val="00BE3DE9"/>
    <w:rsid w:val="00BE5424"/>
    <w:rsid w:val="00BF0774"/>
    <w:rsid w:val="00BF0A0C"/>
    <w:rsid w:val="00BF564B"/>
    <w:rsid w:val="00BF7D29"/>
    <w:rsid w:val="00C00D7E"/>
    <w:rsid w:val="00C01454"/>
    <w:rsid w:val="00C03B36"/>
    <w:rsid w:val="00C041EE"/>
    <w:rsid w:val="00C07152"/>
    <w:rsid w:val="00C25227"/>
    <w:rsid w:val="00C25B34"/>
    <w:rsid w:val="00C275E4"/>
    <w:rsid w:val="00C43063"/>
    <w:rsid w:val="00C4583C"/>
    <w:rsid w:val="00C46E09"/>
    <w:rsid w:val="00C524DD"/>
    <w:rsid w:val="00C643A2"/>
    <w:rsid w:val="00C7154A"/>
    <w:rsid w:val="00C74F4C"/>
    <w:rsid w:val="00C774E6"/>
    <w:rsid w:val="00C77D20"/>
    <w:rsid w:val="00C80888"/>
    <w:rsid w:val="00C80EE6"/>
    <w:rsid w:val="00C92A77"/>
    <w:rsid w:val="00C94353"/>
    <w:rsid w:val="00CB2788"/>
    <w:rsid w:val="00CB2C8B"/>
    <w:rsid w:val="00CC14E5"/>
    <w:rsid w:val="00CC378C"/>
    <w:rsid w:val="00CC498E"/>
    <w:rsid w:val="00CC6AB8"/>
    <w:rsid w:val="00CC7B7E"/>
    <w:rsid w:val="00CD0AD2"/>
    <w:rsid w:val="00CD7269"/>
    <w:rsid w:val="00CE15D6"/>
    <w:rsid w:val="00CE165B"/>
    <w:rsid w:val="00CE5451"/>
    <w:rsid w:val="00CE6612"/>
    <w:rsid w:val="00CF258A"/>
    <w:rsid w:val="00CF4CBC"/>
    <w:rsid w:val="00CF5A50"/>
    <w:rsid w:val="00D014A8"/>
    <w:rsid w:val="00D01EDC"/>
    <w:rsid w:val="00D01FCC"/>
    <w:rsid w:val="00D0299D"/>
    <w:rsid w:val="00D043ED"/>
    <w:rsid w:val="00D13EE1"/>
    <w:rsid w:val="00D17782"/>
    <w:rsid w:val="00D2314E"/>
    <w:rsid w:val="00D24B78"/>
    <w:rsid w:val="00D2530D"/>
    <w:rsid w:val="00D32EA1"/>
    <w:rsid w:val="00D32F4D"/>
    <w:rsid w:val="00D34360"/>
    <w:rsid w:val="00D36796"/>
    <w:rsid w:val="00D40C64"/>
    <w:rsid w:val="00D410AF"/>
    <w:rsid w:val="00D4271E"/>
    <w:rsid w:val="00D5080B"/>
    <w:rsid w:val="00D61114"/>
    <w:rsid w:val="00D618A5"/>
    <w:rsid w:val="00D62051"/>
    <w:rsid w:val="00D62B2D"/>
    <w:rsid w:val="00D659C2"/>
    <w:rsid w:val="00D66374"/>
    <w:rsid w:val="00D7084B"/>
    <w:rsid w:val="00D72A15"/>
    <w:rsid w:val="00D8177B"/>
    <w:rsid w:val="00D8541E"/>
    <w:rsid w:val="00D969DD"/>
    <w:rsid w:val="00DA19E8"/>
    <w:rsid w:val="00DA53A9"/>
    <w:rsid w:val="00DB0D6A"/>
    <w:rsid w:val="00DB3C24"/>
    <w:rsid w:val="00DC090B"/>
    <w:rsid w:val="00DC2EA8"/>
    <w:rsid w:val="00DC57F8"/>
    <w:rsid w:val="00DC6573"/>
    <w:rsid w:val="00DD2A63"/>
    <w:rsid w:val="00DD4137"/>
    <w:rsid w:val="00DD71E9"/>
    <w:rsid w:val="00DD7B15"/>
    <w:rsid w:val="00DE2B91"/>
    <w:rsid w:val="00DE2BE4"/>
    <w:rsid w:val="00DE5C82"/>
    <w:rsid w:val="00DE78FF"/>
    <w:rsid w:val="00DE7DFB"/>
    <w:rsid w:val="00DF338F"/>
    <w:rsid w:val="00DF5BD2"/>
    <w:rsid w:val="00DF70E8"/>
    <w:rsid w:val="00E07DC2"/>
    <w:rsid w:val="00E11191"/>
    <w:rsid w:val="00E117AD"/>
    <w:rsid w:val="00E239DA"/>
    <w:rsid w:val="00E24D14"/>
    <w:rsid w:val="00E271AC"/>
    <w:rsid w:val="00E33442"/>
    <w:rsid w:val="00E43017"/>
    <w:rsid w:val="00E513F3"/>
    <w:rsid w:val="00E51C2E"/>
    <w:rsid w:val="00E55B03"/>
    <w:rsid w:val="00E57605"/>
    <w:rsid w:val="00E6315C"/>
    <w:rsid w:val="00E72E24"/>
    <w:rsid w:val="00E757D4"/>
    <w:rsid w:val="00E82FED"/>
    <w:rsid w:val="00E83838"/>
    <w:rsid w:val="00E84813"/>
    <w:rsid w:val="00E90D60"/>
    <w:rsid w:val="00E91ECA"/>
    <w:rsid w:val="00EA38F4"/>
    <w:rsid w:val="00EA6E63"/>
    <w:rsid w:val="00EB2353"/>
    <w:rsid w:val="00EB26D8"/>
    <w:rsid w:val="00EC2DD0"/>
    <w:rsid w:val="00EC37CB"/>
    <w:rsid w:val="00EC7C48"/>
    <w:rsid w:val="00ED17D7"/>
    <w:rsid w:val="00ED40A8"/>
    <w:rsid w:val="00ED5B45"/>
    <w:rsid w:val="00ED748B"/>
    <w:rsid w:val="00EF2B65"/>
    <w:rsid w:val="00EF76E7"/>
    <w:rsid w:val="00F009A9"/>
    <w:rsid w:val="00F06B56"/>
    <w:rsid w:val="00F11764"/>
    <w:rsid w:val="00F12B63"/>
    <w:rsid w:val="00F1350C"/>
    <w:rsid w:val="00F25174"/>
    <w:rsid w:val="00F27E92"/>
    <w:rsid w:val="00F30DEB"/>
    <w:rsid w:val="00F35DDD"/>
    <w:rsid w:val="00F411BB"/>
    <w:rsid w:val="00F412F8"/>
    <w:rsid w:val="00F45889"/>
    <w:rsid w:val="00F63BA3"/>
    <w:rsid w:val="00F72091"/>
    <w:rsid w:val="00F73A16"/>
    <w:rsid w:val="00F80A10"/>
    <w:rsid w:val="00F813B0"/>
    <w:rsid w:val="00F81F7C"/>
    <w:rsid w:val="00F82E82"/>
    <w:rsid w:val="00F85557"/>
    <w:rsid w:val="00F85B39"/>
    <w:rsid w:val="00F92EAA"/>
    <w:rsid w:val="00F973A9"/>
    <w:rsid w:val="00FA321B"/>
    <w:rsid w:val="00FA6408"/>
    <w:rsid w:val="00FA7245"/>
    <w:rsid w:val="00FB0CDD"/>
    <w:rsid w:val="00FB10A6"/>
    <w:rsid w:val="00FB7335"/>
    <w:rsid w:val="00FB7994"/>
    <w:rsid w:val="00FD352F"/>
    <w:rsid w:val="00FD41CE"/>
    <w:rsid w:val="00FD48D0"/>
    <w:rsid w:val="00FE0562"/>
    <w:rsid w:val="00FE393C"/>
    <w:rsid w:val="00FE675B"/>
    <w:rsid w:val="00FE79EC"/>
    <w:rsid w:val="00FF0A14"/>
    <w:rsid w:val="00FF4E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1D44"/>
    <w:pPr>
      <w:jc w:val="both"/>
    </w:pPr>
    <w:rPr>
      <w:rFonts w:ascii="Arial" w:hAnsi="Arial" w:cs="Humnst777 Lt BT"/>
    </w:rPr>
  </w:style>
  <w:style w:type="paragraph" w:styleId="Heading1">
    <w:name w:val="heading 1"/>
    <w:basedOn w:val="Normal"/>
    <w:next w:val="Normal"/>
    <w:link w:val="Heading1Char"/>
    <w:uiPriority w:val="99"/>
    <w:qFormat/>
    <w:rsid w:val="00B13EEC"/>
    <w:pPr>
      <w:keepNext/>
      <w:pBdr>
        <w:bottom w:val="single" w:sz="12" w:space="1" w:color="auto"/>
      </w:pBdr>
      <w:spacing w:before="240" w:after="240"/>
      <w:outlineLvl w:val="0"/>
    </w:pPr>
    <w:rPr>
      <w:rFonts w:cs="Arial"/>
      <w:b/>
      <w:bCs/>
      <w:kern w:val="32"/>
      <w:sz w:val="36"/>
      <w:szCs w:val="32"/>
    </w:rPr>
  </w:style>
  <w:style w:type="paragraph" w:styleId="Heading2">
    <w:name w:val="heading 2"/>
    <w:basedOn w:val="Normal"/>
    <w:next w:val="Normal"/>
    <w:link w:val="Heading2Char"/>
    <w:uiPriority w:val="99"/>
    <w:qFormat/>
    <w:rsid w:val="00F06B56"/>
    <w:pPr>
      <w:keepNext/>
      <w:keepLines/>
      <w:spacing w:before="200"/>
      <w:outlineLvl w:val="1"/>
    </w:pPr>
    <w:rPr>
      <w:rFonts w:cs="Cambria"/>
      <w:b/>
      <w:bCs/>
      <w:sz w:val="32"/>
      <w:szCs w:val="26"/>
    </w:rPr>
  </w:style>
  <w:style w:type="paragraph" w:styleId="Heading3">
    <w:name w:val="heading 3"/>
    <w:basedOn w:val="Heading2"/>
    <w:next w:val="BodyText"/>
    <w:link w:val="Heading3Char"/>
    <w:uiPriority w:val="99"/>
    <w:qFormat/>
    <w:rsid w:val="00B13EEC"/>
    <w:pPr>
      <w:keepLines w:val="0"/>
      <w:spacing w:before="0" w:after="165" w:line="340" w:lineRule="atLeast"/>
      <w:outlineLvl w:val="2"/>
    </w:pPr>
    <w:rPr>
      <w:rFonts w:cs="Humnst777 Cn BT"/>
      <w:sz w:val="24"/>
      <w:szCs w:val="28"/>
      <w:u w:color="BF311A"/>
    </w:rPr>
  </w:style>
  <w:style w:type="paragraph" w:styleId="Heading4">
    <w:name w:val="heading 4"/>
    <w:basedOn w:val="Heading3"/>
    <w:next w:val="BodyText"/>
    <w:link w:val="Heading4Char"/>
    <w:uiPriority w:val="99"/>
    <w:qFormat/>
    <w:locked/>
    <w:rsid w:val="00B13EEC"/>
    <w:pPr>
      <w:spacing w:line="280" w:lineRule="atLeast"/>
      <w:outlineLvl w:val="3"/>
    </w:pPr>
    <w:rPr>
      <w:szCs w:val="24"/>
    </w:rPr>
  </w:style>
  <w:style w:type="paragraph" w:styleId="Heading5">
    <w:name w:val="heading 5"/>
    <w:basedOn w:val="Normal"/>
    <w:next w:val="Normal"/>
    <w:link w:val="Heading5Char"/>
    <w:uiPriority w:val="99"/>
    <w:qFormat/>
    <w:locked/>
    <w:rsid w:val="00B178D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178DB"/>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locked/>
    <w:rsid w:val="00B178DB"/>
    <w:pPr>
      <w:spacing w:before="240" w:after="60"/>
      <w:outlineLvl w:val="6"/>
    </w:pPr>
    <w:rPr>
      <w:rFonts w:ascii="Times New Roman" w:hAnsi="Times New Roman" w:cs="Times New Roman"/>
      <w:szCs w:val="24"/>
    </w:rPr>
  </w:style>
  <w:style w:type="paragraph" w:styleId="Heading8">
    <w:name w:val="heading 8"/>
    <w:basedOn w:val="Normal"/>
    <w:next w:val="Normal"/>
    <w:link w:val="Heading8Char"/>
    <w:uiPriority w:val="99"/>
    <w:qFormat/>
    <w:locked/>
    <w:rsid w:val="00B178DB"/>
    <w:pPr>
      <w:spacing w:before="240" w:after="60"/>
      <w:outlineLvl w:val="7"/>
    </w:pPr>
    <w:rPr>
      <w:rFonts w:ascii="Times New Roman" w:hAnsi="Times New Roman" w:cs="Times New Roman"/>
      <w:i/>
      <w:iCs/>
      <w:szCs w:val="24"/>
    </w:rPr>
  </w:style>
  <w:style w:type="paragraph" w:styleId="Heading9">
    <w:name w:val="heading 9"/>
    <w:basedOn w:val="Normal"/>
    <w:next w:val="Normal"/>
    <w:link w:val="Heading9Char"/>
    <w:uiPriority w:val="99"/>
    <w:qFormat/>
    <w:locked/>
    <w:rsid w:val="00B178DB"/>
    <w:pPr>
      <w:spacing w:before="240" w:after="60"/>
      <w:outlineLvl w:val="8"/>
    </w:pPr>
    <w:rPr>
      <w:rFonts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6B56"/>
    <w:rPr>
      <w:rFonts w:ascii="Arial" w:hAnsi="Arial" w:cs="Cambria"/>
      <w:b/>
      <w:bCs/>
      <w:sz w:val="26"/>
      <w:szCs w:val="26"/>
      <w:lang w:val="en-GB" w:eastAsia="en-GB" w:bidi="ar-SA"/>
    </w:rPr>
  </w:style>
  <w:style w:type="character" w:customStyle="1" w:styleId="Heading3Char">
    <w:name w:val="Heading 3 Char"/>
    <w:basedOn w:val="DefaultParagraphFont"/>
    <w:link w:val="Heading3"/>
    <w:uiPriority w:val="99"/>
    <w:locked/>
    <w:rsid w:val="00B13EEC"/>
    <w:rPr>
      <w:rFonts w:ascii="Arial" w:hAnsi="Arial" w:cs="Humnst777 Cn BT"/>
      <w:b/>
      <w:bCs/>
      <w:sz w:val="28"/>
      <w:szCs w:val="28"/>
      <w:u w:color="BF311A"/>
      <w:lang w:val="en-GB" w:eastAsia="en-GB" w:bidi="ar-SA"/>
    </w:rPr>
  </w:style>
  <w:style w:type="character" w:customStyle="1" w:styleId="Heading4Char">
    <w:name w:val="Heading 4 Char"/>
    <w:basedOn w:val="DefaultParagraphFont"/>
    <w:link w:val="Heading4"/>
    <w:uiPriority w:val="99"/>
    <w:locked/>
    <w:rsid w:val="00B13EEC"/>
    <w:rPr>
      <w:rFonts w:ascii="Arial" w:hAnsi="Arial" w:cs="Humnst777 Cn BT"/>
      <w:b/>
      <w:bCs/>
      <w:sz w:val="24"/>
      <w:szCs w:val="24"/>
      <w:u w:color="BF311A"/>
      <w:lang w:val="en-GB" w:eastAsia="en-GB" w:bidi="ar-SA"/>
    </w:rPr>
  </w:style>
  <w:style w:type="character" w:customStyle="1" w:styleId="Heading5Char">
    <w:name w:val="Heading 5 Char"/>
    <w:basedOn w:val="DefaultParagraphFont"/>
    <w:link w:val="Heading5"/>
    <w:uiPriority w:val="99"/>
    <w:semiHidden/>
    <w:locked/>
    <w:rsid w:val="0045777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57773"/>
    <w:rPr>
      <w:rFonts w:ascii="Calibri" w:hAnsi="Calibri" w:cs="Times New Roman"/>
      <w:b/>
      <w:bCs/>
    </w:rPr>
  </w:style>
  <w:style w:type="character" w:customStyle="1" w:styleId="Heading7Char">
    <w:name w:val="Heading 7 Char"/>
    <w:basedOn w:val="DefaultParagraphFont"/>
    <w:link w:val="Heading7"/>
    <w:uiPriority w:val="99"/>
    <w:semiHidden/>
    <w:locked/>
    <w:rsid w:val="0045777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5777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57773"/>
    <w:rPr>
      <w:rFonts w:ascii="Cambria" w:hAnsi="Cambria" w:cs="Times New Roman"/>
    </w:rPr>
  </w:style>
  <w:style w:type="paragraph" w:styleId="BalloonText">
    <w:name w:val="Balloon Text"/>
    <w:basedOn w:val="Normal"/>
    <w:link w:val="BalloonTextChar"/>
    <w:uiPriority w:val="99"/>
    <w:semiHidden/>
    <w:locked/>
    <w:rsid w:val="00432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397"/>
    <w:rPr>
      <w:rFonts w:ascii="Tahoma" w:hAnsi="Tahoma" w:cs="Tahoma"/>
      <w:sz w:val="16"/>
      <w:szCs w:val="16"/>
    </w:rPr>
  </w:style>
  <w:style w:type="paragraph" w:styleId="Footer">
    <w:name w:val="footer"/>
    <w:basedOn w:val="Normal"/>
    <w:link w:val="FooterChar"/>
    <w:uiPriority w:val="99"/>
    <w:semiHidden/>
    <w:locked/>
    <w:rsid w:val="00271ECA"/>
    <w:pPr>
      <w:tabs>
        <w:tab w:val="center" w:pos="4513"/>
        <w:tab w:val="right" w:pos="9026"/>
      </w:tabs>
    </w:pPr>
  </w:style>
  <w:style w:type="character" w:customStyle="1" w:styleId="FooterChar">
    <w:name w:val="Footer Char"/>
    <w:basedOn w:val="DefaultParagraphFont"/>
    <w:link w:val="Footer"/>
    <w:uiPriority w:val="99"/>
    <w:semiHidden/>
    <w:locked/>
    <w:rsid w:val="00271ECA"/>
    <w:rPr>
      <w:rFonts w:cs="Times New Roman"/>
    </w:rPr>
  </w:style>
  <w:style w:type="paragraph" w:styleId="BodyText">
    <w:name w:val="Body Text"/>
    <w:basedOn w:val="Normal"/>
    <w:link w:val="BodyTextChar"/>
    <w:uiPriority w:val="99"/>
    <w:semiHidden/>
    <w:locked/>
    <w:rsid w:val="00271ECA"/>
    <w:pPr>
      <w:numPr>
        <w:ilvl w:val="1"/>
        <w:numId w:val="21"/>
      </w:numPr>
      <w:spacing w:after="165" w:line="280" w:lineRule="atLeast"/>
    </w:pPr>
  </w:style>
  <w:style w:type="character" w:customStyle="1" w:styleId="BodyTextChar">
    <w:name w:val="Body Text Char"/>
    <w:basedOn w:val="DefaultParagraphFont"/>
    <w:link w:val="BodyText"/>
    <w:uiPriority w:val="99"/>
    <w:semiHidden/>
    <w:locked/>
    <w:rsid w:val="00271ECA"/>
    <w:rPr>
      <w:rFonts w:ascii="Arial" w:hAnsi="Arial" w:cs="Humnst777 Lt BT"/>
    </w:rPr>
  </w:style>
  <w:style w:type="paragraph" w:styleId="BodyText2">
    <w:name w:val="Body Text 2"/>
    <w:basedOn w:val="BodyText"/>
    <w:link w:val="BodyText2Char"/>
    <w:uiPriority w:val="99"/>
    <w:semiHidden/>
    <w:locked/>
    <w:rsid w:val="00271ECA"/>
    <w:pPr>
      <w:numPr>
        <w:ilvl w:val="2"/>
      </w:numPr>
    </w:pPr>
  </w:style>
  <w:style w:type="character" w:customStyle="1" w:styleId="BodyText2Char">
    <w:name w:val="Body Text 2 Char"/>
    <w:basedOn w:val="DefaultParagraphFont"/>
    <w:link w:val="BodyText2"/>
    <w:uiPriority w:val="99"/>
    <w:semiHidden/>
    <w:locked/>
    <w:rsid w:val="00271ECA"/>
    <w:rPr>
      <w:rFonts w:ascii="Arial" w:hAnsi="Arial" w:cs="Humnst777 Lt BT"/>
    </w:rPr>
  </w:style>
  <w:style w:type="paragraph" w:styleId="BlockText">
    <w:name w:val="Block Text"/>
    <w:basedOn w:val="Normal"/>
    <w:uiPriority w:val="99"/>
    <w:semiHidden/>
    <w:locked/>
    <w:rsid w:val="00B178DB"/>
    <w:pPr>
      <w:spacing w:after="120"/>
      <w:ind w:left="1440" w:right="1440"/>
    </w:pPr>
  </w:style>
  <w:style w:type="paragraph" w:styleId="BodyTextFirstIndent">
    <w:name w:val="Body Text First Indent"/>
    <w:basedOn w:val="BodyText"/>
    <w:link w:val="BodyTextFirstIndentChar"/>
    <w:uiPriority w:val="99"/>
    <w:semiHidden/>
    <w:locked/>
    <w:rsid w:val="00B178DB"/>
    <w:pPr>
      <w:numPr>
        <w:ilvl w:val="0"/>
        <w:numId w:val="0"/>
      </w:numPr>
      <w:spacing w:after="120" w:line="240" w:lineRule="auto"/>
      <w:ind w:firstLine="210"/>
    </w:pPr>
  </w:style>
  <w:style w:type="character" w:customStyle="1" w:styleId="BodyTextFirstIndentChar">
    <w:name w:val="Body Text First Indent Char"/>
    <w:basedOn w:val="BodyTextChar"/>
    <w:link w:val="BodyTextFirstIndent"/>
    <w:uiPriority w:val="99"/>
    <w:semiHidden/>
    <w:locked/>
    <w:rsid w:val="00457773"/>
  </w:style>
  <w:style w:type="paragraph" w:styleId="BodyTextIndent">
    <w:name w:val="Body Text Indent"/>
    <w:basedOn w:val="Normal"/>
    <w:link w:val="BodyTextIndentChar"/>
    <w:uiPriority w:val="99"/>
    <w:semiHidden/>
    <w:locked/>
    <w:rsid w:val="00B178DB"/>
    <w:pPr>
      <w:spacing w:after="120"/>
      <w:ind w:left="283"/>
    </w:pPr>
  </w:style>
  <w:style w:type="character" w:customStyle="1" w:styleId="BodyTextIndentChar">
    <w:name w:val="Body Text Indent Char"/>
    <w:basedOn w:val="DefaultParagraphFont"/>
    <w:link w:val="BodyTextIndent"/>
    <w:uiPriority w:val="99"/>
    <w:semiHidden/>
    <w:locked/>
    <w:rsid w:val="00457773"/>
    <w:rPr>
      <w:rFonts w:ascii="Arial" w:hAnsi="Arial" w:cs="Humnst777 Lt BT"/>
      <w:sz w:val="24"/>
    </w:rPr>
  </w:style>
  <w:style w:type="paragraph" w:styleId="BodyTextFirstIndent2">
    <w:name w:val="Body Text First Indent 2"/>
    <w:basedOn w:val="BodyTextIndent"/>
    <w:link w:val="BodyTextFirstIndent2Char"/>
    <w:uiPriority w:val="99"/>
    <w:semiHidden/>
    <w:locked/>
    <w:rsid w:val="00B178DB"/>
    <w:pPr>
      <w:ind w:firstLine="210"/>
    </w:pPr>
  </w:style>
  <w:style w:type="character" w:customStyle="1" w:styleId="BodyTextFirstIndent2Char">
    <w:name w:val="Body Text First Indent 2 Char"/>
    <w:basedOn w:val="BodyTextIndentChar"/>
    <w:link w:val="BodyTextFirstIndent2"/>
    <w:uiPriority w:val="99"/>
    <w:semiHidden/>
    <w:locked/>
    <w:rsid w:val="00457773"/>
  </w:style>
  <w:style w:type="paragraph" w:styleId="BodyText3">
    <w:name w:val="Body Text 3"/>
    <w:basedOn w:val="Normal"/>
    <w:link w:val="BodyText3Char"/>
    <w:uiPriority w:val="99"/>
    <w:semiHidden/>
    <w:locked/>
    <w:rsid w:val="00271ECA"/>
    <w:pPr>
      <w:spacing w:after="120"/>
    </w:pPr>
    <w:rPr>
      <w:sz w:val="16"/>
      <w:szCs w:val="16"/>
    </w:rPr>
  </w:style>
  <w:style w:type="character" w:customStyle="1" w:styleId="BodyText3Char">
    <w:name w:val="Body Text 3 Char"/>
    <w:basedOn w:val="DefaultParagraphFont"/>
    <w:link w:val="BodyText3"/>
    <w:uiPriority w:val="99"/>
    <w:semiHidden/>
    <w:locked/>
    <w:rsid w:val="00271ECA"/>
    <w:rPr>
      <w:rFonts w:ascii="Humnst777 Lt BT" w:hAnsi="Humnst777 Lt BT" w:cs="Humnst777 Lt BT"/>
      <w:sz w:val="16"/>
      <w:szCs w:val="16"/>
    </w:rPr>
  </w:style>
  <w:style w:type="paragraph" w:styleId="BodyTextIndent2">
    <w:name w:val="Body Text Indent 2"/>
    <w:basedOn w:val="Normal"/>
    <w:link w:val="BodyTextIndent2Char"/>
    <w:uiPriority w:val="99"/>
    <w:semiHidden/>
    <w:locked/>
    <w:rsid w:val="00B178D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57773"/>
    <w:rPr>
      <w:rFonts w:ascii="Arial" w:hAnsi="Arial" w:cs="Humnst777 Lt BT"/>
      <w:sz w:val="24"/>
    </w:rPr>
  </w:style>
  <w:style w:type="paragraph" w:styleId="BodyTextIndent3">
    <w:name w:val="Body Text Indent 3"/>
    <w:basedOn w:val="Normal"/>
    <w:link w:val="BodyTextIndent3Char"/>
    <w:uiPriority w:val="99"/>
    <w:semiHidden/>
    <w:locked/>
    <w:rsid w:val="00B178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57773"/>
    <w:rPr>
      <w:rFonts w:ascii="Arial" w:hAnsi="Arial" w:cs="Humnst777 Lt BT"/>
      <w:sz w:val="16"/>
      <w:szCs w:val="16"/>
    </w:rPr>
  </w:style>
  <w:style w:type="paragraph" w:styleId="Closing">
    <w:name w:val="Closing"/>
    <w:basedOn w:val="Normal"/>
    <w:link w:val="ClosingChar"/>
    <w:uiPriority w:val="99"/>
    <w:semiHidden/>
    <w:locked/>
    <w:rsid w:val="00B178DB"/>
    <w:pPr>
      <w:ind w:left="4252"/>
    </w:pPr>
  </w:style>
  <w:style w:type="character" w:customStyle="1" w:styleId="ClosingChar">
    <w:name w:val="Closing Char"/>
    <w:basedOn w:val="DefaultParagraphFont"/>
    <w:link w:val="Closing"/>
    <w:uiPriority w:val="99"/>
    <w:semiHidden/>
    <w:locked/>
    <w:rsid w:val="00457773"/>
    <w:rPr>
      <w:rFonts w:ascii="Arial" w:hAnsi="Arial" w:cs="Humnst777 Lt BT"/>
      <w:sz w:val="24"/>
    </w:rPr>
  </w:style>
  <w:style w:type="paragraph" w:styleId="Date">
    <w:name w:val="Date"/>
    <w:basedOn w:val="Normal"/>
    <w:next w:val="Normal"/>
    <w:link w:val="DateChar"/>
    <w:uiPriority w:val="99"/>
    <w:semiHidden/>
    <w:locked/>
    <w:rsid w:val="00B178DB"/>
  </w:style>
  <w:style w:type="character" w:customStyle="1" w:styleId="DateChar">
    <w:name w:val="Date Char"/>
    <w:basedOn w:val="DefaultParagraphFont"/>
    <w:link w:val="Date"/>
    <w:uiPriority w:val="99"/>
    <w:semiHidden/>
    <w:locked/>
    <w:rsid w:val="00457773"/>
    <w:rPr>
      <w:rFonts w:ascii="Arial" w:hAnsi="Arial" w:cs="Humnst777 Lt BT"/>
      <w:sz w:val="24"/>
    </w:rPr>
  </w:style>
  <w:style w:type="paragraph" w:styleId="E-mailSignature">
    <w:name w:val="E-mail Signature"/>
    <w:basedOn w:val="Normal"/>
    <w:link w:val="E-mailSignatureChar"/>
    <w:uiPriority w:val="99"/>
    <w:semiHidden/>
    <w:locked/>
    <w:rsid w:val="00B178DB"/>
  </w:style>
  <w:style w:type="character" w:customStyle="1" w:styleId="E-mailSignatureChar">
    <w:name w:val="E-mail Signature Char"/>
    <w:basedOn w:val="DefaultParagraphFont"/>
    <w:link w:val="E-mailSignature"/>
    <w:uiPriority w:val="99"/>
    <w:semiHidden/>
    <w:locked/>
    <w:rsid w:val="00457773"/>
    <w:rPr>
      <w:rFonts w:ascii="Arial" w:hAnsi="Arial" w:cs="Humnst777 Lt BT"/>
      <w:sz w:val="24"/>
    </w:rPr>
  </w:style>
  <w:style w:type="character" w:styleId="Emphasis">
    <w:name w:val="Emphasis"/>
    <w:basedOn w:val="DefaultParagraphFont"/>
    <w:uiPriority w:val="99"/>
    <w:qFormat/>
    <w:locked/>
    <w:rsid w:val="00B178DB"/>
    <w:rPr>
      <w:rFonts w:cs="Times New Roman"/>
      <w:i/>
      <w:iCs/>
    </w:rPr>
  </w:style>
  <w:style w:type="paragraph" w:styleId="EnvelopeAddress">
    <w:name w:val="envelope address"/>
    <w:basedOn w:val="Normal"/>
    <w:uiPriority w:val="99"/>
    <w:semiHidden/>
    <w:locked/>
    <w:rsid w:val="00B178DB"/>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locked/>
    <w:rsid w:val="00B178DB"/>
    <w:rPr>
      <w:rFonts w:cs="Arial"/>
      <w:sz w:val="20"/>
      <w:szCs w:val="20"/>
    </w:rPr>
  </w:style>
  <w:style w:type="character" w:styleId="FollowedHyperlink">
    <w:name w:val="FollowedHyperlink"/>
    <w:basedOn w:val="DefaultParagraphFont"/>
    <w:uiPriority w:val="99"/>
    <w:semiHidden/>
    <w:locked/>
    <w:rsid w:val="00B178DB"/>
    <w:rPr>
      <w:rFonts w:cs="Times New Roman"/>
      <w:color w:val="800080"/>
      <w:u w:val="single"/>
    </w:rPr>
  </w:style>
  <w:style w:type="paragraph" w:styleId="Header">
    <w:name w:val="header"/>
    <w:basedOn w:val="Normal"/>
    <w:link w:val="HeaderChar"/>
    <w:uiPriority w:val="99"/>
    <w:semiHidden/>
    <w:locked/>
    <w:rsid w:val="00B178DB"/>
    <w:pPr>
      <w:tabs>
        <w:tab w:val="center" w:pos="4153"/>
        <w:tab w:val="right" w:pos="8306"/>
      </w:tabs>
    </w:pPr>
  </w:style>
  <w:style w:type="character" w:customStyle="1" w:styleId="HeaderChar">
    <w:name w:val="Header Char"/>
    <w:basedOn w:val="DefaultParagraphFont"/>
    <w:link w:val="Header"/>
    <w:uiPriority w:val="99"/>
    <w:semiHidden/>
    <w:locked/>
    <w:rsid w:val="00457773"/>
    <w:rPr>
      <w:rFonts w:ascii="Arial" w:hAnsi="Arial" w:cs="Humnst777 Lt BT"/>
      <w:sz w:val="24"/>
    </w:rPr>
  </w:style>
  <w:style w:type="character" w:styleId="HTMLAcronym">
    <w:name w:val="HTML Acronym"/>
    <w:basedOn w:val="DefaultParagraphFont"/>
    <w:uiPriority w:val="99"/>
    <w:semiHidden/>
    <w:locked/>
    <w:rsid w:val="00B178DB"/>
    <w:rPr>
      <w:rFonts w:cs="Times New Roman"/>
    </w:rPr>
  </w:style>
  <w:style w:type="paragraph" w:styleId="HTMLAddress">
    <w:name w:val="HTML Address"/>
    <w:basedOn w:val="Normal"/>
    <w:link w:val="HTMLAddressChar"/>
    <w:uiPriority w:val="99"/>
    <w:semiHidden/>
    <w:locked/>
    <w:rsid w:val="00B178DB"/>
    <w:rPr>
      <w:i/>
      <w:iCs/>
    </w:rPr>
  </w:style>
  <w:style w:type="character" w:customStyle="1" w:styleId="HTMLAddressChar">
    <w:name w:val="HTML Address Char"/>
    <w:basedOn w:val="DefaultParagraphFont"/>
    <w:link w:val="HTMLAddress"/>
    <w:uiPriority w:val="99"/>
    <w:semiHidden/>
    <w:locked/>
    <w:rsid w:val="00457773"/>
    <w:rPr>
      <w:rFonts w:ascii="Arial" w:hAnsi="Arial" w:cs="Humnst777 Lt BT"/>
      <w:i/>
      <w:iCs/>
      <w:sz w:val="24"/>
    </w:rPr>
  </w:style>
  <w:style w:type="character" w:styleId="HTMLCite">
    <w:name w:val="HTML Cite"/>
    <w:basedOn w:val="DefaultParagraphFont"/>
    <w:uiPriority w:val="99"/>
    <w:semiHidden/>
    <w:locked/>
    <w:rsid w:val="00B178DB"/>
    <w:rPr>
      <w:rFonts w:cs="Times New Roman"/>
      <w:i/>
      <w:iCs/>
    </w:rPr>
  </w:style>
  <w:style w:type="character" w:styleId="HTMLCode">
    <w:name w:val="HTML Code"/>
    <w:basedOn w:val="DefaultParagraphFont"/>
    <w:uiPriority w:val="99"/>
    <w:semiHidden/>
    <w:locked/>
    <w:rsid w:val="00B178DB"/>
    <w:rPr>
      <w:rFonts w:ascii="Courier New" w:hAnsi="Courier New" w:cs="Courier New"/>
      <w:sz w:val="20"/>
      <w:szCs w:val="20"/>
    </w:rPr>
  </w:style>
  <w:style w:type="character" w:styleId="HTMLDefinition">
    <w:name w:val="HTML Definition"/>
    <w:basedOn w:val="DefaultParagraphFont"/>
    <w:uiPriority w:val="99"/>
    <w:semiHidden/>
    <w:locked/>
    <w:rsid w:val="00B178DB"/>
    <w:rPr>
      <w:rFonts w:cs="Times New Roman"/>
      <w:i/>
      <w:iCs/>
    </w:rPr>
  </w:style>
  <w:style w:type="character" w:styleId="HTMLKeyboard">
    <w:name w:val="HTML Keyboard"/>
    <w:basedOn w:val="DefaultParagraphFont"/>
    <w:uiPriority w:val="99"/>
    <w:semiHidden/>
    <w:locked/>
    <w:rsid w:val="00B178DB"/>
    <w:rPr>
      <w:rFonts w:ascii="Courier New" w:hAnsi="Courier New" w:cs="Courier New"/>
      <w:sz w:val="20"/>
      <w:szCs w:val="20"/>
    </w:rPr>
  </w:style>
  <w:style w:type="paragraph" w:styleId="HTMLPreformatted">
    <w:name w:val="HTML Preformatted"/>
    <w:basedOn w:val="Normal"/>
    <w:link w:val="HTMLPreformattedChar"/>
    <w:uiPriority w:val="99"/>
    <w:semiHidden/>
    <w:locked/>
    <w:rsid w:val="00B178D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57773"/>
    <w:rPr>
      <w:rFonts w:ascii="Courier New" w:hAnsi="Courier New" w:cs="Courier New"/>
      <w:sz w:val="20"/>
      <w:szCs w:val="20"/>
    </w:rPr>
  </w:style>
  <w:style w:type="character" w:styleId="HTMLSample">
    <w:name w:val="HTML Sample"/>
    <w:basedOn w:val="DefaultParagraphFont"/>
    <w:uiPriority w:val="99"/>
    <w:semiHidden/>
    <w:locked/>
    <w:rsid w:val="00B178DB"/>
    <w:rPr>
      <w:rFonts w:ascii="Courier New" w:hAnsi="Courier New" w:cs="Courier New"/>
    </w:rPr>
  </w:style>
  <w:style w:type="character" w:styleId="HTMLTypewriter">
    <w:name w:val="HTML Typewriter"/>
    <w:basedOn w:val="DefaultParagraphFont"/>
    <w:uiPriority w:val="99"/>
    <w:semiHidden/>
    <w:locked/>
    <w:rsid w:val="00B178DB"/>
    <w:rPr>
      <w:rFonts w:ascii="Courier New" w:hAnsi="Courier New" w:cs="Courier New"/>
      <w:sz w:val="20"/>
      <w:szCs w:val="20"/>
    </w:rPr>
  </w:style>
  <w:style w:type="character" w:styleId="HTMLVariable">
    <w:name w:val="HTML Variable"/>
    <w:basedOn w:val="DefaultParagraphFont"/>
    <w:uiPriority w:val="99"/>
    <w:semiHidden/>
    <w:locked/>
    <w:rsid w:val="00B178DB"/>
    <w:rPr>
      <w:rFonts w:cs="Times New Roman"/>
      <w:i/>
      <w:iCs/>
    </w:rPr>
  </w:style>
  <w:style w:type="character" w:styleId="Hyperlink">
    <w:name w:val="Hyperlink"/>
    <w:basedOn w:val="DefaultParagraphFont"/>
    <w:uiPriority w:val="99"/>
    <w:semiHidden/>
    <w:locked/>
    <w:rsid w:val="00B178DB"/>
    <w:rPr>
      <w:rFonts w:cs="Times New Roman"/>
      <w:color w:val="0000FF"/>
      <w:u w:val="single"/>
    </w:rPr>
  </w:style>
  <w:style w:type="character" w:styleId="LineNumber">
    <w:name w:val="line number"/>
    <w:basedOn w:val="DefaultParagraphFont"/>
    <w:uiPriority w:val="99"/>
    <w:semiHidden/>
    <w:locked/>
    <w:rsid w:val="00B178DB"/>
    <w:rPr>
      <w:rFonts w:cs="Times New Roman"/>
    </w:rPr>
  </w:style>
  <w:style w:type="paragraph" w:styleId="List">
    <w:name w:val="List"/>
    <w:basedOn w:val="Normal"/>
    <w:uiPriority w:val="99"/>
    <w:semiHidden/>
    <w:locked/>
    <w:rsid w:val="00B178DB"/>
    <w:pPr>
      <w:ind w:left="283" w:hanging="283"/>
    </w:pPr>
  </w:style>
  <w:style w:type="paragraph" w:styleId="List2">
    <w:name w:val="List 2"/>
    <w:basedOn w:val="Normal"/>
    <w:uiPriority w:val="99"/>
    <w:semiHidden/>
    <w:locked/>
    <w:rsid w:val="00B178DB"/>
    <w:pPr>
      <w:ind w:left="566" w:hanging="283"/>
    </w:pPr>
  </w:style>
  <w:style w:type="paragraph" w:styleId="List3">
    <w:name w:val="List 3"/>
    <w:basedOn w:val="Normal"/>
    <w:uiPriority w:val="99"/>
    <w:semiHidden/>
    <w:locked/>
    <w:rsid w:val="00B178DB"/>
    <w:pPr>
      <w:ind w:left="849" w:hanging="283"/>
    </w:pPr>
  </w:style>
  <w:style w:type="paragraph" w:styleId="List4">
    <w:name w:val="List 4"/>
    <w:basedOn w:val="Normal"/>
    <w:uiPriority w:val="99"/>
    <w:semiHidden/>
    <w:locked/>
    <w:rsid w:val="00B178DB"/>
    <w:pPr>
      <w:ind w:left="1132" w:hanging="283"/>
    </w:pPr>
  </w:style>
  <w:style w:type="paragraph" w:styleId="List5">
    <w:name w:val="List 5"/>
    <w:basedOn w:val="Normal"/>
    <w:uiPriority w:val="99"/>
    <w:semiHidden/>
    <w:locked/>
    <w:rsid w:val="00B178DB"/>
    <w:pPr>
      <w:ind w:left="1415" w:hanging="283"/>
    </w:pPr>
  </w:style>
  <w:style w:type="paragraph" w:styleId="ListBullet">
    <w:name w:val="List Bullet"/>
    <w:basedOn w:val="Normal"/>
    <w:uiPriority w:val="99"/>
    <w:semiHidden/>
    <w:locked/>
    <w:rsid w:val="00B178DB"/>
    <w:pPr>
      <w:numPr>
        <w:numId w:val="1"/>
      </w:numPr>
    </w:pPr>
  </w:style>
  <w:style w:type="paragraph" w:styleId="ListBullet2">
    <w:name w:val="List Bullet 2"/>
    <w:basedOn w:val="Normal"/>
    <w:uiPriority w:val="99"/>
    <w:semiHidden/>
    <w:locked/>
    <w:rsid w:val="00B178DB"/>
    <w:pPr>
      <w:numPr>
        <w:numId w:val="2"/>
      </w:numPr>
    </w:pPr>
  </w:style>
  <w:style w:type="paragraph" w:styleId="ListBullet3">
    <w:name w:val="List Bullet 3"/>
    <w:basedOn w:val="Normal"/>
    <w:uiPriority w:val="99"/>
    <w:semiHidden/>
    <w:locked/>
    <w:rsid w:val="00B178DB"/>
    <w:pPr>
      <w:numPr>
        <w:numId w:val="3"/>
      </w:numPr>
    </w:pPr>
  </w:style>
  <w:style w:type="paragraph" w:styleId="ListBullet4">
    <w:name w:val="List Bullet 4"/>
    <w:basedOn w:val="Normal"/>
    <w:uiPriority w:val="99"/>
    <w:semiHidden/>
    <w:locked/>
    <w:rsid w:val="00B178DB"/>
    <w:pPr>
      <w:numPr>
        <w:numId w:val="4"/>
      </w:numPr>
    </w:pPr>
  </w:style>
  <w:style w:type="paragraph" w:styleId="ListBullet5">
    <w:name w:val="List Bullet 5"/>
    <w:basedOn w:val="Normal"/>
    <w:uiPriority w:val="99"/>
    <w:semiHidden/>
    <w:locked/>
    <w:rsid w:val="00B178DB"/>
    <w:pPr>
      <w:numPr>
        <w:numId w:val="5"/>
      </w:numPr>
    </w:pPr>
  </w:style>
  <w:style w:type="paragraph" w:styleId="ListContinue">
    <w:name w:val="List Continue"/>
    <w:basedOn w:val="Normal"/>
    <w:uiPriority w:val="99"/>
    <w:semiHidden/>
    <w:locked/>
    <w:rsid w:val="00B178DB"/>
    <w:pPr>
      <w:spacing w:after="120"/>
      <w:ind w:left="283"/>
    </w:pPr>
  </w:style>
  <w:style w:type="paragraph" w:styleId="ListContinue2">
    <w:name w:val="List Continue 2"/>
    <w:basedOn w:val="Normal"/>
    <w:uiPriority w:val="99"/>
    <w:semiHidden/>
    <w:locked/>
    <w:rsid w:val="00B178DB"/>
    <w:pPr>
      <w:spacing w:after="120"/>
      <w:ind w:left="566"/>
    </w:pPr>
  </w:style>
  <w:style w:type="paragraph" w:styleId="ListContinue3">
    <w:name w:val="List Continue 3"/>
    <w:basedOn w:val="Normal"/>
    <w:uiPriority w:val="99"/>
    <w:semiHidden/>
    <w:locked/>
    <w:rsid w:val="00B178DB"/>
    <w:pPr>
      <w:spacing w:after="120"/>
      <w:ind w:left="849"/>
    </w:pPr>
  </w:style>
  <w:style w:type="paragraph" w:styleId="ListContinue4">
    <w:name w:val="List Continue 4"/>
    <w:basedOn w:val="Normal"/>
    <w:uiPriority w:val="99"/>
    <w:semiHidden/>
    <w:locked/>
    <w:rsid w:val="00B178DB"/>
    <w:pPr>
      <w:spacing w:after="120"/>
      <w:ind w:left="1132"/>
    </w:pPr>
  </w:style>
  <w:style w:type="paragraph" w:styleId="ListContinue5">
    <w:name w:val="List Continue 5"/>
    <w:basedOn w:val="Normal"/>
    <w:uiPriority w:val="99"/>
    <w:semiHidden/>
    <w:locked/>
    <w:rsid w:val="00B178DB"/>
    <w:pPr>
      <w:spacing w:after="120"/>
      <w:ind w:left="1415"/>
    </w:pPr>
  </w:style>
  <w:style w:type="paragraph" w:styleId="ListNumber">
    <w:name w:val="List Number"/>
    <w:basedOn w:val="Normal"/>
    <w:uiPriority w:val="99"/>
    <w:semiHidden/>
    <w:locked/>
    <w:rsid w:val="00B178DB"/>
    <w:pPr>
      <w:numPr>
        <w:numId w:val="6"/>
      </w:numPr>
    </w:pPr>
  </w:style>
  <w:style w:type="paragraph" w:styleId="ListNumber2">
    <w:name w:val="List Number 2"/>
    <w:basedOn w:val="Normal"/>
    <w:uiPriority w:val="99"/>
    <w:semiHidden/>
    <w:locked/>
    <w:rsid w:val="00B178DB"/>
    <w:pPr>
      <w:numPr>
        <w:numId w:val="7"/>
      </w:numPr>
    </w:pPr>
  </w:style>
  <w:style w:type="paragraph" w:styleId="ListNumber3">
    <w:name w:val="List Number 3"/>
    <w:basedOn w:val="Normal"/>
    <w:uiPriority w:val="99"/>
    <w:semiHidden/>
    <w:locked/>
    <w:rsid w:val="00B178DB"/>
    <w:pPr>
      <w:numPr>
        <w:numId w:val="8"/>
      </w:numPr>
    </w:pPr>
  </w:style>
  <w:style w:type="paragraph" w:styleId="ListNumber4">
    <w:name w:val="List Number 4"/>
    <w:basedOn w:val="Normal"/>
    <w:uiPriority w:val="99"/>
    <w:semiHidden/>
    <w:locked/>
    <w:rsid w:val="00B178DB"/>
    <w:pPr>
      <w:numPr>
        <w:numId w:val="9"/>
      </w:numPr>
    </w:pPr>
  </w:style>
  <w:style w:type="paragraph" w:styleId="ListNumber5">
    <w:name w:val="List Number 5"/>
    <w:basedOn w:val="Normal"/>
    <w:uiPriority w:val="99"/>
    <w:semiHidden/>
    <w:locked/>
    <w:rsid w:val="00B178DB"/>
    <w:pPr>
      <w:numPr>
        <w:numId w:val="10"/>
      </w:numPr>
    </w:pPr>
  </w:style>
  <w:style w:type="paragraph" w:styleId="MessageHeader">
    <w:name w:val="Message Header"/>
    <w:basedOn w:val="Normal"/>
    <w:link w:val="MessageHeaderChar"/>
    <w:uiPriority w:val="99"/>
    <w:semiHidden/>
    <w:locked/>
    <w:rsid w:val="00B178D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457773"/>
    <w:rPr>
      <w:rFonts w:ascii="Cambria" w:hAnsi="Cambria" w:cs="Times New Roman"/>
      <w:sz w:val="24"/>
      <w:szCs w:val="24"/>
      <w:shd w:val="pct20" w:color="auto" w:fill="auto"/>
    </w:rPr>
  </w:style>
  <w:style w:type="paragraph" w:styleId="NormalWeb">
    <w:name w:val="Normal (Web)"/>
    <w:basedOn w:val="Normal"/>
    <w:uiPriority w:val="99"/>
    <w:semiHidden/>
    <w:locked/>
    <w:rsid w:val="00B178DB"/>
    <w:rPr>
      <w:rFonts w:ascii="Times New Roman" w:hAnsi="Times New Roman" w:cs="Times New Roman"/>
      <w:szCs w:val="24"/>
    </w:rPr>
  </w:style>
  <w:style w:type="paragraph" w:styleId="NormalIndent">
    <w:name w:val="Normal Indent"/>
    <w:basedOn w:val="Normal"/>
    <w:uiPriority w:val="99"/>
    <w:semiHidden/>
    <w:rsid w:val="00B178DB"/>
    <w:pPr>
      <w:ind w:left="720"/>
    </w:pPr>
  </w:style>
  <w:style w:type="paragraph" w:styleId="NoteHeading">
    <w:name w:val="Note Heading"/>
    <w:basedOn w:val="Normal"/>
    <w:next w:val="Normal"/>
    <w:link w:val="NoteHeadingChar"/>
    <w:uiPriority w:val="99"/>
    <w:semiHidden/>
    <w:locked/>
    <w:rsid w:val="00B178DB"/>
  </w:style>
  <w:style w:type="character" w:customStyle="1" w:styleId="NoteHeadingChar">
    <w:name w:val="Note Heading Char"/>
    <w:basedOn w:val="DefaultParagraphFont"/>
    <w:link w:val="NoteHeading"/>
    <w:uiPriority w:val="99"/>
    <w:semiHidden/>
    <w:locked/>
    <w:rsid w:val="00457773"/>
    <w:rPr>
      <w:rFonts w:ascii="Arial" w:hAnsi="Arial" w:cs="Humnst777 Lt BT"/>
      <w:sz w:val="24"/>
    </w:rPr>
  </w:style>
  <w:style w:type="character" w:styleId="PageNumber">
    <w:name w:val="page number"/>
    <w:basedOn w:val="DefaultParagraphFont"/>
    <w:uiPriority w:val="99"/>
    <w:semiHidden/>
    <w:locked/>
    <w:rsid w:val="00B178DB"/>
    <w:rPr>
      <w:rFonts w:cs="Times New Roman"/>
    </w:rPr>
  </w:style>
  <w:style w:type="paragraph" w:styleId="PlainText">
    <w:name w:val="Plain Text"/>
    <w:basedOn w:val="Normal"/>
    <w:link w:val="PlainTextChar"/>
    <w:uiPriority w:val="99"/>
    <w:semiHidden/>
    <w:locked/>
    <w:rsid w:val="00B178D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57773"/>
    <w:rPr>
      <w:rFonts w:ascii="Courier New" w:hAnsi="Courier New" w:cs="Courier New"/>
      <w:sz w:val="20"/>
      <w:szCs w:val="20"/>
    </w:rPr>
  </w:style>
  <w:style w:type="paragraph" w:styleId="Salutation">
    <w:name w:val="Salutation"/>
    <w:basedOn w:val="Normal"/>
    <w:next w:val="Normal"/>
    <w:link w:val="SalutationChar"/>
    <w:uiPriority w:val="99"/>
    <w:semiHidden/>
    <w:locked/>
    <w:rsid w:val="00B178DB"/>
  </w:style>
  <w:style w:type="character" w:customStyle="1" w:styleId="SalutationChar">
    <w:name w:val="Salutation Char"/>
    <w:basedOn w:val="DefaultParagraphFont"/>
    <w:link w:val="Salutation"/>
    <w:uiPriority w:val="99"/>
    <w:semiHidden/>
    <w:locked/>
    <w:rsid w:val="00457773"/>
    <w:rPr>
      <w:rFonts w:ascii="Arial" w:hAnsi="Arial" w:cs="Humnst777 Lt BT"/>
      <w:sz w:val="24"/>
    </w:rPr>
  </w:style>
  <w:style w:type="paragraph" w:styleId="Signature">
    <w:name w:val="Signature"/>
    <w:basedOn w:val="Normal"/>
    <w:link w:val="SignatureChar"/>
    <w:uiPriority w:val="99"/>
    <w:semiHidden/>
    <w:locked/>
    <w:rsid w:val="00B178DB"/>
    <w:pPr>
      <w:ind w:left="4252"/>
    </w:pPr>
  </w:style>
  <w:style w:type="character" w:customStyle="1" w:styleId="SignatureChar">
    <w:name w:val="Signature Char"/>
    <w:basedOn w:val="DefaultParagraphFont"/>
    <w:link w:val="Signature"/>
    <w:uiPriority w:val="99"/>
    <w:semiHidden/>
    <w:locked/>
    <w:rsid w:val="00457773"/>
    <w:rPr>
      <w:rFonts w:ascii="Arial" w:hAnsi="Arial" w:cs="Humnst777 Lt BT"/>
      <w:sz w:val="24"/>
    </w:rPr>
  </w:style>
  <w:style w:type="character" w:styleId="Strong">
    <w:name w:val="Strong"/>
    <w:basedOn w:val="DefaultParagraphFont"/>
    <w:uiPriority w:val="99"/>
    <w:qFormat/>
    <w:locked/>
    <w:rsid w:val="00B178DB"/>
    <w:rPr>
      <w:rFonts w:cs="Times New Roman"/>
      <w:b/>
      <w:bCs/>
    </w:rPr>
  </w:style>
  <w:style w:type="paragraph" w:styleId="Subtitle">
    <w:name w:val="Subtitle"/>
    <w:basedOn w:val="Normal"/>
    <w:link w:val="SubtitleChar"/>
    <w:uiPriority w:val="99"/>
    <w:qFormat/>
    <w:locked/>
    <w:rsid w:val="00B178DB"/>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457773"/>
    <w:rPr>
      <w:rFonts w:ascii="Cambria" w:hAnsi="Cambria" w:cs="Times New Roman"/>
      <w:sz w:val="24"/>
      <w:szCs w:val="24"/>
    </w:rPr>
  </w:style>
  <w:style w:type="table" w:styleId="Table3Deffects1">
    <w:name w:val="Table 3D effects 1"/>
    <w:basedOn w:val="TableNormal"/>
    <w:uiPriority w:val="99"/>
    <w:semiHidden/>
    <w:locked/>
    <w:rsid w:val="00B178DB"/>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B178DB"/>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B178DB"/>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B178D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B178D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B178DB"/>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B178DB"/>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B178DB"/>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B178DB"/>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B178DB"/>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B178DB"/>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B178DB"/>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B178DB"/>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B178DB"/>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locked/>
    <w:rsid w:val="00B178DB"/>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locked/>
    <w:rsid w:val="00B178DB"/>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B178DB"/>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semiHidden/>
    <w:locked/>
    <w:rsid w:val="00B17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B178DB"/>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B178DB"/>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B178DB"/>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B178DB"/>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B178DB"/>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B178DB"/>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B178DB"/>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B178DB"/>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B178DB"/>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B178DB"/>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B178DB"/>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B178DB"/>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B178DB"/>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B178DB"/>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B178DB"/>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B178DB"/>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B178DB"/>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B178D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B178DB"/>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B178DB"/>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B178DB"/>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B178DB"/>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B17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B178DB"/>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B178DB"/>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B178DB"/>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B178D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457773"/>
    <w:rPr>
      <w:rFonts w:ascii="Cambria" w:hAnsi="Cambria" w:cs="Times New Roman"/>
      <w:b/>
      <w:bCs/>
      <w:kern w:val="28"/>
      <w:sz w:val="32"/>
      <w:szCs w:val="32"/>
    </w:rPr>
  </w:style>
  <w:style w:type="paragraph" w:customStyle="1" w:styleId="StyleBoldUnderline">
    <w:name w:val="Style Bold Underline"/>
    <w:next w:val="Normal"/>
    <w:uiPriority w:val="99"/>
    <w:rsid w:val="00CE165B"/>
    <w:rPr>
      <w:rFonts w:ascii="Arial" w:hAnsi="Arial" w:cs="Humnst777 Lt BT"/>
      <w:b/>
      <w:u w:val="single"/>
    </w:rPr>
  </w:style>
  <w:style w:type="paragraph" w:customStyle="1" w:styleId="StyleBold">
    <w:name w:val="Style Bold"/>
    <w:next w:val="Normal"/>
    <w:uiPriority w:val="99"/>
    <w:rsid w:val="00325E32"/>
    <w:rPr>
      <w:rFonts w:ascii="Arial" w:hAnsi="Arial" w:cs="Humnst777 Lt BT"/>
      <w:b/>
    </w:rPr>
  </w:style>
  <w:style w:type="paragraph" w:customStyle="1" w:styleId="TIINFooter">
    <w:name w:val="TIIN Footer"/>
    <w:uiPriority w:val="99"/>
    <w:rsid w:val="00637912"/>
    <w:pPr>
      <w:jc w:val="center"/>
    </w:pPr>
    <w:rPr>
      <w:rFonts w:ascii="Arial" w:hAnsi="Arial" w:cs="Arial"/>
      <w:color w:val="000000"/>
      <w:sz w:val="20"/>
      <w:szCs w:val="20"/>
    </w:rPr>
  </w:style>
  <w:style w:type="character" w:styleId="CommentReference">
    <w:name w:val="annotation reference"/>
    <w:basedOn w:val="DefaultParagraphFont"/>
    <w:uiPriority w:val="99"/>
    <w:locked/>
    <w:rsid w:val="007047B9"/>
    <w:rPr>
      <w:rFonts w:cs="Times New Roman"/>
      <w:sz w:val="16"/>
      <w:szCs w:val="16"/>
    </w:rPr>
  </w:style>
  <w:style w:type="paragraph" w:styleId="CommentText">
    <w:name w:val="annotation text"/>
    <w:basedOn w:val="Normal"/>
    <w:link w:val="CommentTextChar"/>
    <w:uiPriority w:val="99"/>
    <w:locked/>
    <w:rsid w:val="007047B9"/>
    <w:rPr>
      <w:sz w:val="20"/>
      <w:szCs w:val="20"/>
    </w:rPr>
  </w:style>
  <w:style w:type="character" w:customStyle="1" w:styleId="CommentTextChar">
    <w:name w:val="Comment Text Char"/>
    <w:basedOn w:val="DefaultParagraphFont"/>
    <w:link w:val="CommentText"/>
    <w:uiPriority w:val="99"/>
    <w:locked/>
    <w:rsid w:val="007047B9"/>
    <w:rPr>
      <w:rFonts w:ascii="Arial" w:hAnsi="Arial" w:cs="Humnst777 Lt BT"/>
    </w:rPr>
  </w:style>
  <w:style w:type="paragraph" w:styleId="CommentSubject">
    <w:name w:val="annotation subject"/>
    <w:basedOn w:val="CommentText"/>
    <w:next w:val="CommentText"/>
    <w:link w:val="CommentSubjectChar"/>
    <w:uiPriority w:val="99"/>
    <w:locked/>
    <w:rsid w:val="007047B9"/>
    <w:rPr>
      <w:b/>
      <w:bCs/>
    </w:rPr>
  </w:style>
  <w:style w:type="character" w:customStyle="1" w:styleId="CommentSubjectChar">
    <w:name w:val="Comment Subject Char"/>
    <w:basedOn w:val="CommentTextChar"/>
    <w:link w:val="CommentSubject"/>
    <w:uiPriority w:val="99"/>
    <w:locked/>
    <w:rsid w:val="007047B9"/>
    <w:rPr>
      <w:b/>
      <w:bCs/>
    </w:rPr>
  </w:style>
  <w:style w:type="paragraph" w:styleId="DocumentMap">
    <w:name w:val="Document Map"/>
    <w:basedOn w:val="Normal"/>
    <w:link w:val="DocumentMapChar"/>
    <w:uiPriority w:val="99"/>
    <w:semiHidden/>
    <w:locked/>
    <w:rsid w:val="001177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B2E4E"/>
    <w:rPr>
      <w:rFonts w:ascii="Times New Roman" w:hAnsi="Times New Roman" w:cs="Times New Roman"/>
      <w:sz w:val="2"/>
    </w:rPr>
  </w:style>
  <w:style w:type="paragraph" w:customStyle="1" w:styleId="Default">
    <w:name w:val="Default"/>
    <w:uiPriority w:val="99"/>
    <w:rsid w:val="00B5091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973A9"/>
    <w:rPr>
      <w:rFonts w:ascii="Arial" w:hAnsi="Arial" w:cs="Humnst777 Lt BT"/>
    </w:rPr>
  </w:style>
  <w:style w:type="numbering" w:styleId="ArticleSection">
    <w:name w:val="Outline List 3"/>
    <w:basedOn w:val="NoList"/>
    <w:uiPriority w:val="99"/>
    <w:semiHidden/>
    <w:unhideWhenUsed/>
    <w:locked/>
    <w:rsid w:val="001A1635"/>
    <w:pPr>
      <w:numPr>
        <w:numId w:val="24"/>
      </w:numPr>
    </w:pPr>
  </w:style>
  <w:style w:type="numbering" w:styleId="1ai">
    <w:name w:val="Outline List 1"/>
    <w:basedOn w:val="NoList"/>
    <w:uiPriority w:val="99"/>
    <w:semiHidden/>
    <w:unhideWhenUsed/>
    <w:locked/>
    <w:rsid w:val="001A1635"/>
    <w:pPr>
      <w:numPr>
        <w:numId w:val="23"/>
      </w:numPr>
    </w:pPr>
  </w:style>
  <w:style w:type="numbering" w:styleId="111111">
    <w:name w:val="Outline List 2"/>
    <w:basedOn w:val="NoList"/>
    <w:uiPriority w:val="99"/>
    <w:semiHidden/>
    <w:unhideWhenUsed/>
    <w:locked/>
    <w:rsid w:val="001A1635"/>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woodhouse@hmrc.gs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915</Words>
  <Characters>5218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Information and Impact Note</dc:title>
  <dc:subject/>
  <dc:creator>4575016</dc:creator>
  <cp:keywords>TIIN template</cp:keywords>
  <dc:description/>
  <cp:lastModifiedBy>1465821</cp:lastModifiedBy>
  <cp:revision>3</cp:revision>
  <cp:lastPrinted>2013-11-26T16:20:00Z</cp:lastPrinted>
  <dcterms:created xsi:type="dcterms:W3CDTF">2013-12-05T14:13:00Z</dcterms:created>
  <dcterms:modified xsi:type="dcterms:W3CDTF">2013-12-05T16:44:00Z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PROTECT [IL1]</vt:lpwstr>
  </property>
  <property fmtid="{D5CDD505-2E9C-101B-9397-08002B2CF9AE}" pid="3" name="Document Security Label">
    <vt:lpwstr>PROTECT [IL1]</vt:lpwstr>
  </property>
  <property fmtid="{D5CDD505-2E9C-101B-9397-08002B2CF9AE}" pid="4" name="bjDocumentSecurityXML">
    <vt:lpwstr>&lt;label version="1.0"&gt;&lt;element uid="id_newpolicy" value=""/&gt;&lt;element uid="id_protect_-_il1"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PROTECT - IL1</vt:lpwstr>
  </property>
  <property fmtid="{D5CDD505-2E9C-101B-9397-08002B2CF9AE}" pid="8" name="bjSecLabelProp1ID">
    <vt:lpwstr>id_protect_-_il1</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a66a4a6a-3279-43d4-ab99-fb0b09beb604</vt:lpwstr>
  </property>
</Properties>
</file>