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0B" w:rsidRPr="008B0CBC" w:rsidRDefault="007C180B" w:rsidP="00D03DE0">
      <w:pPr>
        <w:jc w:val="center"/>
        <w:rPr>
          <w:b/>
          <w:u w:val="single"/>
        </w:rPr>
      </w:pPr>
      <w:r w:rsidRPr="008B0CBC">
        <w:rPr>
          <w:b/>
          <w:u w:val="single"/>
        </w:rPr>
        <w:t>Regula</w:t>
      </w:r>
      <w:r>
        <w:rPr>
          <w:b/>
          <w:u w:val="single"/>
        </w:rPr>
        <w:t xml:space="preserve">tions and Application Form </w:t>
      </w:r>
      <w:r w:rsidRPr="008B0CBC">
        <w:rPr>
          <w:b/>
          <w:u w:val="single"/>
        </w:rPr>
        <w:t>for Acce</w:t>
      </w:r>
      <w:r>
        <w:rPr>
          <w:b/>
          <w:u w:val="single"/>
        </w:rPr>
        <w:t xml:space="preserve">ss </w:t>
      </w:r>
      <w:r w:rsidRPr="008B0CBC">
        <w:rPr>
          <w:b/>
          <w:u w:val="single"/>
        </w:rPr>
        <w:t>to</w:t>
      </w:r>
      <w:r>
        <w:rPr>
          <w:b/>
          <w:u w:val="single"/>
        </w:rPr>
        <w:t xml:space="preserve"> the </w:t>
      </w:r>
      <w:r w:rsidR="00D8606B">
        <w:rPr>
          <w:b/>
          <w:u w:val="single"/>
        </w:rPr>
        <w:t>NGR</w:t>
      </w:r>
      <w:r>
        <w:rPr>
          <w:b/>
          <w:u w:val="single"/>
        </w:rPr>
        <w:t xml:space="preserve"> Keyworth Core </w:t>
      </w:r>
      <w:r w:rsidRPr="008B0CBC">
        <w:rPr>
          <w:b/>
          <w:u w:val="single"/>
        </w:rPr>
        <w:t>Store</w:t>
      </w:r>
    </w:p>
    <w:p w:rsidR="000A31E1" w:rsidRDefault="007C180B" w:rsidP="000A31E1">
      <w:r>
        <w:t xml:space="preserve">Access to view core or samples from any released well will be granted to any person wishing to do so; for cores and samples from unreleased wells, access will only be granted on receipt of written permission from the current licence holding well operating company. </w:t>
      </w:r>
      <w:r w:rsidR="000A31E1">
        <w:t>All access is conditional upon the timely lodging of raw data, interpretative reports, prepared samples and residues from previous visits.</w:t>
      </w:r>
    </w:p>
    <w:p w:rsidR="007C180B" w:rsidRDefault="007C180B" w:rsidP="00D03DE0">
      <w:pPr>
        <w:jc w:val="both"/>
      </w:pPr>
    </w:p>
    <w:p w:rsidR="007C180B" w:rsidRPr="008B0CBC" w:rsidRDefault="007C180B" w:rsidP="00D03DE0">
      <w:pPr>
        <w:jc w:val="both"/>
        <w:rPr>
          <w:b/>
          <w:u w:val="single"/>
        </w:rPr>
      </w:pPr>
      <w:r w:rsidRPr="008B0CBC">
        <w:rPr>
          <w:b/>
          <w:u w:val="single"/>
        </w:rPr>
        <w:t xml:space="preserve">1. Conditions of Access </w:t>
      </w:r>
    </w:p>
    <w:p w:rsidR="007C180B" w:rsidRDefault="007C180B" w:rsidP="00D03DE0">
      <w:pPr>
        <w:spacing w:after="0"/>
        <w:ind w:left="1134" w:hanging="567"/>
        <w:jc w:val="both"/>
      </w:pPr>
      <w:r>
        <w:t>i.</w:t>
      </w:r>
      <w:r>
        <w:tab/>
        <w:t xml:space="preserve">Access will only be granted on receipt of a completed application form. Forms can be obtained by directly contacting the Core Store or through the BGS website. Fill in the details of material needed and depth ranges by accessing the online databases at </w:t>
      </w:r>
      <w:hyperlink r:id="rId8" w:history="1">
        <w:r w:rsidRPr="005B6B40">
          <w:rPr>
            <w:rStyle w:val="Hyperlink"/>
          </w:rPr>
          <w:t>http://www.bgs.ac.uk/data/databases.html</w:t>
        </w:r>
      </w:hyperlink>
      <w:r>
        <w:t xml:space="preserve"> </w:t>
      </w:r>
    </w:p>
    <w:p w:rsidR="007C180B" w:rsidRDefault="007C180B" w:rsidP="00D03DE0">
      <w:pPr>
        <w:spacing w:after="0"/>
        <w:ind w:left="1134" w:hanging="567"/>
        <w:jc w:val="both"/>
      </w:pPr>
      <w:r>
        <w:t>ii.</w:t>
      </w:r>
      <w:r>
        <w:tab/>
        <w:t xml:space="preserve">On receipt, the application form will be checked and the viewing authorised. The room booking will then be confirmed. </w:t>
      </w:r>
    </w:p>
    <w:p w:rsidR="007C180B" w:rsidRDefault="007C180B" w:rsidP="00D03DE0">
      <w:pPr>
        <w:spacing w:after="0"/>
        <w:ind w:left="1134" w:hanging="567"/>
        <w:jc w:val="both"/>
      </w:pPr>
      <w:r>
        <w:t>iii.</w:t>
      </w:r>
      <w:r>
        <w:tab/>
        <w:t>The cost of laboratory hire is £120.00 + VAT per day (this charge is waived for academics on production of evidence, e.g. letter from supervisor or signed academic waiver, stating all works are for academic purposes only).</w:t>
      </w:r>
    </w:p>
    <w:p w:rsidR="007C180B" w:rsidRDefault="007C180B" w:rsidP="00D03DE0">
      <w:pPr>
        <w:spacing w:after="0"/>
        <w:ind w:left="1134" w:hanging="567"/>
        <w:jc w:val="both"/>
      </w:pPr>
      <w:r>
        <w:t>iv.</w:t>
      </w:r>
      <w:r>
        <w:tab/>
        <w:t>All cores and samples must be treated with the utmost care as this is the National Archive.  Any process or technique that might cause damage to the core and samples should not be used unless authorised in advance by the Chief Curator.</w:t>
      </w:r>
    </w:p>
    <w:p w:rsidR="007C180B" w:rsidRDefault="007C180B" w:rsidP="00D03DE0">
      <w:pPr>
        <w:ind w:left="1134" w:hanging="567"/>
        <w:jc w:val="both"/>
      </w:pPr>
      <w:r>
        <w:t xml:space="preserve">v. </w:t>
      </w:r>
      <w:r>
        <w:tab/>
        <w:t xml:space="preserve">Completion reports and well logs in the public domain may be available on request. </w:t>
      </w:r>
    </w:p>
    <w:p w:rsidR="007C180B" w:rsidRPr="008B0CBC" w:rsidRDefault="007C180B" w:rsidP="00D03DE0">
      <w:pPr>
        <w:jc w:val="both"/>
        <w:rPr>
          <w:b/>
          <w:u w:val="single"/>
        </w:rPr>
      </w:pPr>
      <w:r w:rsidRPr="008B0CBC">
        <w:rPr>
          <w:b/>
          <w:u w:val="single"/>
        </w:rPr>
        <w:t xml:space="preserve">2. Condition of Sampling </w:t>
      </w:r>
    </w:p>
    <w:p w:rsidR="007C180B" w:rsidRDefault="007C180B" w:rsidP="00D03DE0">
      <w:pPr>
        <w:jc w:val="both"/>
      </w:pPr>
      <w:r>
        <w:t xml:space="preserve">Permission to sample will only be granted at the discretion of the Core Store Manager, based on the following sampling rules: </w:t>
      </w:r>
    </w:p>
    <w:p w:rsidR="007C180B" w:rsidRDefault="003A5DB0" w:rsidP="00D03DE0">
      <w:pPr>
        <w:pStyle w:val="ListParagraph"/>
        <w:numPr>
          <w:ilvl w:val="0"/>
          <w:numId w:val="1"/>
        </w:numPr>
        <w:spacing w:after="0"/>
        <w:ind w:left="1134" w:hanging="567"/>
        <w:jc w:val="both"/>
      </w:pPr>
      <w:r>
        <w:t xml:space="preserve">        </w:t>
      </w:r>
      <w:r w:rsidR="000A31E1">
        <w:t xml:space="preserve">Sampling must follow the procedure described in </w:t>
      </w:r>
      <w:r w:rsidR="007C180B">
        <w:t>“Record of Samples Taken during Inspection”</w:t>
      </w:r>
      <w:r w:rsidR="000A31E1">
        <w:t xml:space="preserve"> i.e.</w:t>
      </w:r>
      <w:r w:rsidR="007C180B">
        <w:t xml:space="preserve"> all subsamples taken during the</w:t>
      </w:r>
      <w:r w:rsidR="000A31E1">
        <w:t xml:space="preserve"> </w:t>
      </w:r>
      <w:r w:rsidR="007C180B">
        <w:t xml:space="preserve">visit </w:t>
      </w:r>
      <w:r w:rsidR="000A31E1">
        <w:t xml:space="preserve">must be </w:t>
      </w:r>
      <w:r w:rsidR="00096ECD">
        <w:t>bar-coded</w:t>
      </w:r>
      <w:r w:rsidR="000A31E1">
        <w:t xml:space="preserve"> </w:t>
      </w:r>
      <w:r w:rsidR="007C180B">
        <w:t>and reference</w:t>
      </w:r>
      <w:r w:rsidR="000A31E1">
        <w:t>d</w:t>
      </w:r>
      <w:r w:rsidR="007C180B">
        <w:t xml:space="preserve"> </w:t>
      </w:r>
      <w:r w:rsidR="000A31E1">
        <w:t>by</w:t>
      </w:r>
      <w:r w:rsidR="007C180B">
        <w:t xml:space="preserve"> these unique numbers in all data and reports produced.</w:t>
      </w:r>
      <w:r w:rsidRPr="003A5DB0">
        <w:t xml:space="preserve"> </w:t>
      </w:r>
      <w:r>
        <w:t>A sampling fee of £10 + VAT is charged for each sample taken.</w:t>
      </w:r>
    </w:p>
    <w:p w:rsidR="007C180B" w:rsidRDefault="007C180B" w:rsidP="00D03DE0">
      <w:pPr>
        <w:pStyle w:val="ListParagraph"/>
        <w:numPr>
          <w:ilvl w:val="0"/>
          <w:numId w:val="1"/>
        </w:numPr>
        <w:spacing w:after="0"/>
        <w:ind w:left="1134" w:hanging="567"/>
        <w:jc w:val="both"/>
      </w:pPr>
      <w:r>
        <w:t xml:space="preserve">Sampling will not normally be allowed at intervals smaller than 1m. </w:t>
      </w:r>
    </w:p>
    <w:p w:rsidR="003A5DB0" w:rsidRDefault="007C180B" w:rsidP="00D03DE0">
      <w:pPr>
        <w:pStyle w:val="ListParagraph"/>
        <w:numPr>
          <w:ilvl w:val="0"/>
          <w:numId w:val="1"/>
        </w:numPr>
        <w:spacing w:after="0"/>
        <w:ind w:left="1134" w:hanging="567"/>
        <w:jc w:val="both"/>
      </w:pPr>
      <w:r>
        <w:t>Sample size (cores) is limited to that required for a thin section plus a palynological, micropalaeontological,</w:t>
      </w:r>
      <w:r w:rsidR="003A5DB0">
        <w:t xml:space="preserve"> </w:t>
      </w:r>
      <w:r>
        <w:t>geochemical or SEM analysis. (Usually small chips from side)</w:t>
      </w:r>
    </w:p>
    <w:p w:rsidR="007C180B" w:rsidRDefault="007C180B" w:rsidP="00D03DE0">
      <w:pPr>
        <w:pStyle w:val="ListParagraph"/>
        <w:spacing w:after="0"/>
        <w:ind w:left="1134"/>
        <w:jc w:val="both"/>
      </w:pPr>
      <w:r>
        <w:t xml:space="preserve">Sample size </w:t>
      </w:r>
      <w:r w:rsidR="003A5DB0">
        <w:t>(</w:t>
      </w:r>
      <w:r>
        <w:t>cuttings</w:t>
      </w:r>
      <w:r w:rsidR="003A5DB0">
        <w:t>)</w:t>
      </w:r>
      <w:r>
        <w:t xml:space="preserve"> is normally 5-10 grams but where sampling would deplete the archived set </w:t>
      </w:r>
      <w:r w:rsidR="00242537">
        <w:t xml:space="preserve">to below 25g </w:t>
      </w:r>
      <w:r>
        <w:t xml:space="preserve">permission should be obtained by applying directly to the DECC. (Information on request) </w:t>
      </w:r>
    </w:p>
    <w:p w:rsidR="00A66529" w:rsidRDefault="007C180B" w:rsidP="00D03DE0">
      <w:pPr>
        <w:pStyle w:val="ListParagraph"/>
        <w:numPr>
          <w:ilvl w:val="0"/>
          <w:numId w:val="1"/>
        </w:numPr>
        <w:spacing w:after="0"/>
        <w:ind w:left="1134" w:hanging="567"/>
        <w:jc w:val="both"/>
      </w:pPr>
      <w:r>
        <w:t>All samples, sample preparations, residues, thin sections etc. that are produced remain the property of the BGS and are to be returned to the store immediately following the completion of the study.</w:t>
      </w:r>
    </w:p>
    <w:p w:rsidR="00A66529" w:rsidRDefault="007C180B" w:rsidP="00A66529">
      <w:pPr>
        <w:pStyle w:val="ListParagraph"/>
        <w:numPr>
          <w:ilvl w:val="0"/>
          <w:numId w:val="1"/>
        </w:numPr>
        <w:spacing w:after="0"/>
        <w:ind w:left="1134" w:hanging="567"/>
        <w:jc w:val="both"/>
      </w:pPr>
      <w:r>
        <w:t xml:space="preserve">The DECC requires investigators to provide the basic analytical results of all investigations within 3 months, and the interpretation of this data within 6 months of the sample removal. These should be </w:t>
      </w:r>
      <w:r w:rsidRPr="002668E5">
        <w:t xml:space="preserve">sent to the BGS for attention of the Core Store Manager. </w:t>
      </w:r>
      <w:r w:rsidR="00A66529">
        <w:t xml:space="preserve">Raw data will be held confidential for two </w:t>
      </w:r>
      <w:r w:rsidR="00A66529">
        <w:lastRenderedPageBreak/>
        <w:t>years and interpretive reports for five years from the date of sampling. Thereafter copies may be obtained from the BGS, subject to the usual procedures for the supply of data.</w:t>
      </w:r>
    </w:p>
    <w:p w:rsidR="00A66529" w:rsidRPr="00A66529" w:rsidRDefault="007C180B" w:rsidP="00A66529">
      <w:pPr>
        <w:pStyle w:val="ListParagraph"/>
        <w:numPr>
          <w:ilvl w:val="0"/>
          <w:numId w:val="1"/>
        </w:numPr>
        <w:spacing w:after="0"/>
        <w:ind w:left="1134" w:hanging="567"/>
        <w:jc w:val="both"/>
      </w:pPr>
      <w:r w:rsidRPr="002668E5">
        <w:t>It will not normally be permitted for a second company to duplicate an analysis at previously sampled horizons</w:t>
      </w:r>
      <w:r>
        <w:t xml:space="preserve">. Any subsequent applicant </w:t>
      </w:r>
      <w:r w:rsidR="00A66529">
        <w:t>will be expected to sample above or below previous samplers. Where a subsequent applicant has a strong scientific case to duplicate a previously sampled horizon, they may apply to DECC for authorisation to contact the original sampler, who shall then make the basic analytical results available, either freely after 6 months from the date when they received the analytical results, or at a proportion of the analytical costs, not exceeding 50%, before 6 months from the date when they received the analytical results.</w:t>
      </w:r>
    </w:p>
    <w:p w:rsidR="007C180B" w:rsidRDefault="007C180B" w:rsidP="00A66529">
      <w:pPr>
        <w:pStyle w:val="ListParagraph"/>
        <w:spacing w:after="0"/>
        <w:ind w:left="567"/>
        <w:jc w:val="both"/>
        <w:rPr>
          <w:b/>
          <w:u w:val="single"/>
        </w:rPr>
      </w:pPr>
    </w:p>
    <w:p w:rsidR="00A66529" w:rsidRDefault="00A66529" w:rsidP="00A66529">
      <w:pPr>
        <w:pStyle w:val="ListParagraph"/>
        <w:spacing w:after="0"/>
        <w:ind w:left="567"/>
        <w:jc w:val="both"/>
        <w:rPr>
          <w:b/>
          <w:u w:val="single"/>
        </w:rPr>
      </w:pPr>
    </w:p>
    <w:p w:rsidR="007C180B" w:rsidRDefault="007C180B" w:rsidP="00D03DE0">
      <w:pPr>
        <w:spacing w:after="0"/>
        <w:jc w:val="both"/>
        <w:rPr>
          <w:b/>
          <w:u w:val="single"/>
        </w:rPr>
      </w:pPr>
    </w:p>
    <w:p w:rsidR="007C180B" w:rsidRPr="00322332" w:rsidRDefault="007C180B" w:rsidP="002668E5">
      <w:pPr>
        <w:jc w:val="both"/>
        <w:rPr>
          <w:b/>
          <w:u w:val="single"/>
        </w:rPr>
      </w:pPr>
      <w:r w:rsidRPr="00322332">
        <w:rPr>
          <w:b/>
          <w:u w:val="single"/>
        </w:rPr>
        <w:t xml:space="preserve">2. Slide Viewing </w:t>
      </w:r>
    </w:p>
    <w:p w:rsidR="002668E5" w:rsidRDefault="007C180B" w:rsidP="002668E5">
      <w:pPr>
        <w:jc w:val="both"/>
      </w:pPr>
      <w:r>
        <w:t xml:space="preserve">Access to the slide collection can be arranged by telephoning or writing to the Core Store (no application form is necessary). The cost of slide viewing is £75.00 + VAT per day (waived if viewing is in conjunction with laboratory hire). </w:t>
      </w:r>
    </w:p>
    <w:p w:rsidR="00A66529" w:rsidRDefault="00A66529" w:rsidP="002668E5">
      <w:pPr>
        <w:jc w:val="both"/>
      </w:pPr>
    </w:p>
    <w:p w:rsidR="007C180B" w:rsidRPr="008B0CBC" w:rsidRDefault="007C180B" w:rsidP="00D03DE0">
      <w:pPr>
        <w:jc w:val="both"/>
        <w:rPr>
          <w:b/>
          <w:u w:val="single"/>
        </w:rPr>
      </w:pPr>
      <w:r w:rsidRPr="008B0CBC">
        <w:rPr>
          <w:b/>
          <w:u w:val="single"/>
        </w:rPr>
        <w:t xml:space="preserve">3. Microfilm Viewing </w:t>
      </w:r>
    </w:p>
    <w:p w:rsidR="007C180B" w:rsidRDefault="007C180B" w:rsidP="00D03DE0">
      <w:pPr>
        <w:jc w:val="both"/>
      </w:pPr>
      <w:r>
        <w:t xml:space="preserve">A set of well logs on microfiche is available for viewing free of charge.  Bookings can be made by telephoning or writing to the Core Store (no application form is necessary). </w:t>
      </w:r>
    </w:p>
    <w:p w:rsidR="007C180B" w:rsidRDefault="007C180B" w:rsidP="00D03DE0">
      <w:pPr>
        <w:jc w:val="both"/>
        <w:rPr>
          <w:b/>
        </w:rPr>
      </w:pPr>
      <w:r w:rsidRPr="008B0CBC">
        <w:rPr>
          <w:b/>
        </w:rPr>
        <w:t xml:space="preserve">N.B. Failure to comply with the above rules may result in restriction of access. </w:t>
      </w:r>
    </w:p>
    <w:p w:rsidR="00827997" w:rsidRDefault="00D03DE0" w:rsidP="00827997">
      <w:pPr>
        <w:jc w:val="both"/>
        <w:rPr>
          <w:rFonts w:asciiTheme="minorHAnsi" w:hAnsiTheme="minorHAnsi" w:cstheme="minorHAnsi"/>
          <w:b/>
        </w:rPr>
      </w:pPr>
      <w:r w:rsidRPr="00827997">
        <w:rPr>
          <w:rFonts w:asciiTheme="minorHAnsi" w:hAnsiTheme="minorHAnsi" w:cstheme="minorHAnsi"/>
          <w:b/>
          <w:u w:val="single"/>
        </w:rPr>
        <w:t>For Information</w:t>
      </w:r>
      <w:r w:rsidRPr="00D03DE0">
        <w:rPr>
          <w:rFonts w:asciiTheme="minorHAnsi" w:hAnsiTheme="minorHAnsi" w:cstheme="minorHAnsi"/>
          <w:b/>
        </w:rPr>
        <w:t xml:space="preserve">: </w:t>
      </w:r>
    </w:p>
    <w:p w:rsidR="00956C3B" w:rsidRPr="00956C3B" w:rsidRDefault="00956C3B" w:rsidP="00827997">
      <w:pPr>
        <w:jc w:val="both"/>
        <w:rPr>
          <w:rFonts w:asciiTheme="minorHAnsi" w:hAnsiTheme="minorHAnsi" w:cstheme="minorHAnsi"/>
        </w:rPr>
      </w:pPr>
      <w:r w:rsidRPr="00956C3B">
        <w:rPr>
          <w:rFonts w:asciiTheme="minorHAnsi" w:hAnsiTheme="minorHAnsi" w:cstheme="minorHAnsi"/>
        </w:rPr>
        <w:t>Core Store Opening Times: Mon – Thurs 9.00 – 5.00 &amp; Fri 9.00 – 4.30</w:t>
      </w:r>
    </w:p>
    <w:p w:rsidR="00827997" w:rsidRPr="00827997" w:rsidRDefault="00827997" w:rsidP="00827997">
      <w:pPr>
        <w:jc w:val="both"/>
        <w:rPr>
          <w:rFonts w:asciiTheme="minorHAnsi" w:hAnsiTheme="minorHAnsi" w:cstheme="minorHAnsi"/>
          <w:noProof/>
          <w:lang w:eastAsia="en-GB"/>
        </w:rPr>
      </w:pPr>
      <w:r w:rsidRPr="00827997">
        <w:rPr>
          <w:rFonts w:asciiTheme="minorHAnsi" w:hAnsiTheme="minorHAnsi" w:cstheme="minorHAnsi"/>
          <w:noProof/>
          <w:lang w:eastAsia="en-GB"/>
        </w:rPr>
        <w:t xml:space="preserve">For published maps/reports please contact our Sales Desk </w:t>
      </w:r>
      <w:hyperlink r:id="rId9" w:history="1">
        <w:r w:rsidRPr="00827997">
          <w:rPr>
            <w:rStyle w:val="Hyperlink"/>
            <w:rFonts w:asciiTheme="minorHAnsi" w:hAnsiTheme="minorHAnsi" w:cstheme="minorHAnsi"/>
            <w:noProof/>
            <w:lang w:eastAsia="en-GB"/>
          </w:rPr>
          <w:t>sales@bgs.ac.uk</w:t>
        </w:r>
      </w:hyperlink>
      <w:r w:rsidRPr="00827997">
        <w:rPr>
          <w:rFonts w:asciiTheme="minorHAnsi" w:hAnsiTheme="minorHAnsi" w:cstheme="minorHAnsi"/>
          <w:noProof/>
          <w:lang w:eastAsia="en-GB"/>
        </w:rPr>
        <w:t xml:space="preserve">  </w:t>
      </w:r>
    </w:p>
    <w:p w:rsidR="00827997" w:rsidRPr="00827997" w:rsidRDefault="00827997" w:rsidP="00827997">
      <w:pPr>
        <w:jc w:val="both"/>
        <w:rPr>
          <w:rFonts w:asciiTheme="minorHAnsi" w:hAnsiTheme="minorHAnsi" w:cstheme="minorHAnsi"/>
          <w:noProof/>
          <w:lang w:eastAsia="en-GB"/>
        </w:rPr>
      </w:pPr>
      <w:r w:rsidRPr="00827997">
        <w:rPr>
          <w:rFonts w:asciiTheme="minorHAnsi" w:hAnsiTheme="minorHAnsi" w:cstheme="minorHAnsi"/>
          <w:noProof/>
          <w:lang w:eastAsia="en-GB"/>
        </w:rPr>
        <w:t xml:space="preserve">To view available borehole records please access the Borehole Scan Viewer on our website </w:t>
      </w:r>
      <w:hyperlink r:id="rId10" w:history="1">
        <w:r w:rsidRPr="00827997">
          <w:rPr>
            <w:rStyle w:val="Hyperlink"/>
            <w:rFonts w:asciiTheme="minorHAnsi" w:hAnsiTheme="minorHAnsi" w:cstheme="minorHAnsi"/>
            <w:noProof/>
            <w:lang w:eastAsia="en-GB"/>
          </w:rPr>
          <w:t>http://www.bgs.ac.uk/data/boreholescans/home.html</w:t>
        </w:r>
      </w:hyperlink>
      <w:r w:rsidRPr="00827997">
        <w:rPr>
          <w:rFonts w:asciiTheme="minorHAnsi" w:hAnsiTheme="minorHAnsi" w:cstheme="minorHAnsi"/>
          <w:noProof/>
          <w:lang w:eastAsia="en-GB"/>
        </w:rPr>
        <w:t xml:space="preserve">  </w:t>
      </w:r>
    </w:p>
    <w:p w:rsidR="00827997" w:rsidRPr="00827997" w:rsidRDefault="00827997" w:rsidP="00827997">
      <w:pPr>
        <w:jc w:val="both"/>
        <w:rPr>
          <w:rFonts w:asciiTheme="minorHAnsi" w:hAnsiTheme="minorHAnsi" w:cstheme="minorHAnsi"/>
          <w:noProof/>
          <w:lang w:eastAsia="en-GB"/>
        </w:rPr>
      </w:pPr>
      <w:r w:rsidRPr="00827997">
        <w:rPr>
          <w:rFonts w:asciiTheme="minorHAnsi" w:hAnsiTheme="minorHAnsi" w:cstheme="minorHAnsi"/>
          <w:noProof/>
          <w:lang w:eastAsia="en-GB"/>
        </w:rPr>
        <w:t xml:space="preserve">If you wish to order a Bespoke or Standard Geological Report please refer to </w:t>
      </w:r>
      <w:hyperlink r:id="rId11" w:history="1">
        <w:r w:rsidRPr="00827997">
          <w:rPr>
            <w:rStyle w:val="Hyperlink"/>
            <w:rFonts w:asciiTheme="minorHAnsi" w:hAnsiTheme="minorHAnsi" w:cstheme="minorHAnsi"/>
            <w:noProof/>
            <w:lang w:eastAsia="en-GB"/>
          </w:rPr>
          <w:t>www.bgs.ac.uk/georeports</w:t>
        </w:r>
      </w:hyperlink>
      <w:r w:rsidRPr="00827997">
        <w:rPr>
          <w:rFonts w:asciiTheme="minorHAnsi" w:hAnsiTheme="minorHAnsi" w:cstheme="minorHAnsi"/>
          <w:noProof/>
          <w:lang w:eastAsia="en-GB"/>
        </w:rPr>
        <w:t xml:space="preserve"> </w:t>
      </w:r>
    </w:p>
    <w:p w:rsidR="002668E5" w:rsidRDefault="00827997" w:rsidP="00827997">
      <w:pPr>
        <w:jc w:val="both"/>
        <w:rPr>
          <w:rFonts w:asciiTheme="minorHAnsi" w:hAnsiTheme="minorHAnsi" w:cstheme="minorHAnsi"/>
          <w:b/>
        </w:rPr>
      </w:pPr>
      <w:r w:rsidRPr="00827997">
        <w:rPr>
          <w:rFonts w:asciiTheme="minorHAnsi" w:hAnsiTheme="minorHAnsi" w:cstheme="minorHAnsi"/>
          <w:noProof/>
          <w:lang w:eastAsia="en-GB"/>
        </w:rPr>
        <w:t xml:space="preserve">If you wish to view archive data from the National Geosciences Data Centre, a separate visit must be arranged via </w:t>
      </w:r>
      <w:hyperlink r:id="rId12" w:history="1">
        <w:r w:rsidRPr="00827997">
          <w:rPr>
            <w:rStyle w:val="Hyperlink"/>
            <w:rFonts w:asciiTheme="minorHAnsi" w:hAnsiTheme="minorHAnsi" w:cstheme="minorHAnsi"/>
            <w:noProof/>
            <w:lang w:eastAsia="en-GB"/>
          </w:rPr>
          <w:t>enquiries@bgs.ac.uk</w:t>
        </w:r>
      </w:hyperlink>
      <w:r w:rsidRPr="00827997">
        <w:rPr>
          <w:rFonts w:asciiTheme="minorHAnsi" w:hAnsiTheme="minorHAnsi" w:cstheme="minorHAnsi"/>
          <w:noProof/>
          <w:lang w:eastAsia="en-GB"/>
        </w:rPr>
        <w:t xml:space="preserve"> .</w:t>
      </w:r>
      <w:r w:rsidR="007C180B" w:rsidRPr="00827997">
        <w:rPr>
          <w:rFonts w:asciiTheme="minorHAnsi" w:hAnsiTheme="minorHAnsi" w:cstheme="minorHAnsi"/>
          <w:b/>
        </w:rPr>
        <w:tab/>
      </w:r>
    </w:p>
    <w:p w:rsidR="00A66529" w:rsidRDefault="00A66529" w:rsidP="00827997">
      <w:pPr>
        <w:jc w:val="both"/>
        <w:rPr>
          <w:rFonts w:asciiTheme="minorHAnsi" w:hAnsiTheme="minorHAnsi" w:cstheme="minorHAnsi"/>
          <w:b/>
        </w:rPr>
      </w:pPr>
    </w:p>
    <w:p w:rsidR="00A66529" w:rsidRDefault="00A66529" w:rsidP="00827997">
      <w:pPr>
        <w:jc w:val="both"/>
        <w:rPr>
          <w:rFonts w:asciiTheme="minorHAnsi" w:hAnsiTheme="minorHAnsi" w:cstheme="minorHAnsi"/>
          <w:b/>
        </w:rPr>
      </w:pPr>
    </w:p>
    <w:p w:rsidR="00827997" w:rsidRDefault="007C180B" w:rsidP="00827997">
      <w:pPr>
        <w:jc w:val="both"/>
        <w:rPr>
          <w:b/>
        </w:rPr>
      </w:pPr>
      <w:r>
        <w:rPr>
          <w:b/>
        </w:rPr>
        <w:tab/>
      </w:r>
    </w:p>
    <w:p w:rsidR="007C180B" w:rsidRPr="0010583F" w:rsidRDefault="007C180B" w:rsidP="00827997">
      <w:pPr>
        <w:jc w:val="both"/>
        <w:rPr>
          <w:b/>
          <w:u w:val="single"/>
        </w:rPr>
      </w:pPr>
      <w:r w:rsidRPr="0010583F">
        <w:rPr>
          <w:b/>
          <w:u w:val="single"/>
        </w:rPr>
        <w:lastRenderedPageBreak/>
        <w:t xml:space="preserve">Application to examine </w:t>
      </w:r>
      <w:r>
        <w:rPr>
          <w:b/>
          <w:u w:val="single"/>
        </w:rPr>
        <w:t>Core and Core Samples</w:t>
      </w:r>
    </w:p>
    <w:tbl>
      <w:tblPr>
        <w:tblW w:w="106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641"/>
        <w:gridCol w:w="425"/>
        <w:gridCol w:w="2285"/>
        <w:gridCol w:w="1166"/>
        <w:gridCol w:w="1902"/>
        <w:gridCol w:w="2039"/>
      </w:tblGrid>
      <w:tr w:rsidR="007C180B" w:rsidRPr="0070650A" w:rsidTr="00D03DE0">
        <w:trPr>
          <w:trHeight w:val="521"/>
        </w:trPr>
        <w:tc>
          <w:tcPr>
            <w:tcW w:w="10615" w:type="dxa"/>
            <w:gridSpan w:val="7"/>
          </w:tcPr>
          <w:p w:rsidR="007C180B" w:rsidRPr="00E50FE5" w:rsidRDefault="007C180B" w:rsidP="00D03DE0">
            <w:pPr>
              <w:spacing w:after="0" w:line="240" w:lineRule="auto"/>
              <w:rPr>
                <w:rFonts w:ascii="Arial" w:hAnsi="Arial" w:cs="Arial"/>
              </w:rPr>
            </w:pPr>
            <w:r w:rsidRPr="00E50FE5">
              <w:rPr>
                <w:rFonts w:ascii="Arial" w:hAnsi="Arial" w:cs="Arial"/>
              </w:rPr>
              <w:t>APPLICANT (Name, Organisation)</w:t>
            </w:r>
          </w:p>
        </w:tc>
      </w:tr>
      <w:tr w:rsidR="007C180B" w:rsidRPr="0070650A" w:rsidTr="00D03DE0">
        <w:trPr>
          <w:trHeight w:val="958"/>
        </w:trPr>
        <w:tc>
          <w:tcPr>
            <w:tcW w:w="10615" w:type="dxa"/>
            <w:gridSpan w:val="7"/>
          </w:tcPr>
          <w:p w:rsidR="005852C3" w:rsidRDefault="007C180B" w:rsidP="00D03DE0">
            <w:pPr>
              <w:spacing w:after="0" w:line="240" w:lineRule="auto"/>
              <w:rPr>
                <w:rFonts w:ascii="Arial" w:hAnsi="Arial" w:cs="Arial"/>
              </w:rPr>
            </w:pPr>
            <w:r w:rsidRPr="00E50FE5">
              <w:rPr>
                <w:rFonts w:ascii="Arial" w:hAnsi="Arial" w:cs="Arial"/>
              </w:rPr>
              <w:t>Address</w:t>
            </w:r>
          </w:p>
          <w:p w:rsidR="005E57C6" w:rsidRDefault="005E57C6" w:rsidP="00D03DE0">
            <w:pPr>
              <w:spacing w:after="0" w:line="240" w:lineRule="auto"/>
              <w:rPr>
                <w:rFonts w:ascii="Arial" w:hAnsi="Arial" w:cs="Arial"/>
              </w:rPr>
            </w:pPr>
          </w:p>
          <w:p w:rsidR="005E57C6" w:rsidRDefault="005E57C6" w:rsidP="00D03DE0">
            <w:pPr>
              <w:spacing w:after="0" w:line="240" w:lineRule="auto"/>
              <w:rPr>
                <w:rFonts w:ascii="Arial" w:hAnsi="Arial" w:cs="Arial"/>
              </w:rPr>
            </w:pPr>
          </w:p>
          <w:p w:rsidR="005E57C6" w:rsidRDefault="005E57C6" w:rsidP="00D03DE0">
            <w:pPr>
              <w:spacing w:after="0" w:line="240" w:lineRule="auto"/>
              <w:rPr>
                <w:rFonts w:ascii="Arial" w:hAnsi="Arial" w:cs="Arial"/>
              </w:rPr>
            </w:pPr>
          </w:p>
          <w:p w:rsidR="005E57C6" w:rsidRDefault="005E57C6" w:rsidP="00D03DE0">
            <w:pPr>
              <w:spacing w:after="0" w:line="240" w:lineRule="auto"/>
              <w:rPr>
                <w:rFonts w:ascii="Arial" w:hAnsi="Arial" w:cs="Arial"/>
              </w:rPr>
            </w:pPr>
          </w:p>
          <w:p w:rsidR="00D03DE0" w:rsidRPr="00E50FE5" w:rsidRDefault="00D03DE0" w:rsidP="00D03DE0">
            <w:pPr>
              <w:spacing w:after="0" w:line="240" w:lineRule="auto"/>
              <w:rPr>
                <w:rFonts w:ascii="Arial" w:hAnsi="Arial" w:cs="Arial"/>
              </w:rPr>
            </w:pPr>
          </w:p>
        </w:tc>
      </w:tr>
      <w:tr w:rsidR="007C180B" w:rsidRPr="0070650A" w:rsidTr="00D03DE0">
        <w:trPr>
          <w:trHeight w:val="188"/>
        </w:trPr>
        <w:tc>
          <w:tcPr>
            <w:tcW w:w="2157" w:type="dxa"/>
            <w:vAlign w:val="bottom"/>
          </w:tcPr>
          <w:p w:rsidR="007C180B" w:rsidRPr="00E50FE5" w:rsidRDefault="007C180B" w:rsidP="00D03DE0">
            <w:pPr>
              <w:spacing w:after="0" w:line="240" w:lineRule="auto"/>
              <w:rPr>
                <w:rFonts w:ascii="Arial" w:hAnsi="Arial" w:cs="Arial"/>
              </w:rPr>
            </w:pPr>
            <w:r w:rsidRPr="00E50FE5">
              <w:rPr>
                <w:rFonts w:ascii="Arial" w:hAnsi="Arial" w:cs="Arial"/>
              </w:rPr>
              <w:t>Telephone</w:t>
            </w:r>
            <w:r>
              <w:rPr>
                <w:rFonts w:ascii="Arial" w:hAnsi="Arial" w:cs="Arial"/>
              </w:rPr>
              <w:t>/Fax</w:t>
            </w:r>
          </w:p>
        </w:tc>
        <w:tc>
          <w:tcPr>
            <w:tcW w:w="3351" w:type="dxa"/>
            <w:gridSpan w:val="3"/>
            <w:vAlign w:val="bottom"/>
          </w:tcPr>
          <w:p w:rsidR="007C180B" w:rsidRPr="00E50FE5" w:rsidRDefault="007C180B" w:rsidP="00D03DE0">
            <w:pPr>
              <w:spacing w:after="0" w:line="240" w:lineRule="auto"/>
              <w:rPr>
                <w:rFonts w:ascii="Arial" w:hAnsi="Arial" w:cs="Arial"/>
              </w:rPr>
            </w:pPr>
          </w:p>
        </w:tc>
        <w:tc>
          <w:tcPr>
            <w:tcW w:w="1166" w:type="dxa"/>
            <w:vAlign w:val="bottom"/>
          </w:tcPr>
          <w:p w:rsidR="007C180B" w:rsidRPr="0010583F" w:rsidRDefault="007C180B" w:rsidP="00D03DE0">
            <w:pPr>
              <w:spacing w:after="0" w:line="240" w:lineRule="auto"/>
              <w:rPr>
                <w:rFonts w:ascii="Times New Roman" w:hAnsi="Times New Roman"/>
              </w:rPr>
            </w:pPr>
            <w:r w:rsidRPr="0010583F">
              <w:rPr>
                <w:rFonts w:ascii="Times New Roman" w:hAnsi="Times New Roman"/>
              </w:rPr>
              <w:t>E-Mail</w:t>
            </w:r>
          </w:p>
        </w:tc>
        <w:tc>
          <w:tcPr>
            <w:tcW w:w="3941" w:type="dxa"/>
            <w:gridSpan w:val="2"/>
            <w:vAlign w:val="bottom"/>
          </w:tcPr>
          <w:p w:rsidR="007C180B" w:rsidRPr="0010583F" w:rsidRDefault="007C180B" w:rsidP="00D03DE0">
            <w:pPr>
              <w:spacing w:after="0" w:line="240" w:lineRule="auto"/>
              <w:rPr>
                <w:rFonts w:ascii="Times New Roman" w:hAnsi="Times New Roman"/>
              </w:rPr>
            </w:pPr>
          </w:p>
        </w:tc>
      </w:tr>
      <w:tr w:rsidR="00D03DE0" w:rsidRPr="00E50FE5" w:rsidTr="000A31E1">
        <w:trPr>
          <w:trHeight w:val="958"/>
        </w:trPr>
        <w:tc>
          <w:tcPr>
            <w:tcW w:w="10615" w:type="dxa"/>
            <w:gridSpan w:val="7"/>
          </w:tcPr>
          <w:p w:rsidR="00D03DE0" w:rsidRDefault="00D03DE0" w:rsidP="00D03DE0">
            <w:pPr>
              <w:spacing w:after="0" w:line="240" w:lineRule="auto"/>
              <w:rPr>
                <w:rFonts w:ascii="Arial" w:hAnsi="Arial" w:cs="Arial"/>
              </w:rPr>
            </w:pPr>
            <w:r>
              <w:rPr>
                <w:rFonts w:ascii="Arial" w:hAnsi="Arial" w:cs="Arial"/>
              </w:rPr>
              <w:t xml:space="preserve">Name and Billing </w:t>
            </w:r>
            <w:r w:rsidRPr="00E50FE5">
              <w:rPr>
                <w:rFonts w:ascii="Arial" w:hAnsi="Arial" w:cs="Arial"/>
              </w:rPr>
              <w:t>Address</w:t>
            </w:r>
            <w:r>
              <w:rPr>
                <w:rFonts w:ascii="Arial" w:hAnsi="Arial" w:cs="Arial"/>
              </w:rPr>
              <w:t xml:space="preserve"> if different from above:</w:t>
            </w:r>
          </w:p>
          <w:p w:rsidR="00D03DE0" w:rsidRDefault="00D03DE0" w:rsidP="00D03DE0">
            <w:pPr>
              <w:spacing w:after="0" w:line="240" w:lineRule="auto"/>
              <w:rPr>
                <w:rFonts w:ascii="Arial" w:hAnsi="Arial" w:cs="Arial"/>
              </w:rPr>
            </w:pPr>
          </w:p>
          <w:p w:rsidR="00D03DE0" w:rsidRDefault="00D03DE0" w:rsidP="00D03DE0">
            <w:pPr>
              <w:spacing w:after="0" w:line="240" w:lineRule="auto"/>
              <w:rPr>
                <w:rFonts w:ascii="Arial" w:hAnsi="Arial" w:cs="Arial"/>
              </w:rPr>
            </w:pPr>
          </w:p>
          <w:p w:rsidR="00D03DE0" w:rsidRDefault="00D03DE0" w:rsidP="00D03DE0">
            <w:pPr>
              <w:spacing w:after="0" w:line="240" w:lineRule="auto"/>
              <w:rPr>
                <w:rFonts w:ascii="Arial" w:hAnsi="Arial" w:cs="Arial"/>
              </w:rPr>
            </w:pPr>
          </w:p>
          <w:p w:rsidR="00D03DE0" w:rsidRPr="00E50FE5" w:rsidRDefault="00D03DE0" w:rsidP="00D03DE0">
            <w:pPr>
              <w:spacing w:after="0" w:line="240" w:lineRule="auto"/>
              <w:rPr>
                <w:rFonts w:ascii="Arial" w:hAnsi="Arial" w:cs="Arial"/>
              </w:rPr>
            </w:pPr>
          </w:p>
        </w:tc>
      </w:tr>
      <w:tr w:rsidR="007C180B" w:rsidRPr="0070650A" w:rsidTr="00D03DE0">
        <w:trPr>
          <w:trHeight w:val="655"/>
        </w:trPr>
        <w:tc>
          <w:tcPr>
            <w:tcW w:w="2157" w:type="dxa"/>
            <w:vAlign w:val="bottom"/>
          </w:tcPr>
          <w:p w:rsidR="00F71749" w:rsidRPr="00242537" w:rsidRDefault="007C180B" w:rsidP="00D03DE0">
            <w:pPr>
              <w:spacing w:after="0" w:line="480" w:lineRule="auto"/>
              <w:rPr>
                <w:rFonts w:ascii="Arial" w:hAnsi="Arial" w:cs="Arial"/>
                <w:b/>
              </w:rPr>
            </w:pPr>
            <w:r w:rsidRPr="00242537">
              <w:rPr>
                <w:rFonts w:ascii="Arial" w:hAnsi="Arial" w:cs="Arial"/>
                <w:b/>
              </w:rPr>
              <w:t>N</w:t>
            </w:r>
            <w:r w:rsidR="005852C3" w:rsidRPr="00242537">
              <w:rPr>
                <w:rFonts w:ascii="Arial" w:hAnsi="Arial" w:cs="Arial"/>
                <w:b/>
              </w:rPr>
              <w:t>ames</w:t>
            </w:r>
            <w:r w:rsidRPr="00242537">
              <w:rPr>
                <w:rFonts w:ascii="Arial" w:hAnsi="Arial" w:cs="Arial"/>
                <w:b/>
              </w:rPr>
              <w:t xml:space="preserve"> of </w:t>
            </w:r>
            <w:r w:rsidR="005B7965" w:rsidRPr="005B7965">
              <w:rPr>
                <w:rFonts w:ascii="Arial" w:hAnsi="Arial" w:cs="Arial"/>
                <w:b/>
                <w:u w:val="single"/>
              </w:rPr>
              <w:t xml:space="preserve">All </w:t>
            </w:r>
            <w:r w:rsidRPr="00242537">
              <w:rPr>
                <w:rFonts w:ascii="Arial" w:hAnsi="Arial" w:cs="Arial"/>
                <w:b/>
              </w:rPr>
              <w:t>Visitors</w:t>
            </w:r>
          </w:p>
        </w:tc>
        <w:tc>
          <w:tcPr>
            <w:tcW w:w="3351" w:type="dxa"/>
            <w:gridSpan w:val="3"/>
            <w:vAlign w:val="bottom"/>
          </w:tcPr>
          <w:p w:rsidR="005852C3" w:rsidRDefault="005852C3" w:rsidP="00D03DE0">
            <w:pPr>
              <w:spacing w:after="0" w:line="240" w:lineRule="auto"/>
              <w:rPr>
                <w:rFonts w:ascii="Arial" w:hAnsi="Arial" w:cs="Arial"/>
              </w:rPr>
            </w:pPr>
          </w:p>
          <w:p w:rsidR="005E57C6" w:rsidRDefault="005E57C6" w:rsidP="00D03DE0">
            <w:pPr>
              <w:spacing w:after="0" w:line="240" w:lineRule="auto"/>
              <w:rPr>
                <w:rFonts w:ascii="Arial" w:hAnsi="Arial" w:cs="Arial"/>
              </w:rPr>
            </w:pPr>
          </w:p>
          <w:p w:rsidR="005852C3" w:rsidRPr="00E50FE5" w:rsidRDefault="005852C3" w:rsidP="00D03DE0">
            <w:pPr>
              <w:spacing w:after="0" w:line="240" w:lineRule="auto"/>
              <w:rPr>
                <w:rFonts w:ascii="Arial" w:hAnsi="Arial" w:cs="Arial"/>
              </w:rPr>
            </w:pPr>
          </w:p>
        </w:tc>
        <w:tc>
          <w:tcPr>
            <w:tcW w:w="1166" w:type="dxa"/>
            <w:vAlign w:val="bottom"/>
          </w:tcPr>
          <w:p w:rsidR="007C180B" w:rsidRPr="0010583F" w:rsidRDefault="005E57C6" w:rsidP="00D03DE0">
            <w:pPr>
              <w:spacing w:after="0" w:line="240" w:lineRule="auto"/>
              <w:rPr>
                <w:rFonts w:ascii="Times New Roman" w:hAnsi="Times New Roman"/>
              </w:rPr>
            </w:pPr>
            <w:r>
              <w:rPr>
                <w:rFonts w:ascii="Times New Roman" w:hAnsi="Times New Roman"/>
              </w:rPr>
              <w:t xml:space="preserve">PO Ref </w:t>
            </w:r>
            <w:r w:rsidR="007C180B">
              <w:rPr>
                <w:rFonts w:ascii="Times New Roman" w:hAnsi="Times New Roman"/>
              </w:rPr>
              <w:t>N</w:t>
            </w:r>
            <w:r w:rsidR="007C180B" w:rsidRPr="0010583F">
              <w:rPr>
                <w:rFonts w:ascii="Times New Roman" w:hAnsi="Times New Roman"/>
              </w:rPr>
              <w:t>o:</w:t>
            </w:r>
          </w:p>
        </w:tc>
        <w:tc>
          <w:tcPr>
            <w:tcW w:w="3941" w:type="dxa"/>
            <w:gridSpan w:val="2"/>
            <w:vAlign w:val="bottom"/>
          </w:tcPr>
          <w:p w:rsidR="007C180B" w:rsidRPr="0010583F" w:rsidRDefault="007C180B" w:rsidP="00D03DE0">
            <w:pPr>
              <w:spacing w:after="0" w:line="240" w:lineRule="auto"/>
              <w:rPr>
                <w:rFonts w:ascii="Times New Roman" w:hAnsi="Times New Roman"/>
              </w:rPr>
            </w:pPr>
          </w:p>
        </w:tc>
      </w:tr>
      <w:tr w:rsidR="007C180B" w:rsidRPr="0070650A" w:rsidTr="00D03DE0">
        <w:trPr>
          <w:gridAfter w:val="2"/>
          <w:wAfter w:w="3941" w:type="dxa"/>
          <w:trHeight w:val="299"/>
        </w:trPr>
        <w:tc>
          <w:tcPr>
            <w:tcW w:w="2798" w:type="dxa"/>
            <w:gridSpan w:val="2"/>
            <w:vAlign w:val="bottom"/>
          </w:tcPr>
          <w:p w:rsidR="00F71749" w:rsidRDefault="00F71749" w:rsidP="00D03DE0">
            <w:pPr>
              <w:spacing w:after="0" w:line="240" w:lineRule="auto"/>
              <w:rPr>
                <w:rFonts w:ascii="Arial" w:hAnsi="Arial" w:cs="Arial"/>
                <w:b/>
                <w:i/>
              </w:rPr>
            </w:pPr>
          </w:p>
          <w:p w:rsidR="007C180B" w:rsidRPr="00E50FE5" w:rsidRDefault="007C180B" w:rsidP="00D03DE0">
            <w:pPr>
              <w:spacing w:after="0" w:line="240" w:lineRule="auto"/>
              <w:rPr>
                <w:rFonts w:ascii="Arial" w:hAnsi="Arial" w:cs="Arial"/>
                <w:b/>
                <w:i/>
              </w:rPr>
            </w:pPr>
            <w:r w:rsidRPr="00E50FE5">
              <w:rPr>
                <w:rFonts w:ascii="Arial" w:hAnsi="Arial" w:cs="Arial"/>
                <w:b/>
                <w:i/>
              </w:rPr>
              <w:t>(Academics Only)</w:t>
            </w:r>
          </w:p>
          <w:p w:rsidR="007C180B" w:rsidRPr="00E50FE5" w:rsidRDefault="007C180B" w:rsidP="00D03DE0">
            <w:pPr>
              <w:spacing w:after="0" w:line="240" w:lineRule="auto"/>
              <w:rPr>
                <w:rFonts w:ascii="Arial" w:hAnsi="Arial" w:cs="Arial"/>
                <w:b/>
                <w:i/>
              </w:rPr>
            </w:pPr>
            <w:r w:rsidRPr="00E50FE5">
              <w:rPr>
                <w:rFonts w:ascii="Arial" w:hAnsi="Arial" w:cs="Arial"/>
                <w:b/>
                <w:i/>
              </w:rPr>
              <w:t>Reason For Visit:</w:t>
            </w:r>
          </w:p>
        </w:tc>
        <w:tc>
          <w:tcPr>
            <w:tcW w:w="3876" w:type="dxa"/>
            <w:gridSpan w:val="3"/>
            <w:vAlign w:val="bottom"/>
          </w:tcPr>
          <w:p w:rsidR="007C180B" w:rsidRPr="00E50FE5" w:rsidRDefault="007C180B" w:rsidP="00D03DE0">
            <w:pPr>
              <w:spacing w:after="0" w:line="240" w:lineRule="auto"/>
              <w:rPr>
                <w:rFonts w:ascii="Arial" w:hAnsi="Arial" w:cs="Arial"/>
                <w:i/>
              </w:rPr>
            </w:pPr>
          </w:p>
        </w:tc>
      </w:tr>
      <w:tr w:rsidR="007C180B" w:rsidRPr="0070650A" w:rsidTr="00D03DE0">
        <w:trPr>
          <w:gridAfter w:val="2"/>
          <w:wAfter w:w="3941" w:type="dxa"/>
          <w:trHeight w:val="299"/>
        </w:trPr>
        <w:tc>
          <w:tcPr>
            <w:tcW w:w="2798" w:type="dxa"/>
            <w:gridSpan w:val="2"/>
            <w:vAlign w:val="bottom"/>
          </w:tcPr>
          <w:p w:rsidR="007C180B" w:rsidRPr="00E50FE5" w:rsidRDefault="007C180B" w:rsidP="00D03DE0">
            <w:pPr>
              <w:spacing w:after="0" w:line="240" w:lineRule="auto"/>
              <w:rPr>
                <w:rFonts w:ascii="Arial" w:hAnsi="Arial" w:cs="Arial"/>
                <w:b/>
                <w:i/>
              </w:rPr>
            </w:pPr>
            <w:r w:rsidRPr="00E50FE5">
              <w:rPr>
                <w:rFonts w:ascii="Arial" w:hAnsi="Arial" w:cs="Arial"/>
                <w:b/>
                <w:i/>
              </w:rPr>
              <w:t>Source of Research Funding:</w:t>
            </w:r>
          </w:p>
        </w:tc>
        <w:tc>
          <w:tcPr>
            <w:tcW w:w="3876" w:type="dxa"/>
            <w:gridSpan w:val="3"/>
            <w:vAlign w:val="bottom"/>
          </w:tcPr>
          <w:p w:rsidR="007C180B" w:rsidRPr="00E50FE5" w:rsidRDefault="007C180B" w:rsidP="00D03DE0">
            <w:pPr>
              <w:spacing w:after="0" w:line="240" w:lineRule="auto"/>
              <w:rPr>
                <w:rFonts w:ascii="Arial" w:hAnsi="Arial" w:cs="Arial"/>
                <w:i/>
              </w:rPr>
            </w:pPr>
          </w:p>
        </w:tc>
      </w:tr>
      <w:tr w:rsidR="007C180B" w:rsidRPr="0070650A" w:rsidTr="00D03DE0">
        <w:trPr>
          <w:gridAfter w:val="2"/>
          <w:wAfter w:w="3941" w:type="dxa"/>
          <w:trHeight w:val="299"/>
        </w:trPr>
        <w:tc>
          <w:tcPr>
            <w:tcW w:w="2798" w:type="dxa"/>
            <w:gridSpan w:val="2"/>
            <w:vAlign w:val="bottom"/>
          </w:tcPr>
          <w:p w:rsidR="007C180B" w:rsidRPr="00E50FE5" w:rsidRDefault="007C180B" w:rsidP="00D03DE0">
            <w:pPr>
              <w:spacing w:after="0" w:line="240" w:lineRule="auto"/>
              <w:rPr>
                <w:rFonts w:ascii="Arial" w:hAnsi="Arial" w:cs="Arial"/>
                <w:b/>
                <w:i/>
              </w:rPr>
            </w:pPr>
            <w:r w:rsidRPr="00E50FE5">
              <w:rPr>
                <w:rFonts w:ascii="Arial" w:hAnsi="Arial" w:cs="Arial"/>
                <w:b/>
                <w:i/>
              </w:rPr>
              <w:t>Publication Date of Results/Thesis:</w:t>
            </w:r>
          </w:p>
        </w:tc>
        <w:tc>
          <w:tcPr>
            <w:tcW w:w="3876" w:type="dxa"/>
            <w:gridSpan w:val="3"/>
            <w:vAlign w:val="bottom"/>
          </w:tcPr>
          <w:p w:rsidR="007C180B" w:rsidRPr="00E50FE5" w:rsidRDefault="007C180B" w:rsidP="00D03DE0">
            <w:pPr>
              <w:spacing w:after="0" w:line="240" w:lineRule="auto"/>
              <w:rPr>
                <w:rFonts w:ascii="Arial" w:hAnsi="Arial" w:cs="Arial"/>
                <w:i/>
              </w:rPr>
            </w:pPr>
          </w:p>
        </w:tc>
      </w:tr>
      <w:tr w:rsidR="007C180B" w:rsidRPr="0070650A" w:rsidTr="00D0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39" w:type="dxa"/>
          <w:trHeight w:val="448"/>
        </w:trPr>
        <w:tc>
          <w:tcPr>
            <w:tcW w:w="3223" w:type="dxa"/>
            <w:gridSpan w:val="3"/>
            <w:tcBorders>
              <w:top w:val="single" w:sz="4" w:space="0" w:color="auto"/>
              <w:left w:val="single" w:sz="4" w:space="0" w:color="auto"/>
              <w:bottom w:val="single" w:sz="4" w:space="0" w:color="auto"/>
              <w:right w:val="single" w:sz="4" w:space="0" w:color="auto"/>
            </w:tcBorders>
            <w:vAlign w:val="bottom"/>
          </w:tcPr>
          <w:p w:rsidR="007C180B" w:rsidRPr="00E50FE5" w:rsidRDefault="007C180B" w:rsidP="00D03DE0">
            <w:pPr>
              <w:rPr>
                <w:rFonts w:ascii="Arial" w:hAnsi="Arial" w:cs="Arial"/>
              </w:rPr>
            </w:pPr>
            <w:r w:rsidRPr="00E50FE5">
              <w:rPr>
                <w:rFonts w:ascii="Arial" w:hAnsi="Arial" w:cs="Arial"/>
              </w:rPr>
              <w:t xml:space="preserve">Nature of Research </w:t>
            </w:r>
          </w:p>
        </w:tc>
        <w:tc>
          <w:tcPr>
            <w:tcW w:w="5353" w:type="dxa"/>
            <w:gridSpan w:val="3"/>
            <w:tcBorders>
              <w:top w:val="single" w:sz="4" w:space="0" w:color="auto"/>
              <w:left w:val="single" w:sz="4" w:space="0" w:color="auto"/>
              <w:bottom w:val="single" w:sz="4" w:space="0" w:color="auto"/>
              <w:right w:val="single" w:sz="4" w:space="0" w:color="auto"/>
            </w:tcBorders>
          </w:tcPr>
          <w:p w:rsidR="007C180B" w:rsidRPr="00E50FE5" w:rsidRDefault="007C180B" w:rsidP="00D03DE0">
            <w:pPr>
              <w:rPr>
                <w:rFonts w:ascii="Arial" w:hAnsi="Arial" w:cs="Arial"/>
              </w:rPr>
            </w:pPr>
          </w:p>
        </w:tc>
      </w:tr>
      <w:tr w:rsidR="007C180B" w:rsidRPr="0070650A" w:rsidTr="00D0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39" w:type="dxa"/>
          <w:trHeight w:val="475"/>
        </w:trPr>
        <w:tc>
          <w:tcPr>
            <w:tcW w:w="3223" w:type="dxa"/>
            <w:gridSpan w:val="3"/>
            <w:tcBorders>
              <w:top w:val="single" w:sz="4" w:space="0" w:color="auto"/>
              <w:left w:val="single" w:sz="4" w:space="0" w:color="auto"/>
              <w:bottom w:val="single" w:sz="4" w:space="0" w:color="auto"/>
              <w:right w:val="single" w:sz="4" w:space="0" w:color="auto"/>
            </w:tcBorders>
            <w:vAlign w:val="bottom"/>
          </w:tcPr>
          <w:p w:rsidR="007C180B" w:rsidRPr="00E50FE5" w:rsidRDefault="007C180B" w:rsidP="00D03DE0">
            <w:pPr>
              <w:rPr>
                <w:rFonts w:ascii="Arial" w:hAnsi="Arial" w:cs="Arial"/>
              </w:rPr>
            </w:pPr>
            <w:r w:rsidRPr="00E50FE5">
              <w:rPr>
                <w:rFonts w:ascii="Arial" w:hAnsi="Arial" w:cs="Arial"/>
              </w:rPr>
              <w:t>Sampling Residue And Type:</w:t>
            </w:r>
          </w:p>
        </w:tc>
        <w:tc>
          <w:tcPr>
            <w:tcW w:w="5353" w:type="dxa"/>
            <w:gridSpan w:val="3"/>
            <w:tcBorders>
              <w:top w:val="single" w:sz="4" w:space="0" w:color="auto"/>
              <w:left w:val="single" w:sz="4" w:space="0" w:color="auto"/>
              <w:bottom w:val="single" w:sz="4" w:space="0" w:color="auto"/>
              <w:right w:val="single" w:sz="4" w:space="0" w:color="auto"/>
            </w:tcBorders>
          </w:tcPr>
          <w:p w:rsidR="007C180B" w:rsidRPr="00E50FE5" w:rsidRDefault="007C180B" w:rsidP="00D03DE0">
            <w:pPr>
              <w:rPr>
                <w:rFonts w:ascii="Arial" w:hAnsi="Arial" w:cs="Arial"/>
              </w:rPr>
            </w:pPr>
          </w:p>
        </w:tc>
      </w:tr>
      <w:tr w:rsidR="007C180B" w:rsidRPr="0070650A" w:rsidTr="00D0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39" w:type="dxa"/>
          <w:trHeight w:val="448"/>
        </w:trPr>
        <w:tc>
          <w:tcPr>
            <w:tcW w:w="3223" w:type="dxa"/>
            <w:gridSpan w:val="3"/>
            <w:tcBorders>
              <w:top w:val="single" w:sz="4" w:space="0" w:color="auto"/>
              <w:left w:val="single" w:sz="4" w:space="0" w:color="auto"/>
              <w:bottom w:val="single" w:sz="4" w:space="0" w:color="auto"/>
              <w:right w:val="single" w:sz="4" w:space="0" w:color="auto"/>
            </w:tcBorders>
            <w:vAlign w:val="bottom"/>
          </w:tcPr>
          <w:p w:rsidR="007C180B" w:rsidRPr="00E50FE5" w:rsidRDefault="007C180B" w:rsidP="00D03DE0">
            <w:pPr>
              <w:jc w:val="both"/>
              <w:rPr>
                <w:rFonts w:ascii="Arial" w:hAnsi="Arial" w:cs="Arial"/>
              </w:rPr>
            </w:pPr>
            <w:r w:rsidRPr="00E50FE5">
              <w:rPr>
                <w:rFonts w:ascii="Arial" w:hAnsi="Arial" w:cs="Arial"/>
              </w:rPr>
              <w:t>Analytical Report Type:</w:t>
            </w:r>
          </w:p>
        </w:tc>
        <w:tc>
          <w:tcPr>
            <w:tcW w:w="5353" w:type="dxa"/>
            <w:gridSpan w:val="3"/>
            <w:tcBorders>
              <w:top w:val="single" w:sz="4" w:space="0" w:color="auto"/>
              <w:left w:val="single" w:sz="4" w:space="0" w:color="auto"/>
              <w:bottom w:val="single" w:sz="4" w:space="0" w:color="auto"/>
              <w:right w:val="single" w:sz="4" w:space="0" w:color="auto"/>
            </w:tcBorders>
            <w:vAlign w:val="bottom"/>
          </w:tcPr>
          <w:p w:rsidR="007C180B" w:rsidRPr="0070650A" w:rsidRDefault="007C180B" w:rsidP="00D03DE0">
            <w:pPr>
              <w:jc w:val="both"/>
            </w:pPr>
          </w:p>
        </w:tc>
      </w:tr>
      <w:tr w:rsidR="007C180B" w:rsidRPr="0070650A" w:rsidTr="00D0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39" w:type="dxa"/>
          <w:trHeight w:val="448"/>
        </w:trPr>
        <w:tc>
          <w:tcPr>
            <w:tcW w:w="3223" w:type="dxa"/>
            <w:gridSpan w:val="3"/>
            <w:tcBorders>
              <w:top w:val="single" w:sz="4" w:space="0" w:color="auto"/>
              <w:left w:val="single" w:sz="4" w:space="0" w:color="auto"/>
              <w:bottom w:val="single" w:sz="4" w:space="0" w:color="auto"/>
              <w:right w:val="single" w:sz="4" w:space="0" w:color="auto"/>
            </w:tcBorders>
            <w:vAlign w:val="bottom"/>
          </w:tcPr>
          <w:p w:rsidR="007C180B" w:rsidRPr="00E50FE5" w:rsidRDefault="007C180B" w:rsidP="00D03DE0">
            <w:pPr>
              <w:jc w:val="both"/>
              <w:rPr>
                <w:rFonts w:ascii="Arial" w:hAnsi="Arial" w:cs="Arial"/>
              </w:rPr>
            </w:pPr>
            <w:r w:rsidRPr="00E50FE5">
              <w:rPr>
                <w:rFonts w:ascii="Arial" w:hAnsi="Arial" w:cs="Arial"/>
              </w:rPr>
              <w:t>Estimated Date Published:</w:t>
            </w:r>
          </w:p>
        </w:tc>
        <w:tc>
          <w:tcPr>
            <w:tcW w:w="5353" w:type="dxa"/>
            <w:gridSpan w:val="3"/>
            <w:tcBorders>
              <w:top w:val="single" w:sz="4" w:space="0" w:color="auto"/>
              <w:left w:val="single" w:sz="4" w:space="0" w:color="auto"/>
              <w:bottom w:val="single" w:sz="4" w:space="0" w:color="auto"/>
              <w:right w:val="single" w:sz="4" w:space="0" w:color="auto"/>
            </w:tcBorders>
            <w:vAlign w:val="bottom"/>
          </w:tcPr>
          <w:p w:rsidR="007C180B" w:rsidRPr="0070650A" w:rsidRDefault="007C180B" w:rsidP="00D03DE0">
            <w:pPr>
              <w:jc w:val="both"/>
            </w:pPr>
          </w:p>
        </w:tc>
      </w:tr>
      <w:tr w:rsidR="007C180B" w:rsidRPr="0070650A" w:rsidTr="00D0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39" w:type="dxa"/>
          <w:trHeight w:val="448"/>
        </w:trPr>
        <w:tc>
          <w:tcPr>
            <w:tcW w:w="3223" w:type="dxa"/>
            <w:gridSpan w:val="3"/>
            <w:tcBorders>
              <w:top w:val="single" w:sz="4" w:space="0" w:color="auto"/>
              <w:left w:val="single" w:sz="4" w:space="0" w:color="auto"/>
              <w:bottom w:val="single" w:sz="4" w:space="0" w:color="auto"/>
              <w:right w:val="single" w:sz="4" w:space="0" w:color="auto"/>
            </w:tcBorders>
            <w:vAlign w:val="bottom"/>
          </w:tcPr>
          <w:p w:rsidR="007C180B" w:rsidRPr="00E50FE5" w:rsidRDefault="007C180B" w:rsidP="00D03DE0">
            <w:pPr>
              <w:jc w:val="both"/>
              <w:rPr>
                <w:rFonts w:ascii="Arial" w:hAnsi="Arial" w:cs="Arial"/>
              </w:rPr>
            </w:pPr>
            <w:r w:rsidRPr="00E50FE5">
              <w:rPr>
                <w:rFonts w:ascii="Arial" w:hAnsi="Arial" w:cs="Arial"/>
              </w:rPr>
              <w:t xml:space="preserve">Interpretive Report(s) Type: </w:t>
            </w:r>
          </w:p>
        </w:tc>
        <w:tc>
          <w:tcPr>
            <w:tcW w:w="5353" w:type="dxa"/>
            <w:gridSpan w:val="3"/>
            <w:tcBorders>
              <w:top w:val="single" w:sz="4" w:space="0" w:color="auto"/>
              <w:left w:val="single" w:sz="4" w:space="0" w:color="auto"/>
              <w:bottom w:val="single" w:sz="4" w:space="0" w:color="auto"/>
              <w:right w:val="single" w:sz="4" w:space="0" w:color="auto"/>
            </w:tcBorders>
            <w:vAlign w:val="bottom"/>
          </w:tcPr>
          <w:p w:rsidR="007C180B" w:rsidRPr="0070650A" w:rsidRDefault="007C180B" w:rsidP="00D03DE0">
            <w:pPr>
              <w:jc w:val="both"/>
            </w:pPr>
          </w:p>
        </w:tc>
      </w:tr>
      <w:tr w:rsidR="007C180B" w:rsidRPr="0070650A" w:rsidTr="00D0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39" w:type="dxa"/>
          <w:trHeight w:val="448"/>
        </w:trPr>
        <w:tc>
          <w:tcPr>
            <w:tcW w:w="3223" w:type="dxa"/>
            <w:gridSpan w:val="3"/>
            <w:tcBorders>
              <w:top w:val="single" w:sz="4" w:space="0" w:color="auto"/>
              <w:left w:val="single" w:sz="4" w:space="0" w:color="auto"/>
              <w:bottom w:val="single" w:sz="4" w:space="0" w:color="auto"/>
              <w:right w:val="single" w:sz="4" w:space="0" w:color="auto"/>
            </w:tcBorders>
            <w:vAlign w:val="bottom"/>
          </w:tcPr>
          <w:p w:rsidR="007C180B" w:rsidRPr="00E50FE5" w:rsidRDefault="007C180B" w:rsidP="00D03DE0">
            <w:pPr>
              <w:jc w:val="both"/>
              <w:rPr>
                <w:rFonts w:ascii="Arial" w:hAnsi="Arial" w:cs="Arial"/>
              </w:rPr>
            </w:pPr>
            <w:r w:rsidRPr="00E50FE5">
              <w:rPr>
                <w:rFonts w:ascii="Arial" w:hAnsi="Arial" w:cs="Arial"/>
              </w:rPr>
              <w:t>Estimated Date Published:</w:t>
            </w:r>
          </w:p>
        </w:tc>
        <w:tc>
          <w:tcPr>
            <w:tcW w:w="5353" w:type="dxa"/>
            <w:gridSpan w:val="3"/>
            <w:tcBorders>
              <w:top w:val="single" w:sz="4" w:space="0" w:color="auto"/>
              <w:left w:val="single" w:sz="4" w:space="0" w:color="auto"/>
              <w:bottom w:val="single" w:sz="4" w:space="0" w:color="auto"/>
              <w:right w:val="single" w:sz="4" w:space="0" w:color="auto"/>
            </w:tcBorders>
            <w:vAlign w:val="bottom"/>
          </w:tcPr>
          <w:p w:rsidR="007C180B" w:rsidRPr="0070650A" w:rsidRDefault="007C180B" w:rsidP="00D03DE0">
            <w:pPr>
              <w:jc w:val="both"/>
            </w:pPr>
          </w:p>
        </w:tc>
      </w:tr>
      <w:tr w:rsidR="007C180B" w:rsidRPr="0070650A" w:rsidTr="00D0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39" w:type="dxa"/>
          <w:trHeight w:val="70"/>
        </w:trPr>
        <w:tc>
          <w:tcPr>
            <w:tcW w:w="3223" w:type="dxa"/>
            <w:gridSpan w:val="3"/>
            <w:tcBorders>
              <w:top w:val="single" w:sz="4" w:space="0" w:color="auto"/>
              <w:left w:val="single" w:sz="4" w:space="0" w:color="auto"/>
              <w:bottom w:val="single" w:sz="4" w:space="0" w:color="auto"/>
              <w:right w:val="single" w:sz="4" w:space="0" w:color="auto"/>
            </w:tcBorders>
            <w:vAlign w:val="bottom"/>
          </w:tcPr>
          <w:p w:rsidR="007C180B" w:rsidRPr="00E50FE5" w:rsidRDefault="007C180B" w:rsidP="00D03DE0">
            <w:pPr>
              <w:jc w:val="both"/>
              <w:rPr>
                <w:rFonts w:ascii="Arial" w:hAnsi="Arial" w:cs="Arial"/>
              </w:rPr>
            </w:pPr>
            <w:r w:rsidRPr="00E50FE5">
              <w:rPr>
                <w:rFonts w:ascii="Arial" w:hAnsi="Arial" w:cs="Arial"/>
              </w:rPr>
              <w:t>Release if Applicable:</w:t>
            </w:r>
          </w:p>
        </w:tc>
        <w:tc>
          <w:tcPr>
            <w:tcW w:w="5353" w:type="dxa"/>
            <w:gridSpan w:val="3"/>
            <w:tcBorders>
              <w:top w:val="single" w:sz="4" w:space="0" w:color="auto"/>
              <w:left w:val="single" w:sz="4" w:space="0" w:color="auto"/>
              <w:bottom w:val="single" w:sz="4" w:space="0" w:color="auto"/>
              <w:right w:val="single" w:sz="4" w:space="0" w:color="auto"/>
            </w:tcBorders>
            <w:vAlign w:val="bottom"/>
          </w:tcPr>
          <w:p w:rsidR="005E57C6" w:rsidRPr="0070650A" w:rsidRDefault="005E57C6" w:rsidP="00D03DE0">
            <w:pPr>
              <w:jc w:val="both"/>
            </w:pPr>
          </w:p>
        </w:tc>
      </w:tr>
    </w:tbl>
    <w:p w:rsidR="00956C3B" w:rsidRDefault="00956C3B" w:rsidP="00D03DE0">
      <w:pPr>
        <w:jc w:val="both"/>
      </w:pPr>
    </w:p>
    <w:p w:rsidR="00A66529" w:rsidRDefault="00A66529" w:rsidP="00D03DE0">
      <w:pPr>
        <w:jc w:val="both"/>
      </w:pPr>
    </w:p>
    <w:p w:rsidR="00A66529" w:rsidRDefault="00A66529" w:rsidP="00D03DE0">
      <w:pPr>
        <w:jc w:val="both"/>
      </w:pPr>
    </w:p>
    <w:p w:rsidR="00A66529" w:rsidRDefault="00A66529" w:rsidP="00D03DE0">
      <w:pPr>
        <w:jc w:val="both"/>
      </w:pPr>
    </w:p>
    <w:tbl>
      <w:tblPr>
        <w:tblW w:w="0" w:type="auto"/>
        <w:tblBorders>
          <w:top w:val="double" w:sz="12" w:space="0" w:color="auto"/>
          <w:left w:val="double" w:sz="12" w:space="0" w:color="auto"/>
          <w:bottom w:val="double" w:sz="12" w:space="0" w:color="auto"/>
          <w:right w:val="double" w:sz="12" w:space="0" w:color="auto"/>
        </w:tblBorders>
        <w:tblLook w:val="04A0"/>
      </w:tblPr>
      <w:tblGrid>
        <w:gridCol w:w="2136"/>
        <w:gridCol w:w="2136"/>
        <w:gridCol w:w="2136"/>
        <w:gridCol w:w="2137"/>
        <w:gridCol w:w="2137"/>
      </w:tblGrid>
      <w:tr w:rsidR="00B23ABB" w:rsidTr="00B23ABB">
        <w:tc>
          <w:tcPr>
            <w:tcW w:w="2136" w:type="dxa"/>
            <w:vMerge w:val="restart"/>
            <w:tcBorders>
              <w:top w:val="double" w:sz="12" w:space="0" w:color="auto"/>
              <w:bottom w:val="single" w:sz="6" w:space="0" w:color="auto"/>
              <w:right w:val="single" w:sz="12" w:space="0" w:color="auto"/>
            </w:tcBorders>
          </w:tcPr>
          <w:p w:rsidR="00956C3B" w:rsidRDefault="00956C3B" w:rsidP="00B23ABB">
            <w:pPr>
              <w:jc w:val="both"/>
            </w:pPr>
            <w:r w:rsidRPr="00B23ABB">
              <w:rPr>
                <w:rFonts w:ascii="Times New Roman" w:hAnsi="Times New Roman"/>
                <w:b/>
              </w:rPr>
              <w:lastRenderedPageBreak/>
              <w:t>Borehole or Sample ID;</w:t>
            </w:r>
            <w:r w:rsidRPr="00B23ABB">
              <w:rPr>
                <w:rFonts w:ascii="Times New Roman" w:hAnsi="Times New Roman"/>
              </w:rPr>
              <w:t xml:space="preserve"> list material in order of priority</w:t>
            </w:r>
          </w:p>
        </w:tc>
        <w:tc>
          <w:tcPr>
            <w:tcW w:w="4272" w:type="dxa"/>
            <w:gridSpan w:val="2"/>
            <w:tcBorders>
              <w:top w:val="double" w:sz="12" w:space="0" w:color="auto"/>
              <w:left w:val="single" w:sz="12" w:space="0" w:color="auto"/>
              <w:bottom w:val="single" w:sz="6" w:space="0" w:color="auto"/>
              <w:right w:val="single" w:sz="12" w:space="0" w:color="auto"/>
            </w:tcBorders>
          </w:tcPr>
          <w:p w:rsidR="00956C3B" w:rsidRPr="00B23ABB" w:rsidRDefault="00956C3B" w:rsidP="00B23ABB">
            <w:pPr>
              <w:jc w:val="center"/>
              <w:rPr>
                <w:b/>
                <w:sz w:val="24"/>
                <w:szCs w:val="24"/>
              </w:rPr>
            </w:pPr>
            <w:r w:rsidRPr="00B23ABB">
              <w:rPr>
                <w:b/>
                <w:sz w:val="24"/>
                <w:szCs w:val="24"/>
              </w:rPr>
              <w:t>Drill Core/Bulk/Discontinuous/Core Samples/Resin Mounted Drill Core/Waxed Core Samples/Registered Borehole Specimen – delete as appropriate</w:t>
            </w:r>
            <w:r w:rsidR="00A633D9" w:rsidRPr="00B23ABB">
              <w:rPr>
                <w:sz w:val="24"/>
                <w:szCs w:val="24"/>
              </w:rPr>
              <w:t>; for material type please see below</w:t>
            </w:r>
          </w:p>
        </w:tc>
        <w:tc>
          <w:tcPr>
            <w:tcW w:w="4274" w:type="dxa"/>
            <w:gridSpan w:val="2"/>
            <w:tcBorders>
              <w:top w:val="double" w:sz="12" w:space="0" w:color="auto"/>
              <w:left w:val="single" w:sz="12" w:space="0" w:color="auto"/>
              <w:bottom w:val="single" w:sz="6" w:space="0" w:color="auto"/>
            </w:tcBorders>
          </w:tcPr>
          <w:p w:rsidR="00956C3B" w:rsidRPr="00B23ABB" w:rsidRDefault="00956C3B" w:rsidP="00B23ABB">
            <w:pPr>
              <w:jc w:val="center"/>
              <w:rPr>
                <w:b/>
                <w:sz w:val="24"/>
                <w:szCs w:val="24"/>
              </w:rPr>
            </w:pPr>
            <w:r w:rsidRPr="00B23ABB">
              <w:rPr>
                <w:b/>
                <w:sz w:val="24"/>
                <w:szCs w:val="24"/>
              </w:rPr>
              <w:t>Cuttings/Registered Cuttings/Unwashed Cuttings – delete as appropriate</w:t>
            </w:r>
            <w:r w:rsidR="00A633D9" w:rsidRPr="00B23ABB">
              <w:rPr>
                <w:sz w:val="24"/>
                <w:szCs w:val="24"/>
              </w:rPr>
              <w:t>; for material type please see below</w:t>
            </w:r>
          </w:p>
        </w:tc>
      </w:tr>
      <w:tr w:rsidR="00B23ABB" w:rsidTr="00B23ABB">
        <w:tc>
          <w:tcPr>
            <w:tcW w:w="2136" w:type="dxa"/>
            <w:vMerge/>
            <w:tcBorders>
              <w:top w:val="single" w:sz="6" w:space="0" w:color="auto"/>
              <w:bottom w:val="single" w:sz="6" w:space="0" w:color="auto"/>
              <w:right w:val="single" w:sz="12" w:space="0" w:color="auto"/>
            </w:tcBorders>
          </w:tcPr>
          <w:p w:rsidR="00956C3B" w:rsidRDefault="00956C3B" w:rsidP="00B23ABB">
            <w:pPr>
              <w:jc w:val="both"/>
            </w:pPr>
          </w:p>
        </w:tc>
        <w:tc>
          <w:tcPr>
            <w:tcW w:w="4272" w:type="dxa"/>
            <w:gridSpan w:val="2"/>
            <w:tcBorders>
              <w:top w:val="single" w:sz="6" w:space="0" w:color="auto"/>
              <w:left w:val="single" w:sz="12" w:space="0" w:color="auto"/>
              <w:bottom w:val="single" w:sz="6" w:space="0" w:color="auto"/>
              <w:right w:val="single" w:sz="12" w:space="0" w:color="auto"/>
            </w:tcBorders>
          </w:tcPr>
          <w:p w:rsidR="002668E5" w:rsidRPr="00B23ABB" w:rsidRDefault="00956C3B" w:rsidP="00B23ABB">
            <w:pPr>
              <w:spacing w:after="120"/>
              <w:jc w:val="both"/>
              <w:rPr>
                <w:b/>
              </w:rPr>
            </w:pPr>
            <w:r w:rsidRPr="00B23ABB">
              <w:rPr>
                <w:b/>
              </w:rPr>
              <w:t>Depths Required</w:t>
            </w:r>
            <w:r w:rsidR="002668E5" w:rsidRPr="00B23ABB">
              <w:rPr>
                <w:b/>
              </w:rPr>
              <w:t xml:space="preserve"> </w:t>
            </w:r>
          </w:p>
          <w:p w:rsidR="00956C3B" w:rsidRPr="00B23ABB" w:rsidRDefault="002668E5" w:rsidP="00B23ABB">
            <w:pPr>
              <w:spacing w:after="120"/>
              <w:jc w:val="both"/>
              <w:rPr>
                <w:b/>
              </w:rPr>
            </w:pPr>
            <w:r w:rsidRPr="002668E5">
              <w:t>(</w:t>
            </w:r>
            <w:r w:rsidRPr="00B23ABB">
              <w:rPr>
                <w:sz w:val="20"/>
                <w:szCs w:val="20"/>
              </w:rPr>
              <w:t>Please indicate depths in metres or feet)</w:t>
            </w:r>
          </w:p>
        </w:tc>
        <w:tc>
          <w:tcPr>
            <w:tcW w:w="4274" w:type="dxa"/>
            <w:gridSpan w:val="2"/>
            <w:tcBorders>
              <w:top w:val="single" w:sz="6" w:space="0" w:color="auto"/>
              <w:left w:val="single" w:sz="12" w:space="0" w:color="auto"/>
              <w:bottom w:val="single" w:sz="6" w:space="0" w:color="auto"/>
            </w:tcBorders>
          </w:tcPr>
          <w:p w:rsidR="002668E5" w:rsidRPr="00B23ABB" w:rsidRDefault="00956C3B" w:rsidP="00B23ABB">
            <w:pPr>
              <w:jc w:val="both"/>
              <w:rPr>
                <w:b/>
              </w:rPr>
            </w:pPr>
            <w:r w:rsidRPr="00B23ABB">
              <w:rPr>
                <w:b/>
              </w:rPr>
              <w:t>Depths Required</w:t>
            </w:r>
            <w:r w:rsidR="002668E5" w:rsidRPr="00B23ABB">
              <w:rPr>
                <w:b/>
              </w:rPr>
              <w:t xml:space="preserve"> </w:t>
            </w:r>
          </w:p>
          <w:p w:rsidR="00956C3B" w:rsidRPr="00B23ABB" w:rsidRDefault="002668E5" w:rsidP="00B23ABB">
            <w:pPr>
              <w:jc w:val="both"/>
              <w:rPr>
                <w:b/>
              </w:rPr>
            </w:pPr>
            <w:r w:rsidRPr="002668E5">
              <w:t>(</w:t>
            </w:r>
            <w:r w:rsidRPr="00B23ABB">
              <w:rPr>
                <w:sz w:val="20"/>
                <w:szCs w:val="20"/>
              </w:rPr>
              <w:t>Please indicate depths in metres or feet)</w:t>
            </w:r>
          </w:p>
        </w:tc>
      </w:tr>
      <w:tr w:rsidR="00B23ABB" w:rsidTr="00B23ABB">
        <w:tc>
          <w:tcPr>
            <w:tcW w:w="2136" w:type="dxa"/>
            <w:vMerge/>
            <w:tcBorders>
              <w:top w:val="single" w:sz="6" w:space="0" w:color="auto"/>
              <w:bottom w:val="single" w:sz="6" w:space="0" w:color="auto"/>
              <w:right w:val="single" w:sz="12" w:space="0" w:color="auto"/>
            </w:tcBorders>
          </w:tcPr>
          <w:p w:rsidR="00956C3B" w:rsidRDefault="00956C3B" w:rsidP="00B23ABB">
            <w:pPr>
              <w:jc w:val="both"/>
            </w:pPr>
          </w:p>
        </w:tc>
        <w:tc>
          <w:tcPr>
            <w:tcW w:w="2136" w:type="dxa"/>
            <w:tcBorders>
              <w:top w:val="single" w:sz="6" w:space="0" w:color="auto"/>
              <w:left w:val="single" w:sz="12" w:space="0" w:color="auto"/>
              <w:bottom w:val="single" w:sz="6" w:space="0" w:color="auto"/>
              <w:right w:val="single" w:sz="6" w:space="0" w:color="auto"/>
            </w:tcBorders>
          </w:tcPr>
          <w:p w:rsidR="00956C3B" w:rsidRPr="00B23ABB" w:rsidRDefault="00956C3B" w:rsidP="00B23ABB">
            <w:pPr>
              <w:jc w:val="both"/>
              <w:rPr>
                <w:b/>
              </w:rPr>
            </w:pPr>
            <w:r w:rsidRPr="00B23ABB">
              <w:rPr>
                <w:b/>
              </w:rPr>
              <w:t>Top</w:t>
            </w:r>
            <w:r w:rsidR="002668E5" w:rsidRPr="00B23ABB">
              <w:rPr>
                <w:b/>
              </w:rPr>
              <w:t xml:space="preserve"> </w:t>
            </w:r>
          </w:p>
        </w:tc>
        <w:tc>
          <w:tcPr>
            <w:tcW w:w="2136" w:type="dxa"/>
            <w:tcBorders>
              <w:top w:val="single" w:sz="6" w:space="0" w:color="auto"/>
              <w:left w:val="single" w:sz="6" w:space="0" w:color="auto"/>
              <w:bottom w:val="single" w:sz="6" w:space="0" w:color="auto"/>
              <w:right w:val="single" w:sz="12" w:space="0" w:color="auto"/>
            </w:tcBorders>
          </w:tcPr>
          <w:p w:rsidR="00956C3B" w:rsidRPr="00B23ABB" w:rsidRDefault="00956C3B" w:rsidP="00B23ABB">
            <w:pPr>
              <w:jc w:val="both"/>
              <w:rPr>
                <w:b/>
              </w:rPr>
            </w:pPr>
            <w:r w:rsidRPr="00B23ABB">
              <w:rPr>
                <w:b/>
              </w:rPr>
              <w:t>Base</w:t>
            </w:r>
          </w:p>
        </w:tc>
        <w:tc>
          <w:tcPr>
            <w:tcW w:w="2137" w:type="dxa"/>
            <w:tcBorders>
              <w:top w:val="single" w:sz="6" w:space="0" w:color="auto"/>
              <w:left w:val="single" w:sz="12" w:space="0" w:color="auto"/>
              <w:bottom w:val="single" w:sz="6" w:space="0" w:color="auto"/>
              <w:right w:val="single" w:sz="6" w:space="0" w:color="auto"/>
            </w:tcBorders>
          </w:tcPr>
          <w:p w:rsidR="00956C3B" w:rsidRPr="00B23ABB" w:rsidRDefault="00956C3B" w:rsidP="00B23ABB">
            <w:pPr>
              <w:jc w:val="both"/>
              <w:rPr>
                <w:b/>
              </w:rPr>
            </w:pPr>
            <w:r w:rsidRPr="00B23ABB">
              <w:rPr>
                <w:b/>
              </w:rPr>
              <w:t>Top</w:t>
            </w:r>
          </w:p>
        </w:tc>
        <w:tc>
          <w:tcPr>
            <w:tcW w:w="2137" w:type="dxa"/>
            <w:tcBorders>
              <w:top w:val="single" w:sz="6" w:space="0" w:color="auto"/>
              <w:left w:val="single" w:sz="6" w:space="0" w:color="auto"/>
              <w:bottom w:val="single" w:sz="6" w:space="0" w:color="auto"/>
            </w:tcBorders>
          </w:tcPr>
          <w:p w:rsidR="00956C3B" w:rsidRPr="00B23ABB" w:rsidRDefault="00956C3B" w:rsidP="00B23ABB">
            <w:pPr>
              <w:jc w:val="both"/>
              <w:rPr>
                <w:b/>
              </w:rPr>
            </w:pPr>
            <w:r w:rsidRPr="00B23ABB">
              <w:rPr>
                <w:b/>
              </w:rPr>
              <w:t>Base</w:t>
            </w:r>
          </w:p>
        </w:tc>
      </w:tr>
      <w:tr w:rsidR="00B23ABB" w:rsidTr="00B23ABB">
        <w:tc>
          <w:tcPr>
            <w:tcW w:w="2136" w:type="dxa"/>
            <w:tcBorders>
              <w:top w:val="single" w:sz="6" w:space="0" w:color="auto"/>
              <w:bottom w:val="double" w:sz="12" w:space="0" w:color="auto"/>
              <w:right w:val="single" w:sz="12" w:space="0" w:color="auto"/>
            </w:tcBorders>
          </w:tcPr>
          <w:p w:rsidR="00956C3B" w:rsidRDefault="00956C3B" w:rsidP="00B23ABB">
            <w:pPr>
              <w:jc w:val="both"/>
            </w:pPr>
          </w:p>
          <w:p w:rsidR="00956C3B" w:rsidRDefault="00956C3B" w:rsidP="00B23ABB">
            <w:pPr>
              <w:jc w:val="both"/>
            </w:pPr>
          </w:p>
          <w:p w:rsidR="00956C3B" w:rsidRDefault="00956C3B" w:rsidP="00B23ABB">
            <w:pPr>
              <w:jc w:val="both"/>
            </w:pPr>
          </w:p>
        </w:tc>
        <w:tc>
          <w:tcPr>
            <w:tcW w:w="2136" w:type="dxa"/>
            <w:tcBorders>
              <w:top w:val="single" w:sz="6" w:space="0" w:color="auto"/>
              <w:left w:val="single" w:sz="12" w:space="0" w:color="auto"/>
              <w:bottom w:val="double" w:sz="12" w:space="0" w:color="auto"/>
              <w:right w:val="single" w:sz="6" w:space="0" w:color="auto"/>
            </w:tcBorders>
          </w:tcPr>
          <w:p w:rsidR="00956C3B" w:rsidRDefault="00956C3B"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p w:rsidR="00CB0CE4" w:rsidRDefault="00CB0CE4" w:rsidP="00B23ABB">
            <w:pPr>
              <w:jc w:val="both"/>
            </w:pPr>
          </w:p>
        </w:tc>
        <w:tc>
          <w:tcPr>
            <w:tcW w:w="2136" w:type="dxa"/>
            <w:tcBorders>
              <w:top w:val="single" w:sz="6" w:space="0" w:color="auto"/>
              <w:left w:val="single" w:sz="6" w:space="0" w:color="auto"/>
              <w:bottom w:val="double" w:sz="12" w:space="0" w:color="auto"/>
              <w:right w:val="single" w:sz="12" w:space="0" w:color="auto"/>
            </w:tcBorders>
          </w:tcPr>
          <w:p w:rsidR="00956C3B" w:rsidRDefault="00956C3B" w:rsidP="00B23ABB">
            <w:pPr>
              <w:jc w:val="both"/>
            </w:pPr>
          </w:p>
        </w:tc>
        <w:tc>
          <w:tcPr>
            <w:tcW w:w="2137" w:type="dxa"/>
            <w:tcBorders>
              <w:top w:val="single" w:sz="6" w:space="0" w:color="auto"/>
              <w:left w:val="single" w:sz="12" w:space="0" w:color="auto"/>
              <w:bottom w:val="double" w:sz="12" w:space="0" w:color="auto"/>
              <w:right w:val="single" w:sz="6" w:space="0" w:color="auto"/>
            </w:tcBorders>
          </w:tcPr>
          <w:p w:rsidR="00956C3B" w:rsidRDefault="00956C3B" w:rsidP="00B23ABB">
            <w:pPr>
              <w:jc w:val="both"/>
            </w:pPr>
          </w:p>
        </w:tc>
        <w:tc>
          <w:tcPr>
            <w:tcW w:w="2137" w:type="dxa"/>
            <w:tcBorders>
              <w:top w:val="single" w:sz="6" w:space="0" w:color="auto"/>
              <w:left w:val="single" w:sz="6" w:space="0" w:color="auto"/>
              <w:bottom w:val="double" w:sz="12" w:space="0" w:color="auto"/>
            </w:tcBorders>
          </w:tcPr>
          <w:p w:rsidR="00956C3B" w:rsidRDefault="00956C3B" w:rsidP="00B23ABB">
            <w:pPr>
              <w:jc w:val="both"/>
            </w:pPr>
          </w:p>
        </w:tc>
      </w:tr>
    </w:tbl>
    <w:p w:rsidR="007C180B" w:rsidRDefault="007C180B" w:rsidP="00956C3B">
      <w:pPr>
        <w:jc w:val="both"/>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2166"/>
        <w:gridCol w:w="7824"/>
      </w:tblGrid>
      <w:tr w:rsidR="00A633D9" w:rsidRPr="00A633D9" w:rsidTr="00A633D9">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rsidR="00A633D9" w:rsidRPr="00A633D9" w:rsidRDefault="00A633D9" w:rsidP="00A633D9">
            <w:pPr>
              <w:spacing w:after="0" w:line="240" w:lineRule="auto"/>
              <w:jc w:val="center"/>
              <w:rPr>
                <w:rFonts w:ascii="Arial" w:eastAsia="Times New Roman" w:hAnsi="Arial" w:cs="Arial"/>
                <w:color w:val="FFFFFF"/>
                <w:sz w:val="20"/>
                <w:szCs w:val="20"/>
                <w:lang w:eastAsia="en-GB"/>
              </w:rPr>
            </w:pPr>
            <w:r w:rsidRPr="00A633D9">
              <w:rPr>
                <w:rFonts w:ascii="Arial" w:eastAsia="Times New Roman" w:hAnsi="Arial" w:cs="Arial"/>
                <w:color w:val="FFFFFF"/>
                <w:sz w:val="20"/>
                <w:szCs w:val="20"/>
                <w:lang w:eastAsia="en-GB"/>
              </w:rPr>
              <w:t>Icon</w:t>
            </w:r>
          </w:p>
        </w:tc>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rsidR="00A633D9" w:rsidRPr="00A633D9" w:rsidRDefault="00A633D9" w:rsidP="00A633D9">
            <w:pPr>
              <w:spacing w:after="0" w:line="240" w:lineRule="auto"/>
              <w:jc w:val="center"/>
              <w:rPr>
                <w:rFonts w:ascii="Arial" w:eastAsia="Times New Roman" w:hAnsi="Arial" w:cs="Arial"/>
                <w:color w:val="FFFFFF"/>
                <w:sz w:val="20"/>
                <w:szCs w:val="20"/>
                <w:lang w:eastAsia="en-GB"/>
              </w:rPr>
            </w:pPr>
            <w:r w:rsidRPr="00A633D9">
              <w:rPr>
                <w:rFonts w:ascii="Arial" w:eastAsia="Times New Roman" w:hAnsi="Arial" w:cs="Arial"/>
                <w:color w:val="FFFFFF"/>
                <w:sz w:val="20"/>
                <w:szCs w:val="20"/>
                <w:lang w:eastAsia="en-GB"/>
              </w:rPr>
              <w:t>Type</w:t>
            </w:r>
          </w:p>
        </w:tc>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rsidR="00A633D9" w:rsidRPr="00A633D9" w:rsidRDefault="00A633D9" w:rsidP="00A633D9">
            <w:pPr>
              <w:spacing w:after="0" w:line="240" w:lineRule="auto"/>
              <w:jc w:val="center"/>
              <w:rPr>
                <w:rFonts w:ascii="Arial" w:eastAsia="Times New Roman" w:hAnsi="Arial" w:cs="Arial"/>
                <w:color w:val="FFFFFF"/>
                <w:sz w:val="20"/>
                <w:szCs w:val="20"/>
                <w:lang w:eastAsia="en-GB"/>
              </w:rPr>
            </w:pPr>
            <w:r w:rsidRPr="00A633D9">
              <w:rPr>
                <w:rFonts w:ascii="Arial" w:eastAsia="Times New Roman" w:hAnsi="Arial" w:cs="Arial"/>
                <w:color w:val="FFFFFF"/>
                <w:sz w:val="20"/>
                <w:szCs w:val="20"/>
                <w:lang w:eastAsia="en-GB"/>
              </w:rPr>
              <w:t>Comments</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v:imagedata r:id="rId13" r:href="rId14"/>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Drillcore</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Continuous sticks of drillcore, usually stored as one metre lengths. Sometimes the drillcore has been sliced along the middle.</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26" type="#_x0000_t75" alt="" style="width:23.8pt;height:23.8pt">
                  <v:imagedata r:id="rId15" r:href="rId16"/>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Discontinuous core</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Similar to drillcore, except that there are a number of gaps.</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27" type="#_x0000_t75" alt="" style="width:23.8pt;height:23.8pt">
                  <v:imagedata r:id="rId15" r:href="rId17"/>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Core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A representative set of drillcore samples.</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28" type="#_x0000_t75" alt="" style="width:23.8pt;height:23.8pt">
                  <v:imagedata r:id="rId18" r:href="rId19"/>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Bulk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A series of bagged samples of known depth ranges, typically used for microfossil or geochemical analysis.</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29" type="#_x0000_t75" alt="" style="width:23.8pt;height:23.8pt">
                  <v:imagedata r:id="rId15" r:href="rId20"/>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Waxed core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A reference sample, usually from a hydrocarbon well, preserved in wax. Not usually available for subsampling.</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30" type="#_x0000_t75" alt="" style="width:23.8pt;height:23.8pt">
                  <v:imagedata r:id="rId15" r:href="rId21"/>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Resin mounted drillcore</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A reference section of drillcore, usually from a hydrocarbon well, preserved in resin. Not usually available for subsampling.</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31" type="#_x0000_t75" alt="" style="width:23.8pt;height:23.8pt">
                  <v:imagedata r:id="rId22" r:href="rId23"/>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Registered borehole specimen</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A series of hand specimen sized samples of drillcore, individually registered with depths and accession numbers. Many also have a list of fossil identifications or comments on petrology.</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32" type="#_x0000_t75" alt="" style="width:23.8pt;height:23.8pt">
                  <v:imagedata r:id="rId24" r:href="rId25"/>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Registered cuttings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Washed &amp; dried cuttings, usually only a few tens of grams.</w:t>
            </w:r>
          </w:p>
        </w:tc>
      </w:tr>
      <w:tr w:rsidR="00A633D9" w:rsidRPr="00A633D9"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E53A8F" w:rsidP="00A633D9">
            <w:pPr>
              <w:spacing w:after="0" w:line="240" w:lineRule="auto"/>
              <w:rPr>
                <w:rFonts w:ascii="Arial" w:eastAsia="Times New Roman" w:hAnsi="Arial" w:cs="Arial"/>
                <w:sz w:val="20"/>
                <w:szCs w:val="20"/>
                <w:lang w:eastAsia="en-GB"/>
              </w:rPr>
            </w:pPr>
            <w:r w:rsidRPr="00E53A8F">
              <w:rPr>
                <w:rFonts w:ascii="Arial" w:eastAsia="Times New Roman" w:hAnsi="Arial" w:cs="Arial"/>
                <w:sz w:val="20"/>
                <w:szCs w:val="20"/>
                <w:lang w:eastAsia="en-GB"/>
              </w:rPr>
              <w:pict>
                <v:shape id="_x0000_i1033" type="#_x0000_t75" alt="" style="width:23.8pt;height:23.8pt">
                  <v:imagedata r:id="rId24" r:href="rId26"/>
                </v:shape>
              </w:pic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b/>
                <w:bCs/>
                <w:sz w:val="20"/>
                <w:lang w:eastAsia="en-GB"/>
              </w:rPr>
              <w:t>Unwashed cuttings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rsidR="00A633D9" w:rsidRPr="00A633D9" w:rsidRDefault="00A633D9" w:rsidP="00A633D9">
            <w:pPr>
              <w:spacing w:after="0" w:line="240" w:lineRule="auto"/>
              <w:rPr>
                <w:rFonts w:ascii="Arial" w:eastAsia="Times New Roman" w:hAnsi="Arial" w:cs="Arial"/>
                <w:sz w:val="20"/>
                <w:szCs w:val="20"/>
                <w:lang w:eastAsia="en-GB"/>
              </w:rPr>
            </w:pPr>
            <w:r w:rsidRPr="00A633D9">
              <w:rPr>
                <w:rFonts w:ascii="Arial" w:eastAsia="Times New Roman" w:hAnsi="Arial" w:cs="Arial"/>
                <w:sz w:val="20"/>
                <w:szCs w:val="20"/>
                <w:lang w:eastAsia="en-GB"/>
              </w:rPr>
              <w:t>Unwashed cuttings, complete with fines and drilling mud. Usually several hundred grams.</w:t>
            </w:r>
          </w:p>
        </w:tc>
      </w:tr>
    </w:tbl>
    <w:p w:rsidR="00A633D9" w:rsidRDefault="00A633D9" w:rsidP="00956C3B">
      <w:pPr>
        <w:jc w:val="both"/>
        <w:rPr>
          <w:b/>
        </w:rPr>
      </w:pPr>
    </w:p>
    <w:sectPr w:rsidR="00A633D9" w:rsidSect="00956C3B">
      <w:headerReference w:type="default" r:id="rId27"/>
      <w:footerReference w:type="default" r:id="rId28"/>
      <w:pgSz w:w="11906" w:h="16838"/>
      <w:pgMar w:top="567" w:right="720" w:bottom="567"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BB" w:rsidRDefault="00B23ABB" w:rsidP="008B0CBC">
      <w:pPr>
        <w:spacing w:after="0" w:line="240" w:lineRule="auto"/>
      </w:pPr>
      <w:r>
        <w:separator/>
      </w:r>
    </w:p>
  </w:endnote>
  <w:endnote w:type="continuationSeparator" w:id="0">
    <w:p w:rsidR="00B23ABB" w:rsidRDefault="00B23ABB" w:rsidP="008B0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1" w:rsidRDefault="00E53A8F">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bgsks.tiff" style="position:absolute;margin-left:1.5pt;margin-top:3.45pt;width:108pt;height:25.5pt;z-index:2;visibility:visible">
          <v:imagedata r:id="rId1" o:title=""/>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BB" w:rsidRDefault="00B23ABB" w:rsidP="008B0CBC">
      <w:pPr>
        <w:spacing w:after="0" w:line="240" w:lineRule="auto"/>
      </w:pPr>
      <w:r>
        <w:separator/>
      </w:r>
    </w:p>
  </w:footnote>
  <w:footnote w:type="continuationSeparator" w:id="0">
    <w:p w:rsidR="00B23ABB" w:rsidRDefault="00B23ABB" w:rsidP="008B0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E1" w:rsidRDefault="00E53A8F" w:rsidP="008B0CBC">
    <w:pPr>
      <w:pStyle w:val="Header"/>
      <w:jc w:val="right"/>
      <w:rPr>
        <w:rFonts w:ascii="Times New Roman" w:hAnsi="Times New Roman"/>
        <w:sz w:val="18"/>
        <w:szCs w:val="18"/>
      </w:rPr>
    </w:pPr>
    <w:r w:rsidRPr="00E53A8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gsks.tiff" style="position:absolute;left:0;text-align:left;margin-left:-4.5pt;margin-top:.6pt;width:219pt;height:51.75pt;z-index:1;visibility:visible">
          <v:imagedata r:id="rId1" o:title=""/>
          <w10:wrap type="topAndBottom"/>
        </v:shape>
      </w:pict>
    </w:r>
    <w:r w:rsidR="000A31E1">
      <w:rPr>
        <w:rFonts w:ascii="Times New Roman" w:hAnsi="Times New Roman"/>
        <w:sz w:val="18"/>
        <w:szCs w:val="18"/>
      </w:rPr>
      <w:t>National Geological Repository</w:t>
    </w:r>
    <w:r w:rsidR="000A31E1" w:rsidRPr="008B0CBC">
      <w:rPr>
        <w:rFonts w:ascii="Times New Roman" w:hAnsi="Times New Roman"/>
        <w:sz w:val="18"/>
        <w:szCs w:val="18"/>
      </w:rPr>
      <w:br/>
    </w:r>
    <w:r w:rsidR="000A31E1">
      <w:rPr>
        <w:rFonts w:ascii="Times New Roman" w:hAnsi="Times New Roman"/>
        <w:sz w:val="18"/>
        <w:szCs w:val="18"/>
      </w:rPr>
      <w:t>British Geological Survey</w:t>
    </w:r>
  </w:p>
  <w:p w:rsidR="000A31E1" w:rsidRDefault="000A31E1" w:rsidP="008B0CBC">
    <w:pPr>
      <w:pStyle w:val="Header"/>
      <w:jc w:val="right"/>
      <w:rPr>
        <w:rFonts w:ascii="Times New Roman" w:hAnsi="Times New Roman"/>
        <w:sz w:val="18"/>
        <w:szCs w:val="18"/>
      </w:rPr>
    </w:pPr>
    <w:r>
      <w:rPr>
        <w:rFonts w:ascii="Times New Roman" w:hAnsi="Times New Roman"/>
        <w:sz w:val="18"/>
        <w:szCs w:val="18"/>
      </w:rPr>
      <w:t>Environmental Science Centre</w:t>
    </w:r>
  </w:p>
  <w:p w:rsidR="000A31E1" w:rsidRDefault="000A31E1" w:rsidP="008B0CBC">
    <w:pPr>
      <w:pStyle w:val="Header"/>
      <w:jc w:val="right"/>
    </w:pPr>
    <w:r>
      <w:rPr>
        <w:rFonts w:ascii="Times New Roman" w:hAnsi="Times New Roman"/>
        <w:sz w:val="18"/>
        <w:szCs w:val="18"/>
      </w:rPr>
      <w:t>Keyworth</w:t>
    </w:r>
    <w:r w:rsidRPr="008B0CBC">
      <w:rPr>
        <w:rFonts w:ascii="Times New Roman" w:hAnsi="Times New Roman"/>
        <w:sz w:val="18"/>
        <w:szCs w:val="18"/>
      </w:rPr>
      <w:br/>
    </w:r>
    <w:r>
      <w:rPr>
        <w:rFonts w:ascii="Times New Roman" w:hAnsi="Times New Roman"/>
        <w:sz w:val="18"/>
        <w:szCs w:val="18"/>
      </w:rPr>
      <w:t>Nottingham</w:t>
    </w:r>
    <w:r w:rsidRPr="008B0CBC">
      <w:rPr>
        <w:rFonts w:ascii="Times New Roman" w:hAnsi="Times New Roman"/>
        <w:sz w:val="18"/>
        <w:szCs w:val="18"/>
      </w:rPr>
      <w:br/>
    </w:r>
    <w:r>
      <w:rPr>
        <w:rFonts w:ascii="Times New Roman" w:hAnsi="Times New Roman"/>
        <w:sz w:val="18"/>
        <w:szCs w:val="18"/>
      </w:rPr>
      <w:t>NG12 5GG</w:t>
    </w:r>
    <w:r w:rsidRPr="008B0CBC">
      <w:rPr>
        <w:rFonts w:ascii="Times New Roman" w:hAnsi="Times New Roman"/>
        <w:sz w:val="18"/>
        <w:szCs w:val="18"/>
      </w:rPr>
      <w:br/>
      <w:t>Tel: 011</w:t>
    </w:r>
    <w:r>
      <w:rPr>
        <w:rFonts w:ascii="Times New Roman" w:hAnsi="Times New Roman"/>
        <w:sz w:val="18"/>
        <w:szCs w:val="18"/>
      </w:rPr>
      <w:t>5</w:t>
    </w:r>
    <w:r w:rsidRPr="008B0CBC">
      <w:rPr>
        <w:rFonts w:ascii="Times New Roman" w:hAnsi="Times New Roman"/>
        <w:sz w:val="18"/>
        <w:szCs w:val="18"/>
      </w:rPr>
      <w:t xml:space="preserve"> </w:t>
    </w:r>
    <w:r>
      <w:rPr>
        <w:rFonts w:ascii="Times New Roman" w:hAnsi="Times New Roman"/>
        <w:sz w:val="18"/>
        <w:szCs w:val="18"/>
      </w:rPr>
      <w:t>9363100</w:t>
    </w:r>
    <w:r w:rsidRPr="008B0CBC">
      <w:rPr>
        <w:rFonts w:ascii="Times New Roman" w:hAnsi="Times New Roman"/>
        <w:sz w:val="18"/>
        <w:szCs w:val="18"/>
      </w:rPr>
      <w:br/>
      <w:t>Fax: 01</w:t>
    </w:r>
    <w:r>
      <w:rPr>
        <w:rFonts w:ascii="Times New Roman" w:hAnsi="Times New Roman"/>
        <w:sz w:val="18"/>
        <w:szCs w:val="18"/>
      </w:rPr>
      <w:t>15</w:t>
    </w:r>
    <w:r w:rsidRPr="008B0CBC">
      <w:rPr>
        <w:rFonts w:ascii="Times New Roman" w:hAnsi="Times New Roman"/>
        <w:sz w:val="18"/>
        <w:szCs w:val="18"/>
      </w:rPr>
      <w:t xml:space="preserve"> </w:t>
    </w:r>
    <w:r>
      <w:rPr>
        <w:rFonts w:ascii="Times New Roman" w:hAnsi="Times New Roman"/>
        <w:sz w:val="18"/>
        <w:szCs w:val="18"/>
      </w:rPr>
      <w:t>9363200</w:t>
    </w:r>
    <w:r w:rsidRPr="008B0CBC">
      <w:rPr>
        <w:rFonts w:ascii="Times New Roman" w:hAnsi="Times New Roman"/>
        <w:sz w:val="18"/>
        <w:szCs w:val="18"/>
      </w:rPr>
      <w:br/>
      <w:t xml:space="preserve">email: </w:t>
    </w:r>
    <w:hyperlink r:id="rId2" w:history="1">
      <w:r w:rsidRPr="00F6537F">
        <w:rPr>
          <w:rStyle w:val="Hyperlink"/>
          <w:rFonts w:ascii="Times New Roman" w:hAnsi="Times New Roman"/>
          <w:sz w:val="18"/>
          <w:szCs w:val="18"/>
        </w:rPr>
        <w:t>kwcorestore@bgs.ac.uk</w:t>
      </w:r>
    </w:hyperlink>
  </w:p>
  <w:p w:rsidR="000A31E1" w:rsidRPr="00A633D9" w:rsidRDefault="000A31E1" w:rsidP="008B0CBC">
    <w:pPr>
      <w:pStyle w:val="Header"/>
      <w:jc w:val="right"/>
      <w:rPr>
        <w:rFonts w:ascii="Times New Roman" w:hAnsi="Times New Roman"/>
        <w:sz w:val="18"/>
        <w:szCs w:val="18"/>
      </w:rPr>
    </w:pPr>
    <w:r>
      <w:rPr>
        <w:rFonts w:ascii="Times New Roman" w:hAnsi="Times New Roman"/>
        <w:sz w:val="18"/>
        <w:szCs w:val="18"/>
      </w:rPr>
      <w:t>WEB:</w:t>
    </w:r>
    <w:r w:rsidRPr="00A633D9">
      <w:t xml:space="preserve"> </w:t>
    </w:r>
    <w:r w:rsidRPr="00A633D9">
      <w:rPr>
        <w:rFonts w:ascii="Times New Roman" w:hAnsi="Times New Roman"/>
        <w:sz w:val="18"/>
        <w:szCs w:val="18"/>
      </w:rPr>
      <w:t>www.bgs.ac.uk/data/bmd</w:t>
    </w:r>
  </w:p>
  <w:p w:rsidR="000A31E1" w:rsidRDefault="000A31E1" w:rsidP="008B0CBC">
    <w:pPr>
      <w:pStyle w:val="Header"/>
      <w:jc w:val="right"/>
      <w:rPr>
        <w:rFonts w:ascii="Times New Roman" w:hAnsi="Times New Roman"/>
        <w:sz w:val="18"/>
        <w:szCs w:val="18"/>
      </w:rPr>
    </w:pPr>
  </w:p>
  <w:p w:rsidR="000A31E1" w:rsidRPr="008B0CBC" w:rsidRDefault="000A31E1" w:rsidP="008B0CBC">
    <w:pPr>
      <w:pStyle w:val="Header"/>
      <w:jc w:val="right"/>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257D9"/>
    <w:multiLevelType w:val="hybridMultilevel"/>
    <w:tmpl w:val="E8828962"/>
    <w:lvl w:ilvl="0" w:tplc="9A50901C">
      <w:start w:val="1"/>
      <w:numFmt w:val="lowerRoman"/>
      <w:lvlText w:val="%1."/>
      <w:lvlJc w:val="left"/>
      <w:pPr>
        <w:ind w:left="1593" w:hanging="720"/>
      </w:pPr>
      <w:rPr>
        <w:rFonts w:cs="Times New Roman" w:hint="default"/>
      </w:rPr>
    </w:lvl>
    <w:lvl w:ilvl="1" w:tplc="08090019" w:tentative="1">
      <w:start w:val="1"/>
      <w:numFmt w:val="lowerLetter"/>
      <w:lvlText w:val="%2."/>
      <w:lvlJc w:val="left"/>
      <w:pPr>
        <w:ind w:left="1953" w:hanging="360"/>
      </w:pPr>
      <w:rPr>
        <w:rFonts w:cs="Times New Roman"/>
      </w:rPr>
    </w:lvl>
    <w:lvl w:ilvl="2" w:tplc="0809001B" w:tentative="1">
      <w:start w:val="1"/>
      <w:numFmt w:val="lowerRoman"/>
      <w:lvlText w:val="%3."/>
      <w:lvlJc w:val="right"/>
      <w:pPr>
        <w:ind w:left="2673" w:hanging="180"/>
      </w:pPr>
      <w:rPr>
        <w:rFonts w:cs="Times New Roman"/>
      </w:rPr>
    </w:lvl>
    <w:lvl w:ilvl="3" w:tplc="0809000F" w:tentative="1">
      <w:start w:val="1"/>
      <w:numFmt w:val="decimal"/>
      <w:lvlText w:val="%4."/>
      <w:lvlJc w:val="left"/>
      <w:pPr>
        <w:ind w:left="3393" w:hanging="360"/>
      </w:pPr>
      <w:rPr>
        <w:rFonts w:cs="Times New Roman"/>
      </w:rPr>
    </w:lvl>
    <w:lvl w:ilvl="4" w:tplc="08090019" w:tentative="1">
      <w:start w:val="1"/>
      <w:numFmt w:val="lowerLetter"/>
      <w:lvlText w:val="%5."/>
      <w:lvlJc w:val="left"/>
      <w:pPr>
        <w:ind w:left="4113" w:hanging="360"/>
      </w:pPr>
      <w:rPr>
        <w:rFonts w:cs="Times New Roman"/>
      </w:rPr>
    </w:lvl>
    <w:lvl w:ilvl="5" w:tplc="0809001B" w:tentative="1">
      <w:start w:val="1"/>
      <w:numFmt w:val="lowerRoman"/>
      <w:lvlText w:val="%6."/>
      <w:lvlJc w:val="right"/>
      <w:pPr>
        <w:ind w:left="4833" w:hanging="180"/>
      </w:pPr>
      <w:rPr>
        <w:rFonts w:cs="Times New Roman"/>
      </w:rPr>
    </w:lvl>
    <w:lvl w:ilvl="6" w:tplc="0809000F" w:tentative="1">
      <w:start w:val="1"/>
      <w:numFmt w:val="decimal"/>
      <w:lvlText w:val="%7."/>
      <w:lvlJc w:val="left"/>
      <w:pPr>
        <w:ind w:left="5553" w:hanging="360"/>
      </w:pPr>
      <w:rPr>
        <w:rFonts w:cs="Times New Roman"/>
      </w:rPr>
    </w:lvl>
    <w:lvl w:ilvl="7" w:tplc="08090019" w:tentative="1">
      <w:start w:val="1"/>
      <w:numFmt w:val="lowerLetter"/>
      <w:lvlText w:val="%8."/>
      <w:lvlJc w:val="left"/>
      <w:pPr>
        <w:ind w:left="6273" w:hanging="360"/>
      </w:pPr>
      <w:rPr>
        <w:rFonts w:cs="Times New Roman"/>
      </w:rPr>
    </w:lvl>
    <w:lvl w:ilvl="8" w:tplc="0809001B" w:tentative="1">
      <w:start w:val="1"/>
      <w:numFmt w:val="lowerRoman"/>
      <w:lvlText w:val="%9."/>
      <w:lvlJc w:val="right"/>
      <w:pPr>
        <w:ind w:left="6993"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CBC"/>
    <w:rsid w:val="0003114D"/>
    <w:rsid w:val="00096ECD"/>
    <w:rsid w:val="000A31E1"/>
    <w:rsid w:val="0010583F"/>
    <w:rsid w:val="0011170C"/>
    <w:rsid w:val="001826EC"/>
    <w:rsid w:val="001B144C"/>
    <w:rsid w:val="001B1CAA"/>
    <w:rsid w:val="001D0172"/>
    <w:rsid w:val="00242537"/>
    <w:rsid w:val="00260F23"/>
    <w:rsid w:val="002668E5"/>
    <w:rsid w:val="0028060B"/>
    <w:rsid w:val="0028412A"/>
    <w:rsid w:val="00322332"/>
    <w:rsid w:val="00330543"/>
    <w:rsid w:val="00336809"/>
    <w:rsid w:val="00392905"/>
    <w:rsid w:val="003A5DB0"/>
    <w:rsid w:val="003C5EF6"/>
    <w:rsid w:val="004132E4"/>
    <w:rsid w:val="0041688E"/>
    <w:rsid w:val="0049615C"/>
    <w:rsid w:val="005852C3"/>
    <w:rsid w:val="005B6B40"/>
    <w:rsid w:val="005B7965"/>
    <w:rsid w:val="005E57C6"/>
    <w:rsid w:val="00604307"/>
    <w:rsid w:val="0062537A"/>
    <w:rsid w:val="006C532C"/>
    <w:rsid w:val="006F6F63"/>
    <w:rsid w:val="0070650A"/>
    <w:rsid w:val="00755713"/>
    <w:rsid w:val="00770AA0"/>
    <w:rsid w:val="00776D21"/>
    <w:rsid w:val="007C180B"/>
    <w:rsid w:val="007C251D"/>
    <w:rsid w:val="007C417F"/>
    <w:rsid w:val="007D68E5"/>
    <w:rsid w:val="00827997"/>
    <w:rsid w:val="00877C55"/>
    <w:rsid w:val="008B0CBC"/>
    <w:rsid w:val="00953CB1"/>
    <w:rsid w:val="00956C3B"/>
    <w:rsid w:val="00962D68"/>
    <w:rsid w:val="00977BD8"/>
    <w:rsid w:val="009D48DC"/>
    <w:rsid w:val="00A456D9"/>
    <w:rsid w:val="00A633D9"/>
    <w:rsid w:val="00A66529"/>
    <w:rsid w:val="00B23ABB"/>
    <w:rsid w:val="00B23DE1"/>
    <w:rsid w:val="00B3468E"/>
    <w:rsid w:val="00B73C49"/>
    <w:rsid w:val="00BC3B75"/>
    <w:rsid w:val="00C70E64"/>
    <w:rsid w:val="00C73796"/>
    <w:rsid w:val="00CB0CE4"/>
    <w:rsid w:val="00CD4FED"/>
    <w:rsid w:val="00CF4D89"/>
    <w:rsid w:val="00D03DE0"/>
    <w:rsid w:val="00D213A8"/>
    <w:rsid w:val="00D8606B"/>
    <w:rsid w:val="00DB5302"/>
    <w:rsid w:val="00DD5038"/>
    <w:rsid w:val="00DF19BD"/>
    <w:rsid w:val="00DF447E"/>
    <w:rsid w:val="00E069B6"/>
    <w:rsid w:val="00E37ABD"/>
    <w:rsid w:val="00E44435"/>
    <w:rsid w:val="00E50FE5"/>
    <w:rsid w:val="00E53A8F"/>
    <w:rsid w:val="00F32B10"/>
    <w:rsid w:val="00F6537F"/>
    <w:rsid w:val="00F71749"/>
    <w:rsid w:val="00F7284F"/>
    <w:rsid w:val="00F7421C"/>
    <w:rsid w:val="00F84840"/>
    <w:rsid w:val="00F874E8"/>
    <w:rsid w:val="00FB2257"/>
    <w:rsid w:val="00FC61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72"/>
    <w:pPr>
      <w:spacing w:after="200" w:line="276" w:lineRule="auto"/>
    </w:pPr>
    <w:rPr>
      <w:sz w:val="22"/>
      <w:szCs w:val="22"/>
      <w:lang w:eastAsia="en-US"/>
    </w:rPr>
  </w:style>
  <w:style w:type="paragraph" w:styleId="Heading1">
    <w:name w:val="heading 1"/>
    <w:basedOn w:val="Normal"/>
    <w:next w:val="Normal"/>
    <w:link w:val="Heading1Char"/>
    <w:uiPriority w:val="99"/>
    <w:qFormat/>
    <w:rsid w:val="00DB5302"/>
    <w:pPr>
      <w:keepNext/>
      <w:spacing w:after="0" w:line="240" w:lineRule="auto"/>
      <w:jc w:val="right"/>
      <w:outlineLvl w:val="0"/>
    </w:pPr>
    <w:rPr>
      <w:rFonts w:ascii="Arial" w:eastAsia="Times New Roman" w:hAnsi="Arial"/>
      <w:sz w:val="28"/>
      <w:szCs w:val="20"/>
    </w:rPr>
  </w:style>
  <w:style w:type="paragraph" w:styleId="Heading3">
    <w:name w:val="heading 3"/>
    <w:basedOn w:val="Normal"/>
    <w:next w:val="Normal"/>
    <w:link w:val="Heading3Char"/>
    <w:uiPriority w:val="99"/>
    <w:qFormat/>
    <w:rsid w:val="00DB5302"/>
    <w:pPr>
      <w:keepNext/>
      <w:spacing w:after="0" w:line="240" w:lineRule="auto"/>
      <w:outlineLvl w:val="2"/>
    </w:pPr>
    <w:rPr>
      <w:rFonts w:ascii="Arial" w:eastAsia="Times New Roman" w:hAnsi="Arial"/>
      <w:b/>
      <w:szCs w:val="20"/>
    </w:rPr>
  </w:style>
  <w:style w:type="paragraph" w:styleId="Heading5">
    <w:name w:val="heading 5"/>
    <w:basedOn w:val="Normal"/>
    <w:next w:val="Normal"/>
    <w:link w:val="Heading5Char"/>
    <w:uiPriority w:val="99"/>
    <w:qFormat/>
    <w:rsid w:val="00DB5302"/>
    <w:pPr>
      <w:keepNext/>
      <w:spacing w:after="0" w:line="240" w:lineRule="auto"/>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DB5302"/>
    <w:pPr>
      <w:keepNext/>
      <w:spacing w:after="0" w:line="240" w:lineRule="auto"/>
      <w:outlineLvl w:val="5"/>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302"/>
    <w:rPr>
      <w:rFonts w:ascii="Arial" w:hAnsi="Arial" w:cs="Times New Roman"/>
      <w:sz w:val="20"/>
      <w:szCs w:val="20"/>
    </w:rPr>
  </w:style>
  <w:style w:type="character" w:customStyle="1" w:styleId="Heading3Char">
    <w:name w:val="Heading 3 Char"/>
    <w:basedOn w:val="DefaultParagraphFont"/>
    <w:link w:val="Heading3"/>
    <w:uiPriority w:val="99"/>
    <w:locked/>
    <w:rsid w:val="00DB5302"/>
    <w:rPr>
      <w:rFonts w:ascii="Arial" w:hAnsi="Arial" w:cs="Times New Roman"/>
      <w:b/>
      <w:sz w:val="20"/>
      <w:szCs w:val="20"/>
    </w:rPr>
  </w:style>
  <w:style w:type="character" w:customStyle="1" w:styleId="Heading5Char">
    <w:name w:val="Heading 5 Char"/>
    <w:basedOn w:val="DefaultParagraphFont"/>
    <w:link w:val="Heading5"/>
    <w:uiPriority w:val="99"/>
    <w:locked/>
    <w:rsid w:val="00DB5302"/>
    <w:rPr>
      <w:rFonts w:ascii="Arial" w:hAnsi="Arial" w:cs="Times New Roman"/>
      <w:b/>
      <w:sz w:val="20"/>
      <w:szCs w:val="20"/>
    </w:rPr>
  </w:style>
  <w:style w:type="character" w:customStyle="1" w:styleId="Heading6Char">
    <w:name w:val="Heading 6 Char"/>
    <w:basedOn w:val="DefaultParagraphFont"/>
    <w:link w:val="Heading6"/>
    <w:uiPriority w:val="99"/>
    <w:locked/>
    <w:rsid w:val="00DB5302"/>
    <w:rPr>
      <w:rFonts w:ascii="Arial" w:hAnsi="Arial" w:cs="Times New Roman"/>
      <w:b/>
      <w:sz w:val="20"/>
      <w:szCs w:val="20"/>
      <w:u w:val="single"/>
    </w:rPr>
  </w:style>
  <w:style w:type="paragraph" w:styleId="ListParagraph">
    <w:name w:val="List Paragraph"/>
    <w:basedOn w:val="Normal"/>
    <w:uiPriority w:val="99"/>
    <w:qFormat/>
    <w:rsid w:val="008B0CBC"/>
    <w:pPr>
      <w:ind w:left="720"/>
      <w:contextualSpacing/>
    </w:pPr>
  </w:style>
  <w:style w:type="paragraph" w:styleId="Header">
    <w:name w:val="header"/>
    <w:basedOn w:val="Normal"/>
    <w:link w:val="HeaderChar"/>
    <w:uiPriority w:val="99"/>
    <w:rsid w:val="008B0CB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0CBC"/>
    <w:rPr>
      <w:rFonts w:cs="Times New Roman"/>
    </w:rPr>
  </w:style>
  <w:style w:type="paragraph" w:styleId="Footer">
    <w:name w:val="footer"/>
    <w:basedOn w:val="Normal"/>
    <w:link w:val="FooterChar"/>
    <w:uiPriority w:val="99"/>
    <w:semiHidden/>
    <w:rsid w:val="008B0C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B0CBC"/>
    <w:rPr>
      <w:rFonts w:cs="Times New Roman"/>
    </w:rPr>
  </w:style>
  <w:style w:type="character" w:styleId="Hyperlink">
    <w:name w:val="Hyperlink"/>
    <w:basedOn w:val="DefaultParagraphFont"/>
    <w:uiPriority w:val="99"/>
    <w:rsid w:val="008B0CBC"/>
    <w:rPr>
      <w:rFonts w:cs="Times New Roman"/>
      <w:color w:val="0000FF"/>
      <w:u w:val="single"/>
    </w:rPr>
  </w:style>
  <w:style w:type="paragraph" w:styleId="BalloonText">
    <w:name w:val="Balloon Text"/>
    <w:basedOn w:val="Normal"/>
    <w:link w:val="BalloonTextChar"/>
    <w:uiPriority w:val="99"/>
    <w:semiHidden/>
    <w:rsid w:val="00DB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302"/>
    <w:rPr>
      <w:rFonts w:ascii="Tahoma" w:hAnsi="Tahoma" w:cs="Tahoma"/>
      <w:sz w:val="16"/>
      <w:szCs w:val="16"/>
    </w:rPr>
  </w:style>
  <w:style w:type="table" w:styleId="TableGrid">
    <w:name w:val="Table Grid"/>
    <w:basedOn w:val="TableNormal"/>
    <w:locked/>
    <w:rsid w:val="00956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A633D9"/>
    <w:rPr>
      <w:b/>
      <w:bCs/>
    </w:rPr>
  </w:style>
</w:styles>
</file>

<file path=word/webSettings.xml><?xml version="1.0" encoding="utf-8"?>
<w:webSettings xmlns:r="http://schemas.openxmlformats.org/officeDocument/2006/relationships" xmlns:w="http://schemas.openxmlformats.org/wordprocessingml/2006/main">
  <w:divs>
    <w:div w:id="271785482">
      <w:bodyDiv w:val="1"/>
      <w:marLeft w:val="0"/>
      <w:marRight w:val="0"/>
      <w:marTop w:val="0"/>
      <w:marBottom w:val="0"/>
      <w:divBdr>
        <w:top w:val="none" w:sz="0" w:space="0" w:color="auto"/>
        <w:left w:val="none" w:sz="0" w:space="0" w:color="auto"/>
        <w:bottom w:val="none" w:sz="0" w:space="0" w:color="auto"/>
        <w:right w:val="none" w:sz="0" w:space="0" w:color="auto"/>
      </w:divBdr>
    </w:div>
    <w:div w:id="889078179">
      <w:bodyDiv w:val="1"/>
      <w:marLeft w:val="0"/>
      <w:marRight w:val="0"/>
      <w:marTop w:val="0"/>
      <w:marBottom w:val="0"/>
      <w:divBdr>
        <w:top w:val="none" w:sz="0" w:space="0" w:color="auto"/>
        <w:left w:val="none" w:sz="0" w:space="0" w:color="auto"/>
        <w:bottom w:val="none" w:sz="0" w:space="0" w:color="auto"/>
        <w:right w:val="none" w:sz="0" w:space="0" w:color="auto"/>
      </w:divBdr>
      <w:divsChild>
        <w:div w:id="391663269">
          <w:marLeft w:val="0"/>
          <w:marRight w:val="0"/>
          <w:marTop w:val="75"/>
          <w:marBottom w:val="75"/>
          <w:divBdr>
            <w:top w:val="none" w:sz="0" w:space="0" w:color="auto"/>
            <w:left w:val="none" w:sz="0" w:space="0" w:color="auto"/>
            <w:bottom w:val="none" w:sz="0" w:space="0" w:color="auto"/>
            <w:right w:val="none" w:sz="0" w:space="0" w:color="auto"/>
          </w:divBdr>
          <w:divsChild>
            <w:div w:id="694581427">
              <w:marLeft w:val="150"/>
              <w:marRight w:val="50"/>
              <w:marTop w:val="0"/>
              <w:marBottom w:val="0"/>
              <w:divBdr>
                <w:top w:val="none" w:sz="0" w:space="0" w:color="auto"/>
                <w:left w:val="none" w:sz="0" w:space="0" w:color="auto"/>
                <w:bottom w:val="none" w:sz="0" w:space="0" w:color="auto"/>
                <w:right w:val="none" w:sz="0" w:space="0" w:color="auto"/>
              </w:divBdr>
              <w:divsChild>
                <w:div w:id="407577867">
                  <w:marLeft w:val="0"/>
                  <w:marRight w:val="0"/>
                  <w:marTop w:val="0"/>
                  <w:marBottom w:val="0"/>
                  <w:divBdr>
                    <w:top w:val="none" w:sz="0" w:space="0" w:color="auto"/>
                    <w:left w:val="none" w:sz="0" w:space="0" w:color="auto"/>
                    <w:bottom w:val="none" w:sz="0" w:space="0" w:color="auto"/>
                    <w:right w:val="none" w:sz="0" w:space="0" w:color="auto"/>
                  </w:divBdr>
                  <w:divsChild>
                    <w:div w:id="11045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s.ac.uk/data/databases.html" TargetMode="External"/><Relationship Id="rId13" Type="http://schemas.openxmlformats.org/officeDocument/2006/relationships/image" Target="media/image1.gif"/><Relationship Id="rId18" Type="http://schemas.openxmlformats.org/officeDocument/2006/relationships/image" Target="media/image3.gif"/><Relationship Id="rId26" Type="http://schemas.openxmlformats.org/officeDocument/2006/relationships/image" Target="http://www.bgs.ac.uk/images/bmd/cuttings.gif" TargetMode="External"/><Relationship Id="rId3" Type="http://schemas.openxmlformats.org/officeDocument/2006/relationships/styles" Target="styles.xml"/><Relationship Id="rId21" Type="http://schemas.openxmlformats.org/officeDocument/2006/relationships/image" Target="http://www.bgs.ac.uk/images/bmd/core_sample.gif" TargetMode="External"/><Relationship Id="rId7" Type="http://schemas.openxmlformats.org/officeDocument/2006/relationships/endnotes" Target="endnotes.xml"/><Relationship Id="rId12" Type="http://schemas.openxmlformats.org/officeDocument/2006/relationships/hyperlink" Target="mailto:enquiries@bgs.ac.uk" TargetMode="External"/><Relationship Id="rId17" Type="http://schemas.openxmlformats.org/officeDocument/2006/relationships/image" Target="http://www.bgs.ac.uk/images/bmd/core_sample.gif" TargetMode="External"/><Relationship Id="rId25" Type="http://schemas.openxmlformats.org/officeDocument/2006/relationships/image" Target="http://www.bgs.ac.uk/images/bmd/cuttings.gif" TargetMode="External"/><Relationship Id="rId2" Type="http://schemas.openxmlformats.org/officeDocument/2006/relationships/numbering" Target="numbering.xml"/><Relationship Id="rId16" Type="http://schemas.openxmlformats.org/officeDocument/2006/relationships/image" Target="http://www.bgs.ac.uk/images/bmd/core_sample.gif" TargetMode="External"/><Relationship Id="rId20" Type="http://schemas.openxmlformats.org/officeDocument/2006/relationships/image" Target="http://www.bgs.ac.uk/images/bmd/core_sample.g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s.ac.uk/georeports" TargetMode="External"/><Relationship Id="rId24"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http://www.bgs.ac.uk/images/bmd/rock.gif" TargetMode="External"/><Relationship Id="rId28" Type="http://schemas.openxmlformats.org/officeDocument/2006/relationships/footer" Target="footer1.xml"/><Relationship Id="rId10" Type="http://schemas.openxmlformats.org/officeDocument/2006/relationships/hyperlink" Target="http://www.bgs.ac.uk/data/boreholescans/home.html" TargetMode="External"/><Relationship Id="rId19" Type="http://schemas.openxmlformats.org/officeDocument/2006/relationships/image" Target="http://www.bgs.ac.uk/images/bmd/sample-bag.gif" TargetMode="External"/><Relationship Id="rId4" Type="http://schemas.openxmlformats.org/officeDocument/2006/relationships/settings" Target="settings.xml"/><Relationship Id="rId9" Type="http://schemas.openxmlformats.org/officeDocument/2006/relationships/hyperlink" Target="mailto:sales@bgs.ac.uk" TargetMode="External"/><Relationship Id="rId14" Type="http://schemas.openxmlformats.org/officeDocument/2006/relationships/image" Target="http://www.bgs.ac.uk/images/bmd/core.gif" TargetMode="External"/><Relationship Id="rId22" Type="http://schemas.openxmlformats.org/officeDocument/2006/relationships/image" Target="media/image4.gi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kwcorestore@bgs.ac.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2626C-B3FE-4313-A57C-5670911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Regulations and Application Form for Access to the BGS Keyworth Core Store</vt:lpstr>
    </vt:vector>
  </TitlesOfParts>
  <Company>The British Geological Survey</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and Application Form for Access to the BGS Keyworth Core Store</dc:title>
  <dc:subject/>
  <dc:creator>rwh</dc:creator>
  <cp:keywords/>
  <dc:description/>
  <cp:lastModifiedBy>mhowe</cp:lastModifiedBy>
  <cp:revision>21</cp:revision>
  <dcterms:created xsi:type="dcterms:W3CDTF">2010-09-15T16:15:00Z</dcterms:created>
  <dcterms:modified xsi:type="dcterms:W3CDTF">2013-05-30T14:50:00Z</dcterms:modified>
</cp:coreProperties>
</file>