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9" w:type="dxa"/>
        <w:tblInd w:w="-1214" w:type="dxa"/>
        <w:tblLayout w:type="fixed"/>
        <w:tblCellMar>
          <w:left w:w="0" w:type="dxa"/>
          <w:right w:w="0" w:type="dxa"/>
        </w:tblCellMar>
        <w:tblLook w:val="0000"/>
      </w:tblPr>
      <w:tblGrid>
        <w:gridCol w:w="1214"/>
        <w:gridCol w:w="6120"/>
        <w:gridCol w:w="180"/>
        <w:gridCol w:w="3145"/>
      </w:tblGrid>
      <w:tr w:rsidR="00D80311" w:rsidRPr="00EA642C" w:rsidTr="00CF776B">
        <w:trPr>
          <w:cantSplit/>
          <w:trHeight w:val="1361"/>
        </w:trPr>
        <w:tc>
          <w:tcPr>
            <w:tcW w:w="7334" w:type="dxa"/>
            <w:gridSpan w:val="2"/>
            <w:tcBorders>
              <w:top w:val="nil"/>
            </w:tcBorders>
          </w:tcPr>
          <w:p w:rsidR="00D80311" w:rsidRPr="00EA642C" w:rsidRDefault="00D80311" w:rsidP="00CF776B">
            <w:pPr>
              <w:rPr>
                <w:rFonts w:ascii="Arial" w:hAnsi="Arial" w:cs="Arial"/>
                <w:color w:val="000000"/>
                <w:sz w:val="22"/>
              </w:rPr>
            </w:pPr>
            <w:r w:rsidRPr="00EA642C">
              <w:rPr>
                <w:rFonts w:ascii="Arial" w:hAnsi="Arial" w:cs="Arial"/>
                <w:color w:val="000000"/>
                <w:sz w:val="22"/>
              </w:rPr>
              <w:t xml:space="preserve">   </w:t>
            </w:r>
            <w:r w:rsidRPr="001E16BD">
              <w:rPr>
                <w:rFonts w:ascii="Arial" w:hAnsi="Arial" w:cs="Arial"/>
                <w:noProof/>
                <w:color w:val="00000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oJ_BLK_SML" style="width:110.25pt;height:86.25pt;visibility:visible">
                  <v:imagedata r:id="rId7" o:title=""/>
                </v:shape>
              </w:pict>
            </w:r>
          </w:p>
          <w:p w:rsidR="00D80311" w:rsidRPr="00EA642C" w:rsidRDefault="00D80311" w:rsidP="00CF776B">
            <w:pPr>
              <w:rPr>
                <w:rFonts w:ascii="Arial" w:hAnsi="Arial" w:cs="Arial"/>
                <w:color w:val="000000"/>
                <w:sz w:val="22"/>
              </w:rPr>
            </w:pPr>
          </w:p>
        </w:tc>
        <w:tc>
          <w:tcPr>
            <w:tcW w:w="180" w:type="dxa"/>
          </w:tcPr>
          <w:p w:rsidR="00D80311" w:rsidRPr="00EA642C" w:rsidRDefault="00D80311" w:rsidP="00CF776B">
            <w:pPr>
              <w:pStyle w:val="MOJnormal"/>
              <w:rPr>
                <w:rFonts w:cs="Arial"/>
                <w:color w:val="000000"/>
                <w:sz w:val="22"/>
              </w:rPr>
            </w:pPr>
          </w:p>
        </w:tc>
        <w:tc>
          <w:tcPr>
            <w:tcW w:w="3145" w:type="dxa"/>
            <w:vMerge w:val="restart"/>
            <w:tcBorders>
              <w:top w:val="nil"/>
            </w:tcBorders>
          </w:tcPr>
          <w:p w:rsidR="00D80311" w:rsidRPr="00EA642C" w:rsidRDefault="00D80311" w:rsidP="00CF776B">
            <w:pPr>
              <w:tabs>
                <w:tab w:val="left" w:pos="170"/>
              </w:tabs>
              <w:rPr>
                <w:rFonts w:ascii="Arial" w:hAnsi="Arial" w:cs="Arial"/>
                <w:i/>
                <w:color w:val="0000FF"/>
                <w:sz w:val="22"/>
              </w:rPr>
            </w:pPr>
          </w:p>
          <w:p w:rsidR="00D80311" w:rsidRPr="00EA642C" w:rsidRDefault="00D80311" w:rsidP="00CF776B">
            <w:pPr>
              <w:tabs>
                <w:tab w:val="left" w:pos="170"/>
              </w:tabs>
              <w:rPr>
                <w:rFonts w:ascii="Arial" w:hAnsi="Arial" w:cs="Arial"/>
                <w:b/>
                <w:sz w:val="20"/>
                <w:szCs w:val="20"/>
              </w:rPr>
            </w:pPr>
            <w:r w:rsidRPr="00EA642C">
              <w:rPr>
                <w:rFonts w:ascii="Arial" w:hAnsi="Arial" w:cs="Arial"/>
                <w:b/>
                <w:sz w:val="20"/>
                <w:szCs w:val="20"/>
              </w:rPr>
              <w:t>www.gov.uk</w:t>
            </w:r>
          </w:p>
        </w:tc>
      </w:tr>
      <w:tr w:rsidR="00D80311" w:rsidRPr="00896FFB" w:rsidTr="00CF776B">
        <w:trPr>
          <w:cantSplit/>
          <w:trHeight w:val="1259"/>
        </w:trPr>
        <w:tc>
          <w:tcPr>
            <w:tcW w:w="1214" w:type="dxa"/>
          </w:tcPr>
          <w:p w:rsidR="00D80311" w:rsidRPr="00896FFB" w:rsidRDefault="00D80311" w:rsidP="00CF776B">
            <w:pPr>
              <w:pStyle w:val="MOJtext-otheraddress"/>
              <w:rPr>
                <w:rFonts w:cs="Arial"/>
                <w:color w:val="000000"/>
                <w:sz w:val="22"/>
                <w:szCs w:val="22"/>
              </w:rPr>
            </w:pPr>
          </w:p>
        </w:tc>
        <w:tc>
          <w:tcPr>
            <w:tcW w:w="6120" w:type="dxa"/>
          </w:tcPr>
          <w:p w:rsidR="00D80311" w:rsidRPr="00896FFB" w:rsidRDefault="00D80311" w:rsidP="00EA642C">
            <w:pPr>
              <w:spacing w:line="280" w:lineRule="atLeast"/>
              <w:rPr>
                <w:rFonts w:ascii="Arial" w:hAnsi="Arial" w:cs="Arial"/>
                <w:color w:val="000000"/>
                <w:sz w:val="22"/>
                <w:szCs w:val="22"/>
              </w:rPr>
            </w:pPr>
            <w:r>
              <w:rPr>
                <w:rFonts w:ascii="Arial" w:hAnsi="Arial" w:cs="Arial"/>
                <w:sz w:val="22"/>
                <w:szCs w:val="22"/>
              </w:rPr>
              <w:t xml:space="preserve"> </w:t>
            </w:r>
          </w:p>
        </w:tc>
        <w:tc>
          <w:tcPr>
            <w:tcW w:w="180" w:type="dxa"/>
          </w:tcPr>
          <w:p w:rsidR="00D80311" w:rsidRPr="00896FFB" w:rsidRDefault="00D80311" w:rsidP="00CF776B">
            <w:pPr>
              <w:pStyle w:val="MOJnormal"/>
              <w:rPr>
                <w:rFonts w:cs="Arial"/>
                <w:color w:val="000000"/>
                <w:sz w:val="22"/>
                <w:szCs w:val="22"/>
              </w:rPr>
            </w:pPr>
          </w:p>
        </w:tc>
        <w:tc>
          <w:tcPr>
            <w:tcW w:w="3145" w:type="dxa"/>
            <w:vMerge/>
          </w:tcPr>
          <w:p w:rsidR="00D80311" w:rsidRPr="00896FFB" w:rsidRDefault="00D80311" w:rsidP="00CF776B">
            <w:pPr>
              <w:pStyle w:val="MOJtext-otheraddress"/>
              <w:rPr>
                <w:rFonts w:cs="Arial"/>
                <w:color w:val="000000"/>
                <w:sz w:val="22"/>
                <w:szCs w:val="22"/>
              </w:rPr>
            </w:pPr>
          </w:p>
        </w:tc>
      </w:tr>
      <w:tr w:rsidR="00D80311" w:rsidRPr="00896FFB" w:rsidTr="00CF776B">
        <w:trPr>
          <w:cantSplit/>
          <w:trHeight w:val="73"/>
        </w:trPr>
        <w:tc>
          <w:tcPr>
            <w:tcW w:w="1214" w:type="dxa"/>
          </w:tcPr>
          <w:p w:rsidR="00D80311" w:rsidRPr="00896FFB" w:rsidRDefault="00D80311" w:rsidP="00CF776B">
            <w:pPr>
              <w:pStyle w:val="MOJnormal"/>
              <w:rPr>
                <w:rFonts w:cs="Arial"/>
                <w:sz w:val="22"/>
                <w:szCs w:val="22"/>
              </w:rPr>
            </w:pPr>
          </w:p>
        </w:tc>
        <w:tc>
          <w:tcPr>
            <w:tcW w:w="6120" w:type="dxa"/>
          </w:tcPr>
          <w:p w:rsidR="00D80311" w:rsidRDefault="00D80311" w:rsidP="00CF776B">
            <w:pPr>
              <w:spacing w:line="280" w:lineRule="atLeast"/>
              <w:rPr>
                <w:rFonts w:ascii="Arial" w:hAnsi="Arial" w:cs="Arial"/>
                <w:b/>
                <w:sz w:val="22"/>
                <w:szCs w:val="22"/>
              </w:rPr>
            </w:pPr>
          </w:p>
          <w:p w:rsidR="00D80311" w:rsidRPr="00896FFB" w:rsidRDefault="00D80311" w:rsidP="00CF776B">
            <w:pPr>
              <w:spacing w:line="280" w:lineRule="atLeast"/>
              <w:rPr>
                <w:rFonts w:ascii="Arial" w:hAnsi="Arial" w:cs="Arial"/>
                <w:i/>
                <w:sz w:val="22"/>
                <w:szCs w:val="22"/>
              </w:rPr>
            </w:pPr>
            <w:r>
              <w:rPr>
                <w:rFonts w:ascii="Arial" w:hAnsi="Arial" w:cs="Arial"/>
                <w:sz w:val="22"/>
                <w:szCs w:val="22"/>
              </w:rPr>
              <w:t>FOI/</w:t>
            </w:r>
            <w:r w:rsidRPr="00896FFB">
              <w:rPr>
                <w:rFonts w:ascii="Arial" w:hAnsi="Arial" w:cs="Arial"/>
                <w:sz w:val="22"/>
                <w:szCs w:val="22"/>
              </w:rPr>
              <w:t>86002</w:t>
            </w:r>
          </w:p>
        </w:tc>
        <w:tc>
          <w:tcPr>
            <w:tcW w:w="180" w:type="dxa"/>
          </w:tcPr>
          <w:p w:rsidR="00D80311" w:rsidRPr="00896FFB" w:rsidRDefault="00D80311" w:rsidP="00CF776B">
            <w:pPr>
              <w:spacing w:line="280" w:lineRule="atLeast"/>
              <w:rPr>
                <w:rFonts w:ascii="Arial" w:hAnsi="Arial" w:cs="Arial"/>
                <w:sz w:val="22"/>
                <w:szCs w:val="22"/>
              </w:rPr>
            </w:pPr>
            <w:r w:rsidRPr="00896FFB">
              <w:rPr>
                <w:rFonts w:ascii="Arial" w:hAnsi="Arial" w:cs="Arial"/>
                <w:sz w:val="22"/>
                <w:szCs w:val="22"/>
              </w:rPr>
              <w:tab/>
            </w:r>
          </w:p>
        </w:tc>
        <w:tc>
          <w:tcPr>
            <w:tcW w:w="3145" w:type="dxa"/>
          </w:tcPr>
          <w:p w:rsidR="00D80311" w:rsidRDefault="00D80311" w:rsidP="00CF776B">
            <w:pPr>
              <w:pStyle w:val="MOJnormal"/>
              <w:rPr>
                <w:rFonts w:cs="Arial"/>
                <w:sz w:val="22"/>
                <w:szCs w:val="22"/>
              </w:rPr>
            </w:pPr>
          </w:p>
          <w:p w:rsidR="00D80311" w:rsidRPr="00896FFB" w:rsidRDefault="00D80311" w:rsidP="009E7476">
            <w:pPr>
              <w:pStyle w:val="MOJnormal"/>
              <w:rPr>
                <w:rFonts w:cs="Arial"/>
                <w:sz w:val="22"/>
                <w:szCs w:val="22"/>
              </w:rPr>
            </w:pPr>
            <w:r w:rsidRPr="00BF5479">
              <w:rPr>
                <w:rFonts w:cs="Arial"/>
                <w:sz w:val="22"/>
                <w:szCs w:val="22"/>
              </w:rPr>
              <w:t>November 2013</w:t>
            </w:r>
          </w:p>
        </w:tc>
      </w:tr>
    </w:tbl>
    <w:p w:rsidR="00D80311" w:rsidRPr="00896FFB" w:rsidRDefault="00D80311">
      <w:pPr>
        <w:rPr>
          <w:rFonts w:ascii="Arial" w:hAnsi="Arial" w:cs="Arial"/>
          <w:sz w:val="22"/>
          <w:szCs w:val="22"/>
        </w:rPr>
      </w:pPr>
    </w:p>
    <w:p w:rsidR="00D80311" w:rsidRPr="00896FFB" w:rsidRDefault="00D80311">
      <w:pPr>
        <w:rPr>
          <w:rFonts w:ascii="Arial" w:hAnsi="Arial" w:cs="Arial"/>
          <w:sz w:val="22"/>
          <w:szCs w:val="22"/>
        </w:rPr>
      </w:pPr>
    </w:p>
    <w:p w:rsidR="00D80311" w:rsidRDefault="00D80311" w:rsidP="0081625B">
      <w:pPr>
        <w:jc w:val="center"/>
        <w:rPr>
          <w:rFonts w:ascii="Arial" w:hAnsi="Arial" w:cs="Arial"/>
          <w:b/>
          <w:sz w:val="22"/>
          <w:szCs w:val="22"/>
        </w:rPr>
      </w:pPr>
    </w:p>
    <w:p w:rsidR="00D80311" w:rsidRPr="00896FFB" w:rsidRDefault="00D80311" w:rsidP="0081625B">
      <w:pPr>
        <w:jc w:val="center"/>
        <w:rPr>
          <w:rFonts w:ascii="Arial" w:hAnsi="Arial" w:cs="Arial"/>
          <w:b/>
          <w:sz w:val="22"/>
          <w:szCs w:val="22"/>
        </w:rPr>
      </w:pPr>
      <w:r w:rsidRPr="00896FFB">
        <w:rPr>
          <w:rFonts w:ascii="Arial" w:hAnsi="Arial" w:cs="Arial"/>
          <w:b/>
          <w:sz w:val="22"/>
          <w:szCs w:val="22"/>
        </w:rPr>
        <w:t xml:space="preserve">Freedom of Information Request </w:t>
      </w:r>
    </w:p>
    <w:p w:rsidR="00D80311" w:rsidRPr="00896FFB" w:rsidRDefault="00D80311" w:rsidP="0081625B">
      <w:pPr>
        <w:rPr>
          <w:rFonts w:ascii="Arial" w:hAnsi="Arial" w:cs="Arial"/>
          <w:sz w:val="22"/>
          <w:szCs w:val="22"/>
        </w:rPr>
      </w:pPr>
    </w:p>
    <w:p w:rsidR="00D80311" w:rsidRPr="00896FFB" w:rsidRDefault="00D80311" w:rsidP="0081625B">
      <w:pPr>
        <w:rPr>
          <w:rFonts w:ascii="Arial" w:hAnsi="Arial" w:cs="Arial"/>
          <w:sz w:val="22"/>
          <w:szCs w:val="22"/>
        </w:rPr>
      </w:pPr>
      <w:r>
        <w:rPr>
          <w:rFonts w:ascii="Arial" w:hAnsi="Arial" w:cs="Arial"/>
          <w:sz w:val="22"/>
          <w:szCs w:val="22"/>
        </w:rPr>
        <w:t>Y</w:t>
      </w:r>
      <w:r w:rsidRPr="00896FFB">
        <w:rPr>
          <w:rFonts w:ascii="Arial" w:hAnsi="Arial" w:cs="Arial"/>
          <w:sz w:val="22"/>
          <w:szCs w:val="22"/>
        </w:rPr>
        <w:t>ou asked for the following information from the Ministry of Justice (MoJ):</w:t>
      </w:r>
    </w:p>
    <w:p w:rsidR="00D80311" w:rsidRPr="009E7476" w:rsidRDefault="00D80311" w:rsidP="00EA642C">
      <w:pPr>
        <w:numPr>
          <w:ilvl w:val="0"/>
          <w:numId w:val="6"/>
        </w:numPr>
        <w:spacing w:before="240"/>
        <w:rPr>
          <w:rFonts w:ascii="Arial" w:hAnsi="Arial" w:cs="Arial"/>
          <w:b/>
          <w:sz w:val="22"/>
          <w:szCs w:val="22"/>
        </w:rPr>
      </w:pPr>
      <w:r w:rsidRPr="009E7476">
        <w:rPr>
          <w:rFonts w:ascii="Arial" w:hAnsi="Arial" w:cs="Arial"/>
          <w:b/>
          <w:sz w:val="22"/>
          <w:szCs w:val="22"/>
        </w:rPr>
        <w:t xml:space="preserve">The total budget allocated by the Legal Aid Agency for the Client and Cost Management System (CCMS) in each of the financial years 2011-2; 2012-3; 2013-4. </w:t>
      </w:r>
    </w:p>
    <w:p w:rsidR="00D80311" w:rsidRPr="009E7476" w:rsidRDefault="00D80311" w:rsidP="00EA642C">
      <w:pPr>
        <w:numPr>
          <w:ilvl w:val="0"/>
          <w:numId w:val="6"/>
        </w:numPr>
        <w:spacing w:before="240"/>
        <w:rPr>
          <w:rFonts w:ascii="Arial" w:hAnsi="Arial" w:cs="Arial"/>
          <w:b/>
          <w:sz w:val="22"/>
          <w:szCs w:val="22"/>
        </w:rPr>
      </w:pPr>
      <w:r w:rsidRPr="009E7476">
        <w:rPr>
          <w:rFonts w:ascii="Arial" w:hAnsi="Arial" w:cs="Arial"/>
          <w:b/>
          <w:sz w:val="22"/>
          <w:szCs w:val="22"/>
        </w:rPr>
        <w:t xml:space="preserve">A breakdown of the budget by category. </w:t>
      </w:r>
    </w:p>
    <w:p w:rsidR="00D80311" w:rsidRPr="009E7476" w:rsidRDefault="00D80311" w:rsidP="00EA642C">
      <w:pPr>
        <w:numPr>
          <w:ilvl w:val="0"/>
          <w:numId w:val="6"/>
        </w:numPr>
        <w:spacing w:before="240"/>
        <w:rPr>
          <w:rFonts w:ascii="Arial" w:hAnsi="Arial" w:cs="Arial"/>
          <w:b/>
          <w:sz w:val="22"/>
          <w:szCs w:val="22"/>
        </w:rPr>
      </w:pPr>
      <w:r w:rsidRPr="009E7476">
        <w:rPr>
          <w:rFonts w:ascii="Arial" w:hAnsi="Arial" w:cs="Arial"/>
          <w:b/>
          <w:sz w:val="22"/>
          <w:szCs w:val="22"/>
        </w:rPr>
        <w:t xml:space="preserve">Total spend to date by the Legal Aid Agency for the Client and Cost Management System (CCMS) in each of the financial years 2011-2; 2012-3; 2013-4. </w:t>
      </w:r>
    </w:p>
    <w:p w:rsidR="00D80311" w:rsidRPr="009E7476" w:rsidRDefault="00D80311" w:rsidP="00EA642C">
      <w:pPr>
        <w:numPr>
          <w:ilvl w:val="0"/>
          <w:numId w:val="6"/>
        </w:numPr>
        <w:spacing w:before="240"/>
        <w:rPr>
          <w:rFonts w:ascii="Arial" w:hAnsi="Arial" w:cs="Arial"/>
          <w:b/>
          <w:sz w:val="22"/>
          <w:szCs w:val="22"/>
        </w:rPr>
      </w:pPr>
      <w:r w:rsidRPr="009E7476">
        <w:rPr>
          <w:rFonts w:ascii="Arial" w:hAnsi="Arial" w:cs="Arial"/>
          <w:b/>
          <w:sz w:val="22"/>
          <w:szCs w:val="22"/>
        </w:rPr>
        <w:t xml:space="preserve">A breakdown of spending by category. </w:t>
      </w:r>
    </w:p>
    <w:p w:rsidR="00D80311" w:rsidRPr="009E7476" w:rsidRDefault="00D80311" w:rsidP="00EA642C">
      <w:pPr>
        <w:numPr>
          <w:ilvl w:val="0"/>
          <w:numId w:val="6"/>
        </w:numPr>
        <w:spacing w:before="240"/>
        <w:rPr>
          <w:rFonts w:ascii="Arial" w:hAnsi="Arial" w:cs="Arial"/>
          <w:b/>
          <w:sz w:val="22"/>
          <w:szCs w:val="22"/>
        </w:rPr>
      </w:pPr>
      <w:r w:rsidRPr="009E7476">
        <w:rPr>
          <w:rFonts w:ascii="Arial" w:hAnsi="Arial" w:cs="Arial"/>
          <w:b/>
          <w:sz w:val="22"/>
          <w:szCs w:val="22"/>
        </w:rPr>
        <w:t xml:space="preserve">A breakdown of approved criteria against which the project’s success is measured (including information on when these criteria were approved and by who), including key milestone dates. </w:t>
      </w:r>
    </w:p>
    <w:p w:rsidR="00D80311" w:rsidRPr="009E7476" w:rsidRDefault="00D80311" w:rsidP="00EA642C">
      <w:pPr>
        <w:numPr>
          <w:ilvl w:val="0"/>
          <w:numId w:val="6"/>
        </w:numPr>
        <w:spacing w:before="240"/>
        <w:rPr>
          <w:rFonts w:ascii="Arial" w:hAnsi="Arial" w:cs="Arial"/>
          <w:b/>
          <w:sz w:val="22"/>
          <w:szCs w:val="22"/>
        </w:rPr>
      </w:pPr>
      <w:r w:rsidRPr="009E7476">
        <w:rPr>
          <w:rFonts w:ascii="Arial" w:hAnsi="Arial" w:cs="Arial"/>
          <w:b/>
          <w:sz w:val="22"/>
          <w:szCs w:val="22"/>
        </w:rPr>
        <w:t>A breakdown of how the project is performing against agreed criteria and milestones.</w:t>
      </w:r>
    </w:p>
    <w:p w:rsidR="00D80311" w:rsidRPr="00321024" w:rsidRDefault="00D80311" w:rsidP="0081625B">
      <w:pPr>
        <w:jc w:val="center"/>
        <w:rPr>
          <w:rFonts w:ascii="Arial" w:hAnsi="Arial" w:cs="Arial"/>
          <w:sz w:val="22"/>
          <w:szCs w:val="22"/>
        </w:rPr>
      </w:pPr>
    </w:p>
    <w:p w:rsidR="00D80311" w:rsidRPr="00321024" w:rsidRDefault="00D80311" w:rsidP="0081625B">
      <w:pPr>
        <w:rPr>
          <w:rFonts w:ascii="Arial" w:hAnsi="Arial" w:cs="Arial"/>
          <w:sz w:val="22"/>
          <w:szCs w:val="22"/>
        </w:rPr>
      </w:pPr>
      <w:r w:rsidRPr="00321024">
        <w:rPr>
          <w:rFonts w:ascii="Arial" w:hAnsi="Arial" w:cs="Arial"/>
          <w:sz w:val="22"/>
          <w:szCs w:val="22"/>
        </w:rPr>
        <w:t>Your request has been handled under the Freedom of Information Act 2000 (FOIA).</w:t>
      </w:r>
    </w:p>
    <w:p w:rsidR="00D80311" w:rsidRPr="00321024" w:rsidRDefault="00D80311" w:rsidP="0081625B">
      <w:pPr>
        <w:rPr>
          <w:rFonts w:ascii="Arial" w:hAnsi="Arial" w:cs="Arial"/>
          <w:sz w:val="22"/>
          <w:szCs w:val="22"/>
        </w:rPr>
      </w:pPr>
    </w:p>
    <w:p w:rsidR="00D80311" w:rsidRPr="00A3407F" w:rsidRDefault="00D80311" w:rsidP="0081625B">
      <w:pPr>
        <w:rPr>
          <w:rFonts w:ascii="Arial" w:hAnsi="Arial" w:cs="Arial"/>
          <w:sz w:val="22"/>
          <w:szCs w:val="22"/>
        </w:rPr>
      </w:pPr>
      <w:r w:rsidRPr="00321024">
        <w:rPr>
          <w:rFonts w:ascii="Arial" w:hAnsi="Arial" w:cs="Arial"/>
          <w:sz w:val="22"/>
          <w:szCs w:val="22"/>
        </w:rPr>
        <w:t xml:space="preserve">I can confirm that the department holds information that you have asked for, and I am </w:t>
      </w:r>
      <w:r w:rsidRPr="00A3407F">
        <w:rPr>
          <w:rFonts w:ascii="Arial" w:hAnsi="Arial" w:cs="Arial"/>
          <w:sz w:val="22"/>
          <w:szCs w:val="22"/>
        </w:rPr>
        <w:t xml:space="preserve">pleased to provide this to you. </w:t>
      </w:r>
    </w:p>
    <w:p w:rsidR="00D80311" w:rsidRPr="00A3407F" w:rsidRDefault="00D80311" w:rsidP="0081625B">
      <w:pPr>
        <w:rPr>
          <w:rFonts w:ascii="Arial" w:hAnsi="Arial" w:cs="Arial"/>
          <w:sz w:val="22"/>
          <w:szCs w:val="22"/>
        </w:rPr>
      </w:pPr>
    </w:p>
    <w:p w:rsidR="00D80311" w:rsidRDefault="00D80311" w:rsidP="00A3407F">
      <w:pPr>
        <w:pStyle w:val="ListParagraph"/>
        <w:numPr>
          <w:ilvl w:val="0"/>
          <w:numId w:val="7"/>
        </w:numPr>
        <w:ind w:left="714" w:hanging="357"/>
        <w:rPr>
          <w:rFonts w:ascii="Arial" w:hAnsi="Arial" w:cs="Arial"/>
        </w:rPr>
      </w:pPr>
      <w:r w:rsidRPr="00A3407F">
        <w:rPr>
          <w:rFonts w:ascii="Arial" w:hAnsi="Arial" w:cs="Arial"/>
        </w:rPr>
        <w:t xml:space="preserve">The total budget allocated by the Legal Aid Agency for the Client and Cost Management System (CCMS): </w:t>
      </w:r>
    </w:p>
    <w:p w:rsidR="00D80311" w:rsidRDefault="00D80311" w:rsidP="009E7476">
      <w:pPr>
        <w:pStyle w:val="ListParagraph"/>
        <w:ind w:left="714"/>
        <w:rPr>
          <w:rFonts w:ascii="Arial" w:hAnsi="Arial" w:cs="Arial"/>
        </w:rPr>
      </w:pPr>
    </w:p>
    <w:p w:rsidR="00D80311" w:rsidRDefault="00D80311" w:rsidP="00A3407F">
      <w:pPr>
        <w:pStyle w:val="ListParagraph"/>
        <w:ind w:left="1080"/>
        <w:rPr>
          <w:rFonts w:ascii="Arial" w:hAnsi="Arial" w:cs="Arial"/>
        </w:rPr>
      </w:pPr>
      <w:r w:rsidRPr="00A3407F">
        <w:rPr>
          <w:rFonts w:ascii="Arial" w:hAnsi="Arial" w:cs="Arial"/>
        </w:rPr>
        <w:t xml:space="preserve">2011/12 – £13.357m; </w:t>
      </w:r>
    </w:p>
    <w:p w:rsidR="00D80311" w:rsidRDefault="00D80311" w:rsidP="00A3407F">
      <w:pPr>
        <w:pStyle w:val="ListParagraph"/>
        <w:ind w:left="1080"/>
        <w:rPr>
          <w:rFonts w:ascii="Arial" w:hAnsi="Arial" w:cs="Arial"/>
        </w:rPr>
      </w:pPr>
      <w:r w:rsidRPr="00A3407F">
        <w:rPr>
          <w:rFonts w:ascii="Arial" w:hAnsi="Arial" w:cs="Arial"/>
        </w:rPr>
        <w:t xml:space="preserve">2012/13 - £15.066m; and </w:t>
      </w:r>
    </w:p>
    <w:p w:rsidR="00D80311" w:rsidRDefault="00D80311" w:rsidP="00A3407F">
      <w:pPr>
        <w:pStyle w:val="ListParagraph"/>
        <w:ind w:left="1080"/>
        <w:rPr>
          <w:rFonts w:ascii="Arial" w:hAnsi="Arial" w:cs="Arial"/>
        </w:rPr>
      </w:pPr>
      <w:r w:rsidRPr="00A3407F">
        <w:rPr>
          <w:rFonts w:ascii="Arial" w:hAnsi="Arial" w:cs="Arial"/>
        </w:rPr>
        <w:t>2013/14 – £10.040m</w:t>
      </w:r>
      <w:r>
        <w:rPr>
          <w:rFonts w:ascii="Arial" w:hAnsi="Arial" w:cs="Arial"/>
        </w:rPr>
        <w:t>.</w:t>
      </w:r>
    </w:p>
    <w:p w:rsidR="00D80311" w:rsidRDefault="00D80311" w:rsidP="00A3407F">
      <w:pPr>
        <w:pStyle w:val="ListParagraph"/>
        <w:ind w:left="1080"/>
        <w:rPr>
          <w:rFonts w:ascii="Arial" w:hAnsi="Arial" w:cs="Arial"/>
        </w:rPr>
      </w:pPr>
    </w:p>
    <w:p w:rsidR="00D80311" w:rsidRPr="00A3407F" w:rsidRDefault="00D80311" w:rsidP="00A3407F">
      <w:pPr>
        <w:pStyle w:val="ListParagraph"/>
        <w:ind w:left="1080"/>
        <w:rPr>
          <w:rFonts w:ascii="Arial" w:hAnsi="Arial" w:cs="Arial"/>
        </w:rPr>
      </w:pPr>
      <w:r>
        <w:rPr>
          <w:rFonts w:ascii="Arial" w:hAnsi="Arial" w:cs="Arial"/>
        </w:rPr>
        <w:br w:type="page"/>
      </w:r>
    </w:p>
    <w:p w:rsidR="00D80311" w:rsidRPr="00920A88" w:rsidRDefault="00D80311" w:rsidP="00EA642C">
      <w:pPr>
        <w:pStyle w:val="ListParagraph"/>
        <w:numPr>
          <w:ilvl w:val="0"/>
          <w:numId w:val="7"/>
        </w:numPr>
        <w:spacing w:after="240"/>
        <w:ind w:left="714" w:hanging="357"/>
        <w:rPr>
          <w:rFonts w:ascii="Arial" w:hAnsi="Arial" w:cs="Arial"/>
        </w:rPr>
      </w:pPr>
      <w:r w:rsidRPr="00A3407F">
        <w:rPr>
          <w:rFonts w:ascii="Arial" w:hAnsi="Arial" w:cs="Arial"/>
        </w:rPr>
        <w:t>A breakdown of the budget by category is attached at Annex A.</w:t>
      </w:r>
    </w:p>
    <w:p w:rsidR="00D80311" w:rsidRDefault="00D80311" w:rsidP="00A3407F">
      <w:pPr>
        <w:pStyle w:val="ListParagraph"/>
        <w:numPr>
          <w:ilvl w:val="0"/>
          <w:numId w:val="7"/>
        </w:numPr>
        <w:rPr>
          <w:rFonts w:ascii="Arial" w:hAnsi="Arial" w:cs="Arial"/>
        </w:rPr>
      </w:pPr>
      <w:r w:rsidRPr="00321024">
        <w:rPr>
          <w:rFonts w:ascii="Arial" w:hAnsi="Arial" w:cs="Arial"/>
        </w:rPr>
        <w:t>The total spend to date by the Legal Aid Agency for the Client and Cost Manageme</w:t>
      </w:r>
      <w:r>
        <w:rPr>
          <w:rFonts w:ascii="Arial" w:hAnsi="Arial" w:cs="Arial"/>
        </w:rPr>
        <w:t xml:space="preserve">nt System (CCMS): </w:t>
      </w:r>
    </w:p>
    <w:p w:rsidR="00D80311" w:rsidRPr="00A3407F" w:rsidRDefault="00D80311" w:rsidP="00A3407F">
      <w:pPr>
        <w:pStyle w:val="ListParagraph"/>
        <w:ind w:left="1080"/>
        <w:rPr>
          <w:rFonts w:ascii="Arial" w:hAnsi="Arial" w:cs="Arial"/>
        </w:rPr>
      </w:pPr>
      <w:r w:rsidRPr="00A3407F">
        <w:rPr>
          <w:rFonts w:ascii="Arial" w:hAnsi="Arial" w:cs="Arial"/>
        </w:rPr>
        <w:t xml:space="preserve">2011/12 - £12.045m; </w:t>
      </w:r>
    </w:p>
    <w:p w:rsidR="00D80311" w:rsidRPr="00A3407F" w:rsidRDefault="00D80311" w:rsidP="00A3407F">
      <w:pPr>
        <w:pStyle w:val="ListParagraph"/>
        <w:ind w:left="1080"/>
        <w:rPr>
          <w:rFonts w:ascii="Arial" w:hAnsi="Arial" w:cs="Arial"/>
        </w:rPr>
      </w:pPr>
      <w:r w:rsidRPr="00A3407F">
        <w:rPr>
          <w:rFonts w:ascii="Arial" w:hAnsi="Arial" w:cs="Arial"/>
        </w:rPr>
        <w:t xml:space="preserve">2012/13 - £15.174m; and </w:t>
      </w:r>
    </w:p>
    <w:p w:rsidR="00D80311" w:rsidRDefault="00D80311" w:rsidP="00A3407F">
      <w:pPr>
        <w:pStyle w:val="ListParagraph"/>
        <w:ind w:left="1080"/>
        <w:rPr>
          <w:rFonts w:ascii="Arial" w:hAnsi="Arial" w:cs="Arial"/>
        </w:rPr>
      </w:pPr>
      <w:r w:rsidRPr="00A3407F">
        <w:rPr>
          <w:rFonts w:ascii="Arial" w:hAnsi="Arial" w:cs="Arial"/>
        </w:rPr>
        <w:t>2013/14 – £4.522m</w:t>
      </w:r>
      <w:r>
        <w:rPr>
          <w:rFonts w:ascii="Arial" w:hAnsi="Arial" w:cs="Arial"/>
        </w:rPr>
        <w:t>.</w:t>
      </w:r>
    </w:p>
    <w:p w:rsidR="00D80311" w:rsidRPr="00A3407F" w:rsidRDefault="00D80311" w:rsidP="00A3407F">
      <w:pPr>
        <w:pStyle w:val="ListParagraph"/>
        <w:ind w:left="1080"/>
        <w:rPr>
          <w:rFonts w:ascii="Arial" w:hAnsi="Arial" w:cs="Arial"/>
        </w:rPr>
      </w:pPr>
    </w:p>
    <w:p w:rsidR="00D80311" w:rsidRPr="00A3407F" w:rsidRDefault="00D80311" w:rsidP="00EA642C">
      <w:pPr>
        <w:pStyle w:val="ListParagraph"/>
        <w:numPr>
          <w:ilvl w:val="0"/>
          <w:numId w:val="7"/>
        </w:numPr>
        <w:spacing w:after="240"/>
        <w:rPr>
          <w:rFonts w:ascii="Arial" w:hAnsi="Arial" w:cs="Arial"/>
        </w:rPr>
      </w:pPr>
      <w:r>
        <w:rPr>
          <w:rFonts w:ascii="Arial" w:hAnsi="Arial" w:cs="Arial"/>
        </w:rPr>
        <w:t>A breakdown of spend by category is attached at Annex B.</w:t>
      </w:r>
    </w:p>
    <w:p w:rsidR="00D80311" w:rsidRPr="00321024" w:rsidRDefault="00D80311" w:rsidP="00BB4D3B">
      <w:pPr>
        <w:pStyle w:val="StyleJustified"/>
        <w:numPr>
          <w:ilvl w:val="0"/>
          <w:numId w:val="7"/>
        </w:numPr>
        <w:rPr>
          <w:szCs w:val="22"/>
        </w:rPr>
      </w:pPr>
      <w:r w:rsidRPr="00321024">
        <w:rPr>
          <w:bCs w:val="0"/>
          <w:szCs w:val="22"/>
        </w:rPr>
        <w:t>The extent to which the programme is being delivered successfully will be judged against the following success criteria</w:t>
      </w:r>
      <w:r w:rsidRPr="00321024">
        <w:rPr>
          <w:szCs w:val="22"/>
        </w:rPr>
        <w:t>:</w:t>
      </w:r>
    </w:p>
    <w:p w:rsidR="00D80311" w:rsidRPr="00321024" w:rsidRDefault="00D80311" w:rsidP="0040196E">
      <w:pPr>
        <w:pStyle w:val="StyleJustified"/>
        <w:ind w:left="0"/>
        <w:rPr>
          <w:szCs w:val="22"/>
        </w:rPr>
      </w:pPr>
    </w:p>
    <w:p w:rsidR="00D80311" w:rsidRPr="00321024" w:rsidRDefault="00D80311" w:rsidP="0040196E">
      <w:pPr>
        <w:pStyle w:val="StyleJustified"/>
        <w:numPr>
          <w:ilvl w:val="0"/>
          <w:numId w:val="11"/>
        </w:numPr>
        <w:rPr>
          <w:szCs w:val="22"/>
        </w:rPr>
      </w:pPr>
      <w:r w:rsidRPr="00321024">
        <w:rPr>
          <w:szCs w:val="22"/>
        </w:rPr>
        <w:t>A programme that assists in enabling the civil case management team to live within their reduced budgets</w:t>
      </w:r>
    </w:p>
    <w:p w:rsidR="00D80311" w:rsidRPr="00321024" w:rsidRDefault="00D80311" w:rsidP="0040196E">
      <w:pPr>
        <w:pStyle w:val="StyleJustified"/>
        <w:numPr>
          <w:ilvl w:val="0"/>
          <w:numId w:val="11"/>
        </w:numPr>
        <w:rPr>
          <w:szCs w:val="22"/>
        </w:rPr>
      </w:pPr>
      <w:r w:rsidRPr="00321024">
        <w:rPr>
          <w:szCs w:val="22"/>
        </w:rPr>
        <w:t>The introduction of a new civil case management system which enables functionality to be suppressed on the old system</w:t>
      </w:r>
    </w:p>
    <w:p w:rsidR="00D80311" w:rsidRPr="008A080C" w:rsidRDefault="00D80311" w:rsidP="0040196E">
      <w:pPr>
        <w:pStyle w:val="StyleJustified"/>
        <w:numPr>
          <w:ilvl w:val="0"/>
          <w:numId w:val="11"/>
        </w:numPr>
      </w:pPr>
      <w:r w:rsidRPr="008A080C">
        <w:t>The introduction of a Oracle based general ledger for fund spend</w:t>
      </w:r>
    </w:p>
    <w:p w:rsidR="00D80311" w:rsidRPr="008A080C" w:rsidRDefault="00D80311" w:rsidP="0040196E">
      <w:pPr>
        <w:pStyle w:val="StyleJustified"/>
        <w:numPr>
          <w:ilvl w:val="0"/>
          <w:numId w:val="11"/>
        </w:numPr>
      </w:pPr>
      <w:r w:rsidRPr="008A080C">
        <w:t>Acceptance by, and participation from, the provider community</w:t>
      </w:r>
    </w:p>
    <w:p w:rsidR="00D80311" w:rsidRPr="008A080C" w:rsidRDefault="00D80311" w:rsidP="0040196E">
      <w:pPr>
        <w:pStyle w:val="StyleJustified"/>
        <w:numPr>
          <w:ilvl w:val="0"/>
          <w:numId w:val="11"/>
        </w:numPr>
      </w:pPr>
      <w:r w:rsidRPr="008A080C">
        <w:t xml:space="preserve">A programme that is endorsed by the </w:t>
      </w:r>
      <w:r>
        <w:t xml:space="preserve">LAA Board </w:t>
      </w:r>
    </w:p>
    <w:p w:rsidR="00D80311" w:rsidRPr="008A080C" w:rsidRDefault="00D80311" w:rsidP="0040196E">
      <w:pPr>
        <w:pStyle w:val="StyleJustified"/>
        <w:numPr>
          <w:ilvl w:val="0"/>
          <w:numId w:val="11"/>
        </w:numPr>
      </w:pPr>
      <w:r w:rsidRPr="008A080C">
        <w:t>A programme that is in line with, and/or enables Executive Agency transition objectives</w:t>
      </w:r>
    </w:p>
    <w:p w:rsidR="00D80311" w:rsidRDefault="00D80311" w:rsidP="0040196E">
      <w:pPr>
        <w:pStyle w:val="StyleJustified"/>
        <w:numPr>
          <w:ilvl w:val="0"/>
          <w:numId w:val="11"/>
        </w:numPr>
      </w:pPr>
      <w:r w:rsidRPr="008A080C">
        <w:t>A reduced level of errors in respect of civil certificated work, as identified by the NAO in their report on the</w:t>
      </w:r>
      <w:r>
        <w:t xml:space="preserve"> LAA</w:t>
      </w:r>
      <w:r w:rsidRPr="008A080C">
        <w:t xml:space="preserve">’s 2009/10 accounts </w:t>
      </w:r>
    </w:p>
    <w:p w:rsidR="00D80311" w:rsidRDefault="00D80311" w:rsidP="00DB4DB4">
      <w:pPr>
        <w:pStyle w:val="StyleJustified"/>
        <w:ind w:left="0"/>
      </w:pPr>
    </w:p>
    <w:p w:rsidR="00D80311" w:rsidRPr="00B73125" w:rsidRDefault="00D80311" w:rsidP="00CB2519">
      <w:pPr>
        <w:pStyle w:val="StyleJustified"/>
        <w:jc w:val="left"/>
      </w:pPr>
      <w:r>
        <w:t>These criteria were approved by the (then) Legal Service Commission’s programme board in February 2011. This has since been ratified in the updated Business Case in 2013, which has been approved by the Legal Aid Agency, Ministry of Justice and The Cabinet Office.</w:t>
      </w:r>
    </w:p>
    <w:p w:rsidR="00D80311" w:rsidRPr="00896FFB" w:rsidRDefault="00D80311" w:rsidP="00CB2519">
      <w:pPr>
        <w:rPr>
          <w:rFonts w:ascii="Arial" w:hAnsi="Arial" w:cs="Arial"/>
          <w:sz w:val="22"/>
          <w:szCs w:val="22"/>
        </w:rPr>
      </w:pPr>
    </w:p>
    <w:p w:rsidR="00D80311" w:rsidRDefault="00D80311" w:rsidP="00CB2519">
      <w:pPr>
        <w:pStyle w:val="ListParagraph"/>
        <w:numPr>
          <w:ilvl w:val="0"/>
          <w:numId w:val="7"/>
        </w:numPr>
        <w:rPr>
          <w:rFonts w:ascii="Arial" w:hAnsi="Arial" w:cs="Arial"/>
        </w:rPr>
      </w:pPr>
      <w:r>
        <w:rPr>
          <w:rFonts w:ascii="Arial" w:hAnsi="Arial" w:cs="Arial"/>
        </w:rPr>
        <w:t xml:space="preserve">The </w:t>
      </w:r>
      <w:r w:rsidRPr="00896FFB">
        <w:rPr>
          <w:rFonts w:ascii="Arial" w:hAnsi="Arial" w:cs="Arial"/>
        </w:rPr>
        <w:t xml:space="preserve">information </w:t>
      </w:r>
      <w:r>
        <w:rPr>
          <w:rFonts w:ascii="Arial" w:hAnsi="Arial" w:cs="Arial"/>
        </w:rPr>
        <w:t xml:space="preserve">detailing key milestones for the Programme and progress against them is at Annex C. </w:t>
      </w:r>
    </w:p>
    <w:p w:rsidR="00D80311" w:rsidRDefault="00D80311" w:rsidP="00CB2519">
      <w:pPr>
        <w:pStyle w:val="ListParagraph"/>
        <w:rPr>
          <w:rFonts w:ascii="Arial" w:hAnsi="Arial" w:cs="Arial"/>
        </w:rPr>
      </w:pPr>
    </w:p>
    <w:p w:rsidR="00D80311" w:rsidRDefault="00D80311" w:rsidP="00CB2519">
      <w:pPr>
        <w:pStyle w:val="ListParagraph"/>
        <w:rPr>
          <w:rFonts w:ascii="Arial" w:hAnsi="Arial" w:cs="Arial"/>
        </w:rPr>
      </w:pPr>
      <w:r>
        <w:rPr>
          <w:rFonts w:ascii="Arial" w:hAnsi="Arial" w:cs="Arial"/>
        </w:rPr>
        <w:t>In terms of performance against the success criteria detailed above, two have already been met by the Programme.  The LSC transitioned to an Executive Agency on 1 April 2013 and delivery of the Oracle based general ledger for fund spend was implemented in October 2012. The implementation of the general ledger was an enabler of the transition to Executive Agency Status.</w:t>
      </w:r>
    </w:p>
    <w:p w:rsidR="00D80311" w:rsidRDefault="00D80311" w:rsidP="00CB2519">
      <w:pPr>
        <w:pStyle w:val="ListParagraph"/>
        <w:rPr>
          <w:rFonts w:ascii="Arial" w:hAnsi="Arial" w:cs="Arial"/>
        </w:rPr>
      </w:pPr>
      <w:r>
        <w:rPr>
          <w:rFonts w:ascii="Arial" w:hAnsi="Arial" w:cs="Arial"/>
        </w:rPr>
        <w:t xml:space="preserve"> </w:t>
      </w:r>
    </w:p>
    <w:p w:rsidR="00D80311" w:rsidRPr="00BB4D3B" w:rsidRDefault="00D80311" w:rsidP="00CB2519">
      <w:pPr>
        <w:pStyle w:val="ListParagraph"/>
        <w:rPr>
          <w:rFonts w:ascii="Arial" w:hAnsi="Arial" w:cs="Arial"/>
        </w:rPr>
      </w:pPr>
      <w:r>
        <w:rPr>
          <w:rFonts w:ascii="Arial" w:hAnsi="Arial" w:cs="Arial"/>
        </w:rPr>
        <w:t>There are now over 2,300 cases live on the system as part of the pilot. Planning for implementation is well advanced within the Agency, helping civil case management teams to plan their workload and, once live, increase their efficiency. W</w:t>
      </w:r>
      <w:r w:rsidRPr="00274CC4">
        <w:rPr>
          <w:rFonts w:ascii="Arial" w:hAnsi="Arial" w:cs="Arial"/>
        </w:rPr>
        <w:t>e will continue to monitor performance against these criteria</w:t>
      </w:r>
      <w:r>
        <w:rPr>
          <w:rFonts w:ascii="Arial" w:hAnsi="Arial" w:cs="Arial"/>
        </w:rPr>
        <w:t>;</w:t>
      </w:r>
      <w:r w:rsidRPr="00274CC4">
        <w:rPr>
          <w:rFonts w:ascii="Arial" w:hAnsi="Arial" w:cs="Arial"/>
        </w:rPr>
        <w:t xml:space="preserve"> however</w:t>
      </w:r>
      <w:r>
        <w:rPr>
          <w:rFonts w:ascii="Arial" w:hAnsi="Arial" w:cs="Arial"/>
        </w:rPr>
        <w:t>,</w:t>
      </w:r>
      <w:r w:rsidRPr="00274CC4">
        <w:rPr>
          <w:rFonts w:ascii="Arial" w:hAnsi="Arial" w:cs="Arial"/>
        </w:rPr>
        <w:t xml:space="preserve"> we will not complete our evaluation of them until the implementation is complete</w:t>
      </w:r>
      <w:r>
        <w:rPr>
          <w:rFonts w:ascii="Arial" w:hAnsi="Arial" w:cs="Arial"/>
        </w:rPr>
        <w:t>.</w:t>
      </w:r>
    </w:p>
    <w:p w:rsidR="00D80311" w:rsidRPr="00896FFB" w:rsidRDefault="00D80311" w:rsidP="00EA642C">
      <w:pPr>
        <w:autoSpaceDE w:val="0"/>
        <w:autoSpaceDN w:val="0"/>
        <w:adjustRightInd w:val="0"/>
        <w:rPr>
          <w:rFonts w:ascii="Arial" w:hAnsi="Arial" w:cs="Arial"/>
          <w:sz w:val="22"/>
          <w:szCs w:val="22"/>
        </w:rPr>
      </w:pPr>
    </w:p>
    <w:p w:rsidR="00D80311" w:rsidRPr="00896FFB" w:rsidRDefault="00D80311" w:rsidP="005C2AFE">
      <w:pPr>
        <w:rPr>
          <w:rFonts w:ascii="Arial" w:hAnsi="Arial" w:cs="Arial"/>
          <w:sz w:val="22"/>
          <w:szCs w:val="22"/>
        </w:rPr>
      </w:pPr>
    </w:p>
    <w:p w:rsidR="00D80311" w:rsidRPr="00896FFB" w:rsidRDefault="00D80311" w:rsidP="005C2AFE">
      <w:pPr>
        <w:rPr>
          <w:rFonts w:ascii="Arial" w:hAnsi="Arial" w:cs="Arial"/>
          <w:sz w:val="22"/>
          <w:szCs w:val="22"/>
        </w:rPr>
      </w:pPr>
    </w:p>
    <w:p w:rsidR="00D80311" w:rsidRDefault="00D80311" w:rsidP="0058203E">
      <w:pPr>
        <w:rPr>
          <w:rFonts w:ascii="Arial" w:hAnsi="Arial" w:cs="Arial"/>
          <w:color w:val="000000"/>
          <w:sz w:val="22"/>
          <w:szCs w:val="22"/>
        </w:rPr>
      </w:pPr>
      <w:r>
        <w:rPr>
          <w:rFonts w:ascii="Arial" w:hAnsi="Arial" w:cs="Arial"/>
          <w:color w:val="000000"/>
          <w:sz w:val="22"/>
          <w:szCs w:val="22"/>
        </w:rPr>
        <w:br w:type="page"/>
      </w:r>
    </w:p>
    <w:tbl>
      <w:tblPr>
        <w:tblW w:w="9860" w:type="dxa"/>
        <w:tblInd w:w="93" w:type="dxa"/>
        <w:tblLook w:val="00A0"/>
      </w:tblPr>
      <w:tblGrid>
        <w:gridCol w:w="5600"/>
        <w:gridCol w:w="1420"/>
        <w:gridCol w:w="1420"/>
        <w:gridCol w:w="1420"/>
      </w:tblGrid>
      <w:tr w:rsidR="00D80311" w:rsidRPr="00321024" w:rsidTr="000D3E53">
        <w:trPr>
          <w:trHeight w:val="300"/>
        </w:trPr>
        <w:tc>
          <w:tcPr>
            <w:tcW w:w="5600" w:type="dxa"/>
            <w:tcBorders>
              <w:top w:val="nil"/>
              <w:left w:val="nil"/>
              <w:bottom w:val="nil"/>
              <w:right w:val="nil"/>
            </w:tcBorders>
            <w:noWrap/>
            <w:vAlign w:val="bottom"/>
          </w:tcPr>
          <w:p w:rsidR="00D80311" w:rsidRPr="00321024" w:rsidRDefault="00D80311" w:rsidP="000D3E53">
            <w:pPr>
              <w:rPr>
                <w:rFonts w:ascii="Arial" w:hAnsi="Arial" w:cs="Arial"/>
                <w:b/>
                <w:bCs/>
                <w:color w:val="000000"/>
                <w:sz w:val="22"/>
                <w:szCs w:val="22"/>
              </w:rPr>
            </w:pPr>
            <w:r>
              <w:rPr>
                <w:rFonts w:ascii="Arial" w:hAnsi="Arial" w:cs="Arial"/>
                <w:b/>
                <w:bCs/>
                <w:color w:val="000000"/>
                <w:sz w:val="22"/>
                <w:szCs w:val="22"/>
              </w:rPr>
              <w:t>Annex A – Breakdown of Budget by Category</w:t>
            </w:r>
          </w:p>
        </w:tc>
        <w:tc>
          <w:tcPr>
            <w:tcW w:w="1420" w:type="dxa"/>
            <w:tcBorders>
              <w:top w:val="nil"/>
              <w:left w:val="nil"/>
              <w:bottom w:val="nil"/>
              <w:right w:val="nil"/>
            </w:tcBorders>
            <w:noWrap/>
            <w:vAlign w:val="bottom"/>
          </w:tcPr>
          <w:p w:rsidR="00D80311" w:rsidRPr="00321024" w:rsidRDefault="00D80311" w:rsidP="000D3E53">
            <w:pPr>
              <w:rPr>
                <w:rFonts w:ascii="Arial" w:hAnsi="Arial" w:cs="Arial"/>
                <w:color w:val="000000"/>
                <w:sz w:val="22"/>
                <w:szCs w:val="22"/>
              </w:rPr>
            </w:pPr>
          </w:p>
        </w:tc>
        <w:tc>
          <w:tcPr>
            <w:tcW w:w="1420" w:type="dxa"/>
            <w:tcBorders>
              <w:top w:val="nil"/>
              <w:left w:val="nil"/>
              <w:bottom w:val="nil"/>
              <w:right w:val="nil"/>
            </w:tcBorders>
            <w:noWrap/>
            <w:vAlign w:val="bottom"/>
          </w:tcPr>
          <w:p w:rsidR="00D80311" w:rsidRPr="00321024" w:rsidRDefault="00D80311" w:rsidP="000D3E53">
            <w:pPr>
              <w:rPr>
                <w:rFonts w:ascii="Arial" w:hAnsi="Arial" w:cs="Arial"/>
                <w:color w:val="000000"/>
                <w:sz w:val="22"/>
                <w:szCs w:val="22"/>
              </w:rPr>
            </w:pPr>
          </w:p>
        </w:tc>
        <w:tc>
          <w:tcPr>
            <w:tcW w:w="1420" w:type="dxa"/>
            <w:tcBorders>
              <w:top w:val="nil"/>
              <w:left w:val="nil"/>
              <w:bottom w:val="nil"/>
              <w:right w:val="nil"/>
            </w:tcBorders>
            <w:noWrap/>
            <w:vAlign w:val="bottom"/>
          </w:tcPr>
          <w:p w:rsidR="00D80311" w:rsidRPr="00321024" w:rsidRDefault="00D80311" w:rsidP="000D3E53">
            <w:pPr>
              <w:rPr>
                <w:rFonts w:ascii="Arial" w:hAnsi="Arial" w:cs="Arial"/>
                <w:color w:val="000000"/>
                <w:sz w:val="22"/>
                <w:szCs w:val="22"/>
              </w:rPr>
            </w:pPr>
          </w:p>
        </w:tc>
      </w:tr>
      <w:tr w:rsidR="00D80311" w:rsidRPr="00321024" w:rsidTr="000D3E53">
        <w:trPr>
          <w:trHeight w:val="300"/>
        </w:trPr>
        <w:tc>
          <w:tcPr>
            <w:tcW w:w="5600" w:type="dxa"/>
            <w:tcBorders>
              <w:top w:val="nil"/>
              <w:left w:val="nil"/>
              <w:bottom w:val="nil"/>
              <w:right w:val="nil"/>
            </w:tcBorders>
            <w:noWrap/>
            <w:vAlign w:val="bottom"/>
          </w:tcPr>
          <w:p w:rsidR="00D80311" w:rsidRPr="00321024" w:rsidRDefault="00D80311" w:rsidP="000D3E53">
            <w:pPr>
              <w:rPr>
                <w:rFonts w:ascii="Arial" w:hAnsi="Arial" w:cs="Arial"/>
                <w:b/>
                <w:bCs/>
                <w:color w:val="000000"/>
                <w:sz w:val="22"/>
                <w:szCs w:val="22"/>
              </w:rPr>
            </w:pPr>
          </w:p>
        </w:tc>
        <w:tc>
          <w:tcPr>
            <w:tcW w:w="1420" w:type="dxa"/>
            <w:tcBorders>
              <w:top w:val="nil"/>
              <w:left w:val="nil"/>
              <w:bottom w:val="nil"/>
              <w:right w:val="nil"/>
            </w:tcBorders>
            <w:noWrap/>
            <w:vAlign w:val="bottom"/>
          </w:tcPr>
          <w:p w:rsidR="00D80311" w:rsidRPr="00321024" w:rsidRDefault="00D80311" w:rsidP="000D3E53">
            <w:pPr>
              <w:rPr>
                <w:rFonts w:ascii="Arial" w:hAnsi="Arial" w:cs="Arial"/>
                <w:color w:val="000000"/>
                <w:sz w:val="22"/>
                <w:szCs w:val="22"/>
              </w:rPr>
            </w:pPr>
          </w:p>
        </w:tc>
        <w:tc>
          <w:tcPr>
            <w:tcW w:w="1420" w:type="dxa"/>
            <w:tcBorders>
              <w:top w:val="nil"/>
              <w:left w:val="nil"/>
              <w:bottom w:val="nil"/>
              <w:right w:val="nil"/>
            </w:tcBorders>
            <w:noWrap/>
            <w:vAlign w:val="bottom"/>
          </w:tcPr>
          <w:p w:rsidR="00D80311" w:rsidRPr="00321024" w:rsidRDefault="00D80311" w:rsidP="000D3E53">
            <w:pPr>
              <w:rPr>
                <w:rFonts w:ascii="Arial" w:hAnsi="Arial" w:cs="Arial"/>
                <w:color w:val="000000"/>
                <w:sz w:val="22"/>
                <w:szCs w:val="22"/>
              </w:rPr>
            </w:pPr>
          </w:p>
        </w:tc>
        <w:tc>
          <w:tcPr>
            <w:tcW w:w="1420" w:type="dxa"/>
            <w:tcBorders>
              <w:top w:val="nil"/>
              <w:left w:val="nil"/>
              <w:bottom w:val="nil"/>
              <w:right w:val="nil"/>
            </w:tcBorders>
            <w:noWrap/>
            <w:vAlign w:val="bottom"/>
          </w:tcPr>
          <w:p w:rsidR="00D80311" w:rsidRPr="00321024" w:rsidRDefault="00D80311" w:rsidP="000D3E53">
            <w:pPr>
              <w:rPr>
                <w:rFonts w:ascii="Arial" w:hAnsi="Arial" w:cs="Arial"/>
                <w:color w:val="000000"/>
                <w:sz w:val="22"/>
                <w:szCs w:val="22"/>
              </w:rPr>
            </w:pPr>
          </w:p>
        </w:tc>
      </w:tr>
      <w:tr w:rsidR="00D80311" w:rsidRPr="00321024" w:rsidTr="000D3E53">
        <w:trPr>
          <w:trHeight w:val="330"/>
        </w:trPr>
        <w:tc>
          <w:tcPr>
            <w:tcW w:w="5600" w:type="dxa"/>
            <w:tcBorders>
              <w:top w:val="nil"/>
              <w:left w:val="nil"/>
              <w:bottom w:val="nil"/>
              <w:right w:val="nil"/>
            </w:tcBorders>
            <w:noWrap/>
            <w:vAlign w:val="center"/>
          </w:tcPr>
          <w:p w:rsidR="00D80311" w:rsidRPr="009F0DAD" w:rsidRDefault="00D80311" w:rsidP="000D3E53">
            <w:pPr>
              <w:rPr>
                <w:rFonts w:ascii="Arial" w:hAnsi="Arial" w:cs="Arial"/>
                <w:b/>
                <w:bCs/>
                <w:sz w:val="20"/>
                <w:szCs w:val="20"/>
              </w:rPr>
            </w:pPr>
            <w:r w:rsidRPr="009F0DAD">
              <w:rPr>
                <w:rFonts w:ascii="Arial" w:hAnsi="Arial" w:cs="Arial"/>
                <w:b/>
                <w:bCs/>
                <w:sz w:val="20"/>
                <w:szCs w:val="20"/>
              </w:rPr>
              <w:t>In £000's</w:t>
            </w:r>
          </w:p>
        </w:tc>
        <w:tc>
          <w:tcPr>
            <w:tcW w:w="1420" w:type="dxa"/>
            <w:tcBorders>
              <w:top w:val="nil"/>
              <w:left w:val="nil"/>
              <w:bottom w:val="nil"/>
              <w:right w:val="nil"/>
            </w:tcBorders>
            <w:noWrap/>
            <w:vAlign w:val="bottom"/>
          </w:tcPr>
          <w:p w:rsidR="00D80311" w:rsidRPr="009F0DAD" w:rsidRDefault="00D80311" w:rsidP="000D3E53">
            <w:pPr>
              <w:rPr>
                <w:rFonts w:ascii="Arial" w:hAnsi="Arial" w:cs="Arial"/>
                <w:color w:val="000000"/>
                <w:sz w:val="20"/>
                <w:szCs w:val="20"/>
              </w:rPr>
            </w:pPr>
          </w:p>
        </w:tc>
        <w:tc>
          <w:tcPr>
            <w:tcW w:w="1420" w:type="dxa"/>
            <w:tcBorders>
              <w:top w:val="nil"/>
              <w:left w:val="nil"/>
              <w:bottom w:val="nil"/>
              <w:right w:val="nil"/>
            </w:tcBorders>
            <w:noWrap/>
            <w:vAlign w:val="bottom"/>
          </w:tcPr>
          <w:p w:rsidR="00D80311" w:rsidRPr="009F0DAD" w:rsidRDefault="00D80311" w:rsidP="000D3E53">
            <w:pPr>
              <w:rPr>
                <w:rFonts w:ascii="Arial" w:hAnsi="Arial" w:cs="Arial"/>
                <w:color w:val="000000"/>
                <w:sz w:val="20"/>
                <w:szCs w:val="20"/>
              </w:rPr>
            </w:pPr>
          </w:p>
        </w:tc>
        <w:tc>
          <w:tcPr>
            <w:tcW w:w="1420" w:type="dxa"/>
            <w:tcBorders>
              <w:top w:val="nil"/>
              <w:left w:val="nil"/>
              <w:bottom w:val="nil"/>
              <w:right w:val="nil"/>
            </w:tcBorders>
            <w:noWrap/>
            <w:vAlign w:val="bottom"/>
          </w:tcPr>
          <w:p w:rsidR="00D80311" w:rsidRPr="009F0DAD" w:rsidRDefault="00D80311" w:rsidP="000D3E53">
            <w:pPr>
              <w:rPr>
                <w:rFonts w:ascii="Arial" w:hAnsi="Arial" w:cs="Arial"/>
                <w:color w:val="000000"/>
                <w:sz w:val="20"/>
                <w:szCs w:val="20"/>
              </w:rPr>
            </w:pPr>
          </w:p>
        </w:tc>
      </w:tr>
      <w:tr w:rsidR="00D80311" w:rsidRPr="00321024" w:rsidTr="000D3E53">
        <w:trPr>
          <w:trHeight w:val="330"/>
        </w:trPr>
        <w:tc>
          <w:tcPr>
            <w:tcW w:w="5600" w:type="dxa"/>
            <w:vMerge w:val="restart"/>
            <w:tcBorders>
              <w:top w:val="double" w:sz="6" w:space="0" w:color="auto"/>
              <w:left w:val="double" w:sz="6" w:space="0" w:color="auto"/>
              <w:bottom w:val="double" w:sz="6" w:space="0" w:color="000000"/>
              <w:right w:val="double" w:sz="6" w:space="0" w:color="auto"/>
            </w:tcBorders>
            <w:shd w:val="clear" w:color="000000" w:fill="C0C0C0"/>
            <w:vAlign w:val="center"/>
          </w:tcPr>
          <w:p w:rsidR="00D80311" w:rsidRPr="009F0DAD" w:rsidRDefault="00D80311" w:rsidP="000D3E53">
            <w:pPr>
              <w:rPr>
                <w:rFonts w:ascii="Arial" w:hAnsi="Arial" w:cs="Arial"/>
                <w:b/>
                <w:bCs/>
                <w:sz w:val="20"/>
                <w:szCs w:val="20"/>
              </w:rPr>
            </w:pPr>
            <w:r w:rsidRPr="009F0DAD">
              <w:rPr>
                <w:rFonts w:ascii="Arial" w:hAnsi="Arial" w:cs="Arial"/>
                <w:b/>
                <w:bCs/>
                <w:sz w:val="20"/>
                <w:szCs w:val="20"/>
              </w:rPr>
              <w:t>IDP      Risk-Adjusted Programme Costs (£000's) - Activity</w:t>
            </w:r>
          </w:p>
        </w:tc>
        <w:tc>
          <w:tcPr>
            <w:tcW w:w="1420" w:type="dxa"/>
            <w:vMerge w:val="restart"/>
            <w:tcBorders>
              <w:top w:val="double" w:sz="6" w:space="0" w:color="auto"/>
              <w:left w:val="double" w:sz="6" w:space="0" w:color="auto"/>
              <w:bottom w:val="double" w:sz="6" w:space="0" w:color="auto"/>
              <w:right w:val="double" w:sz="6" w:space="0" w:color="auto"/>
            </w:tcBorders>
            <w:shd w:val="clear" w:color="000000" w:fill="C0C0C0"/>
            <w:vAlign w:val="center"/>
          </w:tcPr>
          <w:p w:rsidR="00D80311" w:rsidRPr="009F0DAD" w:rsidRDefault="00D80311" w:rsidP="000D3E53">
            <w:pPr>
              <w:jc w:val="center"/>
              <w:rPr>
                <w:rFonts w:ascii="Arial" w:hAnsi="Arial" w:cs="Arial"/>
                <w:b/>
                <w:bCs/>
                <w:sz w:val="20"/>
                <w:szCs w:val="20"/>
              </w:rPr>
            </w:pPr>
            <w:r w:rsidRPr="009F0DAD">
              <w:rPr>
                <w:rFonts w:ascii="Arial" w:hAnsi="Arial" w:cs="Arial"/>
                <w:b/>
                <w:bCs/>
                <w:sz w:val="20"/>
                <w:szCs w:val="20"/>
              </w:rPr>
              <w:t>FY 11/12</w:t>
            </w:r>
          </w:p>
        </w:tc>
        <w:tc>
          <w:tcPr>
            <w:tcW w:w="1420" w:type="dxa"/>
            <w:vMerge w:val="restart"/>
            <w:tcBorders>
              <w:top w:val="double" w:sz="6" w:space="0" w:color="auto"/>
              <w:left w:val="double" w:sz="6" w:space="0" w:color="auto"/>
              <w:bottom w:val="double" w:sz="6" w:space="0" w:color="auto"/>
              <w:right w:val="double" w:sz="6" w:space="0" w:color="auto"/>
            </w:tcBorders>
            <w:shd w:val="clear" w:color="000000" w:fill="C0C0C0"/>
            <w:vAlign w:val="center"/>
          </w:tcPr>
          <w:p w:rsidR="00D80311" w:rsidRPr="009F0DAD" w:rsidRDefault="00D80311" w:rsidP="000D3E53">
            <w:pPr>
              <w:jc w:val="center"/>
              <w:rPr>
                <w:rFonts w:ascii="Arial" w:hAnsi="Arial" w:cs="Arial"/>
                <w:b/>
                <w:bCs/>
                <w:sz w:val="20"/>
                <w:szCs w:val="20"/>
              </w:rPr>
            </w:pPr>
            <w:r w:rsidRPr="009F0DAD">
              <w:rPr>
                <w:rFonts w:ascii="Arial" w:hAnsi="Arial" w:cs="Arial"/>
                <w:b/>
                <w:bCs/>
                <w:sz w:val="20"/>
                <w:szCs w:val="20"/>
              </w:rPr>
              <w:t>FY 12/13</w:t>
            </w:r>
          </w:p>
        </w:tc>
        <w:tc>
          <w:tcPr>
            <w:tcW w:w="1420" w:type="dxa"/>
            <w:vMerge w:val="restart"/>
            <w:tcBorders>
              <w:top w:val="double" w:sz="6" w:space="0" w:color="auto"/>
              <w:left w:val="double" w:sz="6" w:space="0" w:color="auto"/>
              <w:bottom w:val="double" w:sz="6" w:space="0" w:color="auto"/>
              <w:right w:val="double" w:sz="6" w:space="0" w:color="auto"/>
            </w:tcBorders>
            <w:shd w:val="clear" w:color="000000" w:fill="C0C0C0"/>
            <w:vAlign w:val="center"/>
          </w:tcPr>
          <w:p w:rsidR="00D80311" w:rsidRPr="009F0DAD" w:rsidRDefault="00D80311" w:rsidP="000D3E53">
            <w:pPr>
              <w:jc w:val="center"/>
              <w:rPr>
                <w:rFonts w:ascii="Arial" w:hAnsi="Arial" w:cs="Arial"/>
                <w:b/>
                <w:bCs/>
                <w:sz w:val="20"/>
                <w:szCs w:val="20"/>
              </w:rPr>
            </w:pPr>
            <w:r w:rsidRPr="009F0DAD">
              <w:rPr>
                <w:rFonts w:ascii="Arial" w:hAnsi="Arial" w:cs="Arial"/>
                <w:b/>
                <w:bCs/>
                <w:sz w:val="20"/>
                <w:szCs w:val="20"/>
              </w:rPr>
              <w:t>FY 13/14</w:t>
            </w:r>
          </w:p>
        </w:tc>
      </w:tr>
      <w:tr w:rsidR="00D80311" w:rsidRPr="00321024" w:rsidTr="000D3E53">
        <w:trPr>
          <w:trHeight w:val="330"/>
        </w:trPr>
        <w:tc>
          <w:tcPr>
            <w:tcW w:w="5600" w:type="dxa"/>
            <w:vMerge/>
            <w:tcBorders>
              <w:top w:val="double" w:sz="6" w:space="0" w:color="auto"/>
              <w:left w:val="double" w:sz="6" w:space="0" w:color="auto"/>
              <w:bottom w:val="double" w:sz="6" w:space="0" w:color="000000"/>
              <w:right w:val="double" w:sz="6" w:space="0" w:color="auto"/>
            </w:tcBorders>
            <w:vAlign w:val="center"/>
          </w:tcPr>
          <w:p w:rsidR="00D80311" w:rsidRPr="009F0DAD" w:rsidRDefault="00D80311" w:rsidP="000D3E53">
            <w:pPr>
              <w:rPr>
                <w:rFonts w:ascii="Arial" w:hAnsi="Arial" w:cs="Arial"/>
                <w:b/>
                <w:bCs/>
                <w:sz w:val="20"/>
                <w:szCs w:val="20"/>
              </w:rPr>
            </w:pPr>
          </w:p>
        </w:tc>
        <w:tc>
          <w:tcPr>
            <w:tcW w:w="1420" w:type="dxa"/>
            <w:vMerge/>
            <w:tcBorders>
              <w:top w:val="double" w:sz="6" w:space="0" w:color="auto"/>
              <w:left w:val="double" w:sz="6" w:space="0" w:color="auto"/>
              <w:bottom w:val="double" w:sz="6" w:space="0" w:color="auto"/>
              <w:right w:val="double" w:sz="6" w:space="0" w:color="auto"/>
            </w:tcBorders>
            <w:vAlign w:val="center"/>
          </w:tcPr>
          <w:p w:rsidR="00D80311" w:rsidRPr="009F0DAD" w:rsidRDefault="00D80311" w:rsidP="000D3E53">
            <w:pPr>
              <w:rPr>
                <w:rFonts w:ascii="Arial" w:hAnsi="Arial" w:cs="Arial"/>
                <w:b/>
                <w:bCs/>
                <w:sz w:val="20"/>
                <w:szCs w:val="20"/>
              </w:rPr>
            </w:pPr>
          </w:p>
        </w:tc>
        <w:tc>
          <w:tcPr>
            <w:tcW w:w="1420" w:type="dxa"/>
            <w:vMerge/>
            <w:tcBorders>
              <w:top w:val="double" w:sz="6" w:space="0" w:color="auto"/>
              <w:left w:val="double" w:sz="6" w:space="0" w:color="auto"/>
              <w:bottom w:val="double" w:sz="6" w:space="0" w:color="auto"/>
              <w:right w:val="double" w:sz="6" w:space="0" w:color="auto"/>
            </w:tcBorders>
            <w:vAlign w:val="center"/>
          </w:tcPr>
          <w:p w:rsidR="00D80311" w:rsidRPr="009F0DAD" w:rsidRDefault="00D80311" w:rsidP="000D3E53">
            <w:pPr>
              <w:rPr>
                <w:rFonts w:ascii="Arial" w:hAnsi="Arial" w:cs="Arial"/>
                <w:b/>
                <w:bCs/>
                <w:sz w:val="20"/>
                <w:szCs w:val="20"/>
              </w:rPr>
            </w:pPr>
          </w:p>
        </w:tc>
        <w:tc>
          <w:tcPr>
            <w:tcW w:w="1420" w:type="dxa"/>
            <w:vMerge/>
            <w:tcBorders>
              <w:top w:val="double" w:sz="6" w:space="0" w:color="auto"/>
              <w:left w:val="double" w:sz="6" w:space="0" w:color="auto"/>
              <w:bottom w:val="double" w:sz="6" w:space="0" w:color="auto"/>
              <w:right w:val="double" w:sz="6" w:space="0" w:color="auto"/>
            </w:tcBorders>
            <w:vAlign w:val="center"/>
          </w:tcPr>
          <w:p w:rsidR="00D80311" w:rsidRPr="009F0DAD" w:rsidRDefault="00D80311" w:rsidP="000D3E53">
            <w:pPr>
              <w:rPr>
                <w:rFonts w:ascii="Arial" w:hAnsi="Arial" w:cs="Arial"/>
                <w:b/>
                <w:bCs/>
                <w:sz w:val="20"/>
                <w:szCs w:val="20"/>
              </w:rPr>
            </w:pPr>
          </w:p>
        </w:tc>
      </w:tr>
      <w:tr w:rsidR="00D80311" w:rsidRPr="00321024" w:rsidTr="000D3E53">
        <w:trPr>
          <w:trHeight w:val="345"/>
        </w:trPr>
        <w:tc>
          <w:tcPr>
            <w:tcW w:w="5600" w:type="dxa"/>
            <w:tcBorders>
              <w:top w:val="nil"/>
              <w:left w:val="double" w:sz="6" w:space="0" w:color="auto"/>
              <w:bottom w:val="double" w:sz="6" w:space="0" w:color="auto"/>
              <w:right w:val="double" w:sz="6" w:space="0" w:color="auto"/>
            </w:tcBorders>
            <w:vAlign w:val="center"/>
          </w:tcPr>
          <w:p w:rsidR="00D80311" w:rsidRPr="009F0DAD" w:rsidRDefault="00D80311" w:rsidP="000D3E53">
            <w:pPr>
              <w:rPr>
                <w:rFonts w:ascii="Arial" w:hAnsi="Arial" w:cs="Arial"/>
                <w:iCs/>
                <w:sz w:val="20"/>
                <w:szCs w:val="20"/>
              </w:rPr>
            </w:pPr>
            <w:r w:rsidRPr="009F0DAD">
              <w:rPr>
                <w:rFonts w:ascii="Arial" w:hAnsi="Arial" w:cs="Arial"/>
                <w:iCs/>
                <w:sz w:val="20"/>
                <w:szCs w:val="20"/>
              </w:rPr>
              <w:t>Staff Salaries</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£1,805</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£1,972</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£1,461</w:t>
            </w:r>
          </w:p>
        </w:tc>
      </w:tr>
      <w:tr w:rsidR="00D80311" w:rsidRPr="00321024" w:rsidTr="000D3E53">
        <w:trPr>
          <w:trHeight w:val="345"/>
        </w:trPr>
        <w:tc>
          <w:tcPr>
            <w:tcW w:w="5600" w:type="dxa"/>
            <w:tcBorders>
              <w:top w:val="nil"/>
              <w:left w:val="double" w:sz="6" w:space="0" w:color="auto"/>
              <w:bottom w:val="double" w:sz="6" w:space="0" w:color="auto"/>
              <w:right w:val="double" w:sz="6" w:space="0" w:color="auto"/>
            </w:tcBorders>
            <w:noWrap/>
            <w:vAlign w:val="center"/>
          </w:tcPr>
          <w:p w:rsidR="00D80311" w:rsidRPr="009F0DAD" w:rsidRDefault="00D80311" w:rsidP="000D3E53">
            <w:pPr>
              <w:rPr>
                <w:rFonts w:ascii="Arial" w:hAnsi="Arial" w:cs="Arial"/>
                <w:iCs/>
                <w:sz w:val="20"/>
                <w:szCs w:val="20"/>
              </w:rPr>
            </w:pPr>
            <w:r w:rsidRPr="009F0DAD">
              <w:rPr>
                <w:rFonts w:ascii="Arial" w:hAnsi="Arial" w:cs="Arial"/>
                <w:iCs/>
                <w:sz w:val="20"/>
                <w:szCs w:val="20"/>
              </w:rPr>
              <w:t>Agency &amp; Contract Staff</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£2,152</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£2,705</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£2,000</w:t>
            </w:r>
          </w:p>
        </w:tc>
      </w:tr>
      <w:tr w:rsidR="00D80311" w:rsidRPr="00321024" w:rsidTr="000D3E53">
        <w:trPr>
          <w:trHeight w:val="345"/>
        </w:trPr>
        <w:tc>
          <w:tcPr>
            <w:tcW w:w="5600" w:type="dxa"/>
            <w:tcBorders>
              <w:top w:val="nil"/>
              <w:left w:val="double" w:sz="6" w:space="0" w:color="auto"/>
              <w:bottom w:val="double" w:sz="6" w:space="0" w:color="auto"/>
              <w:right w:val="double" w:sz="6" w:space="0" w:color="auto"/>
            </w:tcBorders>
            <w:noWrap/>
            <w:vAlign w:val="center"/>
          </w:tcPr>
          <w:p w:rsidR="00D80311" w:rsidRPr="009F0DAD" w:rsidRDefault="00D80311" w:rsidP="000D3E53">
            <w:pPr>
              <w:rPr>
                <w:rFonts w:ascii="Arial" w:hAnsi="Arial" w:cs="Arial"/>
                <w:iCs/>
                <w:sz w:val="20"/>
                <w:szCs w:val="20"/>
              </w:rPr>
            </w:pPr>
            <w:r w:rsidRPr="009F0DAD">
              <w:rPr>
                <w:rFonts w:ascii="Arial" w:hAnsi="Arial" w:cs="Arial"/>
                <w:iCs/>
                <w:sz w:val="20"/>
                <w:szCs w:val="20"/>
              </w:rPr>
              <w:t>Travel &amp; Training</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£265</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£336</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£164</w:t>
            </w:r>
          </w:p>
        </w:tc>
      </w:tr>
      <w:tr w:rsidR="00D80311" w:rsidRPr="00321024" w:rsidTr="000D3E53">
        <w:trPr>
          <w:trHeight w:val="345"/>
        </w:trPr>
        <w:tc>
          <w:tcPr>
            <w:tcW w:w="5600" w:type="dxa"/>
            <w:tcBorders>
              <w:top w:val="nil"/>
              <w:left w:val="double" w:sz="6" w:space="0" w:color="auto"/>
              <w:bottom w:val="double" w:sz="6" w:space="0" w:color="auto"/>
              <w:right w:val="double" w:sz="6" w:space="0" w:color="auto"/>
            </w:tcBorders>
            <w:noWrap/>
            <w:vAlign w:val="center"/>
          </w:tcPr>
          <w:p w:rsidR="00D80311" w:rsidRPr="009F0DAD" w:rsidRDefault="00D80311" w:rsidP="000D3E53">
            <w:pPr>
              <w:rPr>
                <w:rFonts w:ascii="Arial" w:hAnsi="Arial" w:cs="Arial"/>
                <w:iCs/>
                <w:sz w:val="20"/>
                <w:szCs w:val="20"/>
              </w:rPr>
            </w:pPr>
            <w:r w:rsidRPr="009F0DAD">
              <w:rPr>
                <w:rFonts w:ascii="Arial" w:hAnsi="Arial" w:cs="Arial"/>
                <w:iCs/>
                <w:sz w:val="20"/>
                <w:szCs w:val="20"/>
              </w:rPr>
              <w:t>IT Services (e.g. Consultancy Hardware, Software &amp; Development)</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£9,112</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£9,966</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£6,285</w:t>
            </w:r>
          </w:p>
        </w:tc>
      </w:tr>
      <w:tr w:rsidR="00D80311" w:rsidRPr="00321024" w:rsidTr="000D3E53">
        <w:trPr>
          <w:trHeight w:val="345"/>
        </w:trPr>
        <w:tc>
          <w:tcPr>
            <w:tcW w:w="5600" w:type="dxa"/>
            <w:tcBorders>
              <w:top w:val="nil"/>
              <w:left w:val="double" w:sz="6" w:space="0" w:color="auto"/>
              <w:bottom w:val="double" w:sz="6" w:space="0" w:color="auto"/>
              <w:right w:val="double" w:sz="6" w:space="0" w:color="auto"/>
            </w:tcBorders>
            <w:noWrap/>
            <w:vAlign w:val="center"/>
          </w:tcPr>
          <w:p w:rsidR="00D80311" w:rsidRPr="009F0DAD" w:rsidRDefault="00D80311" w:rsidP="000D3E53">
            <w:pPr>
              <w:rPr>
                <w:rFonts w:ascii="Arial" w:hAnsi="Arial" w:cs="Arial"/>
                <w:iCs/>
                <w:sz w:val="20"/>
                <w:szCs w:val="20"/>
              </w:rPr>
            </w:pPr>
            <w:r w:rsidRPr="009F0DAD">
              <w:rPr>
                <w:rFonts w:ascii="Arial" w:hAnsi="Arial" w:cs="Arial"/>
                <w:iCs/>
                <w:sz w:val="20"/>
                <w:szCs w:val="20"/>
              </w:rPr>
              <w:t>Service Costs</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£0</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£0</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£0</w:t>
            </w:r>
          </w:p>
        </w:tc>
      </w:tr>
      <w:tr w:rsidR="00D80311" w:rsidRPr="00321024" w:rsidTr="000D3E53">
        <w:trPr>
          <w:trHeight w:val="345"/>
        </w:trPr>
        <w:tc>
          <w:tcPr>
            <w:tcW w:w="5600" w:type="dxa"/>
            <w:tcBorders>
              <w:top w:val="nil"/>
              <w:left w:val="double" w:sz="6" w:space="0" w:color="auto"/>
              <w:bottom w:val="double" w:sz="6" w:space="0" w:color="auto"/>
              <w:right w:val="double" w:sz="6" w:space="0" w:color="auto"/>
            </w:tcBorders>
            <w:noWrap/>
            <w:vAlign w:val="center"/>
          </w:tcPr>
          <w:p w:rsidR="00D80311" w:rsidRPr="009F0DAD" w:rsidRDefault="00D80311" w:rsidP="000D3E53">
            <w:pPr>
              <w:rPr>
                <w:rFonts w:ascii="Arial" w:hAnsi="Arial" w:cs="Arial"/>
                <w:iCs/>
                <w:sz w:val="20"/>
                <w:szCs w:val="20"/>
              </w:rPr>
            </w:pPr>
            <w:r w:rsidRPr="009F0DAD">
              <w:rPr>
                <w:rFonts w:ascii="Arial" w:hAnsi="Arial" w:cs="Arial"/>
                <w:iCs/>
                <w:sz w:val="20"/>
                <w:szCs w:val="20"/>
              </w:rPr>
              <w:t>Conferences &amp; Events &amp; Publications</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£23</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£87</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£130</w:t>
            </w:r>
          </w:p>
        </w:tc>
      </w:tr>
      <w:tr w:rsidR="00D80311" w:rsidRPr="00321024" w:rsidTr="000D3E53">
        <w:trPr>
          <w:trHeight w:val="345"/>
        </w:trPr>
        <w:tc>
          <w:tcPr>
            <w:tcW w:w="5600" w:type="dxa"/>
            <w:tcBorders>
              <w:top w:val="nil"/>
              <w:left w:val="double" w:sz="6" w:space="0" w:color="auto"/>
              <w:bottom w:val="double" w:sz="6" w:space="0" w:color="auto"/>
              <w:right w:val="double" w:sz="6" w:space="0" w:color="auto"/>
            </w:tcBorders>
            <w:noWrap/>
            <w:vAlign w:val="center"/>
          </w:tcPr>
          <w:p w:rsidR="00D80311" w:rsidRPr="009F0DAD" w:rsidRDefault="00D80311" w:rsidP="000D3E53">
            <w:pPr>
              <w:rPr>
                <w:rFonts w:ascii="Arial" w:hAnsi="Arial" w:cs="Arial"/>
                <w:iCs/>
                <w:sz w:val="20"/>
                <w:szCs w:val="20"/>
              </w:rPr>
            </w:pPr>
            <w:r w:rsidRPr="009F0DAD">
              <w:rPr>
                <w:rFonts w:ascii="Arial" w:hAnsi="Arial" w:cs="Arial"/>
                <w:iCs/>
                <w:sz w:val="20"/>
                <w:szCs w:val="20"/>
              </w:rPr>
              <w:t>Other Costs</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£0</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£0</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£0</w:t>
            </w:r>
          </w:p>
        </w:tc>
      </w:tr>
      <w:tr w:rsidR="00D80311" w:rsidRPr="00321024" w:rsidTr="000D3E53">
        <w:trPr>
          <w:trHeight w:val="345"/>
        </w:trPr>
        <w:tc>
          <w:tcPr>
            <w:tcW w:w="5600" w:type="dxa"/>
            <w:tcBorders>
              <w:top w:val="nil"/>
              <w:left w:val="double" w:sz="6" w:space="0" w:color="auto"/>
              <w:bottom w:val="double" w:sz="6" w:space="0" w:color="auto"/>
              <w:right w:val="double" w:sz="6" w:space="0" w:color="auto"/>
            </w:tcBorders>
            <w:shd w:val="clear" w:color="000000" w:fill="C0C0C0"/>
            <w:noWrap/>
            <w:vAlign w:val="center"/>
          </w:tcPr>
          <w:p w:rsidR="00D80311" w:rsidRPr="009F0DAD" w:rsidRDefault="00D80311" w:rsidP="000D3E53">
            <w:pPr>
              <w:rPr>
                <w:rFonts w:ascii="Arial" w:hAnsi="Arial" w:cs="Arial"/>
                <w:b/>
                <w:bCs/>
                <w:sz w:val="20"/>
                <w:szCs w:val="20"/>
              </w:rPr>
            </w:pPr>
            <w:r w:rsidRPr="009F0DAD">
              <w:rPr>
                <w:rFonts w:ascii="Arial" w:hAnsi="Arial" w:cs="Arial"/>
                <w:b/>
                <w:bCs/>
                <w:sz w:val="20"/>
                <w:szCs w:val="20"/>
              </w:rPr>
              <w:t>TOTAL PROGRAMME  COSTS</w:t>
            </w:r>
          </w:p>
        </w:tc>
        <w:tc>
          <w:tcPr>
            <w:tcW w:w="1420" w:type="dxa"/>
            <w:tcBorders>
              <w:top w:val="nil"/>
              <w:left w:val="nil"/>
              <w:bottom w:val="double" w:sz="6" w:space="0" w:color="auto"/>
              <w:right w:val="double" w:sz="6" w:space="0" w:color="auto"/>
            </w:tcBorders>
            <w:shd w:val="clear" w:color="000000" w:fill="C0C0C0"/>
            <w:noWrap/>
            <w:vAlign w:val="center"/>
          </w:tcPr>
          <w:p w:rsidR="00D80311" w:rsidRPr="009F0DAD" w:rsidRDefault="00D80311" w:rsidP="000D3E53">
            <w:pPr>
              <w:jc w:val="right"/>
              <w:rPr>
                <w:rFonts w:ascii="Arial" w:hAnsi="Arial" w:cs="Arial"/>
                <w:b/>
                <w:bCs/>
                <w:sz w:val="20"/>
                <w:szCs w:val="20"/>
              </w:rPr>
            </w:pPr>
            <w:r w:rsidRPr="009F0DAD">
              <w:rPr>
                <w:rFonts w:ascii="Arial" w:hAnsi="Arial" w:cs="Arial"/>
                <w:b/>
                <w:bCs/>
                <w:sz w:val="20"/>
                <w:szCs w:val="20"/>
              </w:rPr>
              <w:t>£13,357</w:t>
            </w:r>
          </w:p>
        </w:tc>
        <w:tc>
          <w:tcPr>
            <w:tcW w:w="1420" w:type="dxa"/>
            <w:tcBorders>
              <w:top w:val="nil"/>
              <w:left w:val="nil"/>
              <w:bottom w:val="double" w:sz="6" w:space="0" w:color="auto"/>
              <w:right w:val="double" w:sz="6" w:space="0" w:color="auto"/>
            </w:tcBorders>
            <w:shd w:val="clear" w:color="000000" w:fill="C0C0C0"/>
            <w:noWrap/>
            <w:vAlign w:val="center"/>
          </w:tcPr>
          <w:p w:rsidR="00D80311" w:rsidRPr="009F0DAD" w:rsidRDefault="00D80311" w:rsidP="000D3E53">
            <w:pPr>
              <w:jc w:val="right"/>
              <w:rPr>
                <w:rFonts w:ascii="Arial" w:hAnsi="Arial" w:cs="Arial"/>
                <w:b/>
                <w:bCs/>
                <w:sz w:val="20"/>
                <w:szCs w:val="20"/>
              </w:rPr>
            </w:pPr>
            <w:r w:rsidRPr="009F0DAD">
              <w:rPr>
                <w:rFonts w:ascii="Arial" w:hAnsi="Arial" w:cs="Arial"/>
                <w:b/>
                <w:bCs/>
                <w:sz w:val="20"/>
                <w:szCs w:val="20"/>
              </w:rPr>
              <w:t>£15,066</w:t>
            </w:r>
          </w:p>
        </w:tc>
        <w:tc>
          <w:tcPr>
            <w:tcW w:w="1420" w:type="dxa"/>
            <w:tcBorders>
              <w:top w:val="nil"/>
              <w:left w:val="nil"/>
              <w:bottom w:val="double" w:sz="6" w:space="0" w:color="auto"/>
              <w:right w:val="double" w:sz="6" w:space="0" w:color="auto"/>
            </w:tcBorders>
            <w:shd w:val="clear" w:color="000000" w:fill="C0C0C0"/>
            <w:noWrap/>
            <w:vAlign w:val="center"/>
          </w:tcPr>
          <w:p w:rsidR="00D80311" w:rsidRPr="009F0DAD" w:rsidRDefault="00D80311" w:rsidP="000D3E53">
            <w:pPr>
              <w:jc w:val="right"/>
              <w:rPr>
                <w:rFonts w:ascii="Arial" w:hAnsi="Arial" w:cs="Arial"/>
                <w:b/>
                <w:bCs/>
                <w:sz w:val="20"/>
                <w:szCs w:val="20"/>
              </w:rPr>
            </w:pPr>
            <w:r w:rsidRPr="009F0DAD">
              <w:rPr>
                <w:rFonts w:ascii="Arial" w:hAnsi="Arial" w:cs="Arial"/>
                <w:b/>
                <w:bCs/>
                <w:sz w:val="20"/>
                <w:szCs w:val="20"/>
              </w:rPr>
              <w:t>£10,040</w:t>
            </w:r>
          </w:p>
        </w:tc>
      </w:tr>
      <w:tr w:rsidR="00D80311" w:rsidRPr="00321024" w:rsidTr="000D3E53">
        <w:trPr>
          <w:trHeight w:val="315"/>
        </w:trPr>
        <w:tc>
          <w:tcPr>
            <w:tcW w:w="5600" w:type="dxa"/>
            <w:tcBorders>
              <w:top w:val="nil"/>
              <w:left w:val="nil"/>
              <w:bottom w:val="nil"/>
              <w:right w:val="nil"/>
            </w:tcBorders>
            <w:noWrap/>
            <w:vAlign w:val="bottom"/>
          </w:tcPr>
          <w:p w:rsidR="00D80311" w:rsidRPr="009F0DAD" w:rsidRDefault="00D80311" w:rsidP="000D3E53">
            <w:pPr>
              <w:rPr>
                <w:rFonts w:ascii="Arial" w:hAnsi="Arial" w:cs="Arial"/>
                <w:b/>
                <w:bCs/>
                <w:color w:val="000000"/>
                <w:sz w:val="20"/>
                <w:szCs w:val="20"/>
              </w:rPr>
            </w:pPr>
          </w:p>
        </w:tc>
        <w:tc>
          <w:tcPr>
            <w:tcW w:w="1420" w:type="dxa"/>
            <w:tcBorders>
              <w:top w:val="nil"/>
              <w:left w:val="nil"/>
              <w:bottom w:val="nil"/>
              <w:right w:val="nil"/>
            </w:tcBorders>
            <w:noWrap/>
            <w:vAlign w:val="bottom"/>
          </w:tcPr>
          <w:p w:rsidR="00D80311" w:rsidRPr="009F0DAD" w:rsidRDefault="00D80311" w:rsidP="000D3E53">
            <w:pPr>
              <w:rPr>
                <w:rFonts w:ascii="Arial" w:hAnsi="Arial" w:cs="Arial"/>
                <w:color w:val="000000"/>
                <w:sz w:val="20"/>
                <w:szCs w:val="20"/>
              </w:rPr>
            </w:pPr>
          </w:p>
        </w:tc>
        <w:tc>
          <w:tcPr>
            <w:tcW w:w="1420" w:type="dxa"/>
            <w:tcBorders>
              <w:top w:val="nil"/>
              <w:left w:val="nil"/>
              <w:bottom w:val="nil"/>
              <w:right w:val="nil"/>
            </w:tcBorders>
            <w:noWrap/>
            <w:vAlign w:val="bottom"/>
          </w:tcPr>
          <w:p w:rsidR="00D80311" w:rsidRPr="009F0DAD" w:rsidRDefault="00D80311" w:rsidP="000D3E53">
            <w:pPr>
              <w:rPr>
                <w:rFonts w:ascii="Arial" w:hAnsi="Arial" w:cs="Arial"/>
                <w:color w:val="000000"/>
                <w:sz w:val="20"/>
                <w:szCs w:val="20"/>
              </w:rPr>
            </w:pPr>
          </w:p>
        </w:tc>
        <w:tc>
          <w:tcPr>
            <w:tcW w:w="1420" w:type="dxa"/>
            <w:tcBorders>
              <w:top w:val="nil"/>
              <w:left w:val="nil"/>
              <w:bottom w:val="nil"/>
              <w:right w:val="nil"/>
            </w:tcBorders>
            <w:noWrap/>
            <w:vAlign w:val="bottom"/>
          </w:tcPr>
          <w:p w:rsidR="00D80311" w:rsidRPr="009F0DAD" w:rsidRDefault="00D80311" w:rsidP="000D3E53">
            <w:pPr>
              <w:rPr>
                <w:rFonts w:ascii="Arial" w:hAnsi="Arial" w:cs="Arial"/>
                <w:color w:val="000000"/>
                <w:sz w:val="20"/>
                <w:szCs w:val="20"/>
              </w:rPr>
            </w:pPr>
          </w:p>
        </w:tc>
      </w:tr>
      <w:tr w:rsidR="00D80311" w:rsidRPr="00321024" w:rsidTr="000D3E53">
        <w:trPr>
          <w:trHeight w:val="315"/>
        </w:trPr>
        <w:tc>
          <w:tcPr>
            <w:tcW w:w="5600" w:type="dxa"/>
            <w:tcBorders>
              <w:top w:val="nil"/>
              <w:left w:val="nil"/>
              <w:bottom w:val="nil"/>
              <w:right w:val="nil"/>
            </w:tcBorders>
            <w:noWrap/>
            <w:vAlign w:val="bottom"/>
          </w:tcPr>
          <w:p w:rsidR="00D80311" w:rsidRPr="009F0DAD" w:rsidRDefault="00D80311" w:rsidP="000D3E53">
            <w:pPr>
              <w:rPr>
                <w:rFonts w:ascii="Arial" w:hAnsi="Arial" w:cs="Arial"/>
                <w:b/>
                <w:bCs/>
                <w:color w:val="000000"/>
                <w:sz w:val="20"/>
                <w:szCs w:val="20"/>
              </w:rPr>
            </w:pPr>
          </w:p>
        </w:tc>
        <w:tc>
          <w:tcPr>
            <w:tcW w:w="1420" w:type="dxa"/>
            <w:tcBorders>
              <w:top w:val="nil"/>
              <w:left w:val="nil"/>
              <w:bottom w:val="nil"/>
              <w:right w:val="nil"/>
            </w:tcBorders>
            <w:noWrap/>
            <w:vAlign w:val="bottom"/>
          </w:tcPr>
          <w:p w:rsidR="00D80311" w:rsidRPr="009F0DAD" w:rsidRDefault="00D80311" w:rsidP="000D3E53">
            <w:pPr>
              <w:rPr>
                <w:rFonts w:ascii="Arial" w:hAnsi="Arial" w:cs="Arial"/>
                <w:color w:val="000000"/>
                <w:sz w:val="20"/>
                <w:szCs w:val="20"/>
              </w:rPr>
            </w:pPr>
          </w:p>
        </w:tc>
        <w:tc>
          <w:tcPr>
            <w:tcW w:w="1420" w:type="dxa"/>
            <w:tcBorders>
              <w:top w:val="nil"/>
              <w:left w:val="nil"/>
              <w:bottom w:val="nil"/>
              <w:right w:val="nil"/>
            </w:tcBorders>
            <w:noWrap/>
            <w:vAlign w:val="bottom"/>
          </w:tcPr>
          <w:p w:rsidR="00D80311" w:rsidRPr="009F0DAD" w:rsidRDefault="00D80311" w:rsidP="000D3E53">
            <w:pPr>
              <w:rPr>
                <w:rFonts w:ascii="Arial" w:hAnsi="Arial" w:cs="Arial"/>
                <w:color w:val="000000"/>
                <w:sz w:val="20"/>
                <w:szCs w:val="20"/>
              </w:rPr>
            </w:pPr>
          </w:p>
        </w:tc>
        <w:tc>
          <w:tcPr>
            <w:tcW w:w="1420" w:type="dxa"/>
            <w:tcBorders>
              <w:top w:val="nil"/>
              <w:left w:val="nil"/>
              <w:bottom w:val="nil"/>
              <w:right w:val="nil"/>
            </w:tcBorders>
            <w:noWrap/>
            <w:vAlign w:val="bottom"/>
          </w:tcPr>
          <w:p w:rsidR="00D80311" w:rsidRPr="009F0DAD" w:rsidRDefault="00D80311" w:rsidP="000D3E53">
            <w:pPr>
              <w:rPr>
                <w:rFonts w:ascii="Arial" w:hAnsi="Arial" w:cs="Arial"/>
                <w:color w:val="000000"/>
                <w:sz w:val="20"/>
                <w:szCs w:val="20"/>
              </w:rPr>
            </w:pPr>
          </w:p>
        </w:tc>
      </w:tr>
    </w:tbl>
    <w:p w:rsidR="00D80311" w:rsidRDefault="00D80311">
      <w:r>
        <w:br w:type="page"/>
      </w:r>
    </w:p>
    <w:tbl>
      <w:tblPr>
        <w:tblW w:w="9860" w:type="dxa"/>
        <w:tblInd w:w="93" w:type="dxa"/>
        <w:tblLook w:val="00A0"/>
      </w:tblPr>
      <w:tblGrid>
        <w:gridCol w:w="5600"/>
        <w:gridCol w:w="1420"/>
        <w:gridCol w:w="1420"/>
        <w:gridCol w:w="1420"/>
      </w:tblGrid>
      <w:tr w:rsidR="00D80311" w:rsidRPr="00321024" w:rsidTr="000D3E53">
        <w:trPr>
          <w:trHeight w:val="300"/>
        </w:trPr>
        <w:tc>
          <w:tcPr>
            <w:tcW w:w="5600" w:type="dxa"/>
            <w:tcBorders>
              <w:top w:val="nil"/>
              <w:left w:val="nil"/>
              <w:bottom w:val="nil"/>
              <w:right w:val="nil"/>
            </w:tcBorders>
            <w:noWrap/>
            <w:vAlign w:val="bottom"/>
          </w:tcPr>
          <w:p w:rsidR="00D80311" w:rsidRDefault="00D80311" w:rsidP="00147BF3">
            <w:pPr>
              <w:rPr>
                <w:rFonts w:ascii="Arial" w:hAnsi="Arial" w:cs="Arial"/>
                <w:b/>
                <w:bCs/>
                <w:color w:val="000000"/>
                <w:sz w:val="22"/>
                <w:szCs w:val="22"/>
              </w:rPr>
            </w:pPr>
            <w:r>
              <w:br w:type="page"/>
            </w:r>
          </w:p>
          <w:p w:rsidR="00D80311" w:rsidRDefault="00D80311" w:rsidP="00147BF3">
            <w:pPr>
              <w:rPr>
                <w:rFonts w:ascii="Arial" w:hAnsi="Arial" w:cs="Arial"/>
                <w:b/>
                <w:bCs/>
                <w:color w:val="000000"/>
                <w:sz w:val="22"/>
                <w:szCs w:val="22"/>
              </w:rPr>
            </w:pPr>
            <w:r>
              <w:rPr>
                <w:rFonts w:ascii="Arial" w:hAnsi="Arial" w:cs="Arial"/>
                <w:b/>
                <w:bCs/>
                <w:color w:val="000000"/>
                <w:sz w:val="22"/>
                <w:szCs w:val="22"/>
              </w:rPr>
              <w:t>Annex B - Breakdown of Spend to Date by category</w:t>
            </w:r>
          </w:p>
          <w:p w:rsidR="00D80311" w:rsidRPr="00321024" w:rsidRDefault="00D80311" w:rsidP="00147BF3">
            <w:pPr>
              <w:rPr>
                <w:rFonts w:ascii="Arial" w:hAnsi="Arial" w:cs="Arial"/>
                <w:b/>
                <w:bCs/>
                <w:color w:val="000000"/>
                <w:sz w:val="22"/>
                <w:szCs w:val="22"/>
              </w:rPr>
            </w:pPr>
          </w:p>
        </w:tc>
        <w:tc>
          <w:tcPr>
            <w:tcW w:w="1420" w:type="dxa"/>
            <w:tcBorders>
              <w:top w:val="nil"/>
              <w:left w:val="nil"/>
              <w:bottom w:val="nil"/>
              <w:right w:val="nil"/>
            </w:tcBorders>
            <w:noWrap/>
            <w:vAlign w:val="bottom"/>
          </w:tcPr>
          <w:p w:rsidR="00D80311" w:rsidRPr="00321024" w:rsidRDefault="00D80311" w:rsidP="000D3E53">
            <w:pPr>
              <w:rPr>
                <w:rFonts w:ascii="Arial" w:hAnsi="Arial" w:cs="Arial"/>
                <w:color w:val="000000"/>
                <w:sz w:val="22"/>
                <w:szCs w:val="22"/>
              </w:rPr>
            </w:pPr>
          </w:p>
        </w:tc>
        <w:tc>
          <w:tcPr>
            <w:tcW w:w="1420" w:type="dxa"/>
            <w:tcBorders>
              <w:top w:val="nil"/>
              <w:left w:val="nil"/>
              <w:bottom w:val="nil"/>
              <w:right w:val="nil"/>
            </w:tcBorders>
            <w:noWrap/>
            <w:vAlign w:val="bottom"/>
          </w:tcPr>
          <w:p w:rsidR="00D80311" w:rsidRPr="00321024" w:rsidRDefault="00D80311" w:rsidP="000D3E53">
            <w:pPr>
              <w:rPr>
                <w:rFonts w:ascii="Arial" w:hAnsi="Arial" w:cs="Arial"/>
                <w:color w:val="000000"/>
                <w:sz w:val="22"/>
                <w:szCs w:val="22"/>
              </w:rPr>
            </w:pPr>
          </w:p>
        </w:tc>
        <w:tc>
          <w:tcPr>
            <w:tcW w:w="1420" w:type="dxa"/>
            <w:tcBorders>
              <w:top w:val="nil"/>
              <w:left w:val="nil"/>
              <w:bottom w:val="nil"/>
              <w:right w:val="nil"/>
            </w:tcBorders>
            <w:noWrap/>
            <w:vAlign w:val="bottom"/>
          </w:tcPr>
          <w:p w:rsidR="00D80311" w:rsidRPr="00321024" w:rsidRDefault="00D80311" w:rsidP="000D3E53">
            <w:pPr>
              <w:rPr>
                <w:rFonts w:ascii="Arial" w:hAnsi="Arial" w:cs="Arial"/>
                <w:color w:val="000000"/>
                <w:sz w:val="22"/>
                <w:szCs w:val="22"/>
              </w:rPr>
            </w:pPr>
          </w:p>
        </w:tc>
      </w:tr>
      <w:tr w:rsidR="00D80311" w:rsidRPr="00321024" w:rsidTr="000D3E53">
        <w:trPr>
          <w:trHeight w:val="330"/>
        </w:trPr>
        <w:tc>
          <w:tcPr>
            <w:tcW w:w="5600" w:type="dxa"/>
            <w:tcBorders>
              <w:top w:val="nil"/>
              <w:left w:val="nil"/>
              <w:bottom w:val="nil"/>
              <w:right w:val="nil"/>
            </w:tcBorders>
            <w:noWrap/>
            <w:vAlign w:val="center"/>
          </w:tcPr>
          <w:p w:rsidR="00D80311" w:rsidRPr="009F0DAD" w:rsidRDefault="00D80311" w:rsidP="000D3E53">
            <w:pPr>
              <w:rPr>
                <w:rFonts w:ascii="Arial" w:hAnsi="Arial" w:cs="Arial"/>
                <w:b/>
                <w:bCs/>
                <w:sz w:val="20"/>
                <w:szCs w:val="20"/>
              </w:rPr>
            </w:pPr>
            <w:r w:rsidRPr="009F0DAD">
              <w:rPr>
                <w:rFonts w:ascii="Arial" w:hAnsi="Arial" w:cs="Arial"/>
                <w:b/>
                <w:bCs/>
                <w:sz w:val="20"/>
                <w:szCs w:val="20"/>
              </w:rPr>
              <w:t>In £000's</w:t>
            </w:r>
          </w:p>
        </w:tc>
        <w:tc>
          <w:tcPr>
            <w:tcW w:w="1420" w:type="dxa"/>
            <w:tcBorders>
              <w:top w:val="nil"/>
              <w:left w:val="nil"/>
              <w:bottom w:val="nil"/>
              <w:right w:val="nil"/>
            </w:tcBorders>
            <w:noWrap/>
            <w:vAlign w:val="bottom"/>
          </w:tcPr>
          <w:p w:rsidR="00D80311" w:rsidRPr="009F0DAD" w:rsidRDefault="00D80311" w:rsidP="000D3E53">
            <w:pPr>
              <w:rPr>
                <w:rFonts w:ascii="Arial" w:hAnsi="Arial" w:cs="Arial"/>
                <w:color w:val="000000"/>
                <w:sz w:val="20"/>
                <w:szCs w:val="20"/>
              </w:rPr>
            </w:pPr>
          </w:p>
        </w:tc>
        <w:tc>
          <w:tcPr>
            <w:tcW w:w="1420" w:type="dxa"/>
            <w:tcBorders>
              <w:top w:val="nil"/>
              <w:left w:val="nil"/>
              <w:bottom w:val="nil"/>
              <w:right w:val="nil"/>
            </w:tcBorders>
            <w:noWrap/>
            <w:vAlign w:val="bottom"/>
          </w:tcPr>
          <w:p w:rsidR="00D80311" w:rsidRPr="009F0DAD" w:rsidRDefault="00D80311" w:rsidP="000D3E53">
            <w:pPr>
              <w:rPr>
                <w:rFonts w:ascii="Arial" w:hAnsi="Arial" w:cs="Arial"/>
                <w:color w:val="000000"/>
                <w:sz w:val="20"/>
                <w:szCs w:val="20"/>
              </w:rPr>
            </w:pPr>
          </w:p>
        </w:tc>
        <w:tc>
          <w:tcPr>
            <w:tcW w:w="1420" w:type="dxa"/>
            <w:tcBorders>
              <w:top w:val="nil"/>
              <w:left w:val="nil"/>
              <w:bottom w:val="nil"/>
              <w:right w:val="nil"/>
            </w:tcBorders>
            <w:noWrap/>
            <w:vAlign w:val="bottom"/>
          </w:tcPr>
          <w:p w:rsidR="00D80311" w:rsidRPr="009F0DAD" w:rsidRDefault="00D80311" w:rsidP="000D3E53">
            <w:pPr>
              <w:rPr>
                <w:rFonts w:ascii="Arial" w:hAnsi="Arial" w:cs="Arial"/>
                <w:color w:val="000000"/>
                <w:sz w:val="20"/>
                <w:szCs w:val="20"/>
              </w:rPr>
            </w:pPr>
          </w:p>
        </w:tc>
      </w:tr>
      <w:tr w:rsidR="00D80311" w:rsidRPr="00321024" w:rsidTr="000D3E53">
        <w:trPr>
          <w:trHeight w:val="330"/>
        </w:trPr>
        <w:tc>
          <w:tcPr>
            <w:tcW w:w="5600" w:type="dxa"/>
            <w:vMerge w:val="restart"/>
            <w:tcBorders>
              <w:top w:val="double" w:sz="6" w:space="0" w:color="auto"/>
              <w:left w:val="double" w:sz="6" w:space="0" w:color="auto"/>
              <w:bottom w:val="double" w:sz="6" w:space="0" w:color="000000"/>
              <w:right w:val="double" w:sz="6" w:space="0" w:color="auto"/>
            </w:tcBorders>
            <w:shd w:val="clear" w:color="000000" w:fill="C0C0C0"/>
            <w:vAlign w:val="center"/>
          </w:tcPr>
          <w:p w:rsidR="00D80311" w:rsidRPr="009F0DAD" w:rsidRDefault="00D80311" w:rsidP="000D3E53">
            <w:pPr>
              <w:rPr>
                <w:rFonts w:ascii="Arial" w:hAnsi="Arial" w:cs="Arial"/>
                <w:b/>
                <w:bCs/>
                <w:sz w:val="20"/>
                <w:szCs w:val="20"/>
              </w:rPr>
            </w:pPr>
            <w:r w:rsidRPr="009F0DAD">
              <w:rPr>
                <w:rFonts w:ascii="Arial" w:hAnsi="Arial" w:cs="Arial"/>
                <w:b/>
                <w:bCs/>
                <w:sz w:val="20"/>
                <w:szCs w:val="20"/>
              </w:rPr>
              <w:t>IDP      Risk-Adjusted Programme Costs (£000's) - Activity</w:t>
            </w:r>
          </w:p>
        </w:tc>
        <w:tc>
          <w:tcPr>
            <w:tcW w:w="1420" w:type="dxa"/>
            <w:vMerge w:val="restart"/>
            <w:tcBorders>
              <w:top w:val="double" w:sz="6" w:space="0" w:color="auto"/>
              <w:left w:val="double" w:sz="6" w:space="0" w:color="auto"/>
              <w:bottom w:val="double" w:sz="6" w:space="0" w:color="auto"/>
              <w:right w:val="double" w:sz="6" w:space="0" w:color="auto"/>
            </w:tcBorders>
            <w:shd w:val="clear" w:color="000000" w:fill="C0C0C0"/>
            <w:vAlign w:val="center"/>
          </w:tcPr>
          <w:p w:rsidR="00D80311" w:rsidRPr="009F0DAD" w:rsidRDefault="00D80311" w:rsidP="000D3E53">
            <w:pPr>
              <w:jc w:val="center"/>
              <w:rPr>
                <w:rFonts w:ascii="Arial" w:hAnsi="Arial" w:cs="Arial"/>
                <w:b/>
                <w:bCs/>
                <w:sz w:val="20"/>
                <w:szCs w:val="20"/>
              </w:rPr>
            </w:pPr>
            <w:r w:rsidRPr="009F0DAD">
              <w:rPr>
                <w:rFonts w:ascii="Arial" w:hAnsi="Arial" w:cs="Arial"/>
                <w:b/>
                <w:bCs/>
                <w:sz w:val="20"/>
                <w:szCs w:val="20"/>
              </w:rPr>
              <w:t>FY 11/12</w:t>
            </w:r>
          </w:p>
        </w:tc>
        <w:tc>
          <w:tcPr>
            <w:tcW w:w="1420" w:type="dxa"/>
            <w:vMerge w:val="restart"/>
            <w:tcBorders>
              <w:top w:val="double" w:sz="6" w:space="0" w:color="auto"/>
              <w:left w:val="double" w:sz="6" w:space="0" w:color="auto"/>
              <w:bottom w:val="double" w:sz="6" w:space="0" w:color="auto"/>
              <w:right w:val="double" w:sz="6" w:space="0" w:color="auto"/>
            </w:tcBorders>
            <w:shd w:val="clear" w:color="000000" w:fill="C0C0C0"/>
            <w:vAlign w:val="center"/>
          </w:tcPr>
          <w:p w:rsidR="00D80311" w:rsidRPr="009F0DAD" w:rsidRDefault="00D80311" w:rsidP="000D3E53">
            <w:pPr>
              <w:jc w:val="center"/>
              <w:rPr>
                <w:rFonts w:ascii="Arial" w:hAnsi="Arial" w:cs="Arial"/>
                <w:b/>
                <w:bCs/>
                <w:sz w:val="20"/>
                <w:szCs w:val="20"/>
              </w:rPr>
            </w:pPr>
            <w:r w:rsidRPr="009F0DAD">
              <w:rPr>
                <w:rFonts w:ascii="Arial" w:hAnsi="Arial" w:cs="Arial"/>
                <w:b/>
                <w:bCs/>
                <w:sz w:val="20"/>
                <w:szCs w:val="20"/>
              </w:rPr>
              <w:t>FY 12/13</w:t>
            </w:r>
          </w:p>
        </w:tc>
        <w:tc>
          <w:tcPr>
            <w:tcW w:w="1420" w:type="dxa"/>
            <w:vMerge w:val="restart"/>
            <w:tcBorders>
              <w:top w:val="double" w:sz="6" w:space="0" w:color="auto"/>
              <w:left w:val="double" w:sz="6" w:space="0" w:color="auto"/>
              <w:bottom w:val="double" w:sz="6" w:space="0" w:color="auto"/>
              <w:right w:val="double" w:sz="6" w:space="0" w:color="auto"/>
            </w:tcBorders>
            <w:shd w:val="clear" w:color="000000" w:fill="C0C0C0"/>
            <w:vAlign w:val="center"/>
          </w:tcPr>
          <w:p w:rsidR="00D80311" w:rsidRPr="009F0DAD" w:rsidRDefault="00D80311" w:rsidP="000D3E53">
            <w:pPr>
              <w:jc w:val="center"/>
              <w:rPr>
                <w:rFonts w:ascii="Arial" w:hAnsi="Arial" w:cs="Arial"/>
                <w:b/>
                <w:bCs/>
                <w:sz w:val="20"/>
                <w:szCs w:val="20"/>
              </w:rPr>
            </w:pPr>
            <w:r w:rsidRPr="009F0DAD">
              <w:rPr>
                <w:rFonts w:ascii="Arial" w:hAnsi="Arial" w:cs="Arial"/>
                <w:b/>
                <w:bCs/>
                <w:sz w:val="20"/>
                <w:szCs w:val="20"/>
              </w:rPr>
              <w:t>YTD 13/14</w:t>
            </w:r>
          </w:p>
        </w:tc>
      </w:tr>
      <w:tr w:rsidR="00D80311" w:rsidRPr="00321024" w:rsidTr="000D3E53">
        <w:trPr>
          <w:trHeight w:val="330"/>
        </w:trPr>
        <w:tc>
          <w:tcPr>
            <w:tcW w:w="5600" w:type="dxa"/>
            <w:vMerge/>
            <w:tcBorders>
              <w:top w:val="double" w:sz="6" w:space="0" w:color="auto"/>
              <w:left w:val="double" w:sz="6" w:space="0" w:color="auto"/>
              <w:bottom w:val="double" w:sz="6" w:space="0" w:color="000000"/>
              <w:right w:val="double" w:sz="6" w:space="0" w:color="auto"/>
            </w:tcBorders>
            <w:vAlign w:val="center"/>
          </w:tcPr>
          <w:p w:rsidR="00D80311" w:rsidRPr="009F0DAD" w:rsidRDefault="00D80311" w:rsidP="000D3E53">
            <w:pPr>
              <w:rPr>
                <w:rFonts w:ascii="Arial" w:hAnsi="Arial" w:cs="Arial"/>
                <w:b/>
                <w:bCs/>
                <w:sz w:val="20"/>
                <w:szCs w:val="20"/>
              </w:rPr>
            </w:pPr>
          </w:p>
        </w:tc>
        <w:tc>
          <w:tcPr>
            <w:tcW w:w="1420" w:type="dxa"/>
            <w:vMerge/>
            <w:tcBorders>
              <w:top w:val="double" w:sz="6" w:space="0" w:color="auto"/>
              <w:left w:val="double" w:sz="6" w:space="0" w:color="auto"/>
              <w:bottom w:val="double" w:sz="6" w:space="0" w:color="auto"/>
              <w:right w:val="double" w:sz="6" w:space="0" w:color="auto"/>
            </w:tcBorders>
            <w:vAlign w:val="center"/>
          </w:tcPr>
          <w:p w:rsidR="00D80311" w:rsidRPr="009F0DAD" w:rsidRDefault="00D80311" w:rsidP="000D3E53">
            <w:pPr>
              <w:rPr>
                <w:rFonts w:ascii="Arial" w:hAnsi="Arial" w:cs="Arial"/>
                <w:b/>
                <w:bCs/>
                <w:sz w:val="20"/>
                <w:szCs w:val="20"/>
              </w:rPr>
            </w:pPr>
          </w:p>
        </w:tc>
        <w:tc>
          <w:tcPr>
            <w:tcW w:w="1420" w:type="dxa"/>
            <w:vMerge/>
            <w:tcBorders>
              <w:top w:val="double" w:sz="6" w:space="0" w:color="auto"/>
              <w:left w:val="double" w:sz="6" w:space="0" w:color="auto"/>
              <w:bottom w:val="double" w:sz="6" w:space="0" w:color="auto"/>
              <w:right w:val="double" w:sz="6" w:space="0" w:color="auto"/>
            </w:tcBorders>
            <w:vAlign w:val="center"/>
          </w:tcPr>
          <w:p w:rsidR="00D80311" w:rsidRPr="009F0DAD" w:rsidRDefault="00D80311" w:rsidP="000D3E53">
            <w:pPr>
              <w:rPr>
                <w:rFonts w:ascii="Arial" w:hAnsi="Arial" w:cs="Arial"/>
                <w:b/>
                <w:bCs/>
                <w:sz w:val="20"/>
                <w:szCs w:val="20"/>
              </w:rPr>
            </w:pPr>
          </w:p>
        </w:tc>
        <w:tc>
          <w:tcPr>
            <w:tcW w:w="1420" w:type="dxa"/>
            <w:vMerge/>
            <w:tcBorders>
              <w:top w:val="double" w:sz="6" w:space="0" w:color="auto"/>
              <w:left w:val="double" w:sz="6" w:space="0" w:color="auto"/>
              <w:bottom w:val="double" w:sz="6" w:space="0" w:color="auto"/>
              <w:right w:val="double" w:sz="6" w:space="0" w:color="auto"/>
            </w:tcBorders>
            <w:vAlign w:val="center"/>
          </w:tcPr>
          <w:p w:rsidR="00D80311" w:rsidRPr="009F0DAD" w:rsidRDefault="00D80311" w:rsidP="000D3E53">
            <w:pPr>
              <w:rPr>
                <w:rFonts w:ascii="Arial" w:hAnsi="Arial" w:cs="Arial"/>
                <w:b/>
                <w:bCs/>
                <w:sz w:val="20"/>
                <w:szCs w:val="20"/>
              </w:rPr>
            </w:pPr>
          </w:p>
        </w:tc>
      </w:tr>
      <w:tr w:rsidR="00D80311" w:rsidRPr="00321024" w:rsidTr="000D3E53">
        <w:trPr>
          <w:trHeight w:val="345"/>
        </w:trPr>
        <w:tc>
          <w:tcPr>
            <w:tcW w:w="5600" w:type="dxa"/>
            <w:tcBorders>
              <w:top w:val="nil"/>
              <w:left w:val="double" w:sz="6" w:space="0" w:color="auto"/>
              <w:bottom w:val="double" w:sz="6" w:space="0" w:color="auto"/>
              <w:right w:val="double" w:sz="6" w:space="0" w:color="auto"/>
            </w:tcBorders>
            <w:vAlign w:val="center"/>
          </w:tcPr>
          <w:p w:rsidR="00D80311" w:rsidRPr="009F0DAD" w:rsidRDefault="00D80311" w:rsidP="000D3E53">
            <w:pPr>
              <w:rPr>
                <w:rFonts w:ascii="Arial" w:hAnsi="Arial" w:cs="Arial"/>
                <w:iCs/>
                <w:sz w:val="20"/>
                <w:szCs w:val="20"/>
              </w:rPr>
            </w:pPr>
            <w:r w:rsidRPr="009F0DAD">
              <w:rPr>
                <w:rFonts w:ascii="Arial" w:hAnsi="Arial" w:cs="Arial"/>
                <w:iCs/>
                <w:sz w:val="20"/>
                <w:szCs w:val="20"/>
              </w:rPr>
              <w:t>Staff Salaries</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£2,198</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£1,846</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£726</w:t>
            </w:r>
          </w:p>
        </w:tc>
      </w:tr>
      <w:tr w:rsidR="00D80311" w:rsidRPr="00321024" w:rsidTr="000D3E53">
        <w:trPr>
          <w:trHeight w:val="345"/>
        </w:trPr>
        <w:tc>
          <w:tcPr>
            <w:tcW w:w="5600" w:type="dxa"/>
            <w:tcBorders>
              <w:top w:val="nil"/>
              <w:left w:val="double" w:sz="6" w:space="0" w:color="auto"/>
              <w:bottom w:val="double" w:sz="6" w:space="0" w:color="auto"/>
              <w:right w:val="double" w:sz="6" w:space="0" w:color="auto"/>
            </w:tcBorders>
            <w:noWrap/>
            <w:vAlign w:val="center"/>
          </w:tcPr>
          <w:p w:rsidR="00D80311" w:rsidRPr="009F0DAD" w:rsidRDefault="00D80311" w:rsidP="000D3E53">
            <w:pPr>
              <w:rPr>
                <w:rFonts w:ascii="Arial" w:hAnsi="Arial" w:cs="Arial"/>
                <w:iCs/>
                <w:sz w:val="20"/>
                <w:szCs w:val="20"/>
              </w:rPr>
            </w:pPr>
            <w:r w:rsidRPr="009F0DAD">
              <w:rPr>
                <w:rFonts w:ascii="Arial" w:hAnsi="Arial" w:cs="Arial"/>
                <w:iCs/>
                <w:sz w:val="20"/>
                <w:szCs w:val="20"/>
              </w:rPr>
              <w:t>Agency &amp; Contract Staff</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£2,976</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£3,244</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£1,053</w:t>
            </w:r>
          </w:p>
        </w:tc>
      </w:tr>
      <w:tr w:rsidR="00D80311" w:rsidRPr="00321024" w:rsidTr="000D3E53">
        <w:trPr>
          <w:trHeight w:val="345"/>
        </w:trPr>
        <w:tc>
          <w:tcPr>
            <w:tcW w:w="5600" w:type="dxa"/>
            <w:tcBorders>
              <w:top w:val="nil"/>
              <w:left w:val="double" w:sz="6" w:space="0" w:color="auto"/>
              <w:bottom w:val="double" w:sz="6" w:space="0" w:color="auto"/>
              <w:right w:val="double" w:sz="6" w:space="0" w:color="auto"/>
            </w:tcBorders>
            <w:noWrap/>
            <w:vAlign w:val="center"/>
          </w:tcPr>
          <w:p w:rsidR="00D80311" w:rsidRPr="009F0DAD" w:rsidRDefault="00D80311" w:rsidP="000D3E53">
            <w:pPr>
              <w:rPr>
                <w:rFonts w:ascii="Arial" w:hAnsi="Arial" w:cs="Arial"/>
                <w:iCs/>
                <w:sz w:val="20"/>
                <w:szCs w:val="20"/>
              </w:rPr>
            </w:pPr>
            <w:r w:rsidRPr="009F0DAD">
              <w:rPr>
                <w:rFonts w:ascii="Arial" w:hAnsi="Arial" w:cs="Arial"/>
                <w:iCs/>
                <w:sz w:val="20"/>
                <w:szCs w:val="20"/>
              </w:rPr>
              <w:t>Travel &amp; Training</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£203</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£391</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£146</w:t>
            </w:r>
          </w:p>
        </w:tc>
      </w:tr>
      <w:tr w:rsidR="00D80311" w:rsidRPr="00321024" w:rsidTr="000D3E53">
        <w:trPr>
          <w:trHeight w:val="345"/>
        </w:trPr>
        <w:tc>
          <w:tcPr>
            <w:tcW w:w="5600" w:type="dxa"/>
            <w:tcBorders>
              <w:top w:val="nil"/>
              <w:left w:val="double" w:sz="6" w:space="0" w:color="auto"/>
              <w:bottom w:val="double" w:sz="6" w:space="0" w:color="auto"/>
              <w:right w:val="double" w:sz="6" w:space="0" w:color="auto"/>
            </w:tcBorders>
            <w:noWrap/>
            <w:vAlign w:val="center"/>
          </w:tcPr>
          <w:p w:rsidR="00D80311" w:rsidRPr="009F0DAD" w:rsidRDefault="00D80311" w:rsidP="000D3E53">
            <w:pPr>
              <w:rPr>
                <w:rFonts w:ascii="Arial" w:hAnsi="Arial" w:cs="Arial"/>
                <w:iCs/>
                <w:sz w:val="20"/>
                <w:szCs w:val="20"/>
              </w:rPr>
            </w:pPr>
            <w:r w:rsidRPr="009F0DAD">
              <w:rPr>
                <w:rFonts w:ascii="Arial" w:hAnsi="Arial" w:cs="Arial"/>
                <w:iCs/>
                <w:sz w:val="20"/>
                <w:szCs w:val="20"/>
              </w:rPr>
              <w:t>IT Services (e.g. Consultancy H/ware, S/ware &amp; Development)</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£6,661</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£9,656</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£2,557</w:t>
            </w:r>
          </w:p>
        </w:tc>
      </w:tr>
      <w:tr w:rsidR="00D80311" w:rsidRPr="00321024" w:rsidTr="000D3E53">
        <w:trPr>
          <w:trHeight w:val="345"/>
        </w:trPr>
        <w:tc>
          <w:tcPr>
            <w:tcW w:w="5600" w:type="dxa"/>
            <w:tcBorders>
              <w:top w:val="nil"/>
              <w:left w:val="double" w:sz="6" w:space="0" w:color="auto"/>
              <w:bottom w:val="double" w:sz="6" w:space="0" w:color="auto"/>
              <w:right w:val="double" w:sz="6" w:space="0" w:color="auto"/>
            </w:tcBorders>
            <w:noWrap/>
            <w:vAlign w:val="center"/>
          </w:tcPr>
          <w:p w:rsidR="00D80311" w:rsidRPr="009F0DAD" w:rsidRDefault="00D80311" w:rsidP="000D3E53">
            <w:pPr>
              <w:rPr>
                <w:rFonts w:ascii="Arial" w:hAnsi="Arial" w:cs="Arial"/>
                <w:iCs/>
                <w:sz w:val="20"/>
                <w:szCs w:val="20"/>
              </w:rPr>
            </w:pPr>
            <w:r w:rsidRPr="009F0DAD">
              <w:rPr>
                <w:rFonts w:ascii="Arial" w:hAnsi="Arial" w:cs="Arial"/>
                <w:iCs/>
                <w:sz w:val="20"/>
                <w:szCs w:val="20"/>
              </w:rPr>
              <w:t>Service Costs</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£0</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£0</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£0</w:t>
            </w:r>
          </w:p>
        </w:tc>
      </w:tr>
      <w:tr w:rsidR="00D80311" w:rsidRPr="00321024" w:rsidTr="000D3E53">
        <w:trPr>
          <w:trHeight w:val="345"/>
        </w:trPr>
        <w:tc>
          <w:tcPr>
            <w:tcW w:w="5600" w:type="dxa"/>
            <w:tcBorders>
              <w:top w:val="nil"/>
              <w:left w:val="double" w:sz="6" w:space="0" w:color="auto"/>
              <w:bottom w:val="double" w:sz="6" w:space="0" w:color="auto"/>
              <w:right w:val="double" w:sz="6" w:space="0" w:color="auto"/>
            </w:tcBorders>
            <w:noWrap/>
            <w:vAlign w:val="center"/>
          </w:tcPr>
          <w:p w:rsidR="00D80311" w:rsidRPr="009F0DAD" w:rsidRDefault="00D80311" w:rsidP="000D3E53">
            <w:pPr>
              <w:rPr>
                <w:rFonts w:ascii="Arial" w:hAnsi="Arial" w:cs="Arial"/>
                <w:iCs/>
                <w:sz w:val="20"/>
                <w:szCs w:val="20"/>
              </w:rPr>
            </w:pPr>
            <w:r w:rsidRPr="009F0DAD">
              <w:rPr>
                <w:rFonts w:ascii="Arial" w:hAnsi="Arial" w:cs="Arial"/>
                <w:iCs/>
                <w:sz w:val="20"/>
                <w:szCs w:val="20"/>
              </w:rPr>
              <w:t>Conferences &amp; Events &amp; Publications</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£8</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£38</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£40</w:t>
            </w:r>
          </w:p>
        </w:tc>
      </w:tr>
      <w:tr w:rsidR="00D80311" w:rsidRPr="00321024" w:rsidTr="000D3E53">
        <w:trPr>
          <w:trHeight w:val="345"/>
        </w:trPr>
        <w:tc>
          <w:tcPr>
            <w:tcW w:w="5600" w:type="dxa"/>
            <w:tcBorders>
              <w:top w:val="nil"/>
              <w:left w:val="double" w:sz="6" w:space="0" w:color="auto"/>
              <w:bottom w:val="double" w:sz="6" w:space="0" w:color="auto"/>
              <w:right w:val="double" w:sz="6" w:space="0" w:color="auto"/>
            </w:tcBorders>
            <w:noWrap/>
            <w:vAlign w:val="center"/>
          </w:tcPr>
          <w:p w:rsidR="00D80311" w:rsidRPr="009F0DAD" w:rsidRDefault="00D80311" w:rsidP="000D3E53">
            <w:pPr>
              <w:rPr>
                <w:rFonts w:ascii="Arial" w:hAnsi="Arial" w:cs="Arial"/>
                <w:iCs/>
                <w:sz w:val="20"/>
                <w:szCs w:val="20"/>
              </w:rPr>
            </w:pPr>
            <w:r w:rsidRPr="009F0DAD">
              <w:rPr>
                <w:rFonts w:ascii="Arial" w:hAnsi="Arial" w:cs="Arial"/>
                <w:iCs/>
                <w:sz w:val="20"/>
                <w:szCs w:val="20"/>
              </w:rPr>
              <w:t>Other Costs</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£0</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£0</w:t>
            </w:r>
          </w:p>
        </w:tc>
        <w:tc>
          <w:tcPr>
            <w:tcW w:w="1420" w:type="dxa"/>
            <w:tcBorders>
              <w:top w:val="nil"/>
              <w:left w:val="nil"/>
              <w:bottom w:val="double" w:sz="6" w:space="0" w:color="auto"/>
              <w:right w:val="double" w:sz="6" w:space="0" w:color="auto"/>
            </w:tcBorders>
            <w:vAlign w:val="center"/>
          </w:tcPr>
          <w:p w:rsidR="00D80311" w:rsidRPr="009F0DAD" w:rsidRDefault="00D80311" w:rsidP="000D3E53">
            <w:pPr>
              <w:jc w:val="right"/>
              <w:rPr>
                <w:rFonts w:ascii="Arial" w:hAnsi="Arial" w:cs="Arial"/>
                <w:sz w:val="20"/>
                <w:szCs w:val="20"/>
              </w:rPr>
            </w:pPr>
            <w:r w:rsidRPr="009F0DAD">
              <w:rPr>
                <w:rFonts w:ascii="Arial" w:hAnsi="Arial" w:cs="Arial"/>
                <w:sz w:val="20"/>
                <w:szCs w:val="20"/>
              </w:rPr>
              <w:t>£0</w:t>
            </w:r>
          </w:p>
        </w:tc>
      </w:tr>
      <w:tr w:rsidR="00D80311" w:rsidRPr="00321024" w:rsidTr="000D3E53">
        <w:trPr>
          <w:trHeight w:val="345"/>
        </w:trPr>
        <w:tc>
          <w:tcPr>
            <w:tcW w:w="5600" w:type="dxa"/>
            <w:tcBorders>
              <w:top w:val="nil"/>
              <w:left w:val="double" w:sz="6" w:space="0" w:color="auto"/>
              <w:bottom w:val="double" w:sz="6" w:space="0" w:color="auto"/>
              <w:right w:val="double" w:sz="6" w:space="0" w:color="auto"/>
            </w:tcBorders>
            <w:shd w:val="clear" w:color="000000" w:fill="C0C0C0"/>
            <w:noWrap/>
            <w:vAlign w:val="center"/>
          </w:tcPr>
          <w:p w:rsidR="00D80311" w:rsidRPr="009F0DAD" w:rsidRDefault="00D80311" w:rsidP="000D3E53">
            <w:pPr>
              <w:rPr>
                <w:rFonts w:ascii="Arial" w:hAnsi="Arial" w:cs="Arial"/>
                <w:b/>
                <w:bCs/>
                <w:sz w:val="20"/>
                <w:szCs w:val="20"/>
              </w:rPr>
            </w:pPr>
            <w:r w:rsidRPr="009F0DAD">
              <w:rPr>
                <w:rFonts w:ascii="Arial" w:hAnsi="Arial" w:cs="Arial"/>
                <w:b/>
                <w:bCs/>
                <w:sz w:val="20"/>
                <w:szCs w:val="20"/>
              </w:rPr>
              <w:t>TOTAL PROGRAMME  COSTS</w:t>
            </w:r>
          </w:p>
        </w:tc>
        <w:tc>
          <w:tcPr>
            <w:tcW w:w="1420" w:type="dxa"/>
            <w:tcBorders>
              <w:top w:val="nil"/>
              <w:left w:val="nil"/>
              <w:bottom w:val="double" w:sz="6" w:space="0" w:color="auto"/>
              <w:right w:val="double" w:sz="6" w:space="0" w:color="auto"/>
            </w:tcBorders>
            <w:shd w:val="clear" w:color="000000" w:fill="C0C0C0"/>
            <w:noWrap/>
            <w:vAlign w:val="center"/>
          </w:tcPr>
          <w:p w:rsidR="00D80311" w:rsidRPr="009F0DAD" w:rsidRDefault="00D80311" w:rsidP="000D3E53">
            <w:pPr>
              <w:jc w:val="right"/>
              <w:rPr>
                <w:rFonts w:ascii="Arial" w:hAnsi="Arial" w:cs="Arial"/>
                <w:b/>
                <w:bCs/>
                <w:sz w:val="20"/>
                <w:szCs w:val="20"/>
              </w:rPr>
            </w:pPr>
            <w:r w:rsidRPr="009F0DAD">
              <w:rPr>
                <w:rFonts w:ascii="Arial" w:hAnsi="Arial" w:cs="Arial"/>
                <w:b/>
                <w:bCs/>
                <w:sz w:val="20"/>
                <w:szCs w:val="20"/>
              </w:rPr>
              <w:t>£12,045</w:t>
            </w:r>
          </w:p>
        </w:tc>
        <w:tc>
          <w:tcPr>
            <w:tcW w:w="1420" w:type="dxa"/>
            <w:tcBorders>
              <w:top w:val="nil"/>
              <w:left w:val="nil"/>
              <w:bottom w:val="double" w:sz="6" w:space="0" w:color="auto"/>
              <w:right w:val="double" w:sz="6" w:space="0" w:color="auto"/>
            </w:tcBorders>
            <w:shd w:val="clear" w:color="000000" w:fill="C0C0C0"/>
            <w:noWrap/>
            <w:vAlign w:val="center"/>
          </w:tcPr>
          <w:p w:rsidR="00D80311" w:rsidRPr="009F0DAD" w:rsidRDefault="00D80311" w:rsidP="000D3E53">
            <w:pPr>
              <w:jc w:val="right"/>
              <w:rPr>
                <w:rFonts w:ascii="Arial" w:hAnsi="Arial" w:cs="Arial"/>
                <w:b/>
                <w:bCs/>
                <w:sz w:val="20"/>
                <w:szCs w:val="20"/>
              </w:rPr>
            </w:pPr>
            <w:r w:rsidRPr="009F0DAD">
              <w:rPr>
                <w:rFonts w:ascii="Arial" w:hAnsi="Arial" w:cs="Arial"/>
                <w:b/>
                <w:bCs/>
                <w:sz w:val="20"/>
                <w:szCs w:val="20"/>
              </w:rPr>
              <w:t>£15,174</w:t>
            </w:r>
          </w:p>
        </w:tc>
        <w:tc>
          <w:tcPr>
            <w:tcW w:w="1420" w:type="dxa"/>
            <w:tcBorders>
              <w:top w:val="nil"/>
              <w:left w:val="nil"/>
              <w:bottom w:val="double" w:sz="6" w:space="0" w:color="auto"/>
              <w:right w:val="double" w:sz="6" w:space="0" w:color="auto"/>
            </w:tcBorders>
            <w:shd w:val="clear" w:color="000000" w:fill="C0C0C0"/>
            <w:noWrap/>
            <w:vAlign w:val="center"/>
          </w:tcPr>
          <w:p w:rsidR="00D80311" w:rsidRPr="009F0DAD" w:rsidRDefault="00D80311" w:rsidP="000D3E53">
            <w:pPr>
              <w:jc w:val="right"/>
              <w:rPr>
                <w:rFonts w:ascii="Arial" w:hAnsi="Arial" w:cs="Arial"/>
                <w:b/>
                <w:bCs/>
                <w:sz w:val="20"/>
                <w:szCs w:val="20"/>
              </w:rPr>
            </w:pPr>
            <w:r w:rsidRPr="009F0DAD">
              <w:rPr>
                <w:rFonts w:ascii="Arial" w:hAnsi="Arial" w:cs="Arial"/>
                <w:b/>
                <w:bCs/>
                <w:sz w:val="20"/>
                <w:szCs w:val="20"/>
              </w:rPr>
              <w:t>£4,522</w:t>
            </w:r>
          </w:p>
        </w:tc>
      </w:tr>
    </w:tbl>
    <w:p w:rsidR="00D80311" w:rsidRDefault="00D80311" w:rsidP="0058203E">
      <w:pPr>
        <w:rPr>
          <w:rFonts w:ascii="Arial" w:hAnsi="Arial" w:cs="Arial"/>
          <w:color w:val="000000"/>
          <w:sz w:val="22"/>
          <w:szCs w:val="22"/>
        </w:rPr>
      </w:pPr>
    </w:p>
    <w:p w:rsidR="00D80311" w:rsidRDefault="00D80311" w:rsidP="0058203E">
      <w:pPr>
        <w:rPr>
          <w:rFonts w:ascii="Arial" w:hAnsi="Arial" w:cs="Arial"/>
          <w:color w:val="000000"/>
          <w:sz w:val="22"/>
          <w:szCs w:val="22"/>
        </w:rPr>
        <w:sectPr w:rsidR="00D80311" w:rsidSect="00BB4D3B">
          <w:pgSz w:w="11906" w:h="16838"/>
          <w:pgMar w:top="1276" w:right="1800" w:bottom="719" w:left="1276" w:header="708" w:footer="708" w:gutter="0"/>
          <w:cols w:space="708"/>
          <w:docGrid w:linePitch="360"/>
        </w:sectPr>
      </w:pPr>
    </w:p>
    <w:p w:rsidR="00D80311" w:rsidRPr="009F0DAD" w:rsidRDefault="00D80311" w:rsidP="0058203E">
      <w:pPr>
        <w:rPr>
          <w:rFonts w:ascii="Arial" w:hAnsi="Arial" w:cs="Arial"/>
          <w:b/>
          <w:color w:val="000000"/>
          <w:sz w:val="22"/>
          <w:szCs w:val="22"/>
        </w:rPr>
      </w:pPr>
      <w:r w:rsidRPr="009F0DAD">
        <w:rPr>
          <w:rFonts w:ascii="Arial" w:hAnsi="Arial" w:cs="Arial"/>
          <w:b/>
          <w:color w:val="000000"/>
          <w:sz w:val="22"/>
          <w:szCs w:val="22"/>
        </w:rPr>
        <w:t>Annex C – Key Milestones</w:t>
      </w:r>
    </w:p>
    <w:p w:rsidR="00D80311" w:rsidRDefault="00D80311" w:rsidP="0058203E">
      <w:pPr>
        <w:rPr>
          <w:rFonts w:ascii="Arial" w:hAnsi="Arial" w:cs="Arial"/>
          <w:color w:val="000000"/>
          <w:sz w:val="22"/>
          <w:szCs w:val="22"/>
        </w:rPr>
      </w:pPr>
      <w:r>
        <w:rPr>
          <w:noProof/>
        </w:rPr>
        <w:pict>
          <v:shape id="Picture 6" o:spid="_x0000_s1026" type="#_x0000_t75" style="position:absolute;margin-left:58.5pt;margin-top:4.4pt;width:636.75pt;height:441.75pt;z-index:-251658240;visibility:visible">
            <v:imagedata r:id="rId8" o:title=""/>
          </v:shape>
        </w:pict>
      </w:r>
    </w:p>
    <w:p w:rsidR="00D80311" w:rsidRPr="00896FFB" w:rsidRDefault="00D80311" w:rsidP="0058203E">
      <w:pPr>
        <w:rPr>
          <w:rFonts w:ascii="Arial" w:hAnsi="Arial" w:cs="Arial"/>
          <w:color w:val="000000"/>
          <w:sz w:val="22"/>
          <w:szCs w:val="22"/>
        </w:rPr>
      </w:pPr>
    </w:p>
    <w:sectPr w:rsidR="00D80311" w:rsidRPr="00896FFB" w:rsidSect="00CB76B7">
      <w:pgSz w:w="16838" w:h="11906" w:orient="landscape"/>
      <w:pgMar w:top="1276" w:right="1276" w:bottom="179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311" w:rsidRDefault="00D80311">
      <w:r>
        <w:separator/>
      </w:r>
    </w:p>
  </w:endnote>
  <w:endnote w:type="continuationSeparator" w:id="0">
    <w:p w:rsidR="00D80311" w:rsidRDefault="00D80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311" w:rsidRDefault="00D80311">
      <w:r>
        <w:separator/>
      </w:r>
    </w:p>
  </w:footnote>
  <w:footnote w:type="continuationSeparator" w:id="0">
    <w:p w:rsidR="00D80311" w:rsidRDefault="00D80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BE9D0F"/>
    <w:multiLevelType w:val="hybridMultilevel"/>
    <w:tmpl w:val="21DEA9C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9360A14"/>
    <w:multiLevelType w:val="hybridMultilevel"/>
    <w:tmpl w:val="9FEEEF58"/>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A5A0A"/>
    <w:multiLevelType w:val="hybridMultilevel"/>
    <w:tmpl w:val="64A47D0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nsid w:val="15D66395"/>
    <w:multiLevelType w:val="hybridMultilevel"/>
    <w:tmpl w:val="64A47D0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nsid w:val="245E6CD8"/>
    <w:multiLevelType w:val="hybridMultilevel"/>
    <w:tmpl w:val="64A47D0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nsid w:val="286C6924"/>
    <w:multiLevelType w:val="hybridMultilevel"/>
    <w:tmpl w:val="A0FA358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F5275C"/>
    <w:multiLevelType w:val="hybridMultilevel"/>
    <w:tmpl w:val="64A47D0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9">
    <w:nsid w:val="3AE807BB"/>
    <w:multiLevelType w:val="multilevel"/>
    <w:tmpl w:val="A8068A4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020B18"/>
    <w:multiLevelType w:val="hybridMultilevel"/>
    <w:tmpl w:val="903CCA44"/>
    <w:lvl w:ilvl="0" w:tplc="EE90D2D4">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nsid w:val="48790140"/>
    <w:multiLevelType w:val="hybridMultilevel"/>
    <w:tmpl w:val="64A47D0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3"/>
  </w:num>
  <w:num w:numId="4">
    <w:abstractNumId w:val="7"/>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1"/>
  </w:num>
  <w:num w:numId="12">
    <w:abstractNumId w:val="11"/>
  </w:num>
  <w:num w:numId="13">
    <w:abstractNumId w:val="8"/>
  </w:num>
  <w:num w:numId="14">
    <w:abstractNumId w:val="6"/>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F11"/>
    <w:rsid w:val="000221A9"/>
    <w:rsid w:val="00022BB4"/>
    <w:rsid w:val="00032782"/>
    <w:rsid w:val="00043C1B"/>
    <w:rsid w:val="00062061"/>
    <w:rsid w:val="00076AEF"/>
    <w:rsid w:val="000829FA"/>
    <w:rsid w:val="000900D8"/>
    <w:rsid w:val="000A2BCA"/>
    <w:rsid w:val="000C02AC"/>
    <w:rsid w:val="000D3E53"/>
    <w:rsid w:val="000E01F8"/>
    <w:rsid w:val="000F067E"/>
    <w:rsid w:val="000F26B8"/>
    <w:rsid w:val="00125223"/>
    <w:rsid w:val="0013675E"/>
    <w:rsid w:val="00147BF3"/>
    <w:rsid w:val="00150A41"/>
    <w:rsid w:val="001A485D"/>
    <w:rsid w:val="001A6C9B"/>
    <w:rsid w:val="001C27E9"/>
    <w:rsid w:val="001D01A8"/>
    <w:rsid w:val="001D0D46"/>
    <w:rsid w:val="001D4FC0"/>
    <w:rsid w:val="001D7BC6"/>
    <w:rsid w:val="001E16BD"/>
    <w:rsid w:val="002141B6"/>
    <w:rsid w:val="002179DD"/>
    <w:rsid w:val="0022089E"/>
    <w:rsid w:val="00261B0E"/>
    <w:rsid w:val="00274CC4"/>
    <w:rsid w:val="00295452"/>
    <w:rsid w:val="00321024"/>
    <w:rsid w:val="00346F42"/>
    <w:rsid w:val="00377547"/>
    <w:rsid w:val="003862E0"/>
    <w:rsid w:val="003B40A1"/>
    <w:rsid w:val="003C0D6F"/>
    <w:rsid w:val="003E5AB3"/>
    <w:rsid w:val="003E7FA0"/>
    <w:rsid w:val="003F6C63"/>
    <w:rsid w:val="0040196E"/>
    <w:rsid w:val="00403E53"/>
    <w:rsid w:val="004253BB"/>
    <w:rsid w:val="00434DCA"/>
    <w:rsid w:val="004734B5"/>
    <w:rsid w:val="004A5397"/>
    <w:rsid w:val="004E1E12"/>
    <w:rsid w:val="005202DD"/>
    <w:rsid w:val="0058203E"/>
    <w:rsid w:val="005B7296"/>
    <w:rsid w:val="005C2AFE"/>
    <w:rsid w:val="005C3A12"/>
    <w:rsid w:val="005D057F"/>
    <w:rsid w:val="005D0A14"/>
    <w:rsid w:val="006201B1"/>
    <w:rsid w:val="006269C1"/>
    <w:rsid w:val="00645D06"/>
    <w:rsid w:val="00672C95"/>
    <w:rsid w:val="006A47FA"/>
    <w:rsid w:val="006C5F8A"/>
    <w:rsid w:val="006E4F5C"/>
    <w:rsid w:val="00707F63"/>
    <w:rsid w:val="00717F36"/>
    <w:rsid w:val="007A6725"/>
    <w:rsid w:val="007B643E"/>
    <w:rsid w:val="007E7BAF"/>
    <w:rsid w:val="007E7F0F"/>
    <w:rsid w:val="007F2CB3"/>
    <w:rsid w:val="0081625B"/>
    <w:rsid w:val="00837883"/>
    <w:rsid w:val="00896FFB"/>
    <w:rsid w:val="008A080C"/>
    <w:rsid w:val="008D39BE"/>
    <w:rsid w:val="00920A88"/>
    <w:rsid w:val="0098376A"/>
    <w:rsid w:val="009B624A"/>
    <w:rsid w:val="009C1FA0"/>
    <w:rsid w:val="009E501C"/>
    <w:rsid w:val="009E7476"/>
    <w:rsid w:val="009F0DAD"/>
    <w:rsid w:val="00A15836"/>
    <w:rsid w:val="00A3407F"/>
    <w:rsid w:val="00A4070B"/>
    <w:rsid w:val="00A46F98"/>
    <w:rsid w:val="00A5032F"/>
    <w:rsid w:val="00A86AFF"/>
    <w:rsid w:val="00AA3A3A"/>
    <w:rsid w:val="00AB3DC4"/>
    <w:rsid w:val="00AF6F11"/>
    <w:rsid w:val="00B27CC9"/>
    <w:rsid w:val="00B5068B"/>
    <w:rsid w:val="00B55A9E"/>
    <w:rsid w:val="00B73125"/>
    <w:rsid w:val="00B81932"/>
    <w:rsid w:val="00BB4D3B"/>
    <w:rsid w:val="00BD1779"/>
    <w:rsid w:val="00BD38AE"/>
    <w:rsid w:val="00BF247F"/>
    <w:rsid w:val="00BF5479"/>
    <w:rsid w:val="00C00996"/>
    <w:rsid w:val="00C17FA3"/>
    <w:rsid w:val="00C85718"/>
    <w:rsid w:val="00C87DD1"/>
    <w:rsid w:val="00C97F31"/>
    <w:rsid w:val="00CA31AD"/>
    <w:rsid w:val="00CB2519"/>
    <w:rsid w:val="00CB76B7"/>
    <w:rsid w:val="00CF776B"/>
    <w:rsid w:val="00D00680"/>
    <w:rsid w:val="00D1279D"/>
    <w:rsid w:val="00D31A00"/>
    <w:rsid w:val="00D71F9D"/>
    <w:rsid w:val="00D80311"/>
    <w:rsid w:val="00D8325C"/>
    <w:rsid w:val="00DB4DB4"/>
    <w:rsid w:val="00DF4FFE"/>
    <w:rsid w:val="00E015A9"/>
    <w:rsid w:val="00E0591C"/>
    <w:rsid w:val="00E1544C"/>
    <w:rsid w:val="00E36BAC"/>
    <w:rsid w:val="00E605D3"/>
    <w:rsid w:val="00E70ED4"/>
    <w:rsid w:val="00E873AE"/>
    <w:rsid w:val="00EA642C"/>
    <w:rsid w:val="00ED27EA"/>
    <w:rsid w:val="00ED7C29"/>
    <w:rsid w:val="00EE6902"/>
    <w:rsid w:val="00F12932"/>
    <w:rsid w:val="00F158B0"/>
    <w:rsid w:val="00F35B4A"/>
    <w:rsid w:val="00F636A5"/>
    <w:rsid w:val="00F719EA"/>
    <w:rsid w:val="00F80D88"/>
    <w:rsid w:val="00F818A3"/>
    <w:rsid w:val="00F9166D"/>
    <w:rsid w:val="00FC174E"/>
    <w:rsid w:val="00FF558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11"/>
    <w:rPr>
      <w:sz w:val="24"/>
      <w:szCs w:val="24"/>
    </w:rPr>
  </w:style>
  <w:style w:type="paragraph" w:styleId="Heading2">
    <w:name w:val="heading 2"/>
    <w:basedOn w:val="Normal"/>
    <w:link w:val="Heading2Char"/>
    <w:uiPriority w:val="99"/>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3668A"/>
    <w:rPr>
      <w:rFonts w:asciiTheme="majorHAnsi" w:eastAsiaTheme="majorEastAsia" w:hAnsiTheme="majorHAnsi" w:cstheme="majorBidi"/>
      <w:b/>
      <w:bCs/>
      <w:i/>
      <w:iCs/>
      <w:sz w:val="28"/>
      <w:szCs w:val="28"/>
    </w:rPr>
  </w:style>
  <w:style w:type="paragraph" w:customStyle="1" w:styleId="MOJnormal">
    <w:name w:val="MOJ normal"/>
    <w:next w:val="Normal"/>
    <w:uiPriority w:val="99"/>
    <w:rsid w:val="00AF6F11"/>
    <w:rPr>
      <w:rFonts w:ascii="Arial" w:hAnsi="Arial"/>
      <w:sz w:val="24"/>
      <w:szCs w:val="20"/>
      <w:lang w:eastAsia="en-US"/>
    </w:rPr>
  </w:style>
  <w:style w:type="paragraph" w:customStyle="1" w:styleId="MOJtext-otheraddress">
    <w:name w:val="MOJ text - other address"/>
    <w:next w:val="Normal"/>
    <w:uiPriority w:val="99"/>
    <w:rsid w:val="00AF6F11"/>
    <w:rPr>
      <w:rFonts w:ascii="Arial" w:hAnsi="Arial"/>
      <w:sz w:val="24"/>
      <w:szCs w:val="20"/>
      <w:lang w:eastAsia="en-US"/>
    </w:rPr>
  </w:style>
  <w:style w:type="character" w:styleId="Hyperlink">
    <w:name w:val="Hyperlink"/>
    <w:basedOn w:val="DefaultParagraphFont"/>
    <w:uiPriority w:val="99"/>
    <w:rsid w:val="00ED7C29"/>
    <w:rPr>
      <w:rFonts w:cs="Times New Roman"/>
      <w:color w:val="0000FF"/>
      <w:u w:val="single"/>
    </w:rPr>
  </w:style>
  <w:style w:type="character" w:styleId="FollowedHyperlink">
    <w:name w:val="FollowedHyperlink"/>
    <w:basedOn w:val="DefaultParagraphFont"/>
    <w:uiPriority w:val="99"/>
    <w:rsid w:val="00ED7C29"/>
    <w:rPr>
      <w:rFonts w:cs="Times New Roman"/>
      <w:color w:val="800080"/>
      <w:u w:val="single"/>
    </w:rPr>
  </w:style>
  <w:style w:type="paragraph" w:styleId="FootnoteText">
    <w:name w:val="footnote text"/>
    <w:basedOn w:val="Normal"/>
    <w:link w:val="FootnoteTextChar"/>
    <w:uiPriority w:val="99"/>
    <w:semiHidden/>
    <w:rsid w:val="002179DD"/>
    <w:rPr>
      <w:sz w:val="20"/>
      <w:szCs w:val="20"/>
    </w:rPr>
  </w:style>
  <w:style w:type="character" w:customStyle="1" w:styleId="FootnoteTextChar">
    <w:name w:val="Footnote Text Char"/>
    <w:basedOn w:val="DefaultParagraphFont"/>
    <w:link w:val="FootnoteText"/>
    <w:uiPriority w:val="99"/>
    <w:semiHidden/>
    <w:rsid w:val="00B3668A"/>
    <w:rPr>
      <w:sz w:val="20"/>
      <w:szCs w:val="20"/>
    </w:rPr>
  </w:style>
  <w:style w:type="character" w:styleId="FootnoteReference">
    <w:name w:val="footnote reference"/>
    <w:basedOn w:val="DefaultParagraphFont"/>
    <w:uiPriority w:val="99"/>
    <w:semiHidden/>
    <w:rsid w:val="002179DD"/>
    <w:rPr>
      <w:rFonts w:cs="Times New Roman"/>
      <w:vertAlign w:val="superscript"/>
    </w:rPr>
  </w:style>
  <w:style w:type="paragraph" w:styleId="Header">
    <w:name w:val="header"/>
    <w:basedOn w:val="Normal"/>
    <w:link w:val="HeaderChar"/>
    <w:uiPriority w:val="99"/>
    <w:rsid w:val="002179DD"/>
    <w:pPr>
      <w:tabs>
        <w:tab w:val="center" w:pos="4153"/>
        <w:tab w:val="right" w:pos="8306"/>
      </w:tabs>
    </w:pPr>
  </w:style>
  <w:style w:type="character" w:customStyle="1" w:styleId="HeaderChar">
    <w:name w:val="Header Char"/>
    <w:basedOn w:val="DefaultParagraphFont"/>
    <w:link w:val="Header"/>
    <w:uiPriority w:val="99"/>
    <w:semiHidden/>
    <w:rsid w:val="00B3668A"/>
    <w:rPr>
      <w:sz w:val="24"/>
      <w:szCs w:val="24"/>
    </w:rPr>
  </w:style>
  <w:style w:type="paragraph" w:styleId="Footer">
    <w:name w:val="footer"/>
    <w:basedOn w:val="Normal"/>
    <w:link w:val="FooterChar"/>
    <w:uiPriority w:val="99"/>
    <w:rsid w:val="002179DD"/>
    <w:pPr>
      <w:tabs>
        <w:tab w:val="center" w:pos="4153"/>
        <w:tab w:val="right" w:pos="8306"/>
      </w:tabs>
    </w:pPr>
  </w:style>
  <w:style w:type="character" w:customStyle="1" w:styleId="FooterChar">
    <w:name w:val="Footer Char"/>
    <w:basedOn w:val="DefaultParagraphFont"/>
    <w:link w:val="Footer"/>
    <w:uiPriority w:val="99"/>
    <w:semiHidden/>
    <w:rsid w:val="00B3668A"/>
    <w:rPr>
      <w:sz w:val="24"/>
      <w:szCs w:val="24"/>
    </w:rPr>
  </w:style>
  <w:style w:type="paragraph" w:styleId="NormalWeb">
    <w:name w:val="Normal (Web)"/>
    <w:basedOn w:val="Normal"/>
    <w:uiPriority w:val="99"/>
    <w:rsid w:val="00707F63"/>
    <w:pPr>
      <w:spacing w:before="100" w:beforeAutospacing="1" w:after="100" w:afterAutospacing="1"/>
    </w:pPr>
  </w:style>
  <w:style w:type="character" w:styleId="Strong">
    <w:name w:val="Strong"/>
    <w:basedOn w:val="DefaultParagraphFont"/>
    <w:uiPriority w:val="99"/>
    <w:qFormat/>
    <w:rsid w:val="00707F63"/>
    <w:rPr>
      <w:rFonts w:cs="Times New Roman"/>
      <w:b/>
      <w:bCs/>
    </w:rPr>
  </w:style>
  <w:style w:type="paragraph" w:customStyle="1" w:styleId="Default">
    <w:name w:val="Default"/>
    <w:uiPriority w:val="99"/>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uiPriority w:val="99"/>
    <w:rsid w:val="00434DCA"/>
    <w:rPr>
      <w:rFonts w:cs="Times New Roman"/>
    </w:rPr>
  </w:style>
  <w:style w:type="character" w:customStyle="1" w:styleId="legdslegrhslegp2text">
    <w:name w:val="legds legrhs legp2text"/>
    <w:basedOn w:val="DefaultParagraphFont"/>
    <w:uiPriority w:val="99"/>
    <w:rsid w:val="00434DCA"/>
    <w:rPr>
      <w:rFonts w:cs="Times New Roman"/>
    </w:rPr>
  </w:style>
  <w:style w:type="character" w:customStyle="1" w:styleId="legdsleglhslegp3no">
    <w:name w:val="legds leglhs legp3no"/>
    <w:basedOn w:val="DefaultParagraphFont"/>
    <w:uiPriority w:val="99"/>
    <w:rsid w:val="00434DCA"/>
    <w:rPr>
      <w:rFonts w:cs="Times New Roman"/>
    </w:rPr>
  </w:style>
  <w:style w:type="character" w:customStyle="1" w:styleId="legdslegrhslegp3text">
    <w:name w:val="legds legrhs legp3text"/>
    <w:basedOn w:val="DefaultParagraphFont"/>
    <w:uiPriority w:val="99"/>
    <w:rsid w:val="00434DCA"/>
    <w:rPr>
      <w:rFonts w:cs="Times New Roman"/>
    </w:rPr>
  </w:style>
  <w:style w:type="character" w:customStyle="1" w:styleId="legdsleglhslegp4no">
    <w:name w:val="legds leglhs legp4no"/>
    <w:basedOn w:val="DefaultParagraphFont"/>
    <w:uiPriority w:val="99"/>
    <w:rsid w:val="00434DCA"/>
    <w:rPr>
      <w:rFonts w:cs="Times New Roman"/>
    </w:rPr>
  </w:style>
  <w:style w:type="character" w:customStyle="1" w:styleId="legdslegrhslegp4text">
    <w:name w:val="legds legrhs legp4text"/>
    <w:basedOn w:val="DefaultParagraphFont"/>
    <w:uiPriority w:val="99"/>
    <w:rsid w:val="00434DCA"/>
    <w:rPr>
      <w:rFonts w:cs="Times New Roman"/>
    </w:rPr>
  </w:style>
  <w:style w:type="character" w:customStyle="1" w:styleId="legterm">
    <w:name w:val="legterm"/>
    <w:basedOn w:val="DefaultParagraphFont"/>
    <w:uiPriority w:val="99"/>
    <w:rsid w:val="00434DCA"/>
    <w:rPr>
      <w:rFonts w:cs="Times New Roman"/>
    </w:rPr>
  </w:style>
  <w:style w:type="paragraph" w:styleId="BalloonText">
    <w:name w:val="Balloon Text"/>
    <w:basedOn w:val="Normal"/>
    <w:link w:val="BalloonTextChar"/>
    <w:uiPriority w:val="99"/>
    <w:semiHidden/>
    <w:rsid w:val="00261B0E"/>
    <w:rPr>
      <w:rFonts w:ascii="Tahoma" w:hAnsi="Tahoma" w:cs="Tahoma"/>
      <w:sz w:val="16"/>
      <w:szCs w:val="16"/>
    </w:rPr>
  </w:style>
  <w:style w:type="character" w:customStyle="1" w:styleId="BalloonTextChar">
    <w:name w:val="Balloon Text Char"/>
    <w:basedOn w:val="DefaultParagraphFont"/>
    <w:link w:val="BalloonText"/>
    <w:uiPriority w:val="99"/>
    <w:semiHidden/>
    <w:rsid w:val="00B3668A"/>
    <w:rPr>
      <w:sz w:val="0"/>
      <w:szCs w:val="0"/>
    </w:rPr>
  </w:style>
  <w:style w:type="paragraph" w:styleId="ListParagraph">
    <w:name w:val="List Paragraph"/>
    <w:basedOn w:val="Normal"/>
    <w:uiPriority w:val="99"/>
    <w:qFormat/>
    <w:rsid w:val="00EA642C"/>
    <w:pPr>
      <w:ind w:left="720"/>
    </w:pPr>
    <w:rPr>
      <w:rFonts w:ascii="Calibri" w:hAnsi="Calibri"/>
      <w:sz w:val="22"/>
      <w:szCs w:val="22"/>
    </w:rPr>
  </w:style>
  <w:style w:type="paragraph" w:customStyle="1" w:styleId="StyleJustified">
    <w:name w:val="Style Justified"/>
    <w:basedOn w:val="Normal"/>
    <w:uiPriority w:val="99"/>
    <w:rsid w:val="0040196E"/>
    <w:pPr>
      <w:ind w:left="720"/>
      <w:jc w:val="both"/>
    </w:pPr>
    <w:rPr>
      <w:rFonts w:ascii="Arial" w:hAnsi="Arial" w:cs="Arial"/>
      <w:bCs/>
      <w:sz w:val="22"/>
      <w:szCs w:val="20"/>
    </w:rPr>
  </w:style>
</w:styles>
</file>

<file path=word/webSettings.xml><?xml version="1.0" encoding="utf-8"?>
<w:webSettings xmlns:r="http://schemas.openxmlformats.org/officeDocument/2006/relationships" xmlns:w="http://schemas.openxmlformats.org/wordprocessingml/2006/main">
  <w:divs>
    <w:div w:id="2067726539">
      <w:marLeft w:val="0"/>
      <w:marRight w:val="0"/>
      <w:marTop w:val="0"/>
      <w:marBottom w:val="0"/>
      <w:divBdr>
        <w:top w:val="none" w:sz="0" w:space="0" w:color="auto"/>
        <w:left w:val="none" w:sz="0" w:space="0" w:color="auto"/>
        <w:bottom w:val="none" w:sz="0" w:space="0" w:color="auto"/>
        <w:right w:val="none" w:sz="0" w:space="0" w:color="auto"/>
      </w:divBdr>
    </w:div>
    <w:div w:id="2067726540">
      <w:marLeft w:val="0"/>
      <w:marRight w:val="0"/>
      <w:marTop w:val="0"/>
      <w:marBottom w:val="0"/>
      <w:divBdr>
        <w:top w:val="none" w:sz="0" w:space="0" w:color="auto"/>
        <w:left w:val="none" w:sz="0" w:space="0" w:color="auto"/>
        <w:bottom w:val="none" w:sz="0" w:space="0" w:color="auto"/>
        <w:right w:val="none" w:sz="0" w:space="0" w:color="auto"/>
      </w:divBdr>
    </w:div>
    <w:div w:id="2067726541">
      <w:marLeft w:val="0"/>
      <w:marRight w:val="0"/>
      <w:marTop w:val="0"/>
      <w:marBottom w:val="0"/>
      <w:divBdr>
        <w:top w:val="none" w:sz="0" w:space="0" w:color="auto"/>
        <w:left w:val="none" w:sz="0" w:space="0" w:color="auto"/>
        <w:bottom w:val="none" w:sz="0" w:space="0" w:color="auto"/>
        <w:right w:val="none" w:sz="0" w:space="0" w:color="auto"/>
      </w:divBdr>
    </w:div>
    <w:div w:id="2067726542">
      <w:marLeft w:val="0"/>
      <w:marRight w:val="0"/>
      <w:marTop w:val="0"/>
      <w:marBottom w:val="0"/>
      <w:divBdr>
        <w:top w:val="none" w:sz="0" w:space="0" w:color="auto"/>
        <w:left w:val="none" w:sz="0" w:space="0" w:color="auto"/>
        <w:bottom w:val="none" w:sz="0" w:space="0" w:color="auto"/>
        <w:right w:val="none" w:sz="0" w:space="0" w:color="auto"/>
      </w:divBdr>
    </w:div>
    <w:div w:id="2067726543">
      <w:marLeft w:val="0"/>
      <w:marRight w:val="0"/>
      <w:marTop w:val="0"/>
      <w:marBottom w:val="0"/>
      <w:divBdr>
        <w:top w:val="none" w:sz="0" w:space="0" w:color="auto"/>
        <w:left w:val="none" w:sz="0" w:space="0" w:color="auto"/>
        <w:bottom w:val="none" w:sz="0" w:space="0" w:color="auto"/>
        <w:right w:val="none" w:sz="0" w:space="0" w:color="auto"/>
      </w:divBdr>
      <w:divsChild>
        <w:div w:id="2067726555">
          <w:marLeft w:val="0"/>
          <w:marRight w:val="0"/>
          <w:marTop w:val="0"/>
          <w:marBottom w:val="0"/>
          <w:divBdr>
            <w:top w:val="none" w:sz="0" w:space="0" w:color="auto"/>
            <w:left w:val="none" w:sz="0" w:space="0" w:color="auto"/>
            <w:bottom w:val="none" w:sz="0" w:space="0" w:color="auto"/>
            <w:right w:val="none" w:sz="0" w:space="0" w:color="auto"/>
          </w:divBdr>
          <w:divsChild>
            <w:div w:id="2067726538">
              <w:marLeft w:val="0"/>
              <w:marRight w:val="0"/>
              <w:marTop w:val="0"/>
              <w:marBottom w:val="0"/>
              <w:divBdr>
                <w:top w:val="none" w:sz="0" w:space="0" w:color="auto"/>
                <w:left w:val="none" w:sz="0" w:space="0" w:color="auto"/>
                <w:bottom w:val="none" w:sz="0" w:space="0" w:color="auto"/>
                <w:right w:val="none" w:sz="0" w:space="0" w:color="auto"/>
              </w:divBdr>
              <w:divsChild>
                <w:div w:id="20677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26547">
      <w:marLeft w:val="0"/>
      <w:marRight w:val="0"/>
      <w:marTop w:val="0"/>
      <w:marBottom w:val="0"/>
      <w:divBdr>
        <w:top w:val="none" w:sz="0" w:space="0" w:color="auto"/>
        <w:left w:val="none" w:sz="0" w:space="0" w:color="auto"/>
        <w:bottom w:val="none" w:sz="0" w:space="0" w:color="auto"/>
        <w:right w:val="none" w:sz="0" w:space="0" w:color="auto"/>
      </w:divBdr>
    </w:div>
    <w:div w:id="2067726548">
      <w:marLeft w:val="0"/>
      <w:marRight w:val="0"/>
      <w:marTop w:val="0"/>
      <w:marBottom w:val="0"/>
      <w:divBdr>
        <w:top w:val="none" w:sz="0" w:space="0" w:color="auto"/>
        <w:left w:val="none" w:sz="0" w:space="0" w:color="auto"/>
        <w:bottom w:val="none" w:sz="0" w:space="0" w:color="auto"/>
        <w:right w:val="none" w:sz="0" w:space="0" w:color="auto"/>
      </w:divBdr>
    </w:div>
    <w:div w:id="2067726551">
      <w:marLeft w:val="0"/>
      <w:marRight w:val="0"/>
      <w:marTop w:val="0"/>
      <w:marBottom w:val="0"/>
      <w:divBdr>
        <w:top w:val="none" w:sz="0" w:space="0" w:color="auto"/>
        <w:left w:val="none" w:sz="0" w:space="0" w:color="auto"/>
        <w:bottom w:val="none" w:sz="0" w:space="0" w:color="auto"/>
        <w:right w:val="none" w:sz="0" w:space="0" w:color="auto"/>
      </w:divBdr>
      <w:divsChild>
        <w:div w:id="2067726546">
          <w:marLeft w:val="0"/>
          <w:marRight w:val="0"/>
          <w:marTop w:val="0"/>
          <w:marBottom w:val="0"/>
          <w:divBdr>
            <w:top w:val="none" w:sz="0" w:space="0" w:color="auto"/>
            <w:left w:val="none" w:sz="0" w:space="0" w:color="auto"/>
            <w:bottom w:val="none" w:sz="0" w:space="0" w:color="auto"/>
            <w:right w:val="none" w:sz="0" w:space="0" w:color="auto"/>
          </w:divBdr>
          <w:divsChild>
            <w:div w:id="2067726544">
              <w:marLeft w:val="0"/>
              <w:marRight w:val="0"/>
              <w:marTop w:val="0"/>
              <w:marBottom w:val="0"/>
              <w:divBdr>
                <w:top w:val="single" w:sz="2" w:space="0" w:color="FFFFFF"/>
                <w:left w:val="single" w:sz="6" w:space="0" w:color="FFFFFF"/>
                <w:bottom w:val="single" w:sz="6" w:space="0" w:color="FFFFFF"/>
                <w:right w:val="single" w:sz="6" w:space="0" w:color="FFFFFF"/>
              </w:divBdr>
              <w:divsChild>
                <w:div w:id="2067726549">
                  <w:marLeft w:val="0"/>
                  <w:marRight w:val="0"/>
                  <w:marTop w:val="0"/>
                  <w:marBottom w:val="0"/>
                  <w:divBdr>
                    <w:top w:val="single" w:sz="6" w:space="1" w:color="D3D3D3"/>
                    <w:left w:val="none" w:sz="0" w:space="0" w:color="auto"/>
                    <w:bottom w:val="none" w:sz="0" w:space="0" w:color="auto"/>
                    <w:right w:val="none" w:sz="0" w:space="0" w:color="auto"/>
                  </w:divBdr>
                  <w:divsChild>
                    <w:div w:id="2067726550">
                      <w:marLeft w:val="0"/>
                      <w:marRight w:val="0"/>
                      <w:marTop w:val="0"/>
                      <w:marBottom w:val="0"/>
                      <w:divBdr>
                        <w:top w:val="none" w:sz="0" w:space="0" w:color="auto"/>
                        <w:left w:val="none" w:sz="0" w:space="0" w:color="auto"/>
                        <w:bottom w:val="none" w:sz="0" w:space="0" w:color="auto"/>
                        <w:right w:val="none" w:sz="0" w:space="0" w:color="auto"/>
                      </w:divBdr>
                      <w:divsChild>
                        <w:div w:id="20677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726552">
      <w:marLeft w:val="0"/>
      <w:marRight w:val="0"/>
      <w:marTop w:val="0"/>
      <w:marBottom w:val="0"/>
      <w:divBdr>
        <w:top w:val="none" w:sz="0" w:space="0" w:color="auto"/>
        <w:left w:val="none" w:sz="0" w:space="0" w:color="auto"/>
        <w:bottom w:val="none" w:sz="0" w:space="0" w:color="auto"/>
        <w:right w:val="none" w:sz="0" w:space="0" w:color="auto"/>
      </w:divBdr>
    </w:div>
    <w:div w:id="2067726553">
      <w:marLeft w:val="0"/>
      <w:marRight w:val="0"/>
      <w:marTop w:val="0"/>
      <w:marBottom w:val="0"/>
      <w:divBdr>
        <w:top w:val="none" w:sz="0" w:space="0" w:color="auto"/>
        <w:left w:val="none" w:sz="0" w:space="0" w:color="auto"/>
        <w:bottom w:val="none" w:sz="0" w:space="0" w:color="auto"/>
        <w:right w:val="none" w:sz="0" w:space="0" w:color="auto"/>
      </w:divBdr>
    </w:div>
    <w:div w:id="2067726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658</Words>
  <Characters>3753</Characters>
  <Application>Microsoft Office Outlook</Application>
  <DocSecurity>0</DocSecurity>
  <Lines>0</Lines>
  <Paragraphs>0</Paragraphs>
  <ScaleCrop>false</ScaleCrop>
  <Company>Ministry of Justice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and cost Management (Legal Aid Agency)</dc:title>
  <dc:subject/>
  <dc:creator>MoJ</dc:creator>
  <cp:keywords>FOI, Data request, Client, Costs, Management, LAA</cp:keywords>
  <dc:description/>
  <cp:lastModifiedBy>feg18q</cp:lastModifiedBy>
  <cp:revision>3</cp:revision>
  <cp:lastPrinted>2013-10-29T13:44:00Z</cp:lastPrinted>
  <dcterms:created xsi:type="dcterms:W3CDTF">2013-11-06T15:50:00Z</dcterms:created>
  <dcterms:modified xsi:type="dcterms:W3CDTF">2013-11-06T15:51:00Z</dcterms:modified>
</cp:coreProperties>
</file>