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46" w:rsidRDefault="00484746" w:rsidP="00065EB6">
      <w:pPr>
        <w:tabs>
          <w:tab w:val="right" w:pos="9498"/>
        </w:tabs>
        <w:spacing w:after="60"/>
        <w:ind w:right="108" w:firstLine="5760"/>
        <w:rPr>
          <w:rFonts w:ascii="Arial" w:hAnsi="Arial" w:cs="Arial"/>
          <w:b/>
          <w:color w:val="104F75"/>
          <w:sz w:val="32"/>
          <w:szCs w:val="32"/>
        </w:rPr>
      </w:pPr>
      <w:bookmarkStart w:id="0" w:name="GuideN"/>
      <w:bookmarkStart w:id="1" w:name="GuideL"/>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Education Funding Agency" style="position:absolute;left:0;text-align:left;margin-left:.25pt;margin-top:.45pt;width:69.2pt;height:72.2pt;z-index:-251658240;visibility:visible">
            <v:imagedata r:id="rId7" o:title=""/>
          </v:shape>
        </w:pict>
      </w:r>
      <w:r>
        <w:rPr>
          <w:rFonts w:ascii="Arial" w:hAnsi="Arial" w:cs="Arial"/>
          <w:b/>
          <w:color w:val="104F75"/>
          <w:sz w:val="32"/>
          <w:szCs w:val="32"/>
        </w:rPr>
        <w:t xml:space="preserve"> </w:t>
      </w:r>
      <w:r>
        <w:rPr>
          <w:rFonts w:ascii="Arial" w:hAnsi="Arial" w:cs="Arial"/>
          <w:b/>
          <w:color w:val="104F75"/>
          <w:sz w:val="32"/>
          <w:szCs w:val="32"/>
        </w:rPr>
        <w:tab/>
      </w:r>
      <w:r w:rsidRPr="001210B9">
        <w:rPr>
          <w:rFonts w:ascii="Arial" w:hAnsi="Arial" w:cs="Arial"/>
          <w:b/>
          <w:color w:val="104F75"/>
          <w:sz w:val="32"/>
          <w:szCs w:val="32"/>
        </w:rPr>
        <w:t xml:space="preserve">Academies </w:t>
      </w:r>
      <w:r>
        <w:rPr>
          <w:rFonts w:ascii="Arial" w:hAnsi="Arial" w:cs="Arial"/>
          <w:b/>
          <w:color w:val="104F75"/>
          <w:sz w:val="32"/>
          <w:szCs w:val="32"/>
        </w:rPr>
        <w:t>Property</w:t>
      </w:r>
    </w:p>
    <w:p w:rsidR="00484746" w:rsidRDefault="00484746" w:rsidP="001210B9">
      <w:pPr>
        <w:tabs>
          <w:tab w:val="right" w:pos="9498"/>
        </w:tabs>
        <w:spacing w:after="60"/>
        <w:ind w:right="108" w:firstLine="2880"/>
        <w:rPr>
          <w:rFonts w:ascii="Arial" w:hAnsi="Arial" w:cs="Arial"/>
          <w:b/>
          <w:color w:val="104F75"/>
          <w:sz w:val="32"/>
          <w:szCs w:val="32"/>
        </w:rPr>
      </w:pPr>
      <w:r>
        <w:rPr>
          <w:rFonts w:ascii="Arial" w:hAnsi="Arial" w:cs="Arial"/>
          <w:b/>
          <w:color w:val="104F75"/>
          <w:sz w:val="32"/>
          <w:szCs w:val="32"/>
        </w:rPr>
        <w:tab/>
      </w:r>
      <w:r w:rsidRPr="001210B9">
        <w:rPr>
          <w:rFonts w:ascii="Arial" w:hAnsi="Arial" w:cs="Arial"/>
          <w:b/>
          <w:color w:val="104F75"/>
          <w:sz w:val="32"/>
          <w:szCs w:val="32"/>
        </w:rPr>
        <w:t>Property Information</w:t>
      </w:r>
    </w:p>
    <w:p w:rsidR="00484746" w:rsidRPr="0099492D" w:rsidRDefault="00484746" w:rsidP="00065EB6">
      <w:pPr>
        <w:tabs>
          <w:tab w:val="right" w:pos="9498"/>
        </w:tabs>
        <w:spacing w:after="60"/>
        <w:ind w:right="108" w:firstLine="2880"/>
      </w:pPr>
      <w:r>
        <w:rPr>
          <w:rFonts w:ascii="Arial" w:hAnsi="Arial" w:cs="Arial"/>
          <w:b/>
          <w:color w:val="104F75"/>
          <w:sz w:val="32"/>
          <w:szCs w:val="32"/>
        </w:rPr>
        <w:tab/>
      </w:r>
      <w:r w:rsidRPr="001210B9">
        <w:rPr>
          <w:rFonts w:ascii="Arial" w:hAnsi="Arial" w:cs="Arial"/>
          <w:b/>
          <w:color w:val="104F75"/>
          <w:sz w:val="32"/>
          <w:szCs w:val="32"/>
        </w:rPr>
        <w:t>Note</w:t>
      </w:r>
      <w:r>
        <w:rPr>
          <w:rFonts w:ascii="Arial" w:hAnsi="Arial" w:cs="Arial"/>
          <w:b/>
          <w:color w:val="104F75"/>
          <w:sz w:val="32"/>
          <w:szCs w:val="32"/>
        </w:rPr>
        <w:t xml:space="preserve"> K</w:t>
      </w:r>
    </w:p>
    <w:p w:rsidR="00484746" w:rsidRPr="006227DD" w:rsidRDefault="00484746" w:rsidP="00065EB6">
      <w:pPr>
        <w:pStyle w:val="Heading2"/>
        <w:spacing w:before="480"/>
      </w:pPr>
      <w:r w:rsidRPr="006227DD">
        <w:t>Transferring land owned or leased by one academy trust to another</w:t>
      </w:r>
    </w:p>
    <w:tbl>
      <w:tblPr>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tblBorders>
        <w:tblCellMar>
          <w:top w:w="113" w:type="dxa"/>
        </w:tblCellMar>
        <w:tblLook w:val="00A0"/>
      </w:tblPr>
      <w:tblGrid>
        <w:gridCol w:w="9242"/>
      </w:tblGrid>
      <w:tr w:rsidR="00484746" w:rsidTr="009F0D55">
        <w:trPr>
          <w:trHeight w:val="1124"/>
          <w:tblHeader/>
        </w:trPr>
        <w:tc>
          <w:tcPr>
            <w:tcW w:w="9714" w:type="dxa"/>
            <w:tcBorders>
              <w:top w:val="single" w:sz="4" w:space="0" w:color="969696"/>
              <w:bottom w:val="single" w:sz="4" w:space="0" w:color="969696"/>
            </w:tcBorders>
            <w:shd w:val="clear" w:color="auto" w:fill="CFDCE3"/>
            <w:tcMar>
              <w:top w:w="0" w:type="dxa"/>
            </w:tcMar>
          </w:tcPr>
          <w:p w:rsidR="00484746" w:rsidRPr="009F0D55" w:rsidRDefault="00484746" w:rsidP="009F0D55">
            <w:pPr>
              <w:spacing w:before="160" w:after="160"/>
              <w:ind w:right="180"/>
              <w:rPr>
                <w:rFonts w:ascii="Arial" w:hAnsi="Arial" w:cs="Arial"/>
                <w:lang w:eastAsia="en-GB"/>
              </w:rPr>
            </w:pPr>
            <w:bookmarkStart w:id="2" w:name="_GoBack"/>
            <w:bookmarkEnd w:id="2"/>
            <w:r w:rsidRPr="009F0D55">
              <w:rPr>
                <w:rFonts w:ascii="Arial" w:hAnsi="Arial"/>
                <w:lang w:eastAsia="en-GB"/>
              </w:rPr>
              <w:t>This Property Information Note K explains when you need consent to transfer freehold land or leases between academy trusts, including</w:t>
            </w:r>
            <w:r w:rsidRPr="009F0D55">
              <w:rPr>
                <w:rFonts w:ascii="Arial" w:hAnsi="Arial" w:cs="Arial"/>
                <w:lang w:eastAsia="en-GB"/>
              </w:rPr>
              <w:t>:</w:t>
            </w:r>
          </w:p>
          <w:p w:rsidR="00484746" w:rsidRPr="009F0D55" w:rsidRDefault="00484746" w:rsidP="009F0D55">
            <w:pPr>
              <w:pStyle w:val="ListParagraph"/>
              <w:numPr>
                <w:ilvl w:val="0"/>
                <w:numId w:val="7"/>
              </w:numPr>
              <w:ind w:right="180"/>
              <w:rPr>
                <w:sz w:val="22"/>
                <w:szCs w:val="22"/>
              </w:rPr>
            </w:pPr>
            <w:r w:rsidRPr="009F0D55">
              <w:rPr>
                <w:sz w:val="22"/>
                <w:szCs w:val="22"/>
              </w:rPr>
              <w:t>When a single academy becomes part of a Multi-Academy Trust</w:t>
            </w:r>
          </w:p>
          <w:p w:rsidR="00484746" w:rsidRPr="009F0D55" w:rsidRDefault="00484746" w:rsidP="009F0D55">
            <w:pPr>
              <w:pStyle w:val="ListParagraph"/>
              <w:numPr>
                <w:ilvl w:val="0"/>
                <w:numId w:val="7"/>
              </w:numPr>
              <w:ind w:right="180"/>
              <w:rPr>
                <w:sz w:val="22"/>
                <w:szCs w:val="22"/>
              </w:rPr>
            </w:pPr>
            <w:r w:rsidRPr="009F0D55">
              <w:rPr>
                <w:sz w:val="22"/>
                <w:szCs w:val="22"/>
              </w:rPr>
              <w:t>A change of Sponsor;</w:t>
            </w:r>
          </w:p>
          <w:p w:rsidR="00484746" w:rsidRPr="009F0D55" w:rsidRDefault="00484746" w:rsidP="009F0D55">
            <w:pPr>
              <w:pStyle w:val="ListParagraph"/>
              <w:numPr>
                <w:ilvl w:val="0"/>
                <w:numId w:val="7"/>
              </w:numPr>
              <w:ind w:right="180"/>
              <w:rPr>
                <w:sz w:val="22"/>
                <w:szCs w:val="22"/>
              </w:rPr>
            </w:pPr>
            <w:r w:rsidRPr="009F0D55">
              <w:rPr>
                <w:sz w:val="22"/>
                <w:szCs w:val="22"/>
              </w:rPr>
              <w:t xml:space="preserve">Trust dissolution or </w:t>
            </w:r>
          </w:p>
          <w:p w:rsidR="00484746" w:rsidRPr="009F0D55" w:rsidRDefault="00484746" w:rsidP="009F0D55">
            <w:pPr>
              <w:pStyle w:val="ListParagraph"/>
              <w:numPr>
                <w:ilvl w:val="0"/>
                <w:numId w:val="7"/>
              </w:numPr>
              <w:spacing w:after="160"/>
              <w:ind w:right="180"/>
              <w:rPr>
                <w:color w:val="0000FF"/>
                <w:sz w:val="22"/>
                <w:szCs w:val="22"/>
                <w:u w:val="single"/>
              </w:rPr>
            </w:pPr>
            <w:r w:rsidRPr="009F0D55">
              <w:rPr>
                <w:sz w:val="22"/>
                <w:szCs w:val="22"/>
              </w:rPr>
              <w:t>A change in the company that will hold the academy’s assets.</w:t>
            </w:r>
            <w:r>
              <w:rPr>
                <w:sz w:val="22"/>
                <w:szCs w:val="22"/>
              </w:rPr>
              <w:t xml:space="preserve"> </w:t>
            </w:r>
            <w:r w:rsidRPr="009F0D55">
              <w:rPr>
                <w:sz w:val="22"/>
                <w:szCs w:val="22"/>
              </w:rPr>
              <w:t>Consent to the governance of an academy trust company does not necessarily grant consent to the transfer of land and property asset to a successor</w:t>
            </w:r>
            <w:r w:rsidRPr="006227DD">
              <w:t>.</w:t>
            </w:r>
          </w:p>
        </w:tc>
      </w:tr>
    </w:tbl>
    <w:p w:rsidR="00484746" w:rsidRPr="00950B6F" w:rsidRDefault="00484746" w:rsidP="00356766">
      <w:pPr>
        <w:spacing w:before="160" w:after="160"/>
        <w:ind w:right="180"/>
        <w:rPr>
          <w:rFonts w:ascii="Arial" w:hAnsi="Arial"/>
          <w:szCs w:val="24"/>
          <w:lang w:eastAsia="en-GB"/>
        </w:rPr>
      </w:pPr>
      <w:r w:rsidRPr="00950B6F">
        <w:rPr>
          <w:rFonts w:ascii="Arial" w:hAnsi="Arial"/>
          <w:szCs w:val="24"/>
          <w:lang w:eastAsia="en-GB"/>
        </w:rPr>
        <w:t>To ensure you use the right information, please also refer to:</w:t>
      </w:r>
    </w:p>
    <w:p w:rsidR="00484746" w:rsidRPr="005C29F4" w:rsidRDefault="00484746" w:rsidP="00950B6F">
      <w:pPr>
        <w:pStyle w:val="ListBullet1"/>
        <w:numPr>
          <w:ilvl w:val="0"/>
          <w:numId w:val="8"/>
        </w:numPr>
        <w:spacing w:after="0"/>
        <w:ind w:left="709" w:hanging="357"/>
        <w:rPr>
          <w:rStyle w:val="Hyperlink"/>
        </w:rPr>
      </w:pPr>
      <w:r>
        <w:fldChar w:fldCharType="begin"/>
      </w:r>
      <w:r>
        <w:instrText xml:space="preserve"> HYPERLINK "http://www.education.gov.uk/aboutdfe/executiveagencies/efa/efafundingfinance/b00212638/efa-academies-capital/academypins" </w:instrText>
      </w:r>
      <w:r>
        <w:fldChar w:fldCharType="separate"/>
      </w:r>
      <w:r w:rsidRPr="005C29F4">
        <w:rPr>
          <w:rStyle w:val="Hyperlink"/>
        </w:rPr>
        <w:t>the Introduction to academies property information notes;</w:t>
      </w:r>
    </w:p>
    <w:p w:rsidR="00484746" w:rsidRPr="005C29F4" w:rsidRDefault="00484746" w:rsidP="00950B6F">
      <w:pPr>
        <w:pStyle w:val="ListBullet1"/>
        <w:numPr>
          <w:ilvl w:val="0"/>
          <w:numId w:val="8"/>
        </w:numPr>
        <w:spacing w:after="0"/>
        <w:ind w:left="709" w:hanging="357"/>
        <w:rPr>
          <w:rStyle w:val="Hyperlink"/>
        </w:rPr>
      </w:pPr>
      <w:r>
        <w:rPr>
          <w:rStyle w:val="Hyperlink"/>
        </w:rPr>
        <w:t>Which Form;</w:t>
      </w:r>
    </w:p>
    <w:p w:rsidR="00484746" w:rsidRPr="000142DD" w:rsidRDefault="00484746" w:rsidP="00950B6F">
      <w:pPr>
        <w:pStyle w:val="ListBullet1"/>
        <w:numPr>
          <w:ilvl w:val="0"/>
          <w:numId w:val="8"/>
        </w:numPr>
        <w:ind w:left="709" w:hanging="357"/>
      </w:pPr>
      <w:r>
        <w:rPr>
          <w:rStyle w:val="Hyperlink"/>
        </w:rPr>
        <w:t>T</w:t>
      </w:r>
      <w:r w:rsidRPr="005C29F4">
        <w:rPr>
          <w:rStyle w:val="Hyperlink"/>
        </w:rPr>
        <w:t>he Glossary</w:t>
      </w:r>
      <w:r>
        <w:fldChar w:fldCharType="end"/>
      </w:r>
      <w:r w:rsidRPr="000142DD">
        <w:t>.</w:t>
      </w:r>
    </w:p>
    <w:p w:rsidR="00484746" w:rsidRPr="006227DD" w:rsidRDefault="00484746" w:rsidP="006227DD">
      <w:pPr>
        <w:spacing w:after="160"/>
        <w:ind w:right="180"/>
        <w:rPr>
          <w:rFonts w:ascii="Arial" w:hAnsi="Arial"/>
          <w:szCs w:val="24"/>
          <w:lang w:eastAsia="en-GB"/>
        </w:rPr>
      </w:pPr>
      <w:r w:rsidRPr="006227DD">
        <w:rPr>
          <w:rFonts w:ascii="Arial" w:hAnsi="Arial"/>
          <w:szCs w:val="24"/>
          <w:lang w:eastAsia="en-GB"/>
        </w:rPr>
        <w:t xml:space="preserve">You will need to take legal advice on any proposed changes at an early stage and involve the EFA in your proposals. </w:t>
      </w:r>
    </w:p>
    <w:p w:rsidR="00484746" w:rsidRPr="006227DD" w:rsidRDefault="00484746" w:rsidP="006227DD">
      <w:pPr>
        <w:spacing w:after="160"/>
        <w:ind w:right="180"/>
        <w:rPr>
          <w:rFonts w:ascii="Arial" w:hAnsi="Arial"/>
          <w:szCs w:val="24"/>
          <w:lang w:eastAsia="en-GB"/>
        </w:rPr>
      </w:pPr>
      <w:r w:rsidRPr="006227DD">
        <w:rPr>
          <w:rFonts w:ascii="Arial" w:hAnsi="Arial"/>
          <w:szCs w:val="24"/>
          <w:lang w:eastAsia="en-GB"/>
        </w:rPr>
        <w:t xml:space="preserve">Whether you are applying before any corporate changes (using Form A) or after they have taken effect (using Form C), each form indicates the anticipated timescale for a decision from the Secretary of State. You should build the time for the EFA’s assessment of the land transfer application into your programme. </w:t>
      </w:r>
    </w:p>
    <w:p w:rsidR="00484746" w:rsidRPr="006227DD" w:rsidRDefault="00484746" w:rsidP="006227DD">
      <w:pPr>
        <w:spacing w:after="160"/>
        <w:ind w:right="180"/>
        <w:rPr>
          <w:rFonts w:ascii="Arial" w:hAnsi="Arial"/>
          <w:szCs w:val="24"/>
          <w:lang w:eastAsia="en-GB"/>
        </w:rPr>
      </w:pPr>
      <w:r w:rsidRPr="006227DD">
        <w:rPr>
          <w:rFonts w:ascii="Arial" w:hAnsi="Arial"/>
          <w:szCs w:val="24"/>
          <w:lang w:eastAsia="en-GB"/>
        </w:rPr>
        <w:t>Do not accept any grant or sign any agreements before you have received written notification of the Secretary of State’s decision for the land to transfer.</w:t>
      </w:r>
    </w:p>
    <w:p w:rsidR="00484746" w:rsidRPr="00950B6F" w:rsidRDefault="00484746" w:rsidP="006227DD">
      <w:pPr>
        <w:pStyle w:val="Heading4"/>
        <w:numPr>
          <w:ilvl w:val="0"/>
          <w:numId w:val="4"/>
        </w:numPr>
        <w:spacing w:before="0" w:after="160"/>
        <w:ind w:left="0" w:firstLine="0"/>
        <w:rPr>
          <w:color w:val="104F75"/>
          <w:sz w:val="22"/>
          <w:szCs w:val="22"/>
        </w:rPr>
      </w:pPr>
      <w:r w:rsidRPr="00950B6F">
        <w:rPr>
          <w:color w:val="104F75"/>
          <w:sz w:val="22"/>
          <w:szCs w:val="22"/>
        </w:rPr>
        <w:t>Where academy trust is becoming a Multi-Academy Trust</w:t>
      </w:r>
    </w:p>
    <w:p w:rsidR="00484746" w:rsidRPr="006227DD" w:rsidRDefault="00484746" w:rsidP="006227DD">
      <w:pPr>
        <w:spacing w:after="120"/>
        <w:ind w:left="720"/>
        <w:rPr>
          <w:rFonts w:ascii="Arial" w:hAnsi="Arial"/>
          <w:szCs w:val="24"/>
          <w:lang w:eastAsia="en-GB"/>
        </w:rPr>
      </w:pPr>
      <w:r w:rsidRPr="006227DD">
        <w:rPr>
          <w:rFonts w:ascii="Arial" w:hAnsi="Arial"/>
          <w:szCs w:val="24"/>
          <w:lang w:eastAsia="en-GB"/>
        </w:rPr>
        <w:t>If the academy trust (the original trust) amends its Articles to become a Multi-Academy Trust (the MAT), then the company holding the land (the original trust) won’t change and so there will be no transfer of the land.</w:t>
      </w:r>
      <w:r>
        <w:rPr>
          <w:rFonts w:ascii="Arial" w:hAnsi="Arial"/>
          <w:szCs w:val="24"/>
          <w:lang w:eastAsia="en-GB"/>
        </w:rPr>
        <w:t xml:space="preserve"> </w:t>
      </w:r>
      <w:r w:rsidRPr="006227DD">
        <w:rPr>
          <w:rFonts w:ascii="Arial" w:hAnsi="Arial"/>
          <w:szCs w:val="24"/>
          <w:lang w:eastAsia="en-GB"/>
        </w:rPr>
        <w:t xml:space="preserve">No consent is required for a land transfer (as none is happening), but consent will be required for the academy trust to become a Multi Academy Trust. </w:t>
      </w:r>
    </w:p>
    <w:p w:rsidR="00484746" w:rsidRPr="00950B6F" w:rsidRDefault="00484746" w:rsidP="000B3357">
      <w:pPr>
        <w:pStyle w:val="Heading4"/>
        <w:numPr>
          <w:ilvl w:val="0"/>
          <w:numId w:val="4"/>
        </w:numPr>
        <w:spacing w:before="0" w:after="160"/>
        <w:ind w:hanging="720"/>
        <w:rPr>
          <w:color w:val="104F75"/>
          <w:sz w:val="22"/>
          <w:szCs w:val="22"/>
        </w:rPr>
      </w:pPr>
      <w:r w:rsidRPr="00950B6F">
        <w:rPr>
          <w:color w:val="104F75"/>
          <w:sz w:val="22"/>
          <w:szCs w:val="22"/>
        </w:rPr>
        <w:t>Where an academy trust is to dissolve, and the academy will pass to another trust (</w:t>
      </w:r>
      <w:r>
        <w:rPr>
          <w:color w:val="104F75"/>
          <w:sz w:val="22"/>
          <w:szCs w:val="22"/>
        </w:rPr>
        <w:t>m</w:t>
      </w:r>
      <w:r w:rsidRPr="00950B6F">
        <w:rPr>
          <w:color w:val="104F75"/>
          <w:sz w:val="22"/>
          <w:szCs w:val="22"/>
        </w:rPr>
        <w:t>ulti or other academy trust) prior to dissolution</w:t>
      </w:r>
    </w:p>
    <w:p w:rsidR="00484746" w:rsidRPr="006227DD" w:rsidRDefault="00484746" w:rsidP="006227DD">
      <w:pPr>
        <w:spacing w:after="120"/>
        <w:ind w:left="720"/>
        <w:rPr>
          <w:rFonts w:ascii="Arial" w:hAnsi="Arial"/>
          <w:szCs w:val="24"/>
          <w:lang w:eastAsia="en-GB"/>
        </w:rPr>
      </w:pPr>
      <w:r w:rsidRPr="006227DD">
        <w:rPr>
          <w:rFonts w:ascii="Arial" w:hAnsi="Arial"/>
          <w:szCs w:val="24"/>
          <w:lang w:eastAsia="en-GB"/>
        </w:rPr>
        <w:t>Before it dissolves, the original academy trust will have to transfer the land to the successor academy trust. It can do this in a variety of ways, and this transfer will be a disposal for the purposes of Schedule 1 and the Funding Agreement. It has to be before any dissolution as otherwise it won’t have the legal capacity to act.</w:t>
      </w:r>
      <w:r>
        <w:rPr>
          <w:rFonts w:ascii="Arial" w:hAnsi="Arial"/>
          <w:szCs w:val="24"/>
          <w:lang w:eastAsia="en-GB"/>
        </w:rPr>
        <w:t xml:space="preserve"> </w:t>
      </w:r>
      <w:r w:rsidRPr="006227DD">
        <w:rPr>
          <w:rFonts w:ascii="Arial" w:hAnsi="Arial"/>
          <w:szCs w:val="24"/>
          <w:lang w:eastAsia="en-GB"/>
        </w:rPr>
        <w:t>Consent to the disposal is best included in the consent to the change in academy trust.</w:t>
      </w:r>
      <w:r>
        <w:rPr>
          <w:rFonts w:ascii="Arial" w:hAnsi="Arial"/>
          <w:szCs w:val="24"/>
          <w:lang w:eastAsia="en-GB"/>
        </w:rPr>
        <w:t xml:space="preserve"> </w:t>
      </w:r>
      <w:r w:rsidRPr="006227DD">
        <w:rPr>
          <w:rFonts w:ascii="Arial" w:hAnsi="Arial"/>
          <w:szCs w:val="24"/>
          <w:lang w:eastAsia="en-GB"/>
        </w:rPr>
        <w:t xml:space="preserve">Otherwise, separate consent is needed (using </w:t>
      </w:r>
      <w:hyperlink w:anchor="FormA" w:history="1">
        <w:r w:rsidRPr="006227DD">
          <w:rPr>
            <w:rFonts w:ascii="Arial" w:hAnsi="Arial"/>
            <w:szCs w:val="24"/>
            <w:lang w:eastAsia="en-GB"/>
          </w:rPr>
          <w:t>Form A</w:t>
        </w:r>
      </w:hyperlink>
      <w:r w:rsidRPr="006227DD">
        <w:rPr>
          <w:rFonts w:ascii="Arial" w:hAnsi="Arial"/>
          <w:szCs w:val="24"/>
          <w:lang w:eastAsia="en-GB"/>
        </w:rPr>
        <w:t>) to the merger/moving of the academy trust’s land to the successor academy trust.</w:t>
      </w:r>
      <w:r>
        <w:rPr>
          <w:rFonts w:ascii="Arial" w:hAnsi="Arial"/>
          <w:szCs w:val="24"/>
          <w:lang w:eastAsia="en-GB"/>
        </w:rPr>
        <w:t xml:space="preserve"> </w:t>
      </w:r>
    </w:p>
    <w:p w:rsidR="00484746" w:rsidRPr="00950B6F" w:rsidRDefault="00484746" w:rsidP="000B3357">
      <w:pPr>
        <w:pStyle w:val="Heading4"/>
        <w:numPr>
          <w:ilvl w:val="0"/>
          <w:numId w:val="4"/>
        </w:numPr>
        <w:spacing w:before="0" w:after="160"/>
        <w:ind w:hanging="720"/>
        <w:rPr>
          <w:color w:val="104F75"/>
          <w:sz w:val="22"/>
          <w:szCs w:val="22"/>
        </w:rPr>
      </w:pPr>
      <w:r w:rsidRPr="00950B6F">
        <w:rPr>
          <w:color w:val="104F75"/>
          <w:sz w:val="22"/>
          <w:szCs w:val="22"/>
        </w:rPr>
        <w:t>Where an academy trust company dissolves before any transfer to a successor academy trust</w:t>
      </w:r>
    </w:p>
    <w:p w:rsidR="00484746" w:rsidRPr="00F840FB" w:rsidRDefault="00484746" w:rsidP="00A6626D">
      <w:pPr>
        <w:spacing w:after="120"/>
        <w:ind w:left="720"/>
        <w:rPr>
          <w:rFonts w:ascii="Arial" w:hAnsi="Arial" w:cs="Arial"/>
          <w:b/>
          <w:color w:val="002060"/>
          <w:sz w:val="24"/>
          <w:szCs w:val="24"/>
        </w:rPr>
      </w:pPr>
      <w:r w:rsidRPr="006227DD">
        <w:rPr>
          <w:rFonts w:ascii="Arial" w:hAnsi="Arial"/>
          <w:szCs w:val="24"/>
          <w:lang w:eastAsia="en-GB"/>
        </w:rPr>
        <w:t>In this case, the property held by the dissolved company will pass to the Crown as bona vacantia, subject to any termination provisions in the lease which have effect on the dissolution of the academy trust. If land does transfer</w:t>
      </w:r>
      <w:r w:rsidRPr="00F840FB">
        <w:rPr>
          <w:rFonts w:ascii="Arial" w:hAnsi="Arial" w:cs="Arial"/>
          <w:sz w:val="24"/>
          <w:szCs w:val="24"/>
        </w:rPr>
        <w:t xml:space="preserve"> to the Crown, the </w:t>
      </w:r>
      <w:r w:rsidRPr="006227DD">
        <w:rPr>
          <w:rFonts w:ascii="Arial" w:hAnsi="Arial"/>
          <w:szCs w:val="24"/>
          <w:lang w:eastAsia="en-GB"/>
        </w:rPr>
        <w:t xml:space="preserve">successor academy trust needs to use </w:t>
      </w:r>
      <w:hyperlink w:anchor="FormC" w:history="1">
        <w:r w:rsidRPr="006227DD">
          <w:rPr>
            <w:lang w:eastAsia="en-GB"/>
          </w:rPr>
          <w:t>Form C</w:t>
        </w:r>
      </w:hyperlink>
      <w:r>
        <w:rPr>
          <w:lang w:eastAsia="en-GB"/>
        </w:rPr>
        <w:t xml:space="preserve"> </w:t>
      </w:r>
      <w:r w:rsidRPr="006227DD">
        <w:rPr>
          <w:rFonts w:ascii="Arial" w:hAnsi="Arial"/>
          <w:szCs w:val="24"/>
          <w:lang w:eastAsia="en-GB"/>
        </w:rPr>
        <w:t>to request that the land is transferred to the successor academy.</w:t>
      </w:r>
      <w:r>
        <w:rPr>
          <w:rFonts w:ascii="Arial" w:hAnsi="Arial"/>
          <w:szCs w:val="24"/>
          <w:lang w:eastAsia="en-GB"/>
        </w:rPr>
        <w:t xml:space="preserve"> </w:t>
      </w:r>
      <w:r w:rsidRPr="006227DD">
        <w:rPr>
          <w:rFonts w:ascii="Arial" w:hAnsi="Arial"/>
          <w:szCs w:val="24"/>
          <w:lang w:eastAsia="en-GB"/>
        </w:rPr>
        <w:t>The preferred, far simpler, quicker and cheaper method is for the original academy trust to transfer the land to the successor academy trust before it dissolves.</w:t>
      </w:r>
      <w:r>
        <w:rPr>
          <w:rFonts w:ascii="Arial" w:hAnsi="Arial"/>
          <w:szCs w:val="24"/>
          <w:lang w:eastAsia="en-GB"/>
        </w:rPr>
        <w:t xml:space="preserve"> </w:t>
      </w:r>
      <w:r w:rsidRPr="006227DD">
        <w:rPr>
          <w:rFonts w:ascii="Arial" w:hAnsi="Arial"/>
          <w:szCs w:val="24"/>
          <w:lang w:eastAsia="en-GB"/>
        </w:rPr>
        <w:t>If the leasehold interest held by the academy trust terminates on the dissolution of the academy trust under provisions in the lease, it will be necessary for the new academy trust to agree a new lease with the freeholder of the school site.</w:t>
      </w:r>
    </w:p>
    <w:sectPr w:rsidR="00484746" w:rsidRPr="00F840FB" w:rsidSect="005412A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746" w:rsidRDefault="00484746" w:rsidP="00950B6F">
      <w:r>
        <w:separator/>
      </w:r>
    </w:p>
  </w:endnote>
  <w:endnote w:type="continuationSeparator" w:id="0">
    <w:p w:rsidR="00484746" w:rsidRDefault="00484746" w:rsidP="00950B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46" w:rsidRDefault="00484746" w:rsidP="00950B6F">
    <w:pPr>
      <w:pStyle w:val="CopyrightBox"/>
    </w:pPr>
    <w:r w:rsidRPr="00950B6F">
      <w:rPr>
        <w:sz w:val="22"/>
        <w:szCs w:val="22"/>
      </w:rPr>
      <w:t>© Crown copyright published September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746" w:rsidRDefault="00484746" w:rsidP="00950B6F">
      <w:r>
        <w:separator/>
      </w:r>
    </w:p>
  </w:footnote>
  <w:footnote w:type="continuationSeparator" w:id="0">
    <w:p w:rsidR="00484746" w:rsidRDefault="00484746" w:rsidP="00950B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E4D098"/>
    <w:lvl w:ilvl="0">
      <w:start w:val="1"/>
      <w:numFmt w:val="bullet"/>
      <w:lvlText w:val=""/>
      <w:lvlJc w:val="left"/>
      <w:pPr>
        <w:tabs>
          <w:tab w:val="num" w:pos="360"/>
        </w:tabs>
        <w:ind w:left="360" w:hanging="360"/>
      </w:pPr>
      <w:rPr>
        <w:rFonts w:ascii="Symbol" w:hAnsi="Symbol" w:hint="default"/>
      </w:rPr>
    </w:lvl>
  </w:abstractNum>
  <w:abstractNum w:abstractNumId="1">
    <w:nsid w:val="17A134D4"/>
    <w:multiLevelType w:val="multilevel"/>
    <w:tmpl w:val="8782F854"/>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3">
    <w:nsid w:val="4BD5734A"/>
    <w:multiLevelType w:val="hybridMultilevel"/>
    <w:tmpl w:val="569E543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57517E32"/>
    <w:multiLevelType w:val="hybridMultilevel"/>
    <w:tmpl w:val="303E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604199"/>
    <w:multiLevelType w:val="hybridMultilevel"/>
    <w:tmpl w:val="55FE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795A7A"/>
    <w:multiLevelType w:val="hybridMultilevel"/>
    <w:tmpl w:val="22545C50"/>
    <w:lvl w:ilvl="0" w:tplc="D3FA9A54">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051B69"/>
    <w:multiLevelType w:val="hybridMultilevel"/>
    <w:tmpl w:val="52F84854"/>
    <w:lvl w:ilvl="0" w:tplc="2FDA32AC">
      <w:start w:val="1"/>
      <w:numFmt w:val="bullet"/>
      <w:pStyle w:val="ListBullet"/>
      <w:lvlText w:val=""/>
      <w:lvlJc w:val="left"/>
      <w:pPr>
        <w:ind w:left="795" w:hanging="360"/>
      </w:pPr>
      <w:rPr>
        <w:rFonts w:ascii="Symbol" w:hAnsi="Symbol" w:hint="default"/>
        <w:color w:val="000000"/>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 w:numId="2">
    <w:abstractNumId w:val="0"/>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6"/>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26D"/>
    <w:rsid w:val="000142DD"/>
    <w:rsid w:val="000200E1"/>
    <w:rsid w:val="00065EB6"/>
    <w:rsid w:val="000B3357"/>
    <w:rsid w:val="001210B9"/>
    <w:rsid w:val="00356766"/>
    <w:rsid w:val="00484746"/>
    <w:rsid w:val="005412A2"/>
    <w:rsid w:val="005B1E06"/>
    <w:rsid w:val="005C29F4"/>
    <w:rsid w:val="006227DD"/>
    <w:rsid w:val="00950B6F"/>
    <w:rsid w:val="0099492D"/>
    <w:rsid w:val="009F0D55"/>
    <w:rsid w:val="00A6626D"/>
    <w:rsid w:val="00A71765"/>
    <w:rsid w:val="00A812ED"/>
    <w:rsid w:val="00B1435B"/>
    <w:rsid w:val="00C84C2F"/>
    <w:rsid w:val="00D3430A"/>
    <w:rsid w:val="00D464F2"/>
    <w:rsid w:val="00F840F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6D"/>
    <w:rPr>
      <w:lang w:eastAsia="en-US"/>
    </w:rPr>
  </w:style>
  <w:style w:type="paragraph" w:styleId="Heading1">
    <w:name w:val="heading 1"/>
    <w:basedOn w:val="Normal"/>
    <w:next w:val="Normal"/>
    <w:link w:val="Heading1Char"/>
    <w:uiPriority w:val="99"/>
    <w:qFormat/>
    <w:rsid w:val="001210B9"/>
    <w:pPr>
      <w:spacing w:before="360" w:after="160"/>
      <w:outlineLvl w:val="0"/>
    </w:pPr>
    <w:rPr>
      <w:rFonts w:ascii="Arial" w:eastAsia="Times New Roman" w:hAnsi="Arial"/>
      <w:b/>
      <w:color w:val="104F75"/>
      <w:sz w:val="36"/>
      <w:szCs w:val="24"/>
      <w:lang w:eastAsia="en-GB"/>
    </w:rPr>
  </w:style>
  <w:style w:type="paragraph" w:styleId="Heading2">
    <w:name w:val="heading 2"/>
    <w:basedOn w:val="Normal"/>
    <w:next w:val="Normal"/>
    <w:link w:val="Heading2Char"/>
    <w:uiPriority w:val="99"/>
    <w:qFormat/>
    <w:rsid w:val="006227DD"/>
    <w:pPr>
      <w:keepNext/>
      <w:spacing w:before="240" w:after="120"/>
      <w:outlineLvl w:val="1"/>
    </w:pPr>
    <w:rPr>
      <w:rFonts w:ascii="Arial" w:eastAsia="Times New Roman" w:hAnsi="Arial"/>
      <w:b/>
      <w:color w:val="104F75"/>
      <w:sz w:val="32"/>
      <w:szCs w:val="32"/>
      <w:lang w:eastAsia="en-GB"/>
    </w:rPr>
  </w:style>
  <w:style w:type="paragraph" w:styleId="Heading4">
    <w:name w:val="heading 4"/>
    <w:basedOn w:val="Heading2"/>
    <w:next w:val="Normal"/>
    <w:link w:val="Heading4Char"/>
    <w:uiPriority w:val="99"/>
    <w:qFormat/>
    <w:rsid w:val="006227DD"/>
    <w:pPr>
      <w:outlineLvl w:val="3"/>
    </w:pPr>
    <w:rPr>
      <w:bCs/>
      <w:color w:val="000000"/>
      <w:sz w:val="24"/>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0B9"/>
    <w:rPr>
      <w:rFonts w:ascii="Arial" w:hAnsi="Arial" w:cs="Times New Roman"/>
      <w:b/>
      <w:color w:val="104F75"/>
      <w:sz w:val="24"/>
      <w:szCs w:val="24"/>
      <w:lang w:eastAsia="en-GB"/>
    </w:rPr>
  </w:style>
  <w:style w:type="character" w:customStyle="1" w:styleId="Heading2Char">
    <w:name w:val="Heading 2 Char"/>
    <w:basedOn w:val="DefaultParagraphFont"/>
    <w:link w:val="Heading2"/>
    <w:uiPriority w:val="99"/>
    <w:locked/>
    <w:rsid w:val="006227DD"/>
    <w:rPr>
      <w:rFonts w:ascii="Arial" w:hAnsi="Arial" w:cs="Times New Roman"/>
      <w:b/>
      <w:color w:val="104F75"/>
      <w:sz w:val="32"/>
      <w:szCs w:val="32"/>
      <w:lang w:eastAsia="en-GB"/>
    </w:rPr>
  </w:style>
  <w:style w:type="character" w:customStyle="1" w:styleId="Heading4Char">
    <w:name w:val="Heading 4 Char"/>
    <w:basedOn w:val="DefaultParagraphFont"/>
    <w:link w:val="Heading4"/>
    <w:uiPriority w:val="99"/>
    <w:locked/>
    <w:rsid w:val="006227DD"/>
    <w:rPr>
      <w:rFonts w:ascii="Arial" w:hAnsi="Arial" w:cs="Times New Roman"/>
      <w:b/>
      <w:bCs/>
      <w:color w:val="000000"/>
      <w:sz w:val="28"/>
      <w:szCs w:val="28"/>
      <w:lang w:eastAsia="en-GB"/>
    </w:rPr>
  </w:style>
  <w:style w:type="paragraph" w:styleId="ListParagraph">
    <w:name w:val="List Paragraph"/>
    <w:basedOn w:val="Normal"/>
    <w:uiPriority w:val="99"/>
    <w:qFormat/>
    <w:rsid w:val="00A6626D"/>
    <w:pPr>
      <w:ind w:left="720"/>
    </w:pPr>
    <w:rPr>
      <w:rFonts w:ascii="Arial" w:eastAsia="Times New Roman" w:hAnsi="Arial"/>
      <w:sz w:val="24"/>
      <w:szCs w:val="24"/>
      <w:lang w:eastAsia="en-GB"/>
    </w:rPr>
  </w:style>
  <w:style w:type="character" w:styleId="Hyperlink">
    <w:name w:val="Hyperlink"/>
    <w:basedOn w:val="DefaultParagraphFont"/>
    <w:uiPriority w:val="99"/>
    <w:rsid w:val="00A6626D"/>
    <w:rPr>
      <w:rFonts w:cs="Times New Roman"/>
      <w:color w:val="0000FF"/>
      <w:u w:val="single"/>
    </w:rPr>
  </w:style>
  <w:style w:type="paragraph" w:styleId="BalloonText">
    <w:name w:val="Balloon Text"/>
    <w:basedOn w:val="Normal"/>
    <w:link w:val="BalloonTextChar"/>
    <w:uiPriority w:val="99"/>
    <w:semiHidden/>
    <w:rsid w:val="00A662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26D"/>
    <w:rPr>
      <w:rFonts w:ascii="Tahoma" w:eastAsia="Times New Roman" w:hAnsi="Tahoma" w:cs="Tahoma"/>
      <w:sz w:val="16"/>
      <w:szCs w:val="16"/>
    </w:rPr>
  </w:style>
  <w:style w:type="paragraph" w:customStyle="1" w:styleId="EndBox">
    <w:name w:val="EndBox"/>
    <w:basedOn w:val="Normal"/>
    <w:uiPriority w:val="99"/>
    <w:rsid w:val="001210B9"/>
    <w:pPr>
      <w:pBdr>
        <w:top w:val="single" w:sz="4" w:space="1" w:color="auto"/>
        <w:left w:val="single" w:sz="4" w:space="4" w:color="auto"/>
        <w:bottom w:val="single" w:sz="4" w:space="1" w:color="auto"/>
        <w:right w:val="single" w:sz="4" w:space="4" w:color="auto"/>
      </w:pBdr>
      <w:spacing w:after="160" w:line="288" w:lineRule="auto"/>
    </w:pPr>
    <w:rPr>
      <w:rFonts w:ascii="Arial" w:eastAsia="Times New Roman" w:hAnsi="Arial"/>
      <w:szCs w:val="20"/>
      <w:lang w:eastAsia="en-GB"/>
    </w:rPr>
  </w:style>
  <w:style w:type="paragraph" w:customStyle="1" w:styleId="CopyrightBox">
    <w:name w:val="CopyrightBox"/>
    <w:basedOn w:val="Normal"/>
    <w:link w:val="CopyrightBoxChar"/>
    <w:uiPriority w:val="99"/>
    <w:rsid w:val="001210B9"/>
    <w:pPr>
      <w:spacing w:after="160" w:line="288" w:lineRule="auto"/>
    </w:pPr>
    <w:rPr>
      <w:rFonts w:ascii="Arial" w:eastAsia="Times New Roman" w:hAnsi="Arial"/>
      <w:sz w:val="24"/>
      <w:szCs w:val="24"/>
      <w:lang w:eastAsia="en-GB"/>
    </w:rPr>
  </w:style>
  <w:style w:type="character" w:customStyle="1" w:styleId="CopyrightBoxChar">
    <w:name w:val="CopyrightBox Char"/>
    <w:link w:val="CopyrightBox"/>
    <w:uiPriority w:val="99"/>
    <w:locked/>
    <w:rsid w:val="001210B9"/>
    <w:rPr>
      <w:rFonts w:ascii="Arial" w:hAnsi="Arial"/>
      <w:sz w:val="24"/>
      <w:lang w:eastAsia="en-GB"/>
    </w:rPr>
  </w:style>
  <w:style w:type="character" w:styleId="CommentReference">
    <w:name w:val="annotation reference"/>
    <w:basedOn w:val="DefaultParagraphFont"/>
    <w:uiPriority w:val="99"/>
    <w:semiHidden/>
    <w:rsid w:val="001210B9"/>
    <w:rPr>
      <w:rFonts w:cs="Times New Roman"/>
      <w:sz w:val="16"/>
      <w:szCs w:val="16"/>
    </w:rPr>
  </w:style>
  <w:style w:type="paragraph" w:styleId="CommentText">
    <w:name w:val="annotation text"/>
    <w:basedOn w:val="Normal"/>
    <w:link w:val="CommentTextChar"/>
    <w:uiPriority w:val="99"/>
    <w:semiHidden/>
    <w:rsid w:val="001210B9"/>
    <w:pPr>
      <w:spacing w:after="160"/>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locked/>
    <w:rsid w:val="001210B9"/>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rsid w:val="001210B9"/>
    <w:pPr>
      <w:spacing w:after="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1210B9"/>
    <w:rPr>
      <w:rFonts w:ascii="Calibri" w:eastAsia="Times New Roman" w:hAnsi="Calibri"/>
      <w:b/>
      <w:bCs/>
    </w:rPr>
  </w:style>
  <w:style w:type="paragraph" w:customStyle="1" w:styleId="ListBullet1">
    <w:name w:val="List Bullet 1"/>
    <w:basedOn w:val="ListBullet"/>
    <w:uiPriority w:val="99"/>
    <w:rsid w:val="00950B6F"/>
    <w:pPr>
      <w:numPr>
        <w:numId w:val="0"/>
      </w:numPr>
      <w:tabs>
        <w:tab w:val="left" w:pos="426"/>
      </w:tabs>
      <w:spacing w:after="160" w:line="288" w:lineRule="auto"/>
      <w:contextualSpacing w:val="0"/>
    </w:pPr>
    <w:rPr>
      <w:rFonts w:ascii="Arial" w:eastAsia="Times New Roman" w:hAnsi="Arial"/>
      <w:szCs w:val="24"/>
      <w:lang w:eastAsia="en-GB"/>
    </w:rPr>
  </w:style>
  <w:style w:type="paragraph" w:styleId="ListBullet">
    <w:name w:val="List Bullet"/>
    <w:basedOn w:val="Normal"/>
    <w:uiPriority w:val="99"/>
    <w:semiHidden/>
    <w:rsid w:val="00950B6F"/>
    <w:pPr>
      <w:numPr>
        <w:numId w:val="8"/>
      </w:numPr>
      <w:contextualSpacing/>
    </w:pPr>
  </w:style>
  <w:style w:type="paragraph" w:styleId="Header">
    <w:name w:val="header"/>
    <w:basedOn w:val="Normal"/>
    <w:link w:val="HeaderChar"/>
    <w:uiPriority w:val="99"/>
    <w:rsid w:val="00950B6F"/>
    <w:pPr>
      <w:tabs>
        <w:tab w:val="center" w:pos="4513"/>
        <w:tab w:val="right" w:pos="9026"/>
      </w:tabs>
    </w:pPr>
  </w:style>
  <w:style w:type="character" w:customStyle="1" w:styleId="HeaderChar">
    <w:name w:val="Header Char"/>
    <w:basedOn w:val="DefaultParagraphFont"/>
    <w:link w:val="Header"/>
    <w:uiPriority w:val="99"/>
    <w:locked/>
    <w:rsid w:val="00950B6F"/>
    <w:rPr>
      <w:rFonts w:ascii="Calibri" w:eastAsia="Times New Roman" w:hAnsi="Calibri" w:cs="Times New Roman"/>
    </w:rPr>
  </w:style>
  <w:style w:type="paragraph" w:styleId="Footer">
    <w:name w:val="footer"/>
    <w:basedOn w:val="Normal"/>
    <w:link w:val="FooterChar"/>
    <w:uiPriority w:val="99"/>
    <w:rsid w:val="00950B6F"/>
    <w:pPr>
      <w:tabs>
        <w:tab w:val="center" w:pos="4513"/>
        <w:tab w:val="right" w:pos="9026"/>
      </w:tabs>
    </w:pPr>
  </w:style>
  <w:style w:type="character" w:customStyle="1" w:styleId="FooterChar">
    <w:name w:val="Footer Char"/>
    <w:basedOn w:val="DefaultParagraphFont"/>
    <w:link w:val="Footer"/>
    <w:uiPriority w:val="99"/>
    <w:locked/>
    <w:rsid w:val="00950B6F"/>
    <w:rPr>
      <w:rFonts w:ascii="Calibri" w:eastAsia="Times New Roman" w:hAnsi="Calibri" w:cs="Times New Roman"/>
    </w:rPr>
  </w:style>
  <w:style w:type="table" w:styleId="TableGrid">
    <w:name w:val="Table Grid"/>
    <w:basedOn w:val="TableNormal"/>
    <w:uiPriority w:val="99"/>
    <w:rsid w:val="00356766"/>
    <w:rPr>
      <w:rFonts w:ascii="Arial" w:eastAsia="Times New Roman"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fESOutNumbered">
    <w:name w:val="DfESOutNumbered"/>
    <w:basedOn w:val="Normal"/>
    <w:uiPriority w:val="99"/>
    <w:rsid w:val="000B3357"/>
    <w:pPr>
      <w:widowControl w:val="0"/>
      <w:numPr>
        <w:numId w:val="10"/>
      </w:numPr>
      <w:overflowPunct w:val="0"/>
      <w:autoSpaceDE w:val="0"/>
      <w:autoSpaceDN w:val="0"/>
      <w:adjustRightInd w:val="0"/>
      <w:spacing w:after="240"/>
      <w:textAlignment w:val="baseline"/>
    </w:pPr>
    <w:rPr>
      <w:rFonts w:ascii="Arial" w:hAnsi="Arial" w:cs="Arial"/>
      <w:szCs w:val="20"/>
    </w:rPr>
  </w:style>
  <w:style w:type="paragraph" w:customStyle="1" w:styleId="DfESBullets">
    <w:name w:val="DfESBullets"/>
    <w:basedOn w:val="Normal"/>
    <w:uiPriority w:val="99"/>
    <w:rsid w:val="000B3357"/>
    <w:pPr>
      <w:widowControl w:val="0"/>
      <w:spacing w:after="240"/>
      <w:ind w:left="720" w:hanging="360"/>
    </w:pPr>
    <w:rPr>
      <w:rFonts w:ascii="Arial" w:hAnsi="Arial" w:cs="Arial"/>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C5D694A71270240A865861113066BBD" ma:contentTypeVersion="9" ma:contentTypeDescription="For programme or project documents. Records retained for 10 years." ma:contentTypeScope="" ma:versionID="d9baed54020403d5ba6dc57363ce1f14">
  <xsd:schema xmlns:xsd="http://www.w3.org/2001/XMLSchema" xmlns:xs="http://www.w3.org/2001/XMLSchema" xmlns:p="http://schemas.microsoft.com/office/2006/metadata/properties" xmlns:ns1="http://schemas.microsoft.com/sharepoint/v3" xmlns:ns2="b8cb3cbd-ce5c-4a72-9da4-9013f91c5903" xmlns:ns3="24ce3790-063e-4046-b7b2-0df06329f553" targetNamespace="http://schemas.microsoft.com/office/2006/metadata/properties" ma:root="true" ma:fieldsID="0b62b1b822d03acad9645249c9765332" ns1:_="" ns2:_="" ns3:_="">
    <xsd:import namespace="http://schemas.microsoft.com/sharepoint/v3"/>
    <xsd:import namespace="b8cb3cbd-ce5c-4a72-9da4-9013f91c5903"/>
    <xsd:import namespace="24ce3790-063e-4046-b7b2-0df06329f55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99acc7f6-8727-4cca-aa55-bbde6227a2d6}" ma:internalName="TaxCatchAll" ma:showField="CatchAllData" ma:web="24ce3790-063e-4046-b7b2-0df06329f55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9acc7f6-8727-4cca-aa55-bbde6227a2d6}" ma:internalName="TaxCatchAllLabel" ma:readOnly="true" ma:showField="CatchAllDataLabel" ma:web="24ce3790-063e-4046-b7b2-0df06329f5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e3790-063e-4046-b7b2-0df06329f55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EFA|4a323c2c-9aef-47e8-b09b-131faf9bac1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EFA|f55057f6-e680-4dd8-a168-9494a8b9b0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WPFunctionTaxHTField0 xmlns="24ce3790-063e-4046-b7b2-0df06329f553">
      <Terms xmlns="http://schemas.microsoft.com/office/infopath/2007/PartnerControls"/>
    </IWPFunctionTaxHTField0>
    <IWPContributor xmlns="24ce3790-063e-4046-b7b2-0df06329f553">
      <UserInfo>
        <DisplayName/>
        <AccountId xsi:nil="true"/>
        <AccountType/>
      </UserInfo>
    </IWPContributor>
    <IWPSiteTypeTaxHTField0 xmlns="24ce3790-063e-4046-b7b2-0df06329f553">
      <Terms xmlns="http://schemas.microsoft.com/office/infopath/2007/PartnerControls"/>
    </IWPSiteTypeTaxHTField0>
    <IWPRightsProtectiveMarkingTaxHTField0 xmlns="24ce3790-063e-4046-b7b2-0df06329f55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wner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4a323c2c-9aef-47e8-b09b-131faf9bac1c</TermId>
        </TermInfo>
      </Terms>
    </IWPOwnerTaxHTField0>
    <IWPSubjectTaxHTField0 xmlns="24ce3790-063e-4046-b7b2-0df06329f553">
      <Terms xmlns="http://schemas.microsoft.com/office/infopath/2007/PartnerControls"/>
    </IWPSubjectTaxHTField0>
    <IWPOrganisationalUnit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f55057f6-e680-4dd8-a168-9494a8b9b0ae</TermId>
        </TermInfo>
      </Terms>
    </IWPOrganisationalUnitTaxHTField0>
    <_dlc_DocId xmlns="b8cb3cbd-ce5c-4a72-9da4-9013f91c5903">QPZXZQEYUHNQ-4-6546</_dlc_DocId>
    <TaxCatchAll xmlns="b8cb3cbd-ce5c-4a72-9da4-9013f91c5903">
      <Value>4</Value>
      <Value>3</Value>
      <Value>2</Value>
    </TaxCatchAll>
    <_dlc_DocIdUrl xmlns="b8cb3cbd-ce5c-4a72-9da4-9013f91c5903">
      <Url>http://workplaces/sites/efaak/_layouts/DocIdRedir.aspx?ID=QPZXZQEYUHNQ-4-6546</Url>
      <Description>QPZXZQEYUHNQ-4-6546</Description>
    </_dlc_DocIdUrl>
    <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42B21-9EC3-4A41-BC16-29798DAC9CB7}"/>
</file>

<file path=customXml/itemProps2.xml><?xml version="1.0" encoding="utf-8"?>
<ds:datastoreItem xmlns:ds="http://schemas.openxmlformats.org/officeDocument/2006/customXml" ds:itemID="{6CB79D9E-97B9-4BA6-98AC-963B0CFA384A}"/>
</file>

<file path=customXml/itemProps3.xml><?xml version="1.0" encoding="utf-8"?>
<ds:datastoreItem xmlns:ds="http://schemas.openxmlformats.org/officeDocument/2006/customXml" ds:itemID="{DFAD63D7-83E5-4BB5-97DC-FE3B257160F8}"/>
</file>

<file path=customXml/itemProps4.xml><?xml version="1.0" encoding="utf-8"?>
<ds:datastoreItem xmlns:ds="http://schemas.openxmlformats.org/officeDocument/2006/customXml" ds:itemID="{A977A3D5-8183-4097-8CC3-CE4693DC3284}"/>
</file>

<file path=customXml/itemProps5.xml><?xml version="1.0" encoding="utf-8"?>
<ds:datastoreItem xmlns:ds="http://schemas.openxmlformats.org/officeDocument/2006/customXml" ds:itemID="{4C7DA760-09FC-4B7D-9D3B-AA1E8B841EA1}"/>
</file>

<file path=customXml/itemProps6.xml><?xml version="1.0" encoding="utf-8"?>
<ds:datastoreItem xmlns:ds="http://schemas.openxmlformats.org/officeDocument/2006/customXml" ds:itemID="{A977A3D5-8183-4097-8CC3-CE4693DC3284}"/>
</file>

<file path=docProps/app.xml><?xml version="1.0" encoding="utf-8"?>
<Properties xmlns="http://schemas.openxmlformats.org/officeDocument/2006/extended-properties" xmlns:vt="http://schemas.openxmlformats.org/officeDocument/2006/docPropsVTypes">
  <Template>Normal_Wordconv</Template>
  <TotalTime>2</TotalTime>
  <Pages>2</Pages>
  <Words>515</Words>
  <Characters>2937</Characters>
  <Application>Microsoft Office Outlook</Application>
  <DocSecurity>0</DocSecurity>
  <Lines>0</Lines>
  <Paragraphs>0</Paragraphs>
  <ScaleCrop>false</ScaleCrop>
  <Company>DfE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EFA template</dc:title>
  <dc:subject/>
  <dc:creator>WRAGG, Isabelle</dc:creator>
  <cp:keywords/>
  <dc:description/>
  <cp:lastModifiedBy>cdry</cp:lastModifiedBy>
  <cp:revision>2</cp:revision>
  <dcterms:created xsi:type="dcterms:W3CDTF">2013-09-06T14:52:00Z</dcterms:created>
  <dcterms:modified xsi:type="dcterms:W3CDTF">2013-09-06T14:52:00Z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0x0101007F645D6FBA204A029FECB8BFC6578C39005279853530254253B886E13194843F8A003AA4A7828D8545A79A93568015812350009C5D694A71270240A865861113066BBD</vt:lpwstr>
  </property>
  <property fmtid="{D5CDD505-2E9C-101B-9397-08002B2CF9AE}" pid="3" name="_dlc_DocIdItemGuid">
    <vt:lpwstr>e584807b-779f-4f60-80e2-d1f51e45ca46</vt:lpwstr>
  </property>
  <property fmtid="{D5CDD505-2E9C-101B-9397-08002B2CF9AE}" pid="4" name="IWPOrganisationalUnit">
    <vt:lpwstr>4;#EFA|f55057f6-e680-4dd8-a168-9494a8b9b0ae</vt:lpwstr>
  </property>
  <property fmtid="{D5CDD505-2E9C-101B-9397-08002B2CF9AE}" pid="5" name="IWPOwner">
    <vt:lpwstr>2;#EFA|4a323c2c-9aef-47e8-b09b-131faf9bac1c</vt:lpwstr>
  </property>
  <property fmtid="{D5CDD505-2E9C-101B-9397-08002B2CF9AE}" pid="6" name="IWPFunction">
    <vt:lpwstr/>
  </property>
  <property fmtid="{D5CDD505-2E9C-101B-9397-08002B2CF9AE}" pid="7" name="IWPRightsProtectiveMarking">
    <vt:lpwstr>3;#Unclassified|0884c477-2e62-47ea-b19c-5af6e91124c5</vt:lpwstr>
  </property>
  <property fmtid="{D5CDD505-2E9C-101B-9397-08002B2CF9AE}" pid="8" name="IWPSiteTypeTaxHTField0">
    <vt:lpwstr/>
  </property>
  <property fmtid="{D5CDD505-2E9C-101B-9397-08002B2CF9AE}" pid="9" name="TaxCatchAll">
    <vt:lpwstr>4;#;#3;#;#2;#</vt:lpwstr>
  </property>
  <property fmtid="{D5CDD505-2E9C-101B-9397-08002B2CF9AE}" pid="10" name="IWPContributor">
    <vt:lpwstr/>
  </property>
  <property fmtid="{D5CDD505-2E9C-101B-9397-08002B2CF9AE}" pid="11" name="IWPOrganisationalUnitTaxHTField0">
    <vt:lpwstr>EFAf55057f6-e680-4dd8-a168-9494a8b9b0ae</vt:lpwstr>
  </property>
  <property fmtid="{D5CDD505-2E9C-101B-9397-08002B2CF9AE}" pid="12" name="IWPFunctionTaxHTField0">
    <vt:lpwstr/>
  </property>
  <property fmtid="{D5CDD505-2E9C-101B-9397-08002B2CF9AE}" pid="13" name="IWPSubjectTaxHTField0">
    <vt:lpwstr/>
  </property>
  <property fmtid="{D5CDD505-2E9C-101B-9397-08002B2CF9AE}" pid="14" name="IWPOwnerTaxHTField0">
    <vt:lpwstr>EFA4a323c2c-9aef-47e8-b09b-131faf9bac1c</vt:lpwstr>
  </property>
  <property fmtid="{D5CDD505-2E9C-101B-9397-08002B2CF9AE}" pid="15" name="IWPRightsProtectiveMarkingTaxHTField0">
    <vt:lpwstr>Unclassified0884c477-2e62-47ea-b19c-5af6e91124c5</vt:lpwstr>
  </property>
  <property fmtid="{D5CDD505-2E9C-101B-9397-08002B2CF9AE}" pid="16" name="Comments">
    <vt:lpwstr/>
  </property>
  <property fmtid="{D5CDD505-2E9C-101B-9397-08002B2CF9AE}" pid="17" name="_dlc_DocId">
    <vt:lpwstr>QPZXZQEYUHNQ-4-6044</vt:lpwstr>
  </property>
  <property fmtid="{D5CDD505-2E9C-101B-9397-08002B2CF9AE}" pid="18" name="_dlc_DocIdUrl">
    <vt:lpwstr>http://workplaces/sites/efaak/_layouts/DocIdRedir.aspx?ID=QPZXZQEYUHNQ-4-6044, QPZXZQEYUHNQ-4-6044</vt:lpwstr>
  </property>
</Properties>
</file>