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2F" w:rsidRDefault="006A062F">
      <w:pPr>
        <w:pStyle w:val="Title"/>
        <w:rPr>
          <w:rFonts w:ascii="Calibri" w:hAnsi="Calibri"/>
        </w:rPr>
      </w:pPr>
      <w:bookmarkStart w:id="0" w:name="_GoBack"/>
      <w:bookmarkStart w:id="1" w:name="_Toc328752892"/>
      <w:bookmarkStart w:id="2" w:name="_Toc360802563"/>
      <w:bookmarkEnd w:id="0"/>
    </w:p>
    <w:p w:rsidR="006A062F" w:rsidRDefault="006A062F">
      <w:pPr>
        <w:pStyle w:val="Title"/>
        <w:rPr>
          <w:rFonts w:ascii="Calibri" w:hAnsi="Calibri"/>
        </w:rPr>
      </w:pPr>
    </w:p>
    <w:p w:rsidR="006A062F" w:rsidRDefault="006A062F">
      <w:pPr>
        <w:pStyle w:val="Title"/>
        <w:rPr>
          <w:rFonts w:ascii="Calibri" w:hAnsi="Calibri"/>
        </w:rPr>
      </w:pPr>
      <w:r>
        <w:rPr>
          <w:rFonts w:ascii="Calibri" w:hAnsi="Calibri"/>
        </w:rPr>
        <w:t>Greening Government: ICT Annual Report</w:t>
      </w:r>
    </w:p>
    <w:p w:rsidR="006A062F" w:rsidRDefault="006A062F">
      <w:pPr>
        <w:pStyle w:val="Title"/>
        <w:rPr>
          <w:rFonts w:ascii="Calibri" w:hAnsi="Calibri"/>
        </w:rPr>
      </w:pPr>
    </w:p>
    <w:p w:rsidR="006A062F" w:rsidRDefault="006A062F">
      <w:pPr>
        <w:pStyle w:val="Title"/>
        <w:rPr>
          <w:rFonts w:ascii="Calibri" w:hAnsi="Calibri"/>
        </w:rPr>
      </w:pPr>
      <w:r>
        <w:rPr>
          <w:rFonts w:ascii="Calibri" w:hAnsi="Calibri"/>
          <w:sz w:val="44"/>
          <w:szCs w:val="44"/>
        </w:rPr>
        <w:t>Reducing carbon. Reducing cost</w:t>
      </w:r>
    </w:p>
    <w:p w:rsidR="006A062F" w:rsidRDefault="006A062F"/>
    <w:p w:rsidR="006A062F" w:rsidRDefault="006A062F">
      <w:pPr>
        <w:rPr>
          <w:color w:val="4B116F"/>
          <w:sz w:val="36"/>
          <w:szCs w:val="36"/>
        </w:rPr>
      </w:pPr>
    </w:p>
    <w:p w:rsidR="006A062F" w:rsidRDefault="006A062F">
      <w:pPr>
        <w:rPr>
          <w:color w:val="4B116F"/>
          <w:sz w:val="36"/>
          <w:szCs w:val="36"/>
        </w:rPr>
      </w:pPr>
    </w:p>
    <w:p w:rsidR="006A062F" w:rsidRDefault="006A062F">
      <w:pPr>
        <w:rPr>
          <w:color w:val="4B116F"/>
          <w:sz w:val="36"/>
          <w:szCs w:val="36"/>
        </w:rPr>
      </w:pPr>
    </w:p>
    <w:p w:rsidR="006A062F" w:rsidRDefault="006A062F">
      <w:pPr>
        <w:rPr>
          <w:color w:val="4B116F"/>
          <w:sz w:val="36"/>
          <w:szCs w:val="36"/>
        </w:rPr>
      </w:pPr>
    </w:p>
    <w:p w:rsidR="006A062F" w:rsidRDefault="006A062F">
      <w:pPr>
        <w:rPr>
          <w:color w:val="4B116F"/>
          <w:sz w:val="36"/>
          <w:szCs w:val="36"/>
        </w:rPr>
      </w:pPr>
    </w:p>
    <w:p w:rsidR="006A062F" w:rsidRDefault="006A062F">
      <w:pPr>
        <w:rPr>
          <w:color w:val="4B116F"/>
          <w:sz w:val="36"/>
          <w:szCs w:val="36"/>
        </w:rPr>
        <w:sectPr w:rsidR="006A06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sectPr>
      </w:pPr>
      <w:r>
        <w:rPr>
          <w:color w:val="4B116F"/>
          <w:sz w:val="36"/>
          <w:szCs w:val="36"/>
        </w:rPr>
        <w:t>July 2013</w:t>
      </w:r>
    </w:p>
    <w:p w:rsidR="006A062F" w:rsidRPr="00912A73" w:rsidRDefault="006A062F" w:rsidP="00497D69">
      <w:pPr>
        <w:pStyle w:val="Heading1"/>
      </w:pPr>
      <w:bookmarkStart w:id="3" w:name="_Toc322959884"/>
      <w:bookmarkStart w:id="4" w:name="_Toc323021836"/>
      <w:bookmarkStart w:id="5" w:name="_Toc323030597"/>
      <w:bookmarkStart w:id="6" w:name="_Toc323030648"/>
      <w:bookmarkStart w:id="7" w:name="_Toc323030955"/>
      <w:bookmarkStart w:id="8" w:name="_Toc323290475"/>
      <w:bookmarkStart w:id="9" w:name="_Toc328752890"/>
      <w:bookmarkStart w:id="10" w:name="_Toc360802559"/>
      <w:r w:rsidRPr="00912A73">
        <w:t>1 Contents</w:t>
      </w:r>
      <w:bookmarkEnd w:id="3"/>
      <w:bookmarkEnd w:id="4"/>
      <w:bookmarkEnd w:id="5"/>
      <w:bookmarkEnd w:id="6"/>
      <w:bookmarkEnd w:id="7"/>
      <w:bookmarkEnd w:id="8"/>
      <w:bookmarkEnd w:id="9"/>
      <w:bookmarkEnd w:id="10"/>
      <w:r w:rsidRPr="00912A73">
        <w:t xml:space="preserve"> </w:t>
      </w:r>
    </w:p>
    <w:p w:rsidR="006A062F" w:rsidRPr="00313742" w:rsidRDefault="006A062F">
      <w:pPr>
        <w:pStyle w:val="TOC1"/>
        <w:rPr>
          <w:rFonts w:cs="Times New Roman"/>
          <w:b w:val="0"/>
          <w:noProof/>
          <w:sz w:val="32"/>
          <w:szCs w:val="32"/>
        </w:rPr>
      </w:pPr>
      <w:r w:rsidRPr="00313742">
        <w:rPr>
          <w:sz w:val="32"/>
          <w:szCs w:val="32"/>
        </w:rPr>
        <w:fldChar w:fldCharType="begin"/>
      </w:r>
      <w:r w:rsidRPr="00313742">
        <w:rPr>
          <w:sz w:val="32"/>
          <w:szCs w:val="32"/>
        </w:rPr>
        <w:instrText xml:space="preserve"> TOC \o "1-1" \h </w:instrText>
      </w:r>
      <w:r w:rsidRPr="00313742">
        <w:rPr>
          <w:sz w:val="32"/>
          <w:szCs w:val="32"/>
        </w:rPr>
        <w:fldChar w:fldCharType="separate"/>
      </w:r>
      <w:hyperlink w:anchor="_Toc360802559" w:history="1">
        <w:r w:rsidRPr="00313742">
          <w:rPr>
            <w:rStyle w:val="Hyperlink"/>
            <w:noProof/>
            <w:sz w:val="32"/>
            <w:szCs w:val="32"/>
          </w:rPr>
          <w:t>1 Contents</w:t>
        </w:r>
        <w:r w:rsidRPr="00313742">
          <w:rPr>
            <w:noProof/>
            <w:sz w:val="32"/>
            <w:szCs w:val="32"/>
          </w:rPr>
          <w:tab/>
        </w:r>
        <w:r w:rsidRPr="00313742">
          <w:rPr>
            <w:noProof/>
            <w:sz w:val="32"/>
            <w:szCs w:val="32"/>
          </w:rPr>
          <w:fldChar w:fldCharType="begin"/>
        </w:r>
        <w:r w:rsidRPr="00313742">
          <w:rPr>
            <w:noProof/>
            <w:sz w:val="32"/>
            <w:szCs w:val="32"/>
          </w:rPr>
          <w:instrText xml:space="preserve"> PAGEREF _Toc360802559 \h </w:instrText>
        </w:r>
        <w:r w:rsidRPr="006B4545">
          <w:rPr>
            <w:noProof/>
            <w:sz w:val="32"/>
            <w:szCs w:val="32"/>
          </w:rPr>
        </w:r>
        <w:r w:rsidRPr="00313742">
          <w:rPr>
            <w:noProof/>
            <w:sz w:val="32"/>
            <w:szCs w:val="32"/>
          </w:rPr>
          <w:fldChar w:fldCharType="separate"/>
        </w:r>
        <w:r>
          <w:rPr>
            <w:noProof/>
            <w:sz w:val="32"/>
            <w:szCs w:val="32"/>
          </w:rPr>
          <w:t>2</w:t>
        </w:r>
        <w:r w:rsidRPr="00313742">
          <w:rPr>
            <w:noProof/>
            <w:sz w:val="32"/>
            <w:szCs w:val="32"/>
          </w:rPr>
          <w:fldChar w:fldCharType="end"/>
        </w:r>
      </w:hyperlink>
    </w:p>
    <w:p w:rsidR="006A062F" w:rsidRPr="00313742" w:rsidRDefault="006A062F">
      <w:pPr>
        <w:pStyle w:val="TOC1"/>
        <w:rPr>
          <w:rFonts w:cs="Times New Roman"/>
          <w:b w:val="0"/>
          <w:noProof/>
          <w:sz w:val="32"/>
          <w:szCs w:val="32"/>
        </w:rPr>
      </w:pPr>
      <w:hyperlink w:anchor="_Toc360802560" w:history="1">
        <w:r w:rsidRPr="00313742">
          <w:rPr>
            <w:rStyle w:val="Hyperlink"/>
            <w:noProof/>
            <w:sz w:val="32"/>
            <w:szCs w:val="32"/>
          </w:rPr>
          <w:t>2 Foreword</w:t>
        </w:r>
        <w:r w:rsidRPr="00313742">
          <w:rPr>
            <w:noProof/>
            <w:sz w:val="32"/>
            <w:szCs w:val="32"/>
          </w:rPr>
          <w:tab/>
        </w:r>
        <w:r w:rsidRPr="00313742">
          <w:rPr>
            <w:noProof/>
            <w:sz w:val="32"/>
            <w:szCs w:val="32"/>
          </w:rPr>
          <w:fldChar w:fldCharType="begin"/>
        </w:r>
        <w:r w:rsidRPr="00313742">
          <w:rPr>
            <w:noProof/>
            <w:sz w:val="32"/>
            <w:szCs w:val="32"/>
          </w:rPr>
          <w:instrText xml:space="preserve"> PAGEREF _Toc360802560 \h </w:instrText>
        </w:r>
        <w:r w:rsidRPr="006B4545">
          <w:rPr>
            <w:noProof/>
            <w:sz w:val="32"/>
            <w:szCs w:val="32"/>
          </w:rPr>
        </w:r>
        <w:r w:rsidRPr="00313742">
          <w:rPr>
            <w:noProof/>
            <w:sz w:val="32"/>
            <w:szCs w:val="32"/>
          </w:rPr>
          <w:fldChar w:fldCharType="separate"/>
        </w:r>
        <w:r>
          <w:rPr>
            <w:noProof/>
            <w:sz w:val="32"/>
            <w:szCs w:val="32"/>
          </w:rPr>
          <w:t>3</w:t>
        </w:r>
        <w:r w:rsidRPr="00313742">
          <w:rPr>
            <w:noProof/>
            <w:sz w:val="32"/>
            <w:szCs w:val="32"/>
          </w:rPr>
          <w:fldChar w:fldCharType="end"/>
        </w:r>
      </w:hyperlink>
    </w:p>
    <w:p w:rsidR="006A062F" w:rsidRPr="00313742" w:rsidRDefault="006A062F">
      <w:pPr>
        <w:pStyle w:val="TOC1"/>
        <w:rPr>
          <w:rFonts w:cs="Times New Roman"/>
          <w:b w:val="0"/>
          <w:noProof/>
          <w:sz w:val="32"/>
          <w:szCs w:val="32"/>
        </w:rPr>
      </w:pPr>
      <w:hyperlink w:anchor="_Toc360802561" w:history="1">
        <w:r w:rsidRPr="00313742">
          <w:rPr>
            <w:rStyle w:val="Hyperlink"/>
            <w:noProof/>
            <w:sz w:val="32"/>
            <w:szCs w:val="32"/>
          </w:rPr>
          <w:t>3 Introduction</w:t>
        </w:r>
        <w:r w:rsidRPr="00313742">
          <w:rPr>
            <w:noProof/>
            <w:sz w:val="32"/>
            <w:szCs w:val="32"/>
          </w:rPr>
          <w:tab/>
        </w:r>
        <w:r w:rsidRPr="00313742">
          <w:rPr>
            <w:noProof/>
            <w:sz w:val="32"/>
            <w:szCs w:val="32"/>
          </w:rPr>
          <w:fldChar w:fldCharType="begin"/>
        </w:r>
        <w:r w:rsidRPr="00313742">
          <w:rPr>
            <w:noProof/>
            <w:sz w:val="32"/>
            <w:szCs w:val="32"/>
          </w:rPr>
          <w:instrText xml:space="preserve"> PAGEREF _Toc360802561 \h </w:instrText>
        </w:r>
        <w:r w:rsidRPr="006B4545">
          <w:rPr>
            <w:noProof/>
            <w:sz w:val="32"/>
            <w:szCs w:val="32"/>
          </w:rPr>
        </w:r>
        <w:r w:rsidRPr="00313742">
          <w:rPr>
            <w:noProof/>
            <w:sz w:val="32"/>
            <w:szCs w:val="32"/>
          </w:rPr>
          <w:fldChar w:fldCharType="separate"/>
        </w:r>
        <w:r>
          <w:rPr>
            <w:noProof/>
            <w:sz w:val="32"/>
            <w:szCs w:val="32"/>
          </w:rPr>
          <w:t>3</w:t>
        </w:r>
        <w:r w:rsidRPr="00313742">
          <w:rPr>
            <w:noProof/>
            <w:sz w:val="32"/>
            <w:szCs w:val="32"/>
          </w:rPr>
          <w:fldChar w:fldCharType="end"/>
        </w:r>
      </w:hyperlink>
    </w:p>
    <w:p w:rsidR="006A062F" w:rsidRPr="00313742" w:rsidRDefault="006A062F">
      <w:pPr>
        <w:pStyle w:val="TOC1"/>
        <w:rPr>
          <w:rFonts w:cs="Times New Roman"/>
          <w:b w:val="0"/>
          <w:noProof/>
          <w:sz w:val="32"/>
          <w:szCs w:val="32"/>
        </w:rPr>
      </w:pPr>
      <w:hyperlink w:anchor="_Toc360802562" w:history="1">
        <w:r w:rsidRPr="00313742">
          <w:rPr>
            <w:rStyle w:val="Hyperlink"/>
            <w:noProof/>
            <w:sz w:val="32"/>
            <w:szCs w:val="32"/>
          </w:rPr>
          <w:t>4 Key highlights</w:t>
        </w:r>
        <w:r w:rsidRPr="00313742">
          <w:rPr>
            <w:noProof/>
            <w:sz w:val="32"/>
            <w:szCs w:val="32"/>
          </w:rPr>
          <w:tab/>
        </w:r>
        <w:r w:rsidRPr="00313742">
          <w:rPr>
            <w:noProof/>
            <w:sz w:val="32"/>
            <w:szCs w:val="32"/>
          </w:rPr>
          <w:fldChar w:fldCharType="begin"/>
        </w:r>
        <w:r w:rsidRPr="00313742">
          <w:rPr>
            <w:noProof/>
            <w:sz w:val="32"/>
            <w:szCs w:val="32"/>
          </w:rPr>
          <w:instrText xml:space="preserve"> PAGEREF _Toc360802562 \h </w:instrText>
        </w:r>
        <w:r w:rsidRPr="006B4545">
          <w:rPr>
            <w:noProof/>
            <w:sz w:val="32"/>
            <w:szCs w:val="32"/>
          </w:rPr>
        </w:r>
        <w:r w:rsidRPr="00313742">
          <w:rPr>
            <w:noProof/>
            <w:sz w:val="32"/>
            <w:szCs w:val="32"/>
          </w:rPr>
          <w:fldChar w:fldCharType="separate"/>
        </w:r>
        <w:r>
          <w:rPr>
            <w:noProof/>
            <w:sz w:val="32"/>
            <w:szCs w:val="32"/>
          </w:rPr>
          <w:t>3</w:t>
        </w:r>
        <w:r w:rsidRPr="00313742">
          <w:rPr>
            <w:noProof/>
            <w:sz w:val="32"/>
            <w:szCs w:val="32"/>
          </w:rPr>
          <w:fldChar w:fldCharType="end"/>
        </w:r>
      </w:hyperlink>
    </w:p>
    <w:p w:rsidR="006A062F" w:rsidRPr="00313742" w:rsidRDefault="006A062F" w:rsidP="006B5C18">
      <w:pPr>
        <w:pStyle w:val="TOC1"/>
        <w:rPr>
          <w:rFonts w:cs="Times New Roman"/>
          <w:b w:val="0"/>
          <w:noProof/>
          <w:sz w:val="32"/>
          <w:szCs w:val="32"/>
        </w:rPr>
      </w:pPr>
      <w:hyperlink w:anchor="_Toc360802563" w:history="1">
        <w:r>
          <w:rPr>
            <w:rStyle w:val="Hyperlink"/>
            <w:noProof/>
            <w:sz w:val="32"/>
            <w:szCs w:val="32"/>
          </w:rPr>
          <w:t>5</w:t>
        </w:r>
        <w:r w:rsidRPr="00313742">
          <w:rPr>
            <w:rStyle w:val="Hyperlink"/>
            <w:noProof/>
            <w:sz w:val="32"/>
            <w:szCs w:val="32"/>
          </w:rPr>
          <w:t xml:space="preserve"> </w:t>
        </w:r>
        <w:r>
          <w:rPr>
            <w:rStyle w:val="Hyperlink"/>
            <w:noProof/>
            <w:sz w:val="32"/>
            <w:szCs w:val="32"/>
          </w:rPr>
          <w:t>Key challenges</w:t>
        </w:r>
        <w:r w:rsidRPr="00313742">
          <w:rPr>
            <w:noProof/>
            <w:sz w:val="32"/>
            <w:szCs w:val="32"/>
          </w:rPr>
          <w:tab/>
        </w:r>
        <w:r>
          <w:rPr>
            <w:noProof/>
            <w:sz w:val="32"/>
            <w:szCs w:val="32"/>
          </w:rPr>
          <w:t>7</w:t>
        </w:r>
      </w:hyperlink>
    </w:p>
    <w:p w:rsidR="006A062F" w:rsidRPr="00313742" w:rsidRDefault="006A062F">
      <w:pPr>
        <w:pStyle w:val="TOC1"/>
        <w:rPr>
          <w:rFonts w:cs="Times New Roman"/>
          <w:b w:val="0"/>
          <w:noProof/>
          <w:sz w:val="32"/>
          <w:szCs w:val="32"/>
        </w:rPr>
      </w:pPr>
      <w:hyperlink w:anchor="_Toc360802563" w:history="1">
        <w:r w:rsidRPr="00313742">
          <w:rPr>
            <w:rStyle w:val="Hyperlink"/>
            <w:noProof/>
            <w:sz w:val="32"/>
            <w:szCs w:val="32"/>
          </w:rPr>
          <w:t>6 Maturity model assessment</w:t>
        </w:r>
        <w:r w:rsidRPr="00313742">
          <w:rPr>
            <w:noProof/>
            <w:sz w:val="32"/>
            <w:szCs w:val="32"/>
          </w:rPr>
          <w:tab/>
        </w:r>
        <w:r w:rsidRPr="00313742">
          <w:rPr>
            <w:noProof/>
            <w:sz w:val="32"/>
            <w:szCs w:val="32"/>
          </w:rPr>
          <w:fldChar w:fldCharType="begin"/>
        </w:r>
        <w:r w:rsidRPr="00313742">
          <w:rPr>
            <w:noProof/>
            <w:sz w:val="32"/>
            <w:szCs w:val="32"/>
          </w:rPr>
          <w:instrText xml:space="preserve"> PAGEREF _Toc360802563 \h </w:instrText>
        </w:r>
        <w:r w:rsidRPr="006B4545">
          <w:rPr>
            <w:noProof/>
            <w:sz w:val="32"/>
            <w:szCs w:val="32"/>
          </w:rPr>
        </w:r>
        <w:r w:rsidRPr="00313742">
          <w:rPr>
            <w:noProof/>
            <w:sz w:val="32"/>
            <w:szCs w:val="32"/>
          </w:rPr>
          <w:fldChar w:fldCharType="separate"/>
        </w:r>
        <w:r>
          <w:rPr>
            <w:noProof/>
            <w:sz w:val="32"/>
            <w:szCs w:val="32"/>
          </w:rPr>
          <w:t>1</w:t>
        </w:r>
        <w:r w:rsidRPr="00313742">
          <w:rPr>
            <w:noProof/>
            <w:sz w:val="32"/>
            <w:szCs w:val="32"/>
          </w:rPr>
          <w:fldChar w:fldCharType="end"/>
        </w:r>
      </w:hyperlink>
    </w:p>
    <w:p w:rsidR="006A062F" w:rsidRPr="00313742" w:rsidRDefault="006A062F">
      <w:pPr>
        <w:pStyle w:val="TOC1"/>
        <w:rPr>
          <w:rFonts w:cs="Times New Roman"/>
          <w:b w:val="0"/>
          <w:noProof/>
          <w:sz w:val="32"/>
          <w:szCs w:val="32"/>
        </w:rPr>
      </w:pPr>
      <w:hyperlink w:anchor="_Toc360802564" w:history="1">
        <w:r w:rsidRPr="00313742">
          <w:rPr>
            <w:rStyle w:val="Hyperlink"/>
            <w:noProof/>
            <w:sz w:val="32"/>
            <w:szCs w:val="32"/>
          </w:rPr>
          <w:t>7 Roadmap assessment</w:t>
        </w:r>
        <w:r w:rsidRPr="00313742">
          <w:rPr>
            <w:noProof/>
            <w:sz w:val="32"/>
            <w:szCs w:val="32"/>
          </w:rPr>
          <w:tab/>
        </w:r>
        <w:r w:rsidRPr="00313742">
          <w:rPr>
            <w:noProof/>
            <w:sz w:val="32"/>
            <w:szCs w:val="32"/>
          </w:rPr>
          <w:fldChar w:fldCharType="begin"/>
        </w:r>
        <w:r w:rsidRPr="00313742">
          <w:rPr>
            <w:noProof/>
            <w:sz w:val="32"/>
            <w:szCs w:val="32"/>
          </w:rPr>
          <w:instrText xml:space="preserve"> PAGEREF _Toc360802564 \h </w:instrText>
        </w:r>
        <w:r w:rsidRPr="006B4545">
          <w:rPr>
            <w:noProof/>
            <w:sz w:val="32"/>
            <w:szCs w:val="32"/>
          </w:rPr>
        </w:r>
        <w:r w:rsidRPr="00313742">
          <w:rPr>
            <w:noProof/>
            <w:sz w:val="32"/>
            <w:szCs w:val="32"/>
          </w:rPr>
          <w:fldChar w:fldCharType="separate"/>
        </w:r>
        <w:r>
          <w:rPr>
            <w:noProof/>
            <w:sz w:val="32"/>
            <w:szCs w:val="32"/>
          </w:rPr>
          <w:t>3</w:t>
        </w:r>
        <w:r w:rsidRPr="00313742">
          <w:rPr>
            <w:noProof/>
            <w:sz w:val="32"/>
            <w:szCs w:val="32"/>
          </w:rPr>
          <w:fldChar w:fldCharType="end"/>
        </w:r>
      </w:hyperlink>
    </w:p>
    <w:p w:rsidR="006A062F" w:rsidRPr="00313742" w:rsidRDefault="006A062F">
      <w:pPr>
        <w:pStyle w:val="TOC1"/>
        <w:rPr>
          <w:rFonts w:cs="Times New Roman"/>
          <w:b w:val="0"/>
          <w:noProof/>
          <w:sz w:val="32"/>
          <w:szCs w:val="32"/>
        </w:rPr>
      </w:pPr>
      <w:hyperlink w:anchor="_Toc360802565" w:history="1">
        <w:r w:rsidRPr="00313742">
          <w:rPr>
            <w:rStyle w:val="Hyperlink"/>
            <w:noProof/>
            <w:sz w:val="32"/>
            <w:szCs w:val="32"/>
          </w:rPr>
          <w:t>8 Assessments of the operational energy use of IT</w:t>
        </w:r>
        <w:r w:rsidRPr="00313742">
          <w:rPr>
            <w:noProof/>
            <w:sz w:val="32"/>
            <w:szCs w:val="32"/>
          </w:rPr>
          <w:tab/>
        </w:r>
        <w:r w:rsidRPr="00313742">
          <w:rPr>
            <w:noProof/>
            <w:sz w:val="32"/>
            <w:szCs w:val="32"/>
          </w:rPr>
          <w:fldChar w:fldCharType="begin"/>
        </w:r>
        <w:r w:rsidRPr="00313742">
          <w:rPr>
            <w:noProof/>
            <w:sz w:val="32"/>
            <w:szCs w:val="32"/>
          </w:rPr>
          <w:instrText xml:space="preserve"> PAGEREF _Toc360802565 \h </w:instrText>
        </w:r>
        <w:r w:rsidRPr="006B4545">
          <w:rPr>
            <w:noProof/>
            <w:sz w:val="32"/>
            <w:szCs w:val="32"/>
          </w:rPr>
        </w:r>
        <w:r w:rsidRPr="00313742">
          <w:rPr>
            <w:noProof/>
            <w:sz w:val="32"/>
            <w:szCs w:val="32"/>
          </w:rPr>
          <w:fldChar w:fldCharType="separate"/>
        </w:r>
        <w:r>
          <w:rPr>
            <w:noProof/>
            <w:sz w:val="32"/>
            <w:szCs w:val="32"/>
          </w:rPr>
          <w:t>3</w:t>
        </w:r>
        <w:r w:rsidRPr="00313742">
          <w:rPr>
            <w:noProof/>
            <w:sz w:val="32"/>
            <w:szCs w:val="32"/>
          </w:rPr>
          <w:fldChar w:fldCharType="end"/>
        </w:r>
      </w:hyperlink>
    </w:p>
    <w:p w:rsidR="006A062F" w:rsidRPr="00313742" w:rsidRDefault="006A062F">
      <w:pPr>
        <w:pStyle w:val="TOC1"/>
        <w:rPr>
          <w:rFonts w:cs="Times New Roman"/>
          <w:b w:val="0"/>
          <w:noProof/>
          <w:sz w:val="32"/>
          <w:szCs w:val="32"/>
        </w:rPr>
      </w:pPr>
      <w:hyperlink w:anchor="_Toc360802566" w:history="1">
        <w:r w:rsidRPr="00313742">
          <w:rPr>
            <w:rStyle w:val="Hyperlink"/>
            <w:noProof/>
            <w:sz w:val="32"/>
            <w:szCs w:val="32"/>
          </w:rPr>
          <w:t>9 Case studies</w:t>
        </w:r>
        <w:r w:rsidRPr="00313742">
          <w:rPr>
            <w:noProof/>
            <w:sz w:val="32"/>
            <w:szCs w:val="32"/>
          </w:rPr>
          <w:tab/>
        </w:r>
        <w:r w:rsidRPr="00313742">
          <w:rPr>
            <w:noProof/>
            <w:sz w:val="32"/>
            <w:szCs w:val="32"/>
          </w:rPr>
          <w:fldChar w:fldCharType="begin"/>
        </w:r>
        <w:r w:rsidRPr="00313742">
          <w:rPr>
            <w:noProof/>
            <w:sz w:val="32"/>
            <w:szCs w:val="32"/>
          </w:rPr>
          <w:instrText xml:space="preserve"> PAGEREF _Toc360802566 \h </w:instrText>
        </w:r>
        <w:r w:rsidRPr="006B4545">
          <w:rPr>
            <w:noProof/>
            <w:sz w:val="32"/>
            <w:szCs w:val="32"/>
          </w:rPr>
        </w:r>
        <w:r w:rsidRPr="00313742">
          <w:rPr>
            <w:noProof/>
            <w:sz w:val="32"/>
            <w:szCs w:val="32"/>
          </w:rPr>
          <w:fldChar w:fldCharType="separate"/>
        </w:r>
        <w:r>
          <w:rPr>
            <w:noProof/>
            <w:sz w:val="32"/>
            <w:szCs w:val="32"/>
          </w:rPr>
          <w:t>3</w:t>
        </w:r>
        <w:r w:rsidRPr="00313742">
          <w:rPr>
            <w:noProof/>
            <w:sz w:val="32"/>
            <w:szCs w:val="32"/>
          </w:rPr>
          <w:fldChar w:fldCharType="end"/>
        </w:r>
      </w:hyperlink>
    </w:p>
    <w:p w:rsidR="006A062F" w:rsidRPr="00313742" w:rsidRDefault="006A062F">
      <w:pPr>
        <w:pStyle w:val="TOC1"/>
        <w:rPr>
          <w:rFonts w:cs="Times New Roman"/>
          <w:b w:val="0"/>
          <w:noProof/>
          <w:sz w:val="32"/>
          <w:szCs w:val="32"/>
        </w:rPr>
      </w:pPr>
      <w:hyperlink w:anchor="_Toc360802567" w:history="1">
        <w:r w:rsidRPr="00313742">
          <w:rPr>
            <w:rStyle w:val="Hyperlink"/>
            <w:noProof/>
            <w:sz w:val="32"/>
            <w:szCs w:val="32"/>
          </w:rPr>
          <w:t>10 Forward look</w:t>
        </w:r>
        <w:r w:rsidRPr="00313742">
          <w:rPr>
            <w:noProof/>
            <w:sz w:val="32"/>
            <w:szCs w:val="32"/>
          </w:rPr>
          <w:tab/>
        </w:r>
        <w:r w:rsidRPr="00313742">
          <w:rPr>
            <w:noProof/>
            <w:sz w:val="32"/>
            <w:szCs w:val="32"/>
          </w:rPr>
          <w:fldChar w:fldCharType="begin"/>
        </w:r>
        <w:r w:rsidRPr="00313742">
          <w:rPr>
            <w:noProof/>
            <w:sz w:val="32"/>
            <w:szCs w:val="32"/>
          </w:rPr>
          <w:instrText xml:space="preserve"> PAGEREF _Toc360802567 \h </w:instrText>
        </w:r>
        <w:r w:rsidRPr="006B4545">
          <w:rPr>
            <w:noProof/>
            <w:sz w:val="32"/>
            <w:szCs w:val="32"/>
          </w:rPr>
        </w:r>
        <w:r w:rsidRPr="00313742">
          <w:rPr>
            <w:noProof/>
            <w:sz w:val="32"/>
            <w:szCs w:val="32"/>
          </w:rPr>
          <w:fldChar w:fldCharType="separate"/>
        </w:r>
        <w:r>
          <w:rPr>
            <w:noProof/>
            <w:sz w:val="32"/>
            <w:szCs w:val="32"/>
          </w:rPr>
          <w:t>3</w:t>
        </w:r>
        <w:r w:rsidRPr="00313742">
          <w:rPr>
            <w:noProof/>
            <w:sz w:val="32"/>
            <w:szCs w:val="32"/>
          </w:rPr>
          <w:fldChar w:fldCharType="end"/>
        </w:r>
      </w:hyperlink>
    </w:p>
    <w:p w:rsidR="006A062F" w:rsidRPr="00313742" w:rsidRDefault="006A062F" w:rsidP="009974DD">
      <w:pPr>
        <w:pStyle w:val="TOC1"/>
        <w:rPr>
          <w:sz w:val="32"/>
          <w:szCs w:val="32"/>
        </w:rPr>
      </w:pPr>
      <w:r w:rsidRPr="00313742">
        <w:rPr>
          <w:sz w:val="32"/>
          <w:szCs w:val="32"/>
        </w:rPr>
        <w:fldChar w:fldCharType="end"/>
      </w:r>
    </w:p>
    <w:p w:rsidR="006A062F" w:rsidRDefault="006A062F">
      <w:pPr>
        <w:sectPr w:rsidR="006A062F">
          <w:headerReference w:type="default" r:id="rId13"/>
          <w:footerReference w:type="default" r:id="rId14"/>
          <w:pgSz w:w="11906" w:h="16838"/>
          <w:pgMar w:top="1440" w:right="1440" w:bottom="1440" w:left="1440" w:header="720" w:footer="720" w:gutter="0"/>
          <w:cols w:space="720"/>
        </w:sectPr>
      </w:pPr>
    </w:p>
    <w:p w:rsidR="006A062F" w:rsidRPr="00912A73" w:rsidRDefault="006A062F" w:rsidP="00497D69">
      <w:pPr>
        <w:pStyle w:val="Heading1"/>
      </w:pPr>
      <w:bookmarkStart w:id="11" w:name="_Toc328752891"/>
      <w:bookmarkStart w:id="12" w:name="_Toc360802560"/>
      <w:r w:rsidRPr="00912A73">
        <w:t>2 Foreword</w:t>
      </w:r>
      <w:bookmarkEnd w:id="11"/>
      <w:bookmarkEnd w:id="12"/>
    </w:p>
    <w:p w:rsidR="006A062F" w:rsidRDefault="006A062F">
      <w:pPr>
        <w:rPr>
          <w:sz w:val="28"/>
          <w:szCs w:val="28"/>
        </w:rPr>
      </w:pPr>
      <w:r>
        <w:rPr>
          <w:sz w:val="28"/>
          <w:szCs w:val="28"/>
        </w:rPr>
        <w:t xml:space="preserve">Last year we published the first Greening Government Information and Communications Technology </w:t>
      </w:r>
      <w:r w:rsidRPr="005912F7">
        <w:rPr>
          <w:sz w:val="28"/>
          <w:szCs w:val="28"/>
        </w:rPr>
        <w:t>(ICT) annual report showing</w:t>
      </w:r>
      <w:r>
        <w:rPr>
          <w:sz w:val="28"/>
          <w:szCs w:val="28"/>
        </w:rPr>
        <w:t xml:space="preserve"> progress made since the </w:t>
      </w:r>
      <w:r w:rsidRPr="00E6658B">
        <w:rPr>
          <w:sz w:val="28"/>
          <w:szCs w:val="28"/>
        </w:rPr>
        <w:t>Greening Government ICT strategy was published. 2012 was the first time that central government departments assessed their own maturity of how green their technology services are and we published a summary of those results. This year the process is more embedded in departments and as a result we have seen an increase in the information we have about green IT in government and an increase in the maturity of departments. It is a testament to the work by Chief Information Officers (CIOs) and information technology (IT) staff in government that some departments have reached the target maturity level of Level 3 two years in advance of the target.</w:t>
      </w:r>
    </w:p>
    <w:p w:rsidR="006A062F" w:rsidRDefault="006A062F">
      <w:pPr>
        <w:rPr>
          <w:sz w:val="28"/>
          <w:szCs w:val="28"/>
        </w:rPr>
      </w:pPr>
      <w:r>
        <w:rPr>
          <w:sz w:val="28"/>
          <w:szCs w:val="28"/>
        </w:rPr>
        <w:t>Of course we are keen to be greener, not only to save on emissions, water and waste, but also to save money wherever possible. Having green IT is more efficient, efficiency leads to cost savings and yet again this year departments are able to attribute savings to the work government has done to make its IT greener.</w:t>
      </w:r>
    </w:p>
    <w:p w:rsidR="006A062F" w:rsidRDefault="006A062F">
      <w:pPr>
        <w:rPr>
          <w:sz w:val="28"/>
          <w:szCs w:val="28"/>
        </w:rPr>
      </w:pPr>
      <w:r>
        <w:rPr>
          <w:sz w:val="28"/>
          <w:szCs w:val="28"/>
        </w:rPr>
        <w:t>Green IT can also play its part in reforming the civil service and introducing more modern ways of working like web conferencing and using remote collaboration tools. Departments have told us they are doing this and saving on travel costs and emissions related to travel.</w:t>
      </w:r>
    </w:p>
    <w:p w:rsidR="006A062F" w:rsidRDefault="006A062F">
      <w:r>
        <w:rPr>
          <w:sz w:val="28"/>
          <w:szCs w:val="28"/>
        </w:rPr>
        <w:t>Government IT is on a journey of rapid change including the use of better, cheaper, commodity and cloud-based services. Green is still hugely important as part of this journey and we appreciate the opportunity to demonstrate the progress made over the last year in this report.</w:t>
      </w:r>
    </w:p>
    <w:p w:rsidR="006A062F" w:rsidRDefault="006A062F">
      <w:pPr>
        <w:jc w:val="center"/>
      </w:pPr>
      <w:r w:rsidRPr="002118A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efficient-ict-conference.co.uk/img/stock/speakers/jrigby.jpg" style="width:62.25pt;height:71.25pt;visibility:visible">
            <v:imagedata r:id="rId15" o:title="" croptop="4756f" cropbottom="5722f" cropleft="6213f" cropright="4271f" blacklevel="-1966f"/>
          </v:shape>
        </w:pict>
      </w:r>
    </w:p>
    <w:p w:rsidR="006A062F" w:rsidRPr="003D2ECB" w:rsidRDefault="006A062F">
      <w:pPr>
        <w:rPr>
          <w:rFonts w:cs="Arial"/>
          <w:b/>
        </w:rPr>
      </w:pPr>
      <w:smartTag w:uri="urn:schemas-microsoft-com:office:smarttags" w:element="PersonName">
        <w:r>
          <w:rPr>
            <w:rFonts w:cs="Arial"/>
            <w:b/>
          </w:rPr>
          <w:t>Jennifer Rigby</w:t>
        </w:r>
      </w:smartTag>
      <w:r>
        <w:rPr>
          <w:rFonts w:cs="Arial"/>
          <w:b/>
        </w:rPr>
        <w:t xml:space="preserve"> </w:t>
      </w:r>
      <w:r>
        <w:rPr>
          <w:rFonts w:cs="Arial"/>
          <w:b/>
        </w:rPr>
        <w:tab/>
      </w:r>
      <w:r>
        <w:rPr>
          <w:rFonts w:cs="Arial"/>
        </w:rPr>
        <w:t>Chair of the Green ICT Delivery Unit</w:t>
      </w:r>
    </w:p>
    <w:p w:rsidR="006A062F" w:rsidRDefault="006A062F">
      <w:pPr>
        <w:jc w:val="center"/>
      </w:pPr>
      <w:r w:rsidRPr="002118A2">
        <w:rPr>
          <w:rFonts w:cs="Arial"/>
          <w:noProof/>
          <w:lang w:val="en-US" w:eastAsia="en-US"/>
        </w:rPr>
        <w:pict>
          <v:shape id="Picture 2" o:spid="_x0000_i1026" type="#_x0000_t75" style="width:57pt;height:67.5pt;visibility:visible">
            <v:imagedata r:id="rId16" o:title="" croptop="5295f" cropbottom="24458f" cropleft="7647f" cropright="15774f" gain="69719f" blacklevel="-1966f"/>
          </v:shape>
        </w:pict>
      </w:r>
    </w:p>
    <w:p w:rsidR="006A062F" w:rsidRDefault="006A062F">
      <w:r>
        <w:rPr>
          <w:b/>
        </w:rPr>
        <w:t xml:space="preserve">John Taylor </w:t>
      </w:r>
      <w:r>
        <w:t xml:space="preserve">  SRO for Green ICT</w:t>
      </w:r>
    </w:p>
    <w:p w:rsidR="006A062F" w:rsidRDefault="006A062F">
      <w:pPr>
        <w:sectPr w:rsidR="006A062F">
          <w:headerReference w:type="default" r:id="rId17"/>
          <w:footerReference w:type="default" r:id="rId18"/>
          <w:pgSz w:w="11906" w:h="16838"/>
          <w:pgMar w:top="1440" w:right="1440" w:bottom="1440" w:left="1440" w:header="720" w:footer="720" w:gutter="0"/>
          <w:cols w:num="2" w:space="720" w:equalWidth="0">
            <w:col w:w="4153" w:space="720"/>
            <w:col w:w="4153"/>
          </w:cols>
        </w:sectPr>
      </w:pPr>
      <w:r>
        <w:t xml:space="preserve">CIO </w:t>
      </w:r>
      <w:smartTag w:uri="urn:schemas-microsoft-com:office:smarttags" w:element="PersonName">
        <w:r>
          <w:t>Min</w:t>
        </w:r>
      </w:smartTag>
      <w:r>
        <w:t>istry of Defence</w:t>
      </w:r>
    </w:p>
    <w:p w:rsidR="006A062F" w:rsidRDefault="006A062F" w:rsidP="00497D69">
      <w:pPr>
        <w:pStyle w:val="Heading1"/>
      </w:pPr>
      <w:bookmarkStart w:id="13" w:name="_Toc360802561"/>
      <w:r>
        <w:t>3 Introduction</w:t>
      </w:r>
      <w:bookmarkEnd w:id="1"/>
      <w:bookmarkEnd w:id="13"/>
      <w:r>
        <w:t xml:space="preserve"> </w:t>
      </w:r>
    </w:p>
    <w:p w:rsidR="006A062F" w:rsidRPr="00E273E9" w:rsidRDefault="006A062F" w:rsidP="00E273E9">
      <w:pPr>
        <w:rPr>
          <w:rFonts w:cs="Arial"/>
          <w:color w:val="000000"/>
          <w:sz w:val="28"/>
          <w:szCs w:val="28"/>
        </w:rPr>
      </w:pPr>
      <w:r w:rsidRPr="00CD51F0">
        <w:rPr>
          <w:rFonts w:cs="Arial"/>
          <w:color w:val="000000"/>
          <w:sz w:val="28"/>
          <w:szCs w:val="28"/>
        </w:rPr>
        <w:t xml:space="preserve">The annual report on </w:t>
      </w:r>
      <w:r>
        <w:rPr>
          <w:rFonts w:cs="Arial"/>
          <w:color w:val="000000"/>
          <w:sz w:val="28"/>
          <w:szCs w:val="28"/>
        </w:rPr>
        <w:t>g</w:t>
      </w:r>
      <w:r w:rsidRPr="00CD51F0">
        <w:rPr>
          <w:rFonts w:cs="Arial"/>
          <w:color w:val="000000"/>
          <w:sz w:val="28"/>
          <w:szCs w:val="28"/>
        </w:rPr>
        <w:t xml:space="preserve">reen IT for this year contains a lot of new information and </w:t>
      </w:r>
      <w:r>
        <w:rPr>
          <w:rFonts w:cs="Arial"/>
          <w:color w:val="000000"/>
          <w:sz w:val="28"/>
          <w:szCs w:val="28"/>
        </w:rPr>
        <w:t>builds</w:t>
      </w:r>
      <w:r w:rsidRPr="00CD51F0">
        <w:rPr>
          <w:rFonts w:cs="Arial"/>
          <w:color w:val="000000"/>
          <w:sz w:val="28"/>
          <w:szCs w:val="28"/>
        </w:rPr>
        <w:t xml:space="preserve"> on the measurements first published in last year’s report. D</w:t>
      </w:r>
      <w:r>
        <w:rPr>
          <w:rFonts w:cs="Arial"/>
          <w:color w:val="000000"/>
          <w:sz w:val="28"/>
          <w:szCs w:val="28"/>
        </w:rPr>
        <w:t xml:space="preserve">epartments have reported on </w:t>
      </w:r>
      <w:r w:rsidRPr="00CD51F0">
        <w:rPr>
          <w:rFonts w:cs="Arial"/>
          <w:color w:val="000000"/>
          <w:sz w:val="28"/>
          <w:szCs w:val="28"/>
        </w:rPr>
        <w:t xml:space="preserve">progress against the </w:t>
      </w:r>
      <w:r>
        <w:rPr>
          <w:rFonts w:cs="Arial"/>
          <w:color w:val="000000"/>
          <w:sz w:val="28"/>
          <w:szCs w:val="28"/>
        </w:rPr>
        <w:t>g</w:t>
      </w:r>
      <w:r w:rsidRPr="00CD51F0">
        <w:rPr>
          <w:rFonts w:cs="Arial"/>
          <w:color w:val="000000"/>
          <w:sz w:val="28"/>
          <w:szCs w:val="28"/>
        </w:rPr>
        <w:t xml:space="preserve">overnment </w:t>
      </w:r>
      <w:r>
        <w:rPr>
          <w:rFonts w:cs="Arial"/>
          <w:color w:val="000000"/>
          <w:sz w:val="28"/>
          <w:szCs w:val="28"/>
        </w:rPr>
        <w:t>g</w:t>
      </w:r>
      <w:r w:rsidRPr="00CD51F0">
        <w:rPr>
          <w:rFonts w:cs="Arial"/>
          <w:color w:val="000000"/>
          <w:sz w:val="28"/>
          <w:szCs w:val="28"/>
        </w:rPr>
        <w:t xml:space="preserve">reen IT </w:t>
      </w:r>
      <w:r>
        <w:rPr>
          <w:rFonts w:cs="Arial"/>
          <w:color w:val="000000"/>
          <w:sz w:val="28"/>
          <w:szCs w:val="28"/>
        </w:rPr>
        <w:t>m</w:t>
      </w:r>
      <w:r w:rsidRPr="00CD51F0">
        <w:rPr>
          <w:rFonts w:cs="Arial"/>
          <w:color w:val="000000"/>
          <w:sz w:val="28"/>
          <w:szCs w:val="28"/>
        </w:rPr>
        <w:t xml:space="preserve">aturity </w:t>
      </w:r>
      <w:r>
        <w:rPr>
          <w:rFonts w:cs="Arial"/>
          <w:color w:val="000000"/>
          <w:sz w:val="28"/>
          <w:szCs w:val="28"/>
        </w:rPr>
        <w:t>m</w:t>
      </w:r>
      <w:r w:rsidRPr="00CD51F0">
        <w:rPr>
          <w:rFonts w:cs="Arial"/>
          <w:color w:val="000000"/>
          <w:sz w:val="28"/>
          <w:szCs w:val="28"/>
        </w:rPr>
        <w:t xml:space="preserve">odel and </w:t>
      </w:r>
      <w:r>
        <w:rPr>
          <w:rFonts w:cs="Arial"/>
          <w:color w:val="000000"/>
          <w:sz w:val="28"/>
          <w:szCs w:val="28"/>
        </w:rPr>
        <w:t>r</w:t>
      </w:r>
      <w:r w:rsidRPr="00CD51F0">
        <w:rPr>
          <w:rFonts w:cs="Arial"/>
          <w:color w:val="000000"/>
          <w:sz w:val="28"/>
          <w:szCs w:val="28"/>
        </w:rPr>
        <w:t>oadmap</w:t>
      </w:r>
      <w:r>
        <w:rPr>
          <w:rFonts w:cs="Arial"/>
          <w:color w:val="000000"/>
          <w:sz w:val="28"/>
          <w:szCs w:val="28"/>
        </w:rPr>
        <w:t>, and</w:t>
      </w:r>
      <w:r w:rsidRPr="00CD51F0">
        <w:rPr>
          <w:rFonts w:cs="Arial"/>
          <w:color w:val="000000"/>
          <w:sz w:val="28"/>
          <w:szCs w:val="28"/>
        </w:rPr>
        <w:t xml:space="preserve"> </w:t>
      </w:r>
      <w:r>
        <w:rPr>
          <w:rFonts w:cs="Arial"/>
          <w:color w:val="000000"/>
          <w:sz w:val="28"/>
          <w:szCs w:val="28"/>
        </w:rPr>
        <w:t xml:space="preserve">adoption of </w:t>
      </w:r>
      <w:r w:rsidRPr="00CD51F0">
        <w:rPr>
          <w:rFonts w:cs="Arial"/>
          <w:color w:val="000000"/>
          <w:sz w:val="28"/>
          <w:szCs w:val="28"/>
        </w:rPr>
        <w:t>standards like the EU Code of Conduct</w:t>
      </w:r>
      <w:r>
        <w:rPr>
          <w:rFonts w:cs="Arial"/>
          <w:color w:val="000000"/>
          <w:sz w:val="28"/>
          <w:szCs w:val="28"/>
        </w:rPr>
        <w:t xml:space="preserve"> for Energy Efficient Data Centres. W</w:t>
      </w:r>
      <w:r w:rsidRPr="00CD51F0">
        <w:rPr>
          <w:rFonts w:cs="Arial"/>
          <w:color w:val="000000"/>
          <w:sz w:val="28"/>
          <w:szCs w:val="28"/>
        </w:rPr>
        <w:t xml:space="preserve">e can </w:t>
      </w:r>
      <w:r>
        <w:rPr>
          <w:rFonts w:cs="Arial"/>
          <w:color w:val="000000"/>
          <w:sz w:val="28"/>
          <w:szCs w:val="28"/>
        </w:rPr>
        <w:t xml:space="preserve">also </w:t>
      </w:r>
      <w:r w:rsidRPr="00CD51F0">
        <w:rPr>
          <w:rFonts w:cs="Arial"/>
          <w:color w:val="000000"/>
          <w:sz w:val="28"/>
          <w:szCs w:val="28"/>
        </w:rPr>
        <w:t xml:space="preserve">show how </w:t>
      </w:r>
      <w:r>
        <w:rPr>
          <w:rFonts w:cs="Arial"/>
          <w:color w:val="000000"/>
          <w:sz w:val="28"/>
          <w:szCs w:val="28"/>
        </w:rPr>
        <w:t>g</w:t>
      </w:r>
      <w:r w:rsidRPr="00CD51F0">
        <w:rPr>
          <w:rFonts w:cs="Arial"/>
          <w:color w:val="000000"/>
          <w:sz w:val="28"/>
          <w:szCs w:val="28"/>
        </w:rPr>
        <w:t xml:space="preserve">overnment is innovating to be greener and </w:t>
      </w:r>
      <w:r>
        <w:rPr>
          <w:rFonts w:cs="Arial"/>
          <w:color w:val="000000"/>
          <w:sz w:val="28"/>
          <w:szCs w:val="28"/>
        </w:rPr>
        <w:t xml:space="preserve">to </w:t>
      </w:r>
      <w:r w:rsidRPr="00CD51F0">
        <w:rPr>
          <w:rFonts w:cs="Arial"/>
          <w:color w:val="000000"/>
          <w:sz w:val="28"/>
          <w:szCs w:val="28"/>
        </w:rPr>
        <w:t xml:space="preserve">use better ways of working. Some of the many excellent case studies </w:t>
      </w:r>
      <w:r>
        <w:rPr>
          <w:rFonts w:cs="Arial"/>
          <w:color w:val="000000"/>
          <w:sz w:val="28"/>
          <w:szCs w:val="28"/>
        </w:rPr>
        <w:t>detailing</w:t>
      </w:r>
      <w:r w:rsidRPr="00CD51F0">
        <w:rPr>
          <w:rFonts w:cs="Arial"/>
          <w:color w:val="000000"/>
          <w:sz w:val="28"/>
          <w:szCs w:val="28"/>
        </w:rPr>
        <w:t xml:space="preserve"> how individual </w:t>
      </w:r>
      <w:r>
        <w:rPr>
          <w:rFonts w:cs="Arial"/>
          <w:color w:val="000000"/>
          <w:sz w:val="28"/>
          <w:szCs w:val="28"/>
        </w:rPr>
        <w:t>organisations are adopting green I</w:t>
      </w:r>
      <w:r w:rsidRPr="00CD51F0">
        <w:rPr>
          <w:rFonts w:cs="Arial"/>
          <w:color w:val="000000"/>
          <w:sz w:val="28"/>
          <w:szCs w:val="28"/>
        </w:rPr>
        <w:t xml:space="preserve">T principles and practices are also included to tell </w:t>
      </w:r>
      <w:r>
        <w:rPr>
          <w:rFonts w:cs="Arial"/>
          <w:color w:val="000000"/>
          <w:sz w:val="28"/>
          <w:szCs w:val="28"/>
        </w:rPr>
        <w:t>the story of green IT in g</w:t>
      </w:r>
      <w:r w:rsidRPr="00CD51F0">
        <w:rPr>
          <w:rFonts w:cs="Arial"/>
          <w:color w:val="000000"/>
          <w:sz w:val="28"/>
          <w:szCs w:val="28"/>
        </w:rPr>
        <w:t>overnment.</w:t>
      </w:r>
      <w:bookmarkStart w:id="14" w:name="_Toc328752893"/>
    </w:p>
    <w:p w:rsidR="006A062F" w:rsidRDefault="006A062F" w:rsidP="00497D69">
      <w:pPr>
        <w:pStyle w:val="Heading1"/>
      </w:pPr>
      <w:bookmarkStart w:id="15" w:name="_Toc360802562"/>
      <w:r>
        <w:t>4 Key highlights</w:t>
      </w:r>
      <w:bookmarkEnd w:id="14"/>
      <w:bookmarkEnd w:id="15"/>
      <w:r>
        <w:t xml:space="preserve"> </w:t>
      </w:r>
    </w:p>
    <w:p w:rsidR="006A062F" w:rsidRDefault="006A062F">
      <w:pPr>
        <w:pStyle w:val="Heading2"/>
        <w:rPr>
          <w:rFonts w:ascii="Calibri" w:hAnsi="Calibri"/>
          <w:b/>
          <w:sz w:val="32"/>
          <w:szCs w:val="32"/>
        </w:rPr>
      </w:pPr>
      <w:r>
        <w:rPr>
          <w:rFonts w:ascii="Calibri" w:hAnsi="Calibri"/>
          <w:b/>
          <w:sz w:val="32"/>
          <w:szCs w:val="32"/>
        </w:rPr>
        <w:t xml:space="preserve">Implementing the strategy </w:t>
      </w:r>
    </w:p>
    <w:p w:rsidR="006A062F" w:rsidRDefault="006A062F">
      <w:pPr>
        <w:rPr>
          <w:sz w:val="28"/>
          <w:szCs w:val="28"/>
        </w:rPr>
      </w:pPr>
      <w:r>
        <w:rPr>
          <w:noProof/>
          <w:lang w:val="en-US" w:eastAsia="en-US"/>
        </w:rPr>
        <w:pict>
          <v:rect id="Rectangle 2" o:spid="_x0000_s1026" style="position:absolute;margin-left:292.5pt;margin-top:392.3pt;width:195pt;height:195.75pt;flip:x;z-index:251658240;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" fillcolor="#4b116f" stroked="f">
            <v:shadow on="t" color="#205867" opacity=".5" offset="6pt,6pt"/>
            <v:textbox inset="21.6pt,21.6pt,21.6pt,21.6pt">
              <w:txbxContent>
                <w:p w:rsidR="006A062F" w:rsidRDefault="006A062F" w:rsidP="00FD7F2A">
                  <w:pPr>
                    <w:autoSpaceDE w:val="0"/>
                    <w:jc w:val="center"/>
                  </w:pPr>
                  <w:bookmarkStart w:id="16" w:name="_Toc323030653"/>
                  <w:bookmarkStart w:id="17" w:name="_Toc323030960"/>
                  <w:bookmarkStart w:id="18" w:name="_Toc323290480"/>
                  <w:bookmarkStart w:id="19" w:name="_Toc323030655"/>
                  <w:bookmarkStart w:id="20" w:name="_Toc323030962"/>
                  <w:bookmarkStart w:id="21" w:name="_Toc323290482"/>
                  <w:bookmarkEnd w:id="16"/>
                  <w:bookmarkEnd w:id="17"/>
                  <w:bookmarkEnd w:id="18"/>
                  <w:bookmarkEnd w:id="19"/>
                  <w:bookmarkEnd w:id="20"/>
                  <w:bookmarkEnd w:id="21"/>
                  <w:r>
                    <w:rPr>
                      <w:rFonts w:cs="Arial"/>
                      <w:color w:val="FFFFFF"/>
                    </w:rPr>
                    <w:t>The Green ICT Delivery Unit (GDU)</w:t>
                  </w:r>
                  <w:r>
                    <w:rPr>
                      <w:rFonts w:cs="Arial"/>
                      <w:bCs/>
                      <w:color w:val="FFFFFF"/>
                    </w:rPr>
                    <w:t xml:space="preserve"> </w:t>
                  </w:r>
                </w:p>
                <w:p w:rsidR="006A062F" w:rsidRDefault="006A062F" w:rsidP="00FD7F2A">
                  <w:pPr>
                    <w:autoSpaceDE w:val="0"/>
                  </w:pPr>
                  <w:r>
                    <w:rPr>
                      <w:rFonts w:cs="Arial"/>
                      <w:bCs/>
                      <w:color w:val="FFFFFF"/>
                    </w:rPr>
                    <w:t xml:space="preserve">A  forum of government and wider public sector green IT sustainability leads. It’s primary function </w:t>
                  </w:r>
                  <w:r>
                    <w:rPr>
                      <w:rFonts w:cs="Arial"/>
                      <w:bCs/>
                      <w:color w:val="FFFFFF"/>
                      <w:lang w:val="en-US"/>
                    </w:rPr>
                    <w:t xml:space="preserve">is to lead the development of the Greening Government ICT Strategy and drive forward its implementation. </w:t>
                  </w:r>
                </w:p>
                <w:p w:rsidR="006A062F" w:rsidRDefault="006A062F" w:rsidP="00FD7F2A">
                  <w:pPr>
                    <w:rPr>
                      <w:szCs w:val="20"/>
                    </w:rPr>
                  </w:pPr>
                </w:p>
              </w:txbxContent>
            </v:textbox>
            <w10:wrap type="square" anchorx="margin" anchory="margin"/>
          </v:rect>
        </w:pict>
      </w:r>
      <w:r w:rsidRPr="001671E8">
        <w:rPr>
          <w:sz w:val="28"/>
          <w:szCs w:val="28"/>
        </w:rPr>
        <w:t>Over the past year</w:t>
      </w:r>
      <w:r>
        <w:rPr>
          <w:sz w:val="28"/>
          <w:szCs w:val="28"/>
        </w:rPr>
        <w:t xml:space="preserve"> we have made significant progress in implementing the Greening Government ICT strategy. Not only have the roadmap and maturity model been adopted across government departments, but these departments now have plans in place to reach level 3 of the model, the government target is to meet level 3 by 2015. The average green IT maturity score for departments is now </w:t>
      </w:r>
      <w:r w:rsidRPr="00B37C41">
        <w:rPr>
          <w:b/>
          <w:sz w:val="36"/>
          <w:szCs w:val="36"/>
        </w:rPr>
        <w:t>2.</w:t>
      </w:r>
      <w:r>
        <w:rPr>
          <w:b/>
          <w:sz w:val="36"/>
          <w:szCs w:val="36"/>
        </w:rPr>
        <w:t>9</w:t>
      </w:r>
      <w:r>
        <w:rPr>
          <w:sz w:val="28"/>
          <w:szCs w:val="28"/>
        </w:rPr>
        <w:t xml:space="preserve"> compared to </w:t>
      </w:r>
      <w:r w:rsidRPr="001F173A">
        <w:rPr>
          <w:b/>
          <w:sz w:val="36"/>
          <w:szCs w:val="36"/>
        </w:rPr>
        <w:t>2.4</w:t>
      </w:r>
      <w:r>
        <w:rPr>
          <w:sz w:val="28"/>
          <w:szCs w:val="28"/>
        </w:rPr>
        <w:t xml:space="preserve"> last year.</w:t>
      </w:r>
    </w:p>
    <w:p w:rsidR="006A062F" w:rsidRDefault="006A062F" w:rsidP="00DC4FBB">
      <w:r>
        <w:rPr>
          <w:sz w:val="28"/>
          <w:szCs w:val="28"/>
        </w:rPr>
        <w:t>Progress has been made in measuring our technology related energy usage and in signing up to the EU Code of Conduct. The Green ICT Delivery Unit (GDU) continues to drive efficiencies and is looking to modernise ways of working using technology to reduce travel, improve collaboration and find better ways to reuse and recycle IT equipment.</w:t>
      </w:r>
    </w:p>
    <w:p w:rsidR="006A062F" w:rsidRPr="004A1408" w:rsidRDefault="006A062F" w:rsidP="00DC4FBB">
      <w:r w:rsidRPr="00912A73">
        <w:rPr>
          <w:rFonts w:cs="Arial"/>
          <w:b/>
          <w:color w:val="4B116F"/>
          <w:sz w:val="32"/>
          <w:szCs w:val="32"/>
        </w:rPr>
        <w:t>Data centre</w:t>
      </w:r>
      <w:r>
        <w:rPr>
          <w:rFonts w:cs="Arial"/>
          <w:b/>
          <w:color w:val="4B116F"/>
          <w:sz w:val="32"/>
          <w:szCs w:val="32"/>
        </w:rPr>
        <w:t>s</w:t>
      </w:r>
      <w:r w:rsidRPr="00912A73">
        <w:rPr>
          <w:rFonts w:cs="Arial"/>
          <w:b/>
          <w:color w:val="4B116F"/>
          <w:sz w:val="32"/>
          <w:szCs w:val="32"/>
        </w:rPr>
        <w:t xml:space="preserve"> </w:t>
      </w:r>
    </w:p>
    <w:p w:rsidR="006A062F" w:rsidRDefault="006A062F" w:rsidP="00FA72CF">
      <w:pPr>
        <w:suppressAutoHyphens w:val="0"/>
        <w:autoSpaceDN/>
        <w:contextualSpacing/>
        <w:textAlignment w:val="auto"/>
        <w:rPr>
          <w:rFonts w:cs="Calibri"/>
          <w:sz w:val="28"/>
          <w:szCs w:val="28"/>
        </w:rPr>
      </w:pPr>
      <w:r w:rsidRPr="00900BDA">
        <w:rPr>
          <w:rFonts w:cs="Calibri"/>
          <w:sz w:val="28"/>
          <w:szCs w:val="28"/>
        </w:rPr>
        <w:t>With the increase in the use of online services for government transactions, data centres are</w:t>
      </w:r>
      <w:r>
        <w:rPr>
          <w:rFonts w:cs="Calibri"/>
          <w:sz w:val="28"/>
          <w:szCs w:val="28"/>
        </w:rPr>
        <w:t xml:space="preserve"> a key focus of the GDU and </w:t>
      </w:r>
      <w:r w:rsidRPr="00900BDA">
        <w:rPr>
          <w:rFonts w:cs="Calibri"/>
          <w:sz w:val="28"/>
          <w:szCs w:val="28"/>
        </w:rPr>
        <w:t xml:space="preserve">government’s green IT strategy. </w:t>
      </w:r>
      <w:r>
        <w:rPr>
          <w:rFonts w:cs="Calibri"/>
          <w:b/>
          <w:sz w:val="36"/>
          <w:szCs w:val="36"/>
        </w:rPr>
        <w:t>Four</w:t>
      </w:r>
      <w:r w:rsidRPr="00900BDA">
        <w:rPr>
          <w:rFonts w:cs="Calibri"/>
          <w:sz w:val="28"/>
          <w:szCs w:val="28"/>
        </w:rPr>
        <w:t xml:space="preserve"> government de</w:t>
      </w:r>
      <w:r>
        <w:rPr>
          <w:rFonts w:cs="Calibri"/>
          <w:sz w:val="28"/>
          <w:szCs w:val="28"/>
        </w:rPr>
        <w:t>partments have endorsed the EU’s Code of C</w:t>
      </w:r>
      <w:r w:rsidRPr="00900BDA">
        <w:rPr>
          <w:rFonts w:cs="Calibri"/>
          <w:sz w:val="28"/>
          <w:szCs w:val="28"/>
        </w:rPr>
        <w:t>on</w:t>
      </w:r>
      <w:r>
        <w:rPr>
          <w:rFonts w:cs="Calibri"/>
          <w:sz w:val="28"/>
          <w:szCs w:val="28"/>
        </w:rPr>
        <w:t>duct for Data C</w:t>
      </w:r>
      <w:r w:rsidRPr="00900BDA">
        <w:rPr>
          <w:rFonts w:cs="Calibri"/>
          <w:sz w:val="28"/>
          <w:szCs w:val="28"/>
        </w:rPr>
        <w:t>entres</w:t>
      </w:r>
      <w:r>
        <w:rPr>
          <w:rStyle w:val="FootnoteReference"/>
          <w:sz w:val="28"/>
          <w:szCs w:val="28"/>
        </w:rPr>
        <w:footnoteReference w:id="1"/>
      </w:r>
      <w:r w:rsidRPr="00900BDA">
        <w:rPr>
          <w:rFonts w:cs="Calibri"/>
          <w:sz w:val="28"/>
          <w:szCs w:val="28"/>
        </w:rPr>
        <w:t xml:space="preserve"> over the past year and a number of other organisations are progressing towards this goal.</w:t>
      </w:r>
      <w:r>
        <w:rPr>
          <w:rFonts w:cs="Calibri"/>
          <w:sz w:val="28"/>
          <w:szCs w:val="28"/>
        </w:rPr>
        <w:t xml:space="preserve"> In addition a number of data centres used by suppliers to government are now registered as participants under the Code.</w:t>
      </w:r>
    </w:p>
    <w:p w:rsidR="006A062F" w:rsidRDefault="006A062F" w:rsidP="00FA72CF">
      <w:pPr>
        <w:suppressAutoHyphens w:val="0"/>
        <w:autoSpaceDN/>
        <w:contextualSpacing/>
        <w:textAlignment w:val="auto"/>
        <w:rPr>
          <w:rFonts w:cs="Calibri"/>
          <w:sz w:val="28"/>
          <w:szCs w:val="28"/>
        </w:rPr>
      </w:pPr>
    </w:p>
    <w:p w:rsidR="006A062F" w:rsidRDefault="006A062F" w:rsidP="00FA72CF">
      <w:pPr>
        <w:suppressAutoHyphens w:val="0"/>
        <w:autoSpaceDN/>
        <w:contextualSpacing/>
        <w:textAlignment w:val="auto"/>
        <w:rPr>
          <w:rFonts w:cs="Calibri"/>
          <w:sz w:val="28"/>
          <w:szCs w:val="28"/>
        </w:rPr>
      </w:pPr>
      <w:r w:rsidRPr="00361227">
        <w:rPr>
          <w:rFonts w:cs="Calibri"/>
          <w:sz w:val="28"/>
          <w:szCs w:val="28"/>
        </w:rPr>
        <w:t xml:space="preserve">Defra is currently working to design guidance for </w:t>
      </w:r>
      <w:r>
        <w:rPr>
          <w:rFonts w:cs="Calibri"/>
          <w:sz w:val="28"/>
          <w:szCs w:val="28"/>
        </w:rPr>
        <w:t>buyers</w:t>
      </w:r>
      <w:r w:rsidRPr="00361227">
        <w:rPr>
          <w:rFonts w:cs="Calibri"/>
          <w:sz w:val="28"/>
          <w:szCs w:val="28"/>
        </w:rPr>
        <w:t xml:space="preserve"> on effective practice</w:t>
      </w:r>
      <w:r>
        <w:rPr>
          <w:rFonts w:cs="Calibri"/>
          <w:sz w:val="28"/>
          <w:szCs w:val="28"/>
        </w:rPr>
        <w:t xml:space="preserve"> for </w:t>
      </w:r>
      <w:r w:rsidRPr="00361227">
        <w:rPr>
          <w:rFonts w:cs="Calibri"/>
          <w:sz w:val="28"/>
          <w:szCs w:val="28"/>
        </w:rPr>
        <w:t>pro</w:t>
      </w:r>
      <w:r>
        <w:rPr>
          <w:rFonts w:cs="Calibri"/>
          <w:sz w:val="28"/>
          <w:szCs w:val="28"/>
        </w:rPr>
        <w:t>cu</w:t>
      </w:r>
      <w:r w:rsidRPr="00361227">
        <w:rPr>
          <w:rFonts w:cs="Calibri"/>
          <w:sz w:val="28"/>
          <w:szCs w:val="28"/>
        </w:rPr>
        <w:t xml:space="preserve">ring </w:t>
      </w:r>
      <w:r>
        <w:rPr>
          <w:rFonts w:cs="Calibri"/>
          <w:sz w:val="28"/>
          <w:szCs w:val="28"/>
        </w:rPr>
        <w:t xml:space="preserve">energy efficient </w:t>
      </w:r>
      <w:r w:rsidRPr="00361227">
        <w:rPr>
          <w:rFonts w:cs="Calibri"/>
          <w:sz w:val="28"/>
          <w:szCs w:val="28"/>
        </w:rPr>
        <w:t>data centre services and ensuring sustainability has a high profile in contract manage</w:t>
      </w:r>
      <w:r>
        <w:rPr>
          <w:rFonts w:cs="Calibri"/>
          <w:sz w:val="28"/>
          <w:szCs w:val="28"/>
        </w:rPr>
        <w:t xml:space="preserve">ment for the increasing number of cloud hosting </w:t>
      </w:r>
      <w:r w:rsidRPr="00361227">
        <w:rPr>
          <w:rFonts w:cs="Calibri"/>
          <w:sz w:val="28"/>
          <w:szCs w:val="28"/>
        </w:rPr>
        <w:t>ser</w:t>
      </w:r>
      <w:r>
        <w:rPr>
          <w:rFonts w:cs="Calibri"/>
          <w:sz w:val="28"/>
          <w:szCs w:val="28"/>
        </w:rPr>
        <w:t>vices being used.  The</w:t>
      </w:r>
      <w:r w:rsidRPr="00361227">
        <w:rPr>
          <w:rFonts w:cs="Calibri"/>
          <w:sz w:val="28"/>
          <w:szCs w:val="28"/>
        </w:rPr>
        <w:t xml:space="preserve"> </w:t>
      </w:r>
      <w:r>
        <w:rPr>
          <w:rFonts w:cs="Calibri"/>
          <w:sz w:val="28"/>
          <w:szCs w:val="28"/>
        </w:rPr>
        <w:t>guidance has</w:t>
      </w:r>
      <w:r w:rsidRPr="00361227">
        <w:rPr>
          <w:rFonts w:cs="Calibri"/>
          <w:sz w:val="28"/>
          <w:szCs w:val="28"/>
        </w:rPr>
        <w:t xml:space="preserve"> been discussed with Intellect, the </w:t>
      </w:r>
      <w:smartTag w:uri="urn:schemas-microsoft-com:office:smarttags" w:element="place">
        <w:smartTag w:uri="urn:schemas-microsoft-com:office:smarttags" w:element="country-region">
          <w:r w:rsidRPr="00361227">
            <w:rPr>
              <w:rFonts w:cs="Calibri"/>
              <w:sz w:val="28"/>
              <w:szCs w:val="28"/>
            </w:rPr>
            <w:t>UK</w:t>
          </w:r>
        </w:smartTag>
      </w:smartTag>
      <w:r w:rsidRPr="00361227">
        <w:rPr>
          <w:rFonts w:cs="Calibri"/>
          <w:sz w:val="28"/>
          <w:szCs w:val="28"/>
        </w:rPr>
        <w:t xml:space="preserve"> industry body </w:t>
      </w:r>
    </w:p>
    <w:p w:rsidR="006A062F" w:rsidRDefault="006A062F" w:rsidP="00FA72CF">
      <w:pPr>
        <w:suppressAutoHyphens w:val="0"/>
        <w:autoSpaceDN/>
        <w:contextualSpacing/>
        <w:textAlignment w:val="auto"/>
        <w:rPr>
          <w:rFonts w:cs="Calibri"/>
          <w:sz w:val="28"/>
          <w:szCs w:val="28"/>
        </w:rPr>
      </w:pPr>
      <w:r w:rsidRPr="00361227">
        <w:rPr>
          <w:rFonts w:cs="Calibri"/>
          <w:sz w:val="28"/>
          <w:szCs w:val="28"/>
        </w:rPr>
        <w:t>representing both larger industry players and hun</w:t>
      </w:r>
      <w:r>
        <w:rPr>
          <w:rFonts w:cs="Calibri"/>
          <w:sz w:val="28"/>
          <w:szCs w:val="28"/>
        </w:rPr>
        <w:t>dreds of smaller companies</w:t>
      </w:r>
      <w:r w:rsidRPr="00361227">
        <w:rPr>
          <w:rFonts w:cs="Calibri"/>
          <w:sz w:val="28"/>
          <w:szCs w:val="28"/>
        </w:rPr>
        <w:t xml:space="preserve">, and </w:t>
      </w:r>
      <w:r>
        <w:rPr>
          <w:rFonts w:cs="Calibri"/>
          <w:sz w:val="28"/>
          <w:szCs w:val="28"/>
        </w:rPr>
        <w:t>this is</w:t>
      </w:r>
      <w:r w:rsidRPr="00361227">
        <w:rPr>
          <w:rFonts w:cs="Calibri"/>
          <w:sz w:val="28"/>
          <w:szCs w:val="28"/>
        </w:rPr>
        <w:t xml:space="preserve"> being coor</w:t>
      </w:r>
      <w:r>
        <w:rPr>
          <w:rFonts w:cs="Calibri"/>
          <w:sz w:val="28"/>
          <w:szCs w:val="28"/>
        </w:rPr>
        <w:t>dinated with input from other government stakeholders.</w:t>
      </w:r>
      <w:r w:rsidRPr="00361227">
        <w:rPr>
          <w:rFonts w:cs="Calibri"/>
          <w:sz w:val="28"/>
          <w:szCs w:val="28"/>
        </w:rPr>
        <w:t xml:space="preserve"> There have also been discussions with the </w:t>
      </w:r>
      <w:r>
        <w:rPr>
          <w:rFonts w:cs="Calibri"/>
          <w:sz w:val="28"/>
          <w:szCs w:val="28"/>
        </w:rPr>
        <w:t xml:space="preserve">European </w:t>
      </w:r>
      <w:r w:rsidRPr="00361227">
        <w:rPr>
          <w:rFonts w:cs="Calibri"/>
          <w:sz w:val="28"/>
          <w:szCs w:val="28"/>
        </w:rPr>
        <w:t>Com</w:t>
      </w:r>
      <w:r>
        <w:rPr>
          <w:rFonts w:cs="Calibri"/>
          <w:sz w:val="28"/>
          <w:szCs w:val="28"/>
        </w:rPr>
        <w:t xml:space="preserve">mission via its EU </w:t>
      </w:r>
      <w:r w:rsidRPr="00361227">
        <w:rPr>
          <w:rFonts w:cs="Calibri"/>
          <w:sz w:val="28"/>
          <w:szCs w:val="28"/>
        </w:rPr>
        <w:t>wide Green Public Procurement pro</w:t>
      </w:r>
      <w:r>
        <w:rPr>
          <w:rFonts w:cs="Calibri"/>
          <w:sz w:val="28"/>
          <w:szCs w:val="28"/>
        </w:rPr>
        <w:t>cess</w:t>
      </w:r>
      <w:r>
        <w:rPr>
          <w:rStyle w:val="FootnoteReference"/>
          <w:sz w:val="28"/>
          <w:szCs w:val="28"/>
        </w:rPr>
        <w:footnoteReference w:id="2"/>
      </w:r>
      <w:r>
        <w:rPr>
          <w:rFonts w:cs="Calibri"/>
          <w:sz w:val="28"/>
          <w:szCs w:val="28"/>
        </w:rPr>
        <w:t xml:space="preserve">. </w:t>
      </w:r>
    </w:p>
    <w:p w:rsidR="006A062F" w:rsidRPr="00C3778C" w:rsidRDefault="006A062F" w:rsidP="00C3778C"/>
    <w:p w:rsidR="006A062F" w:rsidRDefault="006A062F">
      <w:pPr>
        <w:rPr>
          <w:rFonts w:cs="Arial"/>
          <w:b/>
          <w:color w:val="4B116F"/>
          <w:sz w:val="32"/>
          <w:szCs w:val="32"/>
        </w:rPr>
      </w:pPr>
      <w:r>
        <w:rPr>
          <w:noProof/>
          <w:lang w:val="en-US" w:eastAsia="en-US"/>
        </w:rPr>
        <w:pict>
          <v:rect id="Rectangle 3" o:spid="_x0000_s1027" style="position:absolute;margin-left:300pt;margin-top:262.5pt;width:178.5pt;height:192.05pt;flip:x;z-index:251659264;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" fillcolor="#4b116f" stroked="f">
            <v:shadow on="t" color="#205867" opacity=".5" offset="-6pt,6pt"/>
            <v:textbox inset="21.6pt,21.6pt,21.6pt,21.6pt">
              <w:txbxContent>
                <w:p w:rsidR="006A062F" w:rsidRPr="00B52C42" w:rsidRDefault="006A062F" w:rsidP="00DA4F57">
                  <w:pPr>
                    <w:autoSpaceDE w:val="0"/>
                    <w:jc w:val="center"/>
                  </w:pPr>
                  <w:r w:rsidRPr="00B52C42">
                    <w:rPr>
                      <w:rFonts w:cs="Arial"/>
                      <w:color w:val="FFFFFF"/>
                    </w:rPr>
                    <w:t>IT Recycling</w:t>
                  </w:r>
                </w:p>
                <w:p w:rsidR="006A062F" w:rsidRPr="00B52C42" w:rsidRDefault="006A062F" w:rsidP="00DA4F57">
                  <w:r w:rsidRPr="00B52C42">
                    <w:rPr>
                      <w:rFonts w:cs="Arial"/>
                    </w:rPr>
                    <w:t xml:space="preserve">The GPS agreement was used to dispose of 66,448 items, of which 33,514 were resold, generating £405,881.68.  A further 8738 items were able to be donated, further reducing the items sent </w:t>
                  </w:r>
                  <w:r>
                    <w:rPr>
                      <w:rFonts w:cs="Arial"/>
                    </w:rPr>
                    <w:t>for disposal</w:t>
                  </w:r>
                  <w:r w:rsidRPr="00B52C42">
                    <w:rPr>
                      <w:rFonts w:cs="Arial"/>
                    </w:rPr>
                    <w:t>.</w:t>
                  </w:r>
                </w:p>
              </w:txbxContent>
            </v:textbox>
            <w10:wrap type="square" anchorx="margin" anchory="margin"/>
          </v:rect>
        </w:pict>
      </w:r>
      <w:r>
        <w:rPr>
          <w:rFonts w:cs="Arial"/>
          <w:b/>
          <w:color w:val="4B116F"/>
          <w:sz w:val="32"/>
          <w:szCs w:val="32"/>
        </w:rPr>
        <w:t>Recycling and re</w:t>
      </w:r>
      <w:r w:rsidRPr="002B1F63">
        <w:rPr>
          <w:rFonts w:cs="Arial"/>
          <w:b/>
          <w:color w:val="4B116F"/>
          <w:sz w:val="32"/>
          <w:szCs w:val="32"/>
        </w:rPr>
        <w:t>ducing</w:t>
      </w:r>
      <w:r>
        <w:rPr>
          <w:rFonts w:cs="Arial"/>
          <w:b/>
          <w:color w:val="4B116F"/>
          <w:sz w:val="32"/>
          <w:szCs w:val="32"/>
        </w:rPr>
        <w:t xml:space="preserve"> waste</w:t>
      </w:r>
    </w:p>
    <w:p w:rsidR="006A062F" w:rsidRDefault="006A062F" w:rsidP="00DA4F57">
      <w:pPr>
        <w:rPr>
          <w:rFonts w:cs="Arial"/>
          <w:sz w:val="28"/>
          <w:szCs w:val="28"/>
        </w:rPr>
      </w:pPr>
      <w:r w:rsidRPr="00DA4F57">
        <w:rPr>
          <w:rFonts w:cs="Arial"/>
          <w:sz w:val="28"/>
          <w:szCs w:val="28"/>
        </w:rPr>
        <w:t xml:space="preserve">Recycling of IT is key to achieving efficiencies and being greener. The Government Procurement Service (GPS) offers </w:t>
      </w:r>
      <w:r>
        <w:rPr>
          <w:rFonts w:cs="Arial"/>
          <w:sz w:val="28"/>
          <w:szCs w:val="28"/>
        </w:rPr>
        <w:t>organisations</w:t>
      </w:r>
      <w:r w:rsidRPr="00DA4F57">
        <w:rPr>
          <w:rFonts w:cs="Arial"/>
          <w:sz w:val="28"/>
          <w:szCs w:val="28"/>
        </w:rPr>
        <w:t xml:space="preserve"> a method for recycling IT </w:t>
      </w:r>
      <w:r>
        <w:rPr>
          <w:rFonts w:cs="Arial"/>
          <w:sz w:val="28"/>
          <w:szCs w:val="28"/>
        </w:rPr>
        <w:t>a</w:t>
      </w:r>
      <w:r w:rsidRPr="00DA4F57">
        <w:rPr>
          <w:rFonts w:cs="Arial"/>
          <w:sz w:val="28"/>
          <w:szCs w:val="28"/>
        </w:rPr>
        <w:t>ssets.  The service agreement has been used by at least 33 bodies including schools, councils, agencies and government d</w:t>
      </w:r>
      <w:r>
        <w:rPr>
          <w:rFonts w:cs="Arial"/>
          <w:sz w:val="28"/>
          <w:szCs w:val="28"/>
        </w:rPr>
        <w:t>epartments.</w:t>
      </w:r>
    </w:p>
    <w:p w:rsidR="006A062F" w:rsidRPr="00DA4F57" w:rsidRDefault="006A062F" w:rsidP="00DA4F57">
      <w:pPr>
        <w:rPr>
          <w:rFonts w:cs="Arial"/>
          <w:sz w:val="28"/>
          <w:szCs w:val="28"/>
        </w:rPr>
      </w:pPr>
      <w:r w:rsidRPr="00DA4F57">
        <w:rPr>
          <w:rFonts w:cs="Arial"/>
          <w:sz w:val="28"/>
          <w:szCs w:val="28"/>
        </w:rPr>
        <w:t>Current</w:t>
      </w:r>
      <w:r>
        <w:rPr>
          <w:rFonts w:cs="Arial"/>
          <w:sz w:val="28"/>
          <w:szCs w:val="28"/>
        </w:rPr>
        <w:t xml:space="preserve">ly work is underway in the </w:t>
      </w:r>
      <w:r w:rsidRPr="00DA4F57">
        <w:rPr>
          <w:rFonts w:cs="Arial"/>
          <w:sz w:val="28"/>
          <w:szCs w:val="28"/>
        </w:rPr>
        <w:t>GPS to refresh the service agreement to increase the financial benefits</w:t>
      </w:r>
      <w:r>
        <w:rPr>
          <w:rFonts w:cs="Arial"/>
          <w:sz w:val="28"/>
          <w:szCs w:val="28"/>
        </w:rPr>
        <w:t>. This will focus on </w:t>
      </w:r>
      <w:r w:rsidRPr="00DA4F57">
        <w:rPr>
          <w:rFonts w:cs="Arial"/>
          <w:sz w:val="28"/>
          <w:szCs w:val="28"/>
        </w:rPr>
        <w:t>money raised from the recovery</w:t>
      </w:r>
      <w:r>
        <w:rPr>
          <w:rFonts w:cs="Arial"/>
          <w:sz w:val="28"/>
          <w:szCs w:val="28"/>
        </w:rPr>
        <w:t xml:space="preserve"> and sale of components plus that of </w:t>
      </w:r>
      <w:r w:rsidRPr="00DA4F57">
        <w:rPr>
          <w:rFonts w:cs="Arial"/>
          <w:sz w:val="28"/>
          <w:szCs w:val="28"/>
        </w:rPr>
        <w:t xml:space="preserve">rare and </w:t>
      </w:r>
      <w:r>
        <w:rPr>
          <w:rFonts w:cs="Arial"/>
          <w:sz w:val="28"/>
          <w:szCs w:val="28"/>
        </w:rPr>
        <w:t>valuable raw materials</w:t>
      </w:r>
      <w:r w:rsidRPr="00DA4F57">
        <w:rPr>
          <w:rFonts w:cs="Arial"/>
          <w:sz w:val="28"/>
          <w:szCs w:val="28"/>
        </w:rPr>
        <w:t>, and the sustainability benefits</w:t>
      </w:r>
      <w:r>
        <w:rPr>
          <w:rFonts w:cs="Arial"/>
          <w:sz w:val="28"/>
          <w:szCs w:val="28"/>
        </w:rPr>
        <w:t>, for example,</w:t>
      </w:r>
      <w:r w:rsidRPr="00DA4F57">
        <w:rPr>
          <w:rFonts w:cs="Arial"/>
          <w:sz w:val="28"/>
          <w:szCs w:val="28"/>
        </w:rPr>
        <w:t xml:space="preserve"> reducing waste sent to landfill or for incineration.  </w:t>
      </w:r>
    </w:p>
    <w:p w:rsidR="006A062F" w:rsidRPr="006A3654" w:rsidRDefault="006A062F" w:rsidP="006A3654">
      <w:pPr>
        <w:suppressAutoHyphens w:val="0"/>
        <w:autoSpaceDE w:val="0"/>
        <w:adjustRightInd w:val="0"/>
        <w:spacing w:after="0" w:line="240" w:lineRule="auto"/>
        <w:textAlignment w:val="auto"/>
        <w:rPr>
          <w:rFonts w:cs="Calibri"/>
          <w:sz w:val="28"/>
          <w:szCs w:val="28"/>
        </w:rPr>
      </w:pPr>
    </w:p>
    <w:p w:rsidR="006A062F" w:rsidRPr="00912A73" w:rsidRDefault="006A062F">
      <w:pPr>
        <w:rPr>
          <w:rFonts w:cs="Arial"/>
          <w:b/>
          <w:color w:val="4B116F"/>
          <w:sz w:val="32"/>
          <w:szCs w:val="32"/>
        </w:rPr>
      </w:pPr>
      <w:r>
        <w:rPr>
          <w:rFonts w:cs="Arial"/>
          <w:b/>
          <w:color w:val="4B116F"/>
          <w:sz w:val="32"/>
          <w:szCs w:val="32"/>
        </w:rPr>
        <w:t>Public service delivery</w:t>
      </w:r>
    </w:p>
    <w:p w:rsidR="006A062F" w:rsidRPr="00596A37" w:rsidRDefault="006A062F" w:rsidP="00DF1B42">
      <w:pPr>
        <w:suppressAutoHyphens w:val="0"/>
        <w:autoSpaceDE w:val="0"/>
        <w:adjustRightInd w:val="0"/>
        <w:spacing w:after="0"/>
        <w:textAlignment w:val="auto"/>
        <w:rPr>
          <w:rFonts w:cs="Calibri"/>
          <w:sz w:val="28"/>
          <w:szCs w:val="28"/>
        </w:rPr>
      </w:pPr>
      <w:r>
        <w:rPr>
          <w:rFonts w:cs="Calibri"/>
          <w:sz w:val="28"/>
          <w:szCs w:val="28"/>
        </w:rPr>
        <w:t xml:space="preserve">In the last year the Government </w:t>
      </w:r>
      <w:r w:rsidRPr="00596A37">
        <w:rPr>
          <w:rFonts w:cs="Calibri"/>
          <w:sz w:val="28"/>
          <w:szCs w:val="28"/>
        </w:rPr>
        <w:t xml:space="preserve">Digital Service published the Government Digital Strategy. This was followed by the publication of individual digital strategies by government departments. These strategies </w:t>
      </w:r>
      <w:r>
        <w:rPr>
          <w:rFonts w:cs="Calibri"/>
          <w:sz w:val="28"/>
          <w:szCs w:val="28"/>
        </w:rPr>
        <w:t xml:space="preserve">are fundamental </w:t>
      </w:r>
      <w:r w:rsidRPr="00596A37">
        <w:rPr>
          <w:sz w:val="28"/>
          <w:szCs w:val="28"/>
        </w:rPr>
        <w:t xml:space="preserve">to shifting </w:t>
      </w:r>
      <w:r>
        <w:rPr>
          <w:sz w:val="28"/>
          <w:szCs w:val="28"/>
        </w:rPr>
        <w:t xml:space="preserve">government’s </w:t>
      </w:r>
      <w:r w:rsidRPr="00596A37">
        <w:rPr>
          <w:sz w:val="28"/>
          <w:szCs w:val="28"/>
        </w:rPr>
        <w:t xml:space="preserve">approach to interacting with citizens and businesses. </w:t>
      </w:r>
      <w:r>
        <w:rPr>
          <w:sz w:val="28"/>
          <w:szCs w:val="28"/>
        </w:rPr>
        <w:t>The shift will</w:t>
      </w:r>
      <w:r w:rsidRPr="00596A37">
        <w:rPr>
          <w:sz w:val="28"/>
          <w:szCs w:val="28"/>
        </w:rPr>
        <w:t xml:space="preserve"> need to be supported by the right technologies and systems </w:t>
      </w:r>
      <w:r>
        <w:rPr>
          <w:sz w:val="28"/>
          <w:szCs w:val="28"/>
        </w:rPr>
        <w:t>to make the most efficient use of hardware and power</w:t>
      </w:r>
      <w:r w:rsidRPr="00596A37">
        <w:rPr>
          <w:sz w:val="28"/>
          <w:szCs w:val="28"/>
        </w:rPr>
        <w:t xml:space="preserve">. </w:t>
      </w:r>
      <w:r>
        <w:rPr>
          <w:sz w:val="28"/>
          <w:szCs w:val="28"/>
        </w:rPr>
        <w:t>Digital by default also reduces the environmental impact of p</w:t>
      </w:r>
      <w:r w:rsidRPr="00596A37">
        <w:rPr>
          <w:rFonts w:cs="Calibri"/>
          <w:sz w:val="28"/>
          <w:szCs w:val="28"/>
        </w:rPr>
        <w:t xml:space="preserve">hysical and paper based processes </w:t>
      </w:r>
      <w:r>
        <w:rPr>
          <w:rFonts w:cs="Calibri"/>
          <w:sz w:val="28"/>
          <w:szCs w:val="28"/>
        </w:rPr>
        <w:t xml:space="preserve">by using technology </w:t>
      </w:r>
      <w:r w:rsidRPr="00596A37">
        <w:rPr>
          <w:rFonts w:cs="Calibri"/>
          <w:sz w:val="28"/>
          <w:szCs w:val="28"/>
        </w:rPr>
        <w:t xml:space="preserve">to </w:t>
      </w:r>
      <w:r>
        <w:rPr>
          <w:rFonts w:cs="Calibri"/>
          <w:sz w:val="28"/>
          <w:szCs w:val="28"/>
        </w:rPr>
        <w:t xml:space="preserve">create </w:t>
      </w:r>
      <w:r w:rsidRPr="00596A37">
        <w:rPr>
          <w:rFonts w:cs="Calibri"/>
          <w:sz w:val="28"/>
          <w:szCs w:val="28"/>
        </w:rPr>
        <w:t xml:space="preserve">more cost effective, efficient and user-centred online services. </w:t>
      </w:r>
    </w:p>
    <w:p w:rsidR="006A062F" w:rsidRDefault="006A062F" w:rsidP="00DF1B42">
      <w:pPr>
        <w:suppressAutoHyphens w:val="0"/>
        <w:autoSpaceDE w:val="0"/>
        <w:adjustRightInd w:val="0"/>
        <w:spacing w:after="0"/>
        <w:textAlignment w:val="auto"/>
      </w:pPr>
    </w:p>
    <w:p w:rsidR="006A062F" w:rsidRDefault="006A062F" w:rsidP="00DF1B42">
      <w:pPr>
        <w:suppressAutoHyphens w:val="0"/>
        <w:autoSpaceDE w:val="0"/>
        <w:adjustRightInd w:val="0"/>
        <w:spacing w:after="0"/>
        <w:textAlignment w:val="auto"/>
        <w:rPr>
          <w:rFonts w:cs="Calibri"/>
          <w:sz w:val="28"/>
          <w:szCs w:val="28"/>
        </w:rPr>
      </w:pPr>
      <w:r>
        <w:rPr>
          <w:rFonts w:cs="Calibri"/>
          <w:sz w:val="28"/>
          <w:szCs w:val="28"/>
        </w:rPr>
        <w:t>The move to digital by default is crucial as shown by the shift to online in HMRC which has seen</w:t>
      </w:r>
      <w:r w:rsidRPr="000B7146">
        <w:rPr>
          <w:rFonts w:cs="Calibri"/>
          <w:sz w:val="28"/>
          <w:szCs w:val="28"/>
        </w:rPr>
        <w:t xml:space="preserve"> more than </w:t>
      </w:r>
      <w:r w:rsidRPr="005A2AF1">
        <w:rPr>
          <w:rFonts w:cs="Calibri"/>
          <w:b/>
          <w:sz w:val="36"/>
          <w:szCs w:val="36"/>
        </w:rPr>
        <w:t>80</w:t>
      </w:r>
      <w:r w:rsidRPr="000B7146">
        <w:rPr>
          <w:rFonts w:cs="Calibri"/>
          <w:sz w:val="28"/>
          <w:szCs w:val="28"/>
        </w:rPr>
        <w:t xml:space="preserve"> per cent of HMRC’s tax returns submitted via the internet. These online</w:t>
      </w:r>
      <w:r>
        <w:rPr>
          <w:rFonts w:cs="Calibri"/>
          <w:sz w:val="28"/>
          <w:szCs w:val="28"/>
        </w:rPr>
        <w:t xml:space="preserve"> </w:t>
      </w:r>
      <w:r w:rsidRPr="000B7146">
        <w:rPr>
          <w:rFonts w:cs="Calibri"/>
          <w:sz w:val="28"/>
          <w:szCs w:val="28"/>
        </w:rPr>
        <w:t xml:space="preserve">submissions have </w:t>
      </w:r>
      <w:r>
        <w:rPr>
          <w:rFonts w:cs="Calibri"/>
          <w:sz w:val="28"/>
          <w:szCs w:val="28"/>
        </w:rPr>
        <w:t xml:space="preserve">resulted in </w:t>
      </w:r>
      <w:r w:rsidRPr="000B7146">
        <w:rPr>
          <w:rFonts w:cs="Calibri"/>
          <w:sz w:val="28"/>
          <w:szCs w:val="28"/>
        </w:rPr>
        <w:t xml:space="preserve">a big paper saving </w:t>
      </w:r>
      <w:r>
        <w:rPr>
          <w:rFonts w:cs="Calibri"/>
          <w:sz w:val="28"/>
          <w:szCs w:val="28"/>
        </w:rPr>
        <w:t xml:space="preserve">alongside </w:t>
      </w:r>
      <w:r w:rsidRPr="000B7146">
        <w:rPr>
          <w:rFonts w:cs="Calibri"/>
          <w:sz w:val="28"/>
          <w:szCs w:val="28"/>
        </w:rPr>
        <w:t xml:space="preserve">cutting the carbon </w:t>
      </w:r>
      <w:r>
        <w:rPr>
          <w:rFonts w:cs="Calibri"/>
          <w:sz w:val="28"/>
          <w:szCs w:val="28"/>
        </w:rPr>
        <w:t xml:space="preserve">emissions  by </w:t>
      </w:r>
      <w:r w:rsidRPr="000B7146">
        <w:rPr>
          <w:rFonts w:cs="Calibri"/>
          <w:sz w:val="28"/>
          <w:szCs w:val="28"/>
        </w:rPr>
        <w:t xml:space="preserve">760 tonnes.  </w:t>
      </w:r>
      <w:r>
        <w:rPr>
          <w:rFonts w:cs="Calibri"/>
          <w:sz w:val="28"/>
          <w:szCs w:val="28"/>
        </w:rPr>
        <w:t>The use of different channels like</w:t>
      </w:r>
      <w:r w:rsidRPr="000B7146">
        <w:rPr>
          <w:rFonts w:cs="Calibri"/>
          <w:sz w:val="28"/>
          <w:szCs w:val="28"/>
        </w:rPr>
        <w:t xml:space="preserve"> </w:t>
      </w:r>
      <w:r>
        <w:rPr>
          <w:rFonts w:cs="Calibri"/>
          <w:sz w:val="28"/>
          <w:szCs w:val="28"/>
        </w:rPr>
        <w:t>SMS</w:t>
      </w:r>
      <w:r w:rsidRPr="000B7146">
        <w:rPr>
          <w:rFonts w:cs="Calibri"/>
          <w:sz w:val="28"/>
          <w:szCs w:val="28"/>
        </w:rPr>
        <w:t xml:space="preserve"> for alerts, have also played their part in reducing paper</w:t>
      </w:r>
      <w:r>
        <w:rPr>
          <w:rFonts w:cs="Calibri"/>
          <w:sz w:val="28"/>
          <w:szCs w:val="28"/>
        </w:rPr>
        <w:t>.</w:t>
      </w:r>
      <w:r w:rsidRPr="000B7146">
        <w:rPr>
          <w:rFonts w:cs="Calibri"/>
          <w:sz w:val="28"/>
          <w:szCs w:val="28"/>
        </w:rPr>
        <w:t xml:space="preserve"> </w:t>
      </w:r>
      <w:r>
        <w:rPr>
          <w:rFonts w:cs="Calibri"/>
          <w:sz w:val="28"/>
          <w:szCs w:val="28"/>
        </w:rPr>
        <w:t xml:space="preserve"> Streamlining processes has also improved sustainability and efficiency, HMRC now send o</w:t>
      </w:r>
      <w:r w:rsidRPr="000B7146">
        <w:rPr>
          <w:rFonts w:cs="Calibri"/>
          <w:sz w:val="28"/>
          <w:szCs w:val="28"/>
        </w:rPr>
        <w:t>ne Tax Credits award no</w:t>
      </w:r>
      <w:r>
        <w:rPr>
          <w:rFonts w:cs="Calibri"/>
          <w:sz w:val="28"/>
          <w:szCs w:val="28"/>
        </w:rPr>
        <w:t xml:space="preserve">tice </w:t>
      </w:r>
      <w:r w:rsidRPr="000B7146">
        <w:rPr>
          <w:rFonts w:cs="Calibri"/>
          <w:sz w:val="28"/>
          <w:szCs w:val="28"/>
        </w:rPr>
        <w:t>to joint households, for example, whereas previously each person in a household would have re</w:t>
      </w:r>
      <w:r>
        <w:rPr>
          <w:rFonts w:cs="Calibri"/>
          <w:sz w:val="28"/>
          <w:szCs w:val="28"/>
        </w:rPr>
        <w:t>ceived a separate letter.</w:t>
      </w:r>
      <w:r>
        <w:rPr>
          <w:rStyle w:val="FootnoteReference"/>
          <w:sz w:val="28"/>
          <w:szCs w:val="28"/>
        </w:rPr>
        <w:footnoteReference w:id="3"/>
      </w:r>
    </w:p>
    <w:p w:rsidR="006A062F" w:rsidRPr="00427DBD" w:rsidRDefault="006A062F" w:rsidP="00427DBD">
      <w:pPr>
        <w:suppressAutoHyphens w:val="0"/>
        <w:autoSpaceDE w:val="0"/>
        <w:adjustRightInd w:val="0"/>
        <w:spacing w:after="0" w:line="240" w:lineRule="auto"/>
        <w:textAlignment w:val="auto"/>
        <w:rPr>
          <w:rFonts w:cs="Calibri"/>
          <w:sz w:val="28"/>
          <w:szCs w:val="28"/>
        </w:rPr>
      </w:pPr>
    </w:p>
    <w:p w:rsidR="006A062F" w:rsidRPr="002B1F63" w:rsidRDefault="006A062F" w:rsidP="00427DBD">
      <w:pPr>
        <w:rPr>
          <w:rFonts w:cs="Arial"/>
          <w:b/>
          <w:color w:val="4B116F"/>
          <w:sz w:val="32"/>
          <w:szCs w:val="32"/>
        </w:rPr>
      </w:pPr>
      <w:r w:rsidRPr="002B1F63">
        <w:rPr>
          <w:rFonts w:cs="Arial"/>
          <w:b/>
          <w:color w:val="4B116F"/>
          <w:sz w:val="32"/>
          <w:szCs w:val="32"/>
        </w:rPr>
        <w:t>Exploiting collaborative tools</w:t>
      </w:r>
    </w:p>
    <w:p w:rsidR="006A062F" w:rsidRPr="0028676B" w:rsidRDefault="006A062F" w:rsidP="00DE24E4">
      <w:pPr>
        <w:suppressAutoHyphens w:val="0"/>
        <w:autoSpaceDE w:val="0"/>
        <w:adjustRightInd w:val="0"/>
        <w:spacing w:after="0"/>
        <w:textAlignment w:val="auto"/>
        <w:rPr>
          <w:rStyle w:val="NoSpacingChar"/>
          <w:rFonts w:ascii="Calibri" w:hAnsi="Calibri"/>
          <w:sz w:val="28"/>
          <w:szCs w:val="28"/>
        </w:rPr>
      </w:pPr>
      <w:r w:rsidRPr="0028676B">
        <w:rPr>
          <w:rStyle w:val="NoSpacingChar"/>
          <w:rFonts w:ascii="Calibri" w:hAnsi="Calibri"/>
          <w:sz w:val="28"/>
          <w:szCs w:val="28"/>
        </w:rPr>
        <w:t xml:space="preserve">Departments continue to maintain effective working whilst reducing business travel by conducting their business via video, web and teleconferencing.  The Home Office extended to all staff members its departmental contract for teleconferencing facilities (this was previously only available to a small number of staff). MOD increased its use of videoconferencing and teleconferencing as part of its travel budget cuts and efficiencies. Peer-to-peer instant messaging is now available and a peer-to-peer webcam trial is underway. </w:t>
      </w:r>
      <w:r>
        <w:rPr>
          <w:rStyle w:val="NoSpacingChar"/>
          <w:rFonts w:ascii="Calibri" w:hAnsi="Calibri"/>
          <w:sz w:val="28"/>
          <w:szCs w:val="28"/>
        </w:rPr>
        <w:t xml:space="preserve">These tools and other methods of remote working were used to help reduce travel by government employees during the Olympic games. </w:t>
      </w:r>
      <w:r w:rsidRPr="0028676B">
        <w:rPr>
          <w:rStyle w:val="NoSpacingChar"/>
          <w:rFonts w:ascii="Calibri" w:hAnsi="Calibri"/>
          <w:sz w:val="28"/>
          <w:szCs w:val="28"/>
        </w:rPr>
        <w:t xml:space="preserve"> </w:t>
      </w:r>
    </w:p>
    <w:p w:rsidR="006A062F" w:rsidRDefault="006A062F" w:rsidP="00DE24E4">
      <w:pPr>
        <w:suppressAutoHyphens w:val="0"/>
        <w:autoSpaceDE w:val="0"/>
        <w:adjustRightInd w:val="0"/>
        <w:spacing w:after="0"/>
        <w:textAlignment w:val="auto"/>
        <w:rPr>
          <w:rFonts w:cs="Calibri"/>
          <w:sz w:val="28"/>
          <w:szCs w:val="28"/>
        </w:rPr>
      </w:pPr>
    </w:p>
    <w:p w:rsidR="006A062F" w:rsidRDefault="006A062F" w:rsidP="00DE24E4">
      <w:pPr>
        <w:pStyle w:val="NoSpacing"/>
        <w:spacing w:line="276" w:lineRule="auto"/>
        <w:rPr>
          <w:rStyle w:val="NoSpacingChar"/>
          <w:rFonts w:ascii="Calibri" w:hAnsi="Calibri"/>
          <w:sz w:val="28"/>
          <w:szCs w:val="28"/>
        </w:rPr>
      </w:pPr>
      <w:r w:rsidRPr="0028676B">
        <w:rPr>
          <w:rStyle w:val="NoSpacingChar"/>
          <w:rFonts w:ascii="Calibri" w:hAnsi="Calibri"/>
          <w:sz w:val="28"/>
          <w:szCs w:val="28"/>
        </w:rPr>
        <w:t>Th</w:t>
      </w:r>
      <w:r>
        <w:rPr>
          <w:rStyle w:val="NoSpacingChar"/>
          <w:rFonts w:ascii="Calibri" w:hAnsi="Calibri"/>
          <w:sz w:val="28"/>
          <w:szCs w:val="28"/>
        </w:rPr>
        <w:t xml:space="preserve">e Public Services Network (PSN) </w:t>
      </w:r>
      <w:r w:rsidRPr="0028676B">
        <w:rPr>
          <w:rStyle w:val="NoSpacingChar"/>
          <w:rFonts w:ascii="Calibri" w:hAnsi="Calibri"/>
          <w:sz w:val="28"/>
          <w:szCs w:val="28"/>
        </w:rPr>
        <w:t xml:space="preserve">continues to drive sustainable savings and efficiencies by removing duplicate network connections, providing simpler procurement and greater competition, and allowing public sector employees to work in more flexible, collaborative ways.  PSN creates a common network </w:t>
      </w:r>
      <w:r>
        <w:rPr>
          <w:rStyle w:val="NoSpacingChar"/>
          <w:rFonts w:ascii="Calibri" w:hAnsi="Calibri"/>
          <w:sz w:val="28"/>
          <w:szCs w:val="28"/>
        </w:rPr>
        <w:t xml:space="preserve">of networks </w:t>
      </w:r>
      <w:r w:rsidRPr="0028676B">
        <w:rPr>
          <w:rStyle w:val="NoSpacingChar"/>
          <w:rFonts w:ascii="Calibri" w:hAnsi="Calibri"/>
          <w:sz w:val="28"/>
          <w:szCs w:val="28"/>
        </w:rPr>
        <w:t xml:space="preserve">and a more open and competitive </w:t>
      </w:r>
      <w:r>
        <w:rPr>
          <w:rStyle w:val="NoSpacingChar"/>
          <w:rFonts w:ascii="Calibri" w:hAnsi="Calibri"/>
          <w:sz w:val="28"/>
          <w:szCs w:val="28"/>
        </w:rPr>
        <w:t>telecommunications</w:t>
      </w:r>
      <w:r w:rsidRPr="0028676B">
        <w:rPr>
          <w:rStyle w:val="NoSpacingChar"/>
          <w:rFonts w:ascii="Calibri" w:hAnsi="Calibri"/>
          <w:sz w:val="28"/>
          <w:szCs w:val="28"/>
        </w:rPr>
        <w:t xml:space="preserve"> marketplace for the UK public sector.  It provides assured network</w:t>
      </w:r>
      <w:r>
        <w:rPr>
          <w:rStyle w:val="NoSpacingChar"/>
          <w:rFonts w:ascii="Calibri" w:hAnsi="Calibri"/>
          <w:sz w:val="28"/>
          <w:szCs w:val="28"/>
        </w:rPr>
        <w:t>s</w:t>
      </w:r>
      <w:r w:rsidRPr="0028676B">
        <w:rPr>
          <w:rStyle w:val="NoSpacingChar"/>
          <w:rFonts w:ascii="Calibri" w:hAnsi="Calibri"/>
          <w:sz w:val="28"/>
          <w:szCs w:val="28"/>
        </w:rPr>
        <w:t>, based on industry standards, over which government can safely share services, including many G-Cloud services, to collaborate in new ways, substantially reducing the cost of communication services across UK Government and enabling new, joined-up and shared public services</w:t>
      </w:r>
      <w:r>
        <w:rPr>
          <w:rStyle w:val="NoSpacingChar"/>
          <w:rFonts w:ascii="Calibri" w:hAnsi="Calibri"/>
          <w:sz w:val="28"/>
          <w:szCs w:val="28"/>
        </w:rPr>
        <w:t>.</w:t>
      </w:r>
    </w:p>
    <w:p w:rsidR="006A062F" w:rsidRPr="0028676B" w:rsidRDefault="006A062F" w:rsidP="0028676B">
      <w:pPr>
        <w:pStyle w:val="NoSpacing"/>
        <w:rPr>
          <w:rFonts w:ascii="Calibri" w:hAnsi="Calibri"/>
          <w:sz w:val="28"/>
          <w:szCs w:val="28"/>
        </w:rPr>
      </w:pPr>
    </w:p>
    <w:p w:rsidR="006A062F" w:rsidRPr="00346FEA" w:rsidRDefault="006A062F">
      <w:pPr>
        <w:rPr>
          <w:rFonts w:cs="Calibri"/>
          <w:sz w:val="28"/>
          <w:szCs w:val="28"/>
        </w:rPr>
      </w:pPr>
      <w:r w:rsidRPr="00912A73">
        <w:rPr>
          <w:rFonts w:cs="Arial"/>
          <w:b/>
          <w:color w:val="4B116F"/>
          <w:sz w:val="32"/>
          <w:szCs w:val="32"/>
        </w:rPr>
        <w:t>Partnership</w:t>
      </w:r>
    </w:p>
    <w:p w:rsidR="006A062F" w:rsidRDefault="006A062F" w:rsidP="00E117C2">
      <w:pPr>
        <w:rPr>
          <w:rFonts w:cs="Arial"/>
          <w:sz w:val="28"/>
          <w:szCs w:val="28"/>
        </w:rPr>
      </w:pPr>
      <w:r>
        <w:rPr>
          <w:rFonts w:cs="Arial"/>
          <w:sz w:val="28"/>
          <w:szCs w:val="28"/>
        </w:rPr>
        <w:t>This year we have worked closely with colleagues in academia and are grateful to the Joint Information Systems Committee (JISC)</w:t>
      </w:r>
      <w:r>
        <w:rPr>
          <w:rStyle w:val="FootnoteReference"/>
          <w:sz w:val="28"/>
          <w:szCs w:val="28"/>
        </w:rPr>
        <w:footnoteReference w:id="4"/>
      </w:r>
      <w:r>
        <w:rPr>
          <w:rFonts w:cs="Arial"/>
          <w:sz w:val="28"/>
          <w:szCs w:val="28"/>
        </w:rPr>
        <w:t xml:space="preserve"> for sharing use of its tools to record the use of energy from operating ICT. We have also discussed our plans and sought and received feedback from Industry through Intellect events. Colleagues in local government and the National Health Service (NHS) sit on the GDU and share knowledge about green IT which helps others learn effective practices.</w:t>
      </w:r>
      <w:bookmarkStart w:id="22" w:name="_Toc328752894"/>
      <w:bookmarkStart w:id="23" w:name="_Toc328752895"/>
    </w:p>
    <w:p w:rsidR="006A062F" w:rsidRPr="007A3C3B" w:rsidRDefault="006A062F" w:rsidP="00C316E4">
      <w:pPr>
        <w:suppressAutoHyphens w:val="0"/>
        <w:spacing w:after="0" w:line="240" w:lineRule="auto"/>
        <w:rPr>
          <w:b/>
          <w:color w:val="4B116F"/>
          <w:sz w:val="48"/>
          <w:szCs w:val="48"/>
        </w:rPr>
      </w:pPr>
      <w:r w:rsidRPr="007A3C3B">
        <w:rPr>
          <w:b/>
          <w:color w:val="4B116F"/>
          <w:sz w:val="48"/>
          <w:szCs w:val="48"/>
        </w:rPr>
        <w:t>5 Key challenges</w:t>
      </w:r>
      <w:bookmarkEnd w:id="22"/>
    </w:p>
    <w:p w:rsidR="006A062F" w:rsidRPr="00C3778C" w:rsidRDefault="006A062F" w:rsidP="00C3778C"/>
    <w:p w:rsidR="006A062F" w:rsidRPr="00912A73" w:rsidRDefault="006A062F">
      <w:pPr>
        <w:rPr>
          <w:b/>
          <w:color w:val="4B116F"/>
          <w:sz w:val="32"/>
          <w:szCs w:val="32"/>
        </w:rPr>
      </w:pPr>
      <w:r>
        <w:rPr>
          <w:b/>
          <w:color w:val="4B116F"/>
          <w:sz w:val="32"/>
          <w:szCs w:val="32"/>
        </w:rPr>
        <w:t>Governance and s</w:t>
      </w:r>
      <w:r w:rsidRPr="00912A73">
        <w:rPr>
          <w:b/>
          <w:color w:val="4B116F"/>
          <w:sz w:val="32"/>
          <w:szCs w:val="32"/>
        </w:rPr>
        <w:t>kills</w:t>
      </w:r>
    </w:p>
    <w:p w:rsidR="006A062F" w:rsidRPr="00707751" w:rsidRDefault="006A062F" w:rsidP="00707751">
      <w:pPr>
        <w:pStyle w:val="Normal1"/>
        <w:rPr>
          <w:rFonts w:ascii="Calibri" w:hAnsi="Calibri"/>
          <w:sz w:val="28"/>
          <w:szCs w:val="28"/>
        </w:rPr>
      </w:pPr>
      <w:r w:rsidRPr="00707751">
        <w:rPr>
          <w:rFonts w:ascii="Calibri" w:hAnsi="Calibri"/>
          <w:sz w:val="28"/>
          <w:szCs w:val="28"/>
        </w:rPr>
        <w:t xml:space="preserve">The governance of technology across government is currently being reviewed to ensure it enables teams building digital services and supporting technology to interact effectively. </w:t>
      </w:r>
    </w:p>
    <w:p w:rsidR="006A062F" w:rsidRPr="00707751" w:rsidRDefault="006A062F" w:rsidP="00707751">
      <w:pPr>
        <w:pStyle w:val="Normal1"/>
        <w:rPr>
          <w:rFonts w:ascii="Calibri" w:hAnsi="Calibri"/>
          <w:sz w:val="28"/>
          <w:szCs w:val="28"/>
        </w:rPr>
      </w:pPr>
    </w:p>
    <w:p w:rsidR="006A062F" w:rsidRPr="00707751" w:rsidRDefault="006A062F" w:rsidP="00707751">
      <w:pPr>
        <w:pStyle w:val="Normal1"/>
        <w:rPr>
          <w:rFonts w:ascii="Calibri" w:hAnsi="Calibri"/>
          <w:sz w:val="28"/>
          <w:szCs w:val="28"/>
        </w:rPr>
      </w:pPr>
      <w:r w:rsidRPr="00707751">
        <w:rPr>
          <w:rFonts w:ascii="Calibri" w:hAnsi="Calibri"/>
          <w:sz w:val="28"/>
          <w:szCs w:val="28"/>
        </w:rPr>
        <w:t>Going forward as part of this, the green IT agenda will develop a clear link to the cross-government discussions coordinated by the Government Digital Service. The outcomes of this review will also support our aim to broaden skills and capability across the civil service. While this work is primarily focused on IT, we will also explore the linkages to broader sustainability activity in government.</w:t>
      </w:r>
    </w:p>
    <w:p w:rsidR="006A062F" w:rsidRDefault="006A062F">
      <w:pPr>
        <w:pStyle w:val="Heading2"/>
        <w:rPr>
          <w:rFonts w:ascii="Calibri" w:hAnsi="Calibri"/>
          <w:b/>
          <w:sz w:val="32"/>
          <w:szCs w:val="32"/>
        </w:rPr>
      </w:pPr>
      <w:r>
        <w:rPr>
          <w:rFonts w:ascii="Calibri" w:hAnsi="Calibri"/>
          <w:b/>
          <w:sz w:val="32"/>
          <w:szCs w:val="32"/>
        </w:rPr>
        <w:t>Green data r</w:t>
      </w:r>
      <w:r w:rsidRPr="00912A73">
        <w:rPr>
          <w:rFonts w:ascii="Calibri" w:hAnsi="Calibri"/>
          <w:b/>
          <w:sz w:val="32"/>
          <w:szCs w:val="32"/>
        </w:rPr>
        <w:t>eporting</w:t>
      </w:r>
    </w:p>
    <w:p w:rsidR="006A062F" w:rsidRDefault="006A062F" w:rsidP="00DF1B42">
      <w:pPr>
        <w:outlineLvl w:val="2"/>
        <w:rPr>
          <w:color w:val="000000"/>
          <w:sz w:val="28"/>
          <w:szCs w:val="28"/>
        </w:rPr>
      </w:pPr>
      <w:r>
        <w:rPr>
          <w:color w:val="000000"/>
          <w:sz w:val="28"/>
          <w:szCs w:val="28"/>
        </w:rPr>
        <w:t xml:space="preserve">Over the last year GDU member departments have delivered significant improvements in reporting and success measures. In particular qualitative tools such as the green IT maturity assessment have proved successful by introducing a consistency of approach and a common vocabulary.  </w:t>
      </w:r>
    </w:p>
    <w:p w:rsidR="006A062F" w:rsidRDefault="006A062F" w:rsidP="00DF1B42">
      <w:pPr>
        <w:outlineLvl w:val="2"/>
        <w:rPr>
          <w:color w:val="000000"/>
          <w:sz w:val="28"/>
          <w:szCs w:val="28"/>
        </w:rPr>
      </w:pPr>
      <w:r>
        <w:rPr>
          <w:color w:val="000000"/>
          <w:sz w:val="28"/>
          <w:szCs w:val="28"/>
        </w:rPr>
        <w:t xml:space="preserve">More widely, it remains a challenge to ensure open and consistent reporting of green IT data across departments and commercial frameworks. Often departments have contracts in place which predate reporting requirements. Elsewhere a lack of consistency in methodologies (as seen in the use of different footprinting approaches) across government may result in gaps in our understanding.  </w:t>
      </w:r>
    </w:p>
    <w:p w:rsidR="006A062F" w:rsidRDefault="006A062F" w:rsidP="00DF1B42">
      <w:pPr>
        <w:autoSpaceDE w:val="0"/>
        <w:outlineLvl w:val="2"/>
        <w:rPr>
          <w:color w:val="000000"/>
          <w:sz w:val="28"/>
          <w:szCs w:val="28"/>
        </w:rPr>
      </w:pPr>
      <w:r>
        <w:rPr>
          <w:color w:val="000000"/>
          <w:sz w:val="28"/>
          <w:szCs w:val="28"/>
        </w:rPr>
        <w:t>As government drives efficiencies with the introduction of flexible contracts (for example, through the government CloudStore) and shifts towards new service platforms the challenge is to deliver consistent, simple and relevant environmental reporting for IT. Moving forward the GDU metrics group will seek to improve reporting regimes by developing common standards, methodologies and reporting tools, drawing on our experience to date and developments elsewhere. We will work with colleagues across government and the private sector to better understand how to measure the environmental impact of new services. </w:t>
      </w:r>
    </w:p>
    <w:p w:rsidR="006A062F" w:rsidRPr="00C83FEC" w:rsidRDefault="006A062F" w:rsidP="00C90726">
      <w:pPr>
        <w:autoSpaceDE w:val="0"/>
        <w:outlineLvl w:val="2"/>
        <w:rPr>
          <w:b/>
          <w:color w:val="4B116F"/>
          <w:sz w:val="32"/>
          <w:szCs w:val="32"/>
        </w:rPr>
      </w:pPr>
      <w:r w:rsidRPr="00C83FEC">
        <w:rPr>
          <w:b/>
          <w:color w:val="4B116F"/>
          <w:sz w:val="32"/>
          <w:szCs w:val="32"/>
        </w:rPr>
        <w:t>Sustainable procurement</w:t>
      </w:r>
    </w:p>
    <w:p w:rsidR="006A062F" w:rsidRDefault="006A062F" w:rsidP="00DF1B42">
      <w:pPr>
        <w:autoSpaceDE w:val="0"/>
        <w:adjustRightInd w:val="0"/>
        <w:spacing w:after="0"/>
        <w:rPr>
          <w:rFonts w:cs="ArialMT"/>
          <w:sz w:val="28"/>
          <w:szCs w:val="28"/>
        </w:rPr>
      </w:pPr>
      <w:r>
        <w:rPr>
          <w:rFonts w:cs="ArialMT"/>
          <w:sz w:val="28"/>
          <w:szCs w:val="28"/>
        </w:rPr>
        <w:t>It remains a challenge to get a good balance between the social, economic and environmental implications when the public sector procures what it needs.</w:t>
      </w:r>
    </w:p>
    <w:p w:rsidR="006A062F" w:rsidRDefault="006A062F" w:rsidP="00DF1B42">
      <w:pPr>
        <w:autoSpaceDE w:val="0"/>
        <w:adjustRightInd w:val="0"/>
        <w:spacing w:after="0"/>
        <w:rPr>
          <w:rFonts w:cs="ArialMT"/>
          <w:sz w:val="28"/>
          <w:szCs w:val="28"/>
        </w:rPr>
      </w:pPr>
    </w:p>
    <w:p w:rsidR="006A062F" w:rsidRDefault="006A062F" w:rsidP="00DF1B42">
      <w:pPr>
        <w:autoSpaceDE w:val="0"/>
        <w:adjustRightInd w:val="0"/>
        <w:spacing w:after="0"/>
        <w:rPr>
          <w:rFonts w:cs="ArialMT"/>
          <w:sz w:val="28"/>
          <w:szCs w:val="28"/>
        </w:rPr>
      </w:pPr>
      <w:r>
        <w:rPr>
          <w:rFonts w:cs="ArialMT"/>
          <w:sz w:val="28"/>
          <w:szCs w:val="28"/>
        </w:rPr>
        <w:t>One of the main issues has been establishing fair and useful measures of environmental impacts and potential whole life costs, without adding barriers or being discriminatory. This will aid buyers in making better purchasing decisions</w:t>
      </w:r>
      <w:r w:rsidRPr="00AC1C09">
        <w:rPr>
          <w:rFonts w:cs="ArialMT"/>
          <w:sz w:val="28"/>
          <w:szCs w:val="28"/>
        </w:rPr>
        <w:t xml:space="preserve"> </w:t>
      </w:r>
      <w:r>
        <w:rPr>
          <w:rFonts w:cs="ArialMT"/>
          <w:sz w:val="28"/>
          <w:szCs w:val="28"/>
        </w:rPr>
        <w:t>and deliver savings for the tax-payer, and should encourage the market to be transparent, improve environmental risk and performance management, and increase opportunities for all suppliers.</w:t>
      </w:r>
    </w:p>
    <w:p w:rsidR="006A062F" w:rsidRDefault="006A062F" w:rsidP="00DF1B42">
      <w:pPr>
        <w:autoSpaceDE w:val="0"/>
        <w:adjustRightInd w:val="0"/>
        <w:spacing w:after="0"/>
        <w:rPr>
          <w:rFonts w:cs="ArialMT"/>
          <w:sz w:val="28"/>
          <w:szCs w:val="28"/>
        </w:rPr>
      </w:pPr>
    </w:p>
    <w:p w:rsidR="006A062F" w:rsidRDefault="006A062F" w:rsidP="00DF1B42">
      <w:pPr>
        <w:rPr>
          <w:sz w:val="28"/>
          <w:szCs w:val="28"/>
        </w:rPr>
      </w:pPr>
      <w:r>
        <w:rPr>
          <w:sz w:val="28"/>
          <w:szCs w:val="28"/>
        </w:rPr>
        <w:t>The Government Procurement Service and Defra have further developed ways of i</w:t>
      </w:r>
      <w:r w:rsidRPr="00383DFE">
        <w:rPr>
          <w:sz w:val="28"/>
          <w:szCs w:val="28"/>
        </w:rPr>
        <w:t>ncorporating standards</w:t>
      </w:r>
      <w:r>
        <w:rPr>
          <w:sz w:val="28"/>
          <w:szCs w:val="28"/>
        </w:rPr>
        <w:t xml:space="preserve"> i</w:t>
      </w:r>
      <w:r w:rsidRPr="00383DFE">
        <w:rPr>
          <w:sz w:val="28"/>
          <w:szCs w:val="28"/>
        </w:rPr>
        <w:t>nto the procurement process and supporting buyers</w:t>
      </w:r>
      <w:r>
        <w:rPr>
          <w:sz w:val="28"/>
          <w:szCs w:val="28"/>
        </w:rPr>
        <w:t xml:space="preserve">. </w:t>
      </w:r>
      <w:r w:rsidRPr="00383DFE">
        <w:rPr>
          <w:sz w:val="28"/>
          <w:szCs w:val="28"/>
        </w:rPr>
        <w:t xml:space="preserve">For example, the G-Cloud ii procurement aligned suppliers to </w:t>
      </w:r>
      <w:r>
        <w:rPr>
          <w:sz w:val="28"/>
          <w:szCs w:val="28"/>
        </w:rPr>
        <w:t xml:space="preserve">the </w:t>
      </w:r>
      <w:r w:rsidRPr="00383DFE">
        <w:rPr>
          <w:sz w:val="28"/>
          <w:szCs w:val="28"/>
        </w:rPr>
        <w:t>Green</w:t>
      </w:r>
      <w:r>
        <w:rPr>
          <w:sz w:val="28"/>
          <w:szCs w:val="28"/>
        </w:rPr>
        <w:t>ing Government</w:t>
      </w:r>
      <w:r w:rsidRPr="00383DFE">
        <w:rPr>
          <w:sz w:val="28"/>
          <w:szCs w:val="28"/>
        </w:rPr>
        <w:t xml:space="preserve"> ICT Strategy commitments by supporting best practices such as the EU Code of Conduct for </w:t>
      </w:r>
      <w:r>
        <w:rPr>
          <w:sz w:val="28"/>
          <w:szCs w:val="28"/>
        </w:rPr>
        <w:t>data centre</w:t>
      </w:r>
      <w:r w:rsidRPr="00383DFE">
        <w:rPr>
          <w:sz w:val="28"/>
          <w:szCs w:val="28"/>
        </w:rPr>
        <w:t xml:space="preserve"> operations </w:t>
      </w:r>
      <w:r w:rsidRPr="00383DFE">
        <w:rPr>
          <w:rFonts w:cs="Arial"/>
          <w:sz w:val="28"/>
          <w:szCs w:val="28"/>
        </w:rPr>
        <w:t>(EU CoC)</w:t>
      </w:r>
      <w:r w:rsidRPr="00383DFE">
        <w:rPr>
          <w:rStyle w:val="FootnoteReference"/>
          <w:rFonts w:ascii="Arial" w:hAnsi="Arial" w:cs="Arial"/>
          <w:sz w:val="28"/>
          <w:szCs w:val="28"/>
        </w:rPr>
        <w:footnoteReference w:id="5"/>
      </w:r>
      <w:r w:rsidRPr="00383DFE">
        <w:rPr>
          <w:sz w:val="28"/>
          <w:szCs w:val="28"/>
        </w:rPr>
        <w:t xml:space="preserve"> in call-off contracts with customers.</w:t>
      </w:r>
      <w:r>
        <w:rPr>
          <w:sz w:val="28"/>
          <w:szCs w:val="28"/>
        </w:rPr>
        <w:t xml:space="preserve"> </w:t>
      </w:r>
      <w:r w:rsidRPr="00A56909">
        <w:rPr>
          <w:sz w:val="28"/>
          <w:szCs w:val="28"/>
        </w:rPr>
        <w:t>The approach has been to identify standards and benchmarks that shine a light on good sustainability performance and provide opportunities, not barriers or ways to exclude. We have seen a significant growth in oppo</w:t>
      </w:r>
      <w:r>
        <w:rPr>
          <w:sz w:val="28"/>
          <w:szCs w:val="28"/>
        </w:rPr>
        <w:t>rtunities for all suppliers, and in particular</w:t>
      </w:r>
      <w:r w:rsidRPr="00A56909">
        <w:rPr>
          <w:sz w:val="28"/>
          <w:szCs w:val="28"/>
        </w:rPr>
        <w:t xml:space="preserve"> SMEs, to gain access to public sector opportunities, notably with initiatives such as G-Cloud. </w:t>
      </w:r>
      <w:bookmarkStart w:id="24" w:name="_Toc328752896"/>
      <w:bookmarkEnd w:id="23"/>
    </w:p>
    <w:p w:rsidR="006A062F" w:rsidRDefault="006A062F" w:rsidP="00DF1B42">
      <w:pPr>
        <w:rPr>
          <w:sz w:val="28"/>
          <w:szCs w:val="28"/>
        </w:rPr>
      </w:pPr>
    </w:p>
    <w:p w:rsidR="006A062F" w:rsidRDefault="006A062F" w:rsidP="00DF1B42">
      <w:pPr>
        <w:rPr>
          <w:sz w:val="28"/>
          <w:szCs w:val="28"/>
        </w:rPr>
      </w:pPr>
    </w:p>
    <w:p w:rsidR="006A062F" w:rsidRDefault="006A062F" w:rsidP="00DF1B42">
      <w:pPr>
        <w:rPr>
          <w:sz w:val="28"/>
          <w:szCs w:val="28"/>
        </w:rPr>
      </w:pPr>
    </w:p>
    <w:p w:rsidR="006A062F" w:rsidRPr="00362126" w:rsidRDefault="006A062F" w:rsidP="00497D69">
      <w:pPr>
        <w:pStyle w:val="Heading1"/>
        <w:rPr>
          <w:sz w:val="32"/>
          <w:szCs w:val="32"/>
        </w:rPr>
      </w:pPr>
      <w:r>
        <w:rPr>
          <w:noProof/>
          <w:lang w:val="en-US" w:eastAsia="en-US"/>
        </w:rPr>
        <w:pict>
          <v:rect id="Rectangle 4" o:spid="_x0000_s1028" style="position:absolute;margin-left:336pt;margin-top:40.4pt;width:154pt;height:146pt;flip:x;z-index:251660288;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" fillcolor="#4b116f" stroked="f">
            <v:shadow on="t" color="#205867" opacity=".5" offset="6pt,6pt"/>
            <v:textbox inset="21.6pt,21.6pt,21.6pt,21.6pt">
              <w:txbxContent>
                <w:p w:rsidR="006A062F" w:rsidRPr="005A2AF1" w:rsidRDefault="006A062F" w:rsidP="00F80797">
                  <w:pPr>
                    <w:autoSpaceDE w:val="0"/>
                    <w:jc w:val="center"/>
                  </w:pPr>
                  <w:r w:rsidRPr="005A2AF1">
                    <w:rPr>
                      <w:rFonts w:cs="Arial"/>
                      <w:color w:val="FFFFFF"/>
                    </w:rPr>
                    <w:t>Maturity model target</w:t>
                  </w:r>
                </w:p>
                <w:p w:rsidR="006A062F" w:rsidRPr="005A2AF1" w:rsidRDefault="006A062F" w:rsidP="00F80797">
                  <w:r>
                    <w:rPr>
                      <w:rFonts w:cs="Calibri"/>
                      <w:b/>
                      <w:sz w:val="28"/>
                      <w:szCs w:val="28"/>
                    </w:rPr>
                    <w:t>Seven</w:t>
                  </w:r>
                  <w:r w:rsidRPr="005A2AF1">
                    <w:rPr>
                      <w:rFonts w:cs="Calibri"/>
                    </w:rPr>
                    <w:t xml:space="preserve"> departments have already met or exceeded the 2015 target of level 3 of the maturity model. </w:t>
                  </w:r>
                </w:p>
              </w:txbxContent>
            </v:textbox>
            <w10:wrap type="square" anchorx="margin" anchory="margin"/>
          </v:rect>
        </w:pict>
      </w:r>
      <w:r>
        <w:t>6 Maturity model assessment</w:t>
      </w:r>
      <w:bookmarkEnd w:id="24"/>
      <w:r>
        <w:rPr>
          <w:rStyle w:val="FootnoteReference"/>
        </w:rPr>
        <w:footnoteReference w:id="6"/>
      </w:r>
      <w:bookmarkEnd w:id="2"/>
      <w:r>
        <w:t xml:space="preserve"> </w:t>
      </w:r>
    </w:p>
    <w:p w:rsidR="006A062F" w:rsidRDefault="006A062F" w:rsidP="00D53D1C">
      <w:pPr>
        <w:rPr>
          <w:sz w:val="28"/>
          <w:szCs w:val="28"/>
        </w:rPr>
      </w:pPr>
      <w:r>
        <w:rPr>
          <w:b/>
          <w:sz w:val="36"/>
          <w:szCs w:val="36"/>
        </w:rPr>
        <w:t xml:space="preserve">Fifteen </w:t>
      </w:r>
      <w:r w:rsidRPr="00BF0851">
        <w:rPr>
          <w:sz w:val="28"/>
          <w:szCs w:val="28"/>
        </w:rPr>
        <w:t>departments completed the maturity assessment</w:t>
      </w:r>
      <w:r>
        <w:rPr>
          <w:sz w:val="28"/>
          <w:szCs w:val="28"/>
        </w:rPr>
        <w:t xml:space="preserve"> this year, an increase of three from last year</w:t>
      </w:r>
      <w:r w:rsidRPr="00BF0851">
        <w:rPr>
          <w:sz w:val="28"/>
          <w:szCs w:val="28"/>
        </w:rPr>
        <w:t>. The following graphic</w:t>
      </w:r>
      <w:r>
        <w:rPr>
          <w:sz w:val="28"/>
          <w:szCs w:val="28"/>
        </w:rPr>
        <w:t xml:space="preserve">s are therefore based on percentages rather than counts of departments. </w:t>
      </w:r>
    </w:p>
    <w:p w:rsidR="006A062F" w:rsidRDefault="006A062F" w:rsidP="00D53D1C">
      <w:pPr>
        <w:rPr>
          <w:sz w:val="28"/>
          <w:szCs w:val="28"/>
        </w:rPr>
      </w:pPr>
      <w:r>
        <w:rPr>
          <w:sz w:val="28"/>
          <w:szCs w:val="28"/>
        </w:rPr>
        <w:t>The overall position shows,  for government</w:t>
      </w:r>
      <w:r w:rsidRPr="00BF0851">
        <w:rPr>
          <w:sz w:val="28"/>
          <w:szCs w:val="28"/>
        </w:rPr>
        <w:t xml:space="preserve"> </w:t>
      </w:r>
      <w:r>
        <w:rPr>
          <w:sz w:val="28"/>
          <w:szCs w:val="28"/>
        </w:rPr>
        <w:t xml:space="preserve">departments: </w:t>
      </w:r>
    </w:p>
    <w:p w:rsidR="006A062F" w:rsidRPr="00ED6469" w:rsidRDefault="006A062F" w:rsidP="00D53D1C">
      <w:pPr>
        <w:pStyle w:val="ListParagraph"/>
        <w:numPr>
          <w:ilvl w:val="0"/>
          <w:numId w:val="11"/>
        </w:numPr>
        <w:rPr>
          <w:rFonts w:ascii="Calibri" w:hAnsi="Calibri"/>
          <w:sz w:val="28"/>
          <w:szCs w:val="28"/>
        </w:rPr>
      </w:pPr>
      <w:r w:rsidRPr="00ED6469">
        <w:rPr>
          <w:rFonts w:ascii="Calibri" w:hAnsi="Calibri"/>
          <w:sz w:val="28"/>
          <w:szCs w:val="28"/>
        </w:rPr>
        <w:t xml:space="preserve">an average </w:t>
      </w:r>
      <w:r>
        <w:rPr>
          <w:rFonts w:ascii="Calibri" w:hAnsi="Calibri"/>
          <w:b/>
          <w:sz w:val="36"/>
          <w:szCs w:val="36"/>
        </w:rPr>
        <w:t>2.9</w:t>
      </w:r>
      <w:r w:rsidRPr="00ED6469">
        <w:rPr>
          <w:rFonts w:ascii="Calibri" w:hAnsi="Calibri"/>
          <w:sz w:val="28"/>
          <w:szCs w:val="28"/>
        </w:rPr>
        <w:t xml:space="preserve"> level of maturity </w:t>
      </w:r>
      <w:r>
        <w:rPr>
          <w:rFonts w:ascii="Calibri" w:hAnsi="Calibri"/>
          <w:sz w:val="28"/>
          <w:szCs w:val="28"/>
        </w:rPr>
        <w:t xml:space="preserve">up from </w:t>
      </w:r>
      <w:r>
        <w:rPr>
          <w:rFonts w:ascii="Calibri" w:hAnsi="Calibri"/>
          <w:b/>
          <w:sz w:val="36"/>
          <w:szCs w:val="36"/>
        </w:rPr>
        <w:t>2.4</w:t>
      </w:r>
      <w:r>
        <w:rPr>
          <w:rFonts w:ascii="Calibri" w:hAnsi="Calibri"/>
          <w:b/>
          <w:sz w:val="28"/>
          <w:szCs w:val="28"/>
        </w:rPr>
        <w:t xml:space="preserve"> </w:t>
      </w:r>
      <w:r w:rsidRPr="0013568E">
        <w:rPr>
          <w:rFonts w:ascii="Calibri" w:hAnsi="Calibri"/>
          <w:sz w:val="28"/>
          <w:szCs w:val="28"/>
        </w:rPr>
        <w:t>last year</w:t>
      </w:r>
    </w:p>
    <w:p w:rsidR="006A062F" w:rsidRPr="00ED6469" w:rsidRDefault="006A062F" w:rsidP="00D53D1C">
      <w:pPr>
        <w:pStyle w:val="ListParagraph"/>
        <w:numPr>
          <w:ilvl w:val="0"/>
          <w:numId w:val="11"/>
        </w:numPr>
        <w:rPr>
          <w:rFonts w:ascii="Calibri" w:hAnsi="Calibri"/>
          <w:sz w:val="28"/>
          <w:szCs w:val="28"/>
        </w:rPr>
      </w:pPr>
      <w:r w:rsidRPr="00ED6469">
        <w:rPr>
          <w:rFonts w:ascii="Calibri" w:hAnsi="Calibri"/>
          <w:sz w:val="28"/>
          <w:szCs w:val="28"/>
        </w:rPr>
        <w:t xml:space="preserve">an average level of ambition at </w:t>
      </w:r>
      <w:r w:rsidRPr="0013568E">
        <w:rPr>
          <w:rFonts w:ascii="Calibri" w:hAnsi="Calibri"/>
          <w:b/>
          <w:sz w:val="36"/>
          <w:szCs w:val="36"/>
        </w:rPr>
        <w:t>3.</w:t>
      </w:r>
      <w:r>
        <w:rPr>
          <w:rFonts w:ascii="Calibri" w:hAnsi="Calibri"/>
          <w:b/>
          <w:sz w:val="36"/>
          <w:szCs w:val="36"/>
        </w:rPr>
        <w:t>8</w:t>
      </w:r>
      <w:r w:rsidRPr="00ED6469">
        <w:rPr>
          <w:rFonts w:ascii="Calibri" w:hAnsi="Calibri"/>
          <w:sz w:val="28"/>
          <w:szCs w:val="28"/>
        </w:rPr>
        <w:t xml:space="preserve"> this year up from </w:t>
      </w:r>
      <w:r w:rsidRPr="0013568E">
        <w:rPr>
          <w:rFonts w:ascii="Calibri" w:hAnsi="Calibri"/>
          <w:b/>
          <w:sz w:val="36"/>
          <w:szCs w:val="36"/>
        </w:rPr>
        <w:t>3.</w:t>
      </w:r>
      <w:r>
        <w:rPr>
          <w:rFonts w:ascii="Calibri" w:hAnsi="Calibri"/>
          <w:b/>
          <w:sz w:val="36"/>
          <w:szCs w:val="36"/>
        </w:rPr>
        <w:t>5</w:t>
      </w:r>
      <w:r w:rsidRPr="00ED6469">
        <w:rPr>
          <w:rFonts w:ascii="Calibri" w:hAnsi="Calibri"/>
          <w:sz w:val="28"/>
          <w:szCs w:val="28"/>
        </w:rPr>
        <w:t xml:space="preserve"> last year</w:t>
      </w:r>
    </w:p>
    <w:p w:rsidR="006A062F" w:rsidRDefault="006A062F" w:rsidP="00F53719">
      <w:pPr>
        <w:rPr>
          <w:b/>
          <w:noProof/>
          <w:sz w:val="24"/>
          <w:szCs w:val="24"/>
        </w:rPr>
      </w:pPr>
    </w:p>
    <w:p w:rsidR="006A062F" w:rsidRDefault="006A062F" w:rsidP="00F53719">
      <w:pPr>
        <w:rPr>
          <w:b/>
          <w:noProof/>
          <w:sz w:val="24"/>
          <w:szCs w:val="24"/>
        </w:rPr>
      </w:pPr>
      <w:r>
        <w:rPr>
          <w:b/>
          <w:noProof/>
          <w:sz w:val="24"/>
          <w:szCs w:val="24"/>
        </w:rPr>
        <w:t xml:space="preserve"> </w:t>
      </w:r>
      <w:r w:rsidRPr="00A56909">
        <w:rPr>
          <w:b/>
          <w:bCs/>
          <w:sz w:val="24"/>
          <w:szCs w:val="24"/>
        </w:rPr>
        <w:t xml:space="preserve">Figure 1 </w:t>
      </w:r>
      <w:r>
        <w:rPr>
          <w:b/>
          <w:bCs/>
          <w:sz w:val="24"/>
          <w:szCs w:val="24"/>
        </w:rPr>
        <w:t xml:space="preserve">- </w:t>
      </w:r>
      <w:r>
        <w:rPr>
          <w:b/>
          <w:noProof/>
          <w:sz w:val="24"/>
          <w:szCs w:val="24"/>
        </w:rPr>
        <w:t>Level of ambition and ach</w:t>
      </w:r>
      <w:r w:rsidRPr="004E5489">
        <w:rPr>
          <w:b/>
          <w:noProof/>
          <w:sz w:val="24"/>
          <w:szCs w:val="24"/>
        </w:rPr>
        <w:t>i</w:t>
      </w:r>
      <w:r>
        <w:rPr>
          <w:b/>
          <w:noProof/>
          <w:sz w:val="24"/>
          <w:szCs w:val="24"/>
        </w:rPr>
        <w:t>evement by cate</w:t>
      </w:r>
      <w:r w:rsidRPr="004E5489">
        <w:rPr>
          <w:b/>
          <w:noProof/>
          <w:sz w:val="24"/>
          <w:szCs w:val="24"/>
        </w:rPr>
        <w:t>gory</w:t>
      </w:r>
    </w:p>
    <w:p w:rsidR="006A062F" w:rsidRDefault="006A062F" w:rsidP="007E2B9F">
      <w:pPr>
        <w:rPr>
          <w:sz w:val="28"/>
          <w:szCs w:val="28"/>
        </w:rPr>
      </w:pPr>
      <w:r w:rsidRPr="002118A2">
        <w:rPr>
          <w:noProof/>
          <w:lang w:val="en-US" w:eastAsia="en-US"/>
        </w:rPr>
        <w:pict>
          <v:shape id="Picture 9" o:spid="_x0000_i1027" type="#_x0000_t75" style="width:465pt;height:261pt;visibility:visible">
            <v:imagedata r:id="rId19" o:title=""/>
          </v:shape>
        </w:pict>
      </w:r>
    </w:p>
    <w:p w:rsidR="006A062F" w:rsidRDefault="006A062F" w:rsidP="007E2B9F">
      <w:pPr>
        <w:rPr>
          <w:sz w:val="28"/>
          <w:szCs w:val="28"/>
        </w:rPr>
      </w:pPr>
    </w:p>
    <w:p w:rsidR="006A062F" w:rsidRDefault="006A062F" w:rsidP="007E2B9F">
      <w:pPr>
        <w:rPr>
          <w:sz w:val="28"/>
          <w:szCs w:val="28"/>
        </w:rPr>
      </w:pPr>
    </w:p>
    <w:p w:rsidR="006A062F" w:rsidRDefault="006A062F" w:rsidP="007E2B9F">
      <w:pPr>
        <w:rPr>
          <w:sz w:val="28"/>
          <w:szCs w:val="28"/>
        </w:rPr>
      </w:pPr>
      <w:r>
        <w:rPr>
          <w:sz w:val="28"/>
          <w:szCs w:val="28"/>
        </w:rPr>
        <w:t>Figure 2 below s</w:t>
      </w:r>
      <w:r w:rsidRPr="002B39A4">
        <w:rPr>
          <w:sz w:val="28"/>
          <w:szCs w:val="28"/>
        </w:rPr>
        <w:t>hows</w:t>
      </w:r>
      <w:r w:rsidRPr="00E75ABD">
        <w:rPr>
          <w:sz w:val="28"/>
          <w:szCs w:val="28"/>
        </w:rPr>
        <w:t xml:space="preserve"> </w:t>
      </w:r>
      <w:r w:rsidRPr="00362126">
        <w:rPr>
          <w:sz w:val="28"/>
          <w:szCs w:val="28"/>
        </w:rPr>
        <w:t>the proportion of departments achieving level 3 or higher for each category</w:t>
      </w:r>
      <w:r>
        <w:rPr>
          <w:sz w:val="28"/>
          <w:szCs w:val="28"/>
        </w:rPr>
        <w:t xml:space="preserve">. This is useful for illustrating </w:t>
      </w:r>
      <w:r w:rsidRPr="002B39A4">
        <w:rPr>
          <w:sz w:val="28"/>
          <w:szCs w:val="28"/>
        </w:rPr>
        <w:t xml:space="preserve">which </w:t>
      </w:r>
      <w:r>
        <w:rPr>
          <w:sz w:val="28"/>
          <w:szCs w:val="28"/>
        </w:rPr>
        <w:t xml:space="preserve">categories </w:t>
      </w:r>
      <w:r w:rsidRPr="002B39A4">
        <w:rPr>
          <w:sz w:val="28"/>
          <w:szCs w:val="28"/>
        </w:rPr>
        <w:t xml:space="preserve">of IT service are most mature and </w:t>
      </w:r>
      <w:r>
        <w:rPr>
          <w:sz w:val="28"/>
          <w:szCs w:val="28"/>
        </w:rPr>
        <w:t>the areas where</w:t>
      </w:r>
      <w:r w:rsidRPr="002B39A4">
        <w:rPr>
          <w:sz w:val="28"/>
          <w:szCs w:val="28"/>
        </w:rPr>
        <w:t xml:space="preserve"> </w:t>
      </w:r>
      <w:r>
        <w:rPr>
          <w:sz w:val="28"/>
          <w:szCs w:val="28"/>
        </w:rPr>
        <w:t xml:space="preserve">departments </w:t>
      </w:r>
      <w:r w:rsidRPr="002B39A4">
        <w:rPr>
          <w:sz w:val="28"/>
          <w:szCs w:val="28"/>
        </w:rPr>
        <w:t>fac</w:t>
      </w:r>
      <w:r>
        <w:rPr>
          <w:sz w:val="28"/>
          <w:szCs w:val="28"/>
        </w:rPr>
        <w:t>e</w:t>
      </w:r>
      <w:r w:rsidRPr="002B39A4">
        <w:rPr>
          <w:sz w:val="28"/>
          <w:szCs w:val="28"/>
        </w:rPr>
        <w:t xml:space="preserve"> </w:t>
      </w:r>
      <w:r>
        <w:rPr>
          <w:sz w:val="28"/>
          <w:szCs w:val="28"/>
        </w:rPr>
        <w:t>more challenge.</w:t>
      </w:r>
    </w:p>
    <w:p w:rsidR="006A062F" w:rsidRDefault="006A062F" w:rsidP="007E2B9F">
      <w:pPr>
        <w:rPr>
          <w:b/>
          <w:bCs/>
          <w:sz w:val="24"/>
          <w:szCs w:val="24"/>
        </w:rPr>
      </w:pPr>
    </w:p>
    <w:p w:rsidR="006A062F" w:rsidRDefault="006A062F" w:rsidP="007E2B9F">
      <w:pPr>
        <w:rPr>
          <w:b/>
          <w:bCs/>
          <w:sz w:val="24"/>
          <w:szCs w:val="24"/>
        </w:rPr>
      </w:pPr>
      <w:r w:rsidRPr="00A56909">
        <w:rPr>
          <w:b/>
          <w:bCs/>
          <w:sz w:val="24"/>
          <w:szCs w:val="24"/>
        </w:rPr>
        <w:t>Figure</w:t>
      </w:r>
      <w:r>
        <w:rPr>
          <w:b/>
          <w:bCs/>
          <w:sz w:val="24"/>
          <w:szCs w:val="24"/>
        </w:rPr>
        <w:t xml:space="preserve"> 2 - Percentage of departments achieving Level 3 maturity by end 2013</w:t>
      </w:r>
    </w:p>
    <w:p w:rsidR="006A062F" w:rsidRPr="007E2B9F" w:rsidRDefault="006A062F" w:rsidP="007E2B9F">
      <w:pPr>
        <w:rPr>
          <w:sz w:val="28"/>
          <w:szCs w:val="28"/>
        </w:rPr>
      </w:pPr>
      <w:r w:rsidRPr="002118A2">
        <w:rPr>
          <w:noProof/>
          <w:lang w:val="en-US" w:eastAsia="en-US"/>
        </w:rPr>
        <w:pict>
          <v:shape id="Chart 7" o:spid="_x0000_i1028" type="#_x0000_t75" style="width:425.25pt;height:25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">
            <v:imagedata r:id="rId20" o:title=""/>
            <o:lock v:ext="edit" aspectratio="f"/>
          </v:shape>
        </w:pict>
      </w:r>
    </w:p>
    <w:p w:rsidR="006A062F" w:rsidRDefault="006A062F">
      <w:pPr>
        <w:rPr>
          <w:b/>
          <w:bCs/>
          <w:sz w:val="24"/>
          <w:szCs w:val="24"/>
        </w:rPr>
      </w:pPr>
    </w:p>
    <w:p w:rsidR="006A062F" w:rsidRDefault="006A062F">
      <w:pPr>
        <w:rPr>
          <w:b/>
          <w:bCs/>
          <w:sz w:val="24"/>
          <w:szCs w:val="24"/>
        </w:rPr>
      </w:pPr>
    </w:p>
    <w:p w:rsidR="006A062F" w:rsidRDefault="006A062F">
      <w:pPr>
        <w:rPr>
          <w:b/>
          <w:bCs/>
          <w:sz w:val="24"/>
          <w:szCs w:val="24"/>
        </w:rPr>
      </w:pPr>
    </w:p>
    <w:p w:rsidR="006A062F" w:rsidRDefault="006A062F">
      <w:pPr>
        <w:rPr>
          <w:b/>
          <w:bCs/>
          <w:sz w:val="24"/>
          <w:szCs w:val="24"/>
        </w:rPr>
      </w:pPr>
    </w:p>
    <w:p w:rsidR="006A062F" w:rsidRDefault="006A062F">
      <w:pPr>
        <w:rPr>
          <w:b/>
          <w:bCs/>
          <w:sz w:val="24"/>
          <w:szCs w:val="24"/>
        </w:rPr>
      </w:pPr>
    </w:p>
    <w:p w:rsidR="006A062F" w:rsidRDefault="006A062F">
      <w:pPr>
        <w:rPr>
          <w:b/>
          <w:bCs/>
          <w:sz w:val="24"/>
          <w:szCs w:val="24"/>
        </w:rPr>
      </w:pPr>
    </w:p>
    <w:p w:rsidR="006A062F" w:rsidRDefault="006A062F">
      <w:pPr>
        <w:rPr>
          <w:b/>
          <w:bCs/>
          <w:sz w:val="24"/>
          <w:szCs w:val="24"/>
        </w:rPr>
      </w:pPr>
    </w:p>
    <w:p w:rsidR="006A062F" w:rsidRDefault="006A062F">
      <w:pPr>
        <w:rPr>
          <w:b/>
          <w:bCs/>
          <w:sz w:val="24"/>
          <w:szCs w:val="24"/>
        </w:rPr>
      </w:pPr>
    </w:p>
    <w:p w:rsidR="006A062F" w:rsidRDefault="006A062F">
      <w:pPr>
        <w:rPr>
          <w:b/>
          <w:bCs/>
          <w:sz w:val="24"/>
          <w:szCs w:val="24"/>
        </w:rPr>
      </w:pPr>
    </w:p>
    <w:p w:rsidR="006A062F" w:rsidRDefault="006A062F">
      <w:pPr>
        <w:rPr>
          <w:b/>
          <w:bCs/>
          <w:sz w:val="24"/>
          <w:szCs w:val="24"/>
        </w:rPr>
      </w:pPr>
    </w:p>
    <w:p w:rsidR="006A062F" w:rsidRDefault="006A062F">
      <w:pPr>
        <w:rPr>
          <w:b/>
          <w:bCs/>
          <w:sz w:val="24"/>
          <w:szCs w:val="24"/>
        </w:rPr>
      </w:pPr>
    </w:p>
    <w:p w:rsidR="006A062F" w:rsidRPr="00362126" w:rsidRDefault="006A062F" w:rsidP="00497D69">
      <w:pPr>
        <w:pStyle w:val="Heading1"/>
        <w:rPr>
          <w:sz w:val="32"/>
          <w:szCs w:val="32"/>
        </w:rPr>
      </w:pPr>
      <w:bookmarkStart w:id="25" w:name="_Toc360802564"/>
      <w:r>
        <w:t>7 Roadmap assessment</w:t>
      </w:r>
      <w:r>
        <w:rPr>
          <w:rStyle w:val="FootnoteReference"/>
        </w:rPr>
        <w:footnoteReference w:id="7"/>
      </w:r>
      <w:bookmarkEnd w:id="25"/>
    </w:p>
    <w:p w:rsidR="006A062F" w:rsidRPr="004A1175" w:rsidRDefault="006A062F" w:rsidP="004A1175">
      <w:pPr>
        <w:pStyle w:val="NormalWeb"/>
        <w:rPr>
          <w:sz w:val="28"/>
          <w:szCs w:val="28"/>
        </w:rPr>
      </w:pPr>
      <w:r w:rsidRPr="00360D8C">
        <w:rPr>
          <w:rFonts w:ascii="Calibri" w:hAnsi="Calibri"/>
          <w:b/>
          <w:bCs/>
          <w:sz w:val="36"/>
          <w:szCs w:val="36"/>
        </w:rPr>
        <w:t>Sixteen</w:t>
      </w:r>
      <w:r w:rsidRPr="004A1175">
        <w:rPr>
          <w:rFonts w:ascii="Calibri" w:hAnsi="Calibri"/>
          <w:sz w:val="28"/>
          <w:szCs w:val="28"/>
        </w:rPr>
        <w:t xml:space="preserve"> Government Departments provided assessments – 4 more than last year- demonstrating their achievement of Key Target Outcomes (KTO) through the utilisation of best practices from the Green ICT Workbook.  </w:t>
      </w:r>
    </w:p>
    <w:p w:rsidR="006A062F" w:rsidRPr="004A1175" w:rsidRDefault="006A062F" w:rsidP="004A1175">
      <w:pPr>
        <w:pStyle w:val="NormalWeb"/>
        <w:rPr>
          <w:sz w:val="28"/>
          <w:szCs w:val="28"/>
        </w:rPr>
      </w:pPr>
      <w:r w:rsidRPr="004A1175">
        <w:rPr>
          <w:rFonts w:ascii="Calibri" w:hAnsi="Calibri"/>
          <w:sz w:val="28"/>
          <w:szCs w:val="28"/>
        </w:rPr>
        <w:t>Returns show good levels of achievement around</w:t>
      </w:r>
      <w:r w:rsidRPr="004A1175">
        <w:rPr>
          <w:sz w:val="28"/>
          <w:szCs w:val="28"/>
        </w:rPr>
        <w:t xml:space="preserve"> </w:t>
      </w:r>
      <w:r w:rsidRPr="004A1175">
        <w:rPr>
          <w:rFonts w:ascii="Calibri" w:hAnsi="Calibri"/>
          <w:sz w:val="28"/>
          <w:szCs w:val="28"/>
        </w:rPr>
        <w:t>printing, procurement, energy management and recycling, with more to be done in tackling the back office IT services i.e. storage, data centres and networks. Some departments have moved back to planning activities for some of their KTOs as they switch their focus to achieve the target of meeting 10 out of 14 by April 2015. Overall,</w:t>
      </w:r>
      <w:r>
        <w:rPr>
          <w:b/>
          <w:bCs/>
          <w:sz w:val="28"/>
          <w:szCs w:val="28"/>
        </w:rPr>
        <w:t> </w:t>
      </w:r>
      <w:r w:rsidRPr="00360D8C">
        <w:rPr>
          <w:rFonts w:ascii="Calibri" w:hAnsi="Calibri"/>
          <w:b/>
          <w:bCs/>
          <w:sz w:val="36"/>
          <w:szCs w:val="36"/>
        </w:rPr>
        <w:t>two</w:t>
      </w:r>
      <w:r w:rsidRPr="004A1175">
        <w:rPr>
          <w:rFonts w:ascii="Calibri" w:hAnsi="Calibri"/>
          <w:sz w:val="28"/>
          <w:szCs w:val="28"/>
        </w:rPr>
        <w:t xml:space="preserve"> Government Departments have already achieved the target of 10 or more KTOs with</w:t>
      </w:r>
      <w:r w:rsidRPr="004A1175">
        <w:rPr>
          <w:b/>
          <w:bCs/>
          <w:sz w:val="28"/>
          <w:szCs w:val="28"/>
        </w:rPr>
        <w:t xml:space="preserve"> </w:t>
      </w:r>
      <w:r w:rsidRPr="00360D8C">
        <w:rPr>
          <w:rFonts w:ascii="Calibri" w:hAnsi="Calibri"/>
          <w:b/>
          <w:bCs/>
          <w:sz w:val="36"/>
          <w:szCs w:val="36"/>
        </w:rPr>
        <w:t>twelve</w:t>
      </w:r>
      <w:r w:rsidRPr="004A1175">
        <w:rPr>
          <w:rFonts w:ascii="Calibri" w:hAnsi="Calibri"/>
          <w:sz w:val="28"/>
          <w:szCs w:val="28"/>
        </w:rPr>
        <w:t xml:space="preserve"> other Government Departments having work in progress to reach this target.</w:t>
      </w:r>
    </w:p>
    <w:p w:rsidR="006A062F" w:rsidRPr="00BF0851" w:rsidRDefault="006A062F" w:rsidP="00DF1B42">
      <w:pPr>
        <w:rPr>
          <w:rFonts w:cs="Calibri"/>
          <w:sz w:val="28"/>
          <w:szCs w:val="28"/>
        </w:rPr>
      </w:pPr>
      <w:r w:rsidRPr="00BF0851">
        <w:rPr>
          <w:rFonts w:cs="Calibri"/>
          <w:sz w:val="28"/>
          <w:szCs w:val="28"/>
        </w:rPr>
        <w:t>The following figures show</w:t>
      </w:r>
      <w:r>
        <w:rPr>
          <w:rFonts w:cs="Calibri"/>
          <w:sz w:val="28"/>
          <w:szCs w:val="28"/>
        </w:rPr>
        <w:t>:</w:t>
      </w:r>
      <w:r w:rsidRPr="00BF0851">
        <w:rPr>
          <w:rFonts w:cs="Calibri"/>
          <w:sz w:val="28"/>
          <w:szCs w:val="28"/>
        </w:rPr>
        <w:t xml:space="preserve"> </w:t>
      </w:r>
    </w:p>
    <w:p w:rsidR="006A062F" w:rsidRPr="00B52C42" w:rsidRDefault="006A062F" w:rsidP="00DF1B42">
      <w:pPr>
        <w:pStyle w:val="TOC1"/>
        <w:rPr>
          <w:b w:val="0"/>
          <w:color w:val="4B116F"/>
          <w:sz w:val="28"/>
          <w:szCs w:val="28"/>
        </w:rPr>
      </w:pPr>
      <w:r>
        <w:rPr>
          <w:sz w:val="28"/>
          <w:szCs w:val="28"/>
        </w:rPr>
        <w:t>Figure 3</w:t>
      </w:r>
      <w:r w:rsidRPr="00B52C42">
        <w:rPr>
          <w:sz w:val="28"/>
          <w:szCs w:val="28"/>
        </w:rPr>
        <w:t>.</w:t>
      </w:r>
      <w:r w:rsidRPr="00B52C42">
        <w:rPr>
          <w:b w:val="0"/>
          <w:sz w:val="28"/>
          <w:szCs w:val="28"/>
        </w:rPr>
        <w:t xml:space="preserve"> </w:t>
      </w:r>
      <w:r>
        <w:rPr>
          <w:b w:val="0"/>
          <w:bCs/>
          <w:sz w:val="28"/>
          <w:szCs w:val="28"/>
        </w:rPr>
        <w:t>the results of the roadmap assessments, these demonstrate adoption of green I</w:t>
      </w:r>
      <w:r w:rsidRPr="00B52C42">
        <w:rPr>
          <w:b w:val="0"/>
          <w:bCs/>
          <w:sz w:val="28"/>
          <w:szCs w:val="28"/>
        </w:rPr>
        <w:t>T practices and principles</w:t>
      </w:r>
      <w:r>
        <w:rPr>
          <w:b w:val="0"/>
          <w:bCs/>
          <w:sz w:val="28"/>
          <w:szCs w:val="28"/>
        </w:rPr>
        <w:t xml:space="preserve"> in organisations</w:t>
      </w:r>
    </w:p>
    <w:p w:rsidR="006A062F" w:rsidRPr="00B52C42" w:rsidRDefault="006A062F" w:rsidP="00DF1B42">
      <w:pPr>
        <w:pStyle w:val="TOC1"/>
        <w:rPr>
          <w:b w:val="0"/>
          <w:color w:val="4B116F"/>
          <w:sz w:val="28"/>
          <w:szCs w:val="28"/>
        </w:rPr>
      </w:pPr>
      <w:r>
        <w:rPr>
          <w:sz w:val="28"/>
          <w:szCs w:val="28"/>
        </w:rPr>
        <w:t>Figure 4</w:t>
      </w:r>
      <w:r w:rsidRPr="00B52C42">
        <w:rPr>
          <w:sz w:val="28"/>
          <w:szCs w:val="28"/>
        </w:rPr>
        <w:t>.</w:t>
      </w:r>
      <w:r>
        <w:rPr>
          <w:b w:val="0"/>
          <w:sz w:val="28"/>
          <w:szCs w:val="28"/>
        </w:rPr>
        <w:t xml:space="preserve"> the number of department</w:t>
      </w:r>
      <w:r w:rsidRPr="00B52C42">
        <w:rPr>
          <w:b w:val="0"/>
          <w:sz w:val="28"/>
          <w:szCs w:val="28"/>
        </w:rPr>
        <w:t>s achieving each KTO i.e. reaching stage five  (achieved) or six (embedded) by the end of March 2013</w:t>
      </w:r>
    </w:p>
    <w:p w:rsidR="006A062F" w:rsidRPr="00A640B7" w:rsidRDefault="006A062F" w:rsidP="00DF1B42">
      <w:pPr>
        <w:rPr>
          <w:sz w:val="28"/>
          <w:szCs w:val="28"/>
        </w:rPr>
      </w:pPr>
      <w:r w:rsidRPr="00A640B7">
        <w:rPr>
          <w:sz w:val="28"/>
          <w:szCs w:val="28"/>
        </w:rPr>
        <w:t>Figure 4 shows at a glance the areas where departments have fully implemented green practices and achieved their target outcomes, it is an indicator of more than just maturity as it shows evidence of full implementation. It also shows the areas still to be implemented which helps the GDU to focus work moving forward on these areas that will be more beneficial to departments.</w:t>
      </w:r>
    </w:p>
    <w:p w:rsidR="006A062F" w:rsidRDefault="006A062F" w:rsidP="00B76949">
      <w:pPr>
        <w:jc w:val="both"/>
        <w:rPr>
          <w:b/>
          <w:bCs/>
          <w:sz w:val="23"/>
          <w:szCs w:val="23"/>
        </w:rPr>
      </w:pPr>
    </w:p>
    <w:p w:rsidR="006A062F" w:rsidRDefault="006A062F" w:rsidP="00B76949">
      <w:pPr>
        <w:jc w:val="both"/>
        <w:rPr>
          <w:b/>
          <w:bCs/>
          <w:sz w:val="23"/>
          <w:szCs w:val="23"/>
        </w:rPr>
      </w:pPr>
    </w:p>
    <w:p w:rsidR="006A062F" w:rsidRDefault="006A062F" w:rsidP="00B76949">
      <w:pPr>
        <w:jc w:val="both"/>
        <w:rPr>
          <w:b/>
          <w:bCs/>
          <w:sz w:val="23"/>
          <w:szCs w:val="23"/>
        </w:rPr>
      </w:pPr>
    </w:p>
    <w:p w:rsidR="006A062F" w:rsidRDefault="006A062F" w:rsidP="00B76949">
      <w:pPr>
        <w:jc w:val="both"/>
        <w:rPr>
          <w:b/>
          <w:bCs/>
          <w:sz w:val="23"/>
          <w:szCs w:val="23"/>
        </w:rPr>
      </w:pPr>
    </w:p>
    <w:p w:rsidR="006A062F" w:rsidRDefault="006A062F" w:rsidP="00B76949">
      <w:pPr>
        <w:jc w:val="both"/>
        <w:rPr>
          <w:b/>
          <w:bCs/>
          <w:sz w:val="23"/>
          <w:szCs w:val="23"/>
        </w:rPr>
      </w:pPr>
    </w:p>
    <w:p w:rsidR="006A062F" w:rsidRDefault="006A062F" w:rsidP="00B76949">
      <w:pPr>
        <w:jc w:val="both"/>
        <w:rPr>
          <w:b/>
          <w:bCs/>
          <w:sz w:val="23"/>
          <w:szCs w:val="23"/>
        </w:rPr>
      </w:pPr>
    </w:p>
    <w:p w:rsidR="006A062F" w:rsidRDefault="006A062F" w:rsidP="00B76949">
      <w:pPr>
        <w:jc w:val="both"/>
        <w:rPr>
          <w:b/>
          <w:bCs/>
          <w:sz w:val="23"/>
          <w:szCs w:val="23"/>
        </w:rPr>
      </w:pPr>
    </w:p>
    <w:p w:rsidR="006A062F" w:rsidRPr="00B31472" w:rsidRDefault="006A062F" w:rsidP="00B76949">
      <w:pPr>
        <w:rPr>
          <w:b/>
          <w:bCs/>
          <w:sz w:val="24"/>
          <w:szCs w:val="24"/>
        </w:rPr>
      </w:pPr>
      <w:r>
        <w:rPr>
          <w:b/>
          <w:bCs/>
          <w:sz w:val="24"/>
          <w:szCs w:val="24"/>
        </w:rPr>
        <w:t>Figure 3</w:t>
      </w:r>
      <w:r w:rsidRPr="00A56909">
        <w:rPr>
          <w:b/>
          <w:bCs/>
          <w:sz w:val="24"/>
          <w:szCs w:val="24"/>
        </w:rPr>
        <w:t xml:space="preserve"> - Roadm</w:t>
      </w:r>
      <w:r>
        <w:rPr>
          <w:b/>
          <w:bCs/>
          <w:sz w:val="24"/>
          <w:szCs w:val="24"/>
        </w:rPr>
        <w:t>ap assessments – progress on a</w:t>
      </w:r>
      <w:r w:rsidRPr="00A56909">
        <w:rPr>
          <w:b/>
          <w:bCs/>
          <w:sz w:val="24"/>
          <w:szCs w:val="24"/>
        </w:rPr>
        <w:t>doption o</w:t>
      </w:r>
      <w:r>
        <w:rPr>
          <w:b/>
          <w:bCs/>
          <w:sz w:val="24"/>
          <w:szCs w:val="24"/>
        </w:rPr>
        <w:t>f green I</w:t>
      </w:r>
      <w:r w:rsidRPr="00A56909">
        <w:rPr>
          <w:b/>
          <w:bCs/>
          <w:sz w:val="24"/>
          <w:szCs w:val="24"/>
        </w:rPr>
        <w:t xml:space="preserve">T practices and principles </w:t>
      </w:r>
    </w:p>
    <w:tbl>
      <w:tblPr>
        <w:tblW w:w="11040" w:type="dxa"/>
        <w:tblInd w:w="-1152" w:type="dxa"/>
        <w:tblLayout w:type="fixed"/>
        <w:tblLook w:val="00A0"/>
      </w:tblPr>
      <w:tblGrid>
        <w:gridCol w:w="1128"/>
        <w:gridCol w:w="558"/>
        <w:gridCol w:w="567"/>
        <w:gridCol w:w="708"/>
        <w:gridCol w:w="708"/>
        <w:gridCol w:w="567"/>
        <w:gridCol w:w="568"/>
        <w:gridCol w:w="709"/>
        <w:gridCol w:w="567"/>
        <w:gridCol w:w="566"/>
        <w:gridCol w:w="567"/>
        <w:gridCol w:w="709"/>
        <w:gridCol w:w="708"/>
        <w:gridCol w:w="567"/>
        <w:gridCol w:w="567"/>
        <w:gridCol w:w="567"/>
        <w:gridCol w:w="709"/>
      </w:tblGrid>
      <w:tr w:rsidR="006A062F" w:rsidRPr="005F38D8" w:rsidTr="004A1175">
        <w:trPr>
          <w:trHeight w:val="430"/>
        </w:trPr>
        <w:tc>
          <w:tcPr>
            <w:tcW w:w="1128" w:type="dxa"/>
            <w:tcBorders>
              <w:top w:val="nil"/>
              <w:left w:val="nil"/>
              <w:bottom w:val="nil"/>
              <w:right w:val="nil"/>
            </w:tcBorders>
            <w:noWrap/>
            <w:vAlign w:val="bottom"/>
          </w:tcPr>
          <w:p w:rsidR="006A062F" w:rsidRPr="005F38D8" w:rsidRDefault="006A062F" w:rsidP="004A1175">
            <w:pPr>
              <w:spacing w:after="0" w:line="240" w:lineRule="auto"/>
              <w:rPr>
                <w:rFonts w:cs="Arial"/>
                <w:b/>
                <w:bCs/>
                <w:sz w:val="18"/>
                <w:szCs w:val="18"/>
              </w:rPr>
            </w:pPr>
            <w:r w:rsidRPr="005F38D8">
              <w:rPr>
                <w:rFonts w:cs="Arial"/>
                <w:b/>
                <w:bCs/>
                <w:sz w:val="18"/>
                <w:szCs w:val="18"/>
              </w:rPr>
              <w:t>Key Target Outcome (KTO)</w:t>
            </w:r>
          </w:p>
        </w:tc>
        <w:tc>
          <w:tcPr>
            <w:tcW w:w="558" w:type="dxa"/>
            <w:tcBorders>
              <w:top w:val="single" w:sz="4" w:space="0" w:color="C0C0C0"/>
              <w:left w:val="single" w:sz="4" w:space="0" w:color="C0C0C0"/>
              <w:bottom w:val="single" w:sz="4" w:space="0" w:color="C0C0C0"/>
              <w:right w:val="single" w:sz="4" w:space="0" w:color="C0C0C0"/>
            </w:tcBorders>
            <w:vAlign w:val="center"/>
          </w:tcPr>
          <w:p w:rsidR="006A062F" w:rsidRDefault="006A062F" w:rsidP="004A1175">
            <w:pPr>
              <w:spacing w:after="0" w:line="240" w:lineRule="auto"/>
              <w:jc w:val="center"/>
              <w:rPr>
                <w:rFonts w:cs="Arial"/>
                <w:b/>
                <w:bCs/>
                <w:sz w:val="16"/>
                <w:szCs w:val="16"/>
              </w:rPr>
            </w:pPr>
            <w:r>
              <w:rPr>
                <w:rFonts w:cs="Arial"/>
                <w:b/>
                <w:bCs/>
                <w:sz w:val="16"/>
                <w:szCs w:val="16"/>
              </w:rPr>
              <w:t>BIS</w:t>
            </w:r>
          </w:p>
          <w:p w:rsidR="006A062F" w:rsidRPr="004058E6" w:rsidRDefault="006A062F" w:rsidP="004A1175">
            <w:pPr>
              <w:spacing w:after="0" w:line="240" w:lineRule="auto"/>
              <w:jc w:val="center"/>
              <w:rPr>
                <w:rFonts w:cs="Arial"/>
                <w:b/>
                <w:bCs/>
                <w:sz w:val="10"/>
                <w:szCs w:val="10"/>
              </w:rPr>
            </w:pPr>
            <w:r w:rsidRPr="004058E6">
              <w:rPr>
                <w:rFonts w:cs="Arial"/>
                <w:b/>
                <w:bCs/>
                <w:sz w:val="10"/>
                <w:szCs w:val="10"/>
              </w:rPr>
              <w:t>(new)</w:t>
            </w:r>
          </w:p>
        </w:tc>
        <w:tc>
          <w:tcPr>
            <w:tcW w:w="567" w:type="dxa"/>
            <w:tcBorders>
              <w:top w:val="single" w:sz="4" w:space="0" w:color="C0C0C0"/>
              <w:left w:val="single" w:sz="4" w:space="0" w:color="C0C0C0"/>
              <w:bottom w:val="single" w:sz="4" w:space="0" w:color="C0C0C0"/>
              <w:right w:val="single" w:sz="4" w:space="0" w:color="C0C0C0"/>
            </w:tcBorders>
            <w:noWrap/>
            <w:vAlign w:val="center"/>
          </w:tcPr>
          <w:p w:rsidR="006A062F" w:rsidRDefault="006A062F" w:rsidP="004A1175">
            <w:pPr>
              <w:spacing w:after="0" w:line="240" w:lineRule="auto"/>
              <w:jc w:val="center"/>
              <w:rPr>
                <w:rFonts w:cs="Arial"/>
                <w:b/>
                <w:bCs/>
                <w:sz w:val="16"/>
                <w:szCs w:val="16"/>
              </w:rPr>
            </w:pPr>
          </w:p>
          <w:p w:rsidR="006A062F" w:rsidRDefault="006A062F" w:rsidP="004A1175">
            <w:pPr>
              <w:spacing w:after="0" w:line="240" w:lineRule="auto"/>
              <w:jc w:val="center"/>
              <w:rPr>
                <w:rFonts w:cs="Arial"/>
                <w:b/>
                <w:bCs/>
                <w:sz w:val="16"/>
                <w:szCs w:val="16"/>
              </w:rPr>
            </w:pPr>
            <w:r w:rsidRPr="005F38D8">
              <w:rPr>
                <w:rFonts w:cs="Arial"/>
                <w:b/>
                <w:bCs/>
                <w:sz w:val="16"/>
                <w:szCs w:val="16"/>
              </w:rPr>
              <w:t>CO</w:t>
            </w:r>
          </w:p>
          <w:p w:rsidR="006A062F" w:rsidRPr="005F38D8" w:rsidRDefault="006A062F" w:rsidP="004A1175">
            <w:pPr>
              <w:spacing w:after="0" w:line="240" w:lineRule="auto"/>
              <w:jc w:val="center"/>
              <w:rPr>
                <w:rFonts w:cs="Arial"/>
                <w:b/>
                <w:bCs/>
                <w:sz w:val="16"/>
                <w:szCs w:val="16"/>
              </w:rPr>
            </w:pPr>
            <w:r w:rsidRPr="004058E6">
              <w:rPr>
                <w:rFonts w:cs="Arial"/>
                <w:b/>
                <w:bCs/>
                <w:sz w:val="10"/>
                <w:szCs w:val="10"/>
              </w:rPr>
              <w:t>(new)</w:t>
            </w:r>
          </w:p>
          <w:p w:rsidR="006A062F" w:rsidRPr="005F38D8" w:rsidRDefault="006A062F" w:rsidP="004A1175">
            <w:pPr>
              <w:spacing w:after="0" w:line="240" w:lineRule="auto"/>
              <w:jc w:val="center"/>
              <w:rPr>
                <w:rFonts w:cs="Arial"/>
                <w:b/>
                <w:bCs/>
                <w:sz w:val="16"/>
                <w:szCs w:val="16"/>
              </w:rPr>
            </w:pPr>
          </w:p>
        </w:tc>
        <w:tc>
          <w:tcPr>
            <w:tcW w:w="708" w:type="dxa"/>
            <w:tcBorders>
              <w:top w:val="single" w:sz="4" w:space="0" w:color="C0C0C0"/>
              <w:left w:val="nil"/>
              <w:bottom w:val="single" w:sz="4" w:space="0" w:color="C0C0C0"/>
              <w:right w:val="nil"/>
            </w:tcBorders>
            <w:vAlign w:val="center"/>
          </w:tcPr>
          <w:p w:rsidR="006A062F" w:rsidRDefault="006A062F" w:rsidP="004A1175">
            <w:pPr>
              <w:spacing w:after="0" w:line="240" w:lineRule="auto"/>
              <w:jc w:val="center"/>
              <w:rPr>
                <w:rFonts w:cs="Arial"/>
                <w:b/>
                <w:bCs/>
                <w:sz w:val="16"/>
                <w:szCs w:val="16"/>
              </w:rPr>
            </w:pPr>
          </w:p>
          <w:p w:rsidR="006A062F" w:rsidRPr="005F38D8" w:rsidRDefault="006A062F" w:rsidP="004A1175">
            <w:pPr>
              <w:spacing w:after="0" w:line="240" w:lineRule="auto"/>
              <w:jc w:val="center"/>
              <w:rPr>
                <w:rFonts w:cs="Arial"/>
                <w:b/>
                <w:bCs/>
                <w:sz w:val="16"/>
                <w:szCs w:val="16"/>
              </w:rPr>
            </w:pPr>
            <w:r w:rsidRPr="005F38D8">
              <w:rPr>
                <w:rFonts w:cs="Arial"/>
                <w:b/>
                <w:bCs/>
                <w:sz w:val="16"/>
                <w:szCs w:val="16"/>
              </w:rPr>
              <w:t>DCLG</w:t>
            </w:r>
          </w:p>
          <w:p w:rsidR="006A062F" w:rsidRPr="005F38D8" w:rsidRDefault="006A062F" w:rsidP="004A1175">
            <w:pPr>
              <w:spacing w:after="0" w:line="240" w:lineRule="auto"/>
              <w:jc w:val="center"/>
              <w:rPr>
                <w:rFonts w:cs="Arial"/>
                <w:b/>
                <w:bCs/>
                <w:sz w:val="16"/>
                <w:szCs w:val="16"/>
              </w:rPr>
            </w:pPr>
          </w:p>
        </w:tc>
        <w:tc>
          <w:tcPr>
            <w:tcW w:w="708" w:type="dxa"/>
            <w:tcBorders>
              <w:top w:val="single" w:sz="4" w:space="0" w:color="C0C0C0"/>
              <w:left w:val="nil"/>
              <w:bottom w:val="single" w:sz="4" w:space="0" w:color="C0C0C0"/>
              <w:right w:val="nil"/>
            </w:tcBorders>
            <w:vAlign w:val="center"/>
          </w:tcPr>
          <w:p w:rsidR="006A062F" w:rsidRDefault="006A062F" w:rsidP="004A1175">
            <w:pPr>
              <w:spacing w:after="0" w:line="240" w:lineRule="auto"/>
              <w:jc w:val="center"/>
              <w:rPr>
                <w:rFonts w:cs="Arial"/>
                <w:b/>
                <w:bCs/>
                <w:sz w:val="16"/>
                <w:szCs w:val="16"/>
              </w:rPr>
            </w:pPr>
            <w:r w:rsidRPr="005F38D8">
              <w:rPr>
                <w:rFonts w:cs="Arial"/>
                <w:b/>
                <w:bCs/>
                <w:sz w:val="16"/>
                <w:szCs w:val="16"/>
              </w:rPr>
              <w:t>DCMS</w:t>
            </w:r>
          </w:p>
          <w:p w:rsidR="006A062F" w:rsidRPr="005F38D8" w:rsidRDefault="006A062F" w:rsidP="004A1175">
            <w:pPr>
              <w:spacing w:after="0" w:line="240" w:lineRule="auto"/>
              <w:jc w:val="center"/>
              <w:rPr>
                <w:rFonts w:cs="Arial"/>
                <w:b/>
                <w:bCs/>
                <w:sz w:val="16"/>
                <w:szCs w:val="16"/>
              </w:rPr>
            </w:pPr>
            <w:r w:rsidRPr="004058E6">
              <w:rPr>
                <w:rFonts w:cs="Arial"/>
                <w:b/>
                <w:bCs/>
                <w:sz w:val="10"/>
                <w:szCs w:val="10"/>
              </w:rPr>
              <w:t>(new)</w:t>
            </w:r>
          </w:p>
        </w:tc>
        <w:tc>
          <w:tcPr>
            <w:tcW w:w="567" w:type="dxa"/>
            <w:tcBorders>
              <w:top w:val="single" w:sz="4" w:space="0" w:color="C0C0C0"/>
              <w:left w:val="nil"/>
              <w:bottom w:val="single" w:sz="4" w:space="0" w:color="C0C0C0"/>
              <w:right w:val="nil"/>
            </w:tcBorders>
            <w:vAlign w:val="center"/>
          </w:tcPr>
          <w:p w:rsidR="006A062F" w:rsidRDefault="006A062F" w:rsidP="004A1175">
            <w:pPr>
              <w:spacing w:after="0" w:line="240" w:lineRule="auto"/>
              <w:jc w:val="center"/>
              <w:rPr>
                <w:rFonts w:cs="Arial"/>
                <w:b/>
                <w:bCs/>
                <w:sz w:val="16"/>
                <w:szCs w:val="16"/>
              </w:rPr>
            </w:pPr>
            <w:r w:rsidRPr="005F38D8">
              <w:rPr>
                <w:rFonts w:cs="Arial"/>
                <w:b/>
                <w:bCs/>
                <w:sz w:val="16"/>
                <w:szCs w:val="16"/>
              </w:rPr>
              <w:t>DfE</w:t>
            </w:r>
          </w:p>
          <w:p w:rsidR="006A062F" w:rsidRPr="005F38D8" w:rsidRDefault="006A062F" w:rsidP="004A1175">
            <w:pPr>
              <w:spacing w:after="0" w:line="240" w:lineRule="auto"/>
              <w:jc w:val="center"/>
              <w:rPr>
                <w:rFonts w:cs="Arial"/>
                <w:b/>
                <w:bCs/>
                <w:sz w:val="16"/>
                <w:szCs w:val="16"/>
              </w:rPr>
            </w:pPr>
            <w:r w:rsidRPr="004058E6">
              <w:rPr>
                <w:rFonts w:cs="Arial"/>
                <w:b/>
                <w:bCs/>
                <w:sz w:val="10"/>
                <w:szCs w:val="10"/>
              </w:rPr>
              <w:t>(new)</w:t>
            </w:r>
          </w:p>
        </w:tc>
        <w:tc>
          <w:tcPr>
            <w:tcW w:w="568" w:type="dxa"/>
            <w:tcBorders>
              <w:top w:val="single" w:sz="4" w:space="0" w:color="C0C0C0"/>
              <w:left w:val="nil"/>
              <w:bottom w:val="single" w:sz="4" w:space="0" w:color="C0C0C0"/>
              <w:right w:val="single" w:sz="4" w:space="0" w:color="C0C0C0"/>
            </w:tcBorders>
            <w:noWrap/>
            <w:vAlign w:val="center"/>
          </w:tcPr>
          <w:p w:rsidR="006A062F" w:rsidRDefault="006A062F" w:rsidP="004A1175">
            <w:pPr>
              <w:spacing w:after="0" w:line="240" w:lineRule="auto"/>
              <w:jc w:val="center"/>
              <w:rPr>
                <w:rFonts w:cs="Arial"/>
                <w:b/>
                <w:bCs/>
                <w:sz w:val="16"/>
                <w:szCs w:val="16"/>
              </w:rPr>
            </w:pPr>
          </w:p>
          <w:p w:rsidR="006A062F" w:rsidRPr="005F38D8" w:rsidRDefault="006A062F" w:rsidP="004A1175">
            <w:pPr>
              <w:spacing w:after="0" w:line="240" w:lineRule="auto"/>
              <w:jc w:val="center"/>
              <w:rPr>
                <w:rFonts w:cs="Arial"/>
                <w:b/>
                <w:bCs/>
                <w:sz w:val="16"/>
                <w:szCs w:val="16"/>
              </w:rPr>
            </w:pPr>
            <w:r w:rsidRPr="005F38D8">
              <w:rPr>
                <w:rFonts w:cs="Arial"/>
                <w:b/>
                <w:bCs/>
                <w:sz w:val="16"/>
                <w:szCs w:val="16"/>
              </w:rPr>
              <w:t>DECC</w:t>
            </w:r>
          </w:p>
          <w:p w:rsidR="006A062F" w:rsidRPr="005F38D8" w:rsidRDefault="006A062F" w:rsidP="004A1175">
            <w:pPr>
              <w:spacing w:after="0" w:line="240" w:lineRule="auto"/>
              <w:jc w:val="center"/>
              <w:rPr>
                <w:rFonts w:cs="Arial"/>
                <w:b/>
                <w:bCs/>
                <w:sz w:val="16"/>
                <w:szCs w:val="16"/>
              </w:rPr>
            </w:pPr>
          </w:p>
        </w:tc>
        <w:tc>
          <w:tcPr>
            <w:tcW w:w="709" w:type="dxa"/>
            <w:tcBorders>
              <w:top w:val="single" w:sz="4" w:space="0" w:color="C0C0C0"/>
              <w:left w:val="nil"/>
              <w:bottom w:val="single" w:sz="4" w:space="0" w:color="C0C0C0"/>
              <w:right w:val="single" w:sz="4" w:space="0" w:color="C0C0C0"/>
            </w:tcBorders>
            <w:noWrap/>
            <w:vAlign w:val="center"/>
          </w:tcPr>
          <w:p w:rsidR="006A062F" w:rsidRDefault="006A062F" w:rsidP="004A1175">
            <w:pPr>
              <w:spacing w:after="0" w:line="240" w:lineRule="auto"/>
              <w:jc w:val="center"/>
              <w:rPr>
                <w:rFonts w:cs="Arial"/>
                <w:b/>
                <w:bCs/>
                <w:sz w:val="16"/>
                <w:szCs w:val="16"/>
              </w:rPr>
            </w:pPr>
          </w:p>
          <w:p w:rsidR="006A062F" w:rsidRPr="005F38D8" w:rsidRDefault="006A062F" w:rsidP="004A1175">
            <w:pPr>
              <w:spacing w:after="0" w:line="240" w:lineRule="auto"/>
              <w:jc w:val="center"/>
              <w:rPr>
                <w:rFonts w:cs="Arial"/>
                <w:b/>
                <w:bCs/>
                <w:sz w:val="16"/>
                <w:szCs w:val="16"/>
              </w:rPr>
            </w:pPr>
            <w:r w:rsidRPr="005F38D8">
              <w:rPr>
                <w:rFonts w:cs="Arial"/>
                <w:b/>
                <w:bCs/>
                <w:sz w:val="16"/>
                <w:szCs w:val="16"/>
              </w:rPr>
              <w:t>Defra</w:t>
            </w:r>
          </w:p>
          <w:p w:rsidR="006A062F" w:rsidRPr="005F38D8" w:rsidRDefault="006A062F" w:rsidP="004A1175">
            <w:pPr>
              <w:spacing w:after="0" w:line="240" w:lineRule="auto"/>
              <w:jc w:val="center"/>
              <w:rPr>
                <w:rFonts w:cs="Arial"/>
                <w:b/>
                <w:bCs/>
                <w:sz w:val="16"/>
                <w:szCs w:val="16"/>
              </w:rPr>
            </w:pPr>
          </w:p>
        </w:tc>
        <w:tc>
          <w:tcPr>
            <w:tcW w:w="567" w:type="dxa"/>
            <w:tcBorders>
              <w:top w:val="single" w:sz="4" w:space="0" w:color="C0C0C0"/>
              <w:left w:val="nil"/>
              <w:bottom w:val="single" w:sz="4" w:space="0" w:color="C0C0C0"/>
              <w:right w:val="single" w:sz="4" w:space="0" w:color="C0C0C0"/>
            </w:tcBorders>
            <w:noWrap/>
            <w:vAlign w:val="center"/>
          </w:tcPr>
          <w:p w:rsidR="006A062F" w:rsidRDefault="006A062F" w:rsidP="004A1175">
            <w:pPr>
              <w:spacing w:after="0" w:line="240" w:lineRule="auto"/>
              <w:jc w:val="center"/>
              <w:rPr>
                <w:rFonts w:cs="Arial"/>
                <w:b/>
                <w:bCs/>
                <w:sz w:val="16"/>
                <w:szCs w:val="16"/>
              </w:rPr>
            </w:pPr>
          </w:p>
          <w:p w:rsidR="006A062F" w:rsidRPr="005F38D8" w:rsidRDefault="006A062F" w:rsidP="004A1175">
            <w:pPr>
              <w:spacing w:after="0" w:line="240" w:lineRule="auto"/>
              <w:jc w:val="center"/>
              <w:rPr>
                <w:rFonts w:cs="Arial"/>
                <w:b/>
                <w:bCs/>
                <w:sz w:val="16"/>
                <w:szCs w:val="16"/>
              </w:rPr>
            </w:pPr>
            <w:r w:rsidRPr="005F38D8">
              <w:rPr>
                <w:rFonts w:cs="Arial"/>
                <w:b/>
                <w:bCs/>
                <w:sz w:val="16"/>
                <w:szCs w:val="16"/>
              </w:rPr>
              <w:t>DfID</w:t>
            </w:r>
          </w:p>
          <w:p w:rsidR="006A062F" w:rsidRPr="005F38D8" w:rsidRDefault="006A062F" w:rsidP="004A1175">
            <w:pPr>
              <w:spacing w:after="0" w:line="240" w:lineRule="auto"/>
              <w:jc w:val="center"/>
              <w:rPr>
                <w:rFonts w:cs="Arial"/>
                <w:b/>
                <w:bCs/>
                <w:sz w:val="16"/>
                <w:szCs w:val="16"/>
              </w:rPr>
            </w:pPr>
          </w:p>
        </w:tc>
        <w:tc>
          <w:tcPr>
            <w:tcW w:w="566" w:type="dxa"/>
            <w:tcBorders>
              <w:top w:val="single" w:sz="4" w:space="0" w:color="C0C0C0"/>
              <w:left w:val="nil"/>
              <w:bottom w:val="single" w:sz="4" w:space="0" w:color="C0C0C0"/>
              <w:right w:val="single" w:sz="4" w:space="0" w:color="C0C0C0"/>
            </w:tcBorders>
            <w:noWrap/>
            <w:vAlign w:val="center"/>
          </w:tcPr>
          <w:p w:rsidR="006A062F" w:rsidRDefault="006A062F" w:rsidP="004A1175">
            <w:pPr>
              <w:spacing w:after="0" w:line="240" w:lineRule="auto"/>
              <w:jc w:val="center"/>
              <w:rPr>
                <w:rFonts w:cs="Arial"/>
                <w:b/>
                <w:bCs/>
                <w:sz w:val="16"/>
                <w:szCs w:val="16"/>
              </w:rPr>
            </w:pPr>
          </w:p>
          <w:p w:rsidR="006A062F" w:rsidRPr="005F38D8" w:rsidRDefault="006A062F" w:rsidP="004A1175">
            <w:pPr>
              <w:spacing w:after="0" w:line="240" w:lineRule="auto"/>
              <w:jc w:val="center"/>
              <w:rPr>
                <w:rFonts w:cs="Arial"/>
                <w:b/>
                <w:bCs/>
                <w:sz w:val="16"/>
                <w:szCs w:val="16"/>
              </w:rPr>
            </w:pPr>
            <w:r w:rsidRPr="005F38D8">
              <w:rPr>
                <w:rFonts w:cs="Arial"/>
                <w:b/>
                <w:bCs/>
                <w:sz w:val="16"/>
                <w:szCs w:val="16"/>
              </w:rPr>
              <w:t>DoH</w:t>
            </w:r>
          </w:p>
          <w:p w:rsidR="006A062F" w:rsidRPr="005F38D8" w:rsidRDefault="006A062F" w:rsidP="004A1175">
            <w:pPr>
              <w:spacing w:after="0" w:line="240" w:lineRule="auto"/>
              <w:jc w:val="center"/>
              <w:rPr>
                <w:rFonts w:cs="Arial"/>
                <w:b/>
                <w:bCs/>
                <w:sz w:val="16"/>
                <w:szCs w:val="16"/>
              </w:rPr>
            </w:pPr>
          </w:p>
        </w:tc>
        <w:tc>
          <w:tcPr>
            <w:tcW w:w="567" w:type="dxa"/>
            <w:tcBorders>
              <w:top w:val="single" w:sz="4" w:space="0" w:color="C0C0C0"/>
              <w:left w:val="nil"/>
              <w:bottom w:val="single" w:sz="4" w:space="0" w:color="C0C0C0"/>
              <w:right w:val="single" w:sz="4" w:space="0" w:color="C0C0C0"/>
            </w:tcBorders>
            <w:noWrap/>
            <w:vAlign w:val="center"/>
          </w:tcPr>
          <w:p w:rsidR="006A062F" w:rsidRDefault="006A062F" w:rsidP="004A1175">
            <w:pPr>
              <w:spacing w:after="0" w:line="240" w:lineRule="auto"/>
              <w:jc w:val="center"/>
              <w:rPr>
                <w:rFonts w:cs="Arial"/>
                <w:b/>
                <w:bCs/>
                <w:sz w:val="16"/>
                <w:szCs w:val="16"/>
              </w:rPr>
            </w:pPr>
          </w:p>
          <w:p w:rsidR="006A062F" w:rsidRPr="005F38D8" w:rsidRDefault="006A062F" w:rsidP="004A1175">
            <w:pPr>
              <w:spacing w:after="0" w:line="240" w:lineRule="auto"/>
              <w:jc w:val="center"/>
              <w:rPr>
                <w:rFonts w:cs="Arial"/>
                <w:b/>
                <w:bCs/>
                <w:sz w:val="16"/>
                <w:szCs w:val="16"/>
              </w:rPr>
            </w:pPr>
            <w:r w:rsidRPr="005F38D8">
              <w:rPr>
                <w:rFonts w:cs="Arial"/>
                <w:b/>
                <w:bCs/>
                <w:sz w:val="16"/>
                <w:szCs w:val="16"/>
              </w:rPr>
              <w:t>DWP</w:t>
            </w:r>
          </w:p>
          <w:p w:rsidR="006A062F" w:rsidRPr="005F38D8" w:rsidRDefault="006A062F" w:rsidP="004A1175">
            <w:pPr>
              <w:spacing w:after="0" w:line="240" w:lineRule="auto"/>
              <w:jc w:val="center"/>
              <w:rPr>
                <w:rFonts w:cs="Arial"/>
                <w:b/>
                <w:bCs/>
                <w:sz w:val="16"/>
                <w:szCs w:val="16"/>
              </w:rPr>
            </w:pPr>
          </w:p>
        </w:tc>
        <w:tc>
          <w:tcPr>
            <w:tcW w:w="709" w:type="dxa"/>
            <w:tcBorders>
              <w:top w:val="single" w:sz="4" w:space="0" w:color="C0C0C0"/>
              <w:left w:val="nil"/>
              <w:bottom w:val="single" w:sz="4" w:space="0" w:color="C0C0C0"/>
              <w:right w:val="single" w:sz="4" w:space="0" w:color="C0C0C0"/>
            </w:tcBorders>
            <w:noWrap/>
            <w:vAlign w:val="center"/>
          </w:tcPr>
          <w:p w:rsidR="006A062F" w:rsidRDefault="006A062F" w:rsidP="004A1175">
            <w:pPr>
              <w:spacing w:after="0" w:line="240" w:lineRule="auto"/>
              <w:jc w:val="center"/>
              <w:rPr>
                <w:rFonts w:cs="Arial"/>
                <w:b/>
                <w:bCs/>
                <w:sz w:val="16"/>
                <w:szCs w:val="16"/>
              </w:rPr>
            </w:pPr>
          </w:p>
          <w:p w:rsidR="006A062F" w:rsidRPr="005F38D8" w:rsidRDefault="006A062F" w:rsidP="004A1175">
            <w:pPr>
              <w:spacing w:after="0" w:line="240" w:lineRule="auto"/>
              <w:jc w:val="center"/>
              <w:rPr>
                <w:rFonts w:cs="Arial"/>
                <w:b/>
                <w:bCs/>
                <w:sz w:val="16"/>
                <w:szCs w:val="16"/>
              </w:rPr>
            </w:pPr>
            <w:r w:rsidRPr="005F38D8">
              <w:rPr>
                <w:rFonts w:cs="Arial"/>
                <w:b/>
                <w:bCs/>
                <w:sz w:val="16"/>
                <w:szCs w:val="16"/>
              </w:rPr>
              <w:t>FCO</w:t>
            </w:r>
          </w:p>
          <w:p w:rsidR="006A062F" w:rsidRPr="005F38D8" w:rsidRDefault="006A062F" w:rsidP="004A1175">
            <w:pPr>
              <w:spacing w:after="0" w:line="240" w:lineRule="auto"/>
              <w:jc w:val="center"/>
              <w:rPr>
                <w:rFonts w:cs="Arial"/>
                <w:b/>
                <w:bCs/>
                <w:sz w:val="16"/>
                <w:szCs w:val="16"/>
              </w:rPr>
            </w:pPr>
          </w:p>
        </w:tc>
        <w:tc>
          <w:tcPr>
            <w:tcW w:w="708" w:type="dxa"/>
            <w:tcBorders>
              <w:top w:val="single" w:sz="4" w:space="0" w:color="C0C0C0"/>
              <w:left w:val="nil"/>
              <w:bottom w:val="single" w:sz="4" w:space="0" w:color="C0C0C0"/>
              <w:right w:val="single" w:sz="4" w:space="0" w:color="C0C0C0"/>
            </w:tcBorders>
            <w:noWrap/>
            <w:vAlign w:val="center"/>
          </w:tcPr>
          <w:p w:rsidR="006A062F" w:rsidRDefault="006A062F" w:rsidP="004A1175">
            <w:pPr>
              <w:spacing w:after="0" w:line="240" w:lineRule="auto"/>
              <w:jc w:val="center"/>
              <w:rPr>
                <w:rFonts w:cs="Arial"/>
                <w:b/>
                <w:bCs/>
                <w:sz w:val="16"/>
                <w:szCs w:val="16"/>
              </w:rPr>
            </w:pPr>
          </w:p>
          <w:p w:rsidR="006A062F" w:rsidRPr="005F38D8" w:rsidRDefault="006A062F" w:rsidP="004A1175">
            <w:pPr>
              <w:spacing w:after="0" w:line="240" w:lineRule="auto"/>
              <w:jc w:val="center"/>
              <w:rPr>
                <w:rFonts w:cs="Arial"/>
                <w:b/>
                <w:bCs/>
                <w:sz w:val="16"/>
                <w:szCs w:val="16"/>
              </w:rPr>
            </w:pPr>
            <w:r w:rsidRPr="005F38D8">
              <w:rPr>
                <w:rFonts w:cs="Arial"/>
                <w:b/>
                <w:bCs/>
                <w:sz w:val="16"/>
                <w:szCs w:val="16"/>
              </w:rPr>
              <w:t>HMRC</w:t>
            </w:r>
          </w:p>
          <w:p w:rsidR="006A062F" w:rsidRPr="005F38D8" w:rsidRDefault="006A062F" w:rsidP="004A1175">
            <w:pPr>
              <w:spacing w:after="0" w:line="240" w:lineRule="auto"/>
              <w:jc w:val="center"/>
              <w:rPr>
                <w:rFonts w:cs="Arial"/>
                <w:b/>
                <w:bCs/>
                <w:sz w:val="16"/>
                <w:szCs w:val="16"/>
              </w:rPr>
            </w:pPr>
          </w:p>
        </w:tc>
        <w:tc>
          <w:tcPr>
            <w:tcW w:w="567" w:type="dxa"/>
            <w:tcBorders>
              <w:top w:val="single" w:sz="4" w:space="0" w:color="C0C0C0"/>
              <w:left w:val="nil"/>
              <w:bottom w:val="single" w:sz="4" w:space="0" w:color="C0C0C0"/>
              <w:right w:val="single" w:sz="4" w:space="0" w:color="C0C0C0"/>
            </w:tcBorders>
            <w:vAlign w:val="center"/>
          </w:tcPr>
          <w:p w:rsidR="006A062F" w:rsidRDefault="006A062F" w:rsidP="004A1175">
            <w:pPr>
              <w:spacing w:after="0" w:line="240" w:lineRule="auto"/>
              <w:jc w:val="center"/>
              <w:rPr>
                <w:rFonts w:cs="Arial"/>
                <w:b/>
                <w:bCs/>
                <w:sz w:val="16"/>
                <w:szCs w:val="16"/>
              </w:rPr>
            </w:pPr>
            <w:r w:rsidRPr="005F38D8">
              <w:rPr>
                <w:rFonts w:cs="Arial"/>
                <w:b/>
                <w:bCs/>
                <w:sz w:val="16"/>
                <w:szCs w:val="16"/>
              </w:rPr>
              <w:t>HMT</w:t>
            </w:r>
          </w:p>
          <w:p w:rsidR="006A062F" w:rsidRPr="005F38D8" w:rsidRDefault="006A062F" w:rsidP="004A1175">
            <w:pPr>
              <w:spacing w:after="0" w:line="240" w:lineRule="auto"/>
              <w:jc w:val="center"/>
              <w:rPr>
                <w:rFonts w:cs="Arial"/>
                <w:b/>
                <w:bCs/>
                <w:sz w:val="16"/>
                <w:szCs w:val="16"/>
              </w:rPr>
            </w:pPr>
            <w:r w:rsidRPr="004058E6">
              <w:rPr>
                <w:rFonts w:cs="Arial"/>
                <w:b/>
                <w:bCs/>
                <w:sz w:val="10"/>
                <w:szCs w:val="10"/>
              </w:rPr>
              <w:t>(new)</w:t>
            </w:r>
          </w:p>
        </w:tc>
        <w:tc>
          <w:tcPr>
            <w:tcW w:w="567" w:type="dxa"/>
            <w:tcBorders>
              <w:top w:val="single" w:sz="4" w:space="0" w:color="C0C0C0"/>
              <w:left w:val="single" w:sz="4" w:space="0" w:color="C0C0C0"/>
              <w:bottom w:val="single" w:sz="4" w:space="0" w:color="C0C0C0"/>
              <w:right w:val="single" w:sz="4" w:space="0" w:color="C0C0C0"/>
            </w:tcBorders>
            <w:noWrap/>
            <w:vAlign w:val="center"/>
          </w:tcPr>
          <w:p w:rsidR="006A062F" w:rsidRDefault="006A062F" w:rsidP="004A1175">
            <w:pPr>
              <w:spacing w:after="0" w:line="240" w:lineRule="auto"/>
              <w:jc w:val="center"/>
              <w:rPr>
                <w:rFonts w:cs="Arial"/>
                <w:b/>
                <w:bCs/>
                <w:sz w:val="16"/>
                <w:szCs w:val="16"/>
              </w:rPr>
            </w:pPr>
          </w:p>
          <w:p w:rsidR="006A062F" w:rsidRPr="005F38D8" w:rsidRDefault="006A062F" w:rsidP="004A1175">
            <w:pPr>
              <w:spacing w:after="0" w:line="240" w:lineRule="auto"/>
              <w:jc w:val="center"/>
              <w:rPr>
                <w:rFonts w:cs="Arial"/>
                <w:b/>
                <w:bCs/>
                <w:sz w:val="16"/>
                <w:szCs w:val="16"/>
              </w:rPr>
            </w:pPr>
            <w:r w:rsidRPr="005F38D8">
              <w:rPr>
                <w:rFonts w:cs="Arial"/>
                <w:b/>
                <w:bCs/>
                <w:sz w:val="16"/>
                <w:szCs w:val="16"/>
              </w:rPr>
              <w:t>HO</w:t>
            </w:r>
          </w:p>
          <w:p w:rsidR="006A062F" w:rsidRPr="005F38D8" w:rsidRDefault="006A062F" w:rsidP="004A1175">
            <w:pPr>
              <w:spacing w:after="0" w:line="240" w:lineRule="auto"/>
              <w:jc w:val="center"/>
              <w:rPr>
                <w:rFonts w:cs="Arial"/>
                <w:b/>
                <w:bCs/>
                <w:sz w:val="16"/>
                <w:szCs w:val="16"/>
              </w:rPr>
            </w:pPr>
          </w:p>
        </w:tc>
        <w:tc>
          <w:tcPr>
            <w:tcW w:w="567" w:type="dxa"/>
            <w:tcBorders>
              <w:top w:val="single" w:sz="4" w:space="0" w:color="C0C0C0"/>
              <w:left w:val="nil"/>
              <w:bottom w:val="single" w:sz="4" w:space="0" w:color="C0C0C0"/>
              <w:right w:val="single" w:sz="4" w:space="0" w:color="C0C0C0"/>
            </w:tcBorders>
            <w:noWrap/>
            <w:vAlign w:val="center"/>
          </w:tcPr>
          <w:p w:rsidR="006A062F" w:rsidRDefault="006A062F" w:rsidP="004A1175">
            <w:pPr>
              <w:spacing w:after="0" w:line="240" w:lineRule="auto"/>
              <w:jc w:val="center"/>
              <w:rPr>
                <w:rFonts w:cs="Arial"/>
                <w:b/>
                <w:bCs/>
                <w:sz w:val="16"/>
                <w:szCs w:val="16"/>
              </w:rPr>
            </w:pPr>
          </w:p>
          <w:p w:rsidR="006A062F" w:rsidRPr="005F38D8" w:rsidRDefault="006A062F" w:rsidP="004A1175">
            <w:pPr>
              <w:spacing w:after="0" w:line="240" w:lineRule="auto"/>
              <w:jc w:val="center"/>
              <w:rPr>
                <w:rFonts w:cs="Arial"/>
                <w:b/>
                <w:bCs/>
                <w:sz w:val="16"/>
                <w:szCs w:val="16"/>
              </w:rPr>
            </w:pPr>
            <w:r w:rsidRPr="005F38D8">
              <w:rPr>
                <w:rFonts w:cs="Arial"/>
                <w:b/>
                <w:bCs/>
                <w:sz w:val="16"/>
                <w:szCs w:val="16"/>
              </w:rPr>
              <w:t>MOD</w:t>
            </w:r>
          </w:p>
          <w:p w:rsidR="006A062F" w:rsidRPr="005F38D8" w:rsidRDefault="006A062F" w:rsidP="004A1175">
            <w:pPr>
              <w:spacing w:after="0" w:line="240" w:lineRule="auto"/>
              <w:jc w:val="center"/>
              <w:rPr>
                <w:rFonts w:cs="Arial"/>
                <w:b/>
                <w:bCs/>
                <w:sz w:val="16"/>
                <w:szCs w:val="16"/>
              </w:rPr>
            </w:pPr>
          </w:p>
        </w:tc>
        <w:tc>
          <w:tcPr>
            <w:tcW w:w="709" w:type="dxa"/>
            <w:tcBorders>
              <w:top w:val="single" w:sz="4" w:space="0" w:color="C0C0C0"/>
              <w:left w:val="nil"/>
              <w:bottom w:val="single" w:sz="4" w:space="0" w:color="C0C0C0"/>
              <w:right w:val="single" w:sz="4" w:space="0" w:color="C0C0C0"/>
            </w:tcBorders>
            <w:noWrap/>
            <w:vAlign w:val="center"/>
          </w:tcPr>
          <w:p w:rsidR="006A062F" w:rsidRDefault="006A062F" w:rsidP="004A1175">
            <w:pPr>
              <w:spacing w:after="0" w:line="240" w:lineRule="auto"/>
              <w:jc w:val="center"/>
              <w:rPr>
                <w:rFonts w:cs="Arial"/>
                <w:b/>
                <w:bCs/>
                <w:sz w:val="16"/>
                <w:szCs w:val="16"/>
              </w:rPr>
            </w:pPr>
          </w:p>
          <w:p w:rsidR="006A062F" w:rsidRPr="005F38D8" w:rsidRDefault="006A062F" w:rsidP="004A1175">
            <w:pPr>
              <w:spacing w:after="0" w:line="240" w:lineRule="auto"/>
              <w:jc w:val="center"/>
              <w:rPr>
                <w:rFonts w:cs="Arial"/>
                <w:b/>
                <w:bCs/>
                <w:sz w:val="16"/>
                <w:szCs w:val="16"/>
              </w:rPr>
            </w:pPr>
            <w:r w:rsidRPr="005F38D8">
              <w:rPr>
                <w:rFonts w:cs="Arial"/>
                <w:b/>
                <w:bCs/>
                <w:sz w:val="16"/>
                <w:szCs w:val="16"/>
              </w:rPr>
              <w:t>MoJ</w:t>
            </w:r>
          </w:p>
          <w:p w:rsidR="006A062F" w:rsidRPr="005F38D8" w:rsidRDefault="006A062F" w:rsidP="004A1175">
            <w:pPr>
              <w:spacing w:after="0" w:line="240" w:lineRule="auto"/>
              <w:jc w:val="center"/>
              <w:rPr>
                <w:rFonts w:cs="Arial"/>
                <w:b/>
                <w:bCs/>
                <w:sz w:val="16"/>
                <w:szCs w:val="16"/>
              </w:rPr>
            </w:pPr>
          </w:p>
        </w:tc>
      </w:tr>
      <w:tr w:rsidR="006A062F" w:rsidRPr="00CE6C82" w:rsidTr="004A1175">
        <w:trPr>
          <w:trHeight w:val="707"/>
        </w:trPr>
        <w:tc>
          <w:tcPr>
            <w:tcW w:w="1128" w:type="dxa"/>
            <w:tcBorders>
              <w:top w:val="single" w:sz="4" w:space="0" w:color="C0C0C0"/>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7C66E3">
              <w:rPr>
                <w:rFonts w:cs="Arial"/>
                <w:b/>
                <w:bCs/>
                <w:sz w:val="16"/>
                <w:szCs w:val="16"/>
              </w:rPr>
              <w:t>KTO1.</w:t>
            </w:r>
            <w:r w:rsidRPr="00C67CA5">
              <w:rPr>
                <w:rFonts w:cs="Arial"/>
                <w:sz w:val="16"/>
                <w:szCs w:val="16"/>
              </w:rPr>
              <w:t xml:space="preserve"> Use of Green ICT standards in procurement</w:t>
            </w:r>
          </w:p>
        </w:tc>
        <w:tc>
          <w:tcPr>
            <w:tcW w:w="558"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70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FF9966"/>
            <w:vAlign w:val="center"/>
          </w:tcPr>
          <w:p w:rsidR="006A062F" w:rsidRPr="008A5A52" w:rsidRDefault="006A062F" w:rsidP="004A1175">
            <w:pPr>
              <w:spacing w:after="0" w:line="240" w:lineRule="auto"/>
              <w:jc w:val="center"/>
              <w:rPr>
                <w:rFonts w:cs="Arial"/>
                <w:sz w:val="20"/>
                <w:szCs w:val="20"/>
              </w:rPr>
            </w:pPr>
            <w:r>
              <w:rPr>
                <w:rFonts w:cs="Arial"/>
                <w:sz w:val="20"/>
                <w:szCs w:val="20"/>
              </w:rPr>
              <w:t>2</w:t>
            </w:r>
          </w:p>
        </w:tc>
        <w:tc>
          <w:tcPr>
            <w:tcW w:w="567"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Default="006A062F" w:rsidP="004A1175">
            <w:pPr>
              <w:spacing w:after="0" w:line="240" w:lineRule="auto"/>
              <w:jc w:val="center"/>
              <w:rPr>
                <w:rFonts w:cs="Arial"/>
                <w:sz w:val="20"/>
                <w:szCs w:val="20"/>
              </w:rPr>
            </w:pPr>
            <w:r w:rsidRPr="008A5A52">
              <w:rPr>
                <w:rFonts w:cs="Arial"/>
                <w:sz w:val="20"/>
                <w:szCs w:val="20"/>
              </w:rPr>
              <w:t>6</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Default="006A062F" w:rsidP="004A1175">
            <w:pPr>
              <w:spacing w:after="0" w:line="240" w:lineRule="auto"/>
              <w:jc w:val="center"/>
              <w:rPr>
                <w:rFonts w:cs="Arial"/>
                <w:sz w:val="20"/>
                <w:szCs w:val="20"/>
              </w:rPr>
            </w:pPr>
            <w:r w:rsidRPr="008A5A52">
              <w:rPr>
                <w:rFonts w:cs="Arial"/>
                <w:sz w:val="20"/>
                <w:szCs w:val="20"/>
              </w:rPr>
              <w:t>5</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Default="006A062F" w:rsidP="004A1175">
            <w:pPr>
              <w:spacing w:after="0" w:line="240" w:lineRule="auto"/>
              <w:jc w:val="center"/>
              <w:rPr>
                <w:rFonts w:cs="Arial"/>
                <w:sz w:val="20"/>
                <w:szCs w:val="20"/>
              </w:rPr>
            </w:pPr>
            <w:r w:rsidRPr="008A5A52">
              <w:rPr>
                <w:rFonts w:cs="Arial"/>
                <w:sz w:val="20"/>
                <w:szCs w:val="20"/>
              </w:rPr>
              <w:t>5</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6"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Default="006A062F" w:rsidP="004A1175">
            <w:pPr>
              <w:spacing w:after="0" w:line="240" w:lineRule="auto"/>
              <w:jc w:val="center"/>
              <w:rPr>
                <w:rFonts w:cs="Arial"/>
                <w:sz w:val="20"/>
                <w:szCs w:val="20"/>
              </w:rPr>
            </w:pPr>
            <w:r w:rsidRPr="008A5A52">
              <w:rPr>
                <w:rFonts w:cs="Arial"/>
                <w:sz w:val="20"/>
                <w:szCs w:val="20"/>
              </w:rPr>
              <w:t>6</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Default="006A062F" w:rsidP="004A1175">
            <w:pPr>
              <w:spacing w:after="0" w:line="240" w:lineRule="auto"/>
              <w:jc w:val="center"/>
              <w:rPr>
                <w:rFonts w:cs="Arial"/>
                <w:sz w:val="20"/>
                <w:szCs w:val="20"/>
              </w:rPr>
            </w:pPr>
            <w:r w:rsidRPr="008A5A52">
              <w:rPr>
                <w:rFonts w:cs="Arial"/>
                <w:sz w:val="20"/>
                <w:szCs w:val="20"/>
              </w:rPr>
              <w:t>5</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70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auto" w:fill="00B050"/>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ind w:left="-119" w:firstLine="119"/>
              <w:jc w:val="center"/>
              <w:rPr>
                <w:rFonts w:cs="Arial"/>
                <w:sz w:val="20"/>
                <w:szCs w:val="20"/>
              </w:rPr>
            </w:pPr>
            <w:r>
              <w:rPr>
                <w:rFonts w:cs="Arial"/>
                <w:sz w:val="20"/>
                <w:szCs w:val="20"/>
              </w:rPr>
              <w:t>↔</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KTO2.</w:t>
            </w:r>
            <w:r w:rsidRPr="00C67CA5">
              <w:rPr>
                <w:rFonts w:cs="Arial"/>
                <w:sz w:val="16"/>
                <w:szCs w:val="16"/>
              </w:rPr>
              <w:t xml:space="preserve"> Replace for business utility not refresh</w:t>
            </w:r>
          </w:p>
        </w:tc>
        <w:tc>
          <w:tcPr>
            <w:tcW w:w="558"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Default="006A062F" w:rsidP="004A1175">
            <w:pPr>
              <w:spacing w:after="0" w:line="240" w:lineRule="auto"/>
              <w:jc w:val="center"/>
              <w:rPr>
                <w:rFonts w:cs="Arial"/>
                <w:sz w:val="20"/>
                <w:szCs w:val="20"/>
              </w:rPr>
            </w:pPr>
            <w:r>
              <w:rPr>
                <w:rFonts w:cs="Arial"/>
                <w:sz w:val="20"/>
                <w:szCs w:val="20"/>
              </w:rPr>
              <w:t>5</w:t>
            </w:r>
          </w:p>
        </w:tc>
        <w:tc>
          <w:tcPr>
            <w:tcW w:w="708" w:type="dxa"/>
            <w:tcBorders>
              <w:top w:val="single" w:sz="4" w:space="0" w:color="C0C0C0"/>
              <w:left w:val="single" w:sz="4" w:space="0" w:color="C0C0C0"/>
              <w:bottom w:val="single" w:sz="4" w:space="0" w:color="C0C0C0"/>
              <w:right w:val="single" w:sz="4" w:space="0" w:color="C0C0C0"/>
            </w:tcBorders>
            <w:shd w:val="clear" w:color="auto" w:fill="00B050"/>
            <w:vAlign w:val="center"/>
          </w:tcPr>
          <w:p w:rsidR="006A062F" w:rsidRDefault="006A062F" w:rsidP="004A1175">
            <w:pPr>
              <w:spacing w:after="0" w:line="240" w:lineRule="auto"/>
              <w:jc w:val="center"/>
              <w:rPr>
                <w:rFonts w:cs="Arial"/>
                <w:sz w:val="20"/>
                <w:szCs w:val="20"/>
              </w:rPr>
            </w:pPr>
            <w:r>
              <w:rPr>
                <w:rFonts w:cs="Arial"/>
                <w:sz w:val="20"/>
                <w:szCs w:val="20"/>
              </w:rPr>
              <w:t>6</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FF5151"/>
            <w:vAlign w:val="center"/>
          </w:tcPr>
          <w:p w:rsidR="006A062F" w:rsidRPr="008A5A52" w:rsidRDefault="006A062F" w:rsidP="004A1175">
            <w:pPr>
              <w:spacing w:after="0" w:line="240" w:lineRule="auto"/>
              <w:jc w:val="center"/>
              <w:rPr>
                <w:rFonts w:cs="Arial"/>
                <w:sz w:val="20"/>
                <w:szCs w:val="20"/>
              </w:rPr>
            </w:pPr>
            <w:r>
              <w:rPr>
                <w:rFonts w:cs="Arial"/>
                <w:sz w:val="20"/>
                <w:szCs w:val="20"/>
              </w:rPr>
              <w:t>1</w:t>
            </w:r>
          </w:p>
        </w:tc>
        <w:tc>
          <w:tcPr>
            <w:tcW w:w="567"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6</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Default="006A062F" w:rsidP="004A1175">
            <w:pPr>
              <w:spacing w:after="0" w:line="240" w:lineRule="auto"/>
              <w:jc w:val="center"/>
              <w:rPr>
                <w:rFonts w:cs="Arial"/>
                <w:sz w:val="20"/>
                <w:szCs w:val="20"/>
              </w:rPr>
            </w:pPr>
            <w:r w:rsidRPr="008A5A52">
              <w:rPr>
                <w:rFonts w:cs="Arial"/>
                <w:sz w:val="20"/>
                <w:szCs w:val="20"/>
              </w:rPr>
              <w:t>5</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6</w:t>
            </w:r>
            <w:r>
              <w:rPr>
                <w:rFonts w:cs="Arial"/>
                <w:sz w:val="20"/>
                <w:szCs w:val="20"/>
              </w:rPr>
              <w:t>↔</w:t>
            </w:r>
          </w:p>
        </w:tc>
        <w:tc>
          <w:tcPr>
            <w:tcW w:w="566"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6</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3</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Default="006A062F" w:rsidP="004A1175">
            <w:pPr>
              <w:spacing w:after="0" w:line="240" w:lineRule="auto"/>
              <w:jc w:val="center"/>
              <w:rPr>
                <w:rFonts w:cs="Arial"/>
                <w:sz w:val="20"/>
                <w:szCs w:val="20"/>
              </w:rPr>
            </w:pPr>
            <w:r w:rsidRPr="008A5A52">
              <w:rPr>
                <w:rFonts w:cs="Arial"/>
                <w:sz w:val="20"/>
                <w:szCs w:val="20"/>
              </w:rPr>
              <w:t>3</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00B050"/>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KTO3.</w:t>
            </w:r>
            <w:r w:rsidRPr="00C67CA5">
              <w:rPr>
                <w:rFonts w:cs="Arial"/>
                <w:sz w:val="16"/>
                <w:szCs w:val="16"/>
              </w:rPr>
              <w:t xml:space="preserve"> Power consumption minimised for end user access devices.</w:t>
            </w:r>
          </w:p>
        </w:tc>
        <w:tc>
          <w:tcPr>
            <w:tcW w:w="55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Default="006A062F" w:rsidP="004A1175">
            <w:pPr>
              <w:spacing w:after="0" w:line="240" w:lineRule="auto"/>
              <w:jc w:val="center"/>
              <w:rPr>
                <w:rFonts w:cs="Arial"/>
                <w:sz w:val="20"/>
                <w:szCs w:val="20"/>
              </w:rPr>
            </w:pPr>
            <w:r>
              <w:rPr>
                <w:rFonts w:cs="Arial"/>
                <w:sz w:val="20"/>
                <w:szCs w:val="20"/>
              </w:rPr>
              <w:t>5</w:t>
            </w:r>
          </w:p>
        </w:tc>
        <w:tc>
          <w:tcPr>
            <w:tcW w:w="708" w:type="dxa"/>
            <w:tcBorders>
              <w:top w:val="single" w:sz="4" w:space="0" w:color="C0C0C0"/>
              <w:left w:val="single" w:sz="4" w:space="0" w:color="C0C0C0"/>
              <w:bottom w:val="single" w:sz="4" w:space="0" w:color="C0C0C0"/>
              <w:right w:val="single" w:sz="4" w:space="0" w:color="C0C0C0"/>
            </w:tcBorders>
            <w:shd w:val="clear" w:color="auto" w:fill="00B050"/>
            <w:vAlign w:val="center"/>
          </w:tcPr>
          <w:p w:rsidR="006A062F" w:rsidRDefault="006A062F" w:rsidP="004A1175">
            <w:pPr>
              <w:spacing w:after="0" w:line="240" w:lineRule="auto"/>
              <w:jc w:val="center"/>
              <w:rPr>
                <w:rFonts w:cs="Arial"/>
                <w:sz w:val="20"/>
                <w:szCs w:val="20"/>
              </w:rPr>
            </w:pPr>
            <w:r w:rsidRPr="008A5A52">
              <w:rPr>
                <w:rFonts w:cs="Arial"/>
                <w:sz w:val="20"/>
                <w:szCs w:val="20"/>
              </w:rPr>
              <w:t>6</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6</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Default="006A062F" w:rsidP="004A1175">
            <w:pPr>
              <w:spacing w:after="0" w:line="240" w:lineRule="auto"/>
              <w:jc w:val="center"/>
              <w:rPr>
                <w:rFonts w:cs="Arial"/>
                <w:sz w:val="20"/>
                <w:szCs w:val="20"/>
              </w:rPr>
            </w:pPr>
            <w:r w:rsidRPr="008A5A52">
              <w:rPr>
                <w:rFonts w:cs="Arial"/>
                <w:sz w:val="20"/>
                <w:szCs w:val="20"/>
              </w:rPr>
              <w:t>5</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r>
              <w:rPr>
                <w:rFonts w:cs="Arial"/>
                <w:sz w:val="20"/>
                <w:szCs w:val="20"/>
              </w:rPr>
              <w:t>↔</w:t>
            </w:r>
          </w:p>
        </w:tc>
        <w:tc>
          <w:tcPr>
            <w:tcW w:w="566"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708"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00B050"/>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KTO4.</w:t>
            </w:r>
            <w:r w:rsidRPr="00C67CA5">
              <w:rPr>
                <w:rFonts w:cs="Arial"/>
                <w:sz w:val="16"/>
                <w:szCs w:val="16"/>
              </w:rPr>
              <w:t xml:space="preserve"> Minimise end user access devices</w:t>
            </w:r>
          </w:p>
        </w:tc>
        <w:tc>
          <w:tcPr>
            <w:tcW w:w="55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708"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Default="006A062F" w:rsidP="004A1175">
            <w:pPr>
              <w:spacing w:after="0" w:line="240" w:lineRule="auto"/>
              <w:jc w:val="center"/>
              <w:rPr>
                <w:rFonts w:cs="Arial"/>
                <w:sz w:val="20"/>
                <w:szCs w:val="20"/>
              </w:rPr>
            </w:pPr>
            <w:r>
              <w:rPr>
                <w:rFonts w:cs="Arial"/>
                <w:sz w:val="20"/>
                <w:szCs w:val="20"/>
              </w:rPr>
              <w:t>5</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FF5151"/>
          </w:tcPr>
          <w:p w:rsidR="006A062F" w:rsidRDefault="006A062F" w:rsidP="004A1175">
            <w:pPr>
              <w:spacing w:after="0" w:line="240" w:lineRule="auto"/>
              <w:jc w:val="center"/>
              <w:rPr>
                <w:rFonts w:cs="Arial"/>
                <w:sz w:val="20"/>
                <w:szCs w:val="20"/>
              </w:rPr>
            </w:pPr>
          </w:p>
          <w:p w:rsidR="006A062F" w:rsidRPr="008A5A52" w:rsidRDefault="006A062F" w:rsidP="004A1175">
            <w:pPr>
              <w:spacing w:after="0" w:line="240" w:lineRule="auto"/>
              <w:jc w:val="center"/>
              <w:rPr>
                <w:rFonts w:cs="Arial"/>
                <w:sz w:val="20"/>
                <w:szCs w:val="20"/>
              </w:rPr>
            </w:pPr>
            <w:r>
              <w:rPr>
                <w:rFonts w:cs="Arial"/>
                <w:sz w:val="20"/>
                <w:szCs w:val="20"/>
              </w:rPr>
              <w:t>1</w:t>
            </w:r>
          </w:p>
        </w:tc>
        <w:tc>
          <w:tcPr>
            <w:tcW w:w="567" w:type="dxa"/>
            <w:tcBorders>
              <w:top w:val="single" w:sz="4" w:space="0" w:color="C0C0C0"/>
              <w:left w:val="single" w:sz="4" w:space="0" w:color="C0C0C0"/>
              <w:bottom w:val="single" w:sz="4" w:space="0" w:color="C0C0C0"/>
              <w:right w:val="single" w:sz="4" w:space="0" w:color="C0C0C0"/>
            </w:tcBorders>
            <w:shd w:val="clear" w:color="auto" w:fill="92D050"/>
          </w:tcPr>
          <w:p w:rsidR="006A062F" w:rsidRDefault="006A062F" w:rsidP="004A1175">
            <w:pPr>
              <w:spacing w:after="0" w:line="240" w:lineRule="auto"/>
              <w:jc w:val="center"/>
              <w:rPr>
                <w:rFonts w:cs="Arial"/>
                <w:sz w:val="20"/>
                <w:szCs w:val="20"/>
              </w:rPr>
            </w:pPr>
          </w:p>
          <w:p w:rsidR="006A062F" w:rsidRPr="008A5A52" w:rsidRDefault="006A062F" w:rsidP="004A1175">
            <w:pPr>
              <w:spacing w:after="0" w:line="240" w:lineRule="auto"/>
              <w:jc w:val="center"/>
              <w:rPr>
                <w:rFonts w:cs="Arial"/>
                <w:sz w:val="20"/>
                <w:szCs w:val="20"/>
              </w:rPr>
            </w:pPr>
            <w:r>
              <w:rPr>
                <w:rFonts w:cs="Arial"/>
                <w:sz w:val="20"/>
                <w:szCs w:val="20"/>
              </w:rPr>
              <w:t>5</w:t>
            </w:r>
          </w:p>
        </w:tc>
        <w:tc>
          <w:tcPr>
            <w:tcW w:w="568"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6"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Pr>
                <w:rFonts w:cs="Arial"/>
                <w:sz w:val="20"/>
                <w:szCs w:val="20"/>
              </w:rPr>
              <w:t>3↑</w:t>
            </w:r>
          </w:p>
        </w:tc>
        <w:tc>
          <w:tcPr>
            <w:tcW w:w="70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auto" w:fill="00B050"/>
          </w:tcPr>
          <w:p w:rsidR="006A062F" w:rsidRDefault="006A062F" w:rsidP="004A1175">
            <w:pPr>
              <w:spacing w:after="0" w:line="240" w:lineRule="auto"/>
              <w:jc w:val="center"/>
              <w:rPr>
                <w:rFonts w:cs="Arial"/>
                <w:sz w:val="20"/>
                <w:szCs w:val="20"/>
              </w:rPr>
            </w:pPr>
          </w:p>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KTO5.</w:t>
            </w:r>
            <w:r w:rsidRPr="00C67CA5">
              <w:rPr>
                <w:rFonts w:cs="Arial"/>
                <w:sz w:val="16"/>
                <w:szCs w:val="16"/>
              </w:rPr>
              <w:t xml:space="preserve"> Minimise and consolidate print</w:t>
            </w:r>
          </w:p>
        </w:tc>
        <w:tc>
          <w:tcPr>
            <w:tcW w:w="558"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708" w:type="dxa"/>
            <w:tcBorders>
              <w:top w:val="single" w:sz="4" w:space="0" w:color="C0C0C0"/>
              <w:left w:val="single" w:sz="4" w:space="0" w:color="C0C0C0"/>
              <w:bottom w:val="single" w:sz="4" w:space="0" w:color="C0C0C0"/>
              <w:right w:val="single" w:sz="4" w:space="0" w:color="C0C0C0"/>
            </w:tcBorders>
            <w:shd w:val="clear" w:color="auto" w:fill="00B050"/>
            <w:vAlign w:val="center"/>
          </w:tcPr>
          <w:p w:rsidR="006A062F" w:rsidRDefault="006A062F" w:rsidP="004A1175">
            <w:pPr>
              <w:spacing w:after="0" w:line="240" w:lineRule="auto"/>
              <w:jc w:val="center"/>
              <w:rPr>
                <w:rFonts w:cs="Arial"/>
                <w:sz w:val="20"/>
                <w:szCs w:val="20"/>
              </w:rPr>
            </w:pPr>
            <w:r w:rsidRPr="008A5A52">
              <w:rPr>
                <w:rFonts w:cs="Arial"/>
                <w:sz w:val="20"/>
                <w:szCs w:val="20"/>
              </w:rPr>
              <w:t>6</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709"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Default="006A062F" w:rsidP="004A1175">
            <w:pPr>
              <w:spacing w:after="0" w:line="240" w:lineRule="auto"/>
              <w:jc w:val="center"/>
              <w:rPr>
                <w:rFonts w:cs="Arial"/>
                <w:sz w:val="20"/>
                <w:szCs w:val="20"/>
              </w:rPr>
            </w:pPr>
            <w:r w:rsidRPr="008A5A52">
              <w:rPr>
                <w:rFonts w:cs="Arial"/>
                <w:sz w:val="20"/>
                <w:szCs w:val="20"/>
              </w:rPr>
              <w:t>5</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6"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F9966"/>
            <w:noWrap/>
            <w:vAlign w:val="center"/>
          </w:tcPr>
          <w:p w:rsidR="006A062F" w:rsidRPr="008A5A52" w:rsidRDefault="006A062F" w:rsidP="004A1175">
            <w:pPr>
              <w:spacing w:after="0" w:line="240" w:lineRule="auto"/>
              <w:jc w:val="center"/>
              <w:rPr>
                <w:rFonts w:cs="Arial"/>
                <w:sz w:val="20"/>
                <w:szCs w:val="20"/>
              </w:rPr>
            </w:pPr>
            <w:r>
              <w:rPr>
                <w:rFonts w:cs="Arial"/>
                <w:sz w:val="20"/>
                <w:szCs w:val="20"/>
              </w:rPr>
              <w:t>2↓</w:t>
            </w:r>
          </w:p>
        </w:tc>
        <w:tc>
          <w:tcPr>
            <w:tcW w:w="70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auto" w:fill="00B050"/>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KTO6.</w:t>
            </w:r>
            <w:r w:rsidRPr="00C67CA5">
              <w:rPr>
                <w:rFonts w:cs="Arial"/>
                <w:sz w:val="16"/>
                <w:szCs w:val="16"/>
              </w:rPr>
              <w:t xml:space="preserve"> Rationalise networks</w:t>
            </w:r>
          </w:p>
        </w:tc>
        <w:tc>
          <w:tcPr>
            <w:tcW w:w="55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70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Default="006A062F" w:rsidP="004A1175">
            <w:pPr>
              <w:spacing w:after="0" w:line="240" w:lineRule="auto"/>
              <w:jc w:val="center"/>
              <w:rPr>
                <w:rFonts w:cs="Arial"/>
                <w:sz w:val="20"/>
                <w:szCs w:val="20"/>
              </w:rPr>
            </w:pPr>
            <w:r>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8"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3</w:t>
            </w:r>
            <w:r>
              <w:rPr>
                <w:rFonts w:cs="Arial"/>
                <w:sz w:val="20"/>
                <w:szCs w:val="20"/>
              </w:rPr>
              <w:t>↔</w:t>
            </w:r>
          </w:p>
        </w:tc>
        <w:tc>
          <w:tcPr>
            <w:tcW w:w="56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3</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F9966"/>
            <w:noWrap/>
            <w:vAlign w:val="center"/>
          </w:tcPr>
          <w:p w:rsidR="006A062F" w:rsidRDefault="006A062F" w:rsidP="004A1175">
            <w:pPr>
              <w:spacing w:after="0" w:line="240" w:lineRule="auto"/>
              <w:jc w:val="center"/>
              <w:rPr>
                <w:rFonts w:cs="Arial"/>
                <w:sz w:val="20"/>
                <w:szCs w:val="20"/>
              </w:rPr>
            </w:pPr>
            <w:r w:rsidRPr="008A5A52">
              <w:rPr>
                <w:rFonts w:cs="Arial"/>
                <w:sz w:val="20"/>
                <w:szCs w:val="20"/>
              </w:rPr>
              <w:t>2</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Pr>
                <w:rFonts w:cs="Arial"/>
                <w:sz w:val="20"/>
                <w:szCs w:val="20"/>
              </w:rPr>
              <w:t>3↓</w:t>
            </w:r>
          </w:p>
        </w:tc>
        <w:tc>
          <w:tcPr>
            <w:tcW w:w="567"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KTO7.</w:t>
            </w:r>
            <w:r w:rsidRPr="00C67CA5">
              <w:rPr>
                <w:rFonts w:cs="Arial"/>
                <w:sz w:val="16"/>
                <w:szCs w:val="16"/>
              </w:rPr>
              <w:t xml:space="preserve"> Tackle supply chain</w:t>
            </w:r>
          </w:p>
        </w:tc>
        <w:tc>
          <w:tcPr>
            <w:tcW w:w="558" w:type="dxa"/>
            <w:tcBorders>
              <w:top w:val="single" w:sz="4" w:space="0" w:color="C0C0C0"/>
              <w:left w:val="single" w:sz="4" w:space="0" w:color="C0C0C0"/>
              <w:bottom w:val="single" w:sz="4" w:space="0" w:color="C0C0C0"/>
              <w:right w:val="single" w:sz="4" w:space="0" w:color="C0C0C0"/>
            </w:tcBorders>
            <w:shd w:val="clear" w:color="auto" w:fill="B1D580"/>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708"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Default="006A062F" w:rsidP="004A1175">
            <w:pPr>
              <w:spacing w:after="0" w:line="240" w:lineRule="auto"/>
              <w:jc w:val="center"/>
              <w:rPr>
                <w:rFonts w:cs="Arial"/>
                <w:sz w:val="20"/>
                <w:szCs w:val="20"/>
              </w:rPr>
            </w:pPr>
            <w:r>
              <w:rPr>
                <w:rFonts w:cs="Arial"/>
                <w:sz w:val="20"/>
                <w:szCs w:val="20"/>
              </w:rPr>
              <w:t>5</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FF5151"/>
            <w:vAlign w:val="center"/>
          </w:tcPr>
          <w:p w:rsidR="006A062F" w:rsidRPr="008A5A52" w:rsidRDefault="006A062F" w:rsidP="004A1175">
            <w:pPr>
              <w:spacing w:after="0" w:line="240" w:lineRule="auto"/>
              <w:jc w:val="center"/>
              <w:rPr>
                <w:rFonts w:cs="Arial"/>
                <w:sz w:val="20"/>
                <w:szCs w:val="20"/>
              </w:rPr>
            </w:pPr>
            <w:r>
              <w:rPr>
                <w:rFonts w:cs="Arial"/>
                <w:sz w:val="20"/>
                <w:szCs w:val="20"/>
              </w:rPr>
              <w:t>1</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8"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Pr>
                <w:rFonts w:cs="Arial"/>
                <w:sz w:val="20"/>
                <w:szCs w:val="20"/>
              </w:rPr>
              <w:t>3↑</w:t>
            </w:r>
          </w:p>
        </w:tc>
        <w:tc>
          <w:tcPr>
            <w:tcW w:w="709"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Default="006A062F" w:rsidP="004A1175">
            <w:pPr>
              <w:spacing w:after="0" w:line="240" w:lineRule="auto"/>
              <w:jc w:val="center"/>
              <w:rPr>
                <w:rFonts w:cs="Arial"/>
                <w:sz w:val="20"/>
                <w:szCs w:val="20"/>
              </w:rPr>
            </w:pPr>
            <w:r w:rsidRPr="008A5A52">
              <w:rPr>
                <w:rFonts w:cs="Arial"/>
                <w:sz w:val="20"/>
                <w:szCs w:val="20"/>
              </w:rPr>
              <w:t>5</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6"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Default="006A062F" w:rsidP="004A1175">
            <w:pPr>
              <w:spacing w:after="0" w:line="240" w:lineRule="auto"/>
              <w:jc w:val="center"/>
              <w:rPr>
                <w:rFonts w:cs="Arial"/>
                <w:sz w:val="20"/>
                <w:szCs w:val="20"/>
              </w:rPr>
            </w:pPr>
            <w:r>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FF9966"/>
            <w:noWrap/>
            <w:vAlign w:val="center"/>
          </w:tcPr>
          <w:p w:rsidR="006A062F" w:rsidRPr="008A5A52" w:rsidRDefault="006A062F" w:rsidP="004A1175">
            <w:pPr>
              <w:spacing w:after="0" w:line="240" w:lineRule="auto"/>
              <w:jc w:val="center"/>
              <w:rPr>
                <w:rFonts w:cs="Arial"/>
                <w:sz w:val="20"/>
                <w:szCs w:val="20"/>
              </w:rPr>
            </w:pPr>
            <w:r>
              <w:rPr>
                <w:rFonts w:cs="Arial"/>
                <w:sz w:val="20"/>
                <w:szCs w:val="20"/>
              </w:rPr>
              <w:t>2↓</w:t>
            </w:r>
          </w:p>
        </w:tc>
        <w:tc>
          <w:tcPr>
            <w:tcW w:w="709"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KTO8.</w:t>
            </w:r>
            <w:r w:rsidRPr="00C67CA5">
              <w:rPr>
                <w:rFonts w:cs="Arial"/>
                <w:sz w:val="16"/>
                <w:szCs w:val="16"/>
              </w:rPr>
              <w:t xml:space="preserve"> Share services and systems</w:t>
            </w:r>
          </w:p>
        </w:tc>
        <w:tc>
          <w:tcPr>
            <w:tcW w:w="55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70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56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Default="006A062F" w:rsidP="004A1175">
            <w:pPr>
              <w:spacing w:after="0" w:line="240" w:lineRule="auto"/>
              <w:jc w:val="center"/>
              <w:rPr>
                <w:rFonts w:cs="Arial"/>
                <w:sz w:val="20"/>
                <w:szCs w:val="20"/>
              </w:rPr>
            </w:pPr>
            <w:r w:rsidRPr="008A5A52">
              <w:rPr>
                <w:rFonts w:cs="Arial"/>
                <w:sz w:val="20"/>
                <w:szCs w:val="20"/>
              </w:rPr>
              <w:t>3</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KTO9.</w:t>
            </w:r>
            <w:r w:rsidRPr="00C67CA5">
              <w:rPr>
                <w:rFonts w:cs="Arial"/>
                <w:sz w:val="16"/>
                <w:szCs w:val="16"/>
              </w:rPr>
              <w:t xml:space="preserve"> Virtualise and consolidate hosting arrangements</w:t>
            </w:r>
          </w:p>
        </w:tc>
        <w:tc>
          <w:tcPr>
            <w:tcW w:w="558" w:type="dxa"/>
            <w:tcBorders>
              <w:top w:val="single" w:sz="4" w:space="0" w:color="C0C0C0"/>
              <w:left w:val="single" w:sz="4" w:space="0" w:color="C0C0C0"/>
              <w:bottom w:val="single" w:sz="4" w:space="0" w:color="C0C0C0"/>
              <w:right w:val="single" w:sz="4" w:space="0" w:color="C0C0C0"/>
            </w:tcBorders>
            <w:shd w:val="clear" w:color="000000"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p>
        </w:tc>
        <w:tc>
          <w:tcPr>
            <w:tcW w:w="70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p>
        </w:tc>
        <w:tc>
          <w:tcPr>
            <w:tcW w:w="568"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3</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6"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Default="006A062F" w:rsidP="004A1175">
            <w:pPr>
              <w:spacing w:after="0" w:line="240" w:lineRule="auto"/>
              <w:jc w:val="center"/>
              <w:rPr>
                <w:rFonts w:cs="Arial"/>
                <w:sz w:val="20"/>
                <w:szCs w:val="20"/>
              </w:rPr>
            </w:pPr>
            <w:r w:rsidRPr="008A5A52">
              <w:rPr>
                <w:rFonts w:cs="Arial"/>
                <w:sz w:val="20"/>
                <w:szCs w:val="20"/>
              </w:rPr>
              <w:t>3</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auto" w:fill="00B050"/>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3</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KTO10.</w:t>
            </w:r>
            <w:r w:rsidRPr="00C67CA5">
              <w:rPr>
                <w:rFonts w:cs="Arial"/>
                <w:sz w:val="16"/>
                <w:szCs w:val="16"/>
              </w:rPr>
              <w:t xml:space="preserve"> EU Data Centre Code of Conduct endorser status</w:t>
            </w:r>
          </w:p>
        </w:tc>
        <w:tc>
          <w:tcPr>
            <w:tcW w:w="55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70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Default="006A062F" w:rsidP="004A1175">
            <w:pPr>
              <w:spacing w:after="0" w:line="240" w:lineRule="auto"/>
              <w:jc w:val="center"/>
              <w:rPr>
                <w:rFonts w:cs="Arial"/>
                <w:sz w:val="20"/>
                <w:szCs w:val="20"/>
              </w:rPr>
            </w:pPr>
            <w:r>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auto" w:fill="FCBF7B"/>
            <w:vAlign w:val="center"/>
          </w:tcPr>
          <w:p w:rsidR="006A062F" w:rsidRPr="008A5A52" w:rsidRDefault="006A062F" w:rsidP="004A1175">
            <w:pPr>
              <w:spacing w:after="0" w:line="240" w:lineRule="auto"/>
              <w:jc w:val="center"/>
              <w:rPr>
                <w:rFonts w:cs="Arial"/>
                <w:sz w:val="20"/>
                <w:szCs w:val="20"/>
              </w:rPr>
            </w:pPr>
            <w:r>
              <w:rPr>
                <w:rFonts w:cs="Arial"/>
                <w:sz w:val="20"/>
                <w:szCs w:val="20"/>
              </w:rPr>
              <w:t>3</w:t>
            </w:r>
          </w:p>
        </w:tc>
        <w:tc>
          <w:tcPr>
            <w:tcW w:w="56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709"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3</w:t>
            </w:r>
            <w:r>
              <w:rPr>
                <w:rFonts w:cs="Arial"/>
                <w:sz w:val="20"/>
                <w:szCs w:val="20"/>
              </w:rPr>
              <w:t>↔</w:t>
            </w:r>
          </w:p>
        </w:tc>
        <w:tc>
          <w:tcPr>
            <w:tcW w:w="566" w:type="dxa"/>
            <w:tcBorders>
              <w:top w:val="nil"/>
              <w:left w:val="nil"/>
              <w:bottom w:val="single" w:sz="4" w:space="0" w:color="C0C0C0"/>
              <w:right w:val="single" w:sz="4" w:space="0" w:color="C0C0C0"/>
            </w:tcBorders>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Default="006A062F" w:rsidP="004A1175">
            <w:pPr>
              <w:spacing w:after="0" w:line="240" w:lineRule="auto"/>
              <w:jc w:val="center"/>
              <w:rPr>
                <w:rFonts w:cs="Arial"/>
                <w:sz w:val="20"/>
                <w:szCs w:val="20"/>
              </w:rPr>
            </w:pPr>
            <w:r w:rsidRPr="008A5A52">
              <w:rPr>
                <w:rFonts w:cs="Arial"/>
                <w:sz w:val="20"/>
                <w:szCs w:val="20"/>
              </w:rPr>
              <w:t>3</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Pr="008A5A52" w:rsidRDefault="006A062F" w:rsidP="004A1175">
            <w:pPr>
              <w:spacing w:after="0" w:line="240" w:lineRule="auto"/>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709"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KTO11.</w:t>
            </w:r>
            <w:r w:rsidRPr="00C67CA5">
              <w:rPr>
                <w:rFonts w:cs="Arial"/>
                <w:sz w:val="16"/>
                <w:szCs w:val="16"/>
              </w:rPr>
              <w:t xml:space="preserve"> Server rooms are run energy efficiently</w:t>
            </w:r>
          </w:p>
        </w:tc>
        <w:tc>
          <w:tcPr>
            <w:tcW w:w="55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708"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Default="006A062F" w:rsidP="004A1175">
            <w:pPr>
              <w:spacing w:after="0" w:line="240" w:lineRule="auto"/>
              <w:jc w:val="center"/>
              <w:rPr>
                <w:rFonts w:cs="Arial"/>
                <w:sz w:val="20"/>
                <w:szCs w:val="20"/>
              </w:rPr>
            </w:pPr>
            <w:r w:rsidRPr="008A5A52">
              <w:rPr>
                <w:rFonts w:cs="Arial"/>
                <w:sz w:val="20"/>
                <w:szCs w:val="20"/>
              </w:rPr>
              <w:t>5</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8"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Pr>
                <w:rFonts w:cs="Arial"/>
                <w:sz w:val="20"/>
                <w:szCs w:val="20"/>
              </w:rPr>
              <w:t>3↓</w:t>
            </w:r>
          </w:p>
        </w:tc>
        <w:tc>
          <w:tcPr>
            <w:tcW w:w="56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Default="006A062F" w:rsidP="004A1175">
            <w:pPr>
              <w:spacing w:after="0" w:line="240" w:lineRule="auto"/>
              <w:jc w:val="center"/>
              <w:rPr>
                <w:rFonts w:cs="Arial"/>
                <w:sz w:val="20"/>
                <w:szCs w:val="20"/>
              </w:rPr>
            </w:pPr>
            <w:r w:rsidRPr="008A5A52">
              <w:rPr>
                <w:rFonts w:cs="Arial"/>
                <w:sz w:val="20"/>
                <w:szCs w:val="20"/>
              </w:rPr>
              <w:t>3</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auto" w:fill="FCBF7B"/>
            <w:vAlign w:val="center"/>
          </w:tcPr>
          <w:p w:rsidR="006A062F" w:rsidRPr="008A5A52" w:rsidRDefault="006A062F" w:rsidP="004A1175">
            <w:pPr>
              <w:spacing w:after="0" w:line="240" w:lineRule="auto"/>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3</w:t>
            </w:r>
            <w:r>
              <w:rPr>
                <w:rFonts w:cs="Arial"/>
                <w:sz w:val="20"/>
                <w:szCs w:val="20"/>
              </w:rPr>
              <w:t>↔</w:t>
            </w:r>
          </w:p>
        </w:tc>
        <w:tc>
          <w:tcPr>
            <w:tcW w:w="567" w:type="dxa"/>
            <w:tcBorders>
              <w:top w:val="single" w:sz="4" w:space="0" w:color="C0C0C0"/>
              <w:left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KTO12.</w:t>
            </w:r>
            <w:r w:rsidRPr="00C67CA5">
              <w:rPr>
                <w:rFonts w:cs="Arial"/>
                <w:sz w:val="16"/>
                <w:szCs w:val="16"/>
              </w:rPr>
              <w:t xml:space="preserve"> Storage capacity minimised</w:t>
            </w:r>
          </w:p>
        </w:tc>
        <w:tc>
          <w:tcPr>
            <w:tcW w:w="558"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p>
        </w:tc>
        <w:tc>
          <w:tcPr>
            <w:tcW w:w="708" w:type="dxa"/>
            <w:tcBorders>
              <w:top w:val="single" w:sz="4" w:space="0" w:color="C0C0C0"/>
              <w:left w:val="single" w:sz="4" w:space="0" w:color="C0C0C0"/>
              <w:bottom w:val="single" w:sz="4" w:space="0" w:color="C0C0C0"/>
              <w:right w:val="single" w:sz="4" w:space="0" w:color="C0C0C0"/>
            </w:tcBorders>
            <w:shd w:val="clear" w:color="auto" w:fill="00B050"/>
            <w:vAlign w:val="center"/>
          </w:tcPr>
          <w:p w:rsidR="006A062F" w:rsidRDefault="006A062F" w:rsidP="004A1175">
            <w:pPr>
              <w:spacing w:after="0" w:line="240" w:lineRule="auto"/>
              <w:jc w:val="center"/>
              <w:rPr>
                <w:rFonts w:cs="Arial"/>
                <w:sz w:val="20"/>
                <w:szCs w:val="20"/>
              </w:rPr>
            </w:pPr>
            <w:r>
              <w:rPr>
                <w:rFonts w:cs="Arial"/>
                <w:sz w:val="20"/>
                <w:szCs w:val="20"/>
              </w:rPr>
              <w:t>6</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8"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Pr>
                <w:rFonts w:cs="Arial"/>
                <w:sz w:val="20"/>
                <w:szCs w:val="20"/>
              </w:rPr>
              <w:t>3↓</w:t>
            </w:r>
          </w:p>
        </w:tc>
        <w:tc>
          <w:tcPr>
            <w:tcW w:w="566"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000000" w:fill="FCBF7B"/>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3</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Pr>
                <w:rFonts w:cs="Arial"/>
                <w:sz w:val="20"/>
                <w:szCs w:val="20"/>
              </w:rPr>
              <w:t>3↓</w:t>
            </w:r>
          </w:p>
        </w:tc>
        <w:tc>
          <w:tcPr>
            <w:tcW w:w="567" w:type="dxa"/>
            <w:tcBorders>
              <w:left w:val="single" w:sz="4" w:space="0" w:color="C0C0C0"/>
              <w:bottom w:val="single" w:sz="4" w:space="0" w:color="C0C0C0"/>
              <w:right w:val="single" w:sz="4" w:space="0" w:color="C0C0C0"/>
            </w:tcBorders>
            <w:shd w:val="clear" w:color="auto" w:fill="FCBF7B"/>
            <w:noWrap/>
            <w:vAlign w:val="center"/>
          </w:tcPr>
          <w:p w:rsidR="006A062F" w:rsidRPr="008A5A52" w:rsidRDefault="006A062F" w:rsidP="004A1175">
            <w:pPr>
              <w:spacing w:after="0" w:line="240" w:lineRule="auto"/>
              <w:jc w:val="center"/>
              <w:rPr>
                <w:rFonts w:cs="Arial"/>
                <w:sz w:val="20"/>
                <w:szCs w:val="20"/>
              </w:rPr>
            </w:pPr>
            <w:r>
              <w:rPr>
                <w:rFonts w:cs="Arial"/>
                <w:sz w:val="20"/>
                <w:szCs w:val="20"/>
              </w:rPr>
              <w:t>3↓</w:t>
            </w:r>
          </w:p>
        </w:tc>
        <w:tc>
          <w:tcPr>
            <w:tcW w:w="709" w:type="dxa"/>
            <w:tcBorders>
              <w:top w:val="single" w:sz="4" w:space="0" w:color="C0C0C0"/>
              <w:left w:val="single" w:sz="4" w:space="0" w:color="C0C0C0"/>
              <w:bottom w:val="single" w:sz="4" w:space="0" w:color="C0C0C0"/>
              <w:right w:val="single" w:sz="4" w:space="0" w:color="C0C0C0"/>
            </w:tcBorders>
            <w:shd w:val="clear" w:color="auto" w:fill="FF9966"/>
            <w:noWrap/>
            <w:vAlign w:val="center"/>
          </w:tcPr>
          <w:p w:rsidR="006A062F" w:rsidRDefault="006A062F" w:rsidP="004A1175">
            <w:pPr>
              <w:spacing w:after="0" w:line="240" w:lineRule="auto"/>
              <w:jc w:val="center"/>
              <w:rPr>
                <w:rFonts w:cs="Arial"/>
                <w:sz w:val="20"/>
                <w:szCs w:val="20"/>
              </w:rPr>
            </w:pPr>
            <w:r w:rsidRPr="008A5A52">
              <w:rPr>
                <w:rFonts w:cs="Arial"/>
                <w:sz w:val="20"/>
                <w:szCs w:val="20"/>
              </w:rPr>
              <w:t>2</w:t>
            </w:r>
          </w:p>
          <w:p w:rsidR="006A062F" w:rsidRPr="008A5A52" w:rsidRDefault="006A062F" w:rsidP="004A1175">
            <w:pPr>
              <w:spacing w:after="0" w:line="240" w:lineRule="auto"/>
              <w:jc w:val="center"/>
              <w:rPr>
                <w:rFonts w:cs="Arial"/>
                <w:sz w:val="20"/>
                <w:szCs w:val="20"/>
              </w:rPr>
            </w:pPr>
            <w:r>
              <w:rPr>
                <w:rFonts w:cs="Arial"/>
                <w:sz w:val="20"/>
                <w:szCs w:val="20"/>
              </w:rPr>
              <w:t>↔</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KTO13.</w:t>
            </w:r>
            <w:r w:rsidRPr="00C67CA5">
              <w:rPr>
                <w:rFonts w:cs="Arial"/>
                <w:sz w:val="16"/>
                <w:szCs w:val="16"/>
              </w:rPr>
              <w:t xml:space="preserve"> Minimise need for disposal and land-fill</w:t>
            </w:r>
          </w:p>
        </w:tc>
        <w:tc>
          <w:tcPr>
            <w:tcW w:w="558" w:type="dxa"/>
            <w:tcBorders>
              <w:top w:val="single" w:sz="4" w:space="0" w:color="C0C0C0"/>
              <w:left w:val="single" w:sz="4" w:space="0" w:color="C0C0C0"/>
              <w:bottom w:val="single" w:sz="4" w:space="0" w:color="C0C0C0"/>
              <w:right w:val="single" w:sz="4" w:space="0" w:color="C0C0C0"/>
            </w:tcBorders>
            <w:shd w:val="clear" w:color="000000" w:fill="B1D580"/>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p>
        </w:tc>
        <w:tc>
          <w:tcPr>
            <w:tcW w:w="708" w:type="dxa"/>
            <w:tcBorders>
              <w:top w:val="single" w:sz="4" w:space="0" w:color="C0C0C0"/>
              <w:left w:val="single" w:sz="4" w:space="0" w:color="C0C0C0"/>
              <w:bottom w:val="single" w:sz="4" w:space="0" w:color="C0C0C0"/>
              <w:right w:val="single" w:sz="4" w:space="0" w:color="C0C0C0"/>
            </w:tcBorders>
            <w:shd w:val="clear" w:color="auto" w:fill="00B050"/>
            <w:vAlign w:val="center"/>
          </w:tcPr>
          <w:p w:rsidR="006A062F" w:rsidRDefault="006A062F" w:rsidP="004A1175">
            <w:pPr>
              <w:spacing w:after="0" w:line="240" w:lineRule="auto"/>
              <w:jc w:val="center"/>
              <w:rPr>
                <w:rFonts w:cs="Arial"/>
                <w:sz w:val="20"/>
                <w:szCs w:val="20"/>
              </w:rPr>
            </w:pPr>
            <w:r w:rsidRPr="008A5A52">
              <w:rPr>
                <w:rFonts w:cs="Arial"/>
                <w:sz w:val="20"/>
                <w:szCs w:val="20"/>
              </w:rPr>
              <w:t>6</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FCBF7B"/>
            <w:vAlign w:val="center"/>
          </w:tcPr>
          <w:p w:rsidR="006A062F" w:rsidRPr="008A5A52" w:rsidRDefault="006A062F" w:rsidP="004A1175">
            <w:pPr>
              <w:spacing w:after="0" w:line="240" w:lineRule="auto"/>
              <w:jc w:val="center"/>
              <w:rPr>
                <w:rFonts w:cs="Arial"/>
                <w:sz w:val="20"/>
                <w:szCs w:val="20"/>
              </w:rPr>
            </w:pPr>
            <w:r>
              <w:rPr>
                <w:rFonts w:cs="Arial"/>
                <w:sz w:val="20"/>
                <w:szCs w:val="20"/>
              </w:rPr>
              <w:t>3</w:t>
            </w:r>
          </w:p>
        </w:tc>
        <w:tc>
          <w:tcPr>
            <w:tcW w:w="568"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709"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Default="006A062F" w:rsidP="004A1175">
            <w:pPr>
              <w:spacing w:after="0" w:line="240" w:lineRule="auto"/>
              <w:jc w:val="center"/>
              <w:rPr>
                <w:rFonts w:cs="Arial"/>
                <w:sz w:val="20"/>
                <w:szCs w:val="20"/>
              </w:rPr>
            </w:pPr>
            <w:r w:rsidRPr="008A5A52">
              <w:rPr>
                <w:rFonts w:cs="Arial"/>
                <w:sz w:val="20"/>
                <w:szCs w:val="20"/>
              </w:rPr>
              <w:t>6</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6</w:t>
            </w:r>
            <w:r>
              <w:rPr>
                <w:rFonts w:cs="Arial"/>
                <w:sz w:val="20"/>
                <w:szCs w:val="20"/>
              </w:rPr>
              <w:t>↔</w:t>
            </w:r>
          </w:p>
        </w:tc>
        <w:tc>
          <w:tcPr>
            <w:tcW w:w="566"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6</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Default="006A062F" w:rsidP="004A1175">
            <w:pPr>
              <w:spacing w:after="0" w:line="240" w:lineRule="auto"/>
              <w:jc w:val="center"/>
              <w:rPr>
                <w:rFonts w:cs="Arial"/>
                <w:sz w:val="20"/>
                <w:szCs w:val="20"/>
              </w:rPr>
            </w:pPr>
            <w:r w:rsidRPr="008A5A52">
              <w:rPr>
                <w:rFonts w:cs="Arial"/>
                <w:sz w:val="20"/>
                <w:szCs w:val="20"/>
              </w:rPr>
              <w:t>3</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00B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6↑</w:t>
            </w:r>
          </w:p>
        </w:tc>
        <w:tc>
          <w:tcPr>
            <w:tcW w:w="567"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auto" w:fill="FFEB84"/>
            <w:noWrap/>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709" w:type="dxa"/>
            <w:tcBorders>
              <w:top w:val="single" w:sz="4" w:space="0" w:color="C0C0C0"/>
              <w:left w:val="single" w:sz="4" w:space="0" w:color="C0C0C0"/>
              <w:bottom w:val="single" w:sz="4" w:space="0" w:color="C0C0C0"/>
              <w:right w:val="single" w:sz="4" w:space="0" w:color="C0C0C0"/>
            </w:tcBorders>
            <w:shd w:val="clear" w:color="auto" w:fill="FCBF7B"/>
            <w:noWrap/>
            <w:vAlign w:val="center"/>
          </w:tcPr>
          <w:p w:rsidR="006A062F" w:rsidRDefault="006A062F" w:rsidP="004A1175">
            <w:pPr>
              <w:spacing w:after="0" w:line="240" w:lineRule="auto"/>
              <w:jc w:val="center"/>
              <w:rPr>
                <w:rFonts w:cs="Arial"/>
                <w:sz w:val="20"/>
                <w:szCs w:val="20"/>
              </w:rPr>
            </w:pPr>
            <w:r w:rsidRPr="008A5A52">
              <w:rPr>
                <w:rFonts w:cs="Arial"/>
                <w:sz w:val="20"/>
                <w:szCs w:val="20"/>
              </w:rPr>
              <w:t>3</w:t>
            </w:r>
          </w:p>
          <w:p w:rsidR="006A062F" w:rsidRPr="008A5A52" w:rsidRDefault="006A062F" w:rsidP="004A1175">
            <w:pPr>
              <w:spacing w:after="0" w:line="240" w:lineRule="auto"/>
              <w:jc w:val="center"/>
              <w:rPr>
                <w:rFonts w:cs="Arial"/>
                <w:sz w:val="20"/>
                <w:szCs w:val="20"/>
              </w:rPr>
            </w:pPr>
            <w:r>
              <w:rPr>
                <w:rFonts w:cs="Arial"/>
                <w:sz w:val="20"/>
                <w:szCs w:val="20"/>
              </w:rPr>
              <w:t>↔</w:t>
            </w:r>
          </w:p>
        </w:tc>
      </w:tr>
      <w:tr w:rsidR="006A062F" w:rsidRPr="00CE6C82" w:rsidTr="004A1175">
        <w:trPr>
          <w:trHeight w:val="707"/>
        </w:trPr>
        <w:tc>
          <w:tcPr>
            <w:tcW w:w="1128" w:type="dxa"/>
            <w:tcBorders>
              <w:top w:val="nil"/>
              <w:left w:val="single" w:sz="4" w:space="0" w:color="C0C0C0"/>
              <w:bottom w:val="single" w:sz="4" w:space="0" w:color="C0C0C0"/>
              <w:right w:val="single" w:sz="4" w:space="0" w:color="C0C0C0"/>
            </w:tcBorders>
            <w:vAlign w:val="center"/>
          </w:tcPr>
          <w:p w:rsidR="006A062F" w:rsidRPr="00C67CA5" w:rsidRDefault="006A062F" w:rsidP="004A1175">
            <w:pPr>
              <w:spacing w:after="0" w:line="240" w:lineRule="auto"/>
              <w:jc w:val="center"/>
              <w:rPr>
                <w:rFonts w:cs="Arial"/>
                <w:sz w:val="16"/>
                <w:szCs w:val="16"/>
              </w:rPr>
            </w:pPr>
            <w:r w:rsidRPr="00C67CA5">
              <w:rPr>
                <w:rFonts w:cs="Arial"/>
                <w:b/>
                <w:bCs/>
                <w:sz w:val="16"/>
                <w:szCs w:val="16"/>
              </w:rPr>
              <w:t>KTO14.</w:t>
            </w:r>
            <w:r w:rsidRPr="00C67CA5">
              <w:rPr>
                <w:rFonts w:cs="Arial"/>
                <w:sz w:val="16"/>
                <w:szCs w:val="16"/>
              </w:rPr>
              <w:t xml:space="preserve"> Reduce business travel</w:t>
            </w:r>
          </w:p>
        </w:tc>
        <w:tc>
          <w:tcPr>
            <w:tcW w:w="55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p>
        </w:tc>
        <w:tc>
          <w:tcPr>
            <w:tcW w:w="708" w:type="dxa"/>
            <w:tcBorders>
              <w:top w:val="single" w:sz="4" w:space="0" w:color="C0C0C0"/>
              <w:left w:val="single" w:sz="4" w:space="0" w:color="C0C0C0"/>
              <w:bottom w:val="single" w:sz="4" w:space="0" w:color="C0C0C0"/>
              <w:right w:val="single" w:sz="4" w:space="0" w:color="C0C0C0"/>
            </w:tcBorders>
            <w:shd w:val="clear" w:color="auto" w:fill="FFEB84"/>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N/A</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vAlign w:val="center"/>
          </w:tcPr>
          <w:p w:rsidR="006A062F" w:rsidRPr="008A5A52" w:rsidRDefault="006A062F" w:rsidP="004A1175">
            <w:pPr>
              <w:spacing w:after="0" w:line="240" w:lineRule="auto"/>
              <w:jc w:val="center"/>
              <w:rPr>
                <w:rFonts w:cs="Arial"/>
                <w:sz w:val="20"/>
                <w:szCs w:val="20"/>
              </w:rPr>
            </w:pPr>
            <w:r>
              <w:rPr>
                <w:rFonts w:cs="Arial"/>
                <w:sz w:val="20"/>
                <w:szCs w:val="20"/>
              </w:rPr>
              <w:t>4</w:t>
            </w:r>
          </w:p>
        </w:tc>
        <w:tc>
          <w:tcPr>
            <w:tcW w:w="568"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6"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5</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708" w:type="dxa"/>
            <w:tcBorders>
              <w:top w:val="single" w:sz="4" w:space="0" w:color="C0C0C0"/>
              <w:left w:val="single" w:sz="4" w:space="0" w:color="C0C0C0"/>
              <w:bottom w:val="single" w:sz="4" w:space="0" w:color="C0C0C0"/>
              <w:right w:val="single" w:sz="4" w:space="0" w:color="C0C0C0"/>
            </w:tcBorders>
            <w:shd w:val="clear" w:color="auto" w:fill="92D050"/>
            <w:noWrap/>
            <w:vAlign w:val="center"/>
          </w:tcPr>
          <w:p w:rsidR="006A062F" w:rsidRDefault="006A062F" w:rsidP="004A1175">
            <w:pPr>
              <w:spacing w:after="0" w:line="240" w:lineRule="auto"/>
              <w:jc w:val="center"/>
              <w:rPr>
                <w:rFonts w:cs="Arial"/>
                <w:sz w:val="20"/>
                <w:szCs w:val="20"/>
              </w:rPr>
            </w:pPr>
            <w:r w:rsidRPr="008A5A52">
              <w:rPr>
                <w:rFonts w:cs="Arial"/>
                <w:sz w:val="20"/>
                <w:szCs w:val="20"/>
              </w:rPr>
              <w:t>5</w:t>
            </w:r>
          </w:p>
          <w:p w:rsidR="006A062F" w:rsidRPr="008A5A52" w:rsidRDefault="006A062F" w:rsidP="004A1175">
            <w:pPr>
              <w:spacing w:after="0" w:line="240" w:lineRule="auto"/>
              <w:jc w:val="center"/>
              <w:rPr>
                <w:rFonts w:cs="Arial"/>
                <w:sz w:val="20"/>
                <w:szCs w:val="20"/>
              </w:rPr>
            </w:pP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92D050"/>
            <w:vAlign w:val="center"/>
          </w:tcPr>
          <w:p w:rsidR="006A062F" w:rsidRPr="008A5A52" w:rsidRDefault="006A062F" w:rsidP="004A1175">
            <w:pPr>
              <w:spacing w:after="0" w:line="240" w:lineRule="auto"/>
              <w:jc w:val="center"/>
              <w:rPr>
                <w:rFonts w:cs="Arial"/>
                <w:sz w:val="20"/>
                <w:szCs w:val="20"/>
              </w:rPr>
            </w:pPr>
            <w:r>
              <w:rPr>
                <w:rFonts w:cs="Arial"/>
                <w:sz w:val="20"/>
                <w:szCs w:val="20"/>
              </w:rPr>
              <w:t>5</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Pr="008A5A52" w:rsidRDefault="006A062F" w:rsidP="004A1175">
            <w:pPr>
              <w:spacing w:after="0" w:line="240" w:lineRule="auto"/>
              <w:jc w:val="center"/>
              <w:rPr>
                <w:rFonts w:cs="Arial"/>
                <w:sz w:val="20"/>
                <w:szCs w:val="20"/>
              </w:rPr>
            </w:pPr>
            <w:r w:rsidRPr="008A5A52">
              <w:rPr>
                <w:rFonts w:cs="Arial"/>
                <w:sz w:val="20"/>
                <w:szCs w:val="20"/>
              </w:rPr>
              <w:t>4</w:t>
            </w:r>
            <w:r>
              <w:rPr>
                <w:rFonts w:cs="Arial"/>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000000" w:fill="FFEB84"/>
            <w:noWrap/>
            <w:vAlign w:val="center"/>
          </w:tcPr>
          <w:p w:rsidR="006A062F" w:rsidRDefault="006A062F" w:rsidP="004A1175">
            <w:pPr>
              <w:spacing w:after="0" w:line="240" w:lineRule="auto"/>
              <w:jc w:val="center"/>
              <w:rPr>
                <w:rFonts w:cs="Arial"/>
                <w:sz w:val="20"/>
                <w:szCs w:val="20"/>
              </w:rPr>
            </w:pPr>
            <w:r w:rsidRPr="008A5A52">
              <w:rPr>
                <w:rFonts w:cs="Arial"/>
                <w:sz w:val="20"/>
                <w:szCs w:val="20"/>
              </w:rPr>
              <w:t>4</w:t>
            </w:r>
          </w:p>
          <w:p w:rsidR="006A062F" w:rsidRPr="008A5A52" w:rsidRDefault="006A062F" w:rsidP="004A1175">
            <w:pPr>
              <w:spacing w:after="0" w:line="240" w:lineRule="auto"/>
              <w:jc w:val="center"/>
              <w:rPr>
                <w:rFonts w:cs="Arial"/>
                <w:sz w:val="20"/>
                <w:szCs w:val="20"/>
              </w:rPr>
            </w:pPr>
            <w:r>
              <w:rPr>
                <w:rFonts w:cs="Arial"/>
                <w:sz w:val="20"/>
                <w:szCs w:val="20"/>
              </w:rPr>
              <w:t>↔</w:t>
            </w:r>
          </w:p>
        </w:tc>
      </w:tr>
    </w:tbl>
    <w:p w:rsidR="006A062F" w:rsidRPr="00DE6F76" w:rsidRDefault="006A062F" w:rsidP="00050BD6">
      <w:pPr>
        <w:spacing w:after="0" w:line="240" w:lineRule="auto"/>
        <w:rPr>
          <w:rFonts w:cs="Arial"/>
          <w:bCs/>
          <w:i/>
          <w:sz w:val="12"/>
          <w:szCs w:val="20"/>
        </w:rPr>
      </w:pPr>
    </w:p>
    <w:p w:rsidR="006A062F" w:rsidRPr="00B31472" w:rsidRDefault="006A062F" w:rsidP="00050BD6">
      <w:pPr>
        <w:spacing w:after="0" w:line="240" w:lineRule="auto"/>
        <w:rPr>
          <w:rFonts w:cs="Arial"/>
          <w:b/>
          <w:bCs/>
          <w:i/>
          <w:sz w:val="14"/>
          <w:szCs w:val="20"/>
        </w:rPr>
      </w:pPr>
      <w:r w:rsidRPr="00A56909">
        <w:rPr>
          <w:rFonts w:cs="Calibri"/>
          <w:b/>
          <w:sz w:val="18"/>
          <w:szCs w:val="18"/>
        </w:rPr>
        <w:t>Arrows indicate change on previous year. No arrow indicates first return</w:t>
      </w:r>
    </w:p>
    <w:p w:rsidR="006A062F" w:rsidRDefault="006A062F" w:rsidP="00556D00">
      <w:pPr>
        <w:spacing w:after="0" w:line="240" w:lineRule="auto"/>
        <w:rPr>
          <w:rFonts w:cs="Arial"/>
          <w:b/>
          <w:bCs/>
          <w:i/>
          <w:sz w:val="20"/>
          <w:szCs w:val="20"/>
        </w:rPr>
      </w:pPr>
      <w:r w:rsidRPr="00A56909">
        <w:rPr>
          <w:rFonts w:cs="Arial"/>
          <w:b/>
          <w:bCs/>
          <w:i/>
          <w:sz w:val="20"/>
          <w:szCs w:val="20"/>
        </w:rPr>
        <w:t xml:space="preserve">1 – Not started   2 </w:t>
      </w:r>
      <w:r>
        <w:rPr>
          <w:rFonts w:cs="Arial"/>
          <w:b/>
          <w:bCs/>
          <w:i/>
          <w:sz w:val="20"/>
          <w:szCs w:val="20"/>
        </w:rPr>
        <w:t>- Under</w:t>
      </w:r>
      <w:r w:rsidRPr="00A56909">
        <w:rPr>
          <w:rFonts w:cs="Arial"/>
          <w:b/>
          <w:bCs/>
          <w:i/>
          <w:sz w:val="20"/>
          <w:szCs w:val="20"/>
        </w:rPr>
        <w:t xml:space="preserve"> Review   3 – Planned   4 – In progress   5 – Achieved   6 </w:t>
      </w:r>
      <w:r>
        <w:rPr>
          <w:rFonts w:cs="Arial"/>
          <w:b/>
          <w:bCs/>
          <w:i/>
          <w:sz w:val="20"/>
          <w:szCs w:val="20"/>
        </w:rPr>
        <w:t>–</w:t>
      </w:r>
      <w:r w:rsidRPr="00A56909">
        <w:rPr>
          <w:rFonts w:cs="Arial"/>
          <w:b/>
          <w:bCs/>
          <w:i/>
          <w:sz w:val="20"/>
          <w:szCs w:val="20"/>
        </w:rPr>
        <w:t xml:space="preserve"> Embedded</w:t>
      </w:r>
    </w:p>
    <w:p w:rsidR="006A062F" w:rsidRPr="00556D00" w:rsidRDefault="006A062F" w:rsidP="00556D00">
      <w:pPr>
        <w:spacing w:after="0" w:line="240" w:lineRule="auto"/>
        <w:rPr>
          <w:rFonts w:cs="Arial"/>
          <w:b/>
          <w:bCs/>
          <w:i/>
          <w:sz w:val="20"/>
          <w:szCs w:val="20"/>
        </w:rPr>
      </w:pPr>
      <w:r w:rsidRPr="00C94823">
        <w:rPr>
          <w:b/>
          <w:sz w:val="24"/>
          <w:szCs w:val="24"/>
        </w:rPr>
        <w:t xml:space="preserve">Figure </w:t>
      </w:r>
      <w:r>
        <w:rPr>
          <w:b/>
          <w:sz w:val="24"/>
          <w:szCs w:val="24"/>
        </w:rPr>
        <w:t>4 - Percentage of d</w:t>
      </w:r>
      <w:r w:rsidRPr="00C94823">
        <w:rPr>
          <w:b/>
          <w:sz w:val="24"/>
          <w:szCs w:val="24"/>
        </w:rPr>
        <w:t>epartments achieving each Key Target Outcome as at end March 2013</w:t>
      </w:r>
    </w:p>
    <w:p w:rsidR="006A062F" w:rsidRPr="00C83FEC" w:rsidRDefault="006A062F" w:rsidP="002331A7">
      <w:pPr>
        <w:rPr>
          <w:b/>
          <w:sz w:val="28"/>
          <w:szCs w:val="28"/>
        </w:rPr>
      </w:pPr>
      <w:bookmarkStart w:id="26" w:name="_Toc328752898"/>
      <w:r w:rsidRPr="002118A2">
        <w:rPr>
          <w:b/>
          <w:noProof/>
          <w:sz w:val="28"/>
          <w:szCs w:val="28"/>
          <w:lang w:val="en-US" w:eastAsia="en-US"/>
        </w:rPr>
        <w:pict>
          <v:shape id="Chart 2" o:spid="_x0000_i1029" type="#_x0000_t75" style="width:486pt;height:39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C9pr2gAAAAUBAAAPAAAAZHJzL2Rvd25y&#10;ZXYueG1sTI9BS8QwEIXvgv8hzII3N6mi7Nami6zoRRCsC3tNk7Et20xKk92N/97Ri14GHm/mvW+q&#10;TfajOOEch0AaiqUCgWSDG6jTsPt4vl6BiMmQM2Mg1PCFETb15UVlShfO9I6nJnWCQyiWRkOf0lRK&#10;GW2P3sRlmJDY+wyzN4nl3Ek3mzOH+1HeKHUvvRmIG3oz4bZHe2iOnjFebjEU6m372uwsPdm8z9ju&#10;tb5a5McHEAlz+luGH3y+gZqZ2nAkF8WogR9Jv5O99bq4A9FqWBVKgawr+Z++/gY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">
            <v:imagedata r:id="rId21" o:title="" croptop="-2136f" cropbottom="-1538f" cropleft="-258f" cropright="-1555f"/>
            <o:lock v:ext="edit" aspectratio="f"/>
          </v:shape>
        </w:pict>
      </w:r>
    </w:p>
    <w:p w:rsidR="006A062F" w:rsidRPr="00497D69" w:rsidRDefault="006A062F" w:rsidP="00497D69">
      <w:pPr>
        <w:pStyle w:val="Heading1"/>
      </w:pPr>
      <w:bookmarkStart w:id="27" w:name="_Toc360802565"/>
      <w:r w:rsidRPr="00497D69">
        <w:t xml:space="preserve">8 </w:t>
      </w:r>
      <w:r>
        <w:t xml:space="preserve">Assessments of the operational </w:t>
      </w:r>
      <w:r w:rsidRPr="00497D69">
        <w:t>energy use</w:t>
      </w:r>
      <w:r>
        <w:t xml:space="preserve"> of IT</w:t>
      </w:r>
      <w:bookmarkEnd w:id="27"/>
    </w:p>
    <w:p w:rsidR="006A062F" w:rsidRDefault="006A062F" w:rsidP="00DF1B42">
      <w:pPr>
        <w:pStyle w:val="Default"/>
        <w:spacing w:line="276" w:lineRule="auto"/>
        <w:rPr>
          <w:rFonts w:ascii="Calibri" w:hAnsi="Calibri" w:cs="Arial"/>
          <w:color w:val="auto"/>
          <w:sz w:val="28"/>
          <w:szCs w:val="28"/>
        </w:rPr>
      </w:pPr>
      <w:r w:rsidRPr="008677D5">
        <w:rPr>
          <w:rFonts w:ascii="Calibri" w:hAnsi="Calibri" w:cs="Arial"/>
          <w:b/>
          <w:color w:val="auto"/>
          <w:sz w:val="36"/>
          <w:szCs w:val="36"/>
        </w:rPr>
        <w:t>Fifteen</w:t>
      </w:r>
      <w:r w:rsidRPr="008677D5">
        <w:rPr>
          <w:rFonts w:ascii="Calibri" w:hAnsi="Calibri" w:cs="Arial"/>
          <w:color w:val="auto"/>
          <w:sz w:val="36"/>
          <w:szCs w:val="36"/>
        </w:rPr>
        <w:t xml:space="preserve"> </w:t>
      </w:r>
      <w:r>
        <w:rPr>
          <w:rFonts w:ascii="Calibri" w:hAnsi="Calibri" w:cs="Arial"/>
          <w:color w:val="auto"/>
          <w:sz w:val="28"/>
          <w:szCs w:val="28"/>
        </w:rPr>
        <w:t>organisations</w:t>
      </w:r>
      <w:r w:rsidRPr="00B11148">
        <w:rPr>
          <w:rFonts w:ascii="Calibri" w:hAnsi="Calibri" w:cs="Arial"/>
          <w:color w:val="auto"/>
          <w:sz w:val="28"/>
          <w:szCs w:val="28"/>
        </w:rPr>
        <w:t xml:space="preserve"> provi</w:t>
      </w:r>
      <w:r>
        <w:rPr>
          <w:rFonts w:ascii="Calibri" w:hAnsi="Calibri" w:cs="Arial"/>
          <w:color w:val="auto"/>
          <w:sz w:val="28"/>
          <w:szCs w:val="28"/>
        </w:rPr>
        <w:t>ded returns showing their operational energy usage for IT.</w:t>
      </w:r>
      <w:r w:rsidRPr="00B11148">
        <w:rPr>
          <w:rFonts w:ascii="Calibri" w:hAnsi="Calibri" w:cs="Arial"/>
          <w:color w:val="auto"/>
          <w:sz w:val="28"/>
          <w:szCs w:val="28"/>
        </w:rPr>
        <w:t xml:space="preserve"> </w:t>
      </w:r>
      <w:r>
        <w:rPr>
          <w:rFonts w:ascii="Calibri" w:hAnsi="Calibri" w:cs="Arial"/>
          <w:color w:val="auto"/>
          <w:sz w:val="28"/>
          <w:szCs w:val="28"/>
        </w:rPr>
        <w:t xml:space="preserve">This is the measurement of the energy needed to run the equipment. The GDU </w:t>
      </w:r>
      <w:r w:rsidRPr="00B11148">
        <w:rPr>
          <w:rFonts w:ascii="Calibri" w:hAnsi="Calibri" w:cs="Arial"/>
          <w:color w:val="auto"/>
          <w:sz w:val="28"/>
          <w:szCs w:val="28"/>
        </w:rPr>
        <w:t>worked with the Joint</w:t>
      </w:r>
      <w:r>
        <w:rPr>
          <w:rFonts w:ascii="Calibri" w:hAnsi="Calibri" w:cs="Arial"/>
          <w:color w:val="auto"/>
          <w:sz w:val="28"/>
          <w:szCs w:val="28"/>
        </w:rPr>
        <w:t xml:space="preserve"> Information Systems</w:t>
      </w:r>
      <w:r w:rsidRPr="00B11148">
        <w:rPr>
          <w:rFonts w:ascii="Calibri" w:hAnsi="Calibri" w:cs="Arial"/>
          <w:color w:val="auto"/>
          <w:sz w:val="28"/>
          <w:szCs w:val="28"/>
        </w:rPr>
        <w:t xml:space="preserve"> Committee for Higher Education (JISC) in develo</w:t>
      </w:r>
      <w:r>
        <w:rPr>
          <w:rFonts w:ascii="Calibri" w:hAnsi="Calibri" w:cs="Arial"/>
          <w:color w:val="auto"/>
          <w:sz w:val="28"/>
          <w:szCs w:val="28"/>
        </w:rPr>
        <w:t>ping its foot</w:t>
      </w:r>
      <w:r w:rsidRPr="00B11148">
        <w:rPr>
          <w:rFonts w:ascii="Calibri" w:hAnsi="Calibri" w:cs="Arial"/>
          <w:color w:val="auto"/>
          <w:sz w:val="28"/>
          <w:szCs w:val="28"/>
        </w:rPr>
        <w:t>printing tool f</w:t>
      </w:r>
      <w:r>
        <w:rPr>
          <w:rFonts w:ascii="Calibri" w:hAnsi="Calibri" w:cs="Arial"/>
          <w:color w:val="auto"/>
          <w:sz w:val="28"/>
          <w:szCs w:val="28"/>
        </w:rPr>
        <w:t>or use by government</w:t>
      </w:r>
      <w:r w:rsidRPr="00B11148">
        <w:rPr>
          <w:rFonts w:ascii="Calibri" w:hAnsi="Calibri" w:cs="Arial"/>
          <w:color w:val="auto"/>
          <w:sz w:val="28"/>
          <w:szCs w:val="28"/>
        </w:rPr>
        <w:t>.</w:t>
      </w:r>
      <w:r>
        <w:rPr>
          <w:rFonts w:ascii="Calibri" w:hAnsi="Calibri" w:cs="Arial"/>
          <w:color w:val="auto"/>
          <w:sz w:val="28"/>
          <w:szCs w:val="28"/>
        </w:rPr>
        <w:t xml:space="preserve"> This was used by </w:t>
      </w:r>
      <w:r w:rsidRPr="008677D5">
        <w:rPr>
          <w:rFonts w:ascii="Calibri" w:hAnsi="Calibri" w:cs="Arial"/>
          <w:b/>
          <w:color w:val="auto"/>
          <w:sz w:val="36"/>
          <w:szCs w:val="36"/>
        </w:rPr>
        <w:t>ten</w:t>
      </w:r>
      <w:r>
        <w:rPr>
          <w:rFonts w:ascii="Calibri" w:hAnsi="Calibri" w:cs="Arial"/>
          <w:color w:val="auto"/>
          <w:sz w:val="28"/>
          <w:szCs w:val="28"/>
        </w:rPr>
        <w:t xml:space="preserve"> organisations</w:t>
      </w:r>
      <w:r w:rsidRPr="00B11148">
        <w:rPr>
          <w:rFonts w:ascii="Calibri" w:hAnsi="Calibri" w:cs="Arial"/>
          <w:color w:val="auto"/>
          <w:sz w:val="28"/>
          <w:szCs w:val="28"/>
        </w:rPr>
        <w:t xml:space="preserve">, with </w:t>
      </w:r>
      <w:r>
        <w:rPr>
          <w:rFonts w:ascii="Calibri" w:hAnsi="Calibri" w:cs="Arial"/>
          <w:b/>
          <w:color w:val="auto"/>
          <w:sz w:val="36"/>
          <w:szCs w:val="36"/>
        </w:rPr>
        <w:t>five</w:t>
      </w:r>
      <w:r w:rsidRPr="00B11148">
        <w:rPr>
          <w:rFonts w:ascii="Calibri" w:hAnsi="Calibri" w:cs="Arial"/>
          <w:color w:val="auto"/>
          <w:sz w:val="28"/>
          <w:szCs w:val="28"/>
        </w:rPr>
        <w:t xml:space="preserve"> others using their own tools. </w:t>
      </w:r>
    </w:p>
    <w:p w:rsidR="006A062F" w:rsidRPr="00AB1905" w:rsidRDefault="006A062F" w:rsidP="00DF1B42">
      <w:pPr>
        <w:pStyle w:val="Default"/>
        <w:spacing w:line="276" w:lineRule="auto"/>
        <w:rPr>
          <w:rFonts w:ascii="Calibri" w:hAnsi="Calibri" w:cs="Arial"/>
          <w:color w:val="auto"/>
          <w:sz w:val="28"/>
          <w:szCs w:val="28"/>
        </w:rPr>
      </w:pPr>
    </w:p>
    <w:p w:rsidR="006A062F" w:rsidRDefault="006A062F" w:rsidP="00DF1B42">
      <w:pPr>
        <w:rPr>
          <w:sz w:val="28"/>
          <w:szCs w:val="28"/>
        </w:rPr>
      </w:pPr>
      <w:r>
        <w:rPr>
          <w:sz w:val="28"/>
          <w:szCs w:val="28"/>
        </w:rPr>
        <w:t>Measuring I</w:t>
      </w:r>
      <w:r w:rsidRPr="00AB1905">
        <w:rPr>
          <w:sz w:val="28"/>
          <w:szCs w:val="28"/>
        </w:rPr>
        <w:t>T energy use for central government is a substantial undertaking</w:t>
      </w:r>
      <w:r>
        <w:rPr>
          <w:sz w:val="28"/>
          <w:szCs w:val="28"/>
        </w:rPr>
        <w:t xml:space="preserve"> with a number of challenges</w:t>
      </w:r>
      <w:r w:rsidRPr="00AB1905">
        <w:rPr>
          <w:sz w:val="28"/>
          <w:szCs w:val="28"/>
        </w:rPr>
        <w:t>. </w:t>
      </w:r>
      <w:r>
        <w:rPr>
          <w:sz w:val="28"/>
          <w:szCs w:val="28"/>
        </w:rPr>
        <w:t>These include:</w:t>
      </w:r>
      <w:r w:rsidRPr="00AB1905">
        <w:rPr>
          <w:sz w:val="28"/>
          <w:szCs w:val="28"/>
        </w:rPr>
        <w:t> the use of different methodologies, complexity of the supply chain and </w:t>
      </w:r>
      <w:r>
        <w:rPr>
          <w:sz w:val="28"/>
          <w:szCs w:val="28"/>
        </w:rPr>
        <w:t>new ways of providing services including cloud which all have an impact on</w:t>
      </w:r>
      <w:r w:rsidRPr="00AB1905">
        <w:rPr>
          <w:sz w:val="28"/>
          <w:szCs w:val="28"/>
        </w:rPr>
        <w:t xml:space="preserve"> understanding the full picture</w:t>
      </w:r>
      <w:r>
        <w:rPr>
          <w:sz w:val="28"/>
          <w:szCs w:val="28"/>
        </w:rPr>
        <w:t xml:space="preserve"> and on the consistency of the data provided. </w:t>
      </w:r>
    </w:p>
    <w:p w:rsidR="006A062F" w:rsidRDefault="006A062F" w:rsidP="00DF1B42">
      <w:pPr>
        <w:rPr>
          <w:sz w:val="28"/>
          <w:szCs w:val="28"/>
        </w:rPr>
      </w:pPr>
      <w:r>
        <w:rPr>
          <w:sz w:val="28"/>
          <w:szCs w:val="28"/>
        </w:rPr>
        <w:t xml:space="preserve">This is the first assessment at this level of detail of energy usage by government IT and our aim is to develop further the ways to collect and report this data to improve its accuracy and comparability. The figures, despite some of the shortcomings described above, give a sense of scale and show that servers and their supporting infrastructure consume the most energy which reinforces the need for further work on the energy efficiency of data centres and supports the GDU’s focus on this area. </w:t>
      </w:r>
    </w:p>
    <w:p w:rsidR="006A062F" w:rsidRPr="009E2F1B" w:rsidRDefault="006A062F" w:rsidP="00DF1B42">
      <w:r>
        <w:t> </w:t>
      </w:r>
      <w:r w:rsidRPr="00B11148">
        <w:rPr>
          <w:rFonts w:cs="Arial"/>
          <w:sz w:val="28"/>
          <w:szCs w:val="28"/>
        </w:rPr>
        <w:t>As the foll</w:t>
      </w:r>
      <w:r>
        <w:rPr>
          <w:rFonts w:cs="Arial"/>
          <w:sz w:val="28"/>
          <w:szCs w:val="28"/>
        </w:rPr>
        <w:t xml:space="preserve">owing table shows, </w:t>
      </w:r>
      <w:r>
        <w:rPr>
          <w:rFonts w:cs="Arial"/>
          <w:b/>
          <w:sz w:val="36"/>
          <w:szCs w:val="36"/>
        </w:rPr>
        <w:t>ten</w:t>
      </w:r>
      <w:r>
        <w:rPr>
          <w:rFonts w:cs="Arial"/>
          <w:sz w:val="28"/>
          <w:szCs w:val="28"/>
        </w:rPr>
        <w:t xml:space="preserve"> organisations</w:t>
      </w:r>
      <w:r w:rsidRPr="00B11148">
        <w:rPr>
          <w:rFonts w:cs="Arial"/>
          <w:sz w:val="28"/>
          <w:szCs w:val="28"/>
        </w:rPr>
        <w:t xml:space="preserve"> have provided complete returns with asset counts and energy consumption figu</w:t>
      </w:r>
      <w:r>
        <w:rPr>
          <w:rFonts w:cs="Arial"/>
          <w:sz w:val="28"/>
          <w:szCs w:val="28"/>
        </w:rPr>
        <w:t>res for all types of deployed</w:t>
      </w:r>
      <w:r w:rsidRPr="00B11148">
        <w:rPr>
          <w:rFonts w:cs="Arial"/>
          <w:sz w:val="28"/>
          <w:szCs w:val="28"/>
        </w:rPr>
        <w:t xml:space="preserve"> assets</w:t>
      </w:r>
      <w:r>
        <w:rPr>
          <w:rFonts w:cs="Arial"/>
          <w:sz w:val="28"/>
          <w:szCs w:val="28"/>
        </w:rPr>
        <w:t>.</w:t>
      </w:r>
    </w:p>
    <w:p w:rsidR="006A062F" w:rsidRDefault="006A062F" w:rsidP="00B11148">
      <w:pPr>
        <w:pStyle w:val="Default"/>
        <w:rPr>
          <w:rFonts w:ascii="Calibri" w:hAnsi="Calibri" w:cs="Arial"/>
          <w:b/>
          <w:color w:val="auto"/>
        </w:rPr>
      </w:pPr>
    </w:p>
    <w:p w:rsidR="006A062F" w:rsidRDefault="006A062F" w:rsidP="00B11148">
      <w:pPr>
        <w:pStyle w:val="Default"/>
        <w:rPr>
          <w:rFonts w:ascii="Calibri" w:hAnsi="Calibri" w:cs="Calibri"/>
          <w:b/>
        </w:rPr>
      </w:pPr>
      <w:r>
        <w:rPr>
          <w:rFonts w:ascii="Calibri" w:hAnsi="Calibri" w:cs="Arial"/>
          <w:b/>
          <w:color w:val="auto"/>
        </w:rPr>
        <w:t>Figure 5</w:t>
      </w:r>
      <w:r w:rsidRPr="00A56909">
        <w:rPr>
          <w:rFonts w:ascii="Calibri" w:hAnsi="Calibri" w:cs="Arial"/>
          <w:b/>
          <w:color w:val="auto"/>
        </w:rPr>
        <w:t xml:space="preserve"> – </w:t>
      </w:r>
      <w:r>
        <w:rPr>
          <w:rFonts w:ascii="Calibri" w:hAnsi="Calibri" w:cs="Calibri"/>
          <w:b/>
        </w:rPr>
        <w:t>Completeness of d</w:t>
      </w:r>
      <w:r w:rsidRPr="00A56909">
        <w:rPr>
          <w:rFonts w:ascii="Calibri" w:hAnsi="Calibri" w:cs="Calibri"/>
          <w:b/>
        </w:rPr>
        <w:t>epartmental returns</w:t>
      </w:r>
    </w:p>
    <w:p w:rsidR="006A062F" w:rsidRPr="0094076B" w:rsidRDefault="006A062F" w:rsidP="00B11148">
      <w:pPr>
        <w:pStyle w:val="Default"/>
        <w:rPr>
          <w:rFonts w:ascii="Calibri" w:hAnsi="Calibri" w:cs="Calibri"/>
          <w:color w:val="auto"/>
        </w:rPr>
      </w:pPr>
      <w:r>
        <w:rPr>
          <w:noProof/>
          <w:lang w:val="en-US" w:eastAsia="en-US"/>
        </w:rPr>
        <w:pict>
          <v:shape id="Picture 4" o:spid="_x0000_s1029" type="#_x0000_t75" style="position:absolute;margin-left:-41.25pt;margin-top:20.45pt;width:543pt;height:345.2pt;z-index:251661312;visibility:visible" stroked="t">
            <v:imagedata r:id="rId22" o:title="" croptop="14976f" cropbottom="10022f" cropleft="1338f" cropright="18654f"/>
            <w10:wrap type="square"/>
          </v:shape>
        </w:pict>
      </w:r>
    </w:p>
    <w:p w:rsidR="006A062F" w:rsidRDefault="006A062F" w:rsidP="00220C98">
      <w:pPr>
        <w:suppressAutoHyphens w:val="0"/>
        <w:spacing w:after="0" w:line="240" w:lineRule="auto"/>
        <w:rPr>
          <w:sz w:val="28"/>
          <w:szCs w:val="28"/>
        </w:rPr>
      </w:pPr>
    </w:p>
    <w:p w:rsidR="006A062F" w:rsidRDefault="006A062F" w:rsidP="00DF1B42">
      <w:pPr>
        <w:suppressAutoHyphens w:val="0"/>
        <w:spacing w:after="0"/>
        <w:rPr>
          <w:sz w:val="28"/>
          <w:szCs w:val="28"/>
        </w:rPr>
      </w:pPr>
      <w:r w:rsidRPr="005A252C">
        <w:rPr>
          <w:sz w:val="28"/>
          <w:szCs w:val="28"/>
        </w:rPr>
        <w:t>The following figure provides an assessment of the returns. These figures indicate the scale of the footprint by type of ICT asset. Although incomplete</w:t>
      </w:r>
      <w:r>
        <w:rPr>
          <w:sz w:val="28"/>
          <w:szCs w:val="28"/>
        </w:rPr>
        <w:t xml:space="preserve"> in some areas</w:t>
      </w:r>
      <w:r w:rsidRPr="005A252C">
        <w:rPr>
          <w:sz w:val="28"/>
          <w:szCs w:val="28"/>
        </w:rPr>
        <w:t xml:space="preserve">, the inclusion of the staffing figures provides an initial baseline </w:t>
      </w:r>
      <w:r w:rsidRPr="005A252C">
        <w:rPr>
          <w:bCs/>
          <w:sz w:val="28"/>
          <w:szCs w:val="28"/>
        </w:rPr>
        <w:t>against which to chart progress for those departments making consistent returns in future years</w:t>
      </w:r>
      <w:r w:rsidRPr="005A252C">
        <w:rPr>
          <w:sz w:val="28"/>
          <w:szCs w:val="28"/>
        </w:rPr>
        <w:t xml:space="preserve"> and enables some relative comparisons year on year as the size of government changes. </w:t>
      </w:r>
    </w:p>
    <w:p w:rsidR="006A062F" w:rsidRPr="005A252C" w:rsidRDefault="006A062F" w:rsidP="00DF1B42">
      <w:pPr>
        <w:suppressAutoHyphens w:val="0"/>
        <w:spacing w:after="0"/>
        <w:rPr>
          <w:sz w:val="28"/>
          <w:szCs w:val="28"/>
        </w:rPr>
      </w:pPr>
    </w:p>
    <w:p w:rsidR="006A062F" w:rsidRDefault="006A062F" w:rsidP="00C83FEC">
      <w:pPr>
        <w:suppressAutoHyphens w:val="0"/>
        <w:spacing w:after="0" w:line="240" w:lineRule="auto"/>
        <w:rPr>
          <w:rFonts w:cs="Calibri"/>
          <w:b/>
          <w:sz w:val="24"/>
          <w:szCs w:val="24"/>
        </w:rPr>
      </w:pPr>
      <w:r w:rsidRPr="00A56909">
        <w:rPr>
          <w:b/>
          <w:sz w:val="24"/>
          <w:szCs w:val="24"/>
        </w:rPr>
        <w:t xml:space="preserve">Figure </w:t>
      </w:r>
      <w:r>
        <w:rPr>
          <w:rFonts w:cs="Calibri"/>
          <w:b/>
          <w:sz w:val="24"/>
          <w:szCs w:val="24"/>
        </w:rPr>
        <w:t>6</w:t>
      </w:r>
      <w:r w:rsidRPr="00A56909">
        <w:rPr>
          <w:rFonts w:cs="Calibri"/>
          <w:b/>
          <w:sz w:val="24"/>
          <w:szCs w:val="24"/>
        </w:rPr>
        <w:t xml:space="preserve"> - Ho</w:t>
      </w:r>
      <w:r>
        <w:rPr>
          <w:rFonts w:cs="Calibri"/>
          <w:b/>
          <w:sz w:val="24"/>
          <w:szCs w:val="24"/>
        </w:rPr>
        <w:t>w much energy does government I</w:t>
      </w:r>
      <w:r w:rsidRPr="00A56909">
        <w:rPr>
          <w:rFonts w:cs="Calibri"/>
          <w:b/>
          <w:sz w:val="24"/>
          <w:szCs w:val="24"/>
        </w:rPr>
        <w:t>T use</w:t>
      </w:r>
    </w:p>
    <w:p w:rsidR="006A062F" w:rsidRDefault="006A062F" w:rsidP="009E4789">
      <w:pPr>
        <w:suppressAutoHyphens w:val="0"/>
        <w:spacing w:after="0" w:line="240" w:lineRule="auto"/>
      </w:pPr>
    </w:p>
    <w:tbl>
      <w:tblPr>
        <w:tblW w:w="10291" w:type="dxa"/>
        <w:tblInd w:w="-176" w:type="dxa"/>
        <w:tblBorders>
          <w:top w:val="single" w:sz="12" w:space="0" w:color="969696"/>
          <w:left w:val="single" w:sz="12" w:space="0" w:color="969696"/>
          <w:bottom w:val="single" w:sz="12" w:space="0" w:color="969696"/>
          <w:right w:val="single" w:sz="12" w:space="0" w:color="969696"/>
        </w:tblBorders>
        <w:tblLook w:val="00A0"/>
      </w:tblPr>
      <w:tblGrid>
        <w:gridCol w:w="1271"/>
        <w:gridCol w:w="1423"/>
        <w:gridCol w:w="851"/>
        <w:gridCol w:w="1402"/>
        <w:gridCol w:w="1434"/>
        <w:gridCol w:w="1105"/>
        <w:gridCol w:w="935"/>
        <w:gridCol w:w="935"/>
        <w:gridCol w:w="935"/>
      </w:tblGrid>
      <w:tr w:rsidR="006A062F" w:rsidTr="00556D00">
        <w:trPr>
          <w:trHeight w:val="724"/>
        </w:trPr>
        <w:tc>
          <w:tcPr>
            <w:tcW w:w="1271" w:type="dxa"/>
            <w:tcBorders>
              <w:top w:val="single" w:sz="12" w:space="0" w:color="969696"/>
            </w:tcBorders>
            <w:shd w:val="clear" w:color="000000" w:fill="CCFFFF"/>
            <w:noWrap/>
            <w:vAlign w:val="center"/>
          </w:tcPr>
          <w:p w:rsidR="006A062F" w:rsidRPr="00B259D2" w:rsidRDefault="006A062F" w:rsidP="00E445AF">
            <w:pPr>
              <w:jc w:val="center"/>
              <w:rPr>
                <w:rFonts w:cs="Arial"/>
                <w:b/>
                <w:bCs/>
                <w:sz w:val="20"/>
                <w:szCs w:val="20"/>
              </w:rPr>
            </w:pPr>
            <w:r w:rsidRPr="00B259D2">
              <w:rPr>
                <w:rFonts w:cs="Arial"/>
                <w:b/>
                <w:bCs/>
                <w:sz w:val="20"/>
                <w:szCs w:val="20"/>
              </w:rPr>
              <w:t>Category</w:t>
            </w:r>
          </w:p>
        </w:tc>
        <w:tc>
          <w:tcPr>
            <w:tcW w:w="1423" w:type="dxa"/>
            <w:tcBorders>
              <w:top w:val="single" w:sz="12" w:space="0" w:color="969696"/>
            </w:tcBorders>
            <w:shd w:val="clear" w:color="000000" w:fill="CCFFFF"/>
            <w:vAlign w:val="center"/>
          </w:tcPr>
          <w:p w:rsidR="006A062F" w:rsidRPr="00B259D2" w:rsidRDefault="006A062F" w:rsidP="00E445AF">
            <w:pPr>
              <w:jc w:val="center"/>
              <w:rPr>
                <w:rFonts w:cs="Arial"/>
                <w:b/>
                <w:bCs/>
                <w:sz w:val="20"/>
                <w:szCs w:val="20"/>
              </w:rPr>
            </w:pPr>
            <w:r w:rsidRPr="00B259D2">
              <w:rPr>
                <w:rFonts w:cs="Arial"/>
                <w:b/>
                <w:bCs/>
                <w:sz w:val="20"/>
                <w:szCs w:val="20"/>
              </w:rPr>
              <w:t>Energy Use (kWh/y)</w:t>
            </w:r>
          </w:p>
        </w:tc>
        <w:tc>
          <w:tcPr>
            <w:tcW w:w="851" w:type="dxa"/>
            <w:tcBorders>
              <w:top w:val="single" w:sz="12" w:space="0" w:color="969696"/>
            </w:tcBorders>
            <w:shd w:val="clear" w:color="000000" w:fill="CCFFFF"/>
            <w:noWrap/>
            <w:vAlign w:val="center"/>
          </w:tcPr>
          <w:p w:rsidR="006A062F" w:rsidRPr="00B259D2" w:rsidRDefault="006A062F" w:rsidP="00E445AF">
            <w:pPr>
              <w:jc w:val="center"/>
              <w:rPr>
                <w:rFonts w:cs="Arial"/>
                <w:sz w:val="20"/>
                <w:szCs w:val="20"/>
              </w:rPr>
            </w:pPr>
            <w:r w:rsidRPr="00B259D2">
              <w:rPr>
                <w:rFonts w:cs="Arial"/>
                <w:sz w:val="20"/>
                <w:szCs w:val="20"/>
              </w:rPr>
              <w:t>%</w:t>
            </w:r>
          </w:p>
        </w:tc>
        <w:tc>
          <w:tcPr>
            <w:tcW w:w="1402" w:type="dxa"/>
            <w:tcBorders>
              <w:top w:val="single" w:sz="12" w:space="0" w:color="969696"/>
            </w:tcBorders>
            <w:shd w:val="clear" w:color="000000" w:fill="CCFFFF"/>
            <w:vAlign w:val="center"/>
          </w:tcPr>
          <w:p w:rsidR="006A062F" w:rsidRPr="00B259D2" w:rsidRDefault="006A062F" w:rsidP="00E445AF">
            <w:pPr>
              <w:rPr>
                <w:rFonts w:cs="Arial"/>
                <w:b/>
                <w:bCs/>
                <w:sz w:val="20"/>
                <w:szCs w:val="20"/>
              </w:rPr>
            </w:pPr>
            <w:r w:rsidRPr="00B259D2">
              <w:rPr>
                <w:rFonts w:cs="Arial"/>
                <w:b/>
                <w:bCs/>
                <w:sz w:val="20"/>
                <w:szCs w:val="20"/>
              </w:rPr>
              <w:t>Energy Cost (£/y)</w:t>
            </w:r>
          </w:p>
        </w:tc>
        <w:tc>
          <w:tcPr>
            <w:tcW w:w="1434" w:type="dxa"/>
            <w:tcBorders>
              <w:top w:val="single" w:sz="12" w:space="0" w:color="969696"/>
            </w:tcBorders>
            <w:shd w:val="clear" w:color="000000" w:fill="CCFFFF"/>
            <w:vAlign w:val="center"/>
          </w:tcPr>
          <w:p w:rsidR="006A062F" w:rsidRPr="00B259D2" w:rsidRDefault="006A062F" w:rsidP="00E445AF">
            <w:pPr>
              <w:jc w:val="center"/>
              <w:rPr>
                <w:rFonts w:cs="Arial"/>
                <w:b/>
                <w:bCs/>
                <w:sz w:val="20"/>
                <w:szCs w:val="20"/>
              </w:rPr>
            </w:pPr>
            <w:r w:rsidRPr="00B259D2">
              <w:rPr>
                <w:rFonts w:cs="Arial"/>
                <w:b/>
                <w:bCs/>
                <w:sz w:val="20"/>
                <w:szCs w:val="20"/>
              </w:rPr>
              <w:t>CO2 emissions (kg/y)</w:t>
            </w:r>
          </w:p>
        </w:tc>
        <w:tc>
          <w:tcPr>
            <w:tcW w:w="1105" w:type="dxa"/>
            <w:tcBorders>
              <w:top w:val="single" w:sz="12" w:space="0" w:color="969696"/>
            </w:tcBorders>
            <w:shd w:val="clear" w:color="000000" w:fill="CCFFFF"/>
            <w:vAlign w:val="center"/>
          </w:tcPr>
          <w:p w:rsidR="006A062F" w:rsidRPr="00B259D2" w:rsidRDefault="006A062F" w:rsidP="001033A8">
            <w:pPr>
              <w:jc w:val="center"/>
              <w:rPr>
                <w:rFonts w:cs="Arial"/>
                <w:b/>
                <w:bCs/>
                <w:sz w:val="20"/>
                <w:szCs w:val="20"/>
              </w:rPr>
            </w:pPr>
            <w:r>
              <w:rPr>
                <w:rFonts w:cs="Arial"/>
                <w:b/>
                <w:bCs/>
                <w:sz w:val="20"/>
                <w:szCs w:val="20"/>
              </w:rPr>
              <w:t>S</w:t>
            </w:r>
            <w:r w:rsidRPr="00B259D2">
              <w:rPr>
                <w:rFonts w:cs="Arial"/>
                <w:b/>
                <w:bCs/>
                <w:sz w:val="20"/>
                <w:szCs w:val="20"/>
              </w:rPr>
              <w:t>taff covered</w:t>
            </w:r>
            <w:r>
              <w:rPr>
                <w:rFonts w:cs="Arial"/>
                <w:b/>
                <w:bCs/>
                <w:sz w:val="20"/>
                <w:szCs w:val="20"/>
              </w:rPr>
              <w:t xml:space="preserve"> per category</w:t>
            </w:r>
            <w:r w:rsidRPr="00B259D2">
              <w:rPr>
                <w:rFonts w:cs="Arial"/>
                <w:b/>
                <w:bCs/>
                <w:sz w:val="20"/>
                <w:szCs w:val="20"/>
              </w:rPr>
              <w:t xml:space="preserve"> </w:t>
            </w:r>
          </w:p>
        </w:tc>
        <w:tc>
          <w:tcPr>
            <w:tcW w:w="935" w:type="dxa"/>
            <w:tcBorders>
              <w:top w:val="single" w:sz="12" w:space="0" w:color="969696"/>
            </w:tcBorders>
            <w:shd w:val="clear" w:color="000000" w:fill="CCFFFF"/>
            <w:vAlign w:val="center"/>
          </w:tcPr>
          <w:p w:rsidR="006A062F" w:rsidRPr="00B259D2" w:rsidRDefault="006A062F" w:rsidP="00E445AF">
            <w:pPr>
              <w:jc w:val="center"/>
              <w:rPr>
                <w:rFonts w:cs="Arial"/>
                <w:b/>
                <w:bCs/>
                <w:sz w:val="20"/>
                <w:szCs w:val="20"/>
              </w:rPr>
            </w:pPr>
            <w:r w:rsidRPr="00B259D2">
              <w:rPr>
                <w:rFonts w:cs="Arial"/>
                <w:b/>
                <w:bCs/>
                <w:sz w:val="20"/>
                <w:szCs w:val="20"/>
              </w:rPr>
              <w:t>Average kWh/y  staff</w:t>
            </w:r>
          </w:p>
        </w:tc>
        <w:tc>
          <w:tcPr>
            <w:tcW w:w="935" w:type="dxa"/>
            <w:tcBorders>
              <w:top w:val="single" w:sz="12" w:space="0" w:color="969696"/>
            </w:tcBorders>
            <w:shd w:val="clear" w:color="000000" w:fill="CCFFFF"/>
            <w:vAlign w:val="center"/>
          </w:tcPr>
          <w:p w:rsidR="006A062F" w:rsidRPr="00B259D2" w:rsidRDefault="006A062F" w:rsidP="00E445AF">
            <w:pPr>
              <w:jc w:val="center"/>
              <w:rPr>
                <w:rFonts w:cs="Arial"/>
                <w:b/>
                <w:bCs/>
                <w:sz w:val="20"/>
                <w:szCs w:val="20"/>
              </w:rPr>
            </w:pPr>
            <w:r w:rsidRPr="00B259D2">
              <w:rPr>
                <w:rFonts w:cs="Arial"/>
                <w:b/>
                <w:bCs/>
                <w:sz w:val="20"/>
                <w:szCs w:val="20"/>
              </w:rPr>
              <w:t>Average £/ staff</w:t>
            </w:r>
          </w:p>
        </w:tc>
        <w:tc>
          <w:tcPr>
            <w:tcW w:w="935" w:type="dxa"/>
            <w:tcBorders>
              <w:top w:val="single" w:sz="12" w:space="0" w:color="969696"/>
            </w:tcBorders>
            <w:shd w:val="clear" w:color="000000" w:fill="CCFFFF"/>
            <w:vAlign w:val="center"/>
          </w:tcPr>
          <w:p w:rsidR="006A062F" w:rsidRPr="00B259D2" w:rsidRDefault="006A062F" w:rsidP="00E445AF">
            <w:pPr>
              <w:jc w:val="center"/>
              <w:rPr>
                <w:rFonts w:cs="Arial"/>
                <w:b/>
                <w:bCs/>
                <w:sz w:val="20"/>
                <w:szCs w:val="20"/>
              </w:rPr>
            </w:pPr>
            <w:r w:rsidRPr="00B259D2">
              <w:rPr>
                <w:rFonts w:cs="Arial"/>
                <w:b/>
                <w:bCs/>
                <w:sz w:val="20"/>
                <w:szCs w:val="20"/>
              </w:rPr>
              <w:t>Average kg CO2/ staff</w:t>
            </w:r>
          </w:p>
        </w:tc>
      </w:tr>
      <w:tr w:rsidR="006A062F" w:rsidTr="001744D0">
        <w:trPr>
          <w:trHeight w:val="257"/>
        </w:trPr>
        <w:tc>
          <w:tcPr>
            <w:tcW w:w="1271" w:type="dxa"/>
            <w:shd w:val="clear" w:color="000000" w:fill="FFFFFF"/>
            <w:noWrap/>
            <w:vAlign w:val="bottom"/>
          </w:tcPr>
          <w:p w:rsidR="006A062F" w:rsidRPr="00B259D2" w:rsidRDefault="006A062F" w:rsidP="00E445AF">
            <w:pPr>
              <w:rPr>
                <w:rFonts w:cs="Arial"/>
                <w:b/>
                <w:bCs/>
                <w:sz w:val="20"/>
                <w:szCs w:val="20"/>
              </w:rPr>
            </w:pPr>
            <w:r w:rsidRPr="00B259D2">
              <w:rPr>
                <w:rFonts w:cs="Arial"/>
                <w:b/>
                <w:bCs/>
                <w:sz w:val="20"/>
                <w:szCs w:val="20"/>
              </w:rPr>
              <w:t>Servers</w:t>
            </w:r>
          </w:p>
        </w:tc>
        <w:tc>
          <w:tcPr>
            <w:tcW w:w="1423" w:type="dxa"/>
            <w:shd w:val="clear" w:color="000000" w:fill="FFFFFF"/>
            <w:noWrap/>
            <w:vAlign w:val="bottom"/>
          </w:tcPr>
          <w:p w:rsidR="006A062F" w:rsidRPr="00B259D2" w:rsidRDefault="006A062F" w:rsidP="00E445AF">
            <w:pPr>
              <w:jc w:val="right"/>
              <w:rPr>
                <w:rFonts w:cs="Arial"/>
                <w:b/>
                <w:bCs/>
                <w:sz w:val="20"/>
                <w:szCs w:val="20"/>
              </w:rPr>
            </w:pPr>
            <w:r w:rsidRPr="00B259D2">
              <w:rPr>
                <w:rFonts w:cs="Arial"/>
                <w:b/>
                <w:bCs/>
                <w:sz w:val="20"/>
                <w:szCs w:val="20"/>
              </w:rPr>
              <w:t xml:space="preserve">     276,554,199</w:t>
            </w:r>
          </w:p>
        </w:tc>
        <w:tc>
          <w:tcPr>
            <w:tcW w:w="851"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 xml:space="preserve">   42.6%</w:t>
            </w:r>
          </w:p>
        </w:tc>
        <w:tc>
          <w:tcPr>
            <w:tcW w:w="1402"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 xml:space="preserve">    33,186,504</w:t>
            </w:r>
          </w:p>
        </w:tc>
        <w:tc>
          <w:tcPr>
            <w:tcW w:w="1434"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 xml:space="preserve">    151,280,678</w:t>
            </w:r>
          </w:p>
        </w:tc>
        <w:tc>
          <w:tcPr>
            <w:tcW w:w="110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 xml:space="preserve">  464,495</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595</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71</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326</w:t>
            </w:r>
          </w:p>
        </w:tc>
      </w:tr>
      <w:tr w:rsidR="006A062F" w:rsidTr="001744D0">
        <w:trPr>
          <w:trHeight w:val="257"/>
        </w:trPr>
        <w:tc>
          <w:tcPr>
            <w:tcW w:w="1271" w:type="dxa"/>
            <w:shd w:val="clear" w:color="000000" w:fill="FFFFFF"/>
            <w:noWrap/>
            <w:vAlign w:val="bottom"/>
          </w:tcPr>
          <w:p w:rsidR="006A062F" w:rsidRPr="00B259D2" w:rsidRDefault="006A062F" w:rsidP="00E445AF">
            <w:pPr>
              <w:rPr>
                <w:rFonts w:cs="Arial"/>
                <w:b/>
                <w:bCs/>
                <w:sz w:val="20"/>
                <w:szCs w:val="20"/>
              </w:rPr>
            </w:pPr>
            <w:r w:rsidRPr="00B259D2">
              <w:rPr>
                <w:rFonts w:cs="Arial"/>
                <w:b/>
                <w:bCs/>
                <w:sz w:val="20"/>
                <w:szCs w:val="20"/>
              </w:rPr>
              <w:t>End User IT</w:t>
            </w:r>
          </w:p>
        </w:tc>
        <w:tc>
          <w:tcPr>
            <w:tcW w:w="1423" w:type="dxa"/>
            <w:shd w:val="clear" w:color="000000" w:fill="FFFFFF"/>
            <w:noWrap/>
            <w:vAlign w:val="bottom"/>
          </w:tcPr>
          <w:p w:rsidR="006A062F" w:rsidRPr="00B259D2" w:rsidRDefault="006A062F" w:rsidP="00E445AF">
            <w:pPr>
              <w:jc w:val="right"/>
              <w:rPr>
                <w:rFonts w:cs="Arial"/>
                <w:b/>
                <w:bCs/>
                <w:sz w:val="20"/>
                <w:szCs w:val="20"/>
              </w:rPr>
            </w:pPr>
            <w:r w:rsidRPr="00B259D2">
              <w:rPr>
                <w:rFonts w:cs="Arial"/>
                <w:b/>
                <w:bCs/>
                <w:sz w:val="20"/>
                <w:szCs w:val="20"/>
              </w:rPr>
              <w:t>145,402,517</w:t>
            </w:r>
          </w:p>
        </w:tc>
        <w:tc>
          <w:tcPr>
            <w:tcW w:w="851"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22.4%</w:t>
            </w:r>
          </w:p>
        </w:tc>
        <w:tc>
          <w:tcPr>
            <w:tcW w:w="1402"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17,448,302</w:t>
            </w:r>
          </w:p>
        </w:tc>
        <w:tc>
          <w:tcPr>
            <w:tcW w:w="1434"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79,538,085</w:t>
            </w:r>
          </w:p>
        </w:tc>
        <w:tc>
          <w:tcPr>
            <w:tcW w:w="110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464,495</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313</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38</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171</w:t>
            </w:r>
          </w:p>
        </w:tc>
      </w:tr>
      <w:tr w:rsidR="006A062F" w:rsidTr="001744D0">
        <w:trPr>
          <w:trHeight w:val="257"/>
        </w:trPr>
        <w:tc>
          <w:tcPr>
            <w:tcW w:w="1271" w:type="dxa"/>
            <w:shd w:val="clear" w:color="000000" w:fill="FFFFFF"/>
            <w:noWrap/>
            <w:vAlign w:val="bottom"/>
          </w:tcPr>
          <w:p w:rsidR="006A062F" w:rsidRPr="00B259D2" w:rsidRDefault="006A062F" w:rsidP="00E445AF">
            <w:pPr>
              <w:rPr>
                <w:rFonts w:cs="Arial"/>
                <w:b/>
                <w:bCs/>
                <w:sz w:val="20"/>
                <w:szCs w:val="20"/>
              </w:rPr>
            </w:pPr>
            <w:r w:rsidRPr="00B259D2">
              <w:rPr>
                <w:rFonts w:cs="Arial"/>
                <w:b/>
                <w:bCs/>
                <w:sz w:val="20"/>
                <w:szCs w:val="20"/>
              </w:rPr>
              <w:t>Telephony</w:t>
            </w:r>
          </w:p>
        </w:tc>
        <w:tc>
          <w:tcPr>
            <w:tcW w:w="1423" w:type="dxa"/>
            <w:shd w:val="clear" w:color="000000" w:fill="FFFFFF"/>
            <w:noWrap/>
            <w:vAlign w:val="bottom"/>
          </w:tcPr>
          <w:p w:rsidR="006A062F" w:rsidRPr="00B259D2" w:rsidRDefault="006A062F" w:rsidP="00E445AF">
            <w:pPr>
              <w:jc w:val="right"/>
              <w:rPr>
                <w:rFonts w:cs="Arial"/>
                <w:b/>
                <w:bCs/>
                <w:sz w:val="20"/>
                <w:szCs w:val="20"/>
              </w:rPr>
            </w:pPr>
            <w:r w:rsidRPr="00B259D2">
              <w:rPr>
                <w:rFonts w:cs="Arial"/>
                <w:b/>
                <w:bCs/>
                <w:sz w:val="20"/>
                <w:szCs w:val="20"/>
              </w:rPr>
              <w:t>106,341,205</w:t>
            </w:r>
          </w:p>
        </w:tc>
        <w:tc>
          <w:tcPr>
            <w:tcW w:w="851"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16.4%</w:t>
            </w:r>
          </w:p>
        </w:tc>
        <w:tc>
          <w:tcPr>
            <w:tcW w:w="1402"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12,760,945</w:t>
            </w:r>
          </w:p>
        </w:tc>
        <w:tc>
          <w:tcPr>
            <w:tcW w:w="1434"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58,170,766</w:t>
            </w:r>
          </w:p>
        </w:tc>
        <w:tc>
          <w:tcPr>
            <w:tcW w:w="110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309,324</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344</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41</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188</w:t>
            </w:r>
          </w:p>
        </w:tc>
      </w:tr>
      <w:tr w:rsidR="006A062F" w:rsidTr="001744D0">
        <w:trPr>
          <w:trHeight w:val="257"/>
        </w:trPr>
        <w:tc>
          <w:tcPr>
            <w:tcW w:w="1271" w:type="dxa"/>
            <w:shd w:val="clear" w:color="000000" w:fill="FFFFFF"/>
            <w:noWrap/>
            <w:vAlign w:val="bottom"/>
          </w:tcPr>
          <w:p w:rsidR="006A062F" w:rsidRPr="00B259D2" w:rsidRDefault="006A062F" w:rsidP="00E445AF">
            <w:pPr>
              <w:rPr>
                <w:rFonts w:cs="Arial"/>
                <w:b/>
                <w:bCs/>
                <w:sz w:val="20"/>
                <w:szCs w:val="20"/>
              </w:rPr>
            </w:pPr>
            <w:r w:rsidRPr="00B259D2">
              <w:rPr>
                <w:rFonts w:cs="Arial"/>
                <w:b/>
                <w:bCs/>
                <w:sz w:val="20"/>
                <w:szCs w:val="20"/>
              </w:rPr>
              <w:t>Networks</w:t>
            </w:r>
          </w:p>
        </w:tc>
        <w:tc>
          <w:tcPr>
            <w:tcW w:w="1423" w:type="dxa"/>
            <w:shd w:val="clear" w:color="000000" w:fill="FFFFFF"/>
            <w:noWrap/>
            <w:vAlign w:val="bottom"/>
          </w:tcPr>
          <w:p w:rsidR="006A062F" w:rsidRPr="00B259D2" w:rsidRDefault="006A062F" w:rsidP="00E445AF">
            <w:pPr>
              <w:jc w:val="right"/>
              <w:rPr>
                <w:rFonts w:cs="Arial"/>
                <w:b/>
                <w:bCs/>
                <w:sz w:val="20"/>
                <w:szCs w:val="20"/>
              </w:rPr>
            </w:pPr>
            <w:r w:rsidRPr="00B259D2">
              <w:rPr>
                <w:rFonts w:cs="Arial"/>
                <w:b/>
                <w:bCs/>
                <w:sz w:val="20"/>
                <w:szCs w:val="20"/>
              </w:rPr>
              <w:t>69,839,997</w:t>
            </w:r>
          </w:p>
        </w:tc>
        <w:tc>
          <w:tcPr>
            <w:tcW w:w="851"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10.8%</w:t>
            </w:r>
          </w:p>
        </w:tc>
        <w:tc>
          <w:tcPr>
            <w:tcW w:w="1402"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8,380,800</w:t>
            </w:r>
          </w:p>
        </w:tc>
        <w:tc>
          <w:tcPr>
            <w:tcW w:w="1434"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38,203,875</w:t>
            </w:r>
          </w:p>
        </w:tc>
        <w:tc>
          <w:tcPr>
            <w:tcW w:w="110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323,495</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216</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26</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118</w:t>
            </w:r>
          </w:p>
        </w:tc>
      </w:tr>
      <w:tr w:rsidR="006A062F" w:rsidTr="001744D0">
        <w:trPr>
          <w:trHeight w:val="257"/>
        </w:trPr>
        <w:tc>
          <w:tcPr>
            <w:tcW w:w="1271" w:type="dxa"/>
            <w:shd w:val="clear" w:color="000000" w:fill="FFFFFF"/>
            <w:noWrap/>
            <w:vAlign w:val="bottom"/>
          </w:tcPr>
          <w:p w:rsidR="006A062F" w:rsidRPr="00B259D2" w:rsidRDefault="006A062F" w:rsidP="00E445AF">
            <w:pPr>
              <w:rPr>
                <w:rFonts w:cs="Arial"/>
                <w:b/>
                <w:bCs/>
                <w:sz w:val="20"/>
                <w:szCs w:val="20"/>
              </w:rPr>
            </w:pPr>
            <w:r w:rsidRPr="00B259D2">
              <w:rPr>
                <w:rFonts w:cs="Arial"/>
                <w:b/>
                <w:bCs/>
                <w:sz w:val="20"/>
                <w:szCs w:val="20"/>
              </w:rPr>
              <w:t>Imaging</w:t>
            </w:r>
          </w:p>
        </w:tc>
        <w:tc>
          <w:tcPr>
            <w:tcW w:w="1423" w:type="dxa"/>
            <w:shd w:val="clear" w:color="000000" w:fill="FFFFFF"/>
            <w:noWrap/>
            <w:vAlign w:val="bottom"/>
          </w:tcPr>
          <w:p w:rsidR="006A062F" w:rsidRPr="00B259D2" w:rsidRDefault="006A062F" w:rsidP="00E445AF">
            <w:pPr>
              <w:jc w:val="right"/>
              <w:rPr>
                <w:rFonts w:cs="Arial"/>
                <w:b/>
                <w:bCs/>
                <w:sz w:val="20"/>
                <w:szCs w:val="20"/>
              </w:rPr>
            </w:pPr>
            <w:r w:rsidRPr="00B259D2">
              <w:rPr>
                <w:rFonts w:cs="Arial"/>
                <w:b/>
                <w:bCs/>
                <w:sz w:val="20"/>
                <w:szCs w:val="20"/>
              </w:rPr>
              <w:t>42,305,123</w:t>
            </w:r>
          </w:p>
        </w:tc>
        <w:tc>
          <w:tcPr>
            <w:tcW w:w="851"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6.5%</w:t>
            </w:r>
          </w:p>
        </w:tc>
        <w:tc>
          <w:tcPr>
            <w:tcW w:w="1402"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5,076,615</w:t>
            </w:r>
          </w:p>
        </w:tc>
        <w:tc>
          <w:tcPr>
            <w:tcW w:w="1434"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23,141,748</w:t>
            </w:r>
          </w:p>
        </w:tc>
        <w:tc>
          <w:tcPr>
            <w:tcW w:w="110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464,495</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91</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11</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50</w:t>
            </w:r>
          </w:p>
        </w:tc>
      </w:tr>
      <w:tr w:rsidR="006A062F" w:rsidTr="00556D00">
        <w:trPr>
          <w:trHeight w:val="349"/>
        </w:trPr>
        <w:tc>
          <w:tcPr>
            <w:tcW w:w="1271" w:type="dxa"/>
            <w:shd w:val="clear" w:color="000000" w:fill="FFFFFF"/>
            <w:noWrap/>
            <w:vAlign w:val="bottom"/>
          </w:tcPr>
          <w:p w:rsidR="006A062F" w:rsidRPr="00B259D2" w:rsidRDefault="006A062F" w:rsidP="00E445AF">
            <w:pPr>
              <w:rPr>
                <w:rFonts w:cs="Arial"/>
                <w:b/>
                <w:bCs/>
                <w:sz w:val="20"/>
                <w:szCs w:val="20"/>
              </w:rPr>
            </w:pPr>
            <w:r w:rsidRPr="00B259D2">
              <w:rPr>
                <w:rFonts w:cs="Arial"/>
                <w:b/>
                <w:bCs/>
                <w:sz w:val="20"/>
                <w:szCs w:val="20"/>
              </w:rPr>
              <w:t>AV</w:t>
            </w:r>
          </w:p>
        </w:tc>
        <w:tc>
          <w:tcPr>
            <w:tcW w:w="1423" w:type="dxa"/>
            <w:shd w:val="clear" w:color="000000" w:fill="FFFFFF"/>
            <w:noWrap/>
            <w:vAlign w:val="bottom"/>
          </w:tcPr>
          <w:p w:rsidR="006A062F" w:rsidRPr="00B259D2" w:rsidRDefault="006A062F" w:rsidP="00E445AF">
            <w:pPr>
              <w:jc w:val="right"/>
              <w:rPr>
                <w:rFonts w:cs="Arial"/>
                <w:b/>
                <w:bCs/>
                <w:sz w:val="20"/>
                <w:szCs w:val="20"/>
              </w:rPr>
            </w:pPr>
            <w:r w:rsidRPr="00B259D2">
              <w:rPr>
                <w:rFonts w:cs="Arial"/>
                <w:b/>
                <w:bCs/>
                <w:sz w:val="20"/>
                <w:szCs w:val="20"/>
              </w:rPr>
              <w:t>8,170,255</w:t>
            </w:r>
          </w:p>
        </w:tc>
        <w:tc>
          <w:tcPr>
            <w:tcW w:w="851"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1.3%</w:t>
            </w:r>
          </w:p>
        </w:tc>
        <w:tc>
          <w:tcPr>
            <w:tcW w:w="1402"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980,431</w:t>
            </w:r>
          </w:p>
        </w:tc>
        <w:tc>
          <w:tcPr>
            <w:tcW w:w="1434"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4,469,293</w:t>
            </w:r>
          </w:p>
        </w:tc>
        <w:tc>
          <w:tcPr>
            <w:tcW w:w="110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309,324</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26</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3</w:t>
            </w:r>
          </w:p>
        </w:tc>
        <w:tc>
          <w:tcPr>
            <w:tcW w:w="935" w:type="dxa"/>
            <w:shd w:val="clear" w:color="000000" w:fill="FFFFFF"/>
            <w:noWrap/>
            <w:vAlign w:val="bottom"/>
          </w:tcPr>
          <w:p w:rsidR="006A062F" w:rsidRPr="00B259D2" w:rsidRDefault="006A062F" w:rsidP="00E445AF">
            <w:pPr>
              <w:jc w:val="right"/>
              <w:rPr>
                <w:rFonts w:cs="Arial"/>
                <w:sz w:val="20"/>
                <w:szCs w:val="20"/>
              </w:rPr>
            </w:pPr>
            <w:r w:rsidRPr="00B259D2">
              <w:rPr>
                <w:rFonts w:cs="Arial"/>
                <w:sz w:val="20"/>
                <w:szCs w:val="20"/>
              </w:rPr>
              <w:t>14</w:t>
            </w:r>
          </w:p>
        </w:tc>
      </w:tr>
      <w:tr w:rsidR="006A062F" w:rsidTr="001744D0">
        <w:trPr>
          <w:trHeight w:val="257"/>
        </w:trPr>
        <w:tc>
          <w:tcPr>
            <w:tcW w:w="1271" w:type="dxa"/>
            <w:tcBorders>
              <w:bottom w:val="single" w:sz="12" w:space="0" w:color="969696"/>
            </w:tcBorders>
            <w:shd w:val="clear" w:color="000000" w:fill="FFCC99"/>
            <w:noWrap/>
            <w:vAlign w:val="bottom"/>
          </w:tcPr>
          <w:p w:rsidR="006A062F" w:rsidRPr="00B259D2" w:rsidRDefault="006A062F" w:rsidP="00E445AF">
            <w:pPr>
              <w:jc w:val="right"/>
              <w:rPr>
                <w:rFonts w:cs="Arial"/>
                <w:b/>
                <w:bCs/>
                <w:sz w:val="20"/>
                <w:szCs w:val="20"/>
              </w:rPr>
            </w:pPr>
            <w:r w:rsidRPr="00B259D2">
              <w:rPr>
                <w:rFonts w:cs="Arial"/>
                <w:b/>
                <w:bCs/>
                <w:sz w:val="20"/>
                <w:szCs w:val="20"/>
              </w:rPr>
              <w:t xml:space="preserve">TOTAL </w:t>
            </w:r>
          </w:p>
        </w:tc>
        <w:tc>
          <w:tcPr>
            <w:tcW w:w="1423" w:type="dxa"/>
            <w:tcBorders>
              <w:bottom w:val="single" w:sz="12" w:space="0" w:color="969696"/>
            </w:tcBorders>
            <w:shd w:val="clear" w:color="000000" w:fill="FFCC99"/>
            <w:noWrap/>
            <w:vAlign w:val="bottom"/>
          </w:tcPr>
          <w:p w:rsidR="006A062F" w:rsidRPr="00B259D2" w:rsidRDefault="006A062F" w:rsidP="00E445AF">
            <w:pPr>
              <w:jc w:val="right"/>
              <w:rPr>
                <w:rFonts w:cs="Arial"/>
                <w:b/>
                <w:bCs/>
                <w:sz w:val="20"/>
                <w:szCs w:val="20"/>
              </w:rPr>
            </w:pPr>
            <w:r w:rsidRPr="00B259D2">
              <w:rPr>
                <w:rFonts w:cs="Arial"/>
                <w:b/>
                <w:bCs/>
                <w:sz w:val="20"/>
                <w:szCs w:val="20"/>
              </w:rPr>
              <w:t>648,613,295</w:t>
            </w:r>
          </w:p>
        </w:tc>
        <w:tc>
          <w:tcPr>
            <w:tcW w:w="851" w:type="dxa"/>
            <w:tcBorders>
              <w:bottom w:val="single" w:sz="12" w:space="0" w:color="969696"/>
            </w:tcBorders>
            <w:shd w:val="clear" w:color="000000" w:fill="FFCC99"/>
            <w:noWrap/>
            <w:vAlign w:val="bottom"/>
          </w:tcPr>
          <w:p w:rsidR="006A062F" w:rsidRPr="00B259D2" w:rsidRDefault="006A062F" w:rsidP="00E445AF">
            <w:pPr>
              <w:jc w:val="right"/>
              <w:rPr>
                <w:rFonts w:cs="Arial"/>
                <w:b/>
                <w:sz w:val="20"/>
                <w:szCs w:val="20"/>
              </w:rPr>
            </w:pPr>
            <w:r w:rsidRPr="00B259D2">
              <w:rPr>
                <w:rFonts w:cs="Arial"/>
                <w:b/>
                <w:sz w:val="20"/>
                <w:szCs w:val="20"/>
              </w:rPr>
              <w:t>100%</w:t>
            </w:r>
          </w:p>
        </w:tc>
        <w:tc>
          <w:tcPr>
            <w:tcW w:w="1402" w:type="dxa"/>
            <w:tcBorders>
              <w:bottom w:val="single" w:sz="12" w:space="0" w:color="969696"/>
            </w:tcBorders>
            <w:shd w:val="clear" w:color="000000" w:fill="FFCC99"/>
            <w:noWrap/>
            <w:vAlign w:val="bottom"/>
          </w:tcPr>
          <w:p w:rsidR="006A062F" w:rsidRPr="00B259D2" w:rsidRDefault="006A062F" w:rsidP="00E445AF">
            <w:pPr>
              <w:jc w:val="right"/>
              <w:rPr>
                <w:rFonts w:cs="Arial"/>
                <w:b/>
                <w:sz w:val="20"/>
                <w:szCs w:val="20"/>
              </w:rPr>
            </w:pPr>
            <w:r w:rsidRPr="00B259D2">
              <w:rPr>
                <w:rFonts w:cs="Arial"/>
                <w:b/>
                <w:bCs/>
                <w:sz w:val="20"/>
                <w:szCs w:val="20"/>
              </w:rPr>
              <w:t>77,833,595</w:t>
            </w:r>
          </w:p>
        </w:tc>
        <w:tc>
          <w:tcPr>
            <w:tcW w:w="1434" w:type="dxa"/>
            <w:tcBorders>
              <w:bottom w:val="single" w:sz="12" w:space="0" w:color="969696"/>
            </w:tcBorders>
            <w:shd w:val="clear" w:color="000000" w:fill="FFCC99"/>
            <w:noWrap/>
            <w:vAlign w:val="bottom"/>
          </w:tcPr>
          <w:p w:rsidR="006A062F" w:rsidRPr="00B259D2" w:rsidRDefault="006A062F" w:rsidP="00E445AF">
            <w:pPr>
              <w:jc w:val="right"/>
              <w:rPr>
                <w:rFonts w:cs="Arial"/>
                <w:sz w:val="20"/>
                <w:szCs w:val="20"/>
              </w:rPr>
            </w:pPr>
            <w:r w:rsidRPr="00B259D2">
              <w:rPr>
                <w:rFonts w:cs="Arial"/>
                <w:b/>
                <w:bCs/>
                <w:sz w:val="20"/>
                <w:szCs w:val="20"/>
              </w:rPr>
              <w:t>354,804,445</w:t>
            </w:r>
          </w:p>
        </w:tc>
        <w:tc>
          <w:tcPr>
            <w:tcW w:w="1105" w:type="dxa"/>
            <w:tcBorders>
              <w:bottom w:val="single" w:sz="12" w:space="0" w:color="969696"/>
            </w:tcBorders>
            <w:shd w:val="clear" w:color="000000" w:fill="FFCC99"/>
            <w:noWrap/>
            <w:vAlign w:val="bottom"/>
          </w:tcPr>
          <w:p w:rsidR="006A062F" w:rsidRPr="00B259D2" w:rsidRDefault="006A062F" w:rsidP="001033A8">
            <w:pPr>
              <w:jc w:val="center"/>
              <w:rPr>
                <w:rFonts w:cs="Arial"/>
                <w:sz w:val="20"/>
                <w:szCs w:val="20"/>
              </w:rPr>
            </w:pPr>
            <w:r>
              <w:rPr>
                <w:rFonts w:cs="Arial"/>
                <w:sz w:val="20"/>
                <w:szCs w:val="20"/>
              </w:rPr>
              <w:t>N/A</w:t>
            </w:r>
          </w:p>
        </w:tc>
        <w:tc>
          <w:tcPr>
            <w:tcW w:w="935" w:type="dxa"/>
            <w:tcBorders>
              <w:bottom w:val="single" w:sz="12" w:space="0" w:color="969696"/>
            </w:tcBorders>
            <w:shd w:val="clear" w:color="000000" w:fill="FFCC99"/>
            <w:noWrap/>
            <w:vAlign w:val="bottom"/>
          </w:tcPr>
          <w:p w:rsidR="006A062F" w:rsidRPr="00B259D2" w:rsidRDefault="006A062F" w:rsidP="00E445AF">
            <w:pPr>
              <w:jc w:val="right"/>
              <w:rPr>
                <w:rFonts w:cs="Arial"/>
                <w:sz w:val="20"/>
                <w:szCs w:val="20"/>
              </w:rPr>
            </w:pPr>
            <w:r w:rsidRPr="00B259D2">
              <w:rPr>
                <w:rFonts w:cs="Arial"/>
                <w:b/>
                <w:bCs/>
                <w:sz w:val="20"/>
                <w:szCs w:val="20"/>
              </w:rPr>
              <w:t>1586</w:t>
            </w:r>
          </w:p>
        </w:tc>
        <w:tc>
          <w:tcPr>
            <w:tcW w:w="935" w:type="dxa"/>
            <w:tcBorders>
              <w:bottom w:val="single" w:sz="12" w:space="0" w:color="969696"/>
            </w:tcBorders>
            <w:shd w:val="clear" w:color="000000" w:fill="FFCC99"/>
            <w:noWrap/>
            <w:vAlign w:val="bottom"/>
          </w:tcPr>
          <w:p w:rsidR="006A062F" w:rsidRPr="00B259D2" w:rsidRDefault="006A062F" w:rsidP="00E445AF">
            <w:pPr>
              <w:jc w:val="right"/>
              <w:rPr>
                <w:rFonts w:cs="Arial"/>
                <w:sz w:val="20"/>
                <w:szCs w:val="20"/>
              </w:rPr>
            </w:pPr>
            <w:r w:rsidRPr="00B259D2">
              <w:rPr>
                <w:rFonts w:cs="Arial"/>
                <w:b/>
                <w:bCs/>
                <w:sz w:val="20"/>
                <w:szCs w:val="20"/>
              </w:rPr>
              <w:t>190</w:t>
            </w:r>
          </w:p>
        </w:tc>
        <w:tc>
          <w:tcPr>
            <w:tcW w:w="935" w:type="dxa"/>
            <w:tcBorders>
              <w:bottom w:val="single" w:sz="12" w:space="0" w:color="969696"/>
            </w:tcBorders>
            <w:shd w:val="clear" w:color="000000" w:fill="FFCC99"/>
            <w:noWrap/>
            <w:vAlign w:val="bottom"/>
          </w:tcPr>
          <w:p w:rsidR="006A062F" w:rsidRPr="00B259D2" w:rsidRDefault="006A062F" w:rsidP="00E445AF">
            <w:pPr>
              <w:jc w:val="right"/>
              <w:rPr>
                <w:rFonts w:cs="Arial"/>
                <w:sz w:val="20"/>
                <w:szCs w:val="20"/>
              </w:rPr>
            </w:pPr>
            <w:r w:rsidRPr="00B259D2">
              <w:rPr>
                <w:rFonts w:cs="Arial"/>
                <w:b/>
                <w:bCs/>
                <w:sz w:val="20"/>
                <w:szCs w:val="20"/>
              </w:rPr>
              <w:t>867</w:t>
            </w:r>
          </w:p>
        </w:tc>
      </w:tr>
    </w:tbl>
    <w:p w:rsidR="006A062F" w:rsidRDefault="006A062F" w:rsidP="00497D69">
      <w:pPr>
        <w:pStyle w:val="Heading1"/>
      </w:pPr>
    </w:p>
    <w:p w:rsidR="006A062F" w:rsidRDefault="006A062F" w:rsidP="00497D69">
      <w:pPr>
        <w:pStyle w:val="Heading1"/>
      </w:pPr>
      <w:bookmarkStart w:id="28" w:name="_Toc360802566"/>
      <w:r>
        <w:t>9 Case studies</w:t>
      </w:r>
      <w:bookmarkEnd w:id="26"/>
      <w:bookmarkEnd w:id="28"/>
    </w:p>
    <w:p w:rsidR="006A062F" w:rsidRPr="00D407C2" w:rsidRDefault="006A062F" w:rsidP="00C6311F">
      <w:pPr>
        <w:spacing w:after="120"/>
        <w:rPr>
          <w:i/>
          <w:sz w:val="28"/>
          <w:szCs w:val="28"/>
        </w:rPr>
      </w:pPr>
      <w:r w:rsidRPr="00D407C2">
        <w:rPr>
          <w:b/>
          <w:sz w:val="28"/>
          <w:szCs w:val="28"/>
        </w:rPr>
        <w:t xml:space="preserve">Department for International Development - </w:t>
      </w:r>
      <w:r>
        <w:rPr>
          <w:i/>
          <w:sz w:val="28"/>
          <w:szCs w:val="28"/>
        </w:rPr>
        <w:t>Server r</w:t>
      </w:r>
      <w:r w:rsidRPr="00D407C2">
        <w:rPr>
          <w:i/>
          <w:sz w:val="28"/>
          <w:szCs w:val="28"/>
        </w:rPr>
        <w:t>ationalisation</w:t>
      </w:r>
      <w:r>
        <w:rPr>
          <w:i/>
          <w:sz w:val="28"/>
          <w:szCs w:val="28"/>
        </w:rPr>
        <w:t xml:space="preserve"> and air miles tracker</w:t>
      </w:r>
      <w:r w:rsidRPr="00D407C2">
        <w:rPr>
          <w:i/>
          <w:sz w:val="28"/>
          <w:szCs w:val="28"/>
        </w:rPr>
        <w:t xml:space="preserve"> </w:t>
      </w:r>
    </w:p>
    <w:p w:rsidR="006A062F" w:rsidRDefault="006A062F" w:rsidP="00C6311F">
      <w:pPr>
        <w:spacing w:after="120"/>
        <w:rPr>
          <w:rFonts w:cs="Arial"/>
          <w:sz w:val="28"/>
          <w:szCs w:val="28"/>
        </w:rPr>
      </w:pPr>
      <w:r>
        <w:rPr>
          <w:sz w:val="28"/>
          <w:szCs w:val="28"/>
        </w:rPr>
        <w:t xml:space="preserve">The </w:t>
      </w:r>
      <w:r w:rsidRPr="00D407C2">
        <w:rPr>
          <w:sz w:val="28"/>
          <w:szCs w:val="28"/>
        </w:rPr>
        <w:t>Department for International Development</w:t>
      </w:r>
      <w:r w:rsidRPr="00D407C2">
        <w:rPr>
          <w:rFonts w:cs="Arial"/>
          <w:sz w:val="28"/>
          <w:szCs w:val="28"/>
        </w:rPr>
        <w:t xml:space="preserve"> has carried out a project to drastically reduce the number of servers in </w:t>
      </w:r>
      <w:r>
        <w:rPr>
          <w:rFonts w:cs="Arial"/>
          <w:sz w:val="28"/>
          <w:szCs w:val="28"/>
        </w:rPr>
        <w:t>its</w:t>
      </w:r>
      <w:r w:rsidRPr="00D407C2">
        <w:rPr>
          <w:rFonts w:cs="Arial"/>
          <w:sz w:val="28"/>
          <w:szCs w:val="28"/>
        </w:rPr>
        <w:t xml:space="preserve"> infrastructure.  The UK server estate has reduced from 304 to 95 and the overseas server esta</w:t>
      </w:r>
      <w:r>
        <w:rPr>
          <w:rFonts w:cs="Arial"/>
          <w:sz w:val="28"/>
          <w:szCs w:val="28"/>
        </w:rPr>
        <w:t>te has reduced from 298 to 78. Also n</w:t>
      </w:r>
      <w:r w:rsidRPr="00D407C2">
        <w:rPr>
          <w:rFonts w:cs="Arial"/>
          <w:sz w:val="28"/>
          <w:szCs w:val="28"/>
        </w:rPr>
        <w:t xml:space="preserve">ew laptops are currently being rolled out which </w:t>
      </w:r>
      <w:r w:rsidRPr="00D407C2">
        <w:rPr>
          <w:sz w:val="28"/>
          <w:szCs w:val="28"/>
        </w:rPr>
        <w:t xml:space="preserve">use 50% less power and new PCs which use 60% less power. </w:t>
      </w:r>
      <w:r w:rsidRPr="00D407C2">
        <w:rPr>
          <w:rFonts w:cs="Arial"/>
          <w:sz w:val="28"/>
          <w:szCs w:val="28"/>
        </w:rPr>
        <w:t>Based on peak usage for the office in Scotland</w:t>
      </w:r>
      <w:r>
        <w:rPr>
          <w:rFonts w:cs="Arial"/>
          <w:sz w:val="28"/>
          <w:szCs w:val="28"/>
        </w:rPr>
        <w:t>,</w:t>
      </w:r>
      <w:r w:rsidRPr="00D407C2">
        <w:rPr>
          <w:rFonts w:cs="Arial"/>
          <w:sz w:val="28"/>
          <w:szCs w:val="28"/>
        </w:rPr>
        <w:t xml:space="preserve"> there has been a 45% reduction in electricity usage in patch rooms and an estimated £30</w:t>
      </w:r>
      <w:r>
        <w:rPr>
          <w:rFonts w:cs="Arial"/>
          <w:sz w:val="28"/>
          <w:szCs w:val="28"/>
        </w:rPr>
        <w:t>,</w:t>
      </w:r>
      <w:r w:rsidRPr="00D407C2">
        <w:rPr>
          <w:rFonts w:cs="Arial"/>
          <w:sz w:val="28"/>
          <w:szCs w:val="28"/>
        </w:rPr>
        <w:t>000 in cost savings.</w:t>
      </w:r>
    </w:p>
    <w:p w:rsidR="006A062F" w:rsidRDefault="006A062F" w:rsidP="00C6311F">
      <w:pPr>
        <w:rPr>
          <w:rFonts w:cs="Arial"/>
          <w:sz w:val="28"/>
          <w:szCs w:val="28"/>
        </w:rPr>
      </w:pPr>
      <w:r w:rsidRPr="00D407C2">
        <w:rPr>
          <w:sz w:val="28"/>
          <w:szCs w:val="28"/>
        </w:rPr>
        <w:t>Over 60% of the Department for International Development’s carbon footprint is air travel. Reducing international air miles is a major challenge due to the nature of the business. This year the environmental operations team and IT team i</w:t>
      </w:r>
      <w:r w:rsidRPr="00D407C2">
        <w:rPr>
          <w:rFonts w:cs="Arial"/>
          <w:sz w:val="28"/>
          <w:szCs w:val="28"/>
        </w:rPr>
        <w:t>ntroduce</w:t>
      </w:r>
      <w:r>
        <w:rPr>
          <w:rFonts w:cs="Arial"/>
          <w:sz w:val="28"/>
          <w:szCs w:val="28"/>
        </w:rPr>
        <w:t>d</w:t>
      </w:r>
      <w:r w:rsidRPr="00D407C2">
        <w:rPr>
          <w:rFonts w:cs="Arial"/>
          <w:sz w:val="28"/>
          <w:szCs w:val="28"/>
        </w:rPr>
        <w:t xml:space="preserve"> a new air miles tracker system which will improve the monitoring and management of air miles flown. Heads of Department can</w:t>
      </w:r>
      <w:r>
        <w:rPr>
          <w:rFonts w:cs="Arial"/>
          <w:sz w:val="28"/>
          <w:szCs w:val="28"/>
        </w:rPr>
        <w:t xml:space="preserve"> view departmental air miles on</w:t>
      </w:r>
      <w:r w:rsidRPr="00D407C2">
        <w:rPr>
          <w:rFonts w:cs="Arial"/>
          <w:sz w:val="28"/>
          <w:szCs w:val="28"/>
        </w:rPr>
        <w:t xml:space="preserve">line and individuals can monitor their own carbon footprint. </w:t>
      </w:r>
    </w:p>
    <w:p w:rsidR="006A062F" w:rsidRDefault="006A062F" w:rsidP="00C6311F">
      <w:pPr>
        <w:rPr>
          <w:rFonts w:cs="Arial"/>
          <w:sz w:val="28"/>
          <w:szCs w:val="28"/>
        </w:rPr>
      </w:pPr>
    </w:p>
    <w:p w:rsidR="006A062F" w:rsidRPr="00D407C2" w:rsidRDefault="006A062F" w:rsidP="00C6311F">
      <w:pPr>
        <w:rPr>
          <w:i/>
          <w:sz w:val="28"/>
          <w:szCs w:val="28"/>
        </w:rPr>
      </w:pPr>
      <w:r w:rsidRPr="00D407C2">
        <w:rPr>
          <w:b/>
          <w:sz w:val="28"/>
          <w:szCs w:val="28"/>
        </w:rPr>
        <w:t xml:space="preserve">The Department for Education - </w:t>
      </w:r>
      <w:r w:rsidRPr="00D407C2">
        <w:rPr>
          <w:i/>
          <w:sz w:val="28"/>
          <w:szCs w:val="28"/>
        </w:rPr>
        <w:t xml:space="preserve">Thin </w:t>
      </w:r>
      <w:r>
        <w:rPr>
          <w:i/>
          <w:sz w:val="28"/>
          <w:szCs w:val="28"/>
        </w:rPr>
        <w:t>c</w:t>
      </w:r>
      <w:r w:rsidRPr="00D407C2">
        <w:rPr>
          <w:i/>
          <w:sz w:val="28"/>
          <w:szCs w:val="28"/>
        </w:rPr>
        <w:t>lient</w:t>
      </w:r>
    </w:p>
    <w:p w:rsidR="006A062F" w:rsidRPr="00D407C2" w:rsidRDefault="006A062F" w:rsidP="00C6311F">
      <w:pPr>
        <w:rPr>
          <w:sz w:val="28"/>
          <w:szCs w:val="28"/>
        </w:rPr>
      </w:pPr>
      <w:r w:rsidRPr="00D407C2">
        <w:rPr>
          <w:sz w:val="28"/>
          <w:szCs w:val="28"/>
        </w:rPr>
        <w:t xml:space="preserve">The Department for Education has put in a thin-client infrastructure to support </w:t>
      </w:r>
      <w:r>
        <w:rPr>
          <w:sz w:val="28"/>
          <w:szCs w:val="28"/>
        </w:rPr>
        <w:t>its</w:t>
      </w:r>
      <w:r w:rsidRPr="00D407C2">
        <w:rPr>
          <w:sz w:val="28"/>
          <w:szCs w:val="28"/>
        </w:rPr>
        <w:t xml:space="preserve"> Arm’s Length Bodies Refor</w:t>
      </w:r>
      <w:r>
        <w:rPr>
          <w:sz w:val="28"/>
          <w:szCs w:val="28"/>
        </w:rPr>
        <w:t>m Programme which saw numerous n</w:t>
      </w:r>
      <w:r w:rsidRPr="00D407C2">
        <w:rPr>
          <w:sz w:val="28"/>
          <w:szCs w:val="28"/>
        </w:rPr>
        <w:t>on</w:t>
      </w:r>
      <w:r>
        <w:rPr>
          <w:sz w:val="28"/>
          <w:szCs w:val="28"/>
        </w:rPr>
        <w:t xml:space="preserve"> departmental public b</w:t>
      </w:r>
      <w:r w:rsidRPr="00D407C2">
        <w:rPr>
          <w:sz w:val="28"/>
          <w:szCs w:val="28"/>
        </w:rPr>
        <w:t>odies merge with the Depar</w:t>
      </w:r>
      <w:r>
        <w:rPr>
          <w:sz w:val="28"/>
          <w:szCs w:val="28"/>
        </w:rPr>
        <w:t>tment for Education and become executive a</w:t>
      </w:r>
      <w:r w:rsidRPr="00D407C2">
        <w:rPr>
          <w:sz w:val="28"/>
          <w:szCs w:val="28"/>
        </w:rPr>
        <w:t xml:space="preserve">gencies. Over a period of less than </w:t>
      </w:r>
      <w:r>
        <w:rPr>
          <w:sz w:val="28"/>
          <w:szCs w:val="28"/>
        </w:rPr>
        <w:t>six</w:t>
      </w:r>
      <w:r w:rsidRPr="00D407C2">
        <w:rPr>
          <w:sz w:val="28"/>
          <w:szCs w:val="28"/>
        </w:rPr>
        <w:t xml:space="preserve"> months </w:t>
      </w:r>
      <w:r>
        <w:rPr>
          <w:sz w:val="28"/>
          <w:szCs w:val="28"/>
        </w:rPr>
        <w:t>it</w:t>
      </w:r>
      <w:r w:rsidRPr="00D407C2">
        <w:rPr>
          <w:sz w:val="28"/>
          <w:szCs w:val="28"/>
        </w:rPr>
        <w:t xml:space="preserve"> went from </w:t>
      </w:r>
      <w:r>
        <w:rPr>
          <w:sz w:val="28"/>
          <w:szCs w:val="28"/>
        </w:rPr>
        <w:t>four</w:t>
      </w:r>
      <w:r w:rsidRPr="00D407C2">
        <w:rPr>
          <w:sz w:val="28"/>
          <w:szCs w:val="28"/>
        </w:rPr>
        <w:t xml:space="preserve"> main sites to </w:t>
      </w:r>
      <w:r>
        <w:rPr>
          <w:sz w:val="28"/>
          <w:szCs w:val="28"/>
        </w:rPr>
        <w:t>twelve</w:t>
      </w:r>
      <w:r w:rsidRPr="00D407C2">
        <w:rPr>
          <w:sz w:val="28"/>
          <w:szCs w:val="28"/>
        </w:rPr>
        <w:t xml:space="preserve"> and doubled in size to close to 4000 staff. </w:t>
      </w:r>
    </w:p>
    <w:p w:rsidR="006A062F" w:rsidRDefault="006A062F" w:rsidP="00C6311F">
      <w:pPr>
        <w:rPr>
          <w:sz w:val="28"/>
          <w:szCs w:val="28"/>
        </w:rPr>
      </w:pPr>
      <w:r w:rsidRPr="00D407C2">
        <w:rPr>
          <w:sz w:val="28"/>
          <w:szCs w:val="28"/>
        </w:rPr>
        <w:t>To support this change</w:t>
      </w:r>
      <w:r>
        <w:rPr>
          <w:sz w:val="28"/>
          <w:szCs w:val="28"/>
        </w:rPr>
        <w:t>,</w:t>
      </w:r>
      <w:r w:rsidRPr="00D407C2">
        <w:rPr>
          <w:sz w:val="28"/>
          <w:szCs w:val="28"/>
        </w:rPr>
        <w:t xml:space="preserve"> the</w:t>
      </w:r>
      <w:r>
        <w:rPr>
          <w:sz w:val="28"/>
          <w:szCs w:val="28"/>
        </w:rPr>
        <w:t xml:space="preserve"> department</w:t>
      </w:r>
      <w:r w:rsidRPr="00D407C2">
        <w:rPr>
          <w:sz w:val="28"/>
          <w:szCs w:val="28"/>
        </w:rPr>
        <w:t xml:space="preserve"> consolidated </w:t>
      </w:r>
      <w:r>
        <w:rPr>
          <w:sz w:val="28"/>
          <w:szCs w:val="28"/>
        </w:rPr>
        <w:t xml:space="preserve">its back </w:t>
      </w:r>
      <w:r w:rsidRPr="00D407C2">
        <w:rPr>
          <w:sz w:val="28"/>
          <w:szCs w:val="28"/>
        </w:rPr>
        <w:t>office and moved away from desktop computer</w:t>
      </w:r>
      <w:r>
        <w:rPr>
          <w:sz w:val="28"/>
          <w:szCs w:val="28"/>
        </w:rPr>
        <w:t>s</w:t>
      </w:r>
      <w:r w:rsidRPr="00D407C2">
        <w:rPr>
          <w:sz w:val="28"/>
          <w:szCs w:val="28"/>
        </w:rPr>
        <w:t xml:space="preserve"> as the default</w:t>
      </w:r>
      <w:r>
        <w:rPr>
          <w:sz w:val="28"/>
          <w:szCs w:val="28"/>
        </w:rPr>
        <w:t>.</w:t>
      </w:r>
      <w:r w:rsidRPr="00D407C2">
        <w:rPr>
          <w:sz w:val="28"/>
          <w:szCs w:val="28"/>
        </w:rPr>
        <w:t xml:space="preserve"> </w:t>
      </w:r>
      <w:r>
        <w:rPr>
          <w:sz w:val="28"/>
          <w:szCs w:val="28"/>
        </w:rPr>
        <w:t>This means</w:t>
      </w:r>
      <w:r w:rsidRPr="00D407C2">
        <w:rPr>
          <w:sz w:val="28"/>
          <w:szCs w:val="28"/>
        </w:rPr>
        <w:t xml:space="preserve"> that all offices now run a </w:t>
      </w:r>
      <w:r>
        <w:rPr>
          <w:sz w:val="28"/>
          <w:szCs w:val="28"/>
        </w:rPr>
        <w:t>‘</w:t>
      </w:r>
      <w:r w:rsidRPr="00D407C2">
        <w:rPr>
          <w:sz w:val="28"/>
          <w:szCs w:val="28"/>
        </w:rPr>
        <w:t>hot-desking</w:t>
      </w:r>
      <w:r>
        <w:rPr>
          <w:sz w:val="28"/>
          <w:szCs w:val="28"/>
        </w:rPr>
        <w:t>’</w:t>
      </w:r>
      <w:r w:rsidRPr="00D407C2">
        <w:rPr>
          <w:sz w:val="28"/>
          <w:szCs w:val="28"/>
        </w:rPr>
        <w:t xml:space="preserve"> ratio of </w:t>
      </w:r>
      <w:r>
        <w:rPr>
          <w:sz w:val="28"/>
          <w:szCs w:val="28"/>
        </w:rPr>
        <w:t>seven</w:t>
      </w:r>
      <w:r w:rsidRPr="00D407C2">
        <w:rPr>
          <w:sz w:val="28"/>
          <w:szCs w:val="28"/>
        </w:rPr>
        <w:t xml:space="preserve"> or </w:t>
      </w:r>
      <w:r>
        <w:rPr>
          <w:sz w:val="28"/>
          <w:szCs w:val="28"/>
        </w:rPr>
        <w:t xml:space="preserve">eight to ten and every desk has a low </w:t>
      </w:r>
      <w:r w:rsidRPr="00D407C2">
        <w:rPr>
          <w:sz w:val="28"/>
          <w:szCs w:val="28"/>
        </w:rPr>
        <w:t>power, easy to support</w:t>
      </w:r>
      <w:r>
        <w:rPr>
          <w:sz w:val="28"/>
          <w:szCs w:val="28"/>
        </w:rPr>
        <w:t xml:space="preserve">, thin </w:t>
      </w:r>
      <w:r w:rsidRPr="00D407C2">
        <w:rPr>
          <w:sz w:val="28"/>
          <w:szCs w:val="28"/>
        </w:rPr>
        <w:t xml:space="preserve">client device with a usable life of </w:t>
      </w:r>
      <w:r>
        <w:rPr>
          <w:sz w:val="28"/>
          <w:szCs w:val="28"/>
        </w:rPr>
        <w:t>seven</w:t>
      </w:r>
      <w:r w:rsidRPr="00D407C2">
        <w:rPr>
          <w:sz w:val="28"/>
          <w:szCs w:val="28"/>
        </w:rPr>
        <w:t xml:space="preserve"> to </w:t>
      </w:r>
      <w:r>
        <w:rPr>
          <w:sz w:val="28"/>
          <w:szCs w:val="28"/>
        </w:rPr>
        <w:t>eight</w:t>
      </w:r>
      <w:r w:rsidRPr="00D407C2">
        <w:rPr>
          <w:sz w:val="28"/>
          <w:szCs w:val="28"/>
        </w:rPr>
        <w:t xml:space="preserve"> years </w:t>
      </w:r>
      <w:r>
        <w:rPr>
          <w:sz w:val="28"/>
          <w:szCs w:val="28"/>
        </w:rPr>
        <w:t>compared with</w:t>
      </w:r>
      <w:r w:rsidRPr="00D407C2">
        <w:rPr>
          <w:sz w:val="28"/>
          <w:szCs w:val="28"/>
        </w:rPr>
        <w:t xml:space="preserve"> </w:t>
      </w:r>
      <w:r>
        <w:rPr>
          <w:sz w:val="28"/>
          <w:szCs w:val="28"/>
        </w:rPr>
        <w:t xml:space="preserve">three to four for </w:t>
      </w:r>
      <w:r w:rsidRPr="00D407C2">
        <w:rPr>
          <w:sz w:val="28"/>
          <w:szCs w:val="28"/>
        </w:rPr>
        <w:t>the standard desktop. This was</w:t>
      </w:r>
      <w:r>
        <w:rPr>
          <w:sz w:val="28"/>
          <w:szCs w:val="28"/>
        </w:rPr>
        <w:t xml:space="preserve"> done without creating any new data c</w:t>
      </w:r>
      <w:r w:rsidRPr="00D407C2">
        <w:rPr>
          <w:sz w:val="28"/>
          <w:szCs w:val="28"/>
        </w:rPr>
        <w:t xml:space="preserve">entres so that </w:t>
      </w:r>
      <w:r>
        <w:rPr>
          <w:sz w:val="28"/>
          <w:szCs w:val="28"/>
        </w:rPr>
        <w:t>just two are</w:t>
      </w:r>
      <w:r w:rsidRPr="00D407C2">
        <w:rPr>
          <w:sz w:val="28"/>
          <w:szCs w:val="28"/>
        </w:rPr>
        <w:t xml:space="preserve"> still maintain</w:t>
      </w:r>
      <w:r>
        <w:rPr>
          <w:sz w:val="28"/>
          <w:szCs w:val="28"/>
        </w:rPr>
        <w:t>ed</w:t>
      </w:r>
      <w:r w:rsidRPr="00D407C2">
        <w:rPr>
          <w:sz w:val="28"/>
          <w:szCs w:val="28"/>
        </w:rPr>
        <w:t>. The result of this is dramatically slashed energy consumption at the desktop</w:t>
      </w:r>
      <w:r>
        <w:rPr>
          <w:sz w:val="28"/>
          <w:szCs w:val="28"/>
        </w:rPr>
        <w:t>. W</w:t>
      </w:r>
      <w:r w:rsidRPr="00D407C2">
        <w:rPr>
          <w:sz w:val="28"/>
          <w:szCs w:val="28"/>
        </w:rPr>
        <w:t xml:space="preserve">hile this is somewhat off-set </w:t>
      </w:r>
      <w:r>
        <w:rPr>
          <w:sz w:val="28"/>
          <w:szCs w:val="28"/>
        </w:rPr>
        <w:t>by additional equipment in the data c</w:t>
      </w:r>
      <w:r w:rsidRPr="00D407C2">
        <w:rPr>
          <w:sz w:val="28"/>
          <w:szCs w:val="28"/>
        </w:rPr>
        <w:t>entres, overall consumption for desktop services is only sl</w:t>
      </w:r>
      <w:r>
        <w:rPr>
          <w:sz w:val="28"/>
          <w:szCs w:val="28"/>
        </w:rPr>
        <w:t>ightly more to support the new d</w:t>
      </w:r>
      <w:r w:rsidRPr="00D407C2">
        <w:rPr>
          <w:sz w:val="28"/>
          <w:szCs w:val="28"/>
        </w:rPr>
        <w:t>epartment and agencies than when it was half the size.</w:t>
      </w:r>
    </w:p>
    <w:p w:rsidR="006A062F" w:rsidRPr="00D407C2" w:rsidRDefault="006A062F" w:rsidP="00C6311F">
      <w:pPr>
        <w:rPr>
          <w:i/>
          <w:sz w:val="28"/>
          <w:szCs w:val="28"/>
        </w:rPr>
      </w:pPr>
      <w:r w:rsidRPr="00D407C2">
        <w:rPr>
          <w:b/>
          <w:sz w:val="28"/>
          <w:szCs w:val="28"/>
        </w:rPr>
        <w:t xml:space="preserve">Home Office - </w:t>
      </w:r>
      <w:r w:rsidRPr="00D407C2">
        <w:rPr>
          <w:bCs/>
          <w:i/>
          <w:color w:val="000000"/>
          <w:sz w:val="28"/>
          <w:szCs w:val="28"/>
        </w:rPr>
        <w:t>Carbon Trust Standard &amp;</w:t>
      </w:r>
      <w:r>
        <w:rPr>
          <w:i/>
          <w:sz w:val="28"/>
          <w:szCs w:val="28"/>
        </w:rPr>
        <w:t xml:space="preserve"> Data Centre e</w:t>
      </w:r>
      <w:r w:rsidRPr="00D407C2">
        <w:rPr>
          <w:i/>
          <w:sz w:val="28"/>
          <w:szCs w:val="28"/>
        </w:rPr>
        <w:t>fficiencies</w:t>
      </w:r>
    </w:p>
    <w:p w:rsidR="006A062F" w:rsidRDefault="006A062F" w:rsidP="00C6311F">
      <w:pPr>
        <w:shd w:val="clear" w:color="auto" w:fill="FFFFFF"/>
        <w:spacing w:before="100" w:beforeAutospacing="1" w:after="100" w:afterAutospacing="1"/>
        <w:rPr>
          <w:color w:val="000000"/>
          <w:sz w:val="28"/>
          <w:szCs w:val="28"/>
        </w:rPr>
      </w:pPr>
      <w:r w:rsidRPr="00D407C2">
        <w:rPr>
          <w:color w:val="000000"/>
          <w:sz w:val="28"/>
          <w:szCs w:val="28"/>
        </w:rPr>
        <w:t>In December 2012 the Home Office was awarded the Carbon Trust Standard for measuring, managing and reducing its carbon footprint.</w:t>
      </w:r>
      <w:r>
        <w:rPr>
          <w:color w:val="000000"/>
          <w:sz w:val="28"/>
          <w:szCs w:val="28"/>
        </w:rPr>
        <w:t xml:space="preserve"> This</w:t>
      </w:r>
      <w:r w:rsidRPr="00D407C2">
        <w:rPr>
          <w:color w:val="000000"/>
          <w:sz w:val="28"/>
          <w:szCs w:val="28"/>
        </w:rPr>
        <w:t xml:space="preserve"> means that the department is in line with international best practice and has been certified </w:t>
      </w:r>
      <w:r>
        <w:rPr>
          <w:color w:val="000000"/>
          <w:sz w:val="28"/>
          <w:szCs w:val="28"/>
        </w:rPr>
        <w:t xml:space="preserve">by the Trust </w:t>
      </w:r>
      <w:r w:rsidRPr="00D407C2">
        <w:rPr>
          <w:color w:val="000000"/>
          <w:sz w:val="28"/>
          <w:szCs w:val="28"/>
        </w:rPr>
        <w:t xml:space="preserve">for real carbon reduction and a commitment to continuing reductions. </w:t>
      </w:r>
    </w:p>
    <w:p w:rsidR="006A062F" w:rsidRPr="00D407C2" w:rsidRDefault="006A062F" w:rsidP="00C6311F">
      <w:pPr>
        <w:shd w:val="clear" w:color="auto" w:fill="FFFFFF"/>
        <w:spacing w:before="100" w:beforeAutospacing="1" w:after="100" w:afterAutospacing="1"/>
        <w:rPr>
          <w:sz w:val="28"/>
          <w:szCs w:val="28"/>
        </w:rPr>
      </w:pPr>
      <w:r w:rsidRPr="00D407C2">
        <w:rPr>
          <w:color w:val="000000"/>
          <w:sz w:val="28"/>
          <w:szCs w:val="28"/>
        </w:rPr>
        <w:t xml:space="preserve">In March 2013 the Home Office was given Endorser status of the EU Data Centre Code of Conduct. </w:t>
      </w:r>
      <w:r w:rsidRPr="00D407C2">
        <w:rPr>
          <w:sz w:val="28"/>
          <w:szCs w:val="28"/>
        </w:rPr>
        <w:t xml:space="preserve">The main data centres hosting Home Office services are constantly being reviewed for efficiency opportunities. Some </w:t>
      </w:r>
      <w:r>
        <w:rPr>
          <w:sz w:val="28"/>
          <w:szCs w:val="28"/>
        </w:rPr>
        <w:t xml:space="preserve">recent </w:t>
      </w:r>
      <w:r w:rsidRPr="00D407C2">
        <w:rPr>
          <w:sz w:val="28"/>
          <w:szCs w:val="28"/>
        </w:rPr>
        <w:t xml:space="preserve">examples </w:t>
      </w:r>
      <w:r>
        <w:rPr>
          <w:sz w:val="28"/>
          <w:szCs w:val="28"/>
        </w:rPr>
        <w:t>include</w:t>
      </w:r>
      <w:r w:rsidRPr="00D407C2">
        <w:rPr>
          <w:sz w:val="28"/>
          <w:szCs w:val="28"/>
        </w:rPr>
        <w:t xml:space="preserve">: </w:t>
      </w:r>
    </w:p>
    <w:p w:rsidR="006A062F" w:rsidRPr="00FF1004" w:rsidRDefault="006A062F" w:rsidP="00C6311F">
      <w:pPr>
        <w:numPr>
          <w:ilvl w:val="0"/>
          <w:numId w:val="3"/>
        </w:numPr>
        <w:suppressAutoHyphens w:val="0"/>
        <w:autoSpaceDN/>
        <w:spacing w:after="0"/>
        <w:textAlignment w:val="auto"/>
        <w:rPr>
          <w:sz w:val="28"/>
          <w:szCs w:val="28"/>
        </w:rPr>
      </w:pPr>
      <w:r w:rsidRPr="00FF1004">
        <w:rPr>
          <w:sz w:val="28"/>
          <w:szCs w:val="28"/>
        </w:rPr>
        <w:t>Installation of advanced water cooling infrastructure for direct rack cooling connected to adiabatic condensers on the roof. These will save approximately 428 tonnes of CO</w:t>
      </w:r>
      <w:r w:rsidRPr="0088002E">
        <w:rPr>
          <w:sz w:val="28"/>
          <w:szCs w:val="28"/>
          <w:vertAlign w:val="subscript"/>
        </w:rPr>
        <w:t>2</w:t>
      </w:r>
      <w:r w:rsidRPr="00FF1004">
        <w:rPr>
          <w:sz w:val="28"/>
          <w:szCs w:val="28"/>
        </w:rPr>
        <w:t xml:space="preserve"> equivalent annually</w:t>
      </w:r>
    </w:p>
    <w:p w:rsidR="006A062F" w:rsidRPr="00FF1004" w:rsidRDefault="006A062F" w:rsidP="00C6311F">
      <w:pPr>
        <w:numPr>
          <w:ilvl w:val="0"/>
          <w:numId w:val="3"/>
        </w:numPr>
        <w:suppressAutoHyphens w:val="0"/>
        <w:autoSpaceDN/>
        <w:spacing w:after="0"/>
        <w:textAlignment w:val="auto"/>
        <w:rPr>
          <w:sz w:val="28"/>
          <w:szCs w:val="28"/>
        </w:rPr>
      </w:pPr>
      <w:r w:rsidRPr="00FF1004">
        <w:rPr>
          <w:sz w:val="28"/>
          <w:szCs w:val="28"/>
        </w:rPr>
        <w:t xml:space="preserve">Installation of more efficient UPSs which improved efficiency from </w:t>
      </w:r>
      <w:r>
        <w:rPr>
          <w:sz w:val="28"/>
          <w:szCs w:val="28"/>
        </w:rPr>
        <w:t>89% to 95.8% saving around 90KW</w:t>
      </w:r>
      <w:r w:rsidRPr="00FF1004">
        <w:rPr>
          <w:sz w:val="28"/>
          <w:szCs w:val="28"/>
        </w:rPr>
        <w:t>, with annual savings of approximately 243 tonnes of CO</w:t>
      </w:r>
      <w:r w:rsidRPr="0088002E">
        <w:rPr>
          <w:sz w:val="28"/>
          <w:szCs w:val="28"/>
          <w:vertAlign w:val="subscript"/>
        </w:rPr>
        <w:t>2</w:t>
      </w:r>
      <w:r w:rsidRPr="00FF1004">
        <w:rPr>
          <w:sz w:val="28"/>
          <w:szCs w:val="28"/>
        </w:rPr>
        <w:t xml:space="preserve"> equivalent</w:t>
      </w:r>
    </w:p>
    <w:p w:rsidR="006A062F" w:rsidRDefault="006A062F" w:rsidP="00C6311F">
      <w:pPr>
        <w:numPr>
          <w:ilvl w:val="0"/>
          <w:numId w:val="4"/>
        </w:numPr>
        <w:suppressAutoHyphens w:val="0"/>
        <w:autoSpaceDN/>
        <w:spacing w:after="0"/>
        <w:textAlignment w:val="auto"/>
        <w:rPr>
          <w:sz w:val="28"/>
          <w:szCs w:val="28"/>
        </w:rPr>
      </w:pPr>
      <w:r w:rsidRPr="00FF1004">
        <w:rPr>
          <w:sz w:val="28"/>
          <w:szCs w:val="28"/>
        </w:rPr>
        <w:t>Variable Air Conditioning (AC) Temperatures introduced, raised from 21</w:t>
      </w:r>
      <w:r w:rsidRPr="00FF1004">
        <w:rPr>
          <w:sz w:val="28"/>
          <w:szCs w:val="28"/>
          <w:vertAlign w:val="superscript"/>
        </w:rPr>
        <w:t>0</w:t>
      </w:r>
      <w:r w:rsidRPr="00FF1004">
        <w:rPr>
          <w:sz w:val="28"/>
          <w:szCs w:val="28"/>
        </w:rPr>
        <w:t>C to max 24</w:t>
      </w:r>
      <w:r w:rsidRPr="00FF1004">
        <w:rPr>
          <w:sz w:val="28"/>
          <w:szCs w:val="28"/>
          <w:vertAlign w:val="superscript"/>
        </w:rPr>
        <w:t>0</w:t>
      </w:r>
      <w:r w:rsidRPr="00FF1004">
        <w:rPr>
          <w:sz w:val="28"/>
          <w:szCs w:val="28"/>
        </w:rPr>
        <w:t xml:space="preserve">C to reduce power usage of chillers </w:t>
      </w:r>
    </w:p>
    <w:p w:rsidR="006A062F" w:rsidRDefault="006A062F" w:rsidP="00497D69">
      <w:pPr>
        <w:pStyle w:val="Heading1"/>
      </w:pPr>
      <w:bookmarkStart w:id="29" w:name="_Toc328752899"/>
      <w:bookmarkStart w:id="30" w:name="_Toc360802567"/>
      <w:r>
        <w:t>10 Forward look</w:t>
      </w:r>
      <w:bookmarkEnd w:id="29"/>
      <w:bookmarkEnd w:id="30"/>
      <w:r>
        <w:t xml:space="preserve"> </w:t>
      </w:r>
    </w:p>
    <w:p w:rsidR="006A062F" w:rsidRPr="00866AAB" w:rsidRDefault="006A062F" w:rsidP="00DF1B42">
      <w:pPr>
        <w:rPr>
          <w:sz w:val="28"/>
          <w:szCs w:val="28"/>
        </w:rPr>
      </w:pPr>
      <w:r w:rsidRPr="00866AAB">
        <w:rPr>
          <w:sz w:val="28"/>
          <w:szCs w:val="28"/>
        </w:rPr>
        <w:t>Departments have shown this year that they have built on the early progress</w:t>
      </w:r>
      <w:r>
        <w:rPr>
          <w:sz w:val="28"/>
          <w:szCs w:val="28"/>
        </w:rPr>
        <w:t xml:space="preserve"> </w:t>
      </w:r>
      <w:r w:rsidRPr="00866AAB">
        <w:rPr>
          <w:sz w:val="28"/>
          <w:szCs w:val="28"/>
        </w:rPr>
        <w:t xml:space="preserve">after the publication of the Greening Government ICT Strategy to continue to deliver on the commitments given in the strategy. </w:t>
      </w:r>
    </w:p>
    <w:p w:rsidR="006A062F" w:rsidRDefault="006A062F" w:rsidP="00DF1B42">
      <w:pPr>
        <w:rPr>
          <w:sz w:val="28"/>
          <w:szCs w:val="28"/>
        </w:rPr>
      </w:pPr>
      <w:r w:rsidRPr="00866AAB">
        <w:rPr>
          <w:sz w:val="28"/>
          <w:szCs w:val="28"/>
        </w:rPr>
        <w:t xml:space="preserve">A key theme in the strategy and the work of the GDU is that our </w:t>
      </w:r>
      <w:r>
        <w:rPr>
          <w:sz w:val="28"/>
          <w:szCs w:val="28"/>
        </w:rPr>
        <w:t xml:space="preserve">objectives </w:t>
      </w:r>
      <w:r w:rsidRPr="00866AAB">
        <w:rPr>
          <w:sz w:val="28"/>
          <w:szCs w:val="28"/>
        </w:rPr>
        <w:t>are not just about delivering energy efficient IT, but also about how technology and green IT is an enabler for more efficient and more sustainable government overall. Over the next year, the GDU will be focusing on ways to bring together the work on the digital agenda in government with our aim</w:t>
      </w:r>
      <w:r>
        <w:rPr>
          <w:sz w:val="28"/>
          <w:szCs w:val="28"/>
        </w:rPr>
        <w:t xml:space="preserve"> </w:t>
      </w:r>
      <w:r w:rsidRPr="00866AAB">
        <w:rPr>
          <w:sz w:val="28"/>
          <w:szCs w:val="28"/>
        </w:rPr>
        <w:t xml:space="preserve">to green government using technology. </w:t>
      </w:r>
    </w:p>
    <w:p w:rsidR="006A062F" w:rsidRPr="00866AAB" w:rsidRDefault="006A062F" w:rsidP="00DF1B42">
      <w:pPr>
        <w:rPr>
          <w:sz w:val="28"/>
          <w:szCs w:val="28"/>
        </w:rPr>
      </w:pPr>
      <w:r>
        <w:rPr>
          <w:sz w:val="28"/>
          <w:szCs w:val="28"/>
        </w:rPr>
        <w:t xml:space="preserve">Using less is the most efficient way to save energy, we can do this by avoiding duplication and by simplifying how we use technology in government . The government technology strategy will drive this </w:t>
      </w:r>
      <w:r w:rsidRPr="00866AAB">
        <w:rPr>
          <w:sz w:val="28"/>
          <w:szCs w:val="28"/>
        </w:rPr>
        <w:t>through effective use of cloud services</w:t>
      </w:r>
      <w:r>
        <w:rPr>
          <w:sz w:val="28"/>
          <w:szCs w:val="28"/>
        </w:rPr>
        <w:t>, PSN</w:t>
      </w:r>
      <w:r w:rsidRPr="00866AAB">
        <w:rPr>
          <w:sz w:val="28"/>
          <w:szCs w:val="28"/>
        </w:rPr>
        <w:t xml:space="preserve"> as well as shared services. We will be working closely with colleagues from across a wide spectrum of government </w:t>
      </w:r>
      <w:r>
        <w:rPr>
          <w:sz w:val="28"/>
          <w:szCs w:val="28"/>
        </w:rPr>
        <w:t>involved with</w:t>
      </w:r>
      <w:r w:rsidRPr="00866AAB">
        <w:rPr>
          <w:sz w:val="28"/>
          <w:szCs w:val="28"/>
        </w:rPr>
        <w:t xml:space="preserve"> these types of services</w:t>
      </w:r>
      <w:r>
        <w:rPr>
          <w:sz w:val="28"/>
          <w:szCs w:val="28"/>
        </w:rPr>
        <w:t xml:space="preserve"> and also those working on</w:t>
      </w:r>
      <w:r w:rsidRPr="00866AAB">
        <w:rPr>
          <w:sz w:val="28"/>
          <w:szCs w:val="28"/>
        </w:rPr>
        <w:t xml:space="preserve"> procurement and environmental standards.</w:t>
      </w:r>
    </w:p>
    <w:p w:rsidR="006A062F" w:rsidRDefault="006A062F" w:rsidP="00DF1B42">
      <w:pPr>
        <w:rPr>
          <w:sz w:val="28"/>
          <w:szCs w:val="28"/>
        </w:rPr>
      </w:pPr>
      <w:r w:rsidRPr="00866AAB">
        <w:rPr>
          <w:sz w:val="28"/>
          <w:szCs w:val="28"/>
        </w:rPr>
        <w:t>We will also be working more closely towards the Civil Service Reform agenda to help implement more mo</w:t>
      </w:r>
      <w:r>
        <w:rPr>
          <w:sz w:val="28"/>
          <w:szCs w:val="28"/>
        </w:rPr>
        <w:t>dern and flexible</w:t>
      </w:r>
      <w:r w:rsidRPr="00866AAB">
        <w:rPr>
          <w:sz w:val="28"/>
          <w:szCs w:val="28"/>
        </w:rPr>
        <w:t xml:space="preserve"> ways of working that improve collaboration and deliver green benefits and cost savings. Another focus which will continue and develop is the need to strengthen our use of energy efficient data centres and </w:t>
      </w:r>
      <w:r>
        <w:rPr>
          <w:sz w:val="28"/>
          <w:szCs w:val="28"/>
        </w:rPr>
        <w:t xml:space="preserve">associated </w:t>
      </w:r>
      <w:r w:rsidRPr="00866AAB">
        <w:rPr>
          <w:sz w:val="28"/>
          <w:szCs w:val="28"/>
        </w:rPr>
        <w:t xml:space="preserve">standards. </w:t>
      </w:r>
      <w:r>
        <w:rPr>
          <w:sz w:val="28"/>
          <w:szCs w:val="28"/>
        </w:rPr>
        <w:t>Related to this is building on the methodology, standards and tools used for the first time this year to calculate the energy consumed from our operational use of IT. Having transparency and understanding of the impact of IT both in terms of energy usage and cost has been, and continues to be, a key goal for the GDU. This way departments can focus their efforts on areas of heavy usage and measure the results of any changes made to demonstrate greater efficiencies.</w:t>
      </w:r>
    </w:p>
    <w:p w:rsidR="006A062F" w:rsidRDefault="006A062F" w:rsidP="00497D69">
      <w:r>
        <w:rPr>
          <w:sz w:val="28"/>
          <w:szCs w:val="28"/>
        </w:rPr>
        <w:t>Progressing</w:t>
      </w:r>
      <w:r w:rsidRPr="00866AAB">
        <w:rPr>
          <w:sz w:val="28"/>
          <w:szCs w:val="28"/>
        </w:rPr>
        <w:t xml:space="preserve"> on the journey towards more maturity in green IT in government means working in partnership with other key initiatives to drive services online, procure technology in better ways and modernise the way the public sector works. </w:t>
      </w:r>
      <w:r>
        <w:rPr>
          <w:sz w:val="28"/>
          <w:szCs w:val="28"/>
        </w:rPr>
        <w:t xml:space="preserve">We recognise we will achieve more in partnership by combining business and sustainability goals and by understanding the impacts of technology. Looking forward the GDU will build on the opportunities to work in partnership both with departments, the wider public sector and key government initiatives to continue to deliver and broaden the benefits from  green IT.  </w:t>
      </w:r>
      <w:r w:rsidRPr="00866AAB">
        <w:rPr>
          <w:sz w:val="28"/>
          <w:szCs w:val="28"/>
        </w:rPr>
        <w:t xml:space="preserve"> </w:t>
      </w:r>
    </w:p>
    <w:sectPr w:rsidR="006A062F" w:rsidSect="00B31472">
      <w:headerReference w:type="default" r:id="rId23"/>
      <w:footerReference w:type="default" r:id="rId24"/>
      <w:pgSz w:w="11906" w:h="16838"/>
      <w:pgMar w:top="567" w:right="567"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2F" w:rsidRDefault="006A062F" w:rsidP="003C1C23">
      <w:pPr>
        <w:spacing w:after="0" w:line="240" w:lineRule="auto"/>
      </w:pPr>
      <w:r>
        <w:separator/>
      </w:r>
    </w:p>
  </w:endnote>
  <w:endnote w:type="continuationSeparator" w:id="0">
    <w:p w:rsidR="006A062F" w:rsidRDefault="006A062F" w:rsidP="003C1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F" w:rsidRDefault="006A0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F" w:rsidRDefault="006A062F">
    <w:pPr>
      <w:pStyle w:val="Footer"/>
      <w:jc w:val="center"/>
      <w:rPr>
        <w:color w:val="000000"/>
      </w:rPr>
    </w:pPr>
  </w:p>
  <w:p w:rsidR="006A062F" w:rsidRDefault="006A062F">
    <w:pPr>
      <w:pStyle w:val="Footer"/>
      <w:jc w:val="center"/>
    </w:pPr>
    <w:fldSimple w:instr=" PAGE ">
      <w:r>
        <w:rPr>
          <w:noProof/>
        </w:rPr>
        <w:t>1</w:t>
      </w:r>
    </w:fldSimple>
  </w:p>
  <w:p w:rsidR="006A062F" w:rsidRDefault="006A062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F" w:rsidRDefault="006A06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F" w:rsidRDefault="006A062F">
    <w:pPr>
      <w:pStyle w:val="Footer"/>
      <w:jc w:val="center"/>
      <w:rPr>
        <w:color w:val="000000"/>
      </w:rPr>
    </w:pPr>
  </w:p>
  <w:p w:rsidR="006A062F" w:rsidRDefault="006A062F">
    <w:pPr>
      <w:pStyle w:val="Footer"/>
      <w:jc w:val="center"/>
    </w:pPr>
    <w:fldSimple w:instr=" PAGE ">
      <w:r>
        <w:rPr>
          <w:noProof/>
        </w:rPr>
        <w:t>2</w:t>
      </w:r>
    </w:fldSimple>
  </w:p>
  <w:p w:rsidR="006A062F" w:rsidRDefault="006A062F">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F" w:rsidRDefault="006A062F">
    <w:pPr>
      <w:pStyle w:val="Footer"/>
      <w:jc w:val="center"/>
      <w:rPr>
        <w:color w:val="000000"/>
      </w:rPr>
    </w:pPr>
  </w:p>
  <w:p w:rsidR="006A062F" w:rsidRDefault="006A062F">
    <w:pPr>
      <w:pStyle w:val="Footer"/>
      <w:jc w:val="center"/>
    </w:pPr>
    <w:fldSimple w:instr=" PAGE ">
      <w:r>
        <w:rPr>
          <w:noProof/>
        </w:rPr>
        <w:t>3</w:t>
      </w:r>
    </w:fldSimple>
  </w:p>
  <w:p w:rsidR="006A062F" w:rsidRDefault="006A062F">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F" w:rsidRDefault="006A062F">
    <w:pPr>
      <w:pStyle w:val="Footer"/>
      <w:jc w:val="center"/>
      <w:rPr>
        <w:color w:val="000000"/>
      </w:rPr>
    </w:pPr>
  </w:p>
  <w:p w:rsidR="006A062F" w:rsidRDefault="006A062F">
    <w:pPr>
      <w:pStyle w:val="Footer"/>
      <w:jc w:val="center"/>
    </w:pPr>
    <w:fldSimple w:instr=" PAGE ">
      <w:r>
        <w:rPr>
          <w:noProof/>
        </w:rPr>
        <w:t>17</w:t>
      </w:r>
    </w:fldSimple>
  </w:p>
  <w:p w:rsidR="006A062F" w:rsidRDefault="006A062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2F" w:rsidRDefault="006A062F" w:rsidP="003C1C23">
      <w:pPr>
        <w:spacing w:after="0" w:line="240" w:lineRule="auto"/>
      </w:pPr>
      <w:r w:rsidRPr="003C1C23">
        <w:rPr>
          <w:color w:val="000000"/>
        </w:rPr>
        <w:separator/>
      </w:r>
    </w:p>
  </w:footnote>
  <w:footnote w:type="continuationSeparator" w:id="0">
    <w:p w:rsidR="006A062F" w:rsidRDefault="006A062F" w:rsidP="003C1C23">
      <w:pPr>
        <w:spacing w:after="0" w:line="240" w:lineRule="auto"/>
      </w:pPr>
      <w:r>
        <w:continuationSeparator/>
      </w:r>
    </w:p>
  </w:footnote>
  <w:footnote w:id="1">
    <w:p w:rsidR="006A062F" w:rsidRDefault="006A062F">
      <w:pPr>
        <w:pStyle w:val="FootnoteText"/>
      </w:pPr>
      <w:r>
        <w:rPr>
          <w:rStyle w:val="FootnoteReference"/>
        </w:rPr>
        <w:footnoteRef/>
      </w:r>
      <w:r>
        <w:t xml:space="preserve"> </w:t>
      </w:r>
      <w:r w:rsidRPr="00BA1D23">
        <w:t>http://iet.jrc.ec.europa.eu/energyefficiency/ict-codes-conduct/data-centres-energy-efficiency</w:t>
      </w:r>
    </w:p>
  </w:footnote>
  <w:footnote w:id="2">
    <w:p w:rsidR="006A062F" w:rsidRDefault="006A062F">
      <w:pPr>
        <w:pStyle w:val="FootnoteText"/>
      </w:pPr>
      <w:r>
        <w:rPr>
          <w:rStyle w:val="FootnoteReference"/>
        </w:rPr>
        <w:footnoteRef/>
      </w:r>
      <w:r>
        <w:t xml:space="preserve"> </w:t>
      </w:r>
      <w:r>
        <w:rPr>
          <w:rFonts w:cs="Calibri"/>
        </w:rPr>
        <w:t>T</w:t>
      </w:r>
      <w:r w:rsidRPr="00D25002">
        <w:rPr>
          <w:rFonts w:cs="Calibri"/>
        </w:rPr>
        <w:t>he European equivalent of the UK’s Government Buying Standards, which identify sustainabil</w:t>
      </w:r>
      <w:r>
        <w:rPr>
          <w:rFonts w:cs="Calibri"/>
        </w:rPr>
        <w:t xml:space="preserve">ity </w:t>
      </w:r>
      <w:r w:rsidRPr="00D25002">
        <w:rPr>
          <w:rFonts w:cs="Calibri"/>
        </w:rPr>
        <w:t>requirements for public procuring authorities.</w:t>
      </w:r>
    </w:p>
  </w:footnote>
  <w:footnote w:id="3">
    <w:p w:rsidR="006A062F" w:rsidRDefault="006A062F">
      <w:pPr>
        <w:pStyle w:val="FootnoteText"/>
      </w:pPr>
      <w:r>
        <w:rPr>
          <w:rStyle w:val="FootnoteReference"/>
        </w:rPr>
        <w:footnoteRef/>
      </w:r>
      <w:r>
        <w:t xml:space="preserve"> </w:t>
      </w:r>
      <w:r w:rsidRPr="00F57531">
        <w:t>https://www.gov.uk/government/publications/greening-government-commitments</w:t>
      </w:r>
    </w:p>
  </w:footnote>
  <w:footnote w:id="4">
    <w:p w:rsidR="006A062F" w:rsidRDefault="006A062F">
      <w:pPr>
        <w:pStyle w:val="FootnoteText"/>
      </w:pPr>
      <w:r w:rsidRPr="00962E20">
        <w:rPr>
          <w:rStyle w:val="FootnoteReference"/>
        </w:rPr>
        <w:footnoteRef/>
      </w:r>
      <w:r w:rsidRPr="00962E20">
        <w:t xml:space="preserve"> http://www.jisc.ac.uk/</w:t>
      </w:r>
    </w:p>
  </w:footnote>
  <w:footnote w:id="5">
    <w:p w:rsidR="006A062F" w:rsidRDefault="006A062F" w:rsidP="00B43F87">
      <w:pPr>
        <w:pStyle w:val="FootnoteText"/>
        <w:ind w:firstLine="0"/>
      </w:pPr>
      <w:r w:rsidRPr="00900BDA">
        <w:rPr>
          <w:rStyle w:val="FootnoteReference"/>
        </w:rPr>
        <w:footnoteRef/>
      </w:r>
      <w:r w:rsidRPr="00900BDA">
        <w:t xml:space="preserve"> </w:t>
      </w:r>
      <w:r w:rsidRPr="00BA1D23">
        <w:t>http://iet.jrc.ec.europa.eu/energyefficiency/ict-codes-conduct/data-centres-energy-efficiency</w:t>
      </w:r>
    </w:p>
  </w:footnote>
  <w:footnote w:id="6">
    <w:p w:rsidR="006A062F" w:rsidRDefault="006A062F">
      <w:pPr>
        <w:pStyle w:val="FootnoteText"/>
      </w:pPr>
      <w:r w:rsidRPr="006378F2">
        <w:rPr>
          <w:rStyle w:val="FootnoteReference"/>
        </w:rPr>
        <w:footnoteRef/>
      </w:r>
      <w:r w:rsidRPr="006378F2">
        <w:t xml:space="preserve"> </w:t>
      </w:r>
      <w:r w:rsidRPr="00BA2E58">
        <w:t>https://www.gov.uk/government/publications/greening-government-ict-strategy</w:t>
      </w:r>
    </w:p>
  </w:footnote>
  <w:footnote w:id="7">
    <w:p w:rsidR="006A062F" w:rsidRDefault="006A062F">
      <w:pPr>
        <w:pStyle w:val="FootnoteText"/>
      </w:pPr>
      <w:r>
        <w:rPr>
          <w:rStyle w:val="FootnoteReference"/>
        </w:rPr>
        <w:footnoteRef/>
      </w:r>
      <w:r>
        <w:t xml:space="preserve"> </w:t>
      </w:r>
      <w:hyperlink r:id="rId1" w:history="1">
        <w:r w:rsidRPr="00132635">
          <w:rPr>
            <w:rStyle w:val="Hyperlink"/>
            <w:color w:val="auto"/>
          </w:rPr>
          <w:t>https://www.gov.uk/government/publications/greening-government-ict-strategy</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F" w:rsidRDefault="006A0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F" w:rsidRDefault="006A062F">
    <w:pPr>
      <w:pStyle w:val="Header"/>
    </w:pPr>
  </w:p>
  <w:p w:rsidR="006A062F" w:rsidRDefault="006A062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F" w:rsidRDefault="006A062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F" w:rsidRDefault="006A062F">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F" w:rsidRDefault="006A062F">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F" w:rsidRDefault="006A06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468"/>
    <w:multiLevelType w:val="hybridMultilevel"/>
    <w:tmpl w:val="A9080E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2996DD9"/>
    <w:multiLevelType w:val="hybridMultilevel"/>
    <w:tmpl w:val="68086480"/>
    <w:lvl w:ilvl="0" w:tplc="AE3EFAE2">
      <w:start w:val="1"/>
      <w:numFmt w:val="bullet"/>
      <w:lvlText w:val="-"/>
      <w:lvlJc w:val="left"/>
      <w:pPr>
        <w:ind w:left="720" w:hanging="360"/>
      </w:pPr>
      <w:rPr>
        <w:rFonts w:ascii="Calibri" w:eastAsia="Times New Roman" w:hAnsi="Calibri"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01765"/>
    <w:multiLevelType w:val="hybridMultilevel"/>
    <w:tmpl w:val="CB68019E"/>
    <w:lvl w:ilvl="0" w:tplc="438225A6">
      <w:start w:val="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43848"/>
    <w:multiLevelType w:val="multilevel"/>
    <w:tmpl w:val="BC442EF2"/>
    <w:styleLink w:val="LFO1"/>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F797839"/>
    <w:multiLevelType w:val="hybridMultilevel"/>
    <w:tmpl w:val="343EA764"/>
    <w:lvl w:ilvl="0" w:tplc="91D623A0">
      <w:start w:val="1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5655E2"/>
    <w:multiLevelType w:val="multilevel"/>
    <w:tmpl w:val="FAA07DEE"/>
    <w:styleLink w:val="LFO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C481C0F"/>
    <w:multiLevelType w:val="hybridMultilevel"/>
    <w:tmpl w:val="6322A0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5C1C5D12"/>
    <w:multiLevelType w:val="hybridMultilevel"/>
    <w:tmpl w:val="943C37FE"/>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64DA3DFA"/>
    <w:multiLevelType w:val="hybridMultilevel"/>
    <w:tmpl w:val="D944B43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A0F7D90"/>
    <w:multiLevelType w:val="hybridMultilevel"/>
    <w:tmpl w:val="7E0629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0427192"/>
    <w:multiLevelType w:val="multilevel"/>
    <w:tmpl w:val="A90CD6EA"/>
    <w:lvl w:ilvl="0">
      <w:start w:val="1"/>
      <w:numFmt w:val="decimal"/>
      <w:lvlText w:val="%1."/>
      <w:lvlJc w:val="left"/>
      <w:pPr>
        <w:tabs>
          <w:tab w:val="num" w:pos="360"/>
        </w:tabs>
        <w:ind w:left="360" w:hanging="360"/>
      </w:pPr>
      <w:rPr>
        <w:rFonts w:ascii="Arial" w:hAnsi="Arial" w:cs="Times New Roman" w:hint="default"/>
        <w:b w:val="0"/>
        <w:i w:val="0"/>
        <w:sz w:val="24"/>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E334278"/>
    <w:multiLevelType w:val="hybridMultilevel"/>
    <w:tmpl w:val="EA6E08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9"/>
  </w:num>
  <w:num w:numId="7">
    <w:abstractNumId w:val="0"/>
  </w:num>
  <w:num w:numId="8">
    <w:abstractNumId w:val="8"/>
  </w:num>
  <w:num w:numId="9">
    <w:abstractNumId w:val="4"/>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C23"/>
    <w:rsid w:val="0000166B"/>
    <w:rsid w:val="00007BBD"/>
    <w:rsid w:val="00015E5E"/>
    <w:rsid w:val="00036EEA"/>
    <w:rsid w:val="00045C3A"/>
    <w:rsid w:val="00050BD6"/>
    <w:rsid w:val="000724CD"/>
    <w:rsid w:val="00086EDC"/>
    <w:rsid w:val="000B7146"/>
    <w:rsid w:val="00100874"/>
    <w:rsid w:val="00101231"/>
    <w:rsid w:val="00103373"/>
    <w:rsid w:val="001033A8"/>
    <w:rsid w:val="0011671D"/>
    <w:rsid w:val="00132635"/>
    <w:rsid w:val="0013568E"/>
    <w:rsid w:val="00154724"/>
    <w:rsid w:val="00156871"/>
    <w:rsid w:val="001648F1"/>
    <w:rsid w:val="001671E8"/>
    <w:rsid w:val="0017414E"/>
    <w:rsid w:val="001744D0"/>
    <w:rsid w:val="001805E7"/>
    <w:rsid w:val="00182A54"/>
    <w:rsid w:val="0019140D"/>
    <w:rsid w:val="001A3655"/>
    <w:rsid w:val="001B117D"/>
    <w:rsid w:val="001D4B84"/>
    <w:rsid w:val="001F173A"/>
    <w:rsid w:val="001F5FEC"/>
    <w:rsid w:val="00202177"/>
    <w:rsid w:val="00210F85"/>
    <w:rsid w:val="002118A2"/>
    <w:rsid w:val="002144D7"/>
    <w:rsid w:val="00217558"/>
    <w:rsid w:val="00220C98"/>
    <w:rsid w:val="0022152E"/>
    <w:rsid w:val="00226A7D"/>
    <w:rsid w:val="00226AF8"/>
    <w:rsid w:val="00231EDD"/>
    <w:rsid w:val="002331A7"/>
    <w:rsid w:val="002432D3"/>
    <w:rsid w:val="00252158"/>
    <w:rsid w:val="00261E5C"/>
    <w:rsid w:val="0027380D"/>
    <w:rsid w:val="0028676B"/>
    <w:rsid w:val="002A0010"/>
    <w:rsid w:val="002B1F63"/>
    <w:rsid w:val="002B39A4"/>
    <w:rsid w:val="002C60D7"/>
    <w:rsid w:val="002D411C"/>
    <w:rsid w:val="002E5AC2"/>
    <w:rsid w:val="00304EC4"/>
    <w:rsid w:val="00313742"/>
    <w:rsid w:val="00316439"/>
    <w:rsid w:val="003220D2"/>
    <w:rsid w:val="003267CF"/>
    <w:rsid w:val="00331F08"/>
    <w:rsid w:val="00346FEA"/>
    <w:rsid w:val="003474A0"/>
    <w:rsid w:val="003503AA"/>
    <w:rsid w:val="00360D8C"/>
    <w:rsid w:val="00361227"/>
    <w:rsid w:val="00362126"/>
    <w:rsid w:val="00364EAE"/>
    <w:rsid w:val="003701A4"/>
    <w:rsid w:val="00376798"/>
    <w:rsid w:val="00383DFE"/>
    <w:rsid w:val="003A0677"/>
    <w:rsid w:val="003A5CC8"/>
    <w:rsid w:val="003B08D3"/>
    <w:rsid w:val="003C1C23"/>
    <w:rsid w:val="003C4ED5"/>
    <w:rsid w:val="003D2ECB"/>
    <w:rsid w:val="003D6E92"/>
    <w:rsid w:val="003F332F"/>
    <w:rsid w:val="003F5A32"/>
    <w:rsid w:val="00401187"/>
    <w:rsid w:val="004058E6"/>
    <w:rsid w:val="00411F47"/>
    <w:rsid w:val="00413B4C"/>
    <w:rsid w:val="0041636A"/>
    <w:rsid w:val="00423186"/>
    <w:rsid w:val="004250CA"/>
    <w:rsid w:val="00427DBD"/>
    <w:rsid w:val="0043294E"/>
    <w:rsid w:val="00437A44"/>
    <w:rsid w:val="004438C8"/>
    <w:rsid w:val="00445435"/>
    <w:rsid w:val="00454CFB"/>
    <w:rsid w:val="004602BB"/>
    <w:rsid w:val="004628E4"/>
    <w:rsid w:val="0046642F"/>
    <w:rsid w:val="00471C51"/>
    <w:rsid w:val="00474566"/>
    <w:rsid w:val="00474A7E"/>
    <w:rsid w:val="0048015C"/>
    <w:rsid w:val="00481ABA"/>
    <w:rsid w:val="004912BB"/>
    <w:rsid w:val="00497D69"/>
    <w:rsid w:val="004A1175"/>
    <w:rsid w:val="004A1408"/>
    <w:rsid w:val="004A5218"/>
    <w:rsid w:val="004C34BD"/>
    <w:rsid w:val="004C36D8"/>
    <w:rsid w:val="004D53E4"/>
    <w:rsid w:val="004E3D33"/>
    <w:rsid w:val="004E5489"/>
    <w:rsid w:val="004E7B73"/>
    <w:rsid w:val="005033DA"/>
    <w:rsid w:val="0050353C"/>
    <w:rsid w:val="005053F4"/>
    <w:rsid w:val="0051139D"/>
    <w:rsid w:val="0051349A"/>
    <w:rsid w:val="00513BB9"/>
    <w:rsid w:val="00520462"/>
    <w:rsid w:val="00525AC7"/>
    <w:rsid w:val="005315D7"/>
    <w:rsid w:val="00547163"/>
    <w:rsid w:val="00555738"/>
    <w:rsid w:val="00556D00"/>
    <w:rsid w:val="00564F1E"/>
    <w:rsid w:val="00566BA0"/>
    <w:rsid w:val="00574766"/>
    <w:rsid w:val="005912F7"/>
    <w:rsid w:val="00596A37"/>
    <w:rsid w:val="005A252C"/>
    <w:rsid w:val="005A2AF1"/>
    <w:rsid w:val="005A2CE0"/>
    <w:rsid w:val="005A5323"/>
    <w:rsid w:val="005B3F2A"/>
    <w:rsid w:val="005B61C2"/>
    <w:rsid w:val="005C1EC9"/>
    <w:rsid w:val="005C2A06"/>
    <w:rsid w:val="005C3E77"/>
    <w:rsid w:val="005D3161"/>
    <w:rsid w:val="005F0D24"/>
    <w:rsid w:val="005F2F3C"/>
    <w:rsid w:val="005F38D8"/>
    <w:rsid w:val="00617900"/>
    <w:rsid w:val="00622AB2"/>
    <w:rsid w:val="006378F2"/>
    <w:rsid w:val="00640AA0"/>
    <w:rsid w:val="0065069D"/>
    <w:rsid w:val="00653832"/>
    <w:rsid w:val="006664A3"/>
    <w:rsid w:val="0067248F"/>
    <w:rsid w:val="00674349"/>
    <w:rsid w:val="00675E9C"/>
    <w:rsid w:val="0069583C"/>
    <w:rsid w:val="006A03F1"/>
    <w:rsid w:val="006A062F"/>
    <w:rsid w:val="006A3654"/>
    <w:rsid w:val="006B30C1"/>
    <w:rsid w:val="006B4545"/>
    <w:rsid w:val="006B5C18"/>
    <w:rsid w:val="006B5EE5"/>
    <w:rsid w:val="006C39EA"/>
    <w:rsid w:val="006D2EAB"/>
    <w:rsid w:val="006D4D40"/>
    <w:rsid w:val="006E017D"/>
    <w:rsid w:val="006E2F58"/>
    <w:rsid w:val="006E364C"/>
    <w:rsid w:val="00707751"/>
    <w:rsid w:val="00711A53"/>
    <w:rsid w:val="00723843"/>
    <w:rsid w:val="00751AAB"/>
    <w:rsid w:val="00767BFF"/>
    <w:rsid w:val="00767D1A"/>
    <w:rsid w:val="00774BBF"/>
    <w:rsid w:val="00783391"/>
    <w:rsid w:val="007968D9"/>
    <w:rsid w:val="007A19FE"/>
    <w:rsid w:val="007A3261"/>
    <w:rsid w:val="007A3C3B"/>
    <w:rsid w:val="007C2982"/>
    <w:rsid w:val="007C66E3"/>
    <w:rsid w:val="007D4492"/>
    <w:rsid w:val="007E1593"/>
    <w:rsid w:val="007E1669"/>
    <w:rsid w:val="007E2B9F"/>
    <w:rsid w:val="007E7CA0"/>
    <w:rsid w:val="007F2607"/>
    <w:rsid w:val="007F3E29"/>
    <w:rsid w:val="00801F85"/>
    <w:rsid w:val="00813142"/>
    <w:rsid w:val="00813497"/>
    <w:rsid w:val="0082231B"/>
    <w:rsid w:val="00840C9B"/>
    <w:rsid w:val="00842E8F"/>
    <w:rsid w:val="008452F6"/>
    <w:rsid w:val="00857F4D"/>
    <w:rsid w:val="00866AAB"/>
    <w:rsid w:val="008677D5"/>
    <w:rsid w:val="008771C1"/>
    <w:rsid w:val="0088002E"/>
    <w:rsid w:val="008820A1"/>
    <w:rsid w:val="00884F83"/>
    <w:rsid w:val="008A5A52"/>
    <w:rsid w:val="008A64A5"/>
    <w:rsid w:val="008B06B1"/>
    <w:rsid w:val="008C446F"/>
    <w:rsid w:val="00900BDA"/>
    <w:rsid w:val="00903A06"/>
    <w:rsid w:val="00912A73"/>
    <w:rsid w:val="00921C73"/>
    <w:rsid w:val="009229D6"/>
    <w:rsid w:val="00931852"/>
    <w:rsid w:val="0094076B"/>
    <w:rsid w:val="00943FD3"/>
    <w:rsid w:val="00953302"/>
    <w:rsid w:val="00954038"/>
    <w:rsid w:val="00962E20"/>
    <w:rsid w:val="00977D65"/>
    <w:rsid w:val="0098574D"/>
    <w:rsid w:val="00993B87"/>
    <w:rsid w:val="009974DD"/>
    <w:rsid w:val="009A233D"/>
    <w:rsid w:val="009A61F0"/>
    <w:rsid w:val="009C4307"/>
    <w:rsid w:val="009D68B9"/>
    <w:rsid w:val="009E2F1B"/>
    <w:rsid w:val="009E4789"/>
    <w:rsid w:val="009F2A3D"/>
    <w:rsid w:val="00A00472"/>
    <w:rsid w:val="00A052BE"/>
    <w:rsid w:val="00A06894"/>
    <w:rsid w:val="00A06B5B"/>
    <w:rsid w:val="00A17EEE"/>
    <w:rsid w:val="00A27934"/>
    <w:rsid w:val="00A32D52"/>
    <w:rsid w:val="00A34C6F"/>
    <w:rsid w:val="00A478BD"/>
    <w:rsid w:val="00A50056"/>
    <w:rsid w:val="00A52EF9"/>
    <w:rsid w:val="00A5355E"/>
    <w:rsid w:val="00A56909"/>
    <w:rsid w:val="00A61AE2"/>
    <w:rsid w:val="00A640B7"/>
    <w:rsid w:val="00A752E0"/>
    <w:rsid w:val="00AA4B13"/>
    <w:rsid w:val="00AA4EFE"/>
    <w:rsid w:val="00AA503A"/>
    <w:rsid w:val="00AA5DF5"/>
    <w:rsid w:val="00AB1905"/>
    <w:rsid w:val="00AB1EF8"/>
    <w:rsid w:val="00AB7FA0"/>
    <w:rsid w:val="00AC1C09"/>
    <w:rsid w:val="00AD02C7"/>
    <w:rsid w:val="00AD3352"/>
    <w:rsid w:val="00AD3F0C"/>
    <w:rsid w:val="00AF4E92"/>
    <w:rsid w:val="00AF5F85"/>
    <w:rsid w:val="00B01DD3"/>
    <w:rsid w:val="00B03052"/>
    <w:rsid w:val="00B11148"/>
    <w:rsid w:val="00B12B20"/>
    <w:rsid w:val="00B17205"/>
    <w:rsid w:val="00B259D2"/>
    <w:rsid w:val="00B31472"/>
    <w:rsid w:val="00B37C41"/>
    <w:rsid w:val="00B43F87"/>
    <w:rsid w:val="00B516E6"/>
    <w:rsid w:val="00B52C42"/>
    <w:rsid w:val="00B63487"/>
    <w:rsid w:val="00B76949"/>
    <w:rsid w:val="00B92FA3"/>
    <w:rsid w:val="00B94878"/>
    <w:rsid w:val="00B949DC"/>
    <w:rsid w:val="00BA1D23"/>
    <w:rsid w:val="00BA2E58"/>
    <w:rsid w:val="00BB34FC"/>
    <w:rsid w:val="00BB5192"/>
    <w:rsid w:val="00BB6D9B"/>
    <w:rsid w:val="00BC225B"/>
    <w:rsid w:val="00BC40E4"/>
    <w:rsid w:val="00BC454D"/>
    <w:rsid w:val="00BD2336"/>
    <w:rsid w:val="00BE23EC"/>
    <w:rsid w:val="00BE5D88"/>
    <w:rsid w:val="00BF0851"/>
    <w:rsid w:val="00C013C3"/>
    <w:rsid w:val="00C03E7C"/>
    <w:rsid w:val="00C07496"/>
    <w:rsid w:val="00C079B7"/>
    <w:rsid w:val="00C1742F"/>
    <w:rsid w:val="00C25B02"/>
    <w:rsid w:val="00C316E4"/>
    <w:rsid w:val="00C36C08"/>
    <w:rsid w:val="00C3778C"/>
    <w:rsid w:val="00C5721B"/>
    <w:rsid w:val="00C61B3F"/>
    <w:rsid w:val="00C6311F"/>
    <w:rsid w:val="00C63B16"/>
    <w:rsid w:val="00C67CA5"/>
    <w:rsid w:val="00C76E4B"/>
    <w:rsid w:val="00C83FEC"/>
    <w:rsid w:val="00C84C35"/>
    <w:rsid w:val="00C90726"/>
    <w:rsid w:val="00C90779"/>
    <w:rsid w:val="00C94823"/>
    <w:rsid w:val="00CB13F6"/>
    <w:rsid w:val="00CB53E4"/>
    <w:rsid w:val="00CB57E6"/>
    <w:rsid w:val="00CB716B"/>
    <w:rsid w:val="00CC6889"/>
    <w:rsid w:val="00CC6C46"/>
    <w:rsid w:val="00CD51F0"/>
    <w:rsid w:val="00CE0C83"/>
    <w:rsid w:val="00CE3C50"/>
    <w:rsid w:val="00CE6C82"/>
    <w:rsid w:val="00CE76CA"/>
    <w:rsid w:val="00CF268F"/>
    <w:rsid w:val="00D0342F"/>
    <w:rsid w:val="00D25002"/>
    <w:rsid w:val="00D26685"/>
    <w:rsid w:val="00D26D6C"/>
    <w:rsid w:val="00D3055E"/>
    <w:rsid w:val="00D32D5F"/>
    <w:rsid w:val="00D407C2"/>
    <w:rsid w:val="00D4598A"/>
    <w:rsid w:val="00D46399"/>
    <w:rsid w:val="00D53D1C"/>
    <w:rsid w:val="00D571ED"/>
    <w:rsid w:val="00D603CD"/>
    <w:rsid w:val="00D61F6A"/>
    <w:rsid w:val="00D7670A"/>
    <w:rsid w:val="00D812B5"/>
    <w:rsid w:val="00DA097E"/>
    <w:rsid w:val="00DA20C2"/>
    <w:rsid w:val="00DA2743"/>
    <w:rsid w:val="00DA310F"/>
    <w:rsid w:val="00DA4F57"/>
    <w:rsid w:val="00DA5B27"/>
    <w:rsid w:val="00DB1E60"/>
    <w:rsid w:val="00DB25F3"/>
    <w:rsid w:val="00DB3C71"/>
    <w:rsid w:val="00DB474F"/>
    <w:rsid w:val="00DB6C2E"/>
    <w:rsid w:val="00DB7BF5"/>
    <w:rsid w:val="00DC35A6"/>
    <w:rsid w:val="00DC4FBB"/>
    <w:rsid w:val="00DD48F1"/>
    <w:rsid w:val="00DE1072"/>
    <w:rsid w:val="00DE24E4"/>
    <w:rsid w:val="00DE6F76"/>
    <w:rsid w:val="00DF1B42"/>
    <w:rsid w:val="00E117C2"/>
    <w:rsid w:val="00E13B8E"/>
    <w:rsid w:val="00E23D8A"/>
    <w:rsid w:val="00E27361"/>
    <w:rsid w:val="00E273E9"/>
    <w:rsid w:val="00E445AF"/>
    <w:rsid w:val="00E517C2"/>
    <w:rsid w:val="00E54262"/>
    <w:rsid w:val="00E561F8"/>
    <w:rsid w:val="00E565DC"/>
    <w:rsid w:val="00E56EBD"/>
    <w:rsid w:val="00E654A4"/>
    <w:rsid w:val="00E6658B"/>
    <w:rsid w:val="00E75ABD"/>
    <w:rsid w:val="00E75F47"/>
    <w:rsid w:val="00E955D8"/>
    <w:rsid w:val="00E959CE"/>
    <w:rsid w:val="00EA1D40"/>
    <w:rsid w:val="00EA483D"/>
    <w:rsid w:val="00EA5D93"/>
    <w:rsid w:val="00EA76B0"/>
    <w:rsid w:val="00EB2419"/>
    <w:rsid w:val="00ED6469"/>
    <w:rsid w:val="00EE54D1"/>
    <w:rsid w:val="00EF0A50"/>
    <w:rsid w:val="00EF0DD4"/>
    <w:rsid w:val="00EF2F07"/>
    <w:rsid w:val="00F03006"/>
    <w:rsid w:val="00F23A28"/>
    <w:rsid w:val="00F404E9"/>
    <w:rsid w:val="00F53719"/>
    <w:rsid w:val="00F55FB9"/>
    <w:rsid w:val="00F57531"/>
    <w:rsid w:val="00F7064B"/>
    <w:rsid w:val="00F77D89"/>
    <w:rsid w:val="00F80797"/>
    <w:rsid w:val="00F868AA"/>
    <w:rsid w:val="00FA2CAA"/>
    <w:rsid w:val="00FA72CF"/>
    <w:rsid w:val="00FC64F7"/>
    <w:rsid w:val="00FD14EF"/>
    <w:rsid w:val="00FD7F2A"/>
    <w:rsid w:val="00FE496F"/>
    <w:rsid w:val="00FE5F7C"/>
    <w:rsid w:val="00FF1004"/>
    <w:rsid w:val="00FF3190"/>
    <w:rsid w:val="00FF67F9"/>
    <w:rsid w:val="00FF78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C1C23"/>
    <w:pPr>
      <w:suppressAutoHyphens/>
      <w:autoSpaceDN w:val="0"/>
      <w:spacing w:after="200" w:line="276" w:lineRule="auto"/>
      <w:textAlignment w:val="baseline"/>
    </w:pPr>
    <w:rPr>
      <w:lang w:val="en-GB" w:eastAsia="en-GB"/>
    </w:rPr>
  </w:style>
  <w:style w:type="paragraph" w:styleId="Heading1">
    <w:name w:val="heading 1"/>
    <w:basedOn w:val="Normal"/>
    <w:next w:val="Normal"/>
    <w:link w:val="Heading1Char"/>
    <w:autoRedefine/>
    <w:uiPriority w:val="99"/>
    <w:qFormat/>
    <w:rsid w:val="00497D69"/>
    <w:pPr>
      <w:outlineLvl w:val="0"/>
    </w:pPr>
    <w:rPr>
      <w:b/>
      <w:bCs/>
      <w:color w:val="4B116F"/>
      <w:sz w:val="48"/>
      <w:szCs w:val="48"/>
    </w:rPr>
  </w:style>
  <w:style w:type="paragraph" w:styleId="Heading2">
    <w:name w:val="heading 2"/>
    <w:basedOn w:val="Normal"/>
    <w:next w:val="Normal"/>
    <w:link w:val="Heading2Char"/>
    <w:uiPriority w:val="99"/>
    <w:qFormat/>
    <w:rsid w:val="003C1C23"/>
    <w:pPr>
      <w:keepNext/>
      <w:keepLines/>
      <w:spacing w:before="240" w:after="280" w:line="240" w:lineRule="auto"/>
      <w:outlineLvl w:val="1"/>
    </w:pPr>
    <w:rPr>
      <w:rFonts w:ascii="Arial" w:hAnsi="Arial"/>
      <w:bCs/>
      <w:color w:val="4B116F"/>
      <w:sz w:val="28"/>
      <w:szCs w:val="26"/>
    </w:rPr>
  </w:style>
  <w:style w:type="paragraph" w:styleId="Heading3">
    <w:name w:val="heading 3"/>
    <w:basedOn w:val="Normal"/>
    <w:next w:val="Normal"/>
    <w:link w:val="Heading3Char"/>
    <w:uiPriority w:val="99"/>
    <w:qFormat/>
    <w:rsid w:val="003C1C23"/>
    <w:pPr>
      <w:keepNext/>
      <w:keepLines/>
      <w:spacing w:before="280" w:after="240" w:line="240" w:lineRule="auto"/>
      <w:outlineLvl w:val="2"/>
    </w:pPr>
    <w:rPr>
      <w:rFonts w:ascii="Arial" w:hAnsi="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D69"/>
    <w:rPr>
      <w:rFonts w:cs="Times New Roman"/>
      <w:b/>
      <w:bCs/>
      <w:color w:val="4B116F"/>
      <w:sz w:val="48"/>
      <w:szCs w:val="48"/>
    </w:rPr>
  </w:style>
  <w:style w:type="character" w:customStyle="1" w:styleId="Heading2Char">
    <w:name w:val="Heading 2 Char"/>
    <w:basedOn w:val="DefaultParagraphFont"/>
    <w:link w:val="Heading2"/>
    <w:uiPriority w:val="99"/>
    <w:locked/>
    <w:rsid w:val="003C1C23"/>
    <w:rPr>
      <w:rFonts w:ascii="Arial" w:hAnsi="Arial" w:cs="Times New Roman"/>
      <w:bCs/>
      <w:color w:val="4B116F"/>
      <w:sz w:val="26"/>
      <w:szCs w:val="26"/>
    </w:rPr>
  </w:style>
  <w:style w:type="character" w:customStyle="1" w:styleId="Heading3Char">
    <w:name w:val="Heading 3 Char"/>
    <w:basedOn w:val="DefaultParagraphFont"/>
    <w:link w:val="Heading3"/>
    <w:uiPriority w:val="99"/>
    <w:locked/>
    <w:rsid w:val="003C1C23"/>
    <w:rPr>
      <w:rFonts w:ascii="Arial" w:hAnsi="Arial" w:cs="Times New Roman"/>
      <w:b/>
      <w:bCs/>
      <w:sz w:val="22"/>
      <w:szCs w:val="22"/>
    </w:rPr>
  </w:style>
  <w:style w:type="paragraph" w:styleId="Header">
    <w:name w:val="header"/>
    <w:basedOn w:val="Normal"/>
    <w:link w:val="HeaderChar"/>
    <w:uiPriority w:val="99"/>
    <w:rsid w:val="003C1C2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1C23"/>
    <w:rPr>
      <w:rFonts w:cs="Times New Roman"/>
    </w:rPr>
  </w:style>
  <w:style w:type="paragraph" w:styleId="Footer">
    <w:name w:val="footer"/>
    <w:basedOn w:val="Normal"/>
    <w:link w:val="FooterChar"/>
    <w:uiPriority w:val="99"/>
    <w:rsid w:val="003C1C2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1C23"/>
    <w:rPr>
      <w:rFonts w:cs="Times New Roman"/>
    </w:rPr>
  </w:style>
  <w:style w:type="paragraph" w:styleId="Title">
    <w:name w:val="Title"/>
    <w:basedOn w:val="Normal"/>
    <w:next w:val="Normal"/>
    <w:link w:val="TitleChar"/>
    <w:uiPriority w:val="99"/>
    <w:qFormat/>
    <w:rsid w:val="003C1C23"/>
    <w:pPr>
      <w:spacing w:after="300" w:line="240" w:lineRule="auto"/>
    </w:pPr>
    <w:rPr>
      <w:rFonts w:ascii="Arial" w:hAnsi="Arial"/>
      <w:color w:val="4B116F"/>
      <w:spacing w:val="5"/>
      <w:kern w:val="3"/>
      <w:sz w:val="68"/>
      <w:szCs w:val="52"/>
    </w:rPr>
  </w:style>
  <w:style w:type="character" w:customStyle="1" w:styleId="TitleChar">
    <w:name w:val="Title Char"/>
    <w:basedOn w:val="DefaultParagraphFont"/>
    <w:link w:val="Title"/>
    <w:uiPriority w:val="99"/>
    <w:locked/>
    <w:rsid w:val="003C1C23"/>
    <w:rPr>
      <w:rFonts w:ascii="Arial" w:hAnsi="Arial" w:cs="Times New Roman"/>
      <w:color w:val="4B116F"/>
      <w:spacing w:val="5"/>
      <w:kern w:val="3"/>
      <w:sz w:val="52"/>
      <w:szCs w:val="52"/>
    </w:rPr>
  </w:style>
  <w:style w:type="paragraph" w:styleId="ListParagraph">
    <w:name w:val="List Paragraph"/>
    <w:aliases w:val="Dot pt,No Spacing1,List Paragraph Char Char Char,Indicator Text,Numbered Para 1,List Paragraph1,Bullet 1"/>
    <w:basedOn w:val="Normal"/>
    <w:uiPriority w:val="99"/>
    <w:qFormat/>
    <w:rsid w:val="003C1C23"/>
    <w:pPr>
      <w:numPr>
        <w:numId w:val="1"/>
      </w:numPr>
      <w:spacing w:after="120" w:line="240" w:lineRule="auto"/>
    </w:pPr>
    <w:rPr>
      <w:rFonts w:ascii="Arial" w:hAnsi="Arial"/>
      <w:sz w:val="24"/>
    </w:rPr>
  </w:style>
  <w:style w:type="paragraph" w:styleId="NoSpacing">
    <w:name w:val="No Spacing"/>
    <w:uiPriority w:val="99"/>
    <w:qFormat/>
    <w:rsid w:val="003C1C23"/>
    <w:pPr>
      <w:suppressAutoHyphens/>
      <w:autoSpaceDN w:val="0"/>
      <w:textAlignment w:val="baseline"/>
    </w:pPr>
    <w:rPr>
      <w:rFonts w:ascii="Arial" w:hAnsi="Arial"/>
      <w:sz w:val="24"/>
      <w:lang w:val="en-GB" w:eastAsia="en-GB"/>
    </w:rPr>
  </w:style>
  <w:style w:type="character" w:customStyle="1" w:styleId="NoSpacingChar">
    <w:name w:val="No Spacing Char"/>
    <w:basedOn w:val="DefaultParagraphFont"/>
    <w:uiPriority w:val="99"/>
    <w:rsid w:val="003C1C23"/>
    <w:rPr>
      <w:rFonts w:ascii="Arial" w:hAnsi="Arial" w:cs="Times New Roman"/>
      <w:sz w:val="22"/>
      <w:szCs w:val="22"/>
      <w:lang w:val="en-GB" w:eastAsia="en-GB" w:bidi="ar-SA"/>
    </w:rPr>
  </w:style>
  <w:style w:type="character" w:customStyle="1" w:styleId="ListParagraphChar">
    <w:name w:val="List Paragraph Char"/>
    <w:basedOn w:val="DefaultParagraphFont"/>
    <w:uiPriority w:val="99"/>
    <w:rsid w:val="003C1C23"/>
    <w:rPr>
      <w:rFonts w:ascii="Arial" w:hAnsi="Arial" w:cs="Times New Roman"/>
      <w:sz w:val="22"/>
      <w:szCs w:val="22"/>
    </w:rPr>
  </w:style>
  <w:style w:type="character" w:styleId="Hyperlink">
    <w:name w:val="Hyperlink"/>
    <w:basedOn w:val="DefaultParagraphFont"/>
    <w:uiPriority w:val="99"/>
    <w:rsid w:val="003C1C23"/>
    <w:rPr>
      <w:rFonts w:cs="Times New Roman"/>
      <w:color w:val="0000FF"/>
      <w:u w:val="single"/>
    </w:rPr>
  </w:style>
  <w:style w:type="paragraph" w:styleId="FootnoteText">
    <w:name w:val="footnote text"/>
    <w:basedOn w:val="Normal"/>
    <w:link w:val="FootnoteTextChar"/>
    <w:uiPriority w:val="99"/>
    <w:rsid w:val="003C1C23"/>
    <w:pPr>
      <w:spacing w:after="0" w:line="240" w:lineRule="auto"/>
      <w:ind w:firstLine="360"/>
    </w:pPr>
    <w:rPr>
      <w:sz w:val="20"/>
      <w:szCs w:val="20"/>
      <w:lang w:val="en-US" w:eastAsia="en-US"/>
    </w:rPr>
  </w:style>
  <w:style w:type="character" w:customStyle="1" w:styleId="FootnoteTextChar">
    <w:name w:val="Footnote Text Char"/>
    <w:basedOn w:val="DefaultParagraphFont"/>
    <w:link w:val="FootnoteText"/>
    <w:uiPriority w:val="99"/>
    <w:locked/>
    <w:rsid w:val="003C1C23"/>
    <w:rPr>
      <w:rFonts w:cs="Times New Roman"/>
      <w:lang w:val="en-US" w:eastAsia="en-US"/>
    </w:rPr>
  </w:style>
  <w:style w:type="character" w:styleId="FootnoteReference">
    <w:name w:val="footnote reference"/>
    <w:basedOn w:val="DefaultParagraphFont"/>
    <w:uiPriority w:val="99"/>
    <w:rsid w:val="003C1C23"/>
    <w:rPr>
      <w:rFonts w:cs="Times New Roman"/>
      <w:position w:val="0"/>
      <w:vertAlign w:val="superscript"/>
    </w:rPr>
  </w:style>
  <w:style w:type="paragraph" w:customStyle="1" w:styleId="Default">
    <w:name w:val="Default"/>
    <w:uiPriority w:val="99"/>
    <w:rsid w:val="003C1C23"/>
    <w:pPr>
      <w:suppressAutoHyphens/>
      <w:autoSpaceDE w:val="0"/>
      <w:autoSpaceDN w:val="0"/>
      <w:textAlignment w:val="baseline"/>
    </w:pPr>
    <w:rPr>
      <w:rFonts w:ascii="Helvetica Neue LT Std" w:hAnsi="Helvetica Neue LT Std" w:cs="Helvetica Neue LT Std"/>
      <w:color w:val="000000"/>
      <w:sz w:val="24"/>
      <w:szCs w:val="24"/>
      <w:lang w:val="en-GB" w:eastAsia="en-GB"/>
    </w:rPr>
  </w:style>
  <w:style w:type="paragraph" w:styleId="TOCHeading">
    <w:name w:val="TOC Heading"/>
    <w:basedOn w:val="Heading1"/>
    <w:next w:val="Normal"/>
    <w:uiPriority w:val="99"/>
    <w:qFormat/>
    <w:rsid w:val="003C1C23"/>
    <w:pPr>
      <w:spacing w:before="480" w:after="0"/>
    </w:pPr>
    <w:rPr>
      <w:rFonts w:ascii="Cambria" w:hAnsi="Cambria"/>
      <w:b w:val="0"/>
      <w:color w:val="365F91"/>
      <w:lang w:val="en-US" w:eastAsia="en-US"/>
    </w:rPr>
  </w:style>
  <w:style w:type="paragraph" w:styleId="TOC1">
    <w:name w:val="toc 1"/>
    <w:basedOn w:val="Normal"/>
    <w:next w:val="Normal"/>
    <w:autoRedefine/>
    <w:uiPriority w:val="99"/>
    <w:rsid w:val="009974DD"/>
    <w:pPr>
      <w:tabs>
        <w:tab w:val="right" w:leader="dot" w:pos="7576"/>
      </w:tabs>
      <w:ind w:left="360"/>
    </w:pPr>
    <w:rPr>
      <w:rFonts w:cs="Calibri"/>
      <w:b/>
      <w:sz w:val="24"/>
      <w:szCs w:val="24"/>
    </w:rPr>
  </w:style>
  <w:style w:type="paragraph" w:styleId="TOC2">
    <w:name w:val="toc 2"/>
    <w:basedOn w:val="Normal"/>
    <w:next w:val="Normal"/>
    <w:autoRedefine/>
    <w:uiPriority w:val="99"/>
    <w:rsid w:val="003C1C23"/>
    <w:pPr>
      <w:ind w:left="220"/>
    </w:pPr>
  </w:style>
  <w:style w:type="paragraph" w:styleId="TOC3">
    <w:name w:val="toc 3"/>
    <w:basedOn w:val="Normal"/>
    <w:next w:val="Normal"/>
    <w:autoRedefine/>
    <w:uiPriority w:val="99"/>
    <w:rsid w:val="003C1C23"/>
    <w:pPr>
      <w:ind w:left="440"/>
    </w:pPr>
  </w:style>
  <w:style w:type="paragraph" w:styleId="NormalWeb">
    <w:name w:val="Normal (Web)"/>
    <w:basedOn w:val="Normal"/>
    <w:uiPriority w:val="99"/>
    <w:rsid w:val="003C1C23"/>
    <w:pPr>
      <w:spacing w:before="120" w:after="360" w:line="288" w:lineRule="atLeast"/>
    </w:pPr>
    <w:rPr>
      <w:rFonts w:ascii="Times New Roman" w:hAnsi="Times New Roman"/>
      <w:sz w:val="18"/>
      <w:szCs w:val="18"/>
    </w:rPr>
  </w:style>
  <w:style w:type="character" w:styleId="Strong">
    <w:name w:val="Strong"/>
    <w:basedOn w:val="DefaultParagraphFont"/>
    <w:uiPriority w:val="99"/>
    <w:qFormat/>
    <w:rsid w:val="003C1C23"/>
    <w:rPr>
      <w:rFonts w:cs="Times New Roman"/>
      <w:b/>
      <w:bCs/>
    </w:rPr>
  </w:style>
  <w:style w:type="paragraph" w:styleId="Caption">
    <w:name w:val="caption"/>
    <w:basedOn w:val="Normal"/>
    <w:next w:val="Normal"/>
    <w:uiPriority w:val="99"/>
    <w:qFormat/>
    <w:rsid w:val="003C1C23"/>
    <w:rPr>
      <w:b/>
      <w:bCs/>
      <w:sz w:val="20"/>
      <w:szCs w:val="20"/>
    </w:rPr>
  </w:style>
  <w:style w:type="character" w:customStyle="1" w:styleId="FootnoteTextChar1">
    <w:name w:val="Footnote Text Char1"/>
    <w:basedOn w:val="DefaultParagraphFont"/>
    <w:uiPriority w:val="99"/>
    <w:rsid w:val="003C1C23"/>
    <w:rPr>
      <w:rFonts w:eastAsia="Times New Roman" w:cs="Times New Roman"/>
      <w:lang w:val="en-GB" w:eastAsia="en-GB" w:bidi="ar-SA"/>
    </w:rPr>
  </w:style>
  <w:style w:type="character" w:styleId="CommentReference">
    <w:name w:val="annotation reference"/>
    <w:basedOn w:val="DefaultParagraphFont"/>
    <w:uiPriority w:val="99"/>
    <w:rsid w:val="003C1C23"/>
    <w:rPr>
      <w:rFonts w:cs="Times New Roman"/>
      <w:sz w:val="16"/>
      <w:szCs w:val="16"/>
    </w:rPr>
  </w:style>
  <w:style w:type="paragraph" w:styleId="CommentText">
    <w:name w:val="annotation text"/>
    <w:basedOn w:val="Normal"/>
    <w:link w:val="CommentTextChar"/>
    <w:uiPriority w:val="99"/>
    <w:rsid w:val="003C1C23"/>
    <w:rPr>
      <w:sz w:val="20"/>
      <w:szCs w:val="20"/>
    </w:rPr>
  </w:style>
  <w:style w:type="character" w:customStyle="1" w:styleId="CommentTextChar">
    <w:name w:val="Comment Text Char"/>
    <w:basedOn w:val="DefaultParagraphFont"/>
    <w:link w:val="CommentText"/>
    <w:uiPriority w:val="99"/>
    <w:locked/>
    <w:rsid w:val="003C1C23"/>
    <w:rPr>
      <w:rFonts w:ascii="Calibri" w:hAnsi="Calibri" w:cs="Times New Roman"/>
      <w:lang w:val="en-GB" w:eastAsia="en-GB" w:bidi="ar-SA"/>
    </w:rPr>
  </w:style>
  <w:style w:type="paragraph" w:styleId="CommentSubject">
    <w:name w:val="annotation subject"/>
    <w:basedOn w:val="CommentText"/>
    <w:next w:val="CommentText"/>
    <w:link w:val="CommentSubjectChar"/>
    <w:uiPriority w:val="99"/>
    <w:rsid w:val="003C1C23"/>
    <w:rPr>
      <w:b/>
      <w:bCs/>
    </w:rPr>
  </w:style>
  <w:style w:type="character" w:customStyle="1" w:styleId="CommentSubjectChar">
    <w:name w:val="Comment Subject Char"/>
    <w:basedOn w:val="CommentTextChar"/>
    <w:link w:val="CommentSubject"/>
    <w:uiPriority w:val="99"/>
    <w:locked/>
    <w:rsid w:val="003C1C23"/>
    <w:rPr>
      <w:b/>
      <w:bCs/>
      <w:sz w:val="20"/>
      <w:szCs w:val="20"/>
    </w:rPr>
  </w:style>
  <w:style w:type="paragraph" w:styleId="BalloonText">
    <w:name w:val="Balloon Text"/>
    <w:basedOn w:val="Normal"/>
    <w:link w:val="BalloonTextChar"/>
    <w:uiPriority w:val="99"/>
    <w:rsid w:val="003C1C23"/>
    <w:rPr>
      <w:rFonts w:ascii="Tahoma" w:hAnsi="Tahoma" w:cs="Tahoma"/>
      <w:sz w:val="16"/>
      <w:szCs w:val="16"/>
    </w:rPr>
  </w:style>
  <w:style w:type="character" w:customStyle="1" w:styleId="BalloonTextChar">
    <w:name w:val="Balloon Text Char"/>
    <w:basedOn w:val="DefaultParagraphFont"/>
    <w:link w:val="BalloonText"/>
    <w:uiPriority w:val="99"/>
    <w:locked/>
    <w:rsid w:val="003C1C23"/>
    <w:rPr>
      <w:rFonts w:ascii="Times New Roman" w:hAnsi="Times New Roman" w:cs="Times New Roman"/>
      <w:sz w:val="2"/>
    </w:rPr>
  </w:style>
  <w:style w:type="paragraph" w:styleId="BlockText">
    <w:name w:val="Block Text"/>
    <w:basedOn w:val="Normal"/>
    <w:uiPriority w:val="99"/>
    <w:rsid w:val="003C1C23"/>
    <w:pPr>
      <w:spacing w:after="120"/>
      <w:ind w:left="1440" w:right="1440"/>
    </w:pPr>
  </w:style>
  <w:style w:type="paragraph" w:styleId="BodyText">
    <w:name w:val="Body Text"/>
    <w:basedOn w:val="Normal"/>
    <w:link w:val="BodyTextChar"/>
    <w:uiPriority w:val="99"/>
    <w:rsid w:val="003C1C23"/>
    <w:pPr>
      <w:spacing w:after="120"/>
    </w:pPr>
  </w:style>
  <w:style w:type="character" w:customStyle="1" w:styleId="BodyTextChar">
    <w:name w:val="Body Text Char"/>
    <w:basedOn w:val="DefaultParagraphFont"/>
    <w:link w:val="BodyText"/>
    <w:uiPriority w:val="99"/>
    <w:locked/>
    <w:rsid w:val="003C1C23"/>
    <w:rPr>
      <w:rFonts w:cs="Times New Roman"/>
    </w:rPr>
  </w:style>
  <w:style w:type="character" w:styleId="FollowedHyperlink">
    <w:name w:val="FollowedHyperlink"/>
    <w:basedOn w:val="DefaultParagraphFont"/>
    <w:uiPriority w:val="99"/>
    <w:rsid w:val="003C1C23"/>
    <w:rPr>
      <w:rFonts w:cs="Times New Roman"/>
      <w:color w:val="606420"/>
      <w:u w:val="single"/>
    </w:rPr>
  </w:style>
  <w:style w:type="character" w:customStyle="1" w:styleId="CharChar2">
    <w:name w:val="Char Char2"/>
    <w:basedOn w:val="DefaultParagraphFont"/>
    <w:uiPriority w:val="99"/>
    <w:rsid w:val="003C1C23"/>
    <w:rPr>
      <w:rFonts w:ascii="Calibri" w:hAnsi="Calibri" w:cs="Times New Roman"/>
      <w:lang w:val="en-GB" w:eastAsia="en-GB" w:bidi="ar-SA"/>
    </w:rPr>
  </w:style>
  <w:style w:type="table" w:styleId="TableGrid">
    <w:name w:val="Table Grid"/>
    <w:basedOn w:val="TableNormal"/>
    <w:uiPriority w:val="99"/>
    <w:rsid w:val="00B111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707751"/>
    <w:pPr>
      <w:spacing w:line="276" w:lineRule="auto"/>
    </w:pPr>
    <w:rPr>
      <w:rFonts w:ascii="Arial" w:hAnsi="Arial" w:cs="Arial"/>
      <w:color w:val="000000"/>
      <w:lang w:val="en-GB" w:eastAsia="en-GB"/>
    </w:rPr>
  </w:style>
  <w:style w:type="numbering" w:customStyle="1" w:styleId="LFO1">
    <w:name w:val="LFO1"/>
    <w:rsid w:val="005B5E4A"/>
    <w:pPr>
      <w:numPr>
        <w:numId w:val="1"/>
      </w:numPr>
    </w:pPr>
  </w:style>
  <w:style w:type="numbering" w:customStyle="1" w:styleId="LFO2">
    <w:name w:val="LFO2"/>
    <w:rsid w:val="005B5E4A"/>
    <w:pPr>
      <w:numPr>
        <w:numId w:val="2"/>
      </w:numPr>
    </w:pPr>
  </w:style>
</w:styles>
</file>

<file path=word/webSettings.xml><?xml version="1.0" encoding="utf-8"?>
<w:webSettings xmlns:r="http://schemas.openxmlformats.org/officeDocument/2006/relationships" xmlns:w="http://schemas.openxmlformats.org/wordprocessingml/2006/main">
  <w:divs>
    <w:div w:id="218787418">
      <w:marLeft w:val="0"/>
      <w:marRight w:val="0"/>
      <w:marTop w:val="0"/>
      <w:marBottom w:val="0"/>
      <w:divBdr>
        <w:top w:val="none" w:sz="0" w:space="0" w:color="auto"/>
        <w:left w:val="none" w:sz="0" w:space="0" w:color="auto"/>
        <w:bottom w:val="none" w:sz="0" w:space="0" w:color="auto"/>
        <w:right w:val="none" w:sz="0" w:space="0" w:color="auto"/>
      </w:divBdr>
    </w:div>
    <w:div w:id="218787419">
      <w:marLeft w:val="0"/>
      <w:marRight w:val="0"/>
      <w:marTop w:val="0"/>
      <w:marBottom w:val="0"/>
      <w:divBdr>
        <w:top w:val="none" w:sz="0" w:space="0" w:color="auto"/>
        <w:left w:val="none" w:sz="0" w:space="0" w:color="auto"/>
        <w:bottom w:val="none" w:sz="0" w:space="0" w:color="auto"/>
        <w:right w:val="none" w:sz="0" w:space="0" w:color="auto"/>
      </w:divBdr>
    </w:div>
    <w:div w:id="218787420">
      <w:marLeft w:val="0"/>
      <w:marRight w:val="0"/>
      <w:marTop w:val="0"/>
      <w:marBottom w:val="0"/>
      <w:divBdr>
        <w:top w:val="none" w:sz="0" w:space="0" w:color="auto"/>
        <w:left w:val="none" w:sz="0" w:space="0" w:color="auto"/>
        <w:bottom w:val="none" w:sz="0" w:space="0" w:color="auto"/>
        <w:right w:val="none" w:sz="0" w:space="0" w:color="auto"/>
      </w:divBdr>
    </w:div>
    <w:div w:id="218787421">
      <w:marLeft w:val="0"/>
      <w:marRight w:val="0"/>
      <w:marTop w:val="0"/>
      <w:marBottom w:val="0"/>
      <w:divBdr>
        <w:top w:val="none" w:sz="0" w:space="0" w:color="auto"/>
        <w:left w:val="none" w:sz="0" w:space="0" w:color="auto"/>
        <w:bottom w:val="none" w:sz="0" w:space="0" w:color="auto"/>
        <w:right w:val="none" w:sz="0" w:space="0" w:color="auto"/>
      </w:divBdr>
    </w:div>
    <w:div w:id="218787422">
      <w:marLeft w:val="0"/>
      <w:marRight w:val="0"/>
      <w:marTop w:val="0"/>
      <w:marBottom w:val="0"/>
      <w:divBdr>
        <w:top w:val="none" w:sz="0" w:space="0" w:color="auto"/>
        <w:left w:val="none" w:sz="0" w:space="0" w:color="auto"/>
        <w:bottom w:val="none" w:sz="0" w:space="0" w:color="auto"/>
        <w:right w:val="none" w:sz="0" w:space="0" w:color="auto"/>
      </w:divBdr>
    </w:div>
    <w:div w:id="218787423">
      <w:marLeft w:val="0"/>
      <w:marRight w:val="0"/>
      <w:marTop w:val="0"/>
      <w:marBottom w:val="0"/>
      <w:divBdr>
        <w:top w:val="none" w:sz="0" w:space="0" w:color="auto"/>
        <w:left w:val="none" w:sz="0" w:space="0" w:color="auto"/>
        <w:bottom w:val="none" w:sz="0" w:space="0" w:color="auto"/>
        <w:right w:val="none" w:sz="0" w:space="0" w:color="auto"/>
      </w:divBdr>
    </w:div>
    <w:div w:id="218787424">
      <w:marLeft w:val="0"/>
      <w:marRight w:val="0"/>
      <w:marTop w:val="0"/>
      <w:marBottom w:val="0"/>
      <w:divBdr>
        <w:top w:val="none" w:sz="0" w:space="0" w:color="auto"/>
        <w:left w:val="none" w:sz="0" w:space="0" w:color="auto"/>
        <w:bottom w:val="none" w:sz="0" w:space="0" w:color="auto"/>
        <w:right w:val="none" w:sz="0" w:space="0" w:color="auto"/>
      </w:divBdr>
    </w:div>
    <w:div w:id="218787425">
      <w:marLeft w:val="0"/>
      <w:marRight w:val="0"/>
      <w:marTop w:val="0"/>
      <w:marBottom w:val="0"/>
      <w:divBdr>
        <w:top w:val="none" w:sz="0" w:space="0" w:color="auto"/>
        <w:left w:val="none" w:sz="0" w:space="0" w:color="auto"/>
        <w:bottom w:val="none" w:sz="0" w:space="0" w:color="auto"/>
        <w:right w:val="none" w:sz="0" w:space="0" w:color="auto"/>
      </w:divBdr>
    </w:div>
    <w:div w:id="218787426">
      <w:marLeft w:val="0"/>
      <w:marRight w:val="0"/>
      <w:marTop w:val="0"/>
      <w:marBottom w:val="0"/>
      <w:divBdr>
        <w:top w:val="none" w:sz="0" w:space="0" w:color="auto"/>
        <w:left w:val="none" w:sz="0" w:space="0" w:color="auto"/>
        <w:bottom w:val="none" w:sz="0" w:space="0" w:color="auto"/>
        <w:right w:val="none" w:sz="0" w:space="0" w:color="auto"/>
      </w:divBdr>
    </w:div>
    <w:div w:id="218787427">
      <w:marLeft w:val="0"/>
      <w:marRight w:val="0"/>
      <w:marTop w:val="0"/>
      <w:marBottom w:val="0"/>
      <w:divBdr>
        <w:top w:val="none" w:sz="0" w:space="0" w:color="auto"/>
        <w:left w:val="none" w:sz="0" w:space="0" w:color="auto"/>
        <w:bottom w:val="none" w:sz="0" w:space="0" w:color="auto"/>
        <w:right w:val="none" w:sz="0" w:space="0" w:color="auto"/>
      </w:divBdr>
    </w:div>
    <w:div w:id="218787428">
      <w:marLeft w:val="0"/>
      <w:marRight w:val="0"/>
      <w:marTop w:val="0"/>
      <w:marBottom w:val="0"/>
      <w:divBdr>
        <w:top w:val="none" w:sz="0" w:space="0" w:color="auto"/>
        <w:left w:val="none" w:sz="0" w:space="0" w:color="auto"/>
        <w:bottom w:val="none" w:sz="0" w:space="0" w:color="auto"/>
        <w:right w:val="none" w:sz="0" w:space="0" w:color="auto"/>
      </w:divBdr>
    </w:div>
    <w:div w:id="218787429">
      <w:marLeft w:val="0"/>
      <w:marRight w:val="0"/>
      <w:marTop w:val="0"/>
      <w:marBottom w:val="0"/>
      <w:divBdr>
        <w:top w:val="none" w:sz="0" w:space="0" w:color="auto"/>
        <w:left w:val="none" w:sz="0" w:space="0" w:color="auto"/>
        <w:bottom w:val="none" w:sz="0" w:space="0" w:color="auto"/>
        <w:right w:val="none" w:sz="0" w:space="0" w:color="auto"/>
      </w:divBdr>
    </w:div>
    <w:div w:id="218787430">
      <w:marLeft w:val="0"/>
      <w:marRight w:val="0"/>
      <w:marTop w:val="0"/>
      <w:marBottom w:val="0"/>
      <w:divBdr>
        <w:top w:val="none" w:sz="0" w:space="0" w:color="auto"/>
        <w:left w:val="none" w:sz="0" w:space="0" w:color="auto"/>
        <w:bottom w:val="none" w:sz="0" w:space="0" w:color="auto"/>
        <w:right w:val="none" w:sz="0" w:space="0" w:color="auto"/>
      </w:divBdr>
    </w:div>
    <w:div w:id="218787431">
      <w:marLeft w:val="0"/>
      <w:marRight w:val="0"/>
      <w:marTop w:val="0"/>
      <w:marBottom w:val="0"/>
      <w:divBdr>
        <w:top w:val="none" w:sz="0" w:space="0" w:color="auto"/>
        <w:left w:val="none" w:sz="0" w:space="0" w:color="auto"/>
        <w:bottom w:val="none" w:sz="0" w:space="0" w:color="auto"/>
        <w:right w:val="none" w:sz="0" w:space="0" w:color="auto"/>
      </w:divBdr>
    </w:div>
    <w:div w:id="218787432">
      <w:marLeft w:val="0"/>
      <w:marRight w:val="0"/>
      <w:marTop w:val="0"/>
      <w:marBottom w:val="0"/>
      <w:divBdr>
        <w:top w:val="none" w:sz="0" w:space="0" w:color="auto"/>
        <w:left w:val="none" w:sz="0" w:space="0" w:color="auto"/>
        <w:bottom w:val="none" w:sz="0" w:space="0" w:color="auto"/>
        <w:right w:val="none" w:sz="0" w:space="0" w:color="auto"/>
      </w:divBdr>
    </w:div>
    <w:div w:id="218787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reening-government-ict-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3700</Words>
  <Characters>21093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Greening Government: ICT Annual Report</dc:title>
  <dc:subject/>
  <dc:creator/>
  <cp:keywords/>
  <dc:description/>
  <cp:lastModifiedBy/>
  <cp:revision>2</cp:revision>
  <dcterms:created xsi:type="dcterms:W3CDTF">2013-11-26T17:32:00Z</dcterms:created>
  <dcterms:modified xsi:type="dcterms:W3CDTF">2013-11-26T17:32:00Z</dcterms:modified>
</cp:coreProperties>
</file>