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91" w:rsidRDefault="005D5F2C" w:rsidP="000E6E91">
      <w:pPr>
        <w:pStyle w:val="ListParagraph"/>
        <w:numPr>
          <w:ilvl w:val="0"/>
          <w:numId w:val="1"/>
        </w:numPr>
        <w:rPr>
          <w:b/>
        </w:rPr>
      </w:pPr>
      <w:r>
        <w:rPr>
          <w:b/>
        </w:rPr>
        <w:t>IN</w:t>
      </w:r>
      <w:bookmarkStart w:id="0" w:name="_GoBack"/>
      <w:bookmarkEnd w:id="0"/>
      <w:r>
        <w:rPr>
          <w:b/>
        </w:rPr>
        <w:t>VESTIGATIVE JOURNALISM AWARD</w:t>
      </w:r>
    </w:p>
    <w:p w:rsidR="000E6E91" w:rsidRDefault="000E6E91" w:rsidP="000E6E91"/>
    <w:p w:rsidR="000E6E91" w:rsidRDefault="000E6E91" w:rsidP="000E6E91">
      <w:r>
        <w:t xml:space="preserve">The British High Commission </w:t>
      </w:r>
      <w:proofErr w:type="spellStart"/>
      <w:r>
        <w:t>Yaounde</w:t>
      </w:r>
      <w:proofErr w:type="spellEnd"/>
      <w:r>
        <w:t xml:space="preserve"> is inviting interested Civil Society Organisations /Non Profit Organisations to tender for the management of its second edition of </w:t>
      </w:r>
      <w:r>
        <w:rPr>
          <w:b/>
        </w:rPr>
        <w:t>The Investigative Journalism Award 2014</w:t>
      </w:r>
      <w:r>
        <w:t xml:space="preserve"> under its Bilateral Programme Fund. </w:t>
      </w:r>
    </w:p>
    <w:p w:rsidR="000E6E91" w:rsidRDefault="000E6E91" w:rsidP="000E6E91">
      <w:pPr>
        <w:pStyle w:val="ListParagraph"/>
        <w:ind w:left="1080"/>
      </w:pPr>
    </w:p>
    <w:p w:rsidR="000E6E91" w:rsidRDefault="000E6E91" w:rsidP="000E6E91">
      <w:pPr>
        <w:rPr>
          <w:b/>
          <w:bCs/>
        </w:rPr>
      </w:pPr>
      <w:r>
        <w:rPr>
          <w:b/>
          <w:bCs/>
        </w:rPr>
        <w:t>Background</w:t>
      </w:r>
    </w:p>
    <w:p w:rsidR="000E6E91" w:rsidRDefault="000E6E91" w:rsidP="000E6E91">
      <w:r>
        <w:t>The British High Commission has designed a project called Investigative Journalism Award. The project will run a competition open to journalists working in Cameroon. It will give awards to top three journalists who produce the best investigative journalism pieces. The first edition was completed in 2013.</w:t>
      </w:r>
    </w:p>
    <w:p w:rsidR="000E6E91" w:rsidRDefault="000E6E91" w:rsidP="000E6E91"/>
    <w:p w:rsidR="000E6E91" w:rsidRDefault="000E6E91" w:rsidP="000E6E91">
      <w:r>
        <w:t>The BHC is a strong proponent of freedom of expression in Cameroon. Over the years, we have supported Cameroon media through specialised training locally, academic scholarships, technical support, research, advocacy and lobbying for the effective operation of a free press. This is work in progress. In 2011, a Thomson Foundation report commissioned by the BHC identified the strengths and weaknesses of the media in Cameroon and drew up recommendations in consultation with media professionals in this country on the way forward. This Investigative Journalism Award is part of our wider programme to support a responsible, free, strong and vibrant media that contributes to the promotion of human rights and good governance and the enactment of an access to information law to strengthen the foundations of freedom of expression in Cameroon.</w:t>
      </w:r>
    </w:p>
    <w:p w:rsidR="000E6E91" w:rsidRDefault="000E6E91" w:rsidP="000E6E91">
      <w:pPr>
        <w:rPr>
          <w:sz w:val="24"/>
          <w:szCs w:val="24"/>
        </w:rPr>
      </w:pPr>
    </w:p>
    <w:p w:rsidR="000E6E91" w:rsidRDefault="000E6E91" w:rsidP="000E6E91"/>
    <w:p w:rsidR="000E6E91" w:rsidRDefault="000E6E91" w:rsidP="000E6E91">
      <w:pPr>
        <w:rPr>
          <w:b/>
        </w:rPr>
      </w:pPr>
      <w:r>
        <w:t xml:space="preserve"> </w:t>
      </w:r>
      <w:r>
        <w:rPr>
          <w:b/>
        </w:rPr>
        <w:t xml:space="preserve">Eligibility Criteria </w:t>
      </w:r>
    </w:p>
    <w:p w:rsidR="000E6E91" w:rsidRDefault="000E6E91" w:rsidP="000E6E91">
      <w:r>
        <w:t>Bids should address the eligibility criteria below. Implementers could be a registered and active journalism or media association within Cameroon and of good reputation, or a civil society/</w:t>
      </w:r>
      <w:proofErr w:type="spellStart"/>
      <w:r>
        <w:t>non profit</w:t>
      </w:r>
      <w:proofErr w:type="spellEnd"/>
      <w:r>
        <w:t xml:space="preserve"> organization with interest in the media.</w:t>
      </w:r>
    </w:p>
    <w:p w:rsidR="000E6E91" w:rsidRDefault="000E6E91" w:rsidP="000E6E91"/>
    <w:p w:rsidR="000E6E91" w:rsidRPr="00A56B53" w:rsidRDefault="000E6E91" w:rsidP="000E6E91">
      <w:pPr>
        <w:rPr>
          <w:b/>
        </w:rPr>
      </w:pPr>
      <w:r w:rsidRPr="00A56B53">
        <w:rPr>
          <w:b/>
        </w:rPr>
        <w:t>Selection Criteria</w:t>
      </w:r>
    </w:p>
    <w:p w:rsidR="000E6E91" w:rsidRDefault="000E6E91" w:rsidP="000E6E91"/>
    <w:tbl>
      <w:tblPr>
        <w:tblStyle w:val="TableGrid"/>
        <w:tblW w:w="0" w:type="auto"/>
        <w:tblLook w:val="04A0" w:firstRow="1" w:lastRow="0" w:firstColumn="1" w:lastColumn="0" w:noHBand="0" w:noVBand="1"/>
      </w:tblPr>
      <w:tblGrid>
        <w:gridCol w:w="959"/>
        <w:gridCol w:w="4961"/>
        <w:gridCol w:w="1701"/>
      </w:tblGrid>
      <w:tr w:rsidR="000E6E91" w:rsidTr="00382F35">
        <w:tc>
          <w:tcPr>
            <w:tcW w:w="959" w:type="dxa"/>
          </w:tcPr>
          <w:p w:rsidR="000E6E91" w:rsidRPr="00A56B53" w:rsidRDefault="000E6E91" w:rsidP="00382F35">
            <w:pPr>
              <w:rPr>
                <w:b/>
              </w:rPr>
            </w:pPr>
            <w:r w:rsidRPr="00A56B53">
              <w:rPr>
                <w:b/>
              </w:rPr>
              <w:t>No</w:t>
            </w:r>
          </w:p>
        </w:tc>
        <w:tc>
          <w:tcPr>
            <w:tcW w:w="4961" w:type="dxa"/>
          </w:tcPr>
          <w:p w:rsidR="000E6E91" w:rsidRPr="00A56B53" w:rsidRDefault="000E6E91" w:rsidP="00382F35">
            <w:pPr>
              <w:rPr>
                <w:b/>
              </w:rPr>
            </w:pPr>
            <w:r w:rsidRPr="00A56B53">
              <w:rPr>
                <w:b/>
              </w:rPr>
              <w:t>Criteria</w:t>
            </w:r>
          </w:p>
        </w:tc>
        <w:tc>
          <w:tcPr>
            <w:tcW w:w="1701" w:type="dxa"/>
          </w:tcPr>
          <w:p w:rsidR="000E6E91" w:rsidRPr="00A56B53" w:rsidRDefault="000E6E91" w:rsidP="00382F35">
            <w:pPr>
              <w:rPr>
                <w:b/>
              </w:rPr>
            </w:pPr>
            <w:r w:rsidRPr="00A56B53">
              <w:rPr>
                <w:b/>
              </w:rPr>
              <w:t>Points</w:t>
            </w:r>
          </w:p>
        </w:tc>
      </w:tr>
      <w:tr w:rsidR="000E6E91" w:rsidTr="00382F35">
        <w:tc>
          <w:tcPr>
            <w:tcW w:w="959" w:type="dxa"/>
          </w:tcPr>
          <w:p w:rsidR="000E6E91" w:rsidRDefault="000E6E91" w:rsidP="00382F35">
            <w:r>
              <w:t>1</w:t>
            </w:r>
          </w:p>
        </w:tc>
        <w:tc>
          <w:tcPr>
            <w:tcW w:w="4961" w:type="dxa"/>
          </w:tcPr>
          <w:p w:rsidR="000E6E91" w:rsidRDefault="000E6E91" w:rsidP="00382F35">
            <w:r>
              <w:t xml:space="preserve">A registered journal/ media association/civil society organization or NGO in good standing </w:t>
            </w:r>
            <w:r w:rsidRPr="00A56B53">
              <w:rPr>
                <w:i/>
                <w:sz w:val="20"/>
                <w:szCs w:val="20"/>
              </w:rPr>
              <w:t>(Legally recognized, operating a bank account in the name of the organisation, sound financial management).</w:t>
            </w:r>
            <w:r>
              <w:t xml:space="preserve"> </w:t>
            </w:r>
          </w:p>
        </w:tc>
        <w:tc>
          <w:tcPr>
            <w:tcW w:w="1701" w:type="dxa"/>
          </w:tcPr>
          <w:p w:rsidR="000E6E91" w:rsidRDefault="000E6E91" w:rsidP="00382F35">
            <w:r>
              <w:t>5</w:t>
            </w:r>
          </w:p>
        </w:tc>
      </w:tr>
      <w:tr w:rsidR="000E6E91" w:rsidTr="00382F35">
        <w:tc>
          <w:tcPr>
            <w:tcW w:w="959" w:type="dxa"/>
          </w:tcPr>
          <w:p w:rsidR="000E6E91" w:rsidRDefault="000E6E91" w:rsidP="00382F35">
            <w:r>
              <w:t>2</w:t>
            </w:r>
          </w:p>
        </w:tc>
        <w:tc>
          <w:tcPr>
            <w:tcW w:w="4961" w:type="dxa"/>
          </w:tcPr>
          <w:p w:rsidR="000E6E91" w:rsidRDefault="000E6E91" w:rsidP="00382F35">
            <w:r>
              <w:t>Demonstrated experience in managing similar projects</w:t>
            </w:r>
          </w:p>
        </w:tc>
        <w:tc>
          <w:tcPr>
            <w:tcW w:w="1701" w:type="dxa"/>
          </w:tcPr>
          <w:p w:rsidR="000E6E91" w:rsidRDefault="000E6E91" w:rsidP="00382F35">
            <w:r>
              <w:t>5</w:t>
            </w:r>
          </w:p>
        </w:tc>
      </w:tr>
      <w:tr w:rsidR="000E6E91" w:rsidTr="00382F35">
        <w:tc>
          <w:tcPr>
            <w:tcW w:w="959" w:type="dxa"/>
          </w:tcPr>
          <w:p w:rsidR="000E6E91" w:rsidRDefault="000E6E91" w:rsidP="00382F35">
            <w:r>
              <w:t>3</w:t>
            </w:r>
          </w:p>
        </w:tc>
        <w:tc>
          <w:tcPr>
            <w:tcW w:w="4961" w:type="dxa"/>
          </w:tcPr>
          <w:p w:rsidR="000E6E91" w:rsidRDefault="000E6E91" w:rsidP="00382F35">
            <w:r>
              <w:t xml:space="preserve">Implementer capacity to deliver the project </w:t>
            </w:r>
            <w:r w:rsidRPr="00742875">
              <w:rPr>
                <w:i/>
                <w:sz w:val="20"/>
                <w:szCs w:val="20"/>
              </w:rPr>
              <w:t>(Personnel, systems and procedure)</w:t>
            </w:r>
          </w:p>
        </w:tc>
        <w:tc>
          <w:tcPr>
            <w:tcW w:w="1701" w:type="dxa"/>
          </w:tcPr>
          <w:p w:rsidR="000E6E91" w:rsidRDefault="000E6E91" w:rsidP="00382F35">
            <w:r>
              <w:t>5</w:t>
            </w:r>
          </w:p>
        </w:tc>
      </w:tr>
      <w:tr w:rsidR="000E6E91" w:rsidTr="00382F35">
        <w:tc>
          <w:tcPr>
            <w:tcW w:w="959" w:type="dxa"/>
          </w:tcPr>
          <w:p w:rsidR="000E6E91" w:rsidRDefault="000E6E91" w:rsidP="00382F35">
            <w:r>
              <w:t>4</w:t>
            </w:r>
          </w:p>
        </w:tc>
        <w:tc>
          <w:tcPr>
            <w:tcW w:w="4961" w:type="dxa"/>
          </w:tcPr>
          <w:p w:rsidR="000E6E91" w:rsidRDefault="000E6E91" w:rsidP="00382F35">
            <w:r>
              <w:t>Two references</w:t>
            </w:r>
          </w:p>
        </w:tc>
        <w:tc>
          <w:tcPr>
            <w:tcW w:w="1701" w:type="dxa"/>
          </w:tcPr>
          <w:p w:rsidR="000E6E91" w:rsidRDefault="000E6E91" w:rsidP="00382F35">
            <w:r>
              <w:t>5</w:t>
            </w:r>
          </w:p>
        </w:tc>
      </w:tr>
    </w:tbl>
    <w:p w:rsidR="000E6E91" w:rsidRDefault="000E6E91" w:rsidP="000E6E91"/>
    <w:p w:rsidR="000E6E91" w:rsidRDefault="000E6E91" w:rsidP="000E6E91"/>
    <w:p w:rsidR="000E6E91" w:rsidRDefault="000E6E91" w:rsidP="000E6E91">
      <w:r>
        <w:t xml:space="preserve">The offer should be submitted in a sealed envelope addressed to </w:t>
      </w:r>
      <w:r>
        <w:rPr>
          <w:b/>
        </w:rPr>
        <w:t xml:space="preserve">The Projects Manager, British High Commission, BP 547 </w:t>
      </w:r>
      <w:proofErr w:type="spellStart"/>
      <w:r>
        <w:rPr>
          <w:b/>
        </w:rPr>
        <w:t>Yaounde</w:t>
      </w:r>
      <w:proofErr w:type="spellEnd"/>
      <w:r w:rsidR="005D5F2C">
        <w:rPr>
          <w:b/>
        </w:rPr>
        <w:t xml:space="preserve"> and marked REF BPB IJA,</w:t>
      </w:r>
      <w:r>
        <w:t xml:space="preserve"> no later than 5 March 2014. The start date of the contract will be 15 March 2014.</w:t>
      </w:r>
    </w:p>
    <w:p w:rsidR="000E6E91" w:rsidRDefault="000E6E91" w:rsidP="000E6E91"/>
    <w:p w:rsidR="000E6E91" w:rsidRDefault="000E6E91" w:rsidP="000E6E91">
      <w:r>
        <w:t>The successful bidder will be notified.</w:t>
      </w:r>
    </w:p>
    <w:p w:rsidR="000E6E91" w:rsidRDefault="000E6E91" w:rsidP="000E6E91">
      <w:pPr>
        <w:rPr>
          <w:rFonts w:eastAsiaTheme="minorEastAsia"/>
          <w:noProof/>
          <w:lang w:eastAsia="en-GB"/>
        </w:rPr>
      </w:pPr>
    </w:p>
    <w:p w:rsidR="000E6E91" w:rsidRPr="00A56B53" w:rsidRDefault="000E6E91" w:rsidP="000E6E91">
      <w:pPr>
        <w:rPr>
          <w:rFonts w:eastAsiaTheme="minorEastAsia"/>
          <w:noProof/>
          <w:lang w:eastAsia="en-GB"/>
        </w:rPr>
      </w:pPr>
      <w:r>
        <w:rPr>
          <w:rFonts w:eastAsiaTheme="minorEastAsia"/>
          <w:noProof/>
          <w:lang w:eastAsia="en-GB"/>
        </w:rPr>
        <w:t xml:space="preserve">For more information, contact the British High Commission on </w:t>
      </w:r>
      <w:hyperlink r:id="rId6" w:history="1">
        <w:r>
          <w:rPr>
            <w:rStyle w:val="Hyperlink"/>
            <w:rFonts w:eastAsiaTheme="minorEastAsia"/>
            <w:noProof/>
            <w:lang w:eastAsia="en-GB"/>
          </w:rPr>
          <w:t>bhc.yaounde@fco.gov.uk</w:t>
        </w:r>
      </w:hyperlink>
      <w:r>
        <w:rPr>
          <w:rFonts w:eastAsiaTheme="minorEastAsia"/>
          <w:noProof/>
          <w:lang w:eastAsia="en-GB"/>
        </w:rPr>
        <w:t xml:space="preserve">  OR call +237 2220545/22220796</w:t>
      </w:r>
    </w:p>
    <w:p w:rsidR="00A00372" w:rsidRPr="009B3C36" w:rsidRDefault="00A00372" w:rsidP="009B3C36"/>
    <w:sectPr w:rsidR="00A00372" w:rsidRPr="009B3C36" w:rsidSect="00E0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646"/>
    <w:multiLevelType w:val="hybridMultilevel"/>
    <w:tmpl w:val="BE48556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54"/>
    <w:rsid w:val="000E6E91"/>
    <w:rsid w:val="00125C13"/>
    <w:rsid w:val="00297793"/>
    <w:rsid w:val="003B4C9F"/>
    <w:rsid w:val="003E1015"/>
    <w:rsid w:val="00403195"/>
    <w:rsid w:val="005472D2"/>
    <w:rsid w:val="005D5F2C"/>
    <w:rsid w:val="005F7A07"/>
    <w:rsid w:val="00742875"/>
    <w:rsid w:val="007C4FED"/>
    <w:rsid w:val="0090714F"/>
    <w:rsid w:val="009470D4"/>
    <w:rsid w:val="00953DCD"/>
    <w:rsid w:val="009B3C36"/>
    <w:rsid w:val="009E005E"/>
    <w:rsid w:val="00A00372"/>
    <w:rsid w:val="00A548F5"/>
    <w:rsid w:val="00A56B53"/>
    <w:rsid w:val="00B21C68"/>
    <w:rsid w:val="00D8716A"/>
    <w:rsid w:val="00D9728D"/>
    <w:rsid w:val="00E01547"/>
    <w:rsid w:val="00E07CEF"/>
    <w:rsid w:val="00F16854"/>
    <w:rsid w:val="00F505B9"/>
    <w:rsid w:val="00F5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854"/>
    <w:rPr>
      <w:color w:val="0000FF" w:themeColor="hyperlink"/>
      <w:u w:val="single"/>
    </w:rPr>
  </w:style>
  <w:style w:type="paragraph" w:styleId="ListParagraph">
    <w:name w:val="List Paragraph"/>
    <w:basedOn w:val="Normal"/>
    <w:uiPriority w:val="34"/>
    <w:qFormat/>
    <w:rsid w:val="00F16854"/>
    <w:pPr>
      <w:ind w:left="720"/>
    </w:pPr>
  </w:style>
  <w:style w:type="table" w:styleId="TableGrid">
    <w:name w:val="Table Grid"/>
    <w:basedOn w:val="TableNormal"/>
    <w:uiPriority w:val="59"/>
    <w:rsid w:val="00A56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854"/>
    <w:rPr>
      <w:color w:val="0000FF" w:themeColor="hyperlink"/>
      <w:u w:val="single"/>
    </w:rPr>
  </w:style>
  <w:style w:type="paragraph" w:styleId="ListParagraph">
    <w:name w:val="List Paragraph"/>
    <w:basedOn w:val="Normal"/>
    <w:uiPriority w:val="34"/>
    <w:qFormat/>
    <w:rsid w:val="00F16854"/>
    <w:pPr>
      <w:ind w:left="720"/>
    </w:pPr>
  </w:style>
  <w:style w:type="table" w:styleId="TableGrid">
    <w:name w:val="Table Grid"/>
    <w:basedOn w:val="TableNormal"/>
    <w:uiPriority w:val="59"/>
    <w:rsid w:val="00A56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c.yaounde@fco.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mdjob</dc:creator>
  <cp:lastModifiedBy>PolCom</cp:lastModifiedBy>
  <cp:revision>7</cp:revision>
  <dcterms:created xsi:type="dcterms:W3CDTF">2014-02-05T11:25:00Z</dcterms:created>
  <dcterms:modified xsi:type="dcterms:W3CDTF">2014-02-06T16:23:00Z</dcterms:modified>
</cp:coreProperties>
</file>