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B0F" w:rsidRDefault="00DA4B0F">
      <w:pPr>
        <w:pStyle w:val="Heading4"/>
        <w:spacing w:line="360" w:lineRule="auto"/>
        <w:jc w:val="center"/>
        <w:rPr>
          <w:rFonts w:ascii="Humnst777 Lt BT" w:hAnsi="Humnst777 Lt BT"/>
        </w:rPr>
      </w:pPr>
      <w:bookmarkStart w:id="0" w:name="OLE_LINK1"/>
      <w:bookmarkStart w:id="1" w:name="OLE_LINK2"/>
      <w:r>
        <w:rPr>
          <w:rFonts w:ascii="Humnst777 Lt BT" w:hAnsi="Humnst777 Lt BT"/>
        </w:rPr>
        <w:t>PES (201</w:t>
      </w:r>
      <w:r w:rsidR="001B3AC3">
        <w:rPr>
          <w:rFonts w:ascii="Humnst777 Lt BT" w:hAnsi="Humnst777 Lt BT"/>
        </w:rPr>
        <w:t>3</w:t>
      </w:r>
      <w:r>
        <w:rPr>
          <w:rFonts w:ascii="Humnst777 Lt BT" w:hAnsi="Humnst777 Lt BT"/>
        </w:rPr>
        <w:t xml:space="preserve">) ANNEX A </w:t>
      </w:r>
    </w:p>
    <w:p w:rsidR="00DA4B0F" w:rsidRDefault="00DA4B0F">
      <w:pPr>
        <w:pStyle w:val="Heading4"/>
        <w:spacing w:line="360" w:lineRule="auto"/>
        <w:jc w:val="center"/>
        <w:rPr>
          <w:rFonts w:ascii="Humnst777 Lt BT" w:hAnsi="Humnst777 Lt BT"/>
        </w:rPr>
      </w:pPr>
      <w:r>
        <w:rPr>
          <w:rFonts w:ascii="Humnst777 Lt BT" w:hAnsi="Humnst777 Lt BT"/>
        </w:rPr>
        <w:t>WHY CRA DATA MATTER &amp; CRA BEST PRACTICE</w:t>
      </w:r>
    </w:p>
    <w:p w:rsidR="00DA4B0F" w:rsidRDefault="00DA4B0F">
      <w:pPr>
        <w:pStyle w:val="Heading4"/>
        <w:rPr>
          <w:rFonts w:ascii="Humnst777 Lt BT" w:hAnsi="Humnst777 Lt BT"/>
          <w:b w:val="0"/>
          <w:bCs w:val="0"/>
        </w:rPr>
      </w:pPr>
    </w:p>
    <w:p w:rsidR="00DA4B0F" w:rsidRDefault="00DA4B0F" w:rsidP="007857E0">
      <w:pPr>
        <w:spacing w:line="360" w:lineRule="auto"/>
        <w:rPr>
          <w:rFonts w:ascii="Humnst777 Lt BT" w:hAnsi="Humnst777 Lt BT"/>
          <w:sz w:val="22"/>
        </w:rPr>
      </w:pPr>
    </w:p>
    <w:p w:rsidR="00DA4B0F" w:rsidRDefault="00AB686F" w:rsidP="007857E0">
      <w:pPr>
        <w:pStyle w:val="TOC1"/>
        <w:rPr>
          <w:rFonts w:ascii="Humnst777 Lt BT" w:hAnsi="Humnst777 Lt BT"/>
          <w:b w:val="0"/>
          <w:sz w:val="22"/>
        </w:rPr>
      </w:pPr>
      <w:r>
        <w:rPr>
          <w:rFonts w:ascii="Humnst777 Lt BT" w:hAnsi="Humnst777 Lt BT"/>
          <w:sz w:val="22"/>
        </w:rPr>
        <w:fldChar w:fldCharType="begin"/>
      </w:r>
      <w:r w:rsidR="00DA4B0F">
        <w:rPr>
          <w:rFonts w:ascii="Humnst777 Lt BT" w:hAnsi="Humnst777 Lt BT"/>
          <w:sz w:val="22"/>
        </w:rPr>
        <w:instrText xml:space="preserve"> TOC \o "1-2" \n \h \z </w:instrText>
      </w:r>
      <w:r>
        <w:rPr>
          <w:rFonts w:ascii="Humnst777 Lt BT" w:hAnsi="Humnst777 Lt BT"/>
          <w:sz w:val="22"/>
        </w:rPr>
        <w:fldChar w:fldCharType="separate"/>
      </w:r>
      <w:hyperlink w:anchor="_Toc244678212" w:history="1">
        <w:r w:rsidR="00DA4B0F">
          <w:rPr>
            <w:rStyle w:val="Hyperlink"/>
            <w:rFonts w:ascii="Humnst777 Lt BT" w:hAnsi="Humnst777 Lt BT"/>
            <w:sz w:val="22"/>
            <w:szCs w:val="20"/>
          </w:rPr>
          <w:t>1. Why CRA data matters</w:t>
        </w:r>
      </w:hyperlink>
    </w:p>
    <w:p w:rsidR="00DA4B0F" w:rsidRDefault="00AB686F" w:rsidP="007857E0">
      <w:pPr>
        <w:pStyle w:val="TOC2"/>
        <w:rPr>
          <w:rFonts w:ascii="Humnst777 Lt BT" w:hAnsi="Humnst777 Lt BT"/>
          <w:sz w:val="22"/>
        </w:rPr>
      </w:pPr>
      <w:hyperlink w:anchor="_Toc244678213" w:history="1">
        <w:r w:rsidR="00DA4B0F">
          <w:rPr>
            <w:rStyle w:val="Hyperlink"/>
            <w:rFonts w:ascii="Humnst777 Lt BT" w:hAnsi="Humnst777 Lt BT"/>
            <w:sz w:val="22"/>
          </w:rPr>
          <w:t>1.1 Our use of your data</w:t>
        </w:r>
      </w:hyperlink>
    </w:p>
    <w:p w:rsidR="00DA4B0F" w:rsidRDefault="00AB686F" w:rsidP="007857E0">
      <w:pPr>
        <w:pStyle w:val="TOC2"/>
        <w:rPr>
          <w:rFonts w:ascii="Humnst777 Lt BT" w:hAnsi="Humnst777 Lt BT"/>
          <w:sz w:val="22"/>
        </w:rPr>
      </w:pPr>
      <w:hyperlink w:anchor="_Toc244678214" w:history="1">
        <w:r w:rsidR="00DA4B0F">
          <w:rPr>
            <w:rStyle w:val="Hyperlink"/>
            <w:rFonts w:ascii="Humnst777 Lt BT" w:hAnsi="Humnst777 Lt BT"/>
            <w:sz w:val="22"/>
          </w:rPr>
          <w:t>1.2 Your use of the data</w:t>
        </w:r>
      </w:hyperlink>
    </w:p>
    <w:p w:rsidR="00DA4B0F" w:rsidRDefault="00AB686F" w:rsidP="007857E0">
      <w:pPr>
        <w:pStyle w:val="TOC1"/>
        <w:rPr>
          <w:rFonts w:ascii="Humnst777 Lt BT" w:hAnsi="Humnst777 Lt BT"/>
          <w:b w:val="0"/>
          <w:sz w:val="22"/>
        </w:rPr>
      </w:pPr>
      <w:hyperlink w:anchor="_Toc244678215" w:history="1">
        <w:r w:rsidR="00DA4B0F">
          <w:rPr>
            <w:rStyle w:val="Hyperlink"/>
            <w:rFonts w:ascii="Humnst777 Lt BT" w:hAnsi="Humnst777 Lt BT"/>
            <w:sz w:val="22"/>
            <w:szCs w:val="20"/>
          </w:rPr>
          <w:t>2. Best practice for the CRA data collection</w:t>
        </w:r>
      </w:hyperlink>
    </w:p>
    <w:p w:rsidR="00DA4B0F" w:rsidRDefault="00AB686F" w:rsidP="007857E0">
      <w:pPr>
        <w:pStyle w:val="TOC2"/>
        <w:rPr>
          <w:rFonts w:ascii="Humnst777 Lt BT" w:hAnsi="Humnst777 Lt BT"/>
          <w:sz w:val="22"/>
        </w:rPr>
      </w:pPr>
      <w:hyperlink w:anchor="_Toc244678216" w:history="1">
        <w:r w:rsidR="00DA4B0F">
          <w:rPr>
            <w:rStyle w:val="Hyperlink"/>
            <w:rFonts w:ascii="Humnst777 Lt BT" w:hAnsi="Humnst777 Lt BT"/>
            <w:sz w:val="22"/>
          </w:rPr>
          <w:t>2.1 Compiling the CRA return</w:t>
        </w:r>
      </w:hyperlink>
    </w:p>
    <w:p w:rsidR="00DA4B0F" w:rsidRDefault="00AB686F" w:rsidP="007857E0">
      <w:pPr>
        <w:pStyle w:val="TOC2"/>
        <w:rPr>
          <w:rFonts w:ascii="Humnst777 Lt BT" w:hAnsi="Humnst777 Lt BT"/>
          <w:sz w:val="22"/>
        </w:rPr>
      </w:pPr>
      <w:hyperlink w:anchor="_Toc244678217" w:history="1">
        <w:r w:rsidR="00DA4B0F">
          <w:rPr>
            <w:rStyle w:val="Hyperlink"/>
            <w:rFonts w:ascii="Humnst777 Lt BT" w:hAnsi="Humnst777 Lt BT"/>
            <w:sz w:val="22"/>
          </w:rPr>
          <w:t>2.2 Use information from non-finance sources</w:t>
        </w:r>
      </w:hyperlink>
    </w:p>
    <w:p w:rsidR="00DA4B0F" w:rsidRDefault="00AB686F" w:rsidP="007857E0">
      <w:pPr>
        <w:pStyle w:val="TOC2"/>
        <w:rPr>
          <w:rFonts w:ascii="Humnst777 Lt BT" w:hAnsi="Humnst777 Lt BT"/>
          <w:sz w:val="22"/>
        </w:rPr>
      </w:pPr>
      <w:hyperlink w:anchor="_Toc244678218" w:history="1">
        <w:r w:rsidR="00DA4B0F">
          <w:rPr>
            <w:rStyle w:val="Hyperlink"/>
            <w:rFonts w:ascii="Humnst777 Lt BT" w:hAnsi="Humnst777 Lt BT"/>
            <w:sz w:val="22"/>
          </w:rPr>
          <w:t>2.3 Improving data sources</w:t>
        </w:r>
      </w:hyperlink>
    </w:p>
    <w:p w:rsidR="00DA4B0F" w:rsidRDefault="00AB686F" w:rsidP="007857E0">
      <w:pPr>
        <w:pStyle w:val="TOC1"/>
        <w:rPr>
          <w:rFonts w:ascii="Humnst777 Lt BT" w:hAnsi="Humnst777 Lt BT"/>
          <w:b w:val="0"/>
          <w:sz w:val="22"/>
        </w:rPr>
      </w:pPr>
      <w:hyperlink w:anchor="_Toc244678219" w:history="1">
        <w:r w:rsidR="00DA4B0F">
          <w:rPr>
            <w:rStyle w:val="Hyperlink"/>
            <w:rFonts w:ascii="Humnst777 Lt BT" w:hAnsi="Humnst777 Lt BT"/>
            <w:sz w:val="22"/>
            <w:szCs w:val="20"/>
          </w:rPr>
          <w:t xml:space="preserve">3. CRA data </w:t>
        </w:r>
        <w:r w:rsidR="001B3AC3">
          <w:rPr>
            <w:rStyle w:val="Hyperlink"/>
            <w:rFonts w:ascii="Humnst777 Lt BT" w:hAnsi="Humnst777 Lt BT"/>
            <w:sz w:val="22"/>
            <w:szCs w:val="20"/>
          </w:rPr>
          <w:t>are</w:t>
        </w:r>
        <w:r w:rsidR="00DA4B0F">
          <w:rPr>
            <w:rStyle w:val="Hyperlink"/>
            <w:rFonts w:ascii="Humnst777 Lt BT" w:hAnsi="Humnst777 Lt BT"/>
            <w:sz w:val="22"/>
            <w:szCs w:val="20"/>
          </w:rPr>
          <w:t xml:space="preserve"> National Statistics</w:t>
        </w:r>
      </w:hyperlink>
    </w:p>
    <w:p w:rsidR="007857E0" w:rsidRDefault="00AB686F" w:rsidP="007857E0">
      <w:pPr>
        <w:pStyle w:val="TOC1"/>
        <w:rPr>
          <w:rFonts w:ascii="Humnst777 Lt BT" w:hAnsi="Humnst777 Lt BT"/>
          <w:sz w:val="22"/>
        </w:rPr>
      </w:pPr>
      <w:r>
        <w:rPr>
          <w:rFonts w:ascii="Humnst777 Lt BT" w:hAnsi="Humnst777 Lt BT"/>
          <w:sz w:val="22"/>
        </w:rPr>
        <w:fldChar w:fldCharType="end"/>
      </w:r>
      <w:bookmarkStart w:id="2" w:name="_Toc244678212"/>
    </w:p>
    <w:p w:rsidR="00DA4B0F" w:rsidRDefault="00DA4B0F" w:rsidP="007857E0">
      <w:pPr>
        <w:pStyle w:val="TOC1"/>
        <w:rPr>
          <w:rFonts w:ascii="Humnst777 Lt BT" w:hAnsi="Humnst777 Lt BT"/>
          <w:sz w:val="22"/>
        </w:rPr>
      </w:pPr>
      <w:r>
        <w:rPr>
          <w:rFonts w:ascii="Humnst777 Lt BT" w:hAnsi="Humnst777 Lt BT"/>
          <w:sz w:val="22"/>
        </w:rPr>
        <w:t>1. Why CRA data matters</w:t>
      </w:r>
      <w:bookmarkEnd w:id="2"/>
      <w:r>
        <w:rPr>
          <w:rFonts w:ascii="Humnst777 Lt BT" w:hAnsi="Humnst777 Lt BT"/>
          <w:sz w:val="22"/>
        </w:rPr>
        <w:t xml:space="preserve"> </w:t>
      </w:r>
    </w:p>
    <w:p w:rsidR="00DA4B0F" w:rsidRDefault="00DA4B0F" w:rsidP="007857E0">
      <w:pPr>
        <w:pStyle w:val="Heading2"/>
        <w:spacing w:before="100" w:beforeAutospacing="1" w:after="240" w:line="360" w:lineRule="auto"/>
        <w:rPr>
          <w:rFonts w:ascii="Humnst777 Lt BT" w:hAnsi="Humnst777 Lt BT"/>
          <w:i w:val="0"/>
          <w:iCs w:val="0"/>
          <w:sz w:val="22"/>
        </w:rPr>
      </w:pPr>
      <w:bookmarkStart w:id="3" w:name="_Toc244678213"/>
      <w:r>
        <w:rPr>
          <w:rFonts w:ascii="Humnst777 Lt BT" w:hAnsi="Humnst777 Lt BT"/>
          <w:i w:val="0"/>
          <w:iCs w:val="0"/>
          <w:sz w:val="22"/>
        </w:rPr>
        <w:t>1.1 Our use of your data</w:t>
      </w:r>
      <w:bookmarkEnd w:id="3"/>
    </w:p>
    <w:p w:rsidR="0054080D" w:rsidRDefault="00DA4B0F" w:rsidP="007857E0">
      <w:pPr>
        <w:spacing w:before="100" w:beforeAutospacing="1" w:after="240" w:line="360" w:lineRule="auto"/>
        <w:rPr>
          <w:rFonts w:ascii="Humnst777 Lt BT" w:hAnsi="Humnst777 Lt BT"/>
          <w:sz w:val="22"/>
        </w:rPr>
      </w:pPr>
      <w:r>
        <w:rPr>
          <w:rFonts w:ascii="Humnst777 Lt BT" w:hAnsi="Humnst777 Lt BT"/>
          <w:sz w:val="22"/>
        </w:rPr>
        <w:t>1.</w:t>
      </w:r>
      <w:r w:rsidR="0054080D">
        <w:rPr>
          <w:rFonts w:ascii="Humnst777 Lt BT" w:hAnsi="Humnst777 Lt BT" w:cs="Arial"/>
          <w:sz w:val="22"/>
        </w:rPr>
        <w:t xml:space="preserve">   </w:t>
      </w:r>
      <w:r>
        <w:rPr>
          <w:rFonts w:ascii="Humnst777 Lt BT" w:hAnsi="Humnst777 Lt BT"/>
          <w:sz w:val="22"/>
        </w:rPr>
        <w:t xml:space="preserve">Treasury prepares statistical reports to inform Parliament and the public on public spending. </w:t>
      </w:r>
      <w:r w:rsidR="00355EEA">
        <w:rPr>
          <w:rFonts w:ascii="Humnst777 Lt BT" w:hAnsi="Humnst777 Lt BT"/>
          <w:sz w:val="22"/>
        </w:rPr>
        <w:t xml:space="preserve"> </w:t>
      </w:r>
      <w:r w:rsidR="009F14D0">
        <w:rPr>
          <w:rFonts w:ascii="Humnst777 Lt BT" w:hAnsi="Humnst777 Lt BT"/>
          <w:sz w:val="22"/>
        </w:rPr>
        <w:t>This data is published four times a year</w:t>
      </w:r>
      <w:r w:rsidR="00355EEA">
        <w:rPr>
          <w:rFonts w:ascii="Humnst777 Lt BT" w:hAnsi="Humnst777 Lt BT"/>
          <w:sz w:val="22"/>
        </w:rPr>
        <w:t xml:space="preserve"> </w:t>
      </w:r>
      <w:r w:rsidR="0061405E">
        <w:rPr>
          <w:rFonts w:ascii="Humnst777 Lt BT" w:hAnsi="Humnst777 Lt BT"/>
          <w:sz w:val="22"/>
        </w:rPr>
        <w:t xml:space="preserve">(approximately in February, April, July and October) </w:t>
      </w:r>
      <w:r w:rsidR="00355EEA">
        <w:rPr>
          <w:rFonts w:ascii="Humnst777 Lt BT" w:hAnsi="Humnst777 Lt BT"/>
          <w:sz w:val="22"/>
        </w:rPr>
        <w:t>with t</w:t>
      </w:r>
      <w:r>
        <w:rPr>
          <w:rFonts w:ascii="Humnst777 Lt BT" w:hAnsi="Humnst777 Lt BT"/>
          <w:sz w:val="22"/>
        </w:rPr>
        <w:t xml:space="preserve">he main publication </w:t>
      </w:r>
      <w:r w:rsidR="00355EEA">
        <w:rPr>
          <w:rFonts w:ascii="Humnst777 Lt BT" w:hAnsi="Humnst777 Lt BT"/>
          <w:sz w:val="22"/>
        </w:rPr>
        <w:t xml:space="preserve">being </w:t>
      </w:r>
      <w:r>
        <w:rPr>
          <w:rFonts w:ascii="Humnst777 Lt BT" w:hAnsi="Humnst777 Lt BT"/>
          <w:sz w:val="22"/>
        </w:rPr>
        <w:t xml:space="preserve">the annual Public Expenditure Statistical Analyses </w:t>
      </w:r>
      <w:r w:rsidR="00355EEA">
        <w:rPr>
          <w:rFonts w:ascii="Humnst777 Lt BT" w:hAnsi="Humnst777 Lt BT"/>
          <w:sz w:val="22"/>
        </w:rPr>
        <w:t>(PESA).  Outturn figures in these</w:t>
      </w:r>
      <w:r>
        <w:rPr>
          <w:rFonts w:ascii="Humnst777 Lt BT" w:hAnsi="Humnst777 Lt BT"/>
          <w:sz w:val="22"/>
        </w:rPr>
        <w:t xml:space="preserve"> release</w:t>
      </w:r>
      <w:r w:rsidR="00355EEA">
        <w:rPr>
          <w:rFonts w:ascii="Humnst777 Lt BT" w:hAnsi="Humnst777 Lt BT"/>
          <w:sz w:val="22"/>
        </w:rPr>
        <w:t>s</w:t>
      </w:r>
      <w:r>
        <w:rPr>
          <w:rFonts w:ascii="Humnst777 Lt BT" w:hAnsi="Humnst777 Lt BT"/>
          <w:sz w:val="22"/>
        </w:rPr>
        <w:t xml:space="preserve"> are National Statistics.  </w:t>
      </w:r>
      <w:r w:rsidR="0061405E">
        <w:rPr>
          <w:rFonts w:ascii="Humnst777 Lt BT" w:hAnsi="Humnst777 Lt BT"/>
          <w:sz w:val="22"/>
        </w:rPr>
        <w:t xml:space="preserve">These statistical releases </w:t>
      </w:r>
      <w:r w:rsidR="00E9136D">
        <w:rPr>
          <w:rFonts w:ascii="Humnst777 Lt BT" w:hAnsi="Humnst777 Lt BT"/>
          <w:sz w:val="22"/>
        </w:rPr>
        <w:t xml:space="preserve">as well as </w:t>
      </w:r>
      <w:r w:rsidR="0061405E">
        <w:rPr>
          <w:rFonts w:ascii="Humnst777 Lt BT" w:hAnsi="Humnst777 Lt BT"/>
          <w:sz w:val="22"/>
        </w:rPr>
        <w:t>show</w:t>
      </w:r>
      <w:r w:rsidR="00E9136D">
        <w:rPr>
          <w:rFonts w:ascii="Humnst777 Lt BT" w:hAnsi="Humnst777 Lt BT"/>
          <w:sz w:val="22"/>
        </w:rPr>
        <w:t>ing</w:t>
      </w:r>
      <w:r>
        <w:rPr>
          <w:rFonts w:ascii="Humnst777 Lt BT" w:hAnsi="Humnst777 Lt BT"/>
          <w:sz w:val="22"/>
        </w:rPr>
        <w:t xml:space="preserve"> </w:t>
      </w:r>
      <w:r w:rsidR="0061405E">
        <w:rPr>
          <w:rFonts w:ascii="Humnst777 Lt BT" w:hAnsi="Humnst777 Lt BT"/>
          <w:sz w:val="22"/>
        </w:rPr>
        <w:t xml:space="preserve">tables for </w:t>
      </w:r>
      <w:r>
        <w:rPr>
          <w:rFonts w:ascii="Humnst777 Lt BT" w:hAnsi="Humnst777 Lt BT"/>
          <w:sz w:val="22"/>
        </w:rPr>
        <w:t xml:space="preserve">departments’ budgets, </w:t>
      </w:r>
      <w:r w:rsidR="00E9136D">
        <w:rPr>
          <w:rFonts w:ascii="Humnst777 Lt BT" w:hAnsi="Humnst777 Lt BT"/>
          <w:sz w:val="22"/>
        </w:rPr>
        <w:t xml:space="preserve">also </w:t>
      </w:r>
      <w:r w:rsidR="00355EEA">
        <w:rPr>
          <w:rFonts w:ascii="Humnst777 Lt BT" w:hAnsi="Humnst777 Lt BT"/>
          <w:sz w:val="22"/>
        </w:rPr>
        <w:t>show</w:t>
      </w:r>
      <w:r>
        <w:rPr>
          <w:rFonts w:ascii="Humnst777 Lt BT" w:hAnsi="Humnst777 Lt BT"/>
          <w:sz w:val="22"/>
        </w:rPr>
        <w:t xml:space="preserve"> public spending </w:t>
      </w:r>
      <w:r w:rsidR="00E9136D">
        <w:rPr>
          <w:rFonts w:ascii="Humnst777 Lt BT" w:hAnsi="Humnst777 Lt BT"/>
          <w:sz w:val="22"/>
        </w:rPr>
        <w:t xml:space="preserve">by </w:t>
      </w:r>
      <w:r w:rsidR="0061405E">
        <w:rPr>
          <w:rFonts w:ascii="Humnst777 Lt BT" w:hAnsi="Humnst777 Lt BT"/>
          <w:sz w:val="22"/>
        </w:rPr>
        <w:t xml:space="preserve">economic </w:t>
      </w:r>
      <w:r w:rsidR="007F385A">
        <w:rPr>
          <w:rFonts w:ascii="Humnst777 Lt BT" w:hAnsi="Humnst777 Lt BT"/>
          <w:sz w:val="22"/>
        </w:rPr>
        <w:t>category</w:t>
      </w:r>
      <w:r w:rsidR="0061405E">
        <w:rPr>
          <w:rFonts w:ascii="Humnst777 Lt BT" w:hAnsi="Humnst777 Lt BT"/>
          <w:sz w:val="22"/>
        </w:rPr>
        <w:t xml:space="preserve"> and </w:t>
      </w:r>
      <w:r>
        <w:rPr>
          <w:rFonts w:ascii="Humnst777 Lt BT" w:hAnsi="Humnst777 Lt BT"/>
          <w:sz w:val="22"/>
        </w:rPr>
        <w:t>by function</w:t>
      </w:r>
      <w:r w:rsidR="008B725D">
        <w:rPr>
          <w:rFonts w:ascii="Humnst777 Lt BT" w:hAnsi="Humnst777 Lt BT"/>
          <w:sz w:val="22"/>
        </w:rPr>
        <w:t xml:space="preserve">. </w:t>
      </w:r>
      <w:r w:rsidR="00973A8E">
        <w:rPr>
          <w:rFonts w:ascii="Humnst777 Lt BT" w:hAnsi="Humnst777 Lt BT"/>
          <w:sz w:val="22"/>
        </w:rPr>
        <w:t xml:space="preserve">Just as </w:t>
      </w:r>
      <w:r w:rsidR="0054080D">
        <w:rPr>
          <w:rFonts w:ascii="Humnst777 Lt BT" w:hAnsi="Humnst777 Lt BT"/>
          <w:sz w:val="22"/>
        </w:rPr>
        <w:t>a year ago</w:t>
      </w:r>
      <w:r w:rsidR="00973A8E">
        <w:rPr>
          <w:rFonts w:ascii="Humnst777 Lt BT" w:hAnsi="Humnst777 Lt BT"/>
          <w:sz w:val="22"/>
        </w:rPr>
        <w:t xml:space="preserve">, the CRA will initially be published alongside the National Statistics release in </w:t>
      </w:r>
      <w:r w:rsidR="001A0199">
        <w:rPr>
          <w:rFonts w:ascii="Humnst777 Lt BT" w:hAnsi="Humnst777 Lt BT"/>
          <w:sz w:val="22"/>
        </w:rPr>
        <w:t xml:space="preserve">October </w:t>
      </w:r>
      <w:r w:rsidR="0061405E">
        <w:rPr>
          <w:rFonts w:ascii="Humnst777 Lt BT" w:hAnsi="Humnst777 Lt BT"/>
          <w:sz w:val="22"/>
        </w:rPr>
        <w:t>201</w:t>
      </w:r>
      <w:r w:rsidR="001B3AC3">
        <w:rPr>
          <w:rFonts w:ascii="Humnst777 Lt BT" w:hAnsi="Humnst777 Lt BT"/>
          <w:sz w:val="22"/>
        </w:rPr>
        <w:t>3</w:t>
      </w:r>
      <w:r w:rsidR="0061405E">
        <w:rPr>
          <w:rFonts w:ascii="Humnst777 Lt BT" w:hAnsi="Humnst777 Lt BT"/>
          <w:sz w:val="22"/>
        </w:rPr>
        <w:t xml:space="preserve"> </w:t>
      </w:r>
      <w:r w:rsidR="001A0199">
        <w:rPr>
          <w:rFonts w:ascii="Humnst777 Lt BT" w:hAnsi="Humnst777 Lt BT"/>
          <w:sz w:val="22"/>
        </w:rPr>
        <w:t xml:space="preserve">- </w:t>
      </w:r>
      <w:r w:rsidR="00580D37">
        <w:rPr>
          <w:rFonts w:ascii="Humnst777 Lt BT" w:hAnsi="Humnst777 Lt BT"/>
          <w:sz w:val="22"/>
        </w:rPr>
        <w:t>“</w:t>
      </w:r>
      <w:r w:rsidR="0061405E" w:rsidRPr="003719A4">
        <w:rPr>
          <w:rFonts w:ascii="Humnst777 Lt BT" w:hAnsi="Humnst777 Lt BT"/>
          <w:b/>
          <w:sz w:val="22"/>
        </w:rPr>
        <w:t xml:space="preserve">Public </w:t>
      </w:r>
      <w:r w:rsidR="00973A8E" w:rsidRPr="003719A4">
        <w:rPr>
          <w:rFonts w:ascii="Humnst777 Lt BT" w:hAnsi="Humnst777 Lt BT"/>
          <w:b/>
          <w:sz w:val="22"/>
        </w:rPr>
        <w:t>spending statistics</w:t>
      </w:r>
      <w:r w:rsidR="00580D37">
        <w:rPr>
          <w:rFonts w:ascii="Humnst777 Lt BT" w:hAnsi="Humnst777 Lt BT"/>
          <w:sz w:val="22"/>
        </w:rPr>
        <w:t>”</w:t>
      </w:r>
      <w:r w:rsidR="0054080D">
        <w:rPr>
          <w:rFonts w:ascii="Humnst777 Lt BT" w:hAnsi="Humnst777 Lt BT"/>
          <w:sz w:val="22"/>
        </w:rPr>
        <w:t xml:space="preserve"> or “</w:t>
      </w:r>
      <w:r w:rsidR="0054080D" w:rsidRPr="003719A4">
        <w:rPr>
          <w:rFonts w:ascii="Humnst777 Lt BT" w:hAnsi="Humnst777 Lt BT"/>
          <w:b/>
          <w:sz w:val="22"/>
        </w:rPr>
        <w:t>PSS</w:t>
      </w:r>
      <w:r w:rsidR="0054080D">
        <w:rPr>
          <w:rFonts w:ascii="Humnst777 Lt BT" w:hAnsi="Humnst777 Lt BT"/>
          <w:sz w:val="22"/>
        </w:rPr>
        <w:t>”</w:t>
      </w:r>
      <w:r w:rsidR="0061405E">
        <w:rPr>
          <w:rFonts w:ascii="Humnst777 Lt BT" w:hAnsi="Humnst777 Lt BT"/>
          <w:sz w:val="22"/>
        </w:rPr>
        <w:t xml:space="preserve">. </w:t>
      </w:r>
      <w:r w:rsidR="00973A8E">
        <w:rPr>
          <w:rFonts w:ascii="Humnst777 Lt BT" w:hAnsi="Humnst777 Lt BT"/>
          <w:sz w:val="22"/>
        </w:rPr>
        <w:t xml:space="preserve">Much the same CRA dataset will then be published in </w:t>
      </w:r>
      <w:r w:rsidR="00973A8E" w:rsidRPr="00917C44">
        <w:rPr>
          <w:rFonts w:ascii="Humnst777 Lt BT" w:hAnsi="Humnst777 Lt BT"/>
          <w:b/>
          <w:sz w:val="22"/>
        </w:rPr>
        <w:t>PESA 201</w:t>
      </w:r>
      <w:r w:rsidR="001B3AC3">
        <w:rPr>
          <w:rFonts w:ascii="Humnst777 Lt BT" w:hAnsi="Humnst777 Lt BT"/>
          <w:b/>
          <w:sz w:val="22"/>
        </w:rPr>
        <w:t>4</w:t>
      </w:r>
      <w:r w:rsidR="00973A8E">
        <w:rPr>
          <w:rFonts w:ascii="Humnst777 Lt BT" w:hAnsi="Humnst777 Lt BT"/>
          <w:sz w:val="22"/>
        </w:rPr>
        <w:t xml:space="preserve"> the following summer. </w:t>
      </w:r>
    </w:p>
    <w:p w:rsidR="00DA4B0F" w:rsidRDefault="0054080D" w:rsidP="007857E0">
      <w:pPr>
        <w:spacing w:line="360" w:lineRule="auto"/>
        <w:rPr>
          <w:rFonts w:ascii="Humnst777 Lt BT" w:hAnsi="Humnst777 Lt BT"/>
          <w:sz w:val="22"/>
        </w:rPr>
      </w:pPr>
      <w:r>
        <w:rPr>
          <w:rFonts w:ascii="Humnst777 Lt BT" w:hAnsi="Humnst777 Lt BT"/>
          <w:sz w:val="22"/>
        </w:rPr>
        <w:t>2.</w:t>
      </w:r>
      <w:r>
        <w:rPr>
          <w:rFonts w:ascii="Humnst777 Lt BT" w:hAnsi="Humnst777 Lt BT" w:cs="Arial"/>
          <w:sz w:val="22"/>
        </w:rPr>
        <w:t xml:space="preserve">   </w:t>
      </w:r>
      <w:r w:rsidR="00DA4B0F">
        <w:rPr>
          <w:rFonts w:ascii="Humnst777 Lt BT" w:hAnsi="Humnst777 Lt BT"/>
          <w:sz w:val="22"/>
        </w:rPr>
        <w:t xml:space="preserve">The CRA database is widely </w:t>
      </w:r>
      <w:r w:rsidR="00DA4B0F" w:rsidRPr="0054080D">
        <w:rPr>
          <w:rFonts w:ascii="Humnst777 Lt BT" w:hAnsi="Humnst777 Lt BT"/>
          <w:sz w:val="22"/>
        </w:rPr>
        <w:t>publici</w:t>
      </w:r>
      <w:r w:rsidRPr="0054080D">
        <w:rPr>
          <w:rFonts w:ascii="Humnst777 Lt BT" w:hAnsi="Humnst777 Lt BT"/>
          <w:sz w:val="22"/>
        </w:rPr>
        <w:t>s</w:t>
      </w:r>
      <w:r w:rsidR="00DA4B0F" w:rsidRPr="0054080D">
        <w:rPr>
          <w:rFonts w:ascii="Humnst777 Lt BT" w:hAnsi="Humnst777 Lt BT"/>
          <w:sz w:val="22"/>
        </w:rPr>
        <w:t>ed</w:t>
      </w:r>
      <w:r w:rsidR="00DA4B0F">
        <w:rPr>
          <w:rFonts w:ascii="Humnst777 Lt BT" w:hAnsi="Humnst777 Lt BT"/>
          <w:sz w:val="22"/>
        </w:rPr>
        <w:t xml:space="preserve"> and receives significant public, </w:t>
      </w:r>
      <w:r w:rsidR="00DA4B0F" w:rsidRPr="00DA4B0F">
        <w:rPr>
          <w:rFonts w:ascii="Humnst777 Lt BT" w:hAnsi="Humnst777 Lt BT"/>
          <w:sz w:val="22"/>
        </w:rPr>
        <w:t>governmental</w:t>
      </w:r>
      <w:r w:rsidR="00DA4B0F">
        <w:rPr>
          <w:rFonts w:ascii="Humnst777 Lt BT" w:hAnsi="Humnst777 Lt BT"/>
          <w:sz w:val="22"/>
        </w:rPr>
        <w:t xml:space="preserve"> and media attention every year. In addition, the CRA:</w:t>
      </w:r>
    </w:p>
    <w:p w:rsidR="00DA4B0F" w:rsidRDefault="00DA4B0F" w:rsidP="007857E0">
      <w:pPr>
        <w:numPr>
          <w:ilvl w:val="0"/>
          <w:numId w:val="23"/>
        </w:numPr>
        <w:spacing w:line="360" w:lineRule="auto"/>
        <w:rPr>
          <w:rFonts w:ascii="Humnst777 Lt BT" w:hAnsi="Humnst777 Lt BT"/>
          <w:sz w:val="22"/>
        </w:rPr>
      </w:pPr>
      <w:r>
        <w:rPr>
          <w:rFonts w:ascii="Humnst777 Lt BT" w:hAnsi="Humnst777 Lt BT"/>
          <w:sz w:val="22"/>
        </w:rPr>
        <w:t>Constitutes the main source of consistent regional data;</w:t>
      </w:r>
    </w:p>
    <w:p w:rsidR="00DA4B0F" w:rsidRDefault="00DA4B0F" w:rsidP="007857E0">
      <w:pPr>
        <w:numPr>
          <w:ilvl w:val="0"/>
          <w:numId w:val="23"/>
        </w:numPr>
        <w:spacing w:line="360" w:lineRule="auto"/>
        <w:rPr>
          <w:rFonts w:ascii="Humnst777 Lt BT" w:hAnsi="Humnst777 Lt BT"/>
          <w:sz w:val="22"/>
        </w:rPr>
      </w:pPr>
      <w:r>
        <w:rPr>
          <w:rFonts w:ascii="Humnst777 Lt BT" w:hAnsi="Humnst777 Lt BT"/>
          <w:sz w:val="22"/>
        </w:rPr>
        <w:t>Provides data for the Local Spending Reports produced under the Sustainable Communities Act 2007;</w:t>
      </w:r>
      <w:r w:rsidR="001B3AC3">
        <w:rPr>
          <w:rFonts w:ascii="Humnst777 Lt BT" w:hAnsi="Humnst777 Lt BT"/>
          <w:sz w:val="22"/>
        </w:rPr>
        <w:t xml:space="preserve"> and</w:t>
      </w:r>
    </w:p>
    <w:p w:rsidR="00DA4B0F" w:rsidRDefault="00DA4B0F" w:rsidP="007857E0">
      <w:pPr>
        <w:numPr>
          <w:ilvl w:val="0"/>
          <w:numId w:val="23"/>
        </w:numPr>
        <w:spacing w:line="360" w:lineRule="auto"/>
        <w:rPr>
          <w:rFonts w:ascii="Humnst777 Lt BT" w:hAnsi="Humnst777 Lt BT"/>
          <w:sz w:val="22"/>
        </w:rPr>
      </w:pPr>
      <w:r>
        <w:rPr>
          <w:rFonts w:ascii="Humnst777 Lt BT" w:hAnsi="Humnst777 Lt BT"/>
          <w:sz w:val="22"/>
        </w:rPr>
        <w:t>Can be used as a tool to measure the impact of regional policy</w:t>
      </w:r>
      <w:r w:rsidR="001B3AC3">
        <w:rPr>
          <w:rFonts w:ascii="Humnst777 Lt BT" w:hAnsi="Humnst777 Lt BT"/>
          <w:sz w:val="22"/>
        </w:rPr>
        <w:t>.</w:t>
      </w:r>
    </w:p>
    <w:p w:rsidR="00DA4B0F" w:rsidRDefault="00DA4B0F" w:rsidP="007857E0">
      <w:pPr>
        <w:pStyle w:val="Heading2"/>
        <w:spacing w:before="0" w:after="0" w:line="360" w:lineRule="auto"/>
        <w:rPr>
          <w:rFonts w:ascii="Humnst777 Lt BT" w:hAnsi="Humnst777 Lt BT"/>
          <w:i w:val="0"/>
          <w:iCs w:val="0"/>
          <w:sz w:val="22"/>
        </w:rPr>
      </w:pPr>
      <w:bookmarkStart w:id="4" w:name="_Toc244678214"/>
      <w:r>
        <w:rPr>
          <w:rFonts w:ascii="Humnst777 Lt BT" w:hAnsi="Humnst777 Lt BT"/>
          <w:i w:val="0"/>
          <w:iCs w:val="0"/>
          <w:sz w:val="22"/>
        </w:rPr>
        <w:lastRenderedPageBreak/>
        <w:t>1.2 Your use of the data</w:t>
      </w:r>
      <w:bookmarkEnd w:id="4"/>
    </w:p>
    <w:p w:rsidR="00DA4B0F" w:rsidRDefault="00DA4B0F" w:rsidP="007857E0">
      <w:pPr>
        <w:pStyle w:val="BodyText2"/>
        <w:spacing w:before="100" w:beforeAutospacing="1" w:after="240" w:line="360" w:lineRule="auto"/>
        <w:rPr>
          <w:rFonts w:ascii="Humnst777 Lt BT" w:hAnsi="Humnst777 Lt BT" w:cs="Arial"/>
          <w:sz w:val="22"/>
          <w:lang w:val="en-US"/>
        </w:rPr>
      </w:pPr>
      <w:r>
        <w:rPr>
          <w:rFonts w:ascii="Humnst777 Lt BT" w:hAnsi="Humnst777 Lt BT" w:cs="Arial"/>
          <w:sz w:val="22"/>
          <w:lang w:val="en-US"/>
        </w:rPr>
        <w:t>3.   We are grateful to departments for incurring the, sometimes significant, costs of completing the CRA exercise.  We encourage departments to make full use of this information to ensure maximum benefit is obtained from this work.</w:t>
      </w:r>
    </w:p>
    <w:p w:rsidR="00DA4B0F" w:rsidRDefault="00DA4B0F" w:rsidP="007857E0">
      <w:pPr>
        <w:spacing w:after="240" w:line="360" w:lineRule="auto"/>
        <w:jc w:val="both"/>
        <w:rPr>
          <w:rFonts w:ascii="Humnst777 Lt BT" w:hAnsi="Humnst777 Lt BT" w:cs="Arial"/>
          <w:sz w:val="22"/>
        </w:rPr>
      </w:pPr>
      <w:r>
        <w:rPr>
          <w:rFonts w:ascii="Humnst777 Lt BT" w:hAnsi="Humnst777 Lt BT" w:cs="Arial"/>
          <w:sz w:val="22"/>
        </w:rPr>
        <w:t>4.   CRA data can help inform your internal planning processes and ensure your department’s spending effectively supports your policy objectives.  Questions that your department might want to use CRA data to help answer</w:t>
      </w:r>
      <w:r w:rsidR="003719A4">
        <w:rPr>
          <w:rFonts w:ascii="Humnst777 Lt BT" w:hAnsi="Humnst777 Lt BT" w:cs="Arial"/>
          <w:sz w:val="22"/>
        </w:rPr>
        <w:t>,</w:t>
      </w:r>
      <w:r>
        <w:rPr>
          <w:rFonts w:ascii="Humnst777 Lt BT" w:hAnsi="Humnst777 Lt BT" w:cs="Arial"/>
          <w:sz w:val="22"/>
        </w:rPr>
        <w:t xml:space="preserve"> include: Are you satisfied that the regional distribution of your spending is fair?  Do your regional spending plans support balanced economic development?  Do you understand why spending per head is higher in some regions than others?  Does this higher spending produce better outputs and outcomes?</w:t>
      </w:r>
    </w:p>
    <w:p w:rsidR="00DA4B0F" w:rsidRDefault="00DA4B0F" w:rsidP="007857E0">
      <w:pPr>
        <w:spacing w:after="240" w:line="360" w:lineRule="auto"/>
        <w:jc w:val="both"/>
        <w:rPr>
          <w:rFonts w:ascii="Humnst777 Lt BT" w:hAnsi="Humnst777 Lt BT" w:cs="Arial"/>
          <w:sz w:val="22"/>
        </w:rPr>
      </w:pPr>
      <w:r>
        <w:rPr>
          <w:rFonts w:ascii="Humnst777 Lt BT" w:hAnsi="Humnst777 Lt BT" w:cs="Arial"/>
          <w:sz w:val="22"/>
        </w:rPr>
        <w:t xml:space="preserve">5.   Many departments also publish CRA data in their </w:t>
      </w:r>
      <w:r>
        <w:rPr>
          <w:rFonts w:ascii="Humnst777 Lt BT" w:hAnsi="Humnst777 Lt BT" w:cs="Arial"/>
          <w:b/>
          <w:bCs/>
          <w:sz w:val="22"/>
        </w:rPr>
        <w:t>Departmental Reports</w:t>
      </w:r>
      <w:r>
        <w:rPr>
          <w:rFonts w:ascii="Humnst777 Lt BT" w:hAnsi="Humnst777 Lt BT" w:cs="Arial"/>
          <w:sz w:val="22"/>
        </w:rPr>
        <w:t xml:space="preserve"> as part of the common core tables, which could lead to Parliamentary and press interest.  You will wish to ensure that those who need to brief on the figures are aware how they are compiled and that they understand the data.     </w:t>
      </w:r>
      <w:bookmarkEnd w:id="0"/>
      <w:bookmarkEnd w:id="1"/>
    </w:p>
    <w:p w:rsidR="00DA4B0F" w:rsidRDefault="00DA4B0F" w:rsidP="007857E0">
      <w:pPr>
        <w:pStyle w:val="Heading1"/>
        <w:rPr>
          <w:rFonts w:ascii="Humnst777 Lt BT" w:hAnsi="Humnst777 Lt BT"/>
          <w:sz w:val="22"/>
        </w:rPr>
      </w:pPr>
      <w:bookmarkStart w:id="5" w:name="_Toc244678215"/>
      <w:r>
        <w:rPr>
          <w:rFonts w:ascii="Humnst777 Lt BT" w:hAnsi="Humnst777 Lt BT"/>
          <w:sz w:val="22"/>
        </w:rPr>
        <w:t>2. Best practice for the CRA data collection</w:t>
      </w:r>
      <w:bookmarkEnd w:id="5"/>
      <w:r>
        <w:rPr>
          <w:rFonts w:ascii="Humnst777 Lt BT" w:hAnsi="Humnst777 Lt BT"/>
          <w:sz w:val="22"/>
        </w:rPr>
        <w:t xml:space="preserve"> </w:t>
      </w:r>
    </w:p>
    <w:p w:rsidR="00DA4B0F" w:rsidRDefault="00DA4B0F" w:rsidP="007857E0">
      <w:pPr>
        <w:pStyle w:val="NormalWeb"/>
        <w:spacing w:after="120" w:afterAutospacing="0" w:line="360" w:lineRule="auto"/>
        <w:rPr>
          <w:rFonts w:ascii="Humnst777 Lt BT" w:hAnsi="Humnst777 Lt BT" w:cs="Arial"/>
          <w:sz w:val="22"/>
        </w:rPr>
      </w:pPr>
      <w:r>
        <w:rPr>
          <w:rFonts w:ascii="Humnst777 Lt BT" w:hAnsi="Humnst777 Lt BT" w:cs="Arial"/>
          <w:sz w:val="22"/>
        </w:rPr>
        <w:t>6.   Preparing for the CRA exercise</w:t>
      </w:r>
    </w:p>
    <w:p w:rsidR="00DA4B0F" w:rsidRDefault="00DA4B0F" w:rsidP="007857E0">
      <w:pPr>
        <w:pStyle w:val="NormalWeb"/>
        <w:numPr>
          <w:ilvl w:val="0"/>
          <w:numId w:val="20"/>
        </w:numPr>
        <w:spacing w:before="0" w:beforeAutospacing="0" w:after="240" w:afterAutospacing="0" w:line="360" w:lineRule="auto"/>
        <w:ind w:left="1077" w:hanging="357"/>
        <w:jc w:val="both"/>
        <w:rPr>
          <w:rFonts w:ascii="Humnst777 Lt BT" w:hAnsi="Humnst777 Lt BT" w:cs="Arial"/>
          <w:sz w:val="22"/>
        </w:rPr>
      </w:pPr>
      <w:r>
        <w:rPr>
          <w:rFonts w:ascii="Humnst777 Lt BT" w:hAnsi="Humnst777 Lt BT" w:cs="Arial"/>
          <w:sz w:val="22"/>
        </w:rPr>
        <w:t xml:space="preserve">Appoint a senior manager to be in charge of data compilation, and to oversee the return of the final CRA data.   </w:t>
      </w:r>
    </w:p>
    <w:p w:rsidR="00DA4B0F" w:rsidRDefault="00DA4B0F" w:rsidP="007857E0">
      <w:pPr>
        <w:pStyle w:val="NormalWeb"/>
        <w:spacing w:before="0" w:beforeAutospacing="0" w:after="120" w:afterAutospacing="0" w:line="360" w:lineRule="auto"/>
        <w:jc w:val="both"/>
        <w:rPr>
          <w:rFonts w:ascii="Humnst777 Lt BT" w:hAnsi="Humnst777 Lt BT" w:cs="Arial"/>
          <w:sz w:val="22"/>
        </w:rPr>
      </w:pPr>
      <w:r>
        <w:rPr>
          <w:rFonts w:ascii="Humnst777 Lt BT" w:hAnsi="Humnst777 Lt BT" w:cs="Arial"/>
          <w:sz w:val="22"/>
        </w:rPr>
        <w:t xml:space="preserve">7.   Ensure that the Statistics </w:t>
      </w:r>
      <w:r w:rsidR="001B3AC3">
        <w:rPr>
          <w:rFonts w:ascii="Humnst777 Lt BT" w:hAnsi="Humnst777 Lt BT" w:cs="Arial"/>
          <w:sz w:val="22"/>
        </w:rPr>
        <w:t>Head</w:t>
      </w:r>
      <w:r>
        <w:rPr>
          <w:rFonts w:ascii="Humnst777 Lt BT" w:hAnsi="Humnst777 Lt BT" w:cs="Arial"/>
          <w:sz w:val="22"/>
        </w:rPr>
        <w:t xml:space="preserve"> of Profession </w:t>
      </w:r>
      <w:r w:rsidR="00E54C7F">
        <w:rPr>
          <w:rFonts w:ascii="Humnst777 Lt BT" w:hAnsi="Humnst777 Lt BT" w:cs="Arial"/>
          <w:sz w:val="22"/>
        </w:rPr>
        <w:t>(</w:t>
      </w:r>
      <w:proofErr w:type="spellStart"/>
      <w:r w:rsidR="00E54C7F">
        <w:rPr>
          <w:rFonts w:ascii="Humnst777 Lt BT" w:hAnsi="Humnst777 Lt BT" w:cs="Arial"/>
          <w:sz w:val="22"/>
        </w:rPr>
        <w:t>HoP</w:t>
      </w:r>
      <w:proofErr w:type="spellEnd"/>
      <w:r w:rsidR="00E54C7F">
        <w:rPr>
          <w:rFonts w:ascii="Humnst777 Lt BT" w:hAnsi="Humnst777 Lt BT" w:cs="Arial"/>
          <w:sz w:val="22"/>
        </w:rPr>
        <w:t xml:space="preserve">) </w:t>
      </w:r>
      <w:r>
        <w:rPr>
          <w:rFonts w:ascii="Humnst777 Lt BT" w:hAnsi="Humnst777 Lt BT" w:cs="Arial"/>
          <w:sz w:val="22"/>
        </w:rPr>
        <w:t xml:space="preserve">is aware of their role in the quality assurance process of the final CRA return.  We ask that </w:t>
      </w:r>
      <w:proofErr w:type="spellStart"/>
      <w:r>
        <w:rPr>
          <w:rFonts w:ascii="Humnst777 Lt BT" w:hAnsi="Humnst777 Lt BT" w:cs="Arial"/>
          <w:sz w:val="22"/>
        </w:rPr>
        <w:t>HoPs</w:t>
      </w:r>
      <w:proofErr w:type="spellEnd"/>
      <w:r>
        <w:rPr>
          <w:rFonts w:ascii="Humnst777 Lt BT" w:hAnsi="Humnst777 Lt BT" w:cs="Arial"/>
          <w:sz w:val="22"/>
        </w:rPr>
        <w:t xml:space="preserve">, or </w:t>
      </w:r>
      <w:proofErr w:type="spellStart"/>
      <w:r>
        <w:rPr>
          <w:rFonts w:ascii="Humnst777 Lt BT" w:hAnsi="Humnst777 Lt BT" w:cs="Arial"/>
          <w:sz w:val="22"/>
        </w:rPr>
        <w:t>HoP</w:t>
      </w:r>
      <w:proofErr w:type="spellEnd"/>
      <w:r>
        <w:rPr>
          <w:rFonts w:ascii="Humnst777 Lt BT" w:hAnsi="Humnst777 Lt BT" w:cs="Arial"/>
          <w:sz w:val="22"/>
        </w:rPr>
        <w:t xml:space="preserve"> delegates, submit a completed form accompanying the CRA return to:</w:t>
      </w:r>
    </w:p>
    <w:p w:rsidR="00DA4B0F" w:rsidRDefault="00DA4B0F" w:rsidP="007857E0">
      <w:pPr>
        <w:pStyle w:val="NormalWeb"/>
        <w:numPr>
          <w:ilvl w:val="0"/>
          <w:numId w:val="21"/>
        </w:numPr>
        <w:spacing w:before="0" w:beforeAutospacing="0" w:after="120" w:afterAutospacing="0" w:line="360" w:lineRule="auto"/>
        <w:ind w:left="1077" w:hanging="357"/>
        <w:jc w:val="both"/>
        <w:rPr>
          <w:rFonts w:ascii="Humnst777 Lt BT" w:hAnsi="Humnst777 Lt BT" w:cs="Arial"/>
          <w:sz w:val="22"/>
        </w:rPr>
      </w:pPr>
      <w:r>
        <w:rPr>
          <w:rFonts w:ascii="Humnst777 Lt BT" w:hAnsi="Humnst777 Lt BT" w:cs="Arial"/>
          <w:sz w:val="22"/>
        </w:rPr>
        <w:t xml:space="preserve">confirm they are content that the outturn data has been produced to National Statistics standards in accordance with the guidance described in Annex B; and </w:t>
      </w:r>
    </w:p>
    <w:p w:rsidR="00DA4B0F" w:rsidRDefault="00DA4B0F" w:rsidP="007857E0">
      <w:pPr>
        <w:pStyle w:val="NormalWeb"/>
        <w:numPr>
          <w:ilvl w:val="0"/>
          <w:numId w:val="21"/>
        </w:numPr>
        <w:spacing w:before="0" w:beforeAutospacing="0" w:after="240" w:afterAutospacing="0" w:line="360" w:lineRule="auto"/>
        <w:ind w:left="1077" w:hanging="357"/>
        <w:jc w:val="both"/>
        <w:rPr>
          <w:rFonts w:ascii="Humnst777 Lt BT" w:hAnsi="Humnst777 Lt BT" w:cs="Arial"/>
          <w:sz w:val="22"/>
        </w:rPr>
      </w:pPr>
      <w:proofErr w:type="gramStart"/>
      <w:r>
        <w:rPr>
          <w:rFonts w:ascii="Humnst777 Lt BT" w:hAnsi="Humnst777 Lt BT" w:cs="Arial"/>
          <w:sz w:val="22"/>
        </w:rPr>
        <w:t>comment</w:t>
      </w:r>
      <w:proofErr w:type="gramEnd"/>
      <w:r>
        <w:rPr>
          <w:rFonts w:ascii="Humnst777 Lt BT" w:hAnsi="Humnst777 Lt BT" w:cs="Arial"/>
          <w:sz w:val="22"/>
        </w:rPr>
        <w:t xml:space="preserve"> on the process and methodologies involved in producing the figures, and identify any weaknesses in the allocation methods.  We publish a statement on the quality of CRA data in PESA.  In order to do this it is helpful if they, or another senior statistician, are involved in the process.</w:t>
      </w:r>
    </w:p>
    <w:p w:rsidR="00DA4B0F" w:rsidRDefault="00DA4B0F" w:rsidP="007857E0">
      <w:pPr>
        <w:pStyle w:val="NormalWeb"/>
        <w:spacing w:before="0" w:beforeAutospacing="0" w:after="120" w:afterAutospacing="0" w:line="360" w:lineRule="auto"/>
        <w:jc w:val="both"/>
        <w:rPr>
          <w:rFonts w:ascii="Humnst777 Lt BT" w:hAnsi="Humnst777 Lt BT" w:cs="Arial"/>
          <w:sz w:val="22"/>
        </w:rPr>
      </w:pPr>
      <w:r>
        <w:rPr>
          <w:rFonts w:ascii="Humnst777 Lt BT" w:hAnsi="Humnst777 Lt BT" w:cs="Arial"/>
          <w:sz w:val="22"/>
        </w:rPr>
        <w:lastRenderedPageBreak/>
        <w:t xml:space="preserve">8.   Ensure that communication takes place at a senior level within the department, so that awareness of the exercise goes beyond </w:t>
      </w:r>
      <w:proofErr w:type="gramStart"/>
      <w:r>
        <w:rPr>
          <w:rFonts w:ascii="Humnst777 Lt BT" w:hAnsi="Humnst777 Lt BT" w:cs="Arial"/>
          <w:sz w:val="22"/>
        </w:rPr>
        <w:t>th</w:t>
      </w:r>
      <w:r w:rsidR="001B3AC3">
        <w:rPr>
          <w:rFonts w:ascii="Humnst777 Lt BT" w:hAnsi="Humnst777 Lt BT" w:cs="Arial"/>
          <w:sz w:val="22"/>
        </w:rPr>
        <w:t>ose</w:t>
      </w:r>
      <w:r>
        <w:rPr>
          <w:rFonts w:ascii="Humnst777 Lt BT" w:hAnsi="Humnst777 Lt BT" w:cs="Arial"/>
          <w:sz w:val="22"/>
        </w:rPr>
        <w:t xml:space="preserve"> staff </w:t>
      </w:r>
      <w:r w:rsidR="001B3AC3">
        <w:rPr>
          <w:rFonts w:ascii="Humnst777 Lt BT" w:hAnsi="Humnst777 Lt BT" w:cs="Arial"/>
          <w:sz w:val="22"/>
        </w:rPr>
        <w:t>that</w:t>
      </w:r>
      <w:r>
        <w:rPr>
          <w:rFonts w:ascii="Humnst777 Lt BT" w:hAnsi="Humnst777 Lt BT" w:cs="Arial"/>
          <w:sz w:val="22"/>
        </w:rPr>
        <w:t xml:space="preserve"> are</w:t>
      </w:r>
      <w:proofErr w:type="gramEnd"/>
      <w:r>
        <w:rPr>
          <w:rFonts w:ascii="Humnst777 Lt BT" w:hAnsi="Humnst777 Lt BT" w:cs="Arial"/>
          <w:sz w:val="22"/>
        </w:rPr>
        <w:t xml:space="preserve"> directly involved with data compilation for the CRA return, and includes:</w:t>
      </w:r>
    </w:p>
    <w:p w:rsidR="00DA4B0F" w:rsidRDefault="00DA4B0F" w:rsidP="007857E0">
      <w:pPr>
        <w:pStyle w:val="NormalWeb"/>
        <w:numPr>
          <w:ilvl w:val="0"/>
          <w:numId w:val="22"/>
        </w:numPr>
        <w:spacing w:before="0" w:beforeAutospacing="0" w:after="120" w:afterAutospacing="0" w:line="360" w:lineRule="auto"/>
        <w:ind w:left="1077" w:hanging="357"/>
        <w:jc w:val="both"/>
        <w:rPr>
          <w:rFonts w:ascii="Humnst777 Lt BT" w:hAnsi="Humnst777 Lt BT" w:cs="Arial"/>
          <w:sz w:val="22"/>
        </w:rPr>
      </w:pPr>
      <w:r>
        <w:rPr>
          <w:rFonts w:ascii="Humnst777 Lt BT" w:hAnsi="Humnst777 Lt BT" w:cs="Arial"/>
          <w:sz w:val="22"/>
        </w:rPr>
        <w:t>those involved in the department’s various regional policy interests; and</w:t>
      </w:r>
    </w:p>
    <w:p w:rsidR="00DA4B0F" w:rsidRDefault="00DA4B0F" w:rsidP="007857E0">
      <w:pPr>
        <w:pStyle w:val="NormalWeb"/>
        <w:numPr>
          <w:ilvl w:val="0"/>
          <w:numId w:val="22"/>
        </w:numPr>
        <w:spacing w:before="0" w:beforeAutospacing="0" w:after="240" w:afterAutospacing="0" w:line="360" w:lineRule="auto"/>
        <w:ind w:left="1077" w:hanging="357"/>
        <w:jc w:val="both"/>
        <w:rPr>
          <w:rFonts w:ascii="Humnst777 Lt BT" w:hAnsi="Humnst777 Lt BT" w:cs="Arial"/>
          <w:sz w:val="22"/>
        </w:rPr>
      </w:pPr>
      <w:proofErr w:type="gramStart"/>
      <w:r>
        <w:rPr>
          <w:rFonts w:ascii="Humnst777 Lt BT" w:hAnsi="Humnst777 Lt BT" w:cs="Arial"/>
          <w:sz w:val="22"/>
        </w:rPr>
        <w:t>those</w:t>
      </w:r>
      <w:proofErr w:type="gramEnd"/>
      <w:r>
        <w:rPr>
          <w:rFonts w:ascii="Humnst777 Lt BT" w:hAnsi="Humnst777 Lt BT" w:cs="Arial"/>
          <w:sz w:val="22"/>
        </w:rPr>
        <w:t xml:space="preserve"> aware of detailed accounting data (which may record actual regional spending data).</w:t>
      </w:r>
    </w:p>
    <w:p w:rsidR="00DA4B0F" w:rsidRDefault="00DA4B0F" w:rsidP="007857E0">
      <w:pPr>
        <w:pStyle w:val="NormalWeb"/>
        <w:spacing w:after="240" w:afterAutospacing="0" w:line="360" w:lineRule="auto"/>
        <w:jc w:val="both"/>
        <w:rPr>
          <w:rFonts w:ascii="Humnst777 Lt BT" w:hAnsi="Humnst777 Lt BT" w:cs="Arial"/>
          <w:sz w:val="22"/>
        </w:rPr>
      </w:pPr>
      <w:r>
        <w:rPr>
          <w:rFonts w:ascii="Humnst777 Lt BT" w:hAnsi="Humnst777 Lt BT" w:cs="Arial"/>
          <w:sz w:val="22"/>
        </w:rPr>
        <w:t xml:space="preserve">9.   Involve departmental statistical staff, they may be able to advise on methods and use other relevant data sources, where directly measured data is not available. </w:t>
      </w:r>
    </w:p>
    <w:p w:rsidR="00DA4B0F" w:rsidRDefault="00DA4B0F" w:rsidP="007857E0">
      <w:pPr>
        <w:pStyle w:val="NormalWeb"/>
        <w:spacing w:after="240" w:afterAutospacing="0" w:line="360" w:lineRule="auto"/>
        <w:jc w:val="both"/>
        <w:rPr>
          <w:rFonts w:ascii="Humnst777 Lt BT" w:hAnsi="Humnst777 Lt BT" w:cs="Arial"/>
          <w:sz w:val="22"/>
        </w:rPr>
      </w:pPr>
      <w:r>
        <w:rPr>
          <w:rFonts w:ascii="Humnst777 Lt BT" w:hAnsi="Humnst777 Lt BT" w:cs="Arial"/>
          <w:sz w:val="22"/>
        </w:rPr>
        <w:t>10.   Read the Treasury’s guidance and consider how this applies to your data.</w:t>
      </w:r>
    </w:p>
    <w:p w:rsidR="00DA4B0F" w:rsidRDefault="00DA4B0F" w:rsidP="007857E0">
      <w:pPr>
        <w:pStyle w:val="Heading2"/>
        <w:spacing w:line="360" w:lineRule="auto"/>
        <w:rPr>
          <w:rFonts w:ascii="Humnst777 Lt BT" w:hAnsi="Humnst777 Lt BT"/>
          <w:i w:val="0"/>
          <w:iCs w:val="0"/>
          <w:sz w:val="22"/>
        </w:rPr>
      </w:pPr>
      <w:bookmarkStart w:id="6" w:name="_Toc244678216"/>
      <w:r>
        <w:rPr>
          <w:rFonts w:ascii="Humnst777 Lt BT" w:hAnsi="Humnst777 Lt BT"/>
          <w:i w:val="0"/>
          <w:iCs w:val="0"/>
          <w:sz w:val="22"/>
        </w:rPr>
        <w:t>2.1 Compiling the CRA return</w:t>
      </w:r>
      <w:bookmarkEnd w:id="6"/>
    </w:p>
    <w:p w:rsidR="00DA4B0F" w:rsidRDefault="00DA4B0F" w:rsidP="007857E0">
      <w:pPr>
        <w:pStyle w:val="NormalWeb"/>
        <w:spacing w:after="120" w:afterAutospacing="0" w:line="360" w:lineRule="auto"/>
        <w:jc w:val="both"/>
        <w:rPr>
          <w:rFonts w:ascii="Humnst777 Lt BT" w:hAnsi="Humnst777 Lt BT" w:cs="Arial"/>
          <w:sz w:val="22"/>
        </w:rPr>
      </w:pPr>
      <w:r>
        <w:rPr>
          <w:rFonts w:ascii="Humnst777 Lt BT" w:hAnsi="Humnst777 Lt BT" w:cs="Arial"/>
          <w:sz w:val="22"/>
        </w:rPr>
        <w:t>11.</w:t>
      </w:r>
      <w:r>
        <w:rPr>
          <w:rFonts w:ascii="Humnst777 Lt BT" w:hAnsi="Humnst777 Lt BT" w:cs="Arial"/>
          <w:b/>
          <w:bCs/>
          <w:sz w:val="22"/>
        </w:rPr>
        <w:t xml:space="preserve">   </w:t>
      </w:r>
      <w:r>
        <w:rPr>
          <w:rFonts w:ascii="Humnst777 Lt BT" w:hAnsi="Humnst777 Lt BT" w:cs="Arial"/>
          <w:sz w:val="22"/>
        </w:rPr>
        <w:t xml:space="preserve">Involve others – don’t confine the exercise to the central finance team. </w:t>
      </w:r>
    </w:p>
    <w:p w:rsidR="00DA4B0F" w:rsidRDefault="00DA4B0F" w:rsidP="007857E0">
      <w:pPr>
        <w:pStyle w:val="NormalWeb"/>
        <w:numPr>
          <w:ilvl w:val="0"/>
          <w:numId w:val="1"/>
        </w:numPr>
        <w:tabs>
          <w:tab w:val="clear" w:pos="720"/>
          <w:tab w:val="num" w:pos="1080"/>
        </w:tabs>
        <w:spacing w:before="0" w:beforeAutospacing="0" w:after="120" w:afterAutospacing="0" w:line="360" w:lineRule="auto"/>
        <w:ind w:left="1077" w:hanging="357"/>
        <w:jc w:val="both"/>
        <w:rPr>
          <w:rFonts w:ascii="Humnst777 Lt BT" w:hAnsi="Humnst777 Lt BT" w:cs="Arial"/>
          <w:sz w:val="22"/>
        </w:rPr>
      </w:pPr>
      <w:r>
        <w:rPr>
          <w:rFonts w:ascii="Humnst777 Lt BT" w:hAnsi="Humnst777 Lt BT" w:cs="Arial"/>
          <w:sz w:val="22"/>
        </w:rPr>
        <w:t>For larger departments, or where departmental spending is spread over a substantial number of sub-programmes, co-ordinate the CRA return centrally, but delegate completion down to programme managers and those staff with the best overview of what regional data exists, including NDPBs and regional offices if necessary;</w:t>
      </w:r>
    </w:p>
    <w:p w:rsidR="00DA4B0F" w:rsidRDefault="00DA4B0F" w:rsidP="007857E0">
      <w:pPr>
        <w:pStyle w:val="NormalWeb"/>
        <w:numPr>
          <w:ilvl w:val="0"/>
          <w:numId w:val="1"/>
        </w:numPr>
        <w:tabs>
          <w:tab w:val="clear" w:pos="720"/>
          <w:tab w:val="num" w:pos="1080"/>
        </w:tabs>
        <w:spacing w:before="0" w:beforeAutospacing="0" w:after="120" w:afterAutospacing="0" w:line="360" w:lineRule="auto"/>
        <w:ind w:left="1077" w:hanging="357"/>
        <w:jc w:val="both"/>
        <w:rPr>
          <w:rFonts w:ascii="Humnst777 Lt BT" w:hAnsi="Humnst777 Lt BT" w:cs="Arial"/>
          <w:sz w:val="22"/>
        </w:rPr>
      </w:pPr>
      <w:r>
        <w:rPr>
          <w:rFonts w:ascii="Humnst777 Lt BT" w:hAnsi="Humnst777 Lt BT" w:cs="Arial"/>
          <w:sz w:val="22"/>
        </w:rPr>
        <w:t>Where grants go to NDPBs for distribution to private sector recipients, ask the NDPBs to allocate their spending by residence of recipient, or else provide information that will enable this to be done; and</w:t>
      </w:r>
    </w:p>
    <w:p w:rsidR="00DA4B0F" w:rsidRDefault="00DA4B0F" w:rsidP="007857E0">
      <w:pPr>
        <w:pStyle w:val="NormalWeb"/>
        <w:numPr>
          <w:ilvl w:val="0"/>
          <w:numId w:val="1"/>
        </w:numPr>
        <w:tabs>
          <w:tab w:val="clear" w:pos="720"/>
          <w:tab w:val="num" w:pos="1080"/>
        </w:tabs>
        <w:spacing w:after="240" w:afterAutospacing="0" w:line="360" w:lineRule="auto"/>
        <w:ind w:left="1077" w:hanging="357"/>
        <w:jc w:val="both"/>
        <w:rPr>
          <w:rFonts w:ascii="Humnst777 Lt BT" w:hAnsi="Humnst777 Lt BT" w:cs="Arial"/>
          <w:b/>
          <w:bCs/>
          <w:sz w:val="22"/>
        </w:rPr>
      </w:pPr>
      <w:r>
        <w:rPr>
          <w:rFonts w:ascii="Humnst777 Lt BT" w:hAnsi="Humnst777 Lt BT" w:cs="Arial"/>
          <w:sz w:val="22"/>
        </w:rPr>
        <w:t>Ensure that those downstream asked to provide returns (programme managers, NDPBs, etc) understand what is being asked of them, and have the information and guidance they need to do their allocations properly.</w:t>
      </w:r>
    </w:p>
    <w:p w:rsidR="00DA4B0F" w:rsidRDefault="00DA4B0F" w:rsidP="007857E0">
      <w:pPr>
        <w:pStyle w:val="Heading2"/>
        <w:spacing w:before="0" w:line="360" w:lineRule="auto"/>
        <w:rPr>
          <w:rFonts w:ascii="Humnst777 Lt BT" w:hAnsi="Humnst777 Lt BT"/>
          <w:i w:val="0"/>
          <w:iCs w:val="0"/>
          <w:sz w:val="22"/>
        </w:rPr>
      </w:pPr>
      <w:bookmarkStart w:id="7" w:name="_Toc244678217"/>
      <w:r>
        <w:rPr>
          <w:rFonts w:ascii="Humnst777 Lt BT" w:hAnsi="Humnst777 Lt BT"/>
          <w:i w:val="0"/>
          <w:iCs w:val="0"/>
          <w:sz w:val="22"/>
        </w:rPr>
        <w:t>2.2 Use information from non-finance sources</w:t>
      </w:r>
      <w:bookmarkEnd w:id="7"/>
    </w:p>
    <w:p w:rsidR="00DA4B0F" w:rsidRPr="00180902" w:rsidRDefault="00DA4B0F" w:rsidP="007857E0">
      <w:pPr>
        <w:spacing w:line="360" w:lineRule="auto"/>
        <w:rPr>
          <w:rFonts w:ascii="Humnst777 Lt BT" w:hAnsi="Humnst777 Lt BT"/>
          <w:sz w:val="22"/>
        </w:rPr>
      </w:pPr>
    </w:p>
    <w:p w:rsidR="00DA4B0F" w:rsidRDefault="00DA4B0F" w:rsidP="007857E0">
      <w:pPr>
        <w:pStyle w:val="NormalWeb"/>
        <w:spacing w:before="0" w:beforeAutospacing="0" w:after="120" w:afterAutospacing="0" w:line="360" w:lineRule="auto"/>
        <w:jc w:val="both"/>
        <w:rPr>
          <w:rFonts w:ascii="Humnst777 Lt BT" w:hAnsi="Humnst777 Lt BT" w:cs="Arial"/>
          <w:sz w:val="22"/>
        </w:rPr>
      </w:pPr>
      <w:r>
        <w:rPr>
          <w:rFonts w:ascii="Humnst777 Lt BT" w:hAnsi="Humnst777 Lt BT" w:cs="Arial"/>
          <w:sz w:val="22"/>
        </w:rPr>
        <w:t xml:space="preserve">12.   Consider what relevant data could be used for </w:t>
      </w:r>
      <w:r w:rsidR="004005DA">
        <w:rPr>
          <w:rFonts w:ascii="Humnst777 Lt BT" w:hAnsi="Humnst777 Lt BT" w:cs="Arial"/>
          <w:sz w:val="22"/>
        </w:rPr>
        <w:t>the different parts</w:t>
      </w:r>
      <w:r>
        <w:rPr>
          <w:rFonts w:ascii="Humnst777 Lt BT" w:hAnsi="Humnst777 Lt BT" w:cs="Arial"/>
          <w:sz w:val="22"/>
        </w:rPr>
        <w:t xml:space="preserve"> </w:t>
      </w:r>
      <w:r w:rsidR="004005DA">
        <w:rPr>
          <w:rFonts w:ascii="Humnst777 Lt BT" w:hAnsi="Humnst777 Lt BT" w:cs="Arial"/>
          <w:sz w:val="22"/>
        </w:rPr>
        <w:t xml:space="preserve">of each </w:t>
      </w:r>
      <w:r w:rsidR="0044621E">
        <w:rPr>
          <w:rFonts w:ascii="Humnst777 Lt BT" w:hAnsi="Humnst777 Lt BT" w:cs="Arial"/>
          <w:sz w:val="22"/>
        </w:rPr>
        <w:t xml:space="preserve">CRA </w:t>
      </w:r>
      <w:r w:rsidR="001B3AC3">
        <w:rPr>
          <w:rFonts w:ascii="Humnst777 Lt BT" w:hAnsi="Humnst777 Lt BT" w:cs="Arial"/>
          <w:sz w:val="22"/>
        </w:rPr>
        <w:t>segment</w:t>
      </w:r>
      <w:r>
        <w:rPr>
          <w:rFonts w:ascii="Humnst777 Lt BT" w:hAnsi="Humnst777 Lt BT" w:cs="Arial"/>
          <w:sz w:val="22"/>
        </w:rPr>
        <w:t xml:space="preserve">.  Use data from other sources besides departmental central finance.  </w:t>
      </w:r>
    </w:p>
    <w:p w:rsidR="00DA4B0F" w:rsidRDefault="00DA4B0F" w:rsidP="007857E0">
      <w:pPr>
        <w:pStyle w:val="NormalWeb"/>
        <w:spacing w:after="120" w:afterAutospacing="0" w:line="360" w:lineRule="auto"/>
        <w:jc w:val="both"/>
        <w:rPr>
          <w:rFonts w:ascii="Humnst777 Lt BT" w:hAnsi="Humnst777 Lt BT" w:cs="Arial"/>
          <w:i/>
          <w:iCs/>
          <w:sz w:val="22"/>
        </w:rPr>
      </w:pPr>
      <w:r>
        <w:rPr>
          <w:rFonts w:ascii="Humnst777 Lt BT" w:hAnsi="Humnst777 Lt BT" w:cs="Arial"/>
          <w:i/>
          <w:iCs/>
          <w:sz w:val="22"/>
        </w:rPr>
        <w:lastRenderedPageBreak/>
        <w:t xml:space="preserve">Example: </w:t>
      </w:r>
      <w:r w:rsidR="004005DA">
        <w:rPr>
          <w:rFonts w:ascii="Humnst777 Lt BT" w:hAnsi="Humnst777 Lt BT" w:cs="Arial"/>
          <w:b/>
          <w:bCs/>
          <w:i/>
          <w:iCs/>
          <w:sz w:val="22"/>
        </w:rPr>
        <w:t>Department of Health</w:t>
      </w:r>
      <w:r>
        <w:rPr>
          <w:rFonts w:ascii="Humnst777 Lt BT" w:hAnsi="Humnst777 Lt BT" w:cs="Arial"/>
          <w:b/>
          <w:bCs/>
          <w:i/>
          <w:iCs/>
          <w:sz w:val="22"/>
        </w:rPr>
        <w:t xml:space="preserve">.   </w:t>
      </w:r>
      <w:r>
        <w:rPr>
          <w:rFonts w:ascii="Humnst777 Lt BT" w:hAnsi="Humnst777 Lt BT" w:cs="Arial"/>
          <w:i/>
          <w:iCs/>
          <w:sz w:val="22"/>
        </w:rPr>
        <w:t xml:space="preserve"> Data is extracted from Primary Care Trusts' accounting system on the geographical location of patients treated.</w:t>
      </w:r>
    </w:p>
    <w:p w:rsidR="00DA4B0F" w:rsidRDefault="00DA4B0F" w:rsidP="007857E0">
      <w:pPr>
        <w:pStyle w:val="NormalWeb"/>
        <w:spacing w:after="120" w:afterAutospacing="0" w:line="360" w:lineRule="auto"/>
        <w:jc w:val="both"/>
        <w:rPr>
          <w:rFonts w:ascii="Humnst777 Lt BT" w:hAnsi="Humnst777 Lt BT" w:cs="Arial"/>
          <w:sz w:val="22"/>
        </w:rPr>
      </w:pPr>
      <w:r>
        <w:rPr>
          <w:rFonts w:ascii="Humnst777 Lt BT" w:hAnsi="Humnst777 Lt BT" w:cs="Arial"/>
          <w:sz w:val="22"/>
        </w:rPr>
        <w:t>13.   Where allocation of spending is formula driven, use those formulae as the basis for estimating a regional breakdown if directly measured data is not available.</w:t>
      </w:r>
    </w:p>
    <w:p w:rsidR="00DA4B0F" w:rsidRDefault="00DA4B0F" w:rsidP="007857E0">
      <w:pPr>
        <w:pStyle w:val="NormalWeb"/>
        <w:spacing w:after="120" w:afterAutospacing="0" w:line="360" w:lineRule="auto"/>
        <w:jc w:val="both"/>
        <w:rPr>
          <w:rFonts w:ascii="Humnst777 Lt BT" w:hAnsi="Humnst777 Lt BT" w:cs="Arial"/>
          <w:sz w:val="22"/>
        </w:rPr>
      </w:pPr>
      <w:r>
        <w:rPr>
          <w:rFonts w:ascii="Humnst777 Lt BT" w:hAnsi="Humnst777 Lt BT" w:cs="Arial"/>
          <w:sz w:val="22"/>
        </w:rPr>
        <w:t xml:space="preserve">14.   Where directly measured data is not available, use an indicator appropriate to that type of spending.  However, don’t automatically use the obvious ones like population or GDP proportions - they are unlikely to be appropriate for any spending that has been classed as identifiable by region. </w:t>
      </w:r>
    </w:p>
    <w:p w:rsidR="00DA4B0F" w:rsidRDefault="00DA4B0F" w:rsidP="007857E0">
      <w:pPr>
        <w:pStyle w:val="NormalWeb"/>
        <w:spacing w:line="360" w:lineRule="auto"/>
        <w:jc w:val="both"/>
        <w:rPr>
          <w:rFonts w:ascii="Humnst777 Lt BT" w:hAnsi="Humnst777 Lt BT" w:cs="Arial"/>
          <w:sz w:val="22"/>
        </w:rPr>
      </w:pPr>
      <w:r>
        <w:rPr>
          <w:rFonts w:ascii="Humnst777 Lt BT" w:hAnsi="Humnst777 Lt BT" w:cs="Arial"/>
          <w:sz w:val="22"/>
        </w:rPr>
        <w:t xml:space="preserve">15.   Where </w:t>
      </w:r>
      <w:r w:rsidR="004005DA">
        <w:rPr>
          <w:rFonts w:ascii="Humnst777 Lt BT" w:hAnsi="Humnst777 Lt BT" w:cs="Arial"/>
          <w:sz w:val="22"/>
        </w:rPr>
        <w:t>central government</w:t>
      </w:r>
      <w:r>
        <w:rPr>
          <w:rFonts w:ascii="Humnst777 Lt BT" w:hAnsi="Humnst777 Lt BT" w:cs="Arial"/>
          <w:sz w:val="22"/>
        </w:rPr>
        <w:t xml:space="preserve"> provides central services in support of </w:t>
      </w:r>
      <w:r w:rsidR="004005DA">
        <w:rPr>
          <w:rFonts w:ascii="Humnst777 Lt BT" w:hAnsi="Humnst777 Lt BT" w:cs="Arial"/>
          <w:sz w:val="22"/>
        </w:rPr>
        <w:t>local authority</w:t>
      </w:r>
      <w:r>
        <w:rPr>
          <w:rFonts w:ascii="Humnst777 Lt BT" w:hAnsi="Humnst777 Lt BT" w:cs="Arial"/>
          <w:sz w:val="22"/>
        </w:rPr>
        <w:t xml:space="preserve"> spending (e.g. schools education) consider using </w:t>
      </w:r>
      <w:r w:rsidR="004005DA">
        <w:rPr>
          <w:rFonts w:ascii="Humnst777 Lt BT" w:hAnsi="Humnst777 Lt BT" w:cs="Arial"/>
          <w:sz w:val="22"/>
        </w:rPr>
        <w:t>local authority</w:t>
      </w:r>
      <w:r>
        <w:rPr>
          <w:rFonts w:ascii="Humnst777 Lt BT" w:hAnsi="Humnst777 Lt BT" w:cs="Arial"/>
          <w:sz w:val="22"/>
        </w:rPr>
        <w:t xml:space="preserve"> spending data as an indicator. </w:t>
      </w:r>
    </w:p>
    <w:p w:rsidR="00DA4B0F" w:rsidRDefault="00DA4B0F" w:rsidP="007857E0">
      <w:pPr>
        <w:pStyle w:val="Heading2"/>
        <w:spacing w:line="360" w:lineRule="auto"/>
        <w:rPr>
          <w:rFonts w:ascii="Humnst777 Lt BT" w:hAnsi="Humnst777 Lt BT"/>
          <w:i w:val="0"/>
          <w:iCs w:val="0"/>
          <w:sz w:val="22"/>
        </w:rPr>
      </w:pPr>
      <w:bookmarkStart w:id="8" w:name="_Toc244678218"/>
      <w:r>
        <w:rPr>
          <w:rFonts w:ascii="Humnst777 Lt BT" w:hAnsi="Humnst777 Lt BT"/>
          <w:i w:val="0"/>
          <w:iCs w:val="0"/>
          <w:sz w:val="22"/>
        </w:rPr>
        <w:t>2.3 Improving data sources</w:t>
      </w:r>
      <w:bookmarkEnd w:id="8"/>
      <w:r>
        <w:rPr>
          <w:rFonts w:ascii="Humnst777 Lt BT" w:hAnsi="Humnst777 Lt BT"/>
          <w:i w:val="0"/>
          <w:iCs w:val="0"/>
          <w:sz w:val="22"/>
        </w:rPr>
        <w:t xml:space="preserve"> </w:t>
      </w:r>
    </w:p>
    <w:p w:rsidR="00DA4B0F" w:rsidRDefault="00DA4B0F" w:rsidP="007857E0">
      <w:pPr>
        <w:pStyle w:val="NormalWeb"/>
        <w:spacing w:after="120" w:afterAutospacing="0" w:line="360" w:lineRule="auto"/>
        <w:jc w:val="both"/>
        <w:rPr>
          <w:rFonts w:ascii="Humnst777 Lt BT" w:hAnsi="Humnst777 Lt BT" w:cs="Arial"/>
          <w:sz w:val="22"/>
        </w:rPr>
      </w:pPr>
      <w:r>
        <w:rPr>
          <w:rFonts w:ascii="Humnst777 Lt BT" w:hAnsi="Humnst777 Lt BT" w:cs="Arial"/>
          <w:sz w:val="22"/>
        </w:rPr>
        <w:t>16.   In departmental accounting systems, record</w:t>
      </w:r>
      <w:r w:rsidR="004005DA">
        <w:rPr>
          <w:rFonts w:ascii="Humnst777 Lt BT" w:hAnsi="Humnst777 Lt BT" w:cs="Arial"/>
          <w:sz w:val="22"/>
        </w:rPr>
        <w:t>ing</w:t>
      </w:r>
      <w:r>
        <w:rPr>
          <w:rFonts w:ascii="Humnst777 Lt BT" w:hAnsi="Humnst777 Lt BT" w:cs="Arial"/>
          <w:sz w:val="22"/>
        </w:rPr>
        <w:t xml:space="preserve"> some information on where spending takes place as a matter of course</w:t>
      </w:r>
      <w:r w:rsidR="004005DA">
        <w:rPr>
          <w:rFonts w:ascii="Humnst777 Lt BT" w:hAnsi="Humnst777 Lt BT" w:cs="Arial"/>
          <w:sz w:val="22"/>
        </w:rPr>
        <w:t xml:space="preserve"> is best practice</w:t>
      </w:r>
      <w:r>
        <w:rPr>
          <w:rFonts w:ascii="Humnst777 Lt BT" w:hAnsi="Humnst777 Lt BT" w:cs="Arial"/>
          <w:sz w:val="22"/>
        </w:rPr>
        <w:t>.</w:t>
      </w:r>
    </w:p>
    <w:p w:rsidR="00DA4B0F" w:rsidRDefault="00DA4B0F" w:rsidP="007857E0">
      <w:pPr>
        <w:pStyle w:val="NormalWeb"/>
        <w:spacing w:before="0" w:beforeAutospacing="0" w:after="240" w:afterAutospacing="0" w:line="360" w:lineRule="auto"/>
        <w:jc w:val="both"/>
        <w:rPr>
          <w:rFonts w:ascii="Humnst777 Lt BT" w:hAnsi="Humnst777 Lt BT" w:cs="Arial"/>
          <w:i/>
          <w:iCs/>
          <w:sz w:val="22"/>
        </w:rPr>
      </w:pPr>
      <w:r>
        <w:rPr>
          <w:rFonts w:ascii="Humnst777 Lt BT" w:hAnsi="Humnst777 Lt BT" w:cs="Arial"/>
          <w:i/>
          <w:iCs/>
          <w:sz w:val="22"/>
        </w:rPr>
        <w:t xml:space="preserve">Example:  </w:t>
      </w:r>
      <w:r w:rsidR="004005DA" w:rsidRPr="004005DA">
        <w:rPr>
          <w:rFonts w:ascii="Humnst777 Lt BT" w:hAnsi="Humnst777 Lt BT" w:cs="Arial"/>
          <w:b/>
          <w:i/>
          <w:iCs/>
          <w:sz w:val="22"/>
        </w:rPr>
        <w:t>The</w:t>
      </w:r>
      <w:r w:rsidR="004005DA">
        <w:rPr>
          <w:rFonts w:ascii="Humnst777 Lt BT" w:hAnsi="Humnst777 Lt BT" w:cs="Arial"/>
          <w:i/>
          <w:iCs/>
          <w:sz w:val="22"/>
        </w:rPr>
        <w:t xml:space="preserve"> </w:t>
      </w:r>
      <w:r>
        <w:rPr>
          <w:rFonts w:ascii="Humnst777 Lt BT" w:hAnsi="Humnst777 Lt BT" w:cs="Arial"/>
          <w:b/>
          <w:bCs/>
          <w:i/>
          <w:iCs/>
          <w:sz w:val="22"/>
        </w:rPr>
        <w:t xml:space="preserve">Forestry Commission.   </w:t>
      </w:r>
      <w:r>
        <w:rPr>
          <w:rFonts w:ascii="Humnst777 Lt BT" w:hAnsi="Humnst777 Lt BT" w:cs="Arial"/>
          <w:i/>
          <w:iCs/>
          <w:sz w:val="22"/>
        </w:rPr>
        <w:t>They have</w:t>
      </w:r>
      <w:r>
        <w:rPr>
          <w:rFonts w:ascii="Humnst777 Lt BT" w:hAnsi="Humnst777 Lt BT" w:cs="Arial"/>
          <w:b/>
          <w:bCs/>
          <w:i/>
          <w:iCs/>
          <w:sz w:val="22"/>
        </w:rPr>
        <w:t xml:space="preserve"> </w:t>
      </w:r>
      <w:r>
        <w:rPr>
          <w:rFonts w:ascii="Humnst777 Lt BT" w:hAnsi="Humnst777 Lt BT" w:cs="Arial"/>
          <w:i/>
          <w:iCs/>
          <w:sz w:val="22"/>
        </w:rPr>
        <w:t>unique regional codes on their ledgers.</w:t>
      </w:r>
    </w:p>
    <w:p w:rsidR="00DA4B0F" w:rsidRDefault="00DA4B0F" w:rsidP="007857E0">
      <w:pPr>
        <w:pStyle w:val="NormalWeb"/>
        <w:spacing w:after="240" w:afterAutospacing="0" w:line="360" w:lineRule="auto"/>
        <w:jc w:val="both"/>
        <w:rPr>
          <w:rFonts w:ascii="Humnst777 Lt BT" w:hAnsi="Humnst777 Lt BT" w:cs="Arial"/>
          <w:sz w:val="22"/>
        </w:rPr>
      </w:pPr>
      <w:r>
        <w:rPr>
          <w:rFonts w:ascii="Humnst777 Lt BT" w:hAnsi="Humnst777 Lt BT" w:cs="Arial"/>
          <w:sz w:val="22"/>
        </w:rPr>
        <w:t xml:space="preserve">17.   </w:t>
      </w:r>
      <w:proofErr w:type="gramStart"/>
      <w:r>
        <w:rPr>
          <w:rFonts w:ascii="Humnst777 Lt BT" w:hAnsi="Humnst777 Lt BT" w:cs="Arial"/>
          <w:sz w:val="22"/>
        </w:rPr>
        <w:t>For</w:t>
      </w:r>
      <w:proofErr w:type="gramEnd"/>
      <w:r>
        <w:rPr>
          <w:rFonts w:ascii="Humnst777 Lt BT" w:hAnsi="Humnst777 Lt BT" w:cs="Arial"/>
          <w:sz w:val="22"/>
        </w:rPr>
        <w:t xml:space="preserve"> transfer payments (current grants, subsidies, capital grants), collect data on postcode of recipients.  Where grants are paid out by NDPBs, encourage NDPBs to collect postcode data for recipients.</w:t>
      </w:r>
    </w:p>
    <w:p w:rsidR="00DA4B0F" w:rsidRDefault="00DA4B0F" w:rsidP="007857E0">
      <w:pPr>
        <w:pStyle w:val="NormalWeb"/>
        <w:spacing w:after="120" w:afterAutospacing="0" w:line="360" w:lineRule="auto"/>
        <w:jc w:val="both"/>
        <w:rPr>
          <w:rFonts w:ascii="Humnst777 Lt BT" w:hAnsi="Humnst777 Lt BT" w:cs="Arial"/>
          <w:sz w:val="22"/>
        </w:rPr>
      </w:pPr>
      <w:r>
        <w:rPr>
          <w:rFonts w:ascii="Humnst777 Lt BT" w:hAnsi="Humnst777 Lt BT" w:cs="Arial"/>
          <w:sz w:val="22"/>
        </w:rPr>
        <w:t xml:space="preserve">18.   Where payments go through a ‘head office’ of some kind, ask ‘head office’ recipients for location information on the final recipients. </w:t>
      </w:r>
    </w:p>
    <w:p w:rsidR="00DA4B0F" w:rsidRDefault="00DA4B0F" w:rsidP="007857E0">
      <w:pPr>
        <w:pStyle w:val="NormalWeb"/>
        <w:spacing w:before="0" w:beforeAutospacing="0" w:line="360" w:lineRule="auto"/>
        <w:jc w:val="both"/>
        <w:rPr>
          <w:rFonts w:ascii="Humnst777 Lt BT" w:hAnsi="Humnst777 Lt BT" w:cs="Arial"/>
          <w:i/>
          <w:iCs/>
          <w:sz w:val="22"/>
        </w:rPr>
      </w:pPr>
      <w:r>
        <w:rPr>
          <w:rFonts w:ascii="Humnst777 Lt BT" w:hAnsi="Humnst777 Lt BT" w:cs="Arial"/>
          <w:i/>
          <w:iCs/>
          <w:sz w:val="22"/>
        </w:rPr>
        <w:t xml:space="preserve">Example:  </w:t>
      </w:r>
      <w:r>
        <w:rPr>
          <w:rFonts w:ascii="Humnst777 Lt BT" w:hAnsi="Humnst777 Lt BT" w:cs="Arial"/>
          <w:b/>
          <w:bCs/>
          <w:i/>
          <w:iCs/>
          <w:sz w:val="22"/>
        </w:rPr>
        <w:t>DEFRA (Rural Payment Agency).</w:t>
      </w:r>
      <w:r>
        <w:rPr>
          <w:rFonts w:ascii="Humnst777 Lt BT" w:hAnsi="Humnst777 Lt BT" w:cs="Arial"/>
          <w:i/>
          <w:iCs/>
          <w:sz w:val="22"/>
        </w:rPr>
        <w:t xml:space="preserve">  Direct payments under CAP are based on postcodes per region. In preparing the Treasury return, </w:t>
      </w:r>
      <w:r w:rsidR="003A7FD6">
        <w:rPr>
          <w:rFonts w:ascii="Humnst777 Lt BT" w:hAnsi="Humnst777 Lt BT" w:cs="Arial"/>
          <w:i/>
          <w:iCs/>
          <w:sz w:val="22"/>
        </w:rPr>
        <w:t xml:space="preserve">the </w:t>
      </w:r>
      <w:r>
        <w:rPr>
          <w:rFonts w:ascii="Humnst777 Lt BT" w:hAnsi="Humnst777 Lt BT" w:cs="Arial"/>
          <w:i/>
          <w:iCs/>
          <w:sz w:val="22"/>
        </w:rPr>
        <w:t>R</w:t>
      </w:r>
      <w:r w:rsidR="003A7FD6">
        <w:rPr>
          <w:rFonts w:ascii="Humnst777 Lt BT" w:hAnsi="Humnst777 Lt BT" w:cs="Arial"/>
          <w:i/>
          <w:iCs/>
          <w:sz w:val="22"/>
        </w:rPr>
        <w:t xml:space="preserve">ural </w:t>
      </w:r>
      <w:r>
        <w:rPr>
          <w:rFonts w:ascii="Humnst777 Lt BT" w:hAnsi="Humnst777 Lt BT" w:cs="Arial"/>
          <w:i/>
          <w:iCs/>
          <w:sz w:val="22"/>
        </w:rPr>
        <w:t>P</w:t>
      </w:r>
      <w:r w:rsidR="003A7FD6">
        <w:rPr>
          <w:rFonts w:ascii="Humnst777 Lt BT" w:hAnsi="Humnst777 Lt BT" w:cs="Arial"/>
          <w:i/>
          <w:iCs/>
          <w:sz w:val="22"/>
        </w:rPr>
        <w:t xml:space="preserve">ayment </w:t>
      </w:r>
      <w:r>
        <w:rPr>
          <w:rFonts w:ascii="Humnst777 Lt BT" w:hAnsi="Humnst777 Lt BT" w:cs="Arial"/>
          <w:i/>
          <w:iCs/>
          <w:sz w:val="22"/>
        </w:rPr>
        <w:t>A</w:t>
      </w:r>
      <w:r w:rsidR="003A7FD6">
        <w:rPr>
          <w:rFonts w:ascii="Humnst777 Lt BT" w:hAnsi="Humnst777 Lt BT" w:cs="Arial"/>
          <w:i/>
          <w:iCs/>
          <w:sz w:val="22"/>
        </w:rPr>
        <w:t>gency</w:t>
      </w:r>
      <w:r>
        <w:rPr>
          <w:rFonts w:ascii="Humnst777 Lt BT" w:hAnsi="Humnst777 Lt BT" w:cs="Arial"/>
          <w:i/>
          <w:iCs/>
          <w:sz w:val="22"/>
        </w:rPr>
        <w:t xml:space="preserve"> </w:t>
      </w:r>
      <w:proofErr w:type="gramStart"/>
      <w:r>
        <w:rPr>
          <w:rFonts w:ascii="Humnst777 Lt BT" w:hAnsi="Humnst777 Lt BT" w:cs="Arial"/>
          <w:i/>
          <w:iCs/>
          <w:sz w:val="22"/>
        </w:rPr>
        <w:t>get</w:t>
      </w:r>
      <w:proofErr w:type="gramEnd"/>
      <w:r>
        <w:rPr>
          <w:rFonts w:ascii="Humnst777 Lt BT" w:hAnsi="Humnst777 Lt BT" w:cs="Arial"/>
          <w:i/>
          <w:iCs/>
          <w:sz w:val="22"/>
        </w:rPr>
        <w:t xml:space="preserve"> their technicians to sort all payments by postcode, and allocate them to regions.</w:t>
      </w:r>
    </w:p>
    <w:p w:rsidR="00DA4B0F" w:rsidRDefault="001526AC" w:rsidP="007857E0">
      <w:pPr>
        <w:pStyle w:val="Heading1"/>
        <w:rPr>
          <w:rFonts w:ascii="Humnst777 Lt BT" w:hAnsi="Humnst777 Lt BT"/>
          <w:sz w:val="22"/>
        </w:rPr>
      </w:pPr>
      <w:bookmarkStart w:id="9" w:name="_Toc244678219"/>
      <w:r>
        <w:rPr>
          <w:rFonts w:ascii="Humnst777 Lt BT" w:hAnsi="Humnst777 Lt BT"/>
          <w:sz w:val="22"/>
        </w:rPr>
        <w:br w:type="page"/>
      </w:r>
      <w:r w:rsidR="00DA4B0F">
        <w:rPr>
          <w:rFonts w:ascii="Humnst777 Lt BT" w:hAnsi="Humnst777 Lt BT"/>
          <w:sz w:val="22"/>
        </w:rPr>
        <w:lastRenderedPageBreak/>
        <w:t xml:space="preserve">3. CRA data </w:t>
      </w:r>
      <w:r w:rsidR="001B3AC3">
        <w:rPr>
          <w:rFonts w:ascii="Humnst777 Lt BT" w:hAnsi="Humnst777 Lt BT"/>
          <w:sz w:val="22"/>
        </w:rPr>
        <w:t>are</w:t>
      </w:r>
      <w:r w:rsidR="00DA4B0F">
        <w:rPr>
          <w:rFonts w:ascii="Humnst777 Lt BT" w:hAnsi="Humnst777 Lt BT"/>
          <w:sz w:val="22"/>
        </w:rPr>
        <w:t xml:space="preserve"> National Statistics</w:t>
      </w:r>
      <w:bookmarkEnd w:id="9"/>
    </w:p>
    <w:p w:rsidR="00DA4B0F" w:rsidRDefault="00DA4B0F" w:rsidP="007857E0">
      <w:pPr>
        <w:pStyle w:val="BodyText3"/>
        <w:spacing w:before="100" w:beforeAutospacing="1" w:after="240"/>
        <w:rPr>
          <w:rFonts w:ascii="Humnst777 Lt BT" w:hAnsi="Humnst777 Lt BT"/>
          <w:sz w:val="22"/>
        </w:rPr>
      </w:pPr>
      <w:r>
        <w:rPr>
          <w:rFonts w:ascii="Humnst777 Lt BT" w:hAnsi="Humnst777 Lt BT"/>
          <w:sz w:val="22"/>
        </w:rPr>
        <w:t xml:space="preserve">19.   The outturn CRA data that you hold and supply are covered by the National Statistics protocols. </w:t>
      </w:r>
    </w:p>
    <w:p w:rsidR="00DA4B0F" w:rsidRDefault="00DA4B0F" w:rsidP="007857E0">
      <w:pPr>
        <w:spacing w:before="100" w:beforeAutospacing="1" w:after="120" w:line="360" w:lineRule="auto"/>
        <w:rPr>
          <w:rFonts w:ascii="Humnst777 Lt BT" w:hAnsi="Humnst777 Lt BT" w:cs="Arial"/>
          <w:sz w:val="22"/>
        </w:rPr>
      </w:pPr>
      <w:r>
        <w:rPr>
          <w:rFonts w:ascii="Humnst777 Lt BT" w:hAnsi="Humnst777 Lt BT" w:cs="Arial"/>
          <w:sz w:val="22"/>
        </w:rPr>
        <w:t xml:space="preserve">20.   We accept that departments’ aggregate expenditure data normally originate in their own accounting systems, and that this data is not covered by National Statistics protocols.  Therefore, access to this data both for internal and external (e.g. Main Estimates) purposes does not need to be restricted.  </w:t>
      </w:r>
    </w:p>
    <w:p w:rsidR="00DA4B0F" w:rsidRDefault="00DA4B0F" w:rsidP="007857E0">
      <w:pPr>
        <w:spacing w:before="100" w:beforeAutospacing="1" w:after="120" w:line="360" w:lineRule="auto"/>
        <w:rPr>
          <w:rFonts w:ascii="Humnst777 Lt BT" w:hAnsi="Humnst777 Lt BT" w:cs="Arial"/>
          <w:sz w:val="22"/>
        </w:rPr>
      </w:pPr>
      <w:r>
        <w:rPr>
          <w:rFonts w:ascii="Humnst777 Lt BT" w:hAnsi="Humnst777 Lt BT" w:cs="Arial"/>
          <w:sz w:val="22"/>
        </w:rPr>
        <w:t xml:space="preserve">21.   However, the accounting data will normally have been statistically processed in order to generate the regional split of numbers.  Since the </w:t>
      </w:r>
      <w:r w:rsidR="003719A4">
        <w:rPr>
          <w:rFonts w:ascii="Humnst777 Lt BT" w:hAnsi="Humnst777 Lt BT" w:cs="Arial"/>
          <w:sz w:val="22"/>
        </w:rPr>
        <w:t xml:space="preserve">CRA </w:t>
      </w:r>
      <w:r>
        <w:rPr>
          <w:rFonts w:ascii="Humnst777 Lt BT" w:hAnsi="Humnst777 Lt BT" w:cs="Arial"/>
          <w:sz w:val="22"/>
        </w:rPr>
        <w:t xml:space="preserve">outturn data published in the </w:t>
      </w:r>
      <w:r w:rsidR="003719A4">
        <w:rPr>
          <w:rFonts w:ascii="Humnst777 Lt BT" w:hAnsi="Humnst777 Lt BT" w:cs="Arial"/>
          <w:sz w:val="22"/>
        </w:rPr>
        <w:t xml:space="preserve">PSS or </w:t>
      </w:r>
      <w:r>
        <w:rPr>
          <w:rFonts w:ascii="Humnst777 Lt BT" w:hAnsi="Humnst777 Lt BT" w:cs="Arial"/>
          <w:sz w:val="22"/>
        </w:rPr>
        <w:t>in PESA are published as National Statistics</w:t>
      </w:r>
      <w:r w:rsidR="003719A4">
        <w:rPr>
          <w:rFonts w:ascii="Humnst777 Lt BT" w:hAnsi="Humnst777 Lt BT" w:cs="Arial"/>
          <w:sz w:val="22"/>
        </w:rPr>
        <w:t>,</w:t>
      </w:r>
      <w:r>
        <w:rPr>
          <w:rFonts w:ascii="Humnst777 Lt BT" w:hAnsi="Humnst777 Lt BT" w:cs="Arial"/>
          <w:sz w:val="22"/>
        </w:rPr>
        <w:t xml:space="preserve"> it follows that the underlying departmental data showing a regional split should also be seen as National Statistics.</w:t>
      </w:r>
    </w:p>
    <w:p w:rsidR="00DA4B0F" w:rsidRDefault="00DA4B0F" w:rsidP="007857E0">
      <w:pPr>
        <w:pStyle w:val="NormalWeb"/>
        <w:spacing w:after="120" w:afterAutospacing="0" w:line="360" w:lineRule="auto"/>
        <w:jc w:val="both"/>
        <w:rPr>
          <w:rFonts w:ascii="Humnst777 Lt BT" w:hAnsi="Humnst777 Lt BT" w:cs="Arial"/>
          <w:sz w:val="22"/>
        </w:rPr>
      </w:pPr>
      <w:r>
        <w:rPr>
          <w:rFonts w:ascii="Humnst777 Lt BT" w:hAnsi="Humnst777 Lt BT" w:cs="Arial"/>
          <w:sz w:val="22"/>
        </w:rPr>
        <w:t xml:space="preserve">22.   The implication of treatment as National Statistics is that access restrictions to the regional data should apply in accordance with the Code of Practice for Official Statistics until publication </w:t>
      </w:r>
      <w:r w:rsidR="003719A4">
        <w:rPr>
          <w:rFonts w:ascii="Humnst777 Lt BT" w:hAnsi="Humnst777 Lt BT" w:cs="Arial"/>
          <w:sz w:val="22"/>
        </w:rPr>
        <w:t>of the PSS</w:t>
      </w:r>
      <w:r>
        <w:rPr>
          <w:rFonts w:ascii="Humnst777 Lt BT" w:hAnsi="Humnst777 Lt BT" w:cs="Arial"/>
          <w:sz w:val="22"/>
        </w:rPr>
        <w:t>. In particular:</w:t>
      </w:r>
    </w:p>
    <w:p w:rsidR="003A7FD6" w:rsidRDefault="00DA4B0F" w:rsidP="007857E0">
      <w:pPr>
        <w:pStyle w:val="NormalWeb"/>
        <w:numPr>
          <w:ilvl w:val="0"/>
          <w:numId w:val="14"/>
        </w:numPr>
        <w:tabs>
          <w:tab w:val="clear" w:pos="720"/>
          <w:tab w:val="num" w:pos="1080"/>
        </w:tabs>
        <w:spacing w:before="0" w:beforeAutospacing="0" w:line="360" w:lineRule="auto"/>
        <w:ind w:left="1077" w:hanging="357"/>
        <w:jc w:val="both"/>
        <w:rPr>
          <w:rFonts w:ascii="Humnst777 Lt BT" w:hAnsi="Humnst777 Lt BT" w:cs="Arial"/>
          <w:sz w:val="22"/>
        </w:rPr>
      </w:pPr>
      <w:r>
        <w:rPr>
          <w:rFonts w:ascii="Humnst777 Lt BT" w:hAnsi="Humnst777 Lt BT" w:cs="Arial"/>
          <w:sz w:val="22"/>
        </w:rPr>
        <w:t>Data should not be released into the public domain until P</w:t>
      </w:r>
      <w:r w:rsidR="003719A4">
        <w:rPr>
          <w:rFonts w:ascii="Humnst777 Lt BT" w:hAnsi="Humnst777 Lt BT" w:cs="Arial"/>
          <w:sz w:val="22"/>
        </w:rPr>
        <w:t>SS</w:t>
      </w:r>
      <w:r>
        <w:rPr>
          <w:rFonts w:ascii="Humnst777 Lt BT" w:hAnsi="Humnst777 Lt BT" w:cs="Arial"/>
          <w:sz w:val="22"/>
        </w:rPr>
        <w:t xml:space="preserve"> has been published.  </w:t>
      </w:r>
      <w:r w:rsidR="003719A4">
        <w:rPr>
          <w:rFonts w:ascii="Humnst777 Lt BT" w:hAnsi="Humnst777 Lt BT" w:cs="Arial"/>
          <w:sz w:val="22"/>
        </w:rPr>
        <w:t>The CRA is first published in October as part of the PSS release</w:t>
      </w:r>
      <w:r>
        <w:rPr>
          <w:rFonts w:ascii="Humnst777 Lt BT" w:hAnsi="Humnst777 Lt BT" w:cs="Arial"/>
          <w:sz w:val="22"/>
        </w:rPr>
        <w:t>.  Once P</w:t>
      </w:r>
      <w:r w:rsidR="003719A4">
        <w:rPr>
          <w:rFonts w:ascii="Humnst777 Lt BT" w:hAnsi="Humnst777 Lt BT" w:cs="Arial"/>
          <w:sz w:val="22"/>
        </w:rPr>
        <w:t>SS</w:t>
      </w:r>
      <w:r>
        <w:rPr>
          <w:rFonts w:ascii="Humnst777 Lt BT" w:hAnsi="Humnst777 Lt BT" w:cs="Arial"/>
          <w:sz w:val="22"/>
        </w:rPr>
        <w:t xml:space="preserve"> has been published, no further access restrictions need be observed on grounds of National Statistics, even though the D</w:t>
      </w:r>
      <w:r w:rsidR="003A7FD6">
        <w:rPr>
          <w:rFonts w:ascii="Humnst777 Lt BT" w:hAnsi="Humnst777 Lt BT" w:cs="Arial"/>
          <w:sz w:val="22"/>
        </w:rPr>
        <w:t xml:space="preserve">epartmental </w:t>
      </w:r>
      <w:r>
        <w:rPr>
          <w:rFonts w:ascii="Humnst777 Lt BT" w:hAnsi="Humnst777 Lt BT" w:cs="Arial"/>
          <w:sz w:val="22"/>
        </w:rPr>
        <w:t>R</w:t>
      </w:r>
      <w:r w:rsidR="003A7FD6">
        <w:rPr>
          <w:rFonts w:ascii="Humnst777 Lt BT" w:hAnsi="Humnst777 Lt BT" w:cs="Arial"/>
          <w:sz w:val="22"/>
        </w:rPr>
        <w:t>eport</w:t>
      </w:r>
      <w:r>
        <w:rPr>
          <w:rFonts w:ascii="Humnst777 Lt BT" w:hAnsi="Humnst777 Lt BT" w:cs="Arial"/>
          <w:sz w:val="22"/>
        </w:rPr>
        <w:t xml:space="preserve"> </w:t>
      </w:r>
      <w:r w:rsidR="003A7FD6">
        <w:rPr>
          <w:rFonts w:ascii="Humnst777 Lt BT" w:hAnsi="Humnst777 Lt BT" w:cs="Arial"/>
          <w:sz w:val="22"/>
        </w:rPr>
        <w:t xml:space="preserve">core </w:t>
      </w:r>
      <w:r>
        <w:rPr>
          <w:rFonts w:ascii="Humnst777 Lt BT" w:hAnsi="Humnst777 Lt BT" w:cs="Arial"/>
          <w:sz w:val="22"/>
        </w:rPr>
        <w:t>tables will not yet have been published; and</w:t>
      </w:r>
    </w:p>
    <w:p w:rsidR="003A7FD6" w:rsidRPr="003A7FD6" w:rsidRDefault="003A7FD6" w:rsidP="007857E0">
      <w:pPr>
        <w:pStyle w:val="NormalWeb"/>
        <w:spacing w:after="120" w:afterAutospacing="0" w:line="360" w:lineRule="auto"/>
        <w:jc w:val="both"/>
        <w:rPr>
          <w:rFonts w:ascii="Humnst777 Lt BT" w:hAnsi="Humnst777 Lt BT" w:cs="Arial"/>
          <w:sz w:val="22"/>
        </w:rPr>
      </w:pPr>
      <w:r>
        <w:rPr>
          <w:rFonts w:ascii="Humnst777 Lt BT" w:hAnsi="Humnst777 Lt BT" w:cs="Arial"/>
          <w:sz w:val="22"/>
        </w:rPr>
        <w:t xml:space="preserve">23.  Please note, however, that </w:t>
      </w:r>
      <w:r w:rsidR="00DA4B0F" w:rsidRPr="003A7FD6">
        <w:rPr>
          <w:rFonts w:ascii="Humnst777 Lt BT" w:hAnsi="Humnst777 Lt BT" w:cs="Arial"/>
          <w:sz w:val="22"/>
        </w:rPr>
        <w:t>CRA data, and associated briefing may be provided to Ministers and special advisors up to 24 hours in advance of the P</w:t>
      </w:r>
      <w:r w:rsidR="00477F07" w:rsidRPr="003A7FD6">
        <w:rPr>
          <w:rFonts w:ascii="Humnst777 Lt BT" w:hAnsi="Humnst777 Lt BT" w:cs="Arial"/>
          <w:sz w:val="22"/>
        </w:rPr>
        <w:t>SS</w:t>
      </w:r>
      <w:r w:rsidR="00DA4B0F" w:rsidRPr="003A7FD6">
        <w:rPr>
          <w:rFonts w:ascii="Humnst777 Lt BT" w:hAnsi="Humnst777 Lt BT" w:cs="Arial"/>
          <w:sz w:val="22"/>
        </w:rPr>
        <w:t xml:space="preserve"> publication for briefing purposes.</w:t>
      </w:r>
    </w:p>
    <w:p w:rsidR="00DA4B0F" w:rsidRDefault="00DA4B0F" w:rsidP="007857E0">
      <w:pPr>
        <w:pStyle w:val="Numpara"/>
        <w:keepNext/>
        <w:numPr>
          <w:ilvl w:val="0"/>
          <w:numId w:val="0"/>
        </w:numPr>
        <w:spacing w:before="100" w:beforeAutospacing="1" w:line="360" w:lineRule="auto"/>
        <w:rPr>
          <w:rFonts w:ascii="Humnst777 Lt BT" w:hAnsi="Humnst777 Lt BT" w:cs="Arial"/>
          <w:sz w:val="22"/>
        </w:rPr>
      </w:pPr>
      <w:r>
        <w:rPr>
          <w:rFonts w:ascii="Humnst777 Lt BT" w:hAnsi="Humnst777 Lt BT" w:cs="Arial"/>
          <w:sz w:val="22"/>
        </w:rPr>
        <w:lastRenderedPageBreak/>
        <w:t>2</w:t>
      </w:r>
      <w:r w:rsidR="003A7FD6">
        <w:rPr>
          <w:rFonts w:ascii="Humnst777 Lt BT" w:hAnsi="Humnst777 Lt BT" w:cs="Arial"/>
          <w:sz w:val="22"/>
        </w:rPr>
        <w:t>4</w:t>
      </w:r>
      <w:r>
        <w:rPr>
          <w:rFonts w:ascii="Humnst777 Lt BT" w:hAnsi="Humnst777 Lt BT" w:cs="Arial"/>
          <w:sz w:val="22"/>
        </w:rPr>
        <w:t>.   The exceptions to treating CRA data f</w:t>
      </w:r>
      <w:r w:rsidR="003A7FD6">
        <w:rPr>
          <w:rFonts w:ascii="Humnst777 Lt BT" w:hAnsi="Humnst777 Lt BT" w:cs="Arial"/>
          <w:sz w:val="22"/>
        </w:rPr>
        <w:t xml:space="preserve">ully as National Statistics are </w:t>
      </w:r>
      <w:r>
        <w:rPr>
          <w:rFonts w:ascii="Humnst777 Lt BT" w:hAnsi="Humnst777 Lt BT" w:cs="Arial"/>
          <w:sz w:val="22"/>
        </w:rPr>
        <w:t>where the country and regional data that the department provide are actually held on a country and regional basis for operational reasons. In that case, the normal partial derogations from the National Statistics protocols for management information apply where people need to have access to data in the course of their normal work.</w:t>
      </w:r>
    </w:p>
    <w:p w:rsidR="00DA4B0F" w:rsidRDefault="00DA4B0F" w:rsidP="007857E0">
      <w:pPr>
        <w:pStyle w:val="NormalWeb"/>
        <w:spacing w:after="120" w:afterAutospacing="0" w:line="360" w:lineRule="auto"/>
        <w:jc w:val="both"/>
        <w:rPr>
          <w:rFonts w:ascii="Humnst777 Lt BT" w:hAnsi="Humnst777 Lt BT" w:cs="Arial"/>
          <w:sz w:val="22"/>
        </w:rPr>
      </w:pPr>
      <w:r>
        <w:rPr>
          <w:rFonts w:ascii="Humnst777 Lt BT" w:hAnsi="Humnst777 Lt BT" w:cs="Arial"/>
          <w:sz w:val="22"/>
        </w:rPr>
        <w:t>2</w:t>
      </w:r>
      <w:r w:rsidR="001526AC">
        <w:rPr>
          <w:rFonts w:ascii="Humnst777 Lt BT" w:hAnsi="Humnst777 Lt BT" w:cs="Arial"/>
          <w:sz w:val="22"/>
        </w:rPr>
        <w:t>5</w:t>
      </w:r>
      <w:r>
        <w:rPr>
          <w:rFonts w:ascii="Humnst777 Lt BT" w:hAnsi="Humnst777 Lt BT" w:cs="Arial"/>
          <w:sz w:val="22"/>
        </w:rPr>
        <w:t xml:space="preserve">.   Please contact </w:t>
      </w:r>
      <w:hyperlink r:id="rId8" w:history="1">
        <w:r w:rsidRPr="001526AC">
          <w:rPr>
            <w:rStyle w:val="Hyperlink"/>
            <w:rFonts w:ascii="Humnst777 Lt BT" w:hAnsi="Humnst777 Lt BT" w:cs="Arial"/>
            <w:sz w:val="22"/>
          </w:rPr>
          <w:t>Mohammad Huq</w:t>
        </w:r>
      </w:hyperlink>
      <w:r>
        <w:rPr>
          <w:rFonts w:ascii="Humnst777 Lt BT" w:hAnsi="Humnst777 Lt BT" w:cs="Arial"/>
          <w:sz w:val="22"/>
        </w:rPr>
        <w:t xml:space="preserve"> with any queries you have on this National Statistics guidance.</w:t>
      </w:r>
    </w:p>
    <w:sectPr w:rsidR="00DA4B0F" w:rsidSect="00AB686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A2C" w:rsidRDefault="00134A2C">
      <w:r>
        <w:separator/>
      </w:r>
    </w:p>
  </w:endnote>
  <w:endnote w:type="continuationSeparator" w:id="0">
    <w:p w:rsidR="00134A2C" w:rsidRDefault="00134A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Humnst777 Lt BT">
    <w:panose1 w:val="020B0402030504020204"/>
    <w:charset w:val="00"/>
    <w:family w:val="swiss"/>
    <w:pitch w:val="variable"/>
    <w:sig w:usb0="800000AF" w:usb1="1000204A" w:usb2="00000000" w:usb3="00000000" w:csb0="0000001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A2C" w:rsidRDefault="00AB686F" w:rsidP="00E54C7F">
    <w:pPr>
      <w:pStyle w:val="Footer"/>
      <w:framePr w:wrap="around" w:vAnchor="text" w:hAnchor="margin" w:xAlign="right" w:y="1"/>
      <w:jc w:val="center"/>
      <w:rPr>
        <w:rStyle w:val="PageNumber"/>
      </w:rPr>
    </w:pPr>
    <w:r>
      <w:rPr>
        <w:rStyle w:val="PageNumber"/>
      </w:rPr>
      <w:fldChar w:fldCharType="begin"/>
    </w:r>
    <w:r w:rsidR="00134A2C" w:rsidRPr="0044621E">
      <w:rPr>
        <w:rStyle w:val="PageNumber"/>
        <w:rFonts w:ascii="Calibri" w:hAnsi="Calibri"/>
        <w:color w:val="000000"/>
        <w:sz w:val="22"/>
      </w:rPr>
      <w:instrText xml:space="preserve"> DOCPROPERTY  bjDocumentSecurityLabel"  \* MERGEFORMAT </w:instrText>
    </w:r>
    <w:r>
      <w:rPr>
        <w:rStyle w:val="PageNumber"/>
      </w:rPr>
      <w:fldChar w:fldCharType="separate"/>
    </w:r>
    <w:r w:rsidR="0044621E">
      <w:rPr>
        <w:rStyle w:val="PageNumber"/>
        <w:rFonts w:ascii="Calibri" w:hAnsi="Calibri"/>
        <w:color w:val="000000"/>
        <w:sz w:val="22"/>
      </w:rPr>
      <w:t>UNCLASSIFIED</w:t>
    </w:r>
    <w:r>
      <w:rPr>
        <w:rStyle w:val="PageNumber"/>
      </w:rPr>
      <w:fldChar w:fldCharType="end"/>
    </w:r>
    <w:r>
      <w:rPr>
        <w:rStyle w:val="PageNumber"/>
      </w:rPr>
      <w:fldChar w:fldCharType="begin"/>
    </w:r>
    <w:r w:rsidR="00134A2C">
      <w:rPr>
        <w:rStyle w:val="PageNumber"/>
      </w:rPr>
      <w:instrText xml:space="preserve">PAGE  </w:instrText>
    </w:r>
    <w:r>
      <w:rPr>
        <w:rStyle w:val="PageNumber"/>
      </w:rPr>
      <w:fldChar w:fldCharType="end"/>
    </w:r>
  </w:p>
  <w:p w:rsidR="00134A2C" w:rsidRDefault="00134A2C" w:rsidP="00E54C7F">
    <w:pPr>
      <w:pStyle w:val="Footer"/>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A2C" w:rsidRDefault="00AB686F" w:rsidP="00E54C7F">
    <w:pPr>
      <w:pStyle w:val="Footer"/>
      <w:framePr w:wrap="around" w:vAnchor="text" w:hAnchor="margin" w:xAlign="right" w:y="1"/>
      <w:jc w:val="center"/>
      <w:rPr>
        <w:rStyle w:val="PageNumber"/>
      </w:rPr>
    </w:pPr>
    <w:r>
      <w:rPr>
        <w:rStyle w:val="PageNumber"/>
      </w:rPr>
      <w:fldChar w:fldCharType="begin"/>
    </w:r>
    <w:r w:rsidR="00134A2C" w:rsidRPr="0044621E">
      <w:rPr>
        <w:rStyle w:val="PageNumber"/>
        <w:rFonts w:ascii="Calibri" w:hAnsi="Calibri"/>
        <w:color w:val="000000"/>
        <w:sz w:val="22"/>
      </w:rPr>
      <w:instrText xml:space="preserve"> DOCPROPERTY  bjDocumentSecurityLabel"  \* MERGEFORMAT </w:instrText>
    </w:r>
    <w:r>
      <w:rPr>
        <w:rStyle w:val="PageNumber"/>
      </w:rPr>
      <w:fldChar w:fldCharType="separate"/>
    </w:r>
    <w:r w:rsidR="0044621E">
      <w:rPr>
        <w:rStyle w:val="PageNumber"/>
        <w:rFonts w:ascii="Calibri" w:hAnsi="Calibri"/>
        <w:color w:val="000000"/>
        <w:sz w:val="22"/>
      </w:rPr>
      <w:t>UNCLASSIFIED</w:t>
    </w:r>
    <w:r>
      <w:rPr>
        <w:rStyle w:val="PageNumber"/>
      </w:rPr>
      <w:fldChar w:fldCharType="end"/>
    </w:r>
  </w:p>
  <w:p w:rsidR="00134A2C" w:rsidRDefault="00AB686F" w:rsidP="00E54C7F">
    <w:pPr>
      <w:pStyle w:val="Footer"/>
      <w:framePr w:wrap="around" w:vAnchor="text" w:hAnchor="margin" w:xAlign="right" w:y="1"/>
      <w:jc w:val="center"/>
      <w:rPr>
        <w:rStyle w:val="PageNumber"/>
      </w:rPr>
    </w:pPr>
    <w:r>
      <w:rPr>
        <w:rStyle w:val="PageNumber"/>
      </w:rPr>
      <w:fldChar w:fldCharType="begin"/>
    </w:r>
    <w:r w:rsidR="00134A2C">
      <w:rPr>
        <w:rStyle w:val="PageNumber"/>
      </w:rPr>
      <w:instrText xml:space="preserve">PAGE  </w:instrText>
    </w:r>
    <w:r>
      <w:rPr>
        <w:rStyle w:val="PageNumber"/>
      </w:rPr>
      <w:fldChar w:fldCharType="separate"/>
    </w:r>
    <w:r w:rsidR="0044621E">
      <w:rPr>
        <w:rStyle w:val="PageNumber"/>
        <w:noProof/>
      </w:rPr>
      <w:t>1</w:t>
    </w:r>
    <w:r>
      <w:rPr>
        <w:rStyle w:val="PageNumber"/>
      </w:rPr>
      <w:fldChar w:fldCharType="end"/>
    </w:r>
  </w:p>
  <w:p w:rsidR="00134A2C" w:rsidRDefault="00134A2C" w:rsidP="00E54C7F">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A2C" w:rsidRDefault="00AB686F" w:rsidP="00E54C7F">
    <w:pPr>
      <w:pStyle w:val="Footer"/>
      <w:jc w:val="center"/>
    </w:pPr>
    <w:r>
      <w:fldChar w:fldCharType="begin"/>
    </w:r>
    <w:r w:rsidR="00134A2C" w:rsidRPr="0044621E">
      <w:rPr>
        <w:rFonts w:ascii="Calibri" w:hAnsi="Calibri"/>
        <w:color w:val="000000"/>
        <w:sz w:val="22"/>
      </w:rPr>
      <w:instrText xml:space="preserve"> DOCPROPERTY  bjDocumentSecurityLabel"  \* MERGEFORMAT </w:instrText>
    </w:r>
    <w:r>
      <w:fldChar w:fldCharType="separate"/>
    </w:r>
    <w:r w:rsidR="0044621E">
      <w:rPr>
        <w:rFonts w:ascii="Calibri" w:hAnsi="Calibri"/>
        <w:color w:val="000000"/>
        <w:sz w:val="22"/>
      </w:rPr>
      <w:t>UNCLASSIFIED</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A2C" w:rsidRDefault="00134A2C">
      <w:r>
        <w:separator/>
      </w:r>
    </w:p>
  </w:footnote>
  <w:footnote w:type="continuationSeparator" w:id="0">
    <w:p w:rsidR="00134A2C" w:rsidRDefault="00134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A2C" w:rsidRDefault="00AB686F" w:rsidP="00E54C7F">
    <w:pPr>
      <w:pStyle w:val="Header"/>
      <w:jc w:val="center"/>
    </w:pPr>
    <w:r>
      <w:fldChar w:fldCharType="begin"/>
    </w:r>
    <w:r w:rsidR="00134A2C" w:rsidRPr="0044621E">
      <w:rPr>
        <w:rFonts w:ascii="Calibri" w:hAnsi="Calibri"/>
        <w:color w:val="000000"/>
        <w:sz w:val="22"/>
      </w:rPr>
      <w:instrText xml:space="preserve"> DOCPROPERTY  bjDocumentSecurityLabel"  \* MERGEFORMAT </w:instrText>
    </w:r>
    <w:r>
      <w:fldChar w:fldCharType="separate"/>
    </w:r>
    <w:r w:rsidR="0044621E">
      <w:rPr>
        <w:rFonts w:ascii="Calibri" w:hAnsi="Calibri"/>
        <w:color w:val="000000"/>
        <w:sz w:val="22"/>
      </w:rPr>
      <w:t>UNCLASSIFIED</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A2C" w:rsidRDefault="00AB686F" w:rsidP="00E54C7F">
    <w:pPr>
      <w:pStyle w:val="Header"/>
      <w:jc w:val="center"/>
    </w:pPr>
    <w:r>
      <w:fldChar w:fldCharType="begin"/>
    </w:r>
    <w:r w:rsidR="00134A2C" w:rsidRPr="0044621E">
      <w:rPr>
        <w:rFonts w:ascii="Calibri" w:hAnsi="Calibri"/>
        <w:color w:val="000000"/>
        <w:sz w:val="22"/>
      </w:rPr>
      <w:instrText xml:space="preserve"> DOCPROPERTY  bjDocumentSecurityLabel"  \* MERGEFORMAT </w:instrText>
    </w:r>
    <w:r>
      <w:fldChar w:fldCharType="separate"/>
    </w:r>
    <w:r w:rsidR="0044621E">
      <w:rPr>
        <w:rFonts w:ascii="Calibri" w:hAnsi="Calibri"/>
        <w:color w:val="000000"/>
        <w:sz w:val="22"/>
      </w:rPr>
      <w:t>UNCLASSIFIED</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A2C" w:rsidRDefault="00AB686F" w:rsidP="00E54C7F">
    <w:pPr>
      <w:pStyle w:val="Header"/>
      <w:jc w:val="center"/>
    </w:pPr>
    <w:r>
      <w:fldChar w:fldCharType="begin"/>
    </w:r>
    <w:r w:rsidR="00134A2C" w:rsidRPr="0044621E">
      <w:rPr>
        <w:rFonts w:ascii="Calibri" w:hAnsi="Calibri"/>
        <w:color w:val="000000"/>
        <w:sz w:val="22"/>
      </w:rPr>
      <w:instrText xml:space="preserve"> DOCPROPERTY  bjDocumentSecurityLabel"  \* MERGEFORMAT </w:instrText>
    </w:r>
    <w:r>
      <w:fldChar w:fldCharType="separate"/>
    </w:r>
    <w:r w:rsidR="0044621E">
      <w:rPr>
        <w:rFonts w:ascii="Calibri" w:hAnsi="Calibri"/>
        <w:color w:val="000000"/>
        <w:sz w:val="22"/>
      </w:rPr>
      <w:t>UNCLASSIFIED</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9AABD88"/>
    <w:lvl w:ilvl="0">
      <w:start w:val="1"/>
      <w:numFmt w:val="decimal"/>
      <w:pStyle w:val="ListNumber"/>
      <w:lvlText w:val="%1."/>
      <w:lvlJc w:val="left"/>
      <w:pPr>
        <w:tabs>
          <w:tab w:val="num" w:pos="360"/>
        </w:tabs>
        <w:ind w:left="360" w:hanging="360"/>
      </w:pPr>
    </w:lvl>
  </w:abstractNum>
  <w:abstractNum w:abstractNumId="1">
    <w:nsid w:val="FFFFFF89"/>
    <w:multiLevelType w:val="singleLevel"/>
    <w:tmpl w:val="492213C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8B969B7A"/>
    <w:lvl w:ilvl="0">
      <w:numFmt w:val="decimal"/>
      <w:lvlText w:val="*"/>
      <w:lvlJc w:val="left"/>
    </w:lvl>
  </w:abstractNum>
  <w:abstractNum w:abstractNumId="3">
    <w:nsid w:val="01695158"/>
    <w:multiLevelType w:val="hybridMultilevel"/>
    <w:tmpl w:val="E20463AA"/>
    <w:lvl w:ilvl="0" w:tplc="08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077"/>
        </w:tabs>
        <w:ind w:left="1077" w:hanging="360"/>
      </w:pPr>
      <w:rPr>
        <w:rFonts w:ascii="Courier New" w:hAnsi="Courier New" w:hint="default"/>
      </w:rPr>
    </w:lvl>
    <w:lvl w:ilvl="2" w:tplc="04090005" w:tentative="1">
      <w:start w:val="1"/>
      <w:numFmt w:val="bullet"/>
      <w:lvlText w:val=""/>
      <w:lvlJc w:val="left"/>
      <w:pPr>
        <w:tabs>
          <w:tab w:val="num" w:pos="1797"/>
        </w:tabs>
        <w:ind w:left="1797" w:hanging="360"/>
      </w:pPr>
      <w:rPr>
        <w:rFonts w:ascii="Wingdings" w:hAnsi="Wingdings" w:hint="default"/>
      </w:rPr>
    </w:lvl>
    <w:lvl w:ilvl="3" w:tplc="04090001" w:tentative="1">
      <w:start w:val="1"/>
      <w:numFmt w:val="bullet"/>
      <w:lvlText w:val=""/>
      <w:lvlJc w:val="left"/>
      <w:pPr>
        <w:tabs>
          <w:tab w:val="num" w:pos="2517"/>
        </w:tabs>
        <w:ind w:left="2517" w:hanging="360"/>
      </w:pPr>
      <w:rPr>
        <w:rFonts w:ascii="Symbol" w:hAnsi="Symbol" w:hint="default"/>
      </w:rPr>
    </w:lvl>
    <w:lvl w:ilvl="4" w:tplc="04090003" w:tentative="1">
      <w:start w:val="1"/>
      <w:numFmt w:val="bullet"/>
      <w:lvlText w:val="o"/>
      <w:lvlJc w:val="left"/>
      <w:pPr>
        <w:tabs>
          <w:tab w:val="num" w:pos="3237"/>
        </w:tabs>
        <w:ind w:left="3237" w:hanging="360"/>
      </w:pPr>
      <w:rPr>
        <w:rFonts w:ascii="Courier New" w:hAnsi="Courier New" w:hint="default"/>
      </w:rPr>
    </w:lvl>
    <w:lvl w:ilvl="5" w:tplc="04090005" w:tentative="1">
      <w:start w:val="1"/>
      <w:numFmt w:val="bullet"/>
      <w:lvlText w:val=""/>
      <w:lvlJc w:val="left"/>
      <w:pPr>
        <w:tabs>
          <w:tab w:val="num" w:pos="3957"/>
        </w:tabs>
        <w:ind w:left="3957" w:hanging="360"/>
      </w:pPr>
      <w:rPr>
        <w:rFonts w:ascii="Wingdings" w:hAnsi="Wingdings" w:hint="default"/>
      </w:rPr>
    </w:lvl>
    <w:lvl w:ilvl="6" w:tplc="04090001" w:tentative="1">
      <w:start w:val="1"/>
      <w:numFmt w:val="bullet"/>
      <w:lvlText w:val=""/>
      <w:lvlJc w:val="left"/>
      <w:pPr>
        <w:tabs>
          <w:tab w:val="num" w:pos="4677"/>
        </w:tabs>
        <w:ind w:left="4677" w:hanging="360"/>
      </w:pPr>
      <w:rPr>
        <w:rFonts w:ascii="Symbol" w:hAnsi="Symbol" w:hint="default"/>
      </w:rPr>
    </w:lvl>
    <w:lvl w:ilvl="7" w:tplc="04090003" w:tentative="1">
      <w:start w:val="1"/>
      <w:numFmt w:val="bullet"/>
      <w:lvlText w:val="o"/>
      <w:lvlJc w:val="left"/>
      <w:pPr>
        <w:tabs>
          <w:tab w:val="num" w:pos="5397"/>
        </w:tabs>
        <w:ind w:left="5397" w:hanging="360"/>
      </w:pPr>
      <w:rPr>
        <w:rFonts w:ascii="Courier New" w:hAnsi="Courier New" w:hint="default"/>
      </w:rPr>
    </w:lvl>
    <w:lvl w:ilvl="8" w:tplc="04090005" w:tentative="1">
      <w:start w:val="1"/>
      <w:numFmt w:val="bullet"/>
      <w:lvlText w:val=""/>
      <w:lvlJc w:val="left"/>
      <w:pPr>
        <w:tabs>
          <w:tab w:val="num" w:pos="6117"/>
        </w:tabs>
        <w:ind w:left="6117" w:hanging="360"/>
      </w:pPr>
      <w:rPr>
        <w:rFonts w:ascii="Wingdings" w:hAnsi="Wingdings" w:hint="default"/>
      </w:rPr>
    </w:lvl>
  </w:abstractNum>
  <w:abstractNum w:abstractNumId="4">
    <w:nsid w:val="038816CA"/>
    <w:multiLevelType w:val="hybridMultilevel"/>
    <w:tmpl w:val="02501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143B03"/>
    <w:multiLevelType w:val="hybridMultilevel"/>
    <w:tmpl w:val="5970AAEC"/>
    <w:lvl w:ilvl="0" w:tplc="555CFC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B0F7A40"/>
    <w:multiLevelType w:val="hybridMultilevel"/>
    <w:tmpl w:val="5970AAE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BF6F03"/>
    <w:multiLevelType w:val="hybridMultilevel"/>
    <w:tmpl w:val="2EF026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B147A0E"/>
    <w:multiLevelType w:val="hybridMultilevel"/>
    <w:tmpl w:val="5970AAEC"/>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81E3DDA"/>
    <w:multiLevelType w:val="hybridMultilevel"/>
    <w:tmpl w:val="126AE8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A8457C0"/>
    <w:multiLevelType w:val="hybridMultilevel"/>
    <w:tmpl w:val="4F420586"/>
    <w:lvl w:ilvl="0" w:tplc="D322521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993153"/>
    <w:multiLevelType w:val="hybridMultilevel"/>
    <w:tmpl w:val="4F420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EC3E66"/>
    <w:multiLevelType w:val="hybridMultilevel"/>
    <w:tmpl w:val="2F54F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1A2F21"/>
    <w:multiLevelType w:val="hybridMultilevel"/>
    <w:tmpl w:val="81842C58"/>
    <w:lvl w:ilvl="0" w:tplc="0F7C6D1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0613AF"/>
    <w:multiLevelType w:val="hybridMultilevel"/>
    <w:tmpl w:val="C1100C76"/>
    <w:lvl w:ilvl="0" w:tplc="04090001">
      <w:start w:val="1"/>
      <w:numFmt w:val="bullet"/>
      <w:lvlText w:val=""/>
      <w:lvlJc w:val="left"/>
      <w:pPr>
        <w:tabs>
          <w:tab w:val="num" w:pos="720"/>
        </w:tabs>
        <w:ind w:left="720" w:hanging="360"/>
      </w:pPr>
      <w:rPr>
        <w:rFonts w:ascii="Symbol" w:hAnsi="Symbol" w:hint="default"/>
      </w:rPr>
    </w:lvl>
    <w:lvl w:ilvl="1" w:tplc="37041994">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093E31"/>
    <w:multiLevelType w:val="hybridMultilevel"/>
    <w:tmpl w:val="2EF026C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9B73BB6"/>
    <w:multiLevelType w:val="multilevel"/>
    <w:tmpl w:val="C4A0B6A8"/>
    <w:lvl w:ilvl="0">
      <w:start w:val="1"/>
      <w:numFmt w:val="decimal"/>
      <w:pStyle w:val="Numpara"/>
      <w:lvlText w:val="%1.   "/>
      <w:lvlJc w:val="left"/>
      <w:pPr>
        <w:tabs>
          <w:tab w:val="num" w:pos="1117"/>
        </w:tabs>
        <w:ind w:left="397"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nsid w:val="4B97276E"/>
    <w:multiLevelType w:val="hybridMultilevel"/>
    <w:tmpl w:val="C1DE18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FA004EE"/>
    <w:multiLevelType w:val="hybridMultilevel"/>
    <w:tmpl w:val="C1DE18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B20338A"/>
    <w:multiLevelType w:val="hybridMultilevel"/>
    <w:tmpl w:val="81842C58"/>
    <w:lvl w:ilvl="0" w:tplc="0F7C6D1A">
      <w:start w:val="1"/>
      <w:numFmt w:val="bullet"/>
      <w:lvlText w:val=""/>
      <w:lvlJc w:val="left"/>
      <w:pPr>
        <w:tabs>
          <w:tab w:val="num" w:pos="720"/>
        </w:tabs>
        <w:ind w:left="720" w:hanging="360"/>
      </w:pPr>
      <w:rPr>
        <w:rFonts w:ascii="Symbol" w:hAnsi="Symbol" w:hint="default"/>
      </w:rPr>
    </w:lvl>
    <w:lvl w:ilvl="1" w:tplc="97F03FE6">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9353B6"/>
    <w:multiLevelType w:val="hybridMultilevel"/>
    <w:tmpl w:val="44E809F4"/>
    <w:lvl w:ilvl="0" w:tplc="D322521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9E311F"/>
    <w:multiLevelType w:val="hybridMultilevel"/>
    <w:tmpl w:val="54F82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B154263"/>
    <w:multiLevelType w:val="hybridMultilevel"/>
    <w:tmpl w:val="016E1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8934D9"/>
    <w:multiLevelType w:val="hybridMultilevel"/>
    <w:tmpl w:val="C1100C7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B54097"/>
    <w:multiLevelType w:val="hybridMultilevel"/>
    <w:tmpl w:val="2F24030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14"/>
  </w:num>
  <w:num w:numId="4">
    <w:abstractNumId w:val="2"/>
    <w:lvlOverride w:ilvl="0">
      <w:lvl w:ilvl="0">
        <w:numFmt w:val="bullet"/>
        <w:lvlText w:val=""/>
        <w:legacy w:legacy="1" w:legacySpace="0" w:legacyIndent="0"/>
        <w:lvlJc w:val="left"/>
        <w:rPr>
          <w:rFonts w:ascii="Symbol" w:hAnsi="Symbol" w:hint="default"/>
        </w:rPr>
      </w:lvl>
    </w:lvlOverride>
  </w:num>
  <w:num w:numId="5">
    <w:abstractNumId w:val="23"/>
  </w:num>
  <w:num w:numId="6">
    <w:abstractNumId w:val="24"/>
  </w:num>
  <w:num w:numId="7">
    <w:abstractNumId w:val="3"/>
  </w:num>
  <w:num w:numId="8">
    <w:abstractNumId w:val="16"/>
  </w:num>
  <w:num w:numId="9">
    <w:abstractNumId w:val="1"/>
  </w:num>
  <w:num w:numId="10">
    <w:abstractNumId w:val="12"/>
  </w:num>
  <w:num w:numId="11">
    <w:abstractNumId w:val="5"/>
  </w:num>
  <w:num w:numId="12">
    <w:abstractNumId w:val="20"/>
  </w:num>
  <w:num w:numId="13">
    <w:abstractNumId w:val="10"/>
  </w:num>
  <w:num w:numId="14">
    <w:abstractNumId w:val="11"/>
  </w:num>
  <w:num w:numId="15">
    <w:abstractNumId w:val="21"/>
  </w:num>
  <w:num w:numId="16">
    <w:abstractNumId w:val="0"/>
  </w:num>
  <w:num w:numId="17">
    <w:abstractNumId w:val="8"/>
  </w:num>
  <w:num w:numId="18">
    <w:abstractNumId w:val="15"/>
  </w:num>
  <w:num w:numId="19">
    <w:abstractNumId w:val="18"/>
  </w:num>
  <w:num w:numId="20">
    <w:abstractNumId w:val="7"/>
  </w:num>
  <w:num w:numId="21">
    <w:abstractNumId w:val="6"/>
  </w:num>
  <w:num w:numId="22">
    <w:abstractNumId w:val="17"/>
  </w:num>
  <w:num w:numId="23">
    <w:abstractNumId w:val="22"/>
  </w:num>
  <w:num w:numId="24">
    <w:abstractNumId w:val="4"/>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DA4B0F"/>
    <w:rsid w:val="000A29C8"/>
    <w:rsid w:val="00134A2C"/>
    <w:rsid w:val="001526AC"/>
    <w:rsid w:val="00180902"/>
    <w:rsid w:val="001A0199"/>
    <w:rsid w:val="001B3AC3"/>
    <w:rsid w:val="00243C17"/>
    <w:rsid w:val="00355EEA"/>
    <w:rsid w:val="003719A4"/>
    <w:rsid w:val="003A5B8A"/>
    <w:rsid w:val="003A7FD6"/>
    <w:rsid w:val="003F100E"/>
    <w:rsid w:val="004005DA"/>
    <w:rsid w:val="00437CB6"/>
    <w:rsid w:val="0044621E"/>
    <w:rsid w:val="00477F07"/>
    <w:rsid w:val="004B4406"/>
    <w:rsid w:val="0054080D"/>
    <w:rsid w:val="00580D37"/>
    <w:rsid w:val="005C6779"/>
    <w:rsid w:val="0061405E"/>
    <w:rsid w:val="007857E0"/>
    <w:rsid w:val="007F385A"/>
    <w:rsid w:val="008B725D"/>
    <w:rsid w:val="00917C44"/>
    <w:rsid w:val="00973A8E"/>
    <w:rsid w:val="009E6AF2"/>
    <w:rsid w:val="009F14D0"/>
    <w:rsid w:val="00A4407B"/>
    <w:rsid w:val="00AB686F"/>
    <w:rsid w:val="00BD5EEC"/>
    <w:rsid w:val="00C12793"/>
    <w:rsid w:val="00CD4AE7"/>
    <w:rsid w:val="00CE3419"/>
    <w:rsid w:val="00DA4B0F"/>
    <w:rsid w:val="00DA66B2"/>
    <w:rsid w:val="00E54C7F"/>
    <w:rsid w:val="00E61F83"/>
    <w:rsid w:val="00E9136D"/>
    <w:rsid w:val="00FA64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6F"/>
    <w:rPr>
      <w:sz w:val="24"/>
      <w:szCs w:val="24"/>
      <w:lang w:eastAsia="en-US"/>
    </w:rPr>
  </w:style>
  <w:style w:type="paragraph" w:styleId="Heading1">
    <w:name w:val="heading 1"/>
    <w:basedOn w:val="Normal"/>
    <w:next w:val="Normal"/>
    <w:qFormat/>
    <w:rsid w:val="00AB686F"/>
    <w:pPr>
      <w:keepNext/>
      <w:spacing w:line="360" w:lineRule="auto"/>
      <w:outlineLvl w:val="0"/>
    </w:pPr>
    <w:rPr>
      <w:rFonts w:ascii="MS Reference Sans Serif" w:hAnsi="MS Reference Sans Serif" w:cs="Arial"/>
      <w:b/>
      <w:bCs/>
      <w:sz w:val="20"/>
    </w:rPr>
  </w:style>
  <w:style w:type="paragraph" w:styleId="Heading2">
    <w:name w:val="heading 2"/>
    <w:basedOn w:val="Normal"/>
    <w:next w:val="Normal"/>
    <w:qFormat/>
    <w:rsid w:val="00AB686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686F"/>
    <w:pPr>
      <w:keepNext/>
      <w:jc w:val="both"/>
      <w:outlineLvl w:val="2"/>
    </w:pPr>
    <w:rPr>
      <w:b/>
      <w:bCs/>
    </w:rPr>
  </w:style>
  <w:style w:type="paragraph" w:styleId="Heading4">
    <w:name w:val="heading 4"/>
    <w:basedOn w:val="Normal"/>
    <w:next w:val="Normal"/>
    <w:qFormat/>
    <w:rsid w:val="00AB686F"/>
    <w:pPr>
      <w:keepNext/>
      <w:outlineLvl w:val="3"/>
    </w:pPr>
    <w:rPr>
      <w:rFonts w:ascii="MS Reference Sans Serif" w:hAnsi="MS Reference Sans Serif"/>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AB686F"/>
    <w:pPr>
      <w:spacing w:before="100" w:beforeAutospacing="1" w:after="100" w:afterAutospacing="1"/>
    </w:pPr>
  </w:style>
  <w:style w:type="paragraph" w:styleId="BodyText">
    <w:name w:val="Body Text"/>
    <w:basedOn w:val="Normal"/>
    <w:semiHidden/>
    <w:rsid w:val="00AB686F"/>
    <w:pPr>
      <w:spacing w:after="360"/>
    </w:pPr>
    <w:rPr>
      <w:b/>
      <w:bCs/>
    </w:rPr>
  </w:style>
  <w:style w:type="paragraph" w:styleId="BodyText2">
    <w:name w:val="Body Text 2"/>
    <w:basedOn w:val="Normal"/>
    <w:semiHidden/>
    <w:rsid w:val="00AB686F"/>
    <w:pPr>
      <w:jc w:val="both"/>
    </w:pPr>
  </w:style>
  <w:style w:type="paragraph" w:styleId="Header">
    <w:name w:val="header"/>
    <w:basedOn w:val="Normal"/>
    <w:semiHidden/>
    <w:rsid w:val="00AB686F"/>
    <w:pPr>
      <w:ind w:left="340"/>
    </w:pPr>
    <w:rPr>
      <w:rFonts w:ascii="Gill Sans MT" w:hAnsi="Gill Sans MT"/>
    </w:rPr>
  </w:style>
  <w:style w:type="paragraph" w:customStyle="1" w:styleId="Numpara">
    <w:name w:val="Numpara"/>
    <w:basedOn w:val="Normal"/>
    <w:rsid w:val="00AB686F"/>
    <w:pPr>
      <w:numPr>
        <w:numId w:val="8"/>
      </w:numPr>
      <w:tabs>
        <w:tab w:val="left" w:pos="680"/>
      </w:tabs>
      <w:spacing w:before="40" w:after="120"/>
    </w:pPr>
    <w:rPr>
      <w:rFonts w:ascii="Arial" w:hAnsi="Arial"/>
    </w:rPr>
  </w:style>
  <w:style w:type="paragraph" w:styleId="ListBullet">
    <w:name w:val="List Bullet"/>
    <w:basedOn w:val="Normal"/>
    <w:semiHidden/>
    <w:rsid w:val="00AB686F"/>
    <w:pPr>
      <w:numPr>
        <w:numId w:val="9"/>
      </w:numPr>
      <w:tabs>
        <w:tab w:val="clear" w:pos="360"/>
        <w:tab w:val="num" w:pos="1077"/>
      </w:tabs>
      <w:spacing w:after="120"/>
      <w:ind w:left="1077" w:hanging="680"/>
    </w:pPr>
    <w:rPr>
      <w:rFonts w:ascii="Arial" w:hAnsi="Arial"/>
    </w:rPr>
  </w:style>
  <w:style w:type="character" w:styleId="Hyperlink">
    <w:name w:val="Hyperlink"/>
    <w:basedOn w:val="DefaultParagraphFont"/>
    <w:semiHidden/>
    <w:rsid w:val="00AB686F"/>
    <w:rPr>
      <w:color w:val="0000FF"/>
      <w:u w:val="single"/>
    </w:rPr>
  </w:style>
  <w:style w:type="character" w:styleId="FollowedHyperlink">
    <w:name w:val="FollowedHyperlink"/>
    <w:basedOn w:val="DefaultParagraphFont"/>
    <w:semiHidden/>
    <w:rsid w:val="00AB686F"/>
    <w:rPr>
      <w:color w:val="800080"/>
      <w:u w:val="single"/>
    </w:rPr>
  </w:style>
  <w:style w:type="paragraph" w:styleId="ListNumber">
    <w:name w:val="List Number"/>
    <w:basedOn w:val="Normal"/>
    <w:semiHidden/>
    <w:rsid w:val="00AB686F"/>
    <w:pPr>
      <w:numPr>
        <w:numId w:val="16"/>
      </w:numPr>
      <w:tabs>
        <w:tab w:val="clear" w:pos="360"/>
        <w:tab w:val="left" w:pos="680"/>
      </w:tabs>
      <w:spacing w:before="120" w:after="120"/>
      <w:ind w:left="0" w:firstLine="0"/>
    </w:pPr>
    <w:rPr>
      <w:rFonts w:ascii="Arial" w:hAnsi="Arial"/>
    </w:rPr>
  </w:style>
  <w:style w:type="paragraph" w:styleId="BalloonText">
    <w:name w:val="Balloon Text"/>
    <w:basedOn w:val="Normal"/>
    <w:semiHidden/>
    <w:rsid w:val="00AB686F"/>
    <w:rPr>
      <w:rFonts w:ascii="Tahoma" w:hAnsi="Tahoma" w:cs="Tahoma"/>
      <w:sz w:val="16"/>
      <w:szCs w:val="16"/>
    </w:rPr>
  </w:style>
  <w:style w:type="paragraph" w:styleId="Footer">
    <w:name w:val="footer"/>
    <w:basedOn w:val="Normal"/>
    <w:semiHidden/>
    <w:rsid w:val="00AB686F"/>
    <w:pPr>
      <w:tabs>
        <w:tab w:val="center" w:pos="4153"/>
        <w:tab w:val="right" w:pos="8306"/>
      </w:tabs>
    </w:pPr>
  </w:style>
  <w:style w:type="character" w:styleId="PageNumber">
    <w:name w:val="page number"/>
    <w:basedOn w:val="DefaultParagraphFont"/>
    <w:semiHidden/>
    <w:rsid w:val="00AB686F"/>
  </w:style>
  <w:style w:type="character" w:styleId="CommentReference">
    <w:name w:val="annotation reference"/>
    <w:basedOn w:val="DefaultParagraphFont"/>
    <w:semiHidden/>
    <w:rsid w:val="00AB686F"/>
    <w:rPr>
      <w:sz w:val="16"/>
      <w:szCs w:val="16"/>
    </w:rPr>
  </w:style>
  <w:style w:type="paragraph" w:styleId="CommentText">
    <w:name w:val="annotation text"/>
    <w:basedOn w:val="Normal"/>
    <w:semiHidden/>
    <w:rsid w:val="00AB686F"/>
    <w:rPr>
      <w:sz w:val="20"/>
      <w:szCs w:val="20"/>
    </w:rPr>
  </w:style>
  <w:style w:type="paragraph" w:styleId="CommentSubject">
    <w:name w:val="annotation subject"/>
    <w:basedOn w:val="CommentText"/>
    <w:next w:val="CommentText"/>
    <w:semiHidden/>
    <w:rsid w:val="00AB686F"/>
    <w:rPr>
      <w:b/>
      <w:bCs/>
    </w:rPr>
  </w:style>
  <w:style w:type="paragraph" w:styleId="TOC2">
    <w:name w:val="toc 2"/>
    <w:basedOn w:val="Normal"/>
    <w:next w:val="Normal"/>
    <w:autoRedefine/>
    <w:semiHidden/>
    <w:rsid w:val="00AB686F"/>
    <w:pPr>
      <w:tabs>
        <w:tab w:val="right" w:leader="dot" w:pos="8630"/>
      </w:tabs>
      <w:spacing w:line="360" w:lineRule="auto"/>
      <w:ind w:left="240"/>
    </w:pPr>
    <w:rPr>
      <w:noProof/>
    </w:rPr>
  </w:style>
  <w:style w:type="paragraph" w:styleId="TOC1">
    <w:name w:val="toc 1"/>
    <w:basedOn w:val="Normal"/>
    <w:next w:val="Normal"/>
    <w:autoRedefine/>
    <w:semiHidden/>
    <w:rsid w:val="00AB686F"/>
    <w:pPr>
      <w:tabs>
        <w:tab w:val="right" w:leader="dot" w:pos="8630"/>
      </w:tabs>
      <w:spacing w:line="360" w:lineRule="auto"/>
    </w:pPr>
    <w:rPr>
      <w:rFonts w:ascii="MS Reference Sans Serif" w:hAnsi="MS Reference Sans Serif"/>
      <w:b/>
      <w:noProof/>
      <w:sz w:val="20"/>
    </w:rPr>
  </w:style>
  <w:style w:type="paragraph" w:styleId="TOC3">
    <w:name w:val="toc 3"/>
    <w:basedOn w:val="Normal"/>
    <w:next w:val="Normal"/>
    <w:autoRedefine/>
    <w:semiHidden/>
    <w:rsid w:val="00AB686F"/>
    <w:pPr>
      <w:ind w:left="480"/>
    </w:pPr>
  </w:style>
  <w:style w:type="paragraph" w:styleId="TOC4">
    <w:name w:val="toc 4"/>
    <w:basedOn w:val="Normal"/>
    <w:next w:val="Normal"/>
    <w:autoRedefine/>
    <w:semiHidden/>
    <w:rsid w:val="00AB686F"/>
    <w:pPr>
      <w:ind w:left="720"/>
    </w:pPr>
  </w:style>
  <w:style w:type="paragraph" w:styleId="TOC5">
    <w:name w:val="toc 5"/>
    <w:basedOn w:val="Normal"/>
    <w:next w:val="Normal"/>
    <w:autoRedefine/>
    <w:semiHidden/>
    <w:rsid w:val="00AB686F"/>
    <w:pPr>
      <w:ind w:left="960"/>
    </w:pPr>
  </w:style>
  <w:style w:type="paragraph" w:styleId="TOC6">
    <w:name w:val="toc 6"/>
    <w:basedOn w:val="Normal"/>
    <w:next w:val="Normal"/>
    <w:autoRedefine/>
    <w:semiHidden/>
    <w:rsid w:val="00AB686F"/>
    <w:pPr>
      <w:ind w:left="1200"/>
    </w:pPr>
  </w:style>
  <w:style w:type="paragraph" w:styleId="TOC7">
    <w:name w:val="toc 7"/>
    <w:basedOn w:val="Normal"/>
    <w:next w:val="Normal"/>
    <w:autoRedefine/>
    <w:semiHidden/>
    <w:rsid w:val="00AB686F"/>
    <w:pPr>
      <w:ind w:left="1440"/>
    </w:pPr>
  </w:style>
  <w:style w:type="paragraph" w:styleId="TOC8">
    <w:name w:val="toc 8"/>
    <w:basedOn w:val="Normal"/>
    <w:next w:val="Normal"/>
    <w:autoRedefine/>
    <w:semiHidden/>
    <w:rsid w:val="00AB686F"/>
    <w:pPr>
      <w:ind w:left="1680"/>
    </w:pPr>
  </w:style>
  <w:style w:type="paragraph" w:styleId="TOC9">
    <w:name w:val="toc 9"/>
    <w:basedOn w:val="Normal"/>
    <w:next w:val="Normal"/>
    <w:autoRedefine/>
    <w:semiHidden/>
    <w:rsid w:val="00AB686F"/>
    <w:pPr>
      <w:ind w:left="1920"/>
    </w:pPr>
  </w:style>
  <w:style w:type="paragraph" w:styleId="BodyText3">
    <w:name w:val="Body Text 3"/>
    <w:basedOn w:val="Normal"/>
    <w:semiHidden/>
    <w:rsid w:val="00AB686F"/>
    <w:pPr>
      <w:spacing w:line="360" w:lineRule="auto"/>
    </w:pPr>
    <w:rPr>
      <w:rFonts w:ascii="MS Reference Sans Serif" w:hAnsi="MS Reference Sans Serif"/>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mmad.Huq@hmtreasury.gsi.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abel version="1.0">
  <element uid="id_newpolicy" value=""/>
  <element uid="id_unclassified" value=""/>
</label>
</file>

<file path=customXml/itemProps1.xml><?xml version="1.0" encoding="utf-8"?>
<ds:datastoreItem xmlns:ds="http://schemas.openxmlformats.org/officeDocument/2006/customXml" ds:itemID="{16F4FCA9-A9FA-41D5-96B1-D120C4BCF82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1401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new Annex A</vt:lpstr>
    </vt:vector>
  </TitlesOfParts>
  <Company>Her Majesty's Treasury</Company>
  <LinksUpToDate>false</LinksUpToDate>
  <CharactersWithSpaces>9141</CharactersWithSpaces>
  <SharedDoc>false</SharedDoc>
  <HLinks>
    <vt:vector size="54" baseType="variant">
      <vt:variant>
        <vt:i4>6815774</vt:i4>
      </vt:variant>
      <vt:variant>
        <vt:i4>27</vt:i4>
      </vt:variant>
      <vt:variant>
        <vt:i4>0</vt:i4>
      </vt:variant>
      <vt:variant>
        <vt:i4>5</vt:i4>
      </vt:variant>
      <vt:variant>
        <vt:lpwstr>mailto:Mohammad.Huq@hmtreasury.gsi.gov.uk</vt:lpwstr>
      </vt:variant>
      <vt:variant>
        <vt:lpwstr/>
      </vt:variant>
      <vt:variant>
        <vt:i4>1835059</vt:i4>
      </vt:variant>
      <vt:variant>
        <vt:i4>23</vt:i4>
      </vt:variant>
      <vt:variant>
        <vt:i4>0</vt:i4>
      </vt:variant>
      <vt:variant>
        <vt:i4>5</vt:i4>
      </vt:variant>
      <vt:variant>
        <vt:lpwstr/>
      </vt:variant>
      <vt:variant>
        <vt:lpwstr>_Toc244678219</vt:lpwstr>
      </vt:variant>
      <vt:variant>
        <vt:i4>1835059</vt:i4>
      </vt:variant>
      <vt:variant>
        <vt:i4>20</vt:i4>
      </vt:variant>
      <vt:variant>
        <vt:i4>0</vt:i4>
      </vt:variant>
      <vt:variant>
        <vt:i4>5</vt:i4>
      </vt:variant>
      <vt:variant>
        <vt:lpwstr/>
      </vt:variant>
      <vt:variant>
        <vt:lpwstr>_Toc244678218</vt:lpwstr>
      </vt:variant>
      <vt:variant>
        <vt:i4>1835059</vt:i4>
      </vt:variant>
      <vt:variant>
        <vt:i4>17</vt:i4>
      </vt:variant>
      <vt:variant>
        <vt:i4>0</vt:i4>
      </vt:variant>
      <vt:variant>
        <vt:i4>5</vt:i4>
      </vt:variant>
      <vt:variant>
        <vt:lpwstr/>
      </vt:variant>
      <vt:variant>
        <vt:lpwstr>_Toc244678217</vt:lpwstr>
      </vt:variant>
      <vt:variant>
        <vt:i4>1835059</vt:i4>
      </vt:variant>
      <vt:variant>
        <vt:i4>14</vt:i4>
      </vt:variant>
      <vt:variant>
        <vt:i4>0</vt:i4>
      </vt:variant>
      <vt:variant>
        <vt:i4>5</vt:i4>
      </vt:variant>
      <vt:variant>
        <vt:lpwstr/>
      </vt:variant>
      <vt:variant>
        <vt:lpwstr>_Toc244678216</vt:lpwstr>
      </vt:variant>
      <vt:variant>
        <vt:i4>1835059</vt:i4>
      </vt:variant>
      <vt:variant>
        <vt:i4>11</vt:i4>
      </vt:variant>
      <vt:variant>
        <vt:i4>0</vt:i4>
      </vt:variant>
      <vt:variant>
        <vt:i4>5</vt:i4>
      </vt:variant>
      <vt:variant>
        <vt:lpwstr/>
      </vt:variant>
      <vt:variant>
        <vt:lpwstr>_Toc244678215</vt:lpwstr>
      </vt:variant>
      <vt:variant>
        <vt:i4>1835059</vt:i4>
      </vt:variant>
      <vt:variant>
        <vt:i4>8</vt:i4>
      </vt:variant>
      <vt:variant>
        <vt:i4>0</vt:i4>
      </vt:variant>
      <vt:variant>
        <vt:i4>5</vt:i4>
      </vt:variant>
      <vt:variant>
        <vt:lpwstr/>
      </vt:variant>
      <vt:variant>
        <vt:lpwstr>_Toc244678214</vt:lpwstr>
      </vt:variant>
      <vt:variant>
        <vt:i4>1835059</vt:i4>
      </vt:variant>
      <vt:variant>
        <vt:i4>5</vt:i4>
      </vt:variant>
      <vt:variant>
        <vt:i4>0</vt:i4>
      </vt:variant>
      <vt:variant>
        <vt:i4>5</vt:i4>
      </vt:variant>
      <vt:variant>
        <vt:lpwstr/>
      </vt:variant>
      <vt:variant>
        <vt:lpwstr>_Toc244678213</vt:lpwstr>
      </vt:variant>
      <vt:variant>
        <vt:i4>1835059</vt:i4>
      </vt:variant>
      <vt:variant>
        <vt:i4>2</vt:i4>
      </vt:variant>
      <vt:variant>
        <vt:i4>0</vt:i4>
      </vt:variant>
      <vt:variant>
        <vt:i4>5</vt:i4>
      </vt:variant>
      <vt:variant>
        <vt:lpwstr/>
      </vt:variant>
      <vt:variant>
        <vt:lpwstr>_Toc244678212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Annex A</dc:title>
  <dc:subject/>
  <dc:creator>Martin Phillips</dc:creator>
  <cp:keywords/>
  <dc:description/>
  <cp:lastModifiedBy>matthew carter</cp:lastModifiedBy>
  <cp:revision>3</cp:revision>
  <cp:lastPrinted>2013-07-31T09:59:00Z</cp:lastPrinted>
  <dcterms:created xsi:type="dcterms:W3CDTF">2013-07-31T12:03:00Z</dcterms:created>
  <dcterms:modified xsi:type="dcterms:W3CDTF">2013-07-31T12:16:00Z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6f7cf38e-7b45-4c83-8f43-3fb4d4775fb4</vt:lpwstr>
  </property>
</Properties>
</file>