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0A" w:rsidRPr="00CD3A52" w:rsidRDefault="00655C0A" w:rsidP="00B44721">
      <w:pPr>
        <w:ind w:left="5760" w:firstLine="720"/>
        <w:rPr>
          <w:rFonts w:ascii="Verdana" w:hAnsi="Verdana"/>
          <w:noProof/>
          <w:sz w:val="20"/>
          <w:szCs w:val="20"/>
          <w:lang w:val="en-US"/>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276pt;margin-top:-33.75pt;width:228.2pt;height:123.95pt;z-index:251658240" stroked="f">
            <v:textbox>
              <w:txbxContent>
                <w:p w:rsidR="00655C0A" w:rsidRDefault="00655C0A" w:rsidP="00B44721">
                  <w:r w:rsidRPr="00F1424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31.75pt;height:95.25pt;visibility:visible">
                        <v:imagedata r:id="rId7" o:title=""/>
                      </v:shape>
                    </w:pict>
                  </w:r>
                </w:p>
              </w:txbxContent>
            </v:textbox>
          </v:shape>
        </w:pict>
      </w:r>
    </w:p>
    <w:tbl>
      <w:tblPr>
        <w:tblW w:w="5662" w:type="dxa"/>
        <w:tblInd w:w="-720" w:type="dxa"/>
        <w:tblLook w:val="00A0"/>
      </w:tblPr>
      <w:tblGrid>
        <w:gridCol w:w="3398"/>
        <w:gridCol w:w="2264"/>
      </w:tblGrid>
      <w:tr w:rsidR="00655C0A" w:rsidRPr="00CD3A52" w:rsidTr="00E12919">
        <w:tc>
          <w:tcPr>
            <w:tcW w:w="3398" w:type="dxa"/>
            <w:vAlign w:val="center"/>
          </w:tcPr>
          <w:p w:rsidR="00655C0A" w:rsidRPr="00CD3A52" w:rsidRDefault="00655C0A" w:rsidP="00E12919">
            <w:pPr>
              <w:jc w:val="center"/>
              <w:rPr>
                <w:rFonts w:ascii="Verdana" w:hAnsi="Verdana"/>
                <w:noProof/>
                <w:sz w:val="20"/>
                <w:szCs w:val="20"/>
                <w:lang w:val="en-US"/>
              </w:rPr>
            </w:pPr>
          </w:p>
        </w:tc>
        <w:tc>
          <w:tcPr>
            <w:tcW w:w="2264" w:type="dxa"/>
            <w:vAlign w:val="center"/>
          </w:tcPr>
          <w:p w:rsidR="00655C0A" w:rsidRPr="00CD3A52" w:rsidRDefault="00655C0A" w:rsidP="00E12919">
            <w:pPr>
              <w:jc w:val="center"/>
              <w:rPr>
                <w:rFonts w:ascii="Verdana" w:hAnsi="Verdana"/>
                <w:noProof/>
                <w:sz w:val="20"/>
                <w:szCs w:val="20"/>
                <w:lang w:val="en-US"/>
              </w:rPr>
            </w:pPr>
            <w:r>
              <w:rPr>
                <w:noProof/>
                <w:lang w:eastAsia="en-GB"/>
              </w:rPr>
              <w:pict>
                <v:shape id="_x0000_s1027" type="#_x0000_t202" style="position:absolute;left:0;text-align:left;margin-left:190.25pt;margin-top:-.1pt;width:105.15pt;height:139.6pt;z-index:251657216;mso-wrap-style:none;mso-position-horizontal-relative:text;mso-position-vertical-relative:text" stroked="f">
                  <v:textbox style="mso-next-textbox:#_x0000_s1027;mso-fit-shape-to-text:t">
                    <w:txbxContent>
                      <w:p w:rsidR="00655C0A" w:rsidRDefault="00655C0A" w:rsidP="00B44721"/>
                    </w:txbxContent>
                  </v:textbox>
                </v:shape>
              </w:pict>
            </w:r>
          </w:p>
        </w:tc>
      </w:tr>
    </w:tbl>
    <w:p w:rsidR="00655C0A" w:rsidRPr="00CD3A52" w:rsidRDefault="00655C0A" w:rsidP="00B44721">
      <w:pPr>
        <w:rPr>
          <w:rFonts w:ascii="Verdana" w:hAnsi="Verdana"/>
          <w:sz w:val="20"/>
          <w:szCs w:val="20"/>
        </w:rPr>
      </w:pPr>
    </w:p>
    <w:p w:rsidR="00655C0A" w:rsidRPr="00CD3A52" w:rsidRDefault="00655C0A" w:rsidP="00B44721">
      <w:pPr>
        <w:spacing w:line="360" w:lineRule="auto"/>
        <w:rPr>
          <w:rFonts w:ascii="Verdana" w:hAnsi="Verdana"/>
          <w:sz w:val="20"/>
          <w:szCs w:val="20"/>
        </w:rPr>
      </w:pPr>
      <w:r>
        <w:rPr>
          <w:rFonts w:ascii="Verdana" w:hAnsi="Verdana"/>
          <w:sz w:val="20"/>
          <w:szCs w:val="20"/>
        </w:rPr>
        <w:t xml:space="preserve">17 September </w:t>
      </w:r>
      <w:r w:rsidRPr="00CD3A52">
        <w:rPr>
          <w:rFonts w:ascii="Verdana" w:hAnsi="Verdana"/>
          <w:sz w:val="20"/>
          <w:szCs w:val="20"/>
        </w:rPr>
        <w:t>2012</w:t>
      </w:r>
    </w:p>
    <w:p w:rsidR="00655C0A" w:rsidRPr="00933DD1" w:rsidRDefault="00655C0A" w:rsidP="00933DD1">
      <w:pPr>
        <w:pStyle w:val="Default"/>
        <w:rPr>
          <w:rFonts w:ascii="Verdana" w:hAnsi="Verdana"/>
          <w:b/>
          <w:bCs/>
          <w:sz w:val="22"/>
          <w:szCs w:val="22"/>
          <w:lang w:val="en-US"/>
        </w:rPr>
      </w:pPr>
      <w:r>
        <w:rPr>
          <w:rFonts w:ascii="Verdana" w:hAnsi="Verdana"/>
          <w:b/>
          <w:bCs/>
          <w:sz w:val="22"/>
          <w:szCs w:val="22"/>
          <w:lang w:val="en-US"/>
        </w:rPr>
        <w:t xml:space="preserve">Creative &amp; Cultural Skills contribute to </w:t>
      </w:r>
      <w:r w:rsidRPr="00933DD1">
        <w:rPr>
          <w:rFonts w:ascii="Verdana" w:hAnsi="Verdana"/>
          <w:b/>
          <w:bCs/>
          <w:sz w:val="22"/>
          <w:szCs w:val="22"/>
          <w:lang w:val="en-US"/>
        </w:rPr>
        <w:t>Inquiry into the role of Group Training Associations</w:t>
      </w:r>
    </w:p>
    <w:p w:rsidR="00655C0A" w:rsidRDefault="00655C0A" w:rsidP="00B852A5">
      <w:pPr>
        <w:pStyle w:val="Default"/>
        <w:rPr>
          <w:rFonts w:ascii="Verdana" w:hAnsi="Verdana"/>
          <w:b/>
          <w:bCs/>
          <w:sz w:val="22"/>
          <w:szCs w:val="22"/>
          <w:lang w:val="en-US"/>
        </w:rPr>
      </w:pPr>
    </w:p>
    <w:p w:rsidR="00655C0A" w:rsidRDefault="00655C0A" w:rsidP="00B852A5">
      <w:pPr>
        <w:pStyle w:val="Default"/>
        <w:rPr>
          <w:rFonts w:ascii="Verdana" w:hAnsi="Verdana"/>
          <w:b/>
          <w:bCs/>
          <w:sz w:val="22"/>
          <w:szCs w:val="22"/>
          <w:lang w:val="en-US"/>
        </w:rPr>
      </w:pPr>
    </w:p>
    <w:p w:rsidR="00655C0A" w:rsidRDefault="00655C0A" w:rsidP="00E254AB">
      <w:pPr>
        <w:pStyle w:val="Default"/>
        <w:spacing w:line="360" w:lineRule="auto"/>
        <w:rPr>
          <w:rFonts w:ascii="Verdana" w:hAnsi="Verdana"/>
          <w:bCs/>
          <w:sz w:val="20"/>
          <w:szCs w:val="20"/>
          <w:lang w:val="en-US"/>
        </w:rPr>
      </w:pPr>
      <w:r w:rsidRPr="00994613">
        <w:rPr>
          <w:rFonts w:ascii="Verdana" w:hAnsi="Verdana"/>
          <w:bCs/>
          <w:sz w:val="20"/>
          <w:szCs w:val="20"/>
          <w:lang w:val="en-US"/>
        </w:rPr>
        <w:t>Creative &amp; Cultural Skills have contributed to the Inquiry into the role of Group Training Associations</w:t>
      </w:r>
      <w:r>
        <w:rPr>
          <w:rFonts w:ascii="Verdana" w:hAnsi="Verdana"/>
          <w:bCs/>
          <w:sz w:val="20"/>
          <w:szCs w:val="20"/>
          <w:lang w:val="en-US"/>
        </w:rPr>
        <w:t xml:space="preserve"> (GTAs), which published its final report last week. </w:t>
      </w:r>
      <w:r w:rsidRPr="00994613">
        <w:rPr>
          <w:rFonts w:ascii="Verdana" w:hAnsi="Verdana"/>
          <w:bCs/>
          <w:sz w:val="20"/>
          <w:szCs w:val="20"/>
          <w:lang w:val="en-US"/>
        </w:rPr>
        <w:t xml:space="preserve"> </w:t>
      </w:r>
      <w:r w:rsidRPr="00A73930">
        <w:rPr>
          <w:rFonts w:ascii="Verdana" w:hAnsi="Verdana"/>
          <w:bCs/>
          <w:sz w:val="20"/>
          <w:szCs w:val="20"/>
        </w:rPr>
        <w:t xml:space="preserve">Creative &amp; Cultural Skills </w:t>
      </w:r>
      <w:r>
        <w:rPr>
          <w:rFonts w:ascii="Verdana" w:hAnsi="Verdana"/>
          <w:bCs/>
          <w:sz w:val="20"/>
          <w:szCs w:val="20"/>
        </w:rPr>
        <w:t xml:space="preserve">welcome </w:t>
      </w:r>
      <w:r w:rsidRPr="00A73930">
        <w:rPr>
          <w:rFonts w:ascii="Verdana" w:hAnsi="Verdana"/>
          <w:bCs/>
          <w:sz w:val="20"/>
          <w:szCs w:val="20"/>
        </w:rPr>
        <w:t xml:space="preserve">the report’s largely positive assessment of the </w:t>
      </w:r>
      <w:r w:rsidRPr="00A73930">
        <w:rPr>
          <w:rFonts w:ascii="Verdana" w:hAnsi="Verdana" w:cs="Helvetica"/>
          <w:sz w:val="20"/>
          <w:szCs w:val="20"/>
          <w:shd w:val="clear" w:color="auto" w:fill="FFFFFF"/>
        </w:rPr>
        <w:t xml:space="preserve">role and capacities of </w:t>
      </w:r>
      <w:r>
        <w:rPr>
          <w:rFonts w:ascii="Verdana" w:hAnsi="Verdana"/>
          <w:bCs/>
          <w:sz w:val="20"/>
          <w:szCs w:val="20"/>
        </w:rPr>
        <w:t>Group Training Associations, which cited evidence provided on the potential of GTAs in the creative sector.</w:t>
      </w:r>
      <w:r>
        <w:rPr>
          <w:rFonts w:ascii="Verdana" w:hAnsi="Verdana"/>
          <w:bCs/>
          <w:sz w:val="20"/>
          <w:szCs w:val="20"/>
          <w:lang w:val="en-US"/>
        </w:rPr>
        <w:t xml:space="preserve"> </w:t>
      </w:r>
    </w:p>
    <w:p w:rsidR="00655C0A" w:rsidRDefault="00655C0A" w:rsidP="00E254AB">
      <w:pPr>
        <w:pStyle w:val="Default"/>
        <w:spacing w:line="360" w:lineRule="auto"/>
        <w:rPr>
          <w:rFonts w:ascii="Verdana" w:hAnsi="Verdana"/>
          <w:bCs/>
          <w:sz w:val="20"/>
          <w:szCs w:val="20"/>
          <w:lang w:val="en-US"/>
        </w:rPr>
      </w:pPr>
    </w:p>
    <w:p w:rsidR="00655C0A" w:rsidRPr="000D00DB" w:rsidRDefault="00655C0A" w:rsidP="0057231D">
      <w:pPr>
        <w:spacing w:line="360" w:lineRule="auto"/>
        <w:rPr>
          <w:rFonts w:ascii="Verdana" w:hAnsi="Verdana"/>
          <w:sz w:val="20"/>
          <w:szCs w:val="20"/>
        </w:rPr>
      </w:pPr>
      <w:r>
        <w:rPr>
          <w:rFonts w:ascii="Verdana" w:hAnsi="Verdana" w:cs="Helvetica"/>
          <w:sz w:val="20"/>
          <w:szCs w:val="20"/>
          <w:shd w:val="clear" w:color="auto" w:fill="FFFFFF"/>
        </w:rPr>
        <w:t xml:space="preserve">Creative &amp; Cultural Skills share the view that GTAs should form a central part of the Government’s economic growth framework. We also support the recommendation that GTAs are established or developed in sectors and regions where they have not traditionally been prominent. </w:t>
      </w:r>
    </w:p>
    <w:p w:rsidR="00655C0A" w:rsidRDefault="00655C0A" w:rsidP="0057231D">
      <w:pPr>
        <w:spacing w:line="360" w:lineRule="auto"/>
        <w:rPr>
          <w:rFonts w:ascii="Verdana" w:hAnsi="Verdana"/>
          <w:sz w:val="20"/>
          <w:szCs w:val="20"/>
        </w:rPr>
      </w:pPr>
      <w:r w:rsidRPr="001B6802">
        <w:rPr>
          <w:rFonts w:ascii="Verdana" w:hAnsi="Verdana"/>
          <w:sz w:val="20"/>
          <w:szCs w:val="20"/>
        </w:rPr>
        <w:t>G</w:t>
      </w:r>
      <w:r>
        <w:rPr>
          <w:rFonts w:ascii="Verdana" w:hAnsi="Verdana"/>
          <w:sz w:val="20"/>
          <w:szCs w:val="20"/>
        </w:rPr>
        <w:t xml:space="preserve">roup </w:t>
      </w:r>
      <w:r w:rsidRPr="001B6802">
        <w:rPr>
          <w:rFonts w:ascii="Verdana" w:hAnsi="Verdana"/>
          <w:sz w:val="20"/>
          <w:szCs w:val="20"/>
        </w:rPr>
        <w:t>T</w:t>
      </w:r>
      <w:r>
        <w:rPr>
          <w:rFonts w:ascii="Verdana" w:hAnsi="Verdana"/>
          <w:sz w:val="20"/>
          <w:szCs w:val="20"/>
        </w:rPr>
        <w:t xml:space="preserve">raining </w:t>
      </w:r>
      <w:r w:rsidRPr="001B6802">
        <w:rPr>
          <w:rFonts w:ascii="Verdana" w:hAnsi="Verdana"/>
          <w:sz w:val="20"/>
          <w:szCs w:val="20"/>
        </w:rPr>
        <w:t>As</w:t>
      </w:r>
      <w:r>
        <w:rPr>
          <w:rFonts w:ascii="Verdana" w:hAnsi="Verdana"/>
          <w:sz w:val="20"/>
          <w:szCs w:val="20"/>
        </w:rPr>
        <w:t xml:space="preserve">sociations </w:t>
      </w:r>
      <w:r w:rsidRPr="001B6802">
        <w:rPr>
          <w:rFonts w:ascii="Verdana" w:hAnsi="Verdana"/>
          <w:sz w:val="20"/>
          <w:szCs w:val="20"/>
        </w:rPr>
        <w:t>are employer-driven bodies which help to find workforce and development solutions for small and medium-si</w:t>
      </w:r>
      <w:r>
        <w:rPr>
          <w:rFonts w:ascii="Verdana" w:hAnsi="Verdana"/>
          <w:sz w:val="20"/>
          <w:szCs w:val="20"/>
        </w:rPr>
        <w:t>zed enterprises</w:t>
      </w:r>
      <w:r w:rsidRPr="001B6802">
        <w:rPr>
          <w:rFonts w:ascii="Verdana" w:hAnsi="Verdana"/>
          <w:sz w:val="20"/>
          <w:szCs w:val="20"/>
        </w:rPr>
        <w:t xml:space="preserve"> and provide larger employers with the training they need to build capacity. GTAs also play an important role in the provision of apprenticeships. Many operate from their own training centres and provide off-the-job training which businesses</w:t>
      </w:r>
      <w:r>
        <w:rPr>
          <w:rFonts w:ascii="Verdana" w:hAnsi="Verdana"/>
          <w:sz w:val="20"/>
          <w:szCs w:val="20"/>
        </w:rPr>
        <w:t xml:space="preserve"> cannot </w:t>
      </w:r>
      <w:r w:rsidRPr="001B6802">
        <w:rPr>
          <w:rFonts w:ascii="Verdana" w:hAnsi="Verdana"/>
          <w:sz w:val="20"/>
          <w:szCs w:val="20"/>
        </w:rPr>
        <w:t>provide in-house.</w:t>
      </w:r>
    </w:p>
    <w:p w:rsidR="00655C0A" w:rsidRDefault="00655C0A" w:rsidP="00B44721">
      <w:pPr>
        <w:pStyle w:val="Default"/>
        <w:spacing w:line="360" w:lineRule="auto"/>
        <w:rPr>
          <w:rFonts w:ascii="Verdana" w:hAnsi="Verdana"/>
          <w:b/>
          <w:bCs/>
          <w:sz w:val="20"/>
          <w:szCs w:val="20"/>
        </w:rPr>
      </w:pPr>
      <w:r w:rsidRPr="001B6802">
        <w:rPr>
          <w:rFonts w:ascii="Verdana" w:hAnsi="Verdana"/>
          <w:sz w:val="20"/>
          <w:szCs w:val="20"/>
        </w:rPr>
        <w:t xml:space="preserve">Although GTAs </w:t>
      </w:r>
      <w:r>
        <w:rPr>
          <w:rFonts w:ascii="Verdana" w:hAnsi="Verdana"/>
          <w:sz w:val="20"/>
          <w:szCs w:val="20"/>
        </w:rPr>
        <w:t xml:space="preserve">have historically </w:t>
      </w:r>
      <w:r w:rsidRPr="001B6802">
        <w:rPr>
          <w:rFonts w:ascii="Verdana" w:hAnsi="Verdana"/>
          <w:sz w:val="20"/>
          <w:szCs w:val="20"/>
        </w:rPr>
        <w:t xml:space="preserve">served the needs of traditional areas of the economy such as manufacturing, the model is one which </w:t>
      </w:r>
      <w:r>
        <w:rPr>
          <w:rFonts w:ascii="Verdana" w:hAnsi="Verdana"/>
          <w:sz w:val="20"/>
          <w:szCs w:val="20"/>
        </w:rPr>
        <w:t xml:space="preserve">we believe </w:t>
      </w:r>
      <w:r w:rsidRPr="001B6802">
        <w:rPr>
          <w:rFonts w:ascii="Verdana" w:hAnsi="Verdana"/>
          <w:sz w:val="20"/>
          <w:szCs w:val="20"/>
        </w:rPr>
        <w:t xml:space="preserve">can be applied </w:t>
      </w:r>
      <w:r>
        <w:rPr>
          <w:rFonts w:ascii="Verdana" w:hAnsi="Verdana"/>
          <w:sz w:val="20"/>
          <w:szCs w:val="20"/>
        </w:rPr>
        <w:t xml:space="preserve">readily </w:t>
      </w:r>
      <w:r w:rsidRPr="001B6802">
        <w:rPr>
          <w:rFonts w:ascii="Verdana" w:hAnsi="Verdana"/>
          <w:sz w:val="20"/>
          <w:szCs w:val="20"/>
        </w:rPr>
        <w:t xml:space="preserve">to the creative and cultural sectors. </w:t>
      </w:r>
      <w:r>
        <w:rPr>
          <w:rFonts w:ascii="Verdana" w:hAnsi="Verdana" w:cs="Helvetica"/>
          <w:sz w:val="20"/>
          <w:szCs w:val="20"/>
          <w:shd w:val="clear" w:color="auto" w:fill="FFFFFF"/>
        </w:rPr>
        <w:t xml:space="preserve">In June this year, we announced the extension of the National Skills Academy for Creative &amp; Cultural into the design, cultural heritage and jewellery Sectors. GTAs will play a key strategic role in supporting this extension and facilitating the uptake of higher level and technical apprentices within these sectors. </w:t>
      </w:r>
    </w:p>
    <w:p w:rsidR="00655C0A" w:rsidRDefault="00655C0A" w:rsidP="00B44721">
      <w:pPr>
        <w:pStyle w:val="Default"/>
        <w:spacing w:line="360" w:lineRule="auto"/>
        <w:rPr>
          <w:rFonts w:ascii="Verdana" w:hAnsi="Verdana"/>
          <w:b/>
          <w:bCs/>
          <w:sz w:val="20"/>
          <w:szCs w:val="20"/>
        </w:rPr>
      </w:pPr>
    </w:p>
    <w:p w:rsidR="00655C0A" w:rsidRDefault="00655C0A" w:rsidP="00B44721">
      <w:pPr>
        <w:pStyle w:val="Default"/>
        <w:spacing w:line="360" w:lineRule="auto"/>
        <w:rPr>
          <w:rFonts w:ascii="Verdana" w:hAnsi="Verdana"/>
          <w:b/>
          <w:bCs/>
          <w:sz w:val="20"/>
          <w:szCs w:val="20"/>
        </w:rPr>
      </w:pPr>
      <w:r>
        <w:rPr>
          <w:rFonts w:ascii="Verdana" w:hAnsi="Verdana"/>
          <w:b/>
          <w:bCs/>
          <w:sz w:val="20"/>
          <w:szCs w:val="20"/>
        </w:rPr>
        <w:t xml:space="preserve">The final report can be viewed </w:t>
      </w:r>
      <w:hyperlink r:id="rId8" w:history="1">
        <w:r w:rsidRPr="00952765">
          <w:rPr>
            <w:rStyle w:val="Hyperlink"/>
            <w:rFonts w:ascii="Verdana" w:hAnsi="Verdana" w:cs="Arial"/>
            <w:b/>
            <w:bCs/>
            <w:sz w:val="20"/>
            <w:szCs w:val="20"/>
          </w:rPr>
          <w:t>here</w:t>
        </w:r>
      </w:hyperlink>
      <w:r>
        <w:rPr>
          <w:rFonts w:ascii="Verdana" w:hAnsi="Verdana"/>
          <w:b/>
          <w:bCs/>
          <w:sz w:val="20"/>
          <w:szCs w:val="20"/>
        </w:rPr>
        <w:t>.</w:t>
      </w:r>
    </w:p>
    <w:p w:rsidR="00655C0A" w:rsidRDefault="00655C0A" w:rsidP="00B44721">
      <w:pPr>
        <w:pStyle w:val="Default"/>
        <w:spacing w:line="360" w:lineRule="auto"/>
        <w:rPr>
          <w:rFonts w:ascii="Verdana" w:hAnsi="Verdana"/>
          <w:b/>
          <w:bCs/>
          <w:sz w:val="20"/>
          <w:szCs w:val="20"/>
        </w:rPr>
      </w:pPr>
    </w:p>
    <w:p w:rsidR="00655C0A" w:rsidRDefault="00655C0A" w:rsidP="00B44721">
      <w:pPr>
        <w:pStyle w:val="Default"/>
        <w:spacing w:line="360" w:lineRule="auto"/>
        <w:rPr>
          <w:rFonts w:ascii="Verdana" w:hAnsi="Verdana"/>
          <w:b/>
          <w:bCs/>
          <w:sz w:val="20"/>
          <w:szCs w:val="20"/>
        </w:rPr>
      </w:pPr>
    </w:p>
    <w:p w:rsidR="00655C0A" w:rsidRPr="00CD3A52" w:rsidRDefault="00655C0A" w:rsidP="00B44721">
      <w:pPr>
        <w:pStyle w:val="Default"/>
        <w:spacing w:line="360" w:lineRule="auto"/>
        <w:rPr>
          <w:rFonts w:ascii="Verdana" w:hAnsi="Verdana"/>
          <w:sz w:val="20"/>
          <w:szCs w:val="20"/>
        </w:rPr>
      </w:pPr>
      <w:r w:rsidRPr="00CD3A52">
        <w:rPr>
          <w:rFonts w:ascii="Verdana" w:hAnsi="Verdana"/>
          <w:b/>
          <w:bCs/>
          <w:sz w:val="20"/>
          <w:szCs w:val="20"/>
        </w:rPr>
        <w:t>Notes to editors</w:t>
      </w:r>
    </w:p>
    <w:p w:rsidR="00655C0A" w:rsidRPr="00A66989" w:rsidRDefault="00655C0A" w:rsidP="00B44721">
      <w:pPr>
        <w:pStyle w:val="Default"/>
        <w:spacing w:line="360" w:lineRule="auto"/>
        <w:rPr>
          <w:rFonts w:ascii="Verdana" w:hAnsi="Verdana"/>
          <w:sz w:val="20"/>
          <w:szCs w:val="20"/>
        </w:rPr>
      </w:pPr>
      <w:r w:rsidRPr="00CD3A52">
        <w:rPr>
          <w:rFonts w:ascii="Verdana" w:hAnsi="Verdana"/>
          <w:b/>
          <w:bCs/>
          <w:sz w:val="20"/>
          <w:szCs w:val="20"/>
        </w:rPr>
        <w:t> </w:t>
      </w:r>
    </w:p>
    <w:p w:rsidR="00655C0A" w:rsidRPr="00CC2EAD" w:rsidRDefault="00655C0A" w:rsidP="00CC2EAD">
      <w:pPr>
        <w:spacing w:line="360" w:lineRule="auto"/>
        <w:rPr>
          <w:rFonts w:ascii="Verdana" w:hAnsi="Verdana"/>
          <w:sz w:val="20"/>
          <w:szCs w:val="20"/>
          <w:lang w:val="cy-GB"/>
        </w:rPr>
      </w:pPr>
      <w:r w:rsidRPr="00A66989">
        <w:rPr>
          <w:rFonts w:ascii="Verdana" w:hAnsi="Verdana"/>
          <w:b/>
          <w:sz w:val="20"/>
          <w:szCs w:val="20"/>
        </w:rPr>
        <w:t>Creative &amp; Cultural Skills</w:t>
      </w:r>
      <w:r w:rsidRPr="00A66989">
        <w:rPr>
          <w:rFonts w:ascii="Verdana" w:hAnsi="Verdana"/>
          <w:sz w:val="20"/>
          <w:szCs w:val="20"/>
        </w:rPr>
        <w:t xml:space="preserve"> supports the skills and training needs of the UK’s creative and cultural industries. We deliver through </w:t>
      </w:r>
      <w:r w:rsidRPr="00A66989">
        <w:rPr>
          <w:rFonts w:ascii="Verdana" w:hAnsi="Verdana"/>
          <w:sz w:val="20"/>
          <w:szCs w:val="20"/>
          <w:lang w:val="cy-GB"/>
        </w:rPr>
        <w:t xml:space="preserve">our Skills Academy, a growing network of employers and training providers who are committed to the provision of high quality, industry-relevant creative education and training, apprenticeships and careers advice. We are licenced as a Sector Skills Council by the UK Commission for Employment and Skills.  </w:t>
      </w:r>
      <w:r w:rsidRPr="00A66989">
        <w:rPr>
          <w:rFonts w:ascii="Verdana" w:hAnsi="Verdana"/>
          <w:sz w:val="20"/>
          <w:szCs w:val="20"/>
        </w:rPr>
        <w:t xml:space="preserve">For further information, please visit </w:t>
      </w:r>
      <w:hyperlink r:id="rId9" w:history="1">
        <w:r w:rsidRPr="00A66989">
          <w:rPr>
            <w:rStyle w:val="Hyperlink"/>
            <w:rFonts w:ascii="Verdana" w:hAnsi="Verdana"/>
            <w:sz w:val="20"/>
            <w:szCs w:val="20"/>
          </w:rPr>
          <w:t>www.ccskills.org.uk</w:t>
        </w:r>
      </w:hyperlink>
    </w:p>
    <w:p w:rsidR="00655C0A" w:rsidRPr="00CC2EAD" w:rsidRDefault="00655C0A" w:rsidP="00B44721">
      <w:pPr>
        <w:pStyle w:val="Default"/>
        <w:spacing w:line="360" w:lineRule="auto"/>
        <w:rPr>
          <w:rFonts w:ascii="Verdana" w:hAnsi="Verdana"/>
          <w:sz w:val="20"/>
          <w:szCs w:val="20"/>
        </w:rPr>
      </w:pPr>
      <w:r w:rsidRPr="00CD3A52">
        <w:rPr>
          <w:rFonts w:ascii="Verdana" w:hAnsi="Verdana"/>
          <w:b/>
          <w:bCs/>
          <w:sz w:val="20"/>
          <w:szCs w:val="20"/>
        </w:rPr>
        <w:t>For more information</w:t>
      </w:r>
      <w:r w:rsidRPr="00CD3A52">
        <w:rPr>
          <w:rFonts w:ascii="Verdana" w:hAnsi="Verdana"/>
          <w:sz w:val="20"/>
          <w:szCs w:val="20"/>
        </w:rPr>
        <w:t> on this press release please contact</w:t>
      </w:r>
      <w:r>
        <w:rPr>
          <w:rFonts w:ascii="Verdana" w:hAnsi="Verdana"/>
          <w:sz w:val="20"/>
          <w:szCs w:val="20"/>
        </w:rPr>
        <w:t xml:space="preserve"> our press office on: </w:t>
      </w:r>
      <w:r w:rsidRPr="00CD3A52">
        <w:rPr>
          <w:rFonts w:ascii="Verdana" w:hAnsi="Verdana"/>
          <w:sz w:val="20"/>
          <w:szCs w:val="20"/>
        </w:rPr>
        <w:t xml:space="preserve">020 7015 1800 </w:t>
      </w:r>
      <w:hyperlink r:id="rId10" w:history="1">
        <w:r w:rsidRPr="00CD3A52">
          <w:rPr>
            <w:rStyle w:val="Hyperlink"/>
            <w:rFonts w:ascii="Verdana" w:hAnsi="Verdana"/>
            <w:color w:val="auto"/>
            <w:sz w:val="20"/>
            <w:szCs w:val="20"/>
            <w:u w:val="none"/>
          </w:rPr>
          <w:t>emma.diggory@ccskills.org.uk</w:t>
        </w:r>
      </w:hyperlink>
      <w:r>
        <w:rPr>
          <w:rFonts w:ascii="Verdana" w:hAnsi="Verdana"/>
          <w:sz w:val="20"/>
          <w:szCs w:val="20"/>
        </w:rPr>
        <w:t xml:space="preserve">  </w:t>
      </w:r>
      <w:hyperlink r:id="rId11" w:history="1">
        <w:r w:rsidRPr="00CD3A52">
          <w:rPr>
            <w:rStyle w:val="Hyperlink"/>
            <w:rFonts w:ascii="Verdana" w:hAnsi="Verdana" w:cs="Arial"/>
            <w:color w:val="auto"/>
            <w:sz w:val="20"/>
            <w:szCs w:val="20"/>
            <w:u w:val="none"/>
          </w:rPr>
          <w:t>catherine.large@ccskills.org.uk</w:t>
        </w:r>
      </w:hyperlink>
    </w:p>
    <w:p w:rsidR="00655C0A" w:rsidRPr="00CD3A52" w:rsidRDefault="00655C0A" w:rsidP="00B44721">
      <w:pPr>
        <w:pStyle w:val="Default"/>
        <w:spacing w:line="360" w:lineRule="auto"/>
        <w:rPr>
          <w:rFonts w:ascii="Verdana" w:hAnsi="Verdana"/>
          <w:sz w:val="20"/>
          <w:szCs w:val="20"/>
        </w:rPr>
      </w:pPr>
    </w:p>
    <w:p w:rsidR="00655C0A" w:rsidRPr="00CD3A52" w:rsidRDefault="00655C0A" w:rsidP="00B44721">
      <w:pPr>
        <w:spacing w:line="360" w:lineRule="auto"/>
        <w:rPr>
          <w:rFonts w:ascii="Verdana" w:hAnsi="Verdana"/>
          <w:sz w:val="20"/>
          <w:szCs w:val="20"/>
        </w:rPr>
      </w:pPr>
    </w:p>
    <w:sectPr w:rsidR="00655C0A" w:rsidRPr="00CD3A52" w:rsidSect="00E12919">
      <w:pgSz w:w="11900" w:h="16840"/>
      <w:pgMar w:top="1440" w:right="1080" w:bottom="1440" w:left="108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C0A" w:rsidRDefault="00655C0A" w:rsidP="00CD3A52">
      <w:pPr>
        <w:spacing w:after="0" w:line="240" w:lineRule="auto"/>
      </w:pPr>
      <w:r>
        <w:separator/>
      </w:r>
    </w:p>
  </w:endnote>
  <w:endnote w:type="continuationSeparator" w:id="0">
    <w:p w:rsidR="00655C0A" w:rsidRDefault="00655C0A" w:rsidP="00CD3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LT Pro 65 M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C0A" w:rsidRDefault="00655C0A" w:rsidP="00CD3A52">
      <w:pPr>
        <w:spacing w:after="0" w:line="240" w:lineRule="auto"/>
      </w:pPr>
      <w:r>
        <w:separator/>
      </w:r>
    </w:p>
  </w:footnote>
  <w:footnote w:type="continuationSeparator" w:id="0">
    <w:p w:rsidR="00655C0A" w:rsidRDefault="00655C0A" w:rsidP="00CD3A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C92"/>
    <w:multiLevelType w:val="hybridMultilevel"/>
    <w:tmpl w:val="F3A83126"/>
    <w:lvl w:ilvl="0" w:tplc="B55884B0">
      <w:start w:val="1"/>
      <w:numFmt w:val="decimal"/>
      <w:lvlText w:val="%1."/>
      <w:lvlJc w:val="left"/>
      <w:pPr>
        <w:ind w:left="855" w:hanging="49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62220C8"/>
    <w:multiLevelType w:val="hybridMultilevel"/>
    <w:tmpl w:val="ACC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721"/>
    <w:rsid w:val="00035A75"/>
    <w:rsid w:val="00070D22"/>
    <w:rsid w:val="00077DB4"/>
    <w:rsid w:val="000B4C8C"/>
    <w:rsid w:val="000D00DB"/>
    <w:rsid w:val="00112FC1"/>
    <w:rsid w:val="00127ADF"/>
    <w:rsid w:val="00160C8E"/>
    <w:rsid w:val="001B6802"/>
    <w:rsid w:val="00204726"/>
    <w:rsid w:val="00216519"/>
    <w:rsid w:val="00216573"/>
    <w:rsid w:val="00250D31"/>
    <w:rsid w:val="002768C3"/>
    <w:rsid w:val="00310337"/>
    <w:rsid w:val="0035007F"/>
    <w:rsid w:val="0035280D"/>
    <w:rsid w:val="00381E06"/>
    <w:rsid w:val="003B02C0"/>
    <w:rsid w:val="003E60D6"/>
    <w:rsid w:val="003F3DE8"/>
    <w:rsid w:val="004273DA"/>
    <w:rsid w:val="00436E1F"/>
    <w:rsid w:val="004A2BF6"/>
    <w:rsid w:val="004A7851"/>
    <w:rsid w:val="004F77B6"/>
    <w:rsid w:val="0057231D"/>
    <w:rsid w:val="00596E8B"/>
    <w:rsid w:val="005A074B"/>
    <w:rsid w:val="005D0BF9"/>
    <w:rsid w:val="0061324E"/>
    <w:rsid w:val="00655C0A"/>
    <w:rsid w:val="00660F8D"/>
    <w:rsid w:val="006B4050"/>
    <w:rsid w:val="00730E6F"/>
    <w:rsid w:val="0075246B"/>
    <w:rsid w:val="00772F50"/>
    <w:rsid w:val="00791D5C"/>
    <w:rsid w:val="007C4379"/>
    <w:rsid w:val="007E6822"/>
    <w:rsid w:val="007F36FC"/>
    <w:rsid w:val="007F4C50"/>
    <w:rsid w:val="008833D6"/>
    <w:rsid w:val="0088623F"/>
    <w:rsid w:val="008F6F43"/>
    <w:rsid w:val="009307BD"/>
    <w:rsid w:val="00933DD1"/>
    <w:rsid w:val="00934639"/>
    <w:rsid w:val="00952765"/>
    <w:rsid w:val="00993225"/>
    <w:rsid w:val="00994613"/>
    <w:rsid w:val="00A66989"/>
    <w:rsid w:val="00A73930"/>
    <w:rsid w:val="00B06F25"/>
    <w:rsid w:val="00B36FA8"/>
    <w:rsid w:val="00B44721"/>
    <w:rsid w:val="00B50078"/>
    <w:rsid w:val="00B852A5"/>
    <w:rsid w:val="00BB61F8"/>
    <w:rsid w:val="00BB6607"/>
    <w:rsid w:val="00BB7861"/>
    <w:rsid w:val="00BD0E11"/>
    <w:rsid w:val="00C36F6A"/>
    <w:rsid w:val="00C70ABD"/>
    <w:rsid w:val="00C829B6"/>
    <w:rsid w:val="00C97D51"/>
    <w:rsid w:val="00CC2EAD"/>
    <w:rsid w:val="00CD3A52"/>
    <w:rsid w:val="00CF342B"/>
    <w:rsid w:val="00CF3699"/>
    <w:rsid w:val="00CF5236"/>
    <w:rsid w:val="00D56AFC"/>
    <w:rsid w:val="00D82E61"/>
    <w:rsid w:val="00DA4BC0"/>
    <w:rsid w:val="00DB2E8B"/>
    <w:rsid w:val="00E12919"/>
    <w:rsid w:val="00E254AB"/>
    <w:rsid w:val="00E64A21"/>
    <w:rsid w:val="00E91493"/>
    <w:rsid w:val="00E91538"/>
    <w:rsid w:val="00EF21C4"/>
    <w:rsid w:val="00F06416"/>
    <w:rsid w:val="00F07F0A"/>
    <w:rsid w:val="00F14240"/>
    <w:rsid w:val="00F529FA"/>
    <w:rsid w:val="00F54F45"/>
    <w:rsid w:val="00FB3EA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21"/>
    <w:pPr>
      <w:spacing w:after="200" w:line="276" w:lineRule="auto"/>
    </w:pPr>
    <w:rPr>
      <w:rFonts w:eastAsia="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4721"/>
    <w:rPr>
      <w:rFonts w:cs="Times New Roman"/>
      <w:color w:val="0000FF"/>
      <w:u w:val="single"/>
    </w:rPr>
  </w:style>
  <w:style w:type="paragraph" w:customStyle="1" w:styleId="Default">
    <w:name w:val="Default"/>
    <w:basedOn w:val="Normal"/>
    <w:uiPriority w:val="99"/>
    <w:rsid w:val="00B44721"/>
    <w:pPr>
      <w:autoSpaceDE w:val="0"/>
      <w:autoSpaceDN w:val="0"/>
      <w:spacing w:after="0" w:line="240" w:lineRule="auto"/>
    </w:pPr>
    <w:rPr>
      <w:rFonts w:ascii="Arial" w:eastAsia="Calibri" w:hAnsi="Arial" w:cs="Arial"/>
      <w:color w:val="000000"/>
      <w:lang w:eastAsia="en-GB"/>
    </w:rPr>
  </w:style>
  <w:style w:type="paragraph" w:styleId="BalloonText">
    <w:name w:val="Balloon Text"/>
    <w:basedOn w:val="Normal"/>
    <w:link w:val="BalloonTextChar"/>
    <w:uiPriority w:val="99"/>
    <w:semiHidden/>
    <w:rsid w:val="00B44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4721"/>
    <w:rPr>
      <w:rFonts w:ascii="Tahoma" w:hAnsi="Tahoma" w:cs="Tahoma"/>
      <w:sz w:val="16"/>
      <w:szCs w:val="16"/>
      <w:lang w:val="en-GB"/>
    </w:rPr>
  </w:style>
  <w:style w:type="paragraph" w:customStyle="1" w:styleId="Standard">
    <w:name w:val="Standard"/>
    <w:uiPriority w:val="99"/>
    <w:rsid w:val="00993225"/>
    <w:pPr>
      <w:suppressAutoHyphens/>
      <w:autoSpaceDN w:val="0"/>
      <w:textAlignment w:val="baseline"/>
    </w:pPr>
    <w:rPr>
      <w:rFonts w:ascii="HelveticaNeueLT Pro 65 Md" w:eastAsia="Arial Unicode MS" w:hAnsi="HelveticaNeueLT Pro 65 Md" w:cs="Arial Unicode MS"/>
      <w:color w:val="262626"/>
      <w:kern w:val="3"/>
      <w:sz w:val="24"/>
      <w:szCs w:val="24"/>
      <w:lang w:eastAsia="en-US" w:bidi="hi-IN"/>
    </w:rPr>
  </w:style>
  <w:style w:type="paragraph" w:styleId="FootnoteText">
    <w:name w:val="footnote text"/>
    <w:basedOn w:val="Normal"/>
    <w:link w:val="FootnoteTextChar"/>
    <w:uiPriority w:val="99"/>
    <w:semiHidden/>
    <w:rsid w:val="00CD3A5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D3A52"/>
    <w:rPr>
      <w:rFonts w:ascii="Calibri" w:hAnsi="Calibri" w:cs="Times New Roman"/>
      <w:sz w:val="20"/>
      <w:szCs w:val="20"/>
      <w:lang w:val="en-GB"/>
    </w:rPr>
  </w:style>
  <w:style w:type="character" w:styleId="FootnoteReference">
    <w:name w:val="footnote reference"/>
    <w:basedOn w:val="DefaultParagraphFont"/>
    <w:uiPriority w:val="99"/>
    <w:semiHidden/>
    <w:rsid w:val="00CD3A52"/>
    <w:rPr>
      <w:rFonts w:cs="Times New Roman"/>
      <w:vertAlign w:val="superscript"/>
    </w:rPr>
  </w:style>
  <w:style w:type="character" w:styleId="FollowedHyperlink">
    <w:name w:val="FollowedHyperlink"/>
    <w:basedOn w:val="DefaultParagraphFont"/>
    <w:uiPriority w:val="99"/>
    <w:semiHidden/>
    <w:rsid w:val="008833D6"/>
    <w:rPr>
      <w:rFonts w:cs="Times New Roman"/>
      <w:color w:val="800080"/>
      <w:u w:val="single"/>
    </w:rPr>
  </w:style>
  <w:style w:type="paragraph" w:styleId="NormalWeb">
    <w:name w:val="Normal (Web)"/>
    <w:basedOn w:val="Normal"/>
    <w:uiPriority w:val="99"/>
    <w:semiHidden/>
    <w:rsid w:val="00B852A5"/>
    <w:pPr>
      <w:spacing w:after="270" w:line="240" w:lineRule="auto"/>
    </w:pPr>
    <w:rPr>
      <w:rFonts w:ascii="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765424717">
      <w:marLeft w:val="0"/>
      <w:marRight w:val="0"/>
      <w:marTop w:val="0"/>
      <w:marBottom w:val="0"/>
      <w:divBdr>
        <w:top w:val="none" w:sz="0" w:space="0" w:color="auto"/>
        <w:left w:val="none" w:sz="0" w:space="0" w:color="auto"/>
        <w:bottom w:val="none" w:sz="0" w:space="0" w:color="auto"/>
        <w:right w:val="none" w:sz="0" w:space="0" w:color="auto"/>
      </w:divBdr>
    </w:div>
    <w:div w:id="765424718">
      <w:marLeft w:val="0"/>
      <w:marRight w:val="0"/>
      <w:marTop w:val="0"/>
      <w:marBottom w:val="0"/>
      <w:divBdr>
        <w:top w:val="none" w:sz="0" w:space="0" w:color="auto"/>
        <w:left w:val="none" w:sz="0" w:space="0" w:color="auto"/>
        <w:bottom w:val="none" w:sz="0" w:space="0" w:color="auto"/>
        <w:right w:val="none" w:sz="0" w:space="0" w:color="auto"/>
      </w:divBdr>
    </w:div>
    <w:div w:id="765424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lakes.org/2012/09/report-on-group-training-associ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erine.large@ccskills.org.uk" TargetMode="External"/><Relationship Id="rId5" Type="http://schemas.openxmlformats.org/officeDocument/2006/relationships/footnotes" Target="footnotes.xml"/><Relationship Id="rId10" Type="http://schemas.openxmlformats.org/officeDocument/2006/relationships/hyperlink" Target="mailto:emma.diggory@ccskills.org.uk" TargetMode="External"/><Relationship Id="rId4" Type="http://schemas.openxmlformats.org/officeDocument/2006/relationships/webSettings" Target="webSettings.xml"/><Relationship Id="rId9" Type="http://schemas.openxmlformats.org/officeDocument/2006/relationships/hyperlink" Target="http://www.ccskil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394</Words>
  <Characters>2250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jarjan</cp:lastModifiedBy>
  <cp:revision>2</cp:revision>
  <dcterms:created xsi:type="dcterms:W3CDTF">2013-09-08T16:06:00Z</dcterms:created>
  <dcterms:modified xsi:type="dcterms:W3CDTF">2013-09-08T16:06:00Z</dcterms:modified>
</cp:coreProperties>
</file>