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18"/>
        <w:gridCol w:w="4098"/>
      </w:tblGrid>
      <w:tr w:rsidR="00B50649" w14:paraId="7582470B" w14:textId="77777777">
        <w:trPr>
          <w:trHeight w:hRule="exact" w:val="2890"/>
        </w:trPr>
        <w:tc>
          <w:tcPr>
            <w:tcW w:w="6118" w:type="dxa"/>
            <w:tcBorders>
              <w:top w:val="single" w:sz="4" w:space="0" w:color="auto"/>
              <w:bottom w:val="single" w:sz="4" w:space="0" w:color="auto"/>
            </w:tcBorders>
            <w:shd w:val="clear" w:color="auto" w:fill="auto"/>
          </w:tcPr>
          <w:p w14:paraId="758246EB" w14:textId="77777777" w:rsidR="00463490" w:rsidRDefault="00495404" w:rsidP="00AB0FFD">
            <w:pPr>
              <w:pStyle w:val="IAHeadLabel0"/>
              <w:spacing w:before="50"/>
              <w:ind w:left="113"/>
            </w:pPr>
            <w:r w:rsidRPr="003E0510">
              <w:t>Title</w:t>
            </w:r>
            <w:r w:rsidR="00463490">
              <w:t>:</w:t>
            </w:r>
          </w:p>
          <w:bookmarkStart w:id="0" w:name="IATitle"/>
          <w:p w14:paraId="758246EC" w14:textId="77777777" w:rsidR="007F0ED9" w:rsidRPr="00102870" w:rsidRDefault="00EF16A1" w:rsidP="005F32E7">
            <w:pPr>
              <w:pStyle w:val="IATitle"/>
            </w:pPr>
            <w:r w:rsidRPr="00102870">
              <w:fldChar w:fldCharType="begin">
                <w:ffData>
                  <w:name w:val="IATitle"/>
                  <w:enabled/>
                  <w:calcOnExit w:val="0"/>
                  <w:textInput>
                    <w:maxLength w:val="800"/>
                  </w:textInput>
                </w:ffData>
              </w:fldChar>
            </w:r>
            <w:r w:rsidR="004C1BBB" w:rsidRPr="005F32E7">
              <w:instrText xml:space="preserve"> FORMTEXT </w:instrText>
            </w:r>
            <w:r w:rsidRPr="00102870">
              <w:fldChar w:fldCharType="separate"/>
            </w:r>
            <w:r w:rsidR="003812B5">
              <w:rPr>
                <w:rFonts w:eastAsia="Arial Unicode MS"/>
              </w:rPr>
              <w:t>OFCOM DUTIES</w:t>
            </w:r>
            <w:r w:rsidR="00336F33">
              <w:rPr>
                <w:rFonts w:eastAsia="Arial Unicode MS"/>
              </w:rPr>
              <w:t xml:space="preserve"> </w:t>
            </w:r>
            <w:r w:rsidR="003812B5">
              <w:rPr>
                <w:rFonts w:eastAsia="Arial Unicode MS"/>
              </w:rPr>
              <w:t>ORDER</w:t>
            </w:r>
            <w:r w:rsidRPr="00102870">
              <w:fldChar w:fldCharType="end"/>
            </w:r>
            <w:bookmarkEnd w:id="0"/>
          </w:p>
          <w:p w14:paraId="758246ED" w14:textId="77777777" w:rsidR="00E14792" w:rsidRPr="008031EC" w:rsidRDefault="00D50283" w:rsidP="00AB0FFD">
            <w:pPr>
              <w:pStyle w:val="IAHeadTitle"/>
              <w:ind w:left="113"/>
              <w:rPr>
                <w:rStyle w:val="IANoChar"/>
                <w:rFonts w:cs="Arial"/>
                <w:b/>
              </w:rPr>
            </w:pPr>
            <w:r w:rsidRPr="00AB0FFD">
              <w:rPr>
                <w:sz w:val="20"/>
                <w:szCs w:val="20"/>
              </w:rPr>
              <w:t xml:space="preserve">IA No: </w:t>
            </w:r>
            <w:bookmarkStart w:id="1" w:name="IANo"/>
            <w:r w:rsidR="00EF16A1" w:rsidRPr="00AB0FFD">
              <w:rPr>
                <w:rStyle w:val="IANoChar"/>
                <w:rFonts w:cs="Arial"/>
                <w:sz w:val="20"/>
                <w:szCs w:val="20"/>
              </w:rPr>
              <w:fldChar w:fldCharType="begin">
                <w:ffData>
                  <w:name w:val="IANo"/>
                  <w:enabled/>
                  <w:calcOnExit w:val="0"/>
                  <w:textInput>
                    <w:maxLength w:val="20"/>
                  </w:textInput>
                </w:ffData>
              </w:fldChar>
            </w:r>
            <w:r w:rsidR="00290335" w:rsidRPr="00AB0FFD">
              <w:rPr>
                <w:rStyle w:val="IANoChar"/>
                <w:rFonts w:cs="Arial"/>
                <w:sz w:val="20"/>
                <w:szCs w:val="20"/>
              </w:rPr>
              <w:instrText xml:space="preserve"> FORMTEXT </w:instrText>
            </w:r>
            <w:r w:rsidR="00EF16A1" w:rsidRPr="00AB0FFD">
              <w:rPr>
                <w:rStyle w:val="IANoChar"/>
                <w:rFonts w:cs="Arial"/>
                <w:sz w:val="20"/>
                <w:szCs w:val="20"/>
              </w:rPr>
            </w:r>
            <w:r w:rsidR="00EF16A1" w:rsidRPr="00AB0FFD">
              <w:rPr>
                <w:rStyle w:val="IANoChar"/>
                <w:rFonts w:cs="Arial"/>
                <w:sz w:val="20"/>
                <w:szCs w:val="20"/>
              </w:rPr>
              <w:fldChar w:fldCharType="separate"/>
            </w:r>
            <w:r w:rsidR="00290335" w:rsidRPr="00AB0FFD">
              <w:rPr>
                <w:rStyle w:val="IANoChar"/>
                <w:rFonts w:ascii="Menlo Regular" w:hAnsi="Menlo Regular" w:cs="Menlo Regular"/>
                <w:sz w:val="20"/>
                <w:szCs w:val="20"/>
              </w:rPr>
              <w:t> </w:t>
            </w:r>
            <w:r w:rsidR="00290335" w:rsidRPr="00AB0FFD">
              <w:rPr>
                <w:rStyle w:val="IANoChar"/>
                <w:rFonts w:ascii="Apple Symbols" w:hAnsi="Apple Symbols" w:cs="Apple Symbols"/>
                <w:sz w:val="20"/>
                <w:szCs w:val="20"/>
              </w:rPr>
              <w:t> </w:t>
            </w:r>
            <w:r w:rsidR="00290335" w:rsidRPr="00AB0FFD">
              <w:rPr>
                <w:rStyle w:val="IANoChar"/>
                <w:rFonts w:ascii="Menlo Regular" w:hAnsi="Menlo Regular" w:cs="Menlo Regular"/>
                <w:sz w:val="20"/>
                <w:szCs w:val="20"/>
              </w:rPr>
              <w:t> </w:t>
            </w:r>
            <w:r w:rsidR="00290335" w:rsidRPr="00AB0FFD">
              <w:rPr>
                <w:rStyle w:val="IANoChar"/>
                <w:rFonts w:ascii="Apple Symbols" w:hAnsi="Apple Symbols" w:cs="Apple Symbols"/>
                <w:sz w:val="20"/>
                <w:szCs w:val="20"/>
              </w:rPr>
              <w:t> </w:t>
            </w:r>
            <w:r w:rsidR="00290335" w:rsidRPr="00AB0FFD">
              <w:rPr>
                <w:rStyle w:val="IANoChar"/>
                <w:rFonts w:ascii="Menlo Regular" w:hAnsi="Menlo Regular" w:cs="Menlo Regular"/>
                <w:sz w:val="20"/>
                <w:szCs w:val="20"/>
              </w:rPr>
              <w:t> </w:t>
            </w:r>
            <w:r w:rsidR="00EF16A1" w:rsidRPr="00AB0FFD">
              <w:rPr>
                <w:rStyle w:val="IANoChar"/>
                <w:rFonts w:cs="Arial"/>
                <w:sz w:val="20"/>
                <w:szCs w:val="20"/>
              </w:rPr>
              <w:fldChar w:fldCharType="end"/>
            </w:r>
            <w:bookmarkEnd w:id="1"/>
          </w:p>
          <w:p w14:paraId="758246EE" w14:textId="77777777" w:rsidR="00495404" w:rsidRDefault="00495404" w:rsidP="00AB0FFD">
            <w:pPr>
              <w:pStyle w:val="IAHeadLabel"/>
              <w:ind w:left="113"/>
            </w:pPr>
            <w:r w:rsidRPr="003E0510">
              <w:t>Lead department or agency</w:t>
            </w:r>
            <w:r>
              <w:t>:</w:t>
            </w:r>
          </w:p>
          <w:bookmarkStart w:id="2" w:name="IALeadDept"/>
          <w:p w14:paraId="758246EF" w14:textId="77777777" w:rsidR="001D5EC9" w:rsidRPr="005F32E7" w:rsidRDefault="00EF16A1" w:rsidP="005F32E7">
            <w:pPr>
              <w:pStyle w:val="IALeadDept"/>
            </w:pPr>
            <w:r w:rsidRPr="005F32E7">
              <w:fldChar w:fldCharType="begin">
                <w:ffData>
                  <w:name w:val="IALeadDept"/>
                  <w:enabled/>
                  <w:calcOnExit w:val="0"/>
                  <w:textInput>
                    <w:maxLength w:val="100"/>
                  </w:textInput>
                </w:ffData>
              </w:fldChar>
            </w:r>
            <w:r w:rsidR="00290335" w:rsidRPr="005F32E7">
              <w:instrText xml:space="preserve"> FORMTEXT </w:instrText>
            </w:r>
            <w:r w:rsidRPr="005F32E7">
              <w:fldChar w:fldCharType="separate"/>
            </w:r>
            <w:r w:rsidR="00726CF1">
              <w:rPr>
                <w:rFonts w:ascii="Menlo Regular" w:hAnsi="Menlo Regular" w:cs="Menlo Regular"/>
              </w:rPr>
              <w:t>DCMS</w:t>
            </w:r>
            <w:r w:rsidRPr="005F32E7">
              <w:fldChar w:fldCharType="end"/>
            </w:r>
            <w:bookmarkEnd w:id="2"/>
          </w:p>
          <w:p w14:paraId="758246F0" w14:textId="77777777" w:rsidR="00DF2F4B" w:rsidRDefault="00495404" w:rsidP="00AB0FFD">
            <w:pPr>
              <w:pStyle w:val="IATableLabel"/>
              <w:spacing w:after="0"/>
            </w:pPr>
            <w:r w:rsidRPr="003E0510">
              <w:t>Other dep</w:t>
            </w:r>
            <w:r w:rsidRPr="00E217A2">
              <w:t>a</w:t>
            </w:r>
            <w:r w:rsidRPr="003E0510">
              <w:t>rtments or agencies:</w:t>
            </w:r>
            <w:r w:rsidR="00DF2F4B">
              <w:t xml:space="preserve"> </w:t>
            </w:r>
          </w:p>
          <w:bookmarkStart w:id="3" w:name="IAOtherDepts"/>
          <w:p w14:paraId="758246F1" w14:textId="77777777" w:rsidR="00B93466" w:rsidRDefault="00EF16A1" w:rsidP="008031EC">
            <w:pPr>
              <w:pStyle w:val="IAOtherDepts"/>
            </w:pPr>
            <w:r>
              <w:fldChar w:fldCharType="begin">
                <w:ffData>
                  <w:name w:val="IAOtherDepts"/>
                  <w:enabled/>
                  <w:calcOnExit w:val="0"/>
                  <w:textInput>
                    <w:maxLength w:val="200"/>
                  </w:textInput>
                </w:ffData>
              </w:fldChar>
            </w:r>
            <w:r w:rsidR="000239A7">
              <w:instrText xml:space="preserve"> FORMTEXT </w:instrText>
            </w:r>
            <w:r>
              <w:fldChar w:fldCharType="separate"/>
            </w:r>
            <w:r w:rsidR="000239A7">
              <w:rPr>
                <w:rFonts w:ascii="Apple Symbols" w:hAnsi="Apple Symbols" w:cs="Apple Symbols"/>
                <w:noProof/>
              </w:rPr>
              <w:t> </w:t>
            </w:r>
            <w:r w:rsidR="000239A7">
              <w:rPr>
                <w:rFonts w:ascii="Apple Symbols" w:hAnsi="Apple Symbols" w:cs="Apple Symbols"/>
                <w:noProof/>
              </w:rPr>
              <w:t> </w:t>
            </w:r>
            <w:r w:rsidR="000239A7">
              <w:rPr>
                <w:rFonts w:ascii="Menlo Regular" w:hAnsi="Menlo Regular" w:cs="Menlo Regular"/>
                <w:noProof/>
              </w:rPr>
              <w:t> </w:t>
            </w:r>
            <w:r w:rsidR="000239A7">
              <w:rPr>
                <w:rFonts w:ascii="Apple Symbols" w:hAnsi="Apple Symbols" w:cs="Apple Symbols"/>
                <w:noProof/>
              </w:rPr>
              <w:t> </w:t>
            </w:r>
            <w:r w:rsidR="000239A7">
              <w:rPr>
                <w:rFonts w:ascii="Menlo Regular" w:hAnsi="Menlo Regular" w:cs="Menlo Regular"/>
                <w:noProof/>
              </w:rPr>
              <w:t> </w:t>
            </w:r>
            <w:r>
              <w:fldChar w:fldCharType="end"/>
            </w:r>
            <w:bookmarkEnd w:id="3"/>
          </w:p>
        </w:tc>
        <w:tc>
          <w:tcPr>
            <w:tcW w:w="4098" w:type="dxa"/>
            <w:tcBorders>
              <w:top w:val="single" w:sz="4" w:space="0" w:color="auto"/>
              <w:bottom w:val="single" w:sz="4" w:space="0" w:color="auto"/>
            </w:tcBorders>
            <w:shd w:val="clear" w:color="auto" w:fill="auto"/>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383295" w14:paraId="758246F3" w14:textId="77777777">
              <w:trPr>
                <w:trHeight w:hRule="exact" w:val="539"/>
              </w:trPr>
              <w:tc>
                <w:tcPr>
                  <w:tcW w:w="4088" w:type="dxa"/>
                  <w:shd w:val="clear" w:color="auto" w:fill="333333"/>
                  <w:vAlign w:val="center"/>
                </w:tcPr>
                <w:p w14:paraId="758246F2" w14:textId="77777777" w:rsidR="00B50649" w:rsidRPr="00383295" w:rsidRDefault="00B50649" w:rsidP="00E90731">
                  <w:pPr>
                    <w:pStyle w:val="Title"/>
                  </w:pPr>
                  <w:r w:rsidRPr="00383295">
                    <w:t>Impact Assessment (IA)</w:t>
                  </w:r>
                </w:p>
              </w:tc>
            </w:tr>
            <w:tr w:rsidR="00B50649" w:rsidRPr="00966271" w14:paraId="758246F5" w14:textId="77777777">
              <w:tc>
                <w:tcPr>
                  <w:tcW w:w="4088" w:type="dxa"/>
                  <w:shd w:val="clear" w:color="auto" w:fill="auto"/>
                </w:tcPr>
                <w:p w14:paraId="758246F4" w14:textId="77777777" w:rsidR="001F69E9" w:rsidRPr="00631B4C" w:rsidRDefault="00B50649" w:rsidP="00726CF1">
                  <w:pPr>
                    <w:pStyle w:val="IATableLabel"/>
                  </w:pPr>
                  <w:r w:rsidRPr="00631B4C">
                    <w:t>Date:</w:t>
                  </w:r>
                  <w:r w:rsidR="0071686F">
                    <w:t xml:space="preserve"> </w:t>
                  </w:r>
                  <w:bookmarkStart w:id="4" w:name="IADate"/>
                  <w:r w:rsidR="00EF16A1" w:rsidRPr="00AB0FFD">
                    <w:rPr>
                      <w:rStyle w:val="IADateChar"/>
                      <w:sz w:val="20"/>
                      <w:szCs w:val="20"/>
                    </w:rPr>
                    <w:fldChar w:fldCharType="begin">
                      <w:ffData>
                        <w:name w:val="IADate"/>
                        <w:enabled/>
                        <w:calcOnExit w:val="0"/>
                        <w:textInput>
                          <w:type w:val="date"/>
                          <w:default w:val="01/01/2011"/>
                        </w:textInput>
                      </w:ffData>
                    </w:fldChar>
                  </w:r>
                  <w:r w:rsidR="001F5423" w:rsidRPr="00AB0FFD">
                    <w:rPr>
                      <w:rStyle w:val="IADateChar"/>
                      <w:sz w:val="20"/>
                      <w:szCs w:val="20"/>
                    </w:rPr>
                    <w:instrText xml:space="preserve"> FORMTEXT </w:instrText>
                  </w:r>
                  <w:r w:rsidR="00EF16A1" w:rsidRPr="00AB0FFD">
                    <w:rPr>
                      <w:rStyle w:val="IADateChar"/>
                      <w:sz w:val="20"/>
                      <w:szCs w:val="20"/>
                    </w:rPr>
                  </w:r>
                  <w:r w:rsidR="00EF16A1" w:rsidRPr="00AB0FFD">
                    <w:rPr>
                      <w:rStyle w:val="IADateChar"/>
                      <w:sz w:val="20"/>
                      <w:szCs w:val="20"/>
                    </w:rPr>
                    <w:fldChar w:fldCharType="separate"/>
                  </w:r>
                  <w:r w:rsidR="001F5423" w:rsidRPr="00AB0FFD">
                    <w:rPr>
                      <w:rStyle w:val="IADateChar"/>
                      <w:sz w:val="20"/>
                      <w:szCs w:val="20"/>
                    </w:rPr>
                    <w:t>0</w:t>
                  </w:r>
                  <w:r w:rsidR="00726CF1">
                    <w:rPr>
                      <w:rStyle w:val="IADateChar"/>
                      <w:sz w:val="20"/>
                      <w:szCs w:val="20"/>
                    </w:rPr>
                    <w:t>5</w:t>
                  </w:r>
                  <w:r w:rsidR="001F5423" w:rsidRPr="00AB0FFD">
                    <w:rPr>
                      <w:rStyle w:val="IADateChar"/>
                      <w:sz w:val="20"/>
                      <w:szCs w:val="20"/>
                    </w:rPr>
                    <w:t>/</w:t>
                  </w:r>
                  <w:r w:rsidR="00726CF1">
                    <w:rPr>
                      <w:rStyle w:val="IADateChar"/>
                      <w:sz w:val="20"/>
                      <w:szCs w:val="20"/>
                    </w:rPr>
                    <w:t>1</w:t>
                  </w:r>
                  <w:r w:rsidR="001F5423" w:rsidRPr="00AB0FFD">
                    <w:rPr>
                      <w:rStyle w:val="IADateChar"/>
                      <w:sz w:val="20"/>
                      <w:szCs w:val="20"/>
                    </w:rPr>
                    <w:t>0/2011</w:t>
                  </w:r>
                  <w:r w:rsidR="00EF16A1" w:rsidRPr="00AB0FFD">
                    <w:rPr>
                      <w:rStyle w:val="IADateChar"/>
                      <w:sz w:val="20"/>
                      <w:szCs w:val="20"/>
                    </w:rPr>
                    <w:fldChar w:fldCharType="end"/>
                  </w:r>
                  <w:bookmarkEnd w:id="4"/>
                </w:p>
              </w:tc>
            </w:tr>
            <w:tr w:rsidR="00B50649" w:rsidRPr="00966271" w14:paraId="758246F7" w14:textId="77777777">
              <w:tc>
                <w:tcPr>
                  <w:tcW w:w="4088" w:type="dxa"/>
                  <w:shd w:val="clear" w:color="auto" w:fill="auto"/>
                </w:tcPr>
                <w:p w14:paraId="758246F6" w14:textId="77777777" w:rsidR="00B50649" w:rsidRPr="007F0ED9" w:rsidRDefault="00941D69" w:rsidP="00E90731">
                  <w:pPr>
                    <w:pStyle w:val="IATableLabel"/>
                  </w:pPr>
                  <w:bookmarkStart w:id="5" w:name="Stage"/>
                  <w:r w:rsidRPr="007F0ED9">
                    <w:t xml:space="preserve">Stage: </w:t>
                  </w:r>
                  <w:r w:rsidR="00EF16A1" w:rsidRPr="00AB0FFD">
                    <w:rPr>
                      <w:rStyle w:val="IAStageChar"/>
                      <w:sz w:val="20"/>
                    </w:rPr>
                    <w:fldChar w:fldCharType="begin"/>
                  </w:r>
                  <w:r w:rsidRPr="00AB0FFD">
                    <w:rPr>
                      <w:rStyle w:val="IAStageChar"/>
                      <w:sz w:val="20"/>
                    </w:rPr>
                    <w:instrText xml:space="preserve"> DOCPROPERTY  Stage </w:instrText>
                  </w:r>
                  <w:r w:rsidR="00EF16A1" w:rsidRPr="00AB0FFD">
                    <w:rPr>
                      <w:rStyle w:val="IAStageChar"/>
                      <w:sz w:val="20"/>
                    </w:rPr>
                    <w:fldChar w:fldCharType="separate"/>
                  </w:r>
                  <w:r w:rsidR="000110EB" w:rsidRPr="00AB0FFD">
                    <w:rPr>
                      <w:rStyle w:val="IAStageChar"/>
                      <w:sz w:val="20"/>
                    </w:rPr>
                    <w:t>Consultation</w:t>
                  </w:r>
                  <w:r w:rsidR="00EF16A1" w:rsidRPr="00AB0FFD">
                    <w:rPr>
                      <w:rStyle w:val="IAStageChar"/>
                      <w:sz w:val="20"/>
                    </w:rPr>
                    <w:fldChar w:fldCharType="end"/>
                  </w:r>
                  <w:bookmarkEnd w:id="5"/>
                </w:p>
              </w:tc>
            </w:tr>
            <w:tr w:rsidR="00B50649" w:rsidRPr="00966271" w14:paraId="758246F9" w14:textId="77777777">
              <w:tc>
                <w:tcPr>
                  <w:tcW w:w="4088" w:type="dxa"/>
                  <w:shd w:val="clear" w:color="auto" w:fill="auto"/>
                </w:tcPr>
                <w:p w14:paraId="758246F8" w14:textId="77777777" w:rsidR="00B50649" w:rsidRPr="007F0ED9" w:rsidRDefault="0071686F" w:rsidP="00E90731">
                  <w:pPr>
                    <w:pStyle w:val="IATableLabel"/>
                  </w:pPr>
                  <w:r w:rsidRPr="007F0ED9">
                    <w:t xml:space="preserve">Source </w:t>
                  </w:r>
                  <w:r w:rsidR="006A56C1" w:rsidRPr="007F0ED9">
                    <w:t xml:space="preserve">of </w:t>
                  </w:r>
                  <w:r w:rsidRPr="007F0ED9">
                    <w:t>intervention:</w:t>
                  </w:r>
                  <w:r w:rsidR="00B50649" w:rsidRPr="007F0ED9">
                    <w:t xml:space="preserve"> </w:t>
                  </w:r>
                  <w:bookmarkStart w:id="6" w:name="IAInterSource"/>
                  <w:r w:rsidR="00EF16A1" w:rsidRPr="00AB0FFD">
                    <w:rPr>
                      <w:rStyle w:val="IASOIChar"/>
                      <w:sz w:val="20"/>
                    </w:rPr>
                    <w:fldChar w:fldCharType="begin">
                      <w:ffData>
                        <w:name w:val="IAInterSource"/>
                        <w:enabled/>
                        <w:calcOnExit w:val="0"/>
                        <w:ddList>
                          <w:listEntry w:val="Domestic"/>
                          <w:listEntry w:val="EU"/>
                          <w:listEntry w:val="International"/>
                        </w:ddList>
                      </w:ffData>
                    </w:fldChar>
                  </w:r>
                  <w:r w:rsidR="00290335" w:rsidRPr="00AB0FFD">
                    <w:rPr>
                      <w:rStyle w:val="IASOIChar"/>
                      <w:sz w:val="20"/>
                    </w:rPr>
                    <w:instrText xml:space="preserve"> FORMDROPDOWN </w:instrText>
                  </w:r>
                  <w:r w:rsidR="00EF16A1" w:rsidRPr="00AB0FFD">
                    <w:rPr>
                      <w:rStyle w:val="IASOIChar"/>
                      <w:sz w:val="20"/>
                    </w:rPr>
                  </w:r>
                  <w:r w:rsidR="00EF16A1" w:rsidRPr="00AB0FFD">
                    <w:rPr>
                      <w:rStyle w:val="IASOIChar"/>
                      <w:sz w:val="20"/>
                    </w:rPr>
                    <w:fldChar w:fldCharType="end"/>
                  </w:r>
                  <w:bookmarkEnd w:id="6"/>
                </w:p>
              </w:tc>
            </w:tr>
            <w:tr w:rsidR="00052F44" w:rsidRPr="00AB0FFD" w14:paraId="758246FB" w14:textId="77777777">
              <w:tc>
                <w:tcPr>
                  <w:tcW w:w="4088" w:type="dxa"/>
                  <w:shd w:val="clear" w:color="auto" w:fill="auto"/>
                </w:tcPr>
                <w:p w14:paraId="758246FA" w14:textId="77777777" w:rsidR="00052F44" w:rsidRPr="00AB0FFD" w:rsidRDefault="00052F44" w:rsidP="00E90731">
                  <w:pPr>
                    <w:pStyle w:val="IATableLabel"/>
                    <w:rPr>
                      <w:b w:val="0"/>
                    </w:rPr>
                  </w:pPr>
                  <w:r w:rsidRPr="007F0ED9">
                    <w:t xml:space="preserve">Type of measure: </w:t>
                  </w:r>
                  <w:bookmarkStart w:id="7" w:name="IAMeasureType"/>
                  <w:r w:rsidR="00EF16A1" w:rsidRPr="00AB0FFD">
                    <w:rPr>
                      <w:rStyle w:val="IATOMChar"/>
                      <w:sz w:val="20"/>
                    </w:rPr>
                    <w:fldChar w:fldCharType="begin">
                      <w:ffData>
                        <w:name w:val="IAMeasureType"/>
                        <w:enabled/>
                        <w:calcOnExit w:val="0"/>
                        <w:ddList>
                          <w:result w:val="1"/>
                          <w:listEntry w:val="Primary legislation"/>
                          <w:listEntry w:val="Secondary legislation"/>
                          <w:listEntry w:val="Other"/>
                        </w:ddList>
                      </w:ffData>
                    </w:fldChar>
                  </w:r>
                  <w:r w:rsidR="00290335" w:rsidRPr="00AB0FFD">
                    <w:rPr>
                      <w:rStyle w:val="IATOMChar"/>
                      <w:sz w:val="20"/>
                    </w:rPr>
                    <w:instrText xml:space="preserve"> FORMDROPDOWN </w:instrText>
                  </w:r>
                  <w:r w:rsidR="00EF16A1" w:rsidRPr="00AB0FFD">
                    <w:rPr>
                      <w:rStyle w:val="IATOMChar"/>
                      <w:sz w:val="20"/>
                    </w:rPr>
                  </w:r>
                  <w:r w:rsidR="00EF16A1" w:rsidRPr="00AB0FFD">
                    <w:rPr>
                      <w:rStyle w:val="IATOMChar"/>
                      <w:sz w:val="20"/>
                    </w:rPr>
                    <w:fldChar w:fldCharType="end"/>
                  </w:r>
                  <w:bookmarkEnd w:id="7"/>
                </w:p>
              </w:tc>
            </w:tr>
            <w:tr w:rsidR="00B50649" w:rsidRPr="00AB0FFD" w14:paraId="758246FD" w14:textId="77777777">
              <w:trPr>
                <w:trHeight w:val="1115"/>
              </w:trPr>
              <w:tc>
                <w:tcPr>
                  <w:tcW w:w="4088" w:type="dxa"/>
                  <w:shd w:val="clear" w:color="auto" w:fill="auto"/>
                </w:tcPr>
                <w:p w14:paraId="758246FC" w14:textId="3F84F0B5" w:rsidR="00A32793" w:rsidRPr="009B6ACF" w:rsidRDefault="00DF2F4B" w:rsidP="00897D36">
                  <w:pPr>
                    <w:pStyle w:val="IATableLines"/>
                  </w:pPr>
                  <w:r w:rsidRPr="00AB0FFD">
                    <w:rPr>
                      <w:b/>
                      <w:color w:val="000000"/>
                      <w:sz w:val="20"/>
                    </w:rPr>
                    <w:t>Contact for enquiries</w:t>
                  </w:r>
                  <w:r>
                    <w:t>:</w:t>
                  </w:r>
                  <w:r w:rsidRPr="00D337D1">
                    <w:t xml:space="preserve"> </w:t>
                  </w:r>
                  <w:bookmarkStart w:id="8" w:name="IAEnquiryContacts"/>
                  <w:r w:rsidR="00EF16A1" w:rsidRPr="00AB0FFD">
                    <w:rPr>
                      <w:rStyle w:val="IACOEChar"/>
                      <w:b w:val="0"/>
                      <w:sz w:val="20"/>
                    </w:rPr>
                    <w:fldChar w:fldCharType="begin">
                      <w:ffData>
                        <w:name w:val="IAEnquiryContacts"/>
                        <w:enabled/>
                        <w:calcOnExit w:val="0"/>
                        <w:textInput>
                          <w:maxLength w:val="200"/>
                        </w:textInput>
                      </w:ffData>
                    </w:fldChar>
                  </w:r>
                  <w:r w:rsidR="000239A7" w:rsidRPr="00AB0FFD">
                    <w:rPr>
                      <w:rStyle w:val="IACOEChar"/>
                      <w:b w:val="0"/>
                      <w:sz w:val="20"/>
                    </w:rPr>
                    <w:instrText xml:space="preserve"> FORMTEXT </w:instrText>
                  </w:r>
                  <w:r w:rsidR="00EF16A1" w:rsidRPr="00AB0FFD">
                    <w:rPr>
                      <w:rStyle w:val="IACOEChar"/>
                      <w:b w:val="0"/>
                      <w:sz w:val="20"/>
                    </w:rPr>
                  </w:r>
                  <w:r w:rsidR="00EF16A1" w:rsidRPr="00AB0FFD">
                    <w:rPr>
                      <w:rStyle w:val="IACOEChar"/>
                      <w:b w:val="0"/>
                      <w:sz w:val="20"/>
                    </w:rPr>
                    <w:fldChar w:fldCharType="separate"/>
                  </w:r>
                  <w:r w:rsidR="00897D36">
                    <w:rPr>
                      <w:rStyle w:val="IACOEChar"/>
                      <w:rFonts w:ascii="Menlo Regular" w:hAnsi="Menlo Regular" w:cs="Menlo Regular"/>
                      <w:b w:val="0"/>
                      <w:sz w:val="20"/>
                    </w:rPr>
                    <w:t>Henry Anderton</w:t>
                  </w:r>
                  <w:r w:rsidR="00EF16A1" w:rsidRPr="00AB0FFD">
                    <w:rPr>
                      <w:rStyle w:val="IACOEChar"/>
                      <w:b w:val="0"/>
                      <w:sz w:val="20"/>
                    </w:rPr>
                    <w:fldChar w:fldCharType="end"/>
                  </w:r>
                  <w:bookmarkEnd w:id="8"/>
                </w:p>
              </w:tc>
            </w:tr>
            <w:tr w:rsidR="000C1D45" w:rsidRPr="00AB0FFD" w14:paraId="758246FF" w14:textId="77777777">
              <w:trPr>
                <w:trHeight w:val="1115"/>
              </w:trPr>
              <w:tc>
                <w:tcPr>
                  <w:tcW w:w="4088" w:type="dxa"/>
                  <w:shd w:val="clear" w:color="auto" w:fill="auto"/>
                </w:tcPr>
                <w:p w14:paraId="758246FE" w14:textId="77777777" w:rsidR="000C1D45" w:rsidRPr="00AB0FFD" w:rsidRDefault="000C1D45" w:rsidP="00A32793">
                  <w:pPr>
                    <w:pStyle w:val="IATableLines"/>
                    <w:rPr>
                      <w:b/>
                      <w:color w:val="000000"/>
                      <w:sz w:val="20"/>
                    </w:rPr>
                  </w:pPr>
                </w:p>
              </w:tc>
            </w:tr>
            <w:tr w:rsidR="000C1D45" w:rsidRPr="00AB0FFD" w14:paraId="75824701" w14:textId="77777777">
              <w:trPr>
                <w:trHeight w:val="1115"/>
              </w:trPr>
              <w:tc>
                <w:tcPr>
                  <w:tcW w:w="4088" w:type="dxa"/>
                  <w:shd w:val="clear" w:color="auto" w:fill="auto"/>
                </w:tcPr>
                <w:p w14:paraId="75824700" w14:textId="77777777" w:rsidR="000C1D45" w:rsidRPr="00AB0FFD" w:rsidRDefault="000C1D45" w:rsidP="00A32793">
                  <w:pPr>
                    <w:pStyle w:val="IATableLines"/>
                    <w:rPr>
                      <w:b/>
                      <w:color w:val="000000"/>
                      <w:sz w:val="20"/>
                    </w:rPr>
                  </w:pPr>
                </w:p>
              </w:tc>
            </w:tr>
            <w:tr w:rsidR="000C1D45" w:rsidRPr="00AB0FFD" w14:paraId="75824703" w14:textId="77777777">
              <w:trPr>
                <w:trHeight w:val="1115"/>
              </w:trPr>
              <w:tc>
                <w:tcPr>
                  <w:tcW w:w="4088" w:type="dxa"/>
                  <w:shd w:val="clear" w:color="auto" w:fill="auto"/>
                </w:tcPr>
                <w:p w14:paraId="75824702" w14:textId="77777777" w:rsidR="000C1D45" w:rsidRPr="00AB0FFD" w:rsidRDefault="000C1D45" w:rsidP="00A32793">
                  <w:pPr>
                    <w:pStyle w:val="IATableLines"/>
                    <w:rPr>
                      <w:b/>
                      <w:color w:val="000000"/>
                      <w:sz w:val="20"/>
                    </w:rPr>
                  </w:pPr>
                </w:p>
              </w:tc>
            </w:tr>
            <w:tr w:rsidR="000C1D45" w:rsidRPr="00AB0FFD" w14:paraId="75824705" w14:textId="77777777">
              <w:trPr>
                <w:trHeight w:val="1115"/>
              </w:trPr>
              <w:tc>
                <w:tcPr>
                  <w:tcW w:w="4088" w:type="dxa"/>
                  <w:shd w:val="clear" w:color="auto" w:fill="auto"/>
                </w:tcPr>
                <w:p w14:paraId="75824704" w14:textId="77777777" w:rsidR="000C1D45" w:rsidRPr="00AB0FFD" w:rsidRDefault="000C1D45" w:rsidP="00A32793">
                  <w:pPr>
                    <w:pStyle w:val="IATableLines"/>
                    <w:rPr>
                      <w:b/>
                      <w:color w:val="000000"/>
                      <w:sz w:val="20"/>
                    </w:rPr>
                  </w:pPr>
                </w:p>
              </w:tc>
            </w:tr>
            <w:tr w:rsidR="000C1D45" w:rsidRPr="00AB0FFD" w14:paraId="75824707" w14:textId="77777777">
              <w:trPr>
                <w:trHeight w:val="1115"/>
              </w:trPr>
              <w:tc>
                <w:tcPr>
                  <w:tcW w:w="4088" w:type="dxa"/>
                  <w:shd w:val="clear" w:color="auto" w:fill="auto"/>
                </w:tcPr>
                <w:p w14:paraId="75824706" w14:textId="77777777" w:rsidR="000C1D45" w:rsidRPr="00AB0FFD" w:rsidRDefault="000C1D45" w:rsidP="00A32793">
                  <w:pPr>
                    <w:pStyle w:val="IATableLines"/>
                    <w:rPr>
                      <w:b/>
                      <w:color w:val="000000"/>
                      <w:sz w:val="20"/>
                    </w:rPr>
                  </w:pPr>
                </w:p>
              </w:tc>
            </w:tr>
            <w:tr w:rsidR="000C1D45" w:rsidRPr="00AB0FFD" w14:paraId="75824709" w14:textId="77777777">
              <w:trPr>
                <w:trHeight w:val="1115"/>
              </w:trPr>
              <w:tc>
                <w:tcPr>
                  <w:tcW w:w="4088" w:type="dxa"/>
                  <w:shd w:val="clear" w:color="auto" w:fill="auto"/>
                </w:tcPr>
                <w:p w14:paraId="75824708" w14:textId="77777777" w:rsidR="000C1D45" w:rsidRPr="00AB0FFD" w:rsidRDefault="000C1D45" w:rsidP="00A32793">
                  <w:pPr>
                    <w:pStyle w:val="IATableLines"/>
                    <w:rPr>
                      <w:b/>
                      <w:color w:val="000000"/>
                      <w:sz w:val="20"/>
                    </w:rPr>
                  </w:pPr>
                </w:p>
              </w:tc>
            </w:tr>
          </w:tbl>
          <w:p w14:paraId="7582470A" w14:textId="77777777" w:rsidR="00B50649" w:rsidRPr="00AB0FFD" w:rsidRDefault="00B50649">
            <w:pPr>
              <w:rPr>
                <w:rFonts w:eastAsia="SimSun"/>
              </w:rPr>
            </w:pPr>
          </w:p>
        </w:tc>
      </w:tr>
      <w:tr w:rsidR="000C1D45" w:rsidRPr="00AB0FFD" w14:paraId="7582470F" w14:textId="77777777">
        <w:trPr>
          <w:trHeight w:hRule="exact" w:val="410"/>
        </w:trPr>
        <w:tc>
          <w:tcPr>
            <w:tcW w:w="6118" w:type="dxa"/>
            <w:tcBorders>
              <w:top w:val="single" w:sz="4" w:space="0" w:color="auto"/>
              <w:left w:val="nil"/>
              <w:bottom w:val="single" w:sz="4" w:space="0" w:color="auto"/>
              <w:right w:val="single" w:sz="4" w:space="0" w:color="auto"/>
            </w:tcBorders>
            <w:shd w:val="clear" w:color="auto" w:fill="auto"/>
          </w:tcPr>
          <w:p w14:paraId="7582470C" w14:textId="77777777" w:rsidR="000C1D45" w:rsidRPr="00AB0FFD" w:rsidRDefault="000C1D45" w:rsidP="00AB0FFD">
            <w:pPr>
              <w:pStyle w:val="Heading1"/>
              <w:spacing w:before="60"/>
              <w:rPr>
                <w:rFonts w:eastAsia="SimSun" w:hint="eastAsia"/>
                <w:sz w:val="28"/>
                <w:szCs w:val="28"/>
              </w:rPr>
            </w:pPr>
            <w:r w:rsidRPr="00AB0FFD">
              <w:rPr>
                <w:rFonts w:eastAsia="SimSun"/>
                <w:sz w:val="28"/>
                <w:szCs w:val="28"/>
              </w:rPr>
              <w:t xml:space="preserve">Summary: Intervention and Options </w:t>
            </w:r>
          </w:p>
          <w:p w14:paraId="7582470D" w14:textId="77777777" w:rsidR="000C1D45" w:rsidRPr="00AB0FFD" w:rsidRDefault="000C1D45" w:rsidP="00AB0FFD">
            <w:pPr>
              <w:pStyle w:val="IAHeadLabel0"/>
              <w:spacing w:before="50"/>
              <w:ind w:left="113"/>
              <w:rPr>
                <w:sz w:val="28"/>
                <w:szCs w:val="28"/>
              </w:rPr>
            </w:pPr>
          </w:p>
        </w:tc>
        <w:tc>
          <w:tcPr>
            <w:tcW w:w="4098" w:type="dxa"/>
            <w:tcBorders>
              <w:top w:val="single" w:sz="4" w:space="0" w:color="auto"/>
              <w:left w:val="single" w:sz="4" w:space="0" w:color="auto"/>
              <w:bottom w:val="single" w:sz="4" w:space="0" w:color="auto"/>
              <w:right w:val="single" w:sz="4" w:space="0" w:color="auto"/>
            </w:tcBorders>
            <w:shd w:val="clear" w:color="auto" w:fill="E0E0E0"/>
            <w:vAlign w:val="center"/>
          </w:tcPr>
          <w:p w14:paraId="7582470E" w14:textId="7DB0AC8F" w:rsidR="000C1D45" w:rsidRPr="00AB0FFD" w:rsidRDefault="000C1D45" w:rsidP="000C1D45">
            <w:pPr>
              <w:pStyle w:val="Title"/>
              <w:rPr>
                <w:rFonts w:eastAsia="SimSun"/>
                <w:b/>
                <w:color w:val="auto"/>
                <w:sz w:val="24"/>
                <w:szCs w:val="24"/>
              </w:rPr>
            </w:pPr>
            <w:r w:rsidRPr="00AB0FFD">
              <w:rPr>
                <w:rFonts w:eastAsia="SimSun"/>
                <w:b/>
                <w:color w:val="auto"/>
                <w:sz w:val="24"/>
                <w:szCs w:val="24"/>
              </w:rPr>
              <w:t>RPC</w:t>
            </w:r>
            <w:r w:rsidR="00EC6B93" w:rsidRPr="00AB0FFD">
              <w:rPr>
                <w:rFonts w:eastAsia="SimSun"/>
                <w:b/>
                <w:color w:val="auto"/>
                <w:sz w:val="24"/>
                <w:szCs w:val="24"/>
              </w:rPr>
              <w:t xml:space="preserve"> Opinion</w:t>
            </w:r>
            <w:r w:rsidRPr="00AB0FFD">
              <w:rPr>
                <w:rFonts w:eastAsia="SimSun"/>
                <w:b/>
                <w:color w:val="auto"/>
                <w:sz w:val="24"/>
                <w:szCs w:val="24"/>
              </w:rPr>
              <w:t xml:space="preserve">: </w:t>
            </w:r>
            <w:bookmarkStart w:id="9" w:name="IARPC"/>
            <w:r w:rsidR="00EF16A1">
              <w:rPr>
                <w:rStyle w:val="IARPCChar"/>
              </w:rPr>
              <w:fldChar w:fldCharType="begin">
                <w:ffData>
                  <w:name w:val="IARPC"/>
                  <w:enabled/>
                  <w:calcOnExit w:val="0"/>
                  <w:ddList>
                    <w:result w:val="3"/>
                    <w:listEntry w:val="RPC Opinion Status"/>
                    <w:listEntry w:val="Awaiting Scrutiny"/>
                    <w:listEntry w:val="RED"/>
                    <w:listEntry w:val="AMBER"/>
                    <w:listEntry w:val="GREEN"/>
                  </w:ddList>
                </w:ffData>
              </w:fldChar>
            </w:r>
            <w:r w:rsidR="00EC6B93">
              <w:rPr>
                <w:rStyle w:val="IARPCChar"/>
              </w:rPr>
              <w:instrText xml:space="preserve"> FORMDROPDOWN </w:instrText>
            </w:r>
            <w:r w:rsidR="00897D36">
              <w:rPr>
                <w:rStyle w:val="IARPCChar"/>
              </w:rPr>
            </w:r>
            <w:r w:rsidR="00EF16A1">
              <w:rPr>
                <w:rStyle w:val="IARPCChar"/>
              </w:rPr>
              <w:fldChar w:fldCharType="end"/>
            </w:r>
            <w:bookmarkEnd w:id="9"/>
          </w:p>
        </w:tc>
      </w:tr>
      <w:tr w:rsidR="00372A69" w:rsidRPr="00AB0FFD" w14:paraId="75824711" w14:textId="77777777">
        <w:trPr>
          <w:trHeight w:hRule="exact" w:val="90"/>
        </w:trPr>
        <w:tc>
          <w:tcPr>
            <w:tcW w:w="10216" w:type="dxa"/>
            <w:gridSpan w:val="2"/>
            <w:tcBorders>
              <w:top w:val="single" w:sz="4" w:space="0" w:color="auto"/>
              <w:left w:val="nil"/>
              <w:bottom w:val="nil"/>
              <w:right w:val="single" w:sz="4" w:space="0" w:color="auto"/>
            </w:tcBorders>
            <w:shd w:val="clear" w:color="auto" w:fill="auto"/>
          </w:tcPr>
          <w:p w14:paraId="75824710" w14:textId="77777777" w:rsidR="00372A69" w:rsidRPr="00AB0FFD" w:rsidRDefault="00372A69" w:rsidP="00372A69">
            <w:pPr>
              <w:rPr>
                <w:rFonts w:eastAsia="SimSun"/>
              </w:rPr>
            </w:pPr>
          </w:p>
        </w:tc>
      </w:tr>
    </w:tbl>
    <w:p w14:paraId="75824712" w14:textId="77777777" w:rsidR="00AB0FFD" w:rsidRPr="00AB0FFD" w:rsidRDefault="00AB0FFD" w:rsidP="00AB0FFD">
      <w:pPr>
        <w:rPr>
          <w:vanish/>
        </w:rPr>
      </w:pPr>
      <w:bookmarkStart w:id="10" w:name="CostText"/>
    </w:p>
    <w:tbl>
      <w:tblPr>
        <w:tblW w:w="0" w:type="auto"/>
        <w:tblBorders>
          <w:top w:val="single" w:sz="4" w:space="0" w:color="auto"/>
          <w:left w:val="single" w:sz="4" w:space="0" w:color="auto"/>
          <w:bottom w:val="single" w:sz="4" w:space="0" w:color="auto"/>
          <w:right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1986"/>
        <w:gridCol w:w="1619"/>
        <w:gridCol w:w="2516"/>
        <w:gridCol w:w="1980"/>
        <w:gridCol w:w="2106"/>
      </w:tblGrid>
      <w:tr w:rsidR="00372A69" w:rsidRPr="000E02BE" w14:paraId="75824714" w14:textId="77777777">
        <w:trPr>
          <w:trHeight w:hRule="exact" w:val="312"/>
        </w:trPr>
        <w:tc>
          <w:tcPr>
            <w:tcW w:w="10207" w:type="dxa"/>
            <w:gridSpan w:val="5"/>
            <w:tcBorders>
              <w:top w:val="single" w:sz="4" w:space="0" w:color="auto"/>
              <w:bottom w:val="nil"/>
              <w:right w:val="single" w:sz="4" w:space="0" w:color="auto"/>
            </w:tcBorders>
            <w:shd w:val="clear" w:color="auto" w:fill="E0E0E0"/>
          </w:tcPr>
          <w:p w14:paraId="75824713" w14:textId="77777777" w:rsidR="00372A69" w:rsidRPr="000E02BE" w:rsidRDefault="00372A69" w:rsidP="006A0557">
            <w:pPr>
              <w:pStyle w:val="IATableLabel"/>
              <w:ind w:left="0"/>
              <w:jc w:val="center"/>
            </w:pPr>
            <w:r>
              <w:t>Cost of Preferred (or more likely) Option</w:t>
            </w:r>
            <w:bookmarkEnd w:id="10"/>
          </w:p>
        </w:tc>
      </w:tr>
      <w:tr w:rsidR="00372A69" w:rsidRPr="000E02BE" w14:paraId="7582471B" w14:textId="77777777">
        <w:trPr>
          <w:trHeight w:hRule="exact" w:val="571"/>
        </w:trPr>
        <w:tc>
          <w:tcPr>
            <w:tcW w:w="1986" w:type="dxa"/>
            <w:tcBorders>
              <w:top w:val="single" w:sz="4" w:space="0" w:color="auto"/>
              <w:bottom w:val="nil"/>
              <w:right w:val="single" w:sz="4" w:space="0" w:color="auto"/>
            </w:tcBorders>
            <w:shd w:val="clear" w:color="auto" w:fill="E0E0E0"/>
            <w:vAlign w:val="center"/>
          </w:tcPr>
          <w:p w14:paraId="75824715" w14:textId="77777777" w:rsidR="00372A69" w:rsidRPr="000E02BE" w:rsidRDefault="00372A69" w:rsidP="006A0557">
            <w:pPr>
              <w:pStyle w:val="IATableLabel"/>
              <w:spacing w:before="0" w:after="0"/>
            </w:pPr>
            <w:r>
              <w:t>Total Net Present Value</w:t>
            </w:r>
          </w:p>
        </w:tc>
        <w:tc>
          <w:tcPr>
            <w:tcW w:w="1619" w:type="dxa"/>
            <w:tcBorders>
              <w:top w:val="single" w:sz="4" w:space="0" w:color="auto"/>
              <w:bottom w:val="nil"/>
              <w:right w:val="single" w:sz="4" w:space="0" w:color="auto"/>
            </w:tcBorders>
            <w:shd w:val="clear" w:color="auto" w:fill="E0E0E0"/>
            <w:vAlign w:val="center"/>
          </w:tcPr>
          <w:p w14:paraId="75824716" w14:textId="77777777" w:rsidR="00372A69" w:rsidRPr="000E02BE" w:rsidRDefault="00372A69" w:rsidP="006A0557">
            <w:pPr>
              <w:pStyle w:val="IATableLabel"/>
              <w:spacing w:before="0" w:after="0"/>
            </w:pPr>
            <w:r>
              <w:t>Business Net Present Value</w:t>
            </w:r>
          </w:p>
        </w:tc>
        <w:tc>
          <w:tcPr>
            <w:tcW w:w="2516" w:type="dxa"/>
            <w:tcBorders>
              <w:top w:val="single" w:sz="4" w:space="0" w:color="auto"/>
              <w:bottom w:val="nil"/>
              <w:right w:val="single" w:sz="4" w:space="0" w:color="auto"/>
            </w:tcBorders>
            <w:shd w:val="clear" w:color="auto" w:fill="E0E0E0"/>
            <w:vAlign w:val="center"/>
          </w:tcPr>
          <w:p w14:paraId="75824717" w14:textId="77777777" w:rsidR="00372A69" w:rsidRPr="000E02BE" w:rsidRDefault="00372A69" w:rsidP="006A0557">
            <w:pPr>
              <w:pStyle w:val="IATableLabel"/>
              <w:spacing w:before="0" w:after="0"/>
            </w:pPr>
            <w:r>
              <w:t xml:space="preserve">Net cost </w:t>
            </w:r>
            <w:r w:rsidR="00332B05">
              <w:t xml:space="preserve">to business </w:t>
            </w:r>
            <w:r>
              <w:t>per year</w:t>
            </w:r>
            <w:r w:rsidR="006656EC">
              <w:t xml:space="preserve"> </w:t>
            </w:r>
            <w:r w:rsidR="006656EC" w:rsidRPr="006656EC">
              <w:rPr>
                <w:b w:val="0"/>
              </w:rPr>
              <w:t>(</w:t>
            </w:r>
            <w:r w:rsidR="00332B05" w:rsidRPr="00332B05">
              <w:rPr>
                <w:b w:val="0"/>
                <w:sz w:val="16"/>
                <w:szCs w:val="16"/>
              </w:rPr>
              <w:t>EANCB</w:t>
            </w:r>
            <w:r w:rsidR="00332B05">
              <w:rPr>
                <w:b w:val="0"/>
              </w:rPr>
              <w:t xml:space="preserve"> </w:t>
            </w:r>
            <w:r w:rsidR="006656EC" w:rsidRPr="006656EC">
              <w:rPr>
                <w:b w:val="0"/>
                <w:sz w:val="16"/>
                <w:szCs w:val="16"/>
              </w:rPr>
              <w:t xml:space="preserve">on 2009 </w:t>
            </w:r>
            <w:r w:rsidR="006656EC">
              <w:rPr>
                <w:b w:val="0"/>
                <w:sz w:val="16"/>
                <w:szCs w:val="16"/>
              </w:rPr>
              <w:t>prices</w:t>
            </w:r>
            <w:r w:rsidR="006656EC" w:rsidRPr="006656EC">
              <w:rPr>
                <w:b w:val="0"/>
                <w:sz w:val="16"/>
                <w:szCs w:val="16"/>
              </w:rPr>
              <w:t>)</w:t>
            </w:r>
          </w:p>
        </w:tc>
        <w:tc>
          <w:tcPr>
            <w:tcW w:w="1980" w:type="dxa"/>
            <w:tcBorders>
              <w:top w:val="single" w:sz="4" w:space="0" w:color="auto"/>
              <w:left w:val="single" w:sz="4" w:space="0" w:color="auto"/>
              <w:bottom w:val="nil"/>
              <w:right w:val="nil"/>
            </w:tcBorders>
            <w:shd w:val="clear" w:color="auto" w:fill="E0E0E0"/>
            <w:vAlign w:val="center"/>
          </w:tcPr>
          <w:p w14:paraId="75824718" w14:textId="77777777" w:rsidR="00372A69" w:rsidRPr="000E02BE" w:rsidRDefault="00372A69" w:rsidP="006A0557">
            <w:pPr>
              <w:pStyle w:val="IATableLabel"/>
              <w:spacing w:before="0" w:after="0"/>
            </w:pPr>
            <w:r w:rsidRPr="000E02BE">
              <w:t xml:space="preserve">In scope of </w:t>
            </w:r>
            <w:r>
              <w:t>On</w:t>
            </w:r>
            <w:r w:rsidR="00290335">
              <w:t>e</w:t>
            </w:r>
            <w:r>
              <w:t>-In, One-Out</w:t>
            </w:r>
            <w:r w:rsidRPr="000E02BE">
              <w:t>?</w:t>
            </w:r>
          </w:p>
        </w:tc>
        <w:tc>
          <w:tcPr>
            <w:tcW w:w="2106" w:type="dxa"/>
            <w:tcBorders>
              <w:top w:val="single" w:sz="4" w:space="0" w:color="auto"/>
              <w:left w:val="nil"/>
              <w:bottom w:val="nil"/>
              <w:right w:val="single" w:sz="4" w:space="0" w:color="auto"/>
            </w:tcBorders>
            <w:shd w:val="clear" w:color="auto" w:fill="E0E0E0"/>
            <w:vAlign w:val="center"/>
          </w:tcPr>
          <w:p w14:paraId="75824719" w14:textId="77777777" w:rsidR="00372A69" w:rsidRDefault="00372A69" w:rsidP="006A0557">
            <w:pPr>
              <w:pStyle w:val="IATableLabel"/>
              <w:spacing w:before="0" w:after="0"/>
              <w:ind w:left="0"/>
            </w:pPr>
            <w:r w:rsidRPr="000E02BE">
              <w:t>Measure qualifies as</w:t>
            </w:r>
          </w:p>
          <w:p w14:paraId="7582471A" w14:textId="77777777" w:rsidR="00463490" w:rsidRPr="000E02BE" w:rsidRDefault="00463490" w:rsidP="006A0557">
            <w:pPr>
              <w:pStyle w:val="IATableLabel"/>
              <w:spacing w:before="0" w:after="0"/>
              <w:ind w:left="0"/>
            </w:pPr>
          </w:p>
        </w:tc>
      </w:tr>
      <w:bookmarkStart w:id="11" w:name="IATNPV"/>
      <w:tr w:rsidR="00372A69" w:rsidRPr="0061761A" w14:paraId="75824721" w14:textId="77777777">
        <w:trPr>
          <w:trHeight w:hRule="exact" w:val="340"/>
        </w:trPr>
        <w:tc>
          <w:tcPr>
            <w:tcW w:w="1986" w:type="dxa"/>
            <w:tcBorders>
              <w:top w:val="nil"/>
              <w:bottom w:val="single" w:sz="4" w:space="0" w:color="auto"/>
              <w:right w:val="single" w:sz="4" w:space="0" w:color="auto"/>
            </w:tcBorders>
            <w:shd w:val="clear" w:color="auto" w:fill="E0E0E0"/>
            <w:vAlign w:val="center"/>
          </w:tcPr>
          <w:p w14:paraId="7582471C" w14:textId="5B8B6202" w:rsidR="00372A69" w:rsidRPr="000E02BE" w:rsidRDefault="00EF16A1" w:rsidP="006B798D">
            <w:pPr>
              <w:pStyle w:val="IAIIOTNPV"/>
            </w:pPr>
            <w:r>
              <w:fldChar w:fldCharType="begin">
                <w:ffData>
                  <w:name w:val="IATNPV"/>
                  <w:enabled/>
                  <w:calcOnExit w:val="0"/>
                  <w:textInput>
                    <w:default w:val="£m"/>
                    <w:maxLength w:val="9"/>
                  </w:textInput>
                </w:ffData>
              </w:fldChar>
            </w:r>
            <w:r w:rsidR="005A0B86">
              <w:instrText xml:space="preserve"> FORMTEXT </w:instrText>
            </w:r>
            <w:r>
              <w:fldChar w:fldCharType="separate"/>
            </w:r>
            <w:r w:rsidR="005A0B86">
              <w:rPr>
                <w:noProof/>
              </w:rPr>
              <w:t>£</w:t>
            </w:r>
            <w:r w:rsidR="004F261F">
              <w:rPr>
                <w:noProof/>
              </w:rPr>
              <w:t>6.</w:t>
            </w:r>
            <w:r w:rsidR="006B798D">
              <w:rPr>
                <w:noProof/>
              </w:rPr>
              <w:t>66</w:t>
            </w:r>
            <w:r w:rsidR="005A0B86">
              <w:rPr>
                <w:noProof/>
              </w:rPr>
              <w:t>m</w:t>
            </w:r>
            <w:r>
              <w:fldChar w:fldCharType="end"/>
            </w:r>
            <w:bookmarkEnd w:id="11"/>
          </w:p>
        </w:tc>
        <w:bookmarkStart w:id="12" w:name="IABNPV"/>
        <w:tc>
          <w:tcPr>
            <w:tcW w:w="1619" w:type="dxa"/>
            <w:tcBorders>
              <w:top w:val="nil"/>
              <w:bottom w:val="single" w:sz="4" w:space="0" w:color="auto"/>
              <w:right w:val="single" w:sz="4" w:space="0" w:color="auto"/>
            </w:tcBorders>
            <w:shd w:val="clear" w:color="auto" w:fill="E0E0E0"/>
            <w:vAlign w:val="center"/>
          </w:tcPr>
          <w:p w14:paraId="7582471D" w14:textId="707F17CA" w:rsidR="00372A69" w:rsidRPr="000E02BE" w:rsidRDefault="00EF16A1" w:rsidP="00C04052">
            <w:pPr>
              <w:pStyle w:val="IAIOBNPV"/>
            </w:pPr>
            <w:r>
              <w:fldChar w:fldCharType="begin">
                <w:ffData>
                  <w:name w:val="IABNPV"/>
                  <w:enabled/>
                  <w:calcOnExit w:val="0"/>
                  <w:textInput>
                    <w:default w:val="£m"/>
                    <w:maxLength w:val="9"/>
                  </w:textInput>
                </w:ffData>
              </w:fldChar>
            </w:r>
            <w:r w:rsidR="005A0B86">
              <w:instrText xml:space="preserve"> FORMTEXT </w:instrText>
            </w:r>
            <w:r>
              <w:fldChar w:fldCharType="separate"/>
            </w:r>
            <w:r w:rsidR="007B0D0D">
              <w:t>-</w:t>
            </w:r>
            <w:r w:rsidR="005A0B86">
              <w:rPr>
                <w:noProof/>
              </w:rPr>
              <w:t>£</w:t>
            </w:r>
            <w:r w:rsidR="00C04052">
              <w:rPr>
                <w:noProof/>
              </w:rPr>
              <w:t>2</w:t>
            </w:r>
            <w:r w:rsidR="007B0D0D">
              <w:rPr>
                <w:noProof/>
              </w:rPr>
              <w:t>.</w:t>
            </w:r>
            <w:r w:rsidR="00C04052">
              <w:rPr>
                <w:noProof/>
              </w:rPr>
              <w:t>45</w:t>
            </w:r>
            <w:r w:rsidR="005A0B86">
              <w:rPr>
                <w:noProof/>
              </w:rPr>
              <w:t>m</w:t>
            </w:r>
            <w:r>
              <w:fldChar w:fldCharType="end"/>
            </w:r>
            <w:bookmarkEnd w:id="12"/>
          </w:p>
        </w:tc>
        <w:bookmarkStart w:id="13" w:name="IANCTBPY"/>
        <w:tc>
          <w:tcPr>
            <w:tcW w:w="2516" w:type="dxa"/>
            <w:tcBorders>
              <w:top w:val="nil"/>
              <w:bottom w:val="single" w:sz="4" w:space="0" w:color="auto"/>
              <w:right w:val="single" w:sz="4" w:space="0" w:color="auto"/>
            </w:tcBorders>
            <w:shd w:val="clear" w:color="auto" w:fill="E0E0E0"/>
            <w:vAlign w:val="center"/>
          </w:tcPr>
          <w:p w14:paraId="7582471E" w14:textId="645A266F" w:rsidR="00372A69" w:rsidRPr="000E02BE" w:rsidRDefault="00EF16A1" w:rsidP="00C04052">
            <w:pPr>
              <w:pStyle w:val="IAIONCTBPY"/>
            </w:pPr>
            <w:r>
              <w:fldChar w:fldCharType="begin">
                <w:ffData>
                  <w:name w:val="IANCTBPY"/>
                  <w:enabled/>
                  <w:calcOnExit w:val="0"/>
                  <w:textInput>
                    <w:default w:val="£m"/>
                    <w:maxLength w:val="9"/>
                  </w:textInput>
                </w:ffData>
              </w:fldChar>
            </w:r>
            <w:r w:rsidR="005A0B86">
              <w:instrText xml:space="preserve"> FORMTEXT </w:instrText>
            </w:r>
            <w:r>
              <w:fldChar w:fldCharType="separate"/>
            </w:r>
            <w:r w:rsidR="005A0B86">
              <w:rPr>
                <w:noProof/>
              </w:rPr>
              <w:t>£</w:t>
            </w:r>
            <w:r w:rsidR="004F261F">
              <w:rPr>
                <w:noProof/>
              </w:rPr>
              <w:t>0.2</w:t>
            </w:r>
            <w:r w:rsidR="00C04052">
              <w:rPr>
                <w:noProof/>
              </w:rPr>
              <w:t>8</w:t>
            </w:r>
            <w:r w:rsidR="005A0B86">
              <w:rPr>
                <w:noProof/>
              </w:rPr>
              <w:t>m</w:t>
            </w:r>
            <w:r>
              <w:fldChar w:fldCharType="end"/>
            </w:r>
            <w:bookmarkEnd w:id="13"/>
          </w:p>
        </w:tc>
        <w:bookmarkStart w:id="14" w:name="IAInScopeInOut"/>
        <w:tc>
          <w:tcPr>
            <w:tcW w:w="1980" w:type="dxa"/>
            <w:tcBorders>
              <w:top w:val="nil"/>
              <w:left w:val="single" w:sz="4" w:space="0" w:color="auto"/>
              <w:bottom w:val="single" w:sz="4" w:space="0" w:color="auto"/>
              <w:right w:val="single" w:sz="4" w:space="0" w:color="auto"/>
            </w:tcBorders>
            <w:shd w:val="clear" w:color="auto" w:fill="E0E0E0"/>
            <w:vAlign w:val="center"/>
          </w:tcPr>
          <w:p w14:paraId="7582471F" w14:textId="77777777" w:rsidR="00372A69" w:rsidRPr="000E02BE" w:rsidRDefault="00EF16A1" w:rsidP="008369A3">
            <w:pPr>
              <w:pStyle w:val="IAIOInScopeInOut"/>
            </w:pPr>
            <w:r>
              <w:fldChar w:fldCharType="begin">
                <w:ffData>
                  <w:name w:val="IAInScopeInOut"/>
                  <w:enabled/>
                  <w:calcOnExit w:val="0"/>
                  <w:ddList>
                    <w:result w:val="1"/>
                    <w:listEntry w:val="Yes/No"/>
                    <w:listEntry w:val="Yes"/>
                    <w:listEntry w:val="No"/>
                  </w:ddList>
                </w:ffData>
              </w:fldChar>
            </w:r>
            <w:r w:rsidR="003B1336">
              <w:instrText xml:space="preserve"> FORMDROPDOWN </w:instrText>
            </w:r>
            <w:r>
              <w:fldChar w:fldCharType="end"/>
            </w:r>
            <w:bookmarkEnd w:id="14"/>
          </w:p>
        </w:tc>
        <w:bookmarkStart w:id="15" w:name="IAPrefMQ"/>
        <w:tc>
          <w:tcPr>
            <w:tcW w:w="2106" w:type="dxa"/>
            <w:tcBorders>
              <w:top w:val="nil"/>
              <w:left w:val="single" w:sz="4" w:space="0" w:color="auto"/>
              <w:bottom w:val="single" w:sz="4" w:space="0" w:color="auto"/>
              <w:right w:val="single" w:sz="4" w:space="0" w:color="auto"/>
            </w:tcBorders>
            <w:shd w:val="clear" w:color="auto" w:fill="E0E0E0"/>
            <w:vAlign w:val="center"/>
          </w:tcPr>
          <w:p w14:paraId="75824720" w14:textId="01A2C59F" w:rsidR="00372A69" w:rsidRPr="000E02BE" w:rsidRDefault="00EF16A1" w:rsidP="008369A3">
            <w:pPr>
              <w:pStyle w:val="IAIOPrefMQ"/>
            </w:pPr>
            <w:r>
              <w:fldChar w:fldCharType="begin">
                <w:ffData>
                  <w:name w:val="IAPrefMQ"/>
                  <w:enabled/>
                  <w:calcOnExit w:val="0"/>
                  <w:ddList>
                    <w:result w:val="1"/>
                    <w:listEntry w:val="In/Out/zero net cost"/>
                    <w:listEntry w:val="IN"/>
                    <w:listEntry w:val="OUT"/>
                    <w:listEntry w:val="Zero Net Cost"/>
                    <w:listEntry w:val="NA"/>
                  </w:ddList>
                </w:ffData>
              </w:fldChar>
            </w:r>
            <w:r w:rsidR="003B1336">
              <w:instrText xml:space="preserve"> FORMDROPDOWN </w:instrText>
            </w:r>
            <w:r>
              <w:fldChar w:fldCharType="end"/>
            </w:r>
            <w:bookmarkEnd w:id="15"/>
          </w:p>
        </w:tc>
      </w:tr>
      <w:tr w:rsidR="007208D9" w:rsidRPr="00826F71" w14:paraId="75824725" w14:textId="77777777">
        <w:tblPrEx>
          <w:shd w:val="clear" w:color="auto" w:fill="auto"/>
        </w:tblPrEx>
        <w:trPr>
          <w:trHeight w:hRule="exact" w:val="2262"/>
        </w:trPr>
        <w:tc>
          <w:tcPr>
            <w:tcW w:w="10207" w:type="dxa"/>
            <w:gridSpan w:val="5"/>
            <w:tcBorders>
              <w:top w:val="single" w:sz="4" w:space="0" w:color="auto"/>
              <w:left w:val="single" w:sz="4" w:space="0" w:color="auto"/>
              <w:bottom w:val="single" w:sz="4" w:space="0" w:color="auto"/>
              <w:right w:val="single" w:sz="4" w:space="0" w:color="auto"/>
            </w:tcBorders>
          </w:tcPr>
          <w:p w14:paraId="75824722" w14:textId="77777777" w:rsidR="007208D9" w:rsidRPr="00EA0B74" w:rsidRDefault="000110EB" w:rsidP="008369A3">
            <w:pPr>
              <w:pStyle w:val="IAIOQ1"/>
            </w:pPr>
            <w:bookmarkStart w:id="16" w:name="Summary1"/>
            <w:r>
              <w:t>What is the problem under consideration? Why is government intervention necessary?</w:t>
            </w:r>
            <w:bookmarkEnd w:id="16"/>
          </w:p>
          <w:bookmarkStart w:id="17" w:name="IAIOA1"/>
          <w:p w14:paraId="75824723" w14:textId="77777777" w:rsidR="002E30D0" w:rsidRDefault="00EF16A1" w:rsidP="002E30D0">
            <w:pPr>
              <w:pStyle w:val="IATableLines"/>
            </w:pPr>
            <w:r>
              <w:fldChar w:fldCharType="begin">
                <w:ffData>
                  <w:name w:val="IAIOA1"/>
                  <w:enabled/>
                  <w:calcOnExit w:val="0"/>
                  <w:textInput>
                    <w:default w:val="Maximum of 7 lines"/>
                    <w:maxLength w:val="800"/>
                  </w:textInput>
                </w:ffData>
              </w:fldChar>
            </w:r>
            <w:r w:rsidR="008369A3">
              <w:instrText xml:space="preserve"> FORMTEXT </w:instrText>
            </w:r>
            <w:r>
              <w:fldChar w:fldCharType="separate"/>
            </w:r>
            <w:r w:rsidR="00954F3D">
              <w:t xml:space="preserve">The communications industry is subject to many potential sources of market failure; namely, the spectrum commons, local and national market power, technical externalities and the presence of merit goods. </w:t>
            </w:r>
            <w:r w:rsidR="00130BCD">
              <w:t>The</w:t>
            </w:r>
            <w:r w:rsidR="00954F3D">
              <w:t xml:space="preserve"> industry is subject to the Commun</w:t>
            </w:r>
            <w:r w:rsidR="009B79B9">
              <w:t>i</w:t>
            </w:r>
            <w:r w:rsidR="00954F3D">
              <w:t xml:space="preserve">cations Act 2003 </w:t>
            </w:r>
            <w:r w:rsidR="00670C40">
              <w:t xml:space="preserve">which </w:t>
            </w:r>
            <w:r w:rsidR="00954F3D">
              <w:t>specifie</w:t>
            </w:r>
            <w:r w:rsidR="00670C40">
              <w:t>s</w:t>
            </w:r>
            <w:r w:rsidR="00954F3D">
              <w:t xml:space="preserve"> the duties</w:t>
            </w:r>
            <w:r w:rsidR="00130BCD">
              <w:t xml:space="preserve"> of</w:t>
            </w:r>
            <w:r w:rsidR="009B79B9">
              <w:t xml:space="preserve"> </w:t>
            </w:r>
            <w:r w:rsidR="00130BCD">
              <w:t xml:space="preserve"> the Office of Communications (Ofcom). </w:t>
            </w:r>
            <w:r w:rsidR="00BA2E96">
              <w:t>C</w:t>
            </w:r>
            <w:r w:rsidR="00C23C97">
              <w:t>e</w:t>
            </w:r>
            <w:r w:rsidR="00BA2E96">
              <w:t xml:space="preserve">rtain of the prescriptive regulations put in place in 2003 are no longer relevant. </w:t>
            </w:r>
            <w:r w:rsidR="00954F3D">
              <w:t xml:space="preserve">Thus, </w:t>
            </w:r>
            <w:r w:rsidR="00061ADF">
              <w:t xml:space="preserve">in performing its statutory duties Ofcom imposes costs upon communications markets which can no longer be justified by the benefits that result. Hence, some </w:t>
            </w:r>
            <w:r w:rsidR="00130BCD">
              <w:t>of Ofcom's duties require amendment or removal.</w:t>
            </w:r>
          </w:p>
          <w:p w14:paraId="75824724" w14:textId="77777777" w:rsidR="00E75380" w:rsidRPr="00C120C0" w:rsidRDefault="00130BCD" w:rsidP="002E30D0">
            <w:pPr>
              <w:pStyle w:val="IATableLines"/>
            </w:pPr>
            <w:r>
              <w:t xml:space="preserve">  </w:t>
            </w:r>
            <w:r w:rsidR="00EF16A1">
              <w:fldChar w:fldCharType="end"/>
            </w:r>
            <w:bookmarkEnd w:id="17"/>
          </w:p>
        </w:tc>
      </w:tr>
    </w:tbl>
    <w:p w14:paraId="75824726" w14:textId="77777777" w:rsidR="007208D9"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7208D9" w:rsidRPr="00826F71" w14:paraId="75824729" w14:textId="77777777">
        <w:trPr>
          <w:trHeight w:hRule="exact" w:val="2182"/>
        </w:trPr>
        <w:tc>
          <w:tcPr>
            <w:tcW w:w="10214" w:type="dxa"/>
          </w:tcPr>
          <w:p w14:paraId="75824727" w14:textId="77777777" w:rsidR="007208D9" w:rsidRPr="00EA0B74" w:rsidRDefault="000110EB" w:rsidP="008369A3">
            <w:pPr>
              <w:pStyle w:val="IAIOQ2"/>
            </w:pPr>
            <w:bookmarkStart w:id="18" w:name="Summary2"/>
            <w:r>
              <w:t>What are the policy objectives and the intended effects?</w:t>
            </w:r>
            <w:bookmarkEnd w:id="18"/>
          </w:p>
          <w:bookmarkStart w:id="19" w:name="IAIOA2"/>
          <w:p w14:paraId="75824728" w14:textId="7DD8DA90" w:rsidR="00E75380" w:rsidRPr="00C120C0" w:rsidRDefault="00EF16A1" w:rsidP="00897D36">
            <w:pPr>
              <w:pStyle w:val="IATableLines"/>
            </w:pPr>
            <w:r>
              <w:fldChar w:fldCharType="begin">
                <w:ffData>
                  <w:name w:val="IAIOA2"/>
                  <w:enabled/>
                  <w:calcOnExit w:val="0"/>
                  <w:textInput>
                    <w:default w:val="Maximum of 7 lines"/>
                    <w:maxLength w:val="800"/>
                  </w:textInput>
                </w:ffData>
              </w:fldChar>
            </w:r>
            <w:r w:rsidR="008369A3">
              <w:instrText xml:space="preserve"> FORMTEXT </w:instrText>
            </w:r>
            <w:r>
              <w:fldChar w:fldCharType="separate"/>
            </w:r>
            <w:r w:rsidR="00130BCD">
              <w:t>This measure seeks to rationalise some of Ofcom's statutory duties which are either redundant or duplicate work performed elsewhere. This is expected to reduce unjustifiable expense, avoid duplication of effort and increase the efficiency</w:t>
            </w:r>
            <w:r w:rsidR="00F84A0E">
              <w:t xml:space="preserve"> and flexibility</w:t>
            </w:r>
            <w:r w:rsidR="00130BCD">
              <w:t xml:space="preserve"> with which Ofcom discharges its duties.</w:t>
            </w:r>
            <w:r w:rsidR="002B7C43">
              <w:t xml:space="preserve"> In addition, the measure seeks to remove a hidden subsidy to satellite operators</w:t>
            </w:r>
            <w:r w:rsidR="002E30D0">
              <w:t>, which is being paid by the UK taxpayer</w:t>
            </w:r>
            <w:r w:rsidR="002B7C43">
              <w:t>.</w:t>
            </w:r>
            <w:r>
              <w:fldChar w:fldCharType="end"/>
            </w:r>
            <w:bookmarkEnd w:id="19"/>
          </w:p>
        </w:tc>
      </w:tr>
    </w:tbl>
    <w:p w14:paraId="7582472A" w14:textId="77777777" w:rsidR="007208D9" w:rsidRPr="00826F71"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686F5E" w:rsidRPr="00826F71" w14:paraId="7582472D" w14:textId="77777777">
        <w:trPr>
          <w:trHeight w:hRule="exact" w:val="3179"/>
        </w:trPr>
        <w:tc>
          <w:tcPr>
            <w:tcW w:w="9648" w:type="dxa"/>
          </w:tcPr>
          <w:p w14:paraId="7582472B" w14:textId="77777777" w:rsidR="00686F5E" w:rsidRPr="00826F71" w:rsidRDefault="00686F5E" w:rsidP="008369A3">
            <w:pPr>
              <w:pStyle w:val="IAIOQ3"/>
            </w:pPr>
            <w:bookmarkStart w:id="20" w:name="IAIOQ3"/>
            <w:bookmarkStart w:id="21" w:name="Summary3"/>
            <w:r>
              <w:t>What policy options have been considered</w:t>
            </w:r>
            <w:r w:rsidR="005D6EA8">
              <w:t>, including any alternatives to regulation</w:t>
            </w:r>
            <w:r>
              <w:t>? Please justify preferred option (further details in Evidence Base)</w:t>
            </w:r>
            <w:bookmarkEnd w:id="20"/>
          </w:p>
          <w:bookmarkStart w:id="22" w:name="IAIOA3"/>
          <w:p w14:paraId="7582472C" w14:textId="77777777" w:rsidR="00D50283" w:rsidRPr="00C120C0" w:rsidRDefault="00EF16A1" w:rsidP="00845E98">
            <w:pPr>
              <w:pStyle w:val="IATableLines"/>
            </w:pPr>
            <w:r>
              <w:fldChar w:fldCharType="begin">
                <w:ffData>
                  <w:name w:val="IAIOA3"/>
                  <w:enabled/>
                  <w:calcOnExit w:val="0"/>
                  <w:textInput>
                    <w:default w:val="Maximum of 10 lines"/>
                    <w:maxLength w:val="1100"/>
                  </w:textInput>
                </w:ffData>
              </w:fldChar>
            </w:r>
            <w:r w:rsidR="008369A3">
              <w:instrText xml:space="preserve"> FORMTEXT </w:instrText>
            </w:r>
            <w:r>
              <w:fldChar w:fldCharType="separate"/>
            </w:r>
            <w:r w:rsidR="00F84A0E">
              <w:t xml:space="preserve">Two options were considered. Option </w:t>
            </w:r>
            <w:r w:rsidR="00845E98">
              <w:t>2</w:t>
            </w:r>
            <w:r w:rsidR="00F84A0E">
              <w:t xml:space="preserve"> was to maintain Ofcom's duties as set out in the Communications Act 2003. Option </w:t>
            </w:r>
            <w:r w:rsidR="00845E98">
              <w:t>1</w:t>
            </w:r>
            <w:r w:rsidR="00F84A0E">
              <w:t xml:space="preserve"> means passing the proposed regulation which will remove some duties which are ineffective or unnecessary, allow others to be at the discretion of the Secretary of State and permit Ofcom to charge for services currently provided free. Option </w:t>
            </w:r>
            <w:r w:rsidR="00845E98">
              <w:t>1</w:t>
            </w:r>
            <w:r w:rsidR="00F84A0E">
              <w:t xml:space="preserve"> is preferred because it will increase the flexibility with which communications markets are regulated and promises to deliver cost savings. </w:t>
            </w:r>
            <w:r>
              <w:fldChar w:fldCharType="end"/>
            </w:r>
            <w:bookmarkEnd w:id="22"/>
          </w:p>
        </w:tc>
      </w:tr>
    </w:tbl>
    <w:p w14:paraId="7582472E" w14:textId="77777777" w:rsidR="00686F5E" w:rsidRDefault="00686F5E">
      <w:pPr>
        <w:pStyle w:val="IASpacer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15"/>
      </w:tblGrid>
      <w:tr w:rsidR="00720FFE" w14:paraId="75824730" w14:textId="77777777">
        <w:tc>
          <w:tcPr>
            <w:tcW w:w="5000" w:type="pct"/>
            <w:shd w:val="clear" w:color="auto" w:fill="auto"/>
          </w:tcPr>
          <w:p w14:paraId="7582472F" w14:textId="77777777" w:rsidR="00720FFE" w:rsidRPr="00AB0FFD" w:rsidRDefault="00720FFE" w:rsidP="00332B05">
            <w:pPr>
              <w:pStyle w:val="IATableLabel"/>
              <w:rPr>
                <w:b w:val="0"/>
                <w:sz w:val="22"/>
                <w:szCs w:val="22"/>
              </w:rPr>
            </w:pPr>
            <w:r w:rsidRPr="00D02C89">
              <w:t xml:space="preserve">Will the policy be reviewed?  </w:t>
            </w:r>
            <w:r w:rsidRPr="00AB0FFD">
              <w:rPr>
                <w:b w:val="0"/>
                <w:sz w:val="22"/>
                <w:szCs w:val="22"/>
              </w:rPr>
              <w:t xml:space="preserve">It </w:t>
            </w:r>
            <w:bookmarkStart w:id="23" w:name="IAPolicyReview"/>
            <w:r w:rsidR="00EF16A1" w:rsidRPr="00AB0FFD">
              <w:rPr>
                <w:rStyle w:val="IAIOPolicyReviewChar"/>
              </w:rPr>
              <w:fldChar w:fldCharType="begin">
                <w:ffData>
                  <w:name w:val="IAPolicyReview"/>
                  <w:enabled/>
                  <w:calcOnExit w:val="0"/>
                  <w:ddList>
                    <w:listEntry w:val="will/will not"/>
                    <w:listEntry w:val="will"/>
                    <w:listEntry w:val="will not"/>
                  </w:ddList>
                </w:ffData>
              </w:fldChar>
            </w:r>
            <w:r w:rsidR="00BB249D" w:rsidRPr="00AB0FFD">
              <w:rPr>
                <w:rStyle w:val="IAIOPolicyReviewChar"/>
              </w:rPr>
              <w:instrText xml:space="preserve"> FORMDROPDOWN </w:instrText>
            </w:r>
            <w:r w:rsidR="00EF16A1" w:rsidRPr="00AB0FFD">
              <w:rPr>
                <w:rStyle w:val="IAIOPolicyReviewChar"/>
              </w:rPr>
            </w:r>
            <w:r w:rsidR="00EF16A1" w:rsidRPr="00AB0FFD">
              <w:rPr>
                <w:rStyle w:val="IAIOPolicyReviewChar"/>
              </w:rPr>
              <w:fldChar w:fldCharType="end"/>
            </w:r>
            <w:bookmarkEnd w:id="23"/>
            <w:r w:rsidRPr="00AB0FFD">
              <w:rPr>
                <w:b w:val="0"/>
                <w:sz w:val="22"/>
                <w:szCs w:val="22"/>
              </w:rPr>
              <w:t xml:space="preserve"> </w:t>
            </w:r>
            <w:proofErr w:type="gramStart"/>
            <w:r w:rsidRPr="00AB0FFD">
              <w:rPr>
                <w:b w:val="0"/>
                <w:sz w:val="22"/>
                <w:szCs w:val="22"/>
              </w:rPr>
              <w:t>be</w:t>
            </w:r>
            <w:proofErr w:type="gramEnd"/>
            <w:r w:rsidRPr="00AB0FFD">
              <w:rPr>
                <w:b w:val="0"/>
                <w:sz w:val="22"/>
                <w:szCs w:val="22"/>
              </w:rPr>
              <w:t xml:space="preserve"> reviewed.</w:t>
            </w:r>
            <w:r w:rsidRPr="00AB0FFD">
              <w:rPr>
                <w:sz w:val="22"/>
                <w:szCs w:val="22"/>
              </w:rPr>
              <w:t xml:space="preserve"> </w:t>
            </w:r>
            <w:r w:rsidRPr="00D02C89">
              <w:t xml:space="preserve"> If applicable, set review date:  </w:t>
            </w:r>
            <w:bookmarkStart w:id="24" w:name="IAReviewMonth"/>
            <w:r w:rsidR="00EF16A1" w:rsidRPr="00AB0FFD">
              <w:rPr>
                <w:rStyle w:val="IAIOReviewMonthChar"/>
              </w:rPr>
              <w:fldChar w:fldCharType="begin">
                <w:ffData>
                  <w:name w:val="IAReviewMonth"/>
                  <w:enabled/>
                  <w:calcOnExit w:val="0"/>
                  <w:ddList>
                    <w:listEntry w:val="Month"/>
                    <w:listEntry w:val="01"/>
                    <w:listEntry w:val="02"/>
                    <w:listEntry w:val="03"/>
                    <w:listEntry w:val="04"/>
                    <w:listEntry w:val="05"/>
                    <w:listEntry w:val="06"/>
                    <w:listEntry w:val="07"/>
                    <w:listEntry w:val="08"/>
                    <w:listEntry w:val="09"/>
                    <w:listEntry w:val="10"/>
                    <w:listEntry w:val="11"/>
                    <w:listEntry w:val="12"/>
                  </w:ddList>
                </w:ffData>
              </w:fldChar>
            </w:r>
            <w:r w:rsidR="00BB249D" w:rsidRPr="00AB0FFD">
              <w:rPr>
                <w:rStyle w:val="IAIOReviewMonthChar"/>
              </w:rPr>
              <w:instrText xml:space="preserve"> FORMDROPDOWN </w:instrText>
            </w:r>
            <w:r w:rsidR="00EF16A1" w:rsidRPr="00AB0FFD">
              <w:rPr>
                <w:rStyle w:val="IAIOReviewMonthChar"/>
              </w:rPr>
            </w:r>
            <w:r w:rsidR="00EF16A1" w:rsidRPr="00AB0FFD">
              <w:rPr>
                <w:rStyle w:val="IAIOReviewMonthChar"/>
              </w:rPr>
              <w:fldChar w:fldCharType="end"/>
            </w:r>
            <w:bookmarkEnd w:id="24"/>
            <w:r w:rsidRPr="00AB0FFD">
              <w:rPr>
                <w:b w:val="0"/>
                <w:sz w:val="22"/>
                <w:szCs w:val="22"/>
              </w:rPr>
              <w:t>/</w:t>
            </w:r>
            <w:bookmarkStart w:id="25" w:name="IAReviewYear"/>
            <w:r w:rsidR="00EF16A1" w:rsidRPr="00AB0FFD">
              <w:rPr>
                <w:rStyle w:val="IAIOReviewYearChar"/>
              </w:rPr>
              <w:fldChar w:fldCharType="begin">
                <w:ffData>
                  <w:name w:val="IAReviewYear"/>
                  <w:enabled/>
                  <w:calcOnExit w:val="0"/>
                  <w:ddList>
                    <w:listEntry w:val="Year"/>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00BB249D" w:rsidRPr="00AB0FFD">
              <w:rPr>
                <w:rStyle w:val="IAIOReviewYearChar"/>
              </w:rPr>
              <w:instrText xml:space="preserve"> FORMDROPDOWN </w:instrText>
            </w:r>
            <w:r w:rsidR="00EF16A1" w:rsidRPr="00AB0FFD">
              <w:rPr>
                <w:rStyle w:val="IAIOReviewYearChar"/>
              </w:rPr>
            </w:r>
            <w:r w:rsidR="00EF16A1" w:rsidRPr="00AB0FFD">
              <w:rPr>
                <w:rStyle w:val="IAIOReviewYearChar"/>
              </w:rPr>
              <w:fldChar w:fldCharType="end"/>
            </w:r>
            <w:bookmarkEnd w:id="25"/>
          </w:p>
        </w:tc>
      </w:tr>
    </w:tbl>
    <w:p w14:paraId="75824731" w14:textId="77777777" w:rsidR="00AB0FFD" w:rsidRPr="00AB0FFD" w:rsidRDefault="00AB0FFD" w:rsidP="00AB0FFD">
      <w:pPr>
        <w:rPr>
          <w:vanish/>
        </w:rPr>
      </w:pPr>
      <w:bookmarkStart w:id="26" w:name="Summary4"/>
      <w:bookmarkEnd w:id="21"/>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5286"/>
        <w:gridCol w:w="983"/>
        <w:gridCol w:w="983"/>
        <w:gridCol w:w="983"/>
        <w:gridCol w:w="348"/>
        <w:gridCol w:w="635"/>
        <w:gridCol w:w="983"/>
      </w:tblGrid>
      <w:tr w:rsidR="006656EC" w:rsidRPr="00D50283" w14:paraId="75824734" w14:textId="77777777">
        <w:trPr>
          <w:trHeight w:hRule="exact" w:val="340"/>
        </w:trPr>
        <w:tc>
          <w:tcPr>
            <w:tcW w:w="7252" w:type="dxa"/>
            <w:gridSpan w:val="3"/>
            <w:shd w:val="clear" w:color="auto" w:fill="E0E0E0"/>
            <w:vAlign w:val="center"/>
          </w:tcPr>
          <w:p w14:paraId="75824732" w14:textId="77777777" w:rsidR="006656EC" w:rsidRPr="00D50283" w:rsidRDefault="006656EC" w:rsidP="006A0557">
            <w:pPr>
              <w:pStyle w:val="IATableText"/>
              <w:spacing w:before="0" w:after="0"/>
              <w:rPr>
                <w:sz w:val="20"/>
              </w:rPr>
            </w:pPr>
            <w:r w:rsidRPr="00D50283">
              <w:rPr>
                <w:iCs/>
                <w:sz w:val="20"/>
              </w:rPr>
              <w:t>Does implementation go beyond minimum EU requirements?</w:t>
            </w:r>
          </w:p>
        </w:tc>
        <w:bookmarkStart w:id="27" w:name="IACheckEU"/>
        <w:tc>
          <w:tcPr>
            <w:tcW w:w="2949" w:type="dxa"/>
            <w:gridSpan w:val="4"/>
            <w:tcBorders>
              <w:bottom w:val="single" w:sz="4" w:space="0" w:color="auto"/>
            </w:tcBorders>
            <w:shd w:val="clear" w:color="auto" w:fill="E0E0E0"/>
            <w:vAlign w:val="center"/>
          </w:tcPr>
          <w:p w14:paraId="75824733" w14:textId="77777777" w:rsidR="006656EC" w:rsidRPr="00D50283" w:rsidRDefault="00EF16A1" w:rsidP="00F91F5A">
            <w:pPr>
              <w:pStyle w:val="IAIOCheckEU"/>
            </w:pPr>
            <w:r>
              <w:fldChar w:fldCharType="begin">
                <w:ffData>
                  <w:name w:val="IACheckEU"/>
                  <w:enabled/>
                  <w:calcOnExit w:val="0"/>
                  <w:ddList>
                    <w:result w:val="3"/>
                    <w:listEntry w:val="Yes / No / N/A"/>
                    <w:listEntry w:val="Yes"/>
                    <w:listEntry w:val="No"/>
                    <w:listEntry w:val="N/A"/>
                  </w:ddList>
                </w:ffData>
              </w:fldChar>
            </w:r>
            <w:r w:rsidR="00BB249D">
              <w:instrText xml:space="preserve"> FORMDROPDOWN </w:instrText>
            </w:r>
            <w:r>
              <w:fldChar w:fldCharType="end"/>
            </w:r>
            <w:bookmarkEnd w:id="27"/>
          </w:p>
        </w:tc>
      </w:tr>
      <w:tr w:rsidR="006656EC" w:rsidRPr="00D50283" w14:paraId="7582473C" w14:textId="77777777">
        <w:trPr>
          <w:trHeight w:val="460"/>
        </w:trPr>
        <w:tc>
          <w:tcPr>
            <w:tcW w:w="5286" w:type="dxa"/>
            <w:shd w:val="clear" w:color="auto" w:fill="E0E0E0"/>
            <w:vAlign w:val="center"/>
          </w:tcPr>
          <w:p w14:paraId="75824735" w14:textId="77777777" w:rsidR="006656EC" w:rsidRPr="00D50283" w:rsidRDefault="006656EC" w:rsidP="006A0557">
            <w:pPr>
              <w:pStyle w:val="IATableText"/>
              <w:spacing w:before="0" w:after="0"/>
              <w:rPr>
                <w:sz w:val="20"/>
              </w:rPr>
            </w:pPr>
            <w:r w:rsidRPr="00D50283">
              <w:rPr>
                <w:rFonts w:cs="Arial"/>
                <w:sz w:val="20"/>
              </w:rPr>
              <w:t>Are a</w:t>
            </w:r>
            <w:r>
              <w:rPr>
                <w:rFonts w:cs="Arial"/>
                <w:sz w:val="20"/>
              </w:rPr>
              <w:t>ny of these organisations in scope</w:t>
            </w:r>
            <w:r w:rsidRPr="00D50283">
              <w:rPr>
                <w:rFonts w:cs="Arial"/>
                <w:sz w:val="20"/>
              </w:rPr>
              <w:t>?</w:t>
            </w:r>
            <w:r>
              <w:rPr>
                <w:rFonts w:cs="Arial"/>
                <w:sz w:val="20"/>
              </w:rPr>
              <w:t xml:space="preserve"> If Micros not exempted set out reason in Evidence Base.</w:t>
            </w:r>
          </w:p>
        </w:tc>
        <w:tc>
          <w:tcPr>
            <w:tcW w:w="983" w:type="dxa"/>
            <w:shd w:val="clear" w:color="auto" w:fill="E0E0E0"/>
            <w:vAlign w:val="center"/>
          </w:tcPr>
          <w:p w14:paraId="75824736" w14:textId="77777777" w:rsidR="006656EC" w:rsidRPr="00720FFE" w:rsidRDefault="006656EC" w:rsidP="006A0557">
            <w:pPr>
              <w:pStyle w:val="IATableLines"/>
              <w:rPr>
                <w:b/>
                <w:color w:val="000000"/>
                <w:sz w:val="20"/>
              </w:rPr>
            </w:pPr>
            <w:r w:rsidRPr="00720FFE">
              <w:rPr>
                <w:b/>
                <w:color w:val="000000"/>
                <w:sz w:val="20"/>
              </w:rPr>
              <w:t>Micro</w:t>
            </w:r>
            <w:bookmarkStart w:id="28" w:name="IACheckMicro"/>
            <w:r w:rsidR="00EF16A1" w:rsidRPr="00817638">
              <w:rPr>
                <w:rStyle w:val="IAIOCheckMicroChar"/>
                <w:b w:val="0"/>
                <w:sz w:val="20"/>
              </w:rPr>
              <w:fldChar w:fldCharType="begin">
                <w:ffData>
                  <w:name w:val="IACheckMicro"/>
                  <w:enabled/>
                  <w:calcOnExit w:val="0"/>
                  <w:ddList>
                    <w:result w:val="1"/>
                    <w:listEntry w:val="Yes/No"/>
                    <w:listEntry w:val="Yes"/>
                    <w:listEntry w:val="No"/>
                  </w:ddList>
                </w:ffData>
              </w:fldChar>
            </w:r>
            <w:r w:rsidR="00586D82" w:rsidRPr="00817638">
              <w:rPr>
                <w:rStyle w:val="IAIOCheckMicroChar"/>
                <w:b w:val="0"/>
                <w:sz w:val="20"/>
              </w:rPr>
              <w:instrText xml:space="preserve"> FORMDROPDOWN </w:instrText>
            </w:r>
            <w:r w:rsidR="00EF16A1" w:rsidRPr="00817638">
              <w:rPr>
                <w:rStyle w:val="IAIOCheckMicroChar"/>
                <w:b w:val="0"/>
                <w:sz w:val="20"/>
              </w:rPr>
            </w:r>
            <w:r w:rsidR="00EF16A1" w:rsidRPr="00817638">
              <w:rPr>
                <w:rStyle w:val="IAIOCheckMicroChar"/>
                <w:b w:val="0"/>
                <w:sz w:val="20"/>
              </w:rPr>
              <w:fldChar w:fldCharType="end"/>
            </w:r>
            <w:bookmarkEnd w:id="28"/>
          </w:p>
        </w:tc>
        <w:tc>
          <w:tcPr>
            <w:tcW w:w="983" w:type="dxa"/>
            <w:shd w:val="clear" w:color="auto" w:fill="E0E0E0"/>
            <w:vAlign w:val="center"/>
          </w:tcPr>
          <w:p w14:paraId="75824737" w14:textId="77777777" w:rsidR="00586D82" w:rsidRDefault="006656EC" w:rsidP="006A0557">
            <w:pPr>
              <w:pStyle w:val="IATableLines"/>
              <w:rPr>
                <w:b/>
                <w:color w:val="000000"/>
                <w:sz w:val="20"/>
              </w:rPr>
            </w:pPr>
            <w:r w:rsidRPr="00720FFE">
              <w:rPr>
                <w:b/>
                <w:color w:val="000000"/>
                <w:sz w:val="20"/>
              </w:rPr>
              <w:t>&lt; 20</w:t>
            </w:r>
          </w:p>
          <w:p w14:paraId="75824738" w14:textId="77777777" w:rsidR="006656EC" w:rsidRPr="00720FFE" w:rsidRDefault="00BB249D" w:rsidP="00D478C9">
            <w:pPr>
              <w:pStyle w:val="IAIOCheck20"/>
              <w:rPr>
                <w:b/>
                <w:color w:val="000000"/>
              </w:rPr>
            </w:pPr>
            <w:r>
              <w:rPr>
                <w:b/>
                <w:color w:val="000000"/>
              </w:rPr>
              <w:t xml:space="preserve"> </w:t>
            </w:r>
            <w:bookmarkStart w:id="29" w:name="IACheck20"/>
            <w:r w:rsidR="00EF16A1">
              <w:fldChar w:fldCharType="begin">
                <w:ffData>
                  <w:name w:val="IACheck20"/>
                  <w:enabled/>
                  <w:calcOnExit w:val="0"/>
                  <w:ddList>
                    <w:result w:val="1"/>
                    <w:listEntry w:val="Yes/No"/>
                    <w:listEntry w:val="Yes"/>
                    <w:listEntry w:val="No"/>
                  </w:ddList>
                </w:ffData>
              </w:fldChar>
            </w:r>
            <w:r w:rsidR="00072272">
              <w:instrText xml:space="preserve"> FORMDROPDOWN </w:instrText>
            </w:r>
            <w:r w:rsidR="00EF16A1">
              <w:fldChar w:fldCharType="end"/>
            </w:r>
            <w:bookmarkEnd w:id="29"/>
          </w:p>
        </w:tc>
        <w:tc>
          <w:tcPr>
            <w:tcW w:w="983" w:type="dxa"/>
            <w:shd w:val="clear" w:color="auto" w:fill="E0E0E0"/>
            <w:vAlign w:val="center"/>
          </w:tcPr>
          <w:p w14:paraId="75824739" w14:textId="77777777" w:rsidR="006656EC" w:rsidRPr="00720FFE" w:rsidRDefault="006656EC" w:rsidP="006A0557">
            <w:pPr>
              <w:pStyle w:val="IATableLines"/>
              <w:rPr>
                <w:b/>
                <w:color w:val="000000"/>
                <w:sz w:val="20"/>
              </w:rPr>
            </w:pPr>
            <w:r w:rsidRPr="00720FFE">
              <w:rPr>
                <w:b/>
                <w:color w:val="000000"/>
                <w:sz w:val="20"/>
              </w:rPr>
              <w:t>Small</w:t>
            </w:r>
            <w:bookmarkStart w:id="30" w:name="IACheckSmall"/>
            <w:r w:rsidR="00EF16A1" w:rsidRPr="00817638">
              <w:rPr>
                <w:rStyle w:val="IAIOCheckSmallChar"/>
                <w:b w:val="0"/>
                <w:sz w:val="20"/>
              </w:rPr>
              <w:fldChar w:fldCharType="begin">
                <w:ffData>
                  <w:name w:val="IACheckSmall"/>
                  <w:enabled/>
                  <w:calcOnExit w:val="0"/>
                  <w:ddList>
                    <w:result w:val="1"/>
                    <w:listEntry w:val="Yes/No"/>
                    <w:listEntry w:val="Yes"/>
                    <w:listEntry w:val="No"/>
                  </w:ddList>
                </w:ffData>
              </w:fldChar>
            </w:r>
            <w:r w:rsidR="00072272" w:rsidRPr="00817638">
              <w:rPr>
                <w:rStyle w:val="IAIOCheckSmallChar"/>
                <w:b w:val="0"/>
                <w:sz w:val="20"/>
              </w:rPr>
              <w:instrText xml:space="preserve"> FORMDROPDOWN </w:instrText>
            </w:r>
            <w:r w:rsidR="00EF16A1" w:rsidRPr="00817638">
              <w:rPr>
                <w:rStyle w:val="IAIOCheckSmallChar"/>
                <w:b w:val="0"/>
                <w:sz w:val="20"/>
              </w:rPr>
            </w:r>
            <w:r w:rsidR="00EF16A1" w:rsidRPr="00817638">
              <w:rPr>
                <w:rStyle w:val="IAIOCheckSmallChar"/>
                <w:b w:val="0"/>
                <w:sz w:val="20"/>
              </w:rPr>
              <w:fldChar w:fldCharType="end"/>
            </w:r>
            <w:bookmarkEnd w:id="30"/>
          </w:p>
        </w:tc>
        <w:tc>
          <w:tcPr>
            <w:tcW w:w="983" w:type="dxa"/>
            <w:gridSpan w:val="2"/>
            <w:shd w:val="clear" w:color="auto" w:fill="E0E0E0"/>
            <w:vAlign w:val="center"/>
          </w:tcPr>
          <w:p w14:paraId="7582473A" w14:textId="77777777" w:rsidR="006656EC" w:rsidRPr="00720FFE" w:rsidRDefault="006656EC" w:rsidP="006A0557">
            <w:pPr>
              <w:pStyle w:val="IATableLines"/>
              <w:rPr>
                <w:b/>
                <w:color w:val="000000"/>
                <w:sz w:val="20"/>
              </w:rPr>
            </w:pPr>
            <w:r w:rsidRPr="00720FFE">
              <w:rPr>
                <w:b/>
                <w:color w:val="000000"/>
                <w:sz w:val="20"/>
              </w:rPr>
              <w:t>Medium</w:t>
            </w:r>
            <w:bookmarkStart w:id="31" w:name="IACheckMedium"/>
            <w:r w:rsidR="00EF16A1" w:rsidRPr="00817638">
              <w:rPr>
                <w:rStyle w:val="IAIOCheckMediumChar"/>
                <w:b w:val="0"/>
                <w:sz w:val="20"/>
              </w:rPr>
              <w:fldChar w:fldCharType="begin">
                <w:ffData>
                  <w:name w:val="IACheckMedium"/>
                  <w:enabled/>
                  <w:calcOnExit w:val="0"/>
                  <w:ddList>
                    <w:result w:val="1"/>
                    <w:listEntry w:val="Yes/No"/>
                    <w:listEntry w:val="Yes"/>
                    <w:listEntry w:val="No"/>
                  </w:ddList>
                </w:ffData>
              </w:fldChar>
            </w:r>
            <w:r w:rsidR="00072272" w:rsidRPr="00817638">
              <w:rPr>
                <w:rStyle w:val="IAIOCheckMediumChar"/>
                <w:b w:val="0"/>
                <w:sz w:val="20"/>
              </w:rPr>
              <w:instrText xml:space="preserve"> FORMDROPDOWN </w:instrText>
            </w:r>
            <w:r w:rsidR="00EF16A1" w:rsidRPr="00817638">
              <w:rPr>
                <w:rStyle w:val="IAIOCheckMediumChar"/>
                <w:b w:val="0"/>
                <w:sz w:val="20"/>
              </w:rPr>
            </w:r>
            <w:r w:rsidR="00EF16A1" w:rsidRPr="00817638">
              <w:rPr>
                <w:rStyle w:val="IAIOCheckMediumChar"/>
                <w:b w:val="0"/>
                <w:sz w:val="20"/>
              </w:rPr>
              <w:fldChar w:fldCharType="end"/>
            </w:r>
            <w:bookmarkEnd w:id="31"/>
          </w:p>
        </w:tc>
        <w:tc>
          <w:tcPr>
            <w:tcW w:w="983" w:type="dxa"/>
            <w:shd w:val="clear" w:color="auto" w:fill="E0E0E0"/>
            <w:vAlign w:val="center"/>
          </w:tcPr>
          <w:p w14:paraId="7582473B" w14:textId="77777777" w:rsidR="006656EC" w:rsidRPr="00720FFE" w:rsidRDefault="006656EC" w:rsidP="006A0557">
            <w:pPr>
              <w:pStyle w:val="IATableLines"/>
              <w:rPr>
                <w:b/>
                <w:color w:val="000000"/>
                <w:sz w:val="20"/>
              </w:rPr>
            </w:pPr>
            <w:r w:rsidRPr="00720FFE">
              <w:rPr>
                <w:b/>
                <w:color w:val="000000"/>
                <w:sz w:val="20"/>
              </w:rPr>
              <w:t>Large</w:t>
            </w:r>
            <w:bookmarkStart w:id="32" w:name="IACheckLarge"/>
            <w:r w:rsidR="00EF16A1" w:rsidRPr="00817638">
              <w:rPr>
                <w:rStyle w:val="IAIOCheckLargeChar"/>
                <w:b w:val="0"/>
                <w:sz w:val="20"/>
              </w:rPr>
              <w:fldChar w:fldCharType="begin">
                <w:ffData>
                  <w:name w:val="IACheckLarge"/>
                  <w:enabled/>
                  <w:calcOnExit w:val="0"/>
                  <w:ddList>
                    <w:result w:val="1"/>
                    <w:listEntry w:val="Yes/No"/>
                    <w:listEntry w:val="Yes"/>
                    <w:listEntry w:val="No"/>
                  </w:ddList>
                </w:ffData>
              </w:fldChar>
            </w:r>
            <w:r w:rsidR="00072272" w:rsidRPr="00817638">
              <w:rPr>
                <w:rStyle w:val="IAIOCheckLargeChar"/>
                <w:b w:val="0"/>
                <w:sz w:val="20"/>
              </w:rPr>
              <w:instrText xml:space="preserve"> FORMDROPDOWN </w:instrText>
            </w:r>
            <w:r w:rsidR="00EF16A1" w:rsidRPr="00817638">
              <w:rPr>
                <w:rStyle w:val="IAIOCheckLargeChar"/>
                <w:b w:val="0"/>
                <w:sz w:val="20"/>
              </w:rPr>
            </w:r>
            <w:r w:rsidR="00EF16A1" w:rsidRPr="00817638">
              <w:rPr>
                <w:rStyle w:val="IAIOCheckLargeChar"/>
                <w:b w:val="0"/>
                <w:sz w:val="20"/>
              </w:rPr>
              <w:fldChar w:fldCharType="end"/>
            </w:r>
            <w:bookmarkEnd w:id="32"/>
          </w:p>
        </w:tc>
      </w:tr>
      <w:tr w:rsidR="00817638" w14:paraId="75824740" w14:textId="77777777">
        <w:tblPrEx>
          <w:shd w:val="clear" w:color="auto" w:fill="auto"/>
        </w:tblPrEx>
        <w:trPr>
          <w:trHeight w:hRule="exact" w:val="567"/>
        </w:trPr>
        <w:tc>
          <w:tcPr>
            <w:tcW w:w="7252"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7582473D" w14:textId="77777777" w:rsidR="00817638" w:rsidRDefault="00817638" w:rsidP="006A0557">
            <w:pPr>
              <w:pStyle w:val="IATableText"/>
              <w:spacing w:before="0" w:after="0"/>
              <w:rPr>
                <w:rFonts w:eastAsia="Times New Roman"/>
                <w:sz w:val="16"/>
                <w:szCs w:val="16"/>
              </w:rPr>
            </w:pPr>
            <w:r>
              <w:rPr>
                <w:rFonts w:cs="Arial"/>
                <w:sz w:val="20"/>
              </w:rPr>
              <w:t>What is the CO</w:t>
            </w:r>
            <w:r w:rsidRPr="00FC07D5">
              <w:rPr>
                <w:rFonts w:cs="Arial"/>
                <w:sz w:val="20"/>
                <w:vertAlign w:val="subscript"/>
              </w:rPr>
              <w:t>2</w:t>
            </w:r>
            <w:r>
              <w:rPr>
                <w:rFonts w:cs="Arial"/>
                <w:sz w:val="20"/>
              </w:rPr>
              <w:t xml:space="preserve"> equivalent change in greenhouse gas emissions? </w:t>
            </w:r>
            <w:r>
              <w:rPr>
                <w:rFonts w:cs="Arial"/>
                <w:sz w:val="20"/>
              </w:rPr>
              <w:br/>
              <w:t xml:space="preserve">(Million tonnes </w:t>
            </w:r>
            <w:r w:rsidR="00FC07D5">
              <w:rPr>
                <w:rFonts w:cs="Arial"/>
                <w:sz w:val="20"/>
              </w:rPr>
              <w:t>CO</w:t>
            </w:r>
            <w:r w:rsidR="00FC07D5" w:rsidRPr="00FC07D5">
              <w:rPr>
                <w:rFonts w:cs="Arial"/>
                <w:sz w:val="20"/>
                <w:vertAlign w:val="subscript"/>
              </w:rPr>
              <w:t>2</w:t>
            </w:r>
            <w:r>
              <w:rPr>
                <w:rFonts w:cs="Arial"/>
                <w:sz w:val="20"/>
              </w:rPr>
              <w:t xml:space="preserve"> equivalent)</w:t>
            </w:r>
            <w:r>
              <w:rPr>
                <w:spacing w:val="0"/>
                <w:sz w:val="18"/>
              </w:rPr>
              <w:t xml:space="preserve">  </w:t>
            </w:r>
          </w:p>
        </w:tc>
        <w:tc>
          <w:tcPr>
            <w:tcW w:w="1331" w:type="dxa"/>
            <w:gridSpan w:val="2"/>
            <w:tcBorders>
              <w:top w:val="single" w:sz="4" w:space="0" w:color="auto"/>
              <w:left w:val="single" w:sz="4" w:space="0" w:color="auto"/>
              <w:bottom w:val="single" w:sz="4" w:space="0" w:color="auto"/>
              <w:right w:val="single" w:sz="4" w:space="0" w:color="auto"/>
            </w:tcBorders>
            <w:shd w:val="clear" w:color="auto" w:fill="E0E0E0"/>
          </w:tcPr>
          <w:p w14:paraId="7582473E" w14:textId="77777777" w:rsidR="00817638" w:rsidRDefault="00817638" w:rsidP="008A6491">
            <w:pPr>
              <w:pStyle w:val="IATableLabel"/>
            </w:pPr>
            <w:r>
              <w:t xml:space="preserve">Traded:   </w:t>
            </w:r>
            <w:r>
              <w:br/>
            </w:r>
            <w:bookmarkStart w:id="33" w:name="IACO2Traded"/>
            <w:r w:rsidR="00EF16A1" w:rsidRPr="00335C9A">
              <w:rPr>
                <w:rStyle w:val="IAIOCO2TradedChar"/>
                <w:sz w:val="20"/>
              </w:rPr>
              <w:fldChar w:fldCharType="begin">
                <w:ffData>
                  <w:name w:val="IACO2Traded"/>
                  <w:enabled/>
                  <w:calcOnExit w:val="0"/>
                  <w:textInput>
                    <w:maxLength w:val="8"/>
                  </w:textInput>
                </w:ffData>
              </w:fldChar>
            </w:r>
            <w:r w:rsidRPr="00335C9A">
              <w:rPr>
                <w:rStyle w:val="IAIOCO2TradedChar"/>
                <w:sz w:val="20"/>
              </w:rPr>
              <w:instrText xml:space="preserve"> FORMTEXT </w:instrText>
            </w:r>
            <w:r w:rsidR="00EF16A1" w:rsidRPr="00335C9A">
              <w:rPr>
                <w:rStyle w:val="IAIOCO2TradedChar"/>
                <w:sz w:val="20"/>
              </w:rPr>
            </w:r>
            <w:r w:rsidR="00EF16A1" w:rsidRPr="00335C9A">
              <w:rPr>
                <w:rStyle w:val="IAIOCO2TradedChar"/>
                <w:sz w:val="20"/>
              </w:rPr>
              <w:fldChar w:fldCharType="separate"/>
            </w:r>
            <w:r w:rsidRPr="00335C9A">
              <w:rPr>
                <w:rStyle w:val="IAIOCO2TradedChar"/>
                <w:rFonts w:ascii="Menlo Regular" w:hAnsi="Menlo Regular" w:cs="Menlo Regular"/>
                <w:sz w:val="20"/>
              </w:rPr>
              <w:t> </w:t>
            </w:r>
            <w:r w:rsidRPr="00335C9A">
              <w:rPr>
                <w:rStyle w:val="IAIOCO2TradedChar"/>
                <w:rFonts w:ascii="Apple Symbols" w:hAnsi="Apple Symbols" w:cs="Apple Symbols"/>
                <w:sz w:val="20"/>
              </w:rPr>
              <w:t> </w:t>
            </w:r>
            <w:r w:rsidRPr="00335C9A">
              <w:rPr>
                <w:rStyle w:val="IAIOCO2TradedChar"/>
                <w:rFonts w:ascii="Menlo Regular" w:hAnsi="Menlo Regular" w:cs="Menlo Regular"/>
                <w:sz w:val="20"/>
              </w:rPr>
              <w:t> </w:t>
            </w:r>
            <w:r w:rsidRPr="00335C9A">
              <w:rPr>
                <w:rStyle w:val="IAIOCO2TradedChar"/>
                <w:rFonts w:ascii="Apple Symbols" w:hAnsi="Apple Symbols" w:cs="Apple Symbols"/>
                <w:sz w:val="20"/>
              </w:rPr>
              <w:t> </w:t>
            </w:r>
            <w:r w:rsidRPr="00335C9A">
              <w:rPr>
                <w:rStyle w:val="IAIOCO2TradedChar"/>
                <w:rFonts w:ascii="Menlo Regular" w:hAnsi="Menlo Regular" w:cs="Menlo Regular"/>
                <w:sz w:val="20"/>
              </w:rPr>
              <w:t> </w:t>
            </w:r>
            <w:r w:rsidR="00EF16A1" w:rsidRPr="00335C9A">
              <w:rPr>
                <w:rStyle w:val="IAIOCO2TradedChar"/>
                <w:sz w:val="20"/>
              </w:rPr>
              <w:fldChar w:fldCharType="end"/>
            </w:r>
            <w:bookmarkEnd w:id="33"/>
          </w:p>
        </w:tc>
        <w:tc>
          <w:tcPr>
            <w:tcW w:w="1618" w:type="dxa"/>
            <w:gridSpan w:val="2"/>
            <w:tcBorders>
              <w:top w:val="single" w:sz="4" w:space="0" w:color="auto"/>
              <w:left w:val="single" w:sz="4" w:space="0" w:color="auto"/>
              <w:bottom w:val="single" w:sz="4" w:space="0" w:color="auto"/>
              <w:right w:val="single" w:sz="4" w:space="0" w:color="auto"/>
            </w:tcBorders>
            <w:shd w:val="clear" w:color="auto" w:fill="E0E0E0"/>
          </w:tcPr>
          <w:p w14:paraId="7582473F" w14:textId="77777777" w:rsidR="00817638" w:rsidRDefault="00817638" w:rsidP="008A6491">
            <w:pPr>
              <w:pStyle w:val="IATableLabel"/>
            </w:pPr>
            <w:r>
              <w:t xml:space="preserve">Non-traded:   </w:t>
            </w:r>
            <w:r>
              <w:br/>
            </w:r>
            <w:bookmarkStart w:id="34" w:name="IACO2NonTraded"/>
            <w:r w:rsidR="00EF16A1">
              <w:rPr>
                <w:rStyle w:val="IAIOCO2TradedChar"/>
                <w:sz w:val="20"/>
              </w:rPr>
              <w:fldChar w:fldCharType="begin">
                <w:ffData>
                  <w:name w:val="IACO2NonTraded"/>
                  <w:enabled/>
                  <w:calcOnExit w:val="0"/>
                  <w:textInput>
                    <w:maxLength w:val="8"/>
                  </w:textInput>
                </w:ffData>
              </w:fldChar>
            </w:r>
            <w:r w:rsidR="008155E3">
              <w:rPr>
                <w:rStyle w:val="IAIOCO2TradedChar"/>
                <w:sz w:val="20"/>
              </w:rPr>
              <w:instrText xml:space="preserve"> FORMTEXT </w:instrText>
            </w:r>
            <w:r w:rsidR="00EF16A1">
              <w:rPr>
                <w:rStyle w:val="IAIOCO2TradedChar"/>
                <w:sz w:val="20"/>
              </w:rPr>
            </w:r>
            <w:r w:rsidR="00EF16A1">
              <w:rPr>
                <w:rStyle w:val="IAIOCO2TradedChar"/>
                <w:sz w:val="20"/>
              </w:rPr>
              <w:fldChar w:fldCharType="separate"/>
            </w:r>
            <w:r w:rsidR="008155E3">
              <w:rPr>
                <w:rStyle w:val="IAIOCO2TradedChar"/>
                <w:rFonts w:ascii="Apple Symbols" w:hAnsi="Apple Symbols" w:cs="Apple Symbols"/>
                <w:noProof/>
                <w:sz w:val="20"/>
              </w:rPr>
              <w:t> </w:t>
            </w:r>
            <w:r w:rsidR="008155E3">
              <w:rPr>
                <w:rStyle w:val="IAIOCO2TradedChar"/>
                <w:rFonts w:ascii="Menlo Regular" w:hAnsi="Menlo Regular" w:cs="Menlo Regular"/>
                <w:noProof/>
                <w:sz w:val="20"/>
              </w:rPr>
              <w:t> </w:t>
            </w:r>
            <w:r w:rsidR="008155E3">
              <w:rPr>
                <w:rStyle w:val="IAIOCO2TradedChar"/>
                <w:rFonts w:ascii="Apple Symbols" w:hAnsi="Apple Symbols" w:cs="Apple Symbols"/>
                <w:noProof/>
                <w:sz w:val="20"/>
              </w:rPr>
              <w:t> </w:t>
            </w:r>
            <w:r w:rsidR="008155E3">
              <w:rPr>
                <w:rStyle w:val="IAIOCO2TradedChar"/>
                <w:rFonts w:ascii="Menlo Regular" w:hAnsi="Menlo Regular" w:cs="Menlo Regular"/>
                <w:noProof/>
                <w:sz w:val="20"/>
              </w:rPr>
              <w:t> </w:t>
            </w:r>
            <w:r w:rsidR="008155E3">
              <w:rPr>
                <w:rStyle w:val="IAIOCO2TradedChar"/>
                <w:rFonts w:ascii="Apple Symbols" w:hAnsi="Apple Symbols" w:cs="Apple Symbols"/>
                <w:noProof/>
                <w:sz w:val="20"/>
              </w:rPr>
              <w:t> </w:t>
            </w:r>
            <w:r w:rsidR="00EF16A1">
              <w:rPr>
                <w:rStyle w:val="IAIOCO2TradedChar"/>
                <w:sz w:val="20"/>
              </w:rPr>
              <w:fldChar w:fldCharType="end"/>
            </w:r>
            <w:bookmarkEnd w:id="34"/>
          </w:p>
        </w:tc>
      </w:tr>
    </w:tbl>
    <w:p w14:paraId="75824741" w14:textId="77777777" w:rsidR="000110EB" w:rsidRPr="00DF2F4B" w:rsidRDefault="000110EB">
      <w:pPr>
        <w:pStyle w:val="IASign-off"/>
        <w:rPr>
          <w:sz w:val="20"/>
        </w:rPr>
      </w:pPr>
      <w:bookmarkStart w:id="35" w:name="SignOfftext"/>
      <w:bookmarkEnd w:id="26"/>
      <w:r w:rsidRPr="00DF2F4B">
        <w:rPr>
          <w:sz w:val="20"/>
        </w:rPr>
        <w:t>I have read the Impact Assessment and I am satisfied that, given the available evidence, it represents a reasonable view of the likely costs, benefits and impact of the leading options.</w:t>
      </w:r>
    </w:p>
    <w:tbl>
      <w:tblPr>
        <w:tblW w:w="5020" w:type="pct"/>
        <w:tblLayout w:type="fixed"/>
        <w:tblCellMar>
          <w:left w:w="0" w:type="dxa"/>
          <w:right w:w="0" w:type="dxa"/>
        </w:tblCellMar>
        <w:tblLook w:val="0000" w:firstRow="0" w:lastRow="0" w:firstColumn="0" w:lastColumn="0" w:noHBand="0" w:noVBand="0"/>
      </w:tblPr>
      <w:tblGrid>
        <w:gridCol w:w="4815"/>
        <w:gridCol w:w="2701"/>
        <w:gridCol w:w="707"/>
        <w:gridCol w:w="2023"/>
      </w:tblGrid>
      <w:tr w:rsidR="000110EB" w14:paraId="75824746" w14:textId="77777777">
        <w:trPr>
          <w:cantSplit/>
          <w:trHeight w:hRule="exact" w:val="767"/>
        </w:trPr>
        <w:tc>
          <w:tcPr>
            <w:tcW w:w="2350" w:type="pct"/>
            <w:vAlign w:val="bottom"/>
          </w:tcPr>
          <w:p w14:paraId="75824742" w14:textId="77777777" w:rsidR="000110EB" w:rsidRDefault="000110EB" w:rsidP="009C506E">
            <w:pPr>
              <w:pStyle w:val="IASignature"/>
              <w:tabs>
                <w:tab w:val="clear" w:pos="6804"/>
                <w:tab w:val="left" w:leader="dot" w:pos="7380"/>
              </w:tabs>
            </w:pPr>
            <w:r w:rsidRPr="00455EAA">
              <w:t>Signed by the</w:t>
            </w:r>
            <w:r>
              <w:t xml:space="preserve"> responsible </w:t>
            </w:r>
            <w:bookmarkStart w:id="36" w:name="IASignedBy"/>
            <w:r w:rsidR="00EF16A1">
              <w:fldChar w:fldCharType="begin">
                <w:ffData>
                  <w:name w:val="IASignedBy"/>
                  <w:enabled/>
                  <w:calcOnExit w:val="0"/>
                  <w:ddList>
                    <w:listEntry w:val="SELECT SIGNATORY"/>
                    <w:listEntry w:val="Chair"/>
                    <w:listEntry w:val="Chief Executive"/>
                    <w:listEntry w:val="Minister"/>
                  </w:ddList>
                </w:ffData>
              </w:fldChar>
            </w:r>
            <w:r>
              <w:instrText xml:space="preserve"> FORMDROPDOWN </w:instrText>
            </w:r>
            <w:r w:rsidR="00EF16A1">
              <w:fldChar w:fldCharType="end"/>
            </w:r>
            <w:bookmarkEnd w:id="36"/>
            <w:r w:rsidRPr="00455EAA">
              <w:t>:</w:t>
            </w:r>
          </w:p>
        </w:tc>
        <w:tc>
          <w:tcPr>
            <w:tcW w:w="1318" w:type="pct"/>
            <w:tcBorders>
              <w:bottom w:val="dashSmallGap" w:sz="4" w:space="0" w:color="auto"/>
            </w:tcBorders>
            <w:vAlign w:val="bottom"/>
          </w:tcPr>
          <w:p w14:paraId="75824743" w14:textId="77777777" w:rsidR="000110EB" w:rsidRPr="00AB4A42" w:rsidRDefault="000110EB" w:rsidP="009C506E">
            <w:pPr>
              <w:pStyle w:val="IAIOtextSign"/>
            </w:pPr>
          </w:p>
        </w:tc>
        <w:tc>
          <w:tcPr>
            <w:tcW w:w="345" w:type="pct"/>
            <w:vAlign w:val="bottom"/>
          </w:tcPr>
          <w:p w14:paraId="75824744" w14:textId="77777777" w:rsidR="000110EB" w:rsidRDefault="000110EB" w:rsidP="009C506E">
            <w:pPr>
              <w:pStyle w:val="IASignature"/>
              <w:tabs>
                <w:tab w:val="clear" w:pos="6804"/>
                <w:tab w:val="left" w:leader="dot" w:pos="7380"/>
              </w:tabs>
            </w:pPr>
            <w:r>
              <w:t> </w:t>
            </w:r>
            <w:r w:rsidRPr="00455EAA">
              <w:t>Date:</w:t>
            </w:r>
          </w:p>
        </w:tc>
        <w:bookmarkStart w:id="37" w:name="SigDate"/>
        <w:tc>
          <w:tcPr>
            <w:tcW w:w="988" w:type="pct"/>
            <w:tcBorders>
              <w:bottom w:val="dashSmallGap" w:sz="4" w:space="0" w:color="auto"/>
            </w:tcBorders>
            <w:vAlign w:val="bottom"/>
          </w:tcPr>
          <w:p w14:paraId="75824745" w14:textId="77777777" w:rsidR="000110EB" w:rsidRPr="005D0BD1" w:rsidRDefault="00EF16A1" w:rsidP="009C506E">
            <w:pPr>
              <w:pStyle w:val="IAIOSigDate"/>
            </w:pPr>
            <w:r>
              <w:fldChar w:fldCharType="begin">
                <w:ffData>
                  <w:name w:val="SigDate"/>
                  <w:enabled/>
                  <w:calcOnExit w:val="0"/>
                  <w:textInput/>
                </w:ffData>
              </w:fldChar>
            </w:r>
            <w:r w:rsidR="000110EB">
              <w:instrText xml:space="preserve"> FORMTEXT </w:instrText>
            </w:r>
            <w:r>
              <w:fldChar w:fldCharType="separate"/>
            </w:r>
            <w:r w:rsidR="000110EB">
              <w:rPr>
                <w:rFonts w:ascii="Menlo Regular" w:hAnsi="Menlo Regular" w:cs="Menlo Regular"/>
                <w:noProof/>
              </w:rPr>
              <w:t> </w:t>
            </w:r>
            <w:r w:rsidR="000110EB">
              <w:rPr>
                <w:rFonts w:ascii="Menlo Regular" w:hAnsi="Menlo Regular" w:cs="Menlo Regular"/>
                <w:noProof/>
              </w:rPr>
              <w:t> </w:t>
            </w:r>
            <w:r w:rsidR="000110EB">
              <w:rPr>
                <w:rFonts w:ascii="Apple Symbols" w:hAnsi="Apple Symbols" w:cs="Apple Symbols"/>
                <w:noProof/>
              </w:rPr>
              <w:t> </w:t>
            </w:r>
            <w:r w:rsidR="000110EB">
              <w:rPr>
                <w:rFonts w:ascii="Menlo Regular" w:hAnsi="Menlo Regular" w:cs="Menlo Regular"/>
                <w:noProof/>
              </w:rPr>
              <w:t> </w:t>
            </w:r>
            <w:r w:rsidR="000110EB">
              <w:rPr>
                <w:rFonts w:ascii="Apple Symbols" w:hAnsi="Apple Symbols" w:cs="Apple Symbols"/>
                <w:noProof/>
              </w:rPr>
              <w:t> </w:t>
            </w:r>
            <w:r>
              <w:fldChar w:fldCharType="end"/>
            </w:r>
            <w:bookmarkEnd w:id="37"/>
          </w:p>
        </w:tc>
      </w:tr>
      <w:bookmarkEnd w:id="35"/>
    </w:tbl>
    <w:p w14:paraId="75824747" w14:textId="77777777" w:rsidR="00F1328C" w:rsidRDefault="00F1328C" w:rsidP="005A3880">
      <w:pPr>
        <w:pStyle w:val="Heading1"/>
        <w:spacing w:before="0"/>
        <w:sectPr w:rsidR="00F1328C">
          <w:footerReference w:type="default" r:id="rId8"/>
          <w:footnotePr>
            <w:numRestart w:val="eachSect"/>
          </w:footnotePr>
          <w:type w:val="continuous"/>
          <w:pgSz w:w="11907" w:h="16840" w:code="9"/>
          <w:pgMar w:top="680" w:right="851" w:bottom="680" w:left="851" w:header="284" w:footer="284" w:gutter="0"/>
          <w:cols w:space="708"/>
          <w:docGrid w:linePitch="360"/>
        </w:sectPr>
      </w:pPr>
    </w:p>
    <w:p w14:paraId="75824748" w14:textId="77777777" w:rsidR="001844B6" w:rsidRDefault="001844B6" w:rsidP="005A3880">
      <w:pPr>
        <w:pStyle w:val="Heading1"/>
        <w:spacing w:before="0"/>
      </w:pPr>
      <w:r>
        <w:lastRenderedPageBreak/>
        <w:t>Summary: Analysis &amp; Evidence</w:t>
      </w:r>
      <w:r>
        <w:tab/>
      </w:r>
      <w:r w:rsidRPr="00E3545D">
        <w:rPr>
          <w:rFonts w:ascii="Arial" w:hAnsi="Arial"/>
          <w:b w:val="0"/>
          <w:bCs w:val="0"/>
        </w:rPr>
        <w:t xml:space="preserve">Policy Option </w:t>
      </w:r>
      <w:r w:rsidR="00EF16A1">
        <w:rPr>
          <w:rFonts w:ascii="Arial" w:hAnsi="Arial"/>
          <w:b w:val="0"/>
          <w:bCs w:val="0"/>
        </w:rPr>
        <w:fldChar w:fldCharType="begin"/>
      </w:r>
      <w:r>
        <w:rPr>
          <w:rFonts w:ascii="Arial" w:hAnsi="Arial"/>
          <w:b w:val="0"/>
          <w:bCs w:val="0"/>
        </w:rPr>
        <w:instrText xml:space="preserve"> SEQ Policy </w:instrText>
      </w:r>
      <w:r w:rsidR="00EF16A1">
        <w:rPr>
          <w:rFonts w:ascii="Arial" w:hAnsi="Arial"/>
          <w:b w:val="0"/>
          <w:bCs w:val="0"/>
        </w:rPr>
        <w:fldChar w:fldCharType="separate"/>
      </w:r>
      <w:r w:rsidR="008C1ECB">
        <w:rPr>
          <w:rFonts w:ascii="Arial" w:hAnsi="Arial"/>
          <w:b w:val="0"/>
          <w:bCs w:val="0"/>
          <w:noProof/>
        </w:rPr>
        <w:t>1</w:t>
      </w:r>
      <w:r w:rsidR="00EF16A1">
        <w:rPr>
          <w:rFonts w:ascii="Arial" w:hAnsi="Arial"/>
          <w:b w:val="0"/>
          <w:bCs w:val="0"/>
        </w:rPr>
        <w:fldChar w:fldCharType="end"/>
      </w:r>
    </w:p>
    <w:p w14:paraId="75824749" w14:textId="77777777" w:rsidR="001844B6" w:rsidRDefault="001844B6" w:rsidP="005A3880">
      <w:pPr>
        <w:pStyle w:val="IAHeadLabel"/>
        <w:spacing w:before="50"/>
      </w:pPr>
      <w:r w:rsidRPr="00892576">
        <w:t xml:space="preserve">Description: </w:t>
      </w:r>
      <w:r w:rsidRPr="006B70AF">
        <w:t xml:space="preserve"> </w:t>
      </w:r>
      <w:bookmarkStart w:id="38" w:name="Text70"/>
      <w:r w:rsidR="00EF16A1">
        <w:rPr>
          <w:rStyle w:val="IAPODescriptionCharChar"/>
        </w:rPr>
        <w:fldChar w:fldCharType="begin">
          <w:ffData>
            <w:name w:val="Text70"/>
            <w:enabled/>
            <w:calcOnExit w:val="0"/>
            <w:textInput>
              <w:maxLength w:val="230"/>
            </w:textInput>
          </w:ffData>
        </w:fldChar>
      </w:r>
      <w:r w:rsidR="0071468E">
        <w:rPr>
          <w:rStyle w:val="IAPODescriptionCharChar"/>
        </w:rPr>
        <w:instrText xml:space="preserve"> FORMTEXT </w:instrText>
      </w:r>
      <w:r w:rsidR="00EF16A1">
        <w:rPr>
          <w:rStyle w:val="IAPODescriptionCharChar"/>
        </w:rPr>
      </w:r>
      <w:r w:rsidR="00EF16A1">
        <w:rPr>
          <w:rStyle w:val="IAPODescriptionCharChar"/>
        </w:rPr>
        <w:fldChar w:fldCharType="separate"/>
      </w:r>
      <w:r w:rsidR="0071468E">
        <w:rPr>
          <w:rStyle w:val="IAPODescriptionCharChar"/>
          <w:rFonts w:ascii="Menlo Regular" w:hAnsi="Menlo Regular" w:cs="Menlo Regular"/>
          <w:noProof/>
        </w:rPr>
        <w:t> </w:t>
      </w:r>
      <w:r w:rsidR="0071468E">
        <w:rPr>
          <w:rStyle w:val="IAPODescriptionCharChar"/>
          <w:rFonts w:ascii="Apple Symbols" w:hAnsi="Apple Symbols" w:cs="Apple Symbols"/>
          <w:noProof/>
        </w:rPr>
        <w:t> </w:t>
      </w:r>
      <w:r w:rsidR="0071468E">
        <w:rPr>
          <w:rStyle w:val="IAPODescriptionCharChar"/>
          <w:rFonts w:ascii="Menlo Regular" w:hAnsi="Menlo Regular" w:cs="Menlo Regular"/>
          <w:noProof/>
        </w:rPr>
        <w:t> </w:t>
      </w:r>
      <w:r w:rsidR="0071468E">
        <w:rPr>
          <w:rStyle w:val="IAPODescriptionCharChar"/>
          <w:rFonts w:ascii="Apple Symbols" w:hAnsi="Apple Symbols" w:cs="Apple Symbols"/>
          <w:noProof/>
        </w:rPr>
        <w:t> </w:t>
      </w:r>
      <w:r w:rsidR="0071468E">
        <w:rPr>
          <w:rStyle w:val="IAPODescriptionCharChar"/>
          <w:rFonts w:ascii="Menlo Regular" w:hAnsi="Menlo Regular" w:cs="Menlo Regular"/>
          <w:noProof/>
        </w:rPr>
        <w:t> </w:t>
      </w:r>
      <w:r w:rsidR="00EF16A1">
        <w:rPr>
          <w:rStyle w:val="IAPODescriptionCharChar"/>
        </w:rPr>
        <w:fldChar w:fldCharType="end"/>
      </w:r>
      <w:bookmarkEnd w:id="38"/>
    </w:p>
    <w:p w14:paraId="7582474A" w14:textId="77777777" w:rsidR="001844B6" w:rsidRDefault="001844B6" w:rsidP="005A3880">
      <w:pPr>
        <w:pStyle w:val="IAHeadLabel"/>
        <w:spacing w:before="50"/>
      </w:pPr>
      <w: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5"/>
        <w:gridCol w:w="1260"/>
        <w:gridCol w:w="1440"/>
        <w:gridCol w:w="1800"/>
        <w:gridCol w:w="1827"/>
        <w:gridCol w:w="2633"/>
      </w:tblGrid>
      <w:tr w:rsidR="00AB0FFD" w:rsidRPr="00AB0FFD" w14:paraId="7582474F" w14:textId="77777777">
        <w:trPr>
          <w:trHeight w:val="312"/>
        </w:trPr>
        <w:tc>
          <w:tcPr>
            <w:tcW w:w="1265" w:type="dxa"/>
            <w:vMerge w:val="restart"/>
            <w:shd w:val="clear" w:color="auto" w:fill="auto"/>
          </w:tcPr>
          <w:p w14:paraId="7582474B" w14:textId="5662FD1D" w:rsidR="001844B6" w:rsidRPr="00826F71" w:rsidRDefault="001844B6" w:rsidP="007F59AE">
            <w:pPr>
              <w:pStyle w:val="POPBY"/>
            </w:pPr>
            <w:r w:rsidRPr="00826F71">
              <w:t>Price Base Year</w:t>
            </w:r>
            <w:r>
              <w:t xml:space="preserve">  </w:t>
            </w:r>
            <w:r w:rsidR="00EF16A1" w:rsidRPr="00AB0FFD">
              <w:rPr>
                <w:b w:val="0"/>
              </w:rPr>
              <w:fldChar w:fldCharType="begin">
                <w:ffData>
                  <w:name w:val="Text55"/>
                  <w:enabled/>
                  <w:calcOnExit w:val="0"/>
                  <w:textInput>
                    <w:maxLength w:val="4"/>
                  </w:textInput>
                </w:ffData>
              </w:fldChar>
            </w:r>
            <w:r w:rsidRPr="00AB0FFD">
              <w:rPr>
                <w:b w:val="0"/>
              </w:rPr>
              <w:instrText xml:space="preserve"> FORMTEXT </w:instrText>
            </w:r>
            <w:r w:rsidR="00EF16A1" w:rsidRPr="00AB0FFD">
              <w:rPr>
                <w:b w:val="0"/>
              </w:rPr>
            </w:r>
            <w:r w:rsidR="00EF16A1" w:rsidRPr="00AB0FFD">
              <w:rPr>
                <w:b w:val="0"/>
              </w:rPr>
              <w:fldChar w:fldCharType="separate"/>
            </w:r>
            <w:r w:rsidR="00FD298F">
              <w:rPr>
                <w:rFonts w:ascii="Menlo Regular" w:hAnsi="Menlo Regular" w:cs="Menlo Regular"/>
                <w:b w:val="0"/>
                <w:noProof/>
              </w:rPr>
              <w:t>20</w:t>
            </w:r>
            <w:r w:rsidR="007F59AE">
              <w:rPr>
                <w:rFonts w:ascii="Menlo Regular" w:hAnsi="Menlo Regular" w:cs="Menlo Regular"/>
                <w:b w:val="0"/>
                <w:noProof/>
              </w:rPr>
              <w:t>12</w:t>
            </w:r>
            <w:r w:rsidR="00EF16A1" w:rsidRPr="00AB0FFD">
              <w:rPr>
                <w:b w:val="0"/>
              </w:rPr>
              <w:fldChar w:fldCharType="end"/>
            </w:r>
          </w:p>
        </w:tc>
        <w:tc>
          <w:tcPr>
            <w:tcW w:w="1260" w:type="dxa"/>
            <w:vMerge w:val="restart"/>
            <w:shd w:val="clear" w:color="auto" w:fill="auto"/>
          </w:tcPr>
          <w:p w14:paraId="7582474C" w14:textId="0D10C4F3" w:rsidR="001844B6" w:rsidRPr="00826F71" w:rsidRDefault="001844B6" w:rsidP="007F59AE">
            <w:pPr>
              <w:pStyle w:val="POPVBY"/>
            </w:pPr>
            <w:r w:rsidRPr="00826F71">
              <w:t>PV Base Year</w:t>
            </w:r>
            <w:r>
              <w:t xml:space="preserve">  </w:t>
            </w:r>
            <w:r w:rsidR="00EF16A1" w:rsidRPr="00AB0FFD">
              <w:rPr>
                <w:b w:val="0"/>
              </w:rPr>
              <w:fldChar w:fldCharType="begin">
                <w:ffData>
                  <w:name w:val="Text56"/>
                  <w:enabled/>
                  <w:calcOnExit w:val="0"/>
                  <w:textInput>
                    <w:maxLength w:val="4"/>
                  </w:textInput>
                </w:ffData>
              </w:fldChar>
            </w:r>
            <w:r w:rsidRPr="00AB0FFD">
              <w:rPr>
                <w:b w:val="0"/>
              </w:rPr>
              <w:instrText xml:space="preserve"> FORMTEXT </w:instrText>
            </w:r>
            <w:r w:rsidR="00EF16A1" w:rsidRPr="00AB0FFD">
              <w:rPr>
                <w:b w:val="0"/>
              </w:rPr>
            </w:r>
            <w:r w:rsidR="00EF16A1" w:rsidRPr="00AB0FFD">
              <w:rPr>
                <w:b w:val="0"/>
              </w:rPr>
              <w:fldChar w:fldCharType="separate"/>
            </w:r>
            <w:r w:rsidR="00FD298F">
              <w:rPr>
                <w:rFonts w:ascii="Menlo Regular" w:hAnsi="Menlo Regular" w:cs="Menlo Regular"/>
                <w:b w:val="0"/>
                <w:noProof/>
              </w:rPr>
              <w:t>201</w:t>
            </w:r>
            <w:r w:rsidR="007F59AE">
              <w:rPr>
                <w:rFonts w:ascii="Menlo Regular" w:hAnsi="Menlo Regular" w:cs="Menlo Regular"/>
                <w:b w:val="0"/>
                <w:noProof/>
              </w:rPr>
              <w:t>4</w:t>
            </w:r>
            <w:r w:rsidR="00EF16A1" w:rsidRPr="00AB0FFD">
              <w:rPr>
                <w:b w:val="0"/>
              </w:rPr>
              <w:fldChar w:fldCharType="end"/>
            </w:r>
          </w:p>
        </w:tc>
        <w:tc>
          <w:tcPr>
            <w:tcW w:w="1440" w:type="dxa"/>
            <w:vMerge w:val="restart"/>
            <w:tcBorders>
              <w:right w:val="single" w:sz="12" w:space="0" w:color="auto"/>
            </w:tcBorders>
            <w:shd w:val="clear" w:color="auto" w:fill="auto"/>
          </w:tcPr>
          <w:p w14:paraId="7582474D" w14:textId="274C7258" w:rsidR="001844B6" w:rsidRPr="00826F71" w:rsidRDefault="001844B6" w:rsidP="007F59AE">
            <w:pPr>
              <w:pStyle w:val="POTPY"/>
            </w:pPr>
            <w:r w:rsidRPr="00826F71">
              <w:t>Time Period Years</w:t>
            </w:r>
            <w:r>
              <w:t xml:space="preserve">  </w:t>
            </w:r>
            <w:r w:rsidR="00EF16A1" w:rsidRPr="00AB0FFD">
              <w:rPr>
                <w:b w:val="0"/>
                <w:sz w:val="22"/>
                <w:szCs w:val="22"/>
              </w:rPr>
              <w:fldChar w:fldCharType="begin">
                <w:ffData>
                  <w:name w:val="Text57"/>
                  <w:enabled/>
                  <w:calcOnExit w:val="0"/>
                  <w:textInput>
                    <w:maxLength w:val="4"/>
                  </w:textInput>
                </w:ffData>
              </w:fldChar>
            </w:r>
            <w:r w:rsidRPr="00AB0FFD">
              <w:rPr>
                <w:b w:val="0"/>
                <w:sz w:val="22"/>
                <w:szCs w:val="22"/>
              </w:rPr>
              <w:instrText xml:space="preserve"> FORMTEXT </w:instrText>
            </w:r>
            <w:r w:rsidR="00EF16A1" w:rsidRPr="00AB0FFD">
              <w:rPr>
                <w:b w:val="0"/>
                <w:sz w:val="22"/>
                <w:szCs w:val="22"/>
              </w:rPr>
            </w:r>
            <w:r w:rsidR="00EF16A1" w:rsidRPr="00AB0FFD">
              <w:rPr>
                <w:b w:val="0"/>
                <w:sz w:val="22"/>
                <w:szCs w:val="22"/>
              </w:rPr>
              <w:fldChar w:fldCharType="separate"/>
            </w:r>
            <w:r w:rsidR="00FD298F">
              <w:rPr>
                <w:rFonts w:ascii="Apple Symbols" w:hAnsi="Apple Symbols" w:cs="Apple Symbols"/>
                <w:b w:val="0"/>
                <w:noProof/>
                <w:sz w:val="22"/>
                <w:szCs w:val="22"/>
              </w:rPr>
              <w:t>1</w:t>
            </w:r>
            <w:r w:rsidR="007F59AE">
              <w:rPr>
                <w:rFonts w:ascii="Apple Symbols" w:hAnsi="Apple Symbols" w:cs="Apple Symbols"/>
                <w:b w:val="0"/>
                <w:noProof/>
                <w:sz w:val="22"/>
                <w:szCs w:val="22"/>
              </w:rPr>
              <w:t>0</w:t>
            </w:r>
            <w:r w:rsidR="00EF16A1" w:rsidRPr="00AB0FFD">
              <w:rPr>
                <w:b w:val="0"/>
                <w:sz w:val="22"/>
                <w:szCs w:val="22"/>
              </w:rPr>
              <w:fldChar w:fldCharType="end"/>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14:paraId="7582474E" w14:textId="77777777" w:rsidR="001844B6" w:rsidRPr="00826F71" w:rsidRDefault="001844B6" w:rsidP="00AB0FFD">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AB0FFD" w:rsidRPr="00AB0FFD" w14:paraId="75824756" w14:textId="77777777">
        <w:trPr>
          <w:trHeight w:hRule="exact" w:val="340"/>
        </w:trPr>
        <w:tc>
          <w:tcPr>
            <w:tcW w:w="1265" w:type="dxa"/>
            <w:vMerge/>
            <w:shd w:val="clear" w:color="auto" w:fill="auto"/>
          </w:tcPr>
          <w:p w14:paraId="75824750" w14:textId="77777777" w:rsidR="001844B6" w:rsidRPr="00AB0FFD" w:rsidRDefault="001844B6" w:rsidP="00AB0FFD">
            <w:pPr>
              <w:pStyle w:val="IATableNotes"/>
              <w:ind w:left="0"/>
              <w:rPr>
                <w:b/>
                <w:sz w:val="20"/>
              </w:rPr>
            </w:pPr>
          </w:p>
        </w:tc>
        <w:tc>
          <w:tcPr>
            <w:tcW w:w="1260" w:type="dxa"/>
            <w:vMerge/>
            <w:shd w:val="clear" w:color="auto" w:fill="auto"/>
          </w:tcPr>
          <w:p w14:paraId="75824751" w14:textId="77777777" w:rsidR="001844B6" w:rsidRPr="00AB0FFD" w:rsidRDefault="001844B6" w:rsidP="00AB0FFD">
            <w:pPr>
              <w:pStyle w:val="IATableNotes"/>
              <w:ind w:left="0"/>
              <w:rPr>
                <w:b/>
                <w:sz w:val="20"/>
              </w:rPr>
            </w:pPr>
          </w:p>
        </w:tc>
        <w:tc>
          <w:tcPr>
            <w:tcW w:w="1440" w:type="dxa"/>
            <w:vMerge/>
            <w:tcBorders>
              <w:right w:val="single" w:sz="12" w:space="0" w:color="auto"/>
            </w:tcBorders>
            <w:shd w:val="clear" w:color="auto" w:fill="auto"/>
          </w:tcPr>
          <w:p w14:paraId="75824752" w14:textId="77777777" w:rsidR="001844B6" w:rsidRPr="00AB0FFD" w:rsidRDefault="001844B6" w:rsidP="00AB0FFD">
            <w:pPr>
              <w:pStyle w:val="IATableNotes"/>
              <w:ind w:left="0"/>
              <w:rPr>
                <w:b/>
                <w:sz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14:paraId="75824753" w14:textId="77777777" w:rsidR="001844B6" w:rsidRPr="00AB0FFD" w:rsidRDefault="001844B6" w:rsidP="005A3880">
            <w:pPr>
              <w:pStyle w:val="IATableLabel"/>
              <w:rPr>
                <w:bCs/>
              </w:rPr>
            </w:pPr>
            <w:r w:rsidRPr="00304C1D">
              <w:t>Low:</w:t>
            </w:r>
            <w:r w:rsidRPr="00826F71">
              <w:t xml:space="preserve"> </w:t>
            </w:r>
            <w:r w:rsidR="00EF16A1" w:rsidRPr="00AB0FFD">
              <w:rPr>
                <w:rStyle w:val="PONBLowCharChar"/>
              </w:rPr>
              <w:fldChar w:fldCharType="begin">
                <w:ffData>
                  <w:name w:val="Text58"/>
                  <w:enabled/>
                  <w:calcOnExit w:val="0"/>
                  <w:textInput>
                    <w:default w:val="Optional"/>
                    <w:maxLength w:val="8"/>
                  </w:textInput>
                </w:ffData>
              </w:fldChar>
            </w:r>
            <w:r w:rsidRPr="00AB0FFD">
              <w:rPr>
                <w:rStyle w:val="PONBLowCharChar"/>
              </w:rPr>
              <w:instrText xml:space="preserve"> FORMTEXT </w:instrText>
            </w:r>
            <w:r w:rsidR="00EF16A1" w:rsidRPr="00AB0FFD">
              <w:rPr>
                <w:rStyle w:val="PONBLowCharChar"/>
              </w:rPr>
            </w:r>
            <w:r w:rsidR="00EF16A1" w:rsidRPr="00AB0FFD">
              <w:rPr>
                <w:rStyle w:val="PONBLowCharChar"/>
              </w:rPr>
              <w:fldChar w:fldCharType="separate"/>
            </w:r>
            <w:r w:rsidRPr="00AB0FFD">
              <w:rPr>
                <w:rStyle w:val="PONBLowCharChar"/>
                <w:noProof/>
              </w:rPr>
              <w:t>Optional</w:t>
            </w:r>
            <w:r w:rsidR="00EF16A1" w:rsidRPr="00AB0FFD">
              <w:rPr>
                <w:rStyle w:val="PONBLowCharChar"/>
              </w:rPr>
              <w:fldChar w:fldCharType="end"/>
            </w:r>
          </w:p>
        </w:tc>
        <w:tc>
          <w:tcPr>
            <w:tcW w:w="1827" w:type="dxa"/>
            <w:tcBorders>
              <w:top w:val="single" w:sz="4" w:space="0" w:color="auto"/>
              <w:left w:val="single" w:sz="4" w:space="0" w:color="auto"/>
              <w:bottom w:val="single" w:sz="12" w:space="0" w:color="auto"/>
              <w:right w:val="single" w:sz="12" w:space="0" w:color="auto"/>
            </w:tcBorders>
            <w:shd w:val="clear" w:color="auto" w:fill="auto"/>
          </w:tcPr>
          <w:p w14:paraId="75824754" w14:textId="77777777" w:rsidR="001844B6" w:rsidRPr="00AB0FFD" w:rsidRDefault="001844B6" w:rsidP="005A3880">
            <w:pPr>
              <w:pStyle w:val="IATableLabel"/>
              <w:rPr>
                <w:rFonts w:cs="Arial"/>
                <w:bCs/>
                <w:szCs w:val="18"/>
              </w:rPr>
            </w:pPr>
            <w:r w:rsidRPr="00304C1D">
              <w:t>High:</w:t>
            </w:r>
            <w:r w:rsidRPr="00826F71">
              <w:t xml:space="preserve"> </w:t>
            </w:r>
            <w:r w:rsidR="00EF16A1" w:rsidRPr="00AB0FFD">
              <w:rPr>
                <w:rStyle w:val="PONBHighChar"/>
              </w:rPr>
              <w:fldChar w:fldCharType="begin">
                <w:ffData>
                  <w:name w:val="Text59"/>
                  <w:enabled/>
                  <w:calcOnExit w:val="0"/>
                  <w:textInput>
                    <w:default w:val="Optional"/>
                    <w:maxLength w:val="8"/>
                  </w:textInput>
                </w:ffData>
              </w:fldChar>
            </w:r>
            <w:r w:rsidRPr="00AB0FFD">
              <w:rPr>
                <w:rStyle w:val="PONBHighChar"/>
              </w:rPr>
              <w:instrText xml:space="preserve"> FORMTEXT </w:instrText>
            </w:r>
            <w:r w:rsidR="00EF16A1" w:rsidRPr="00AB0FFD">
              <w:rPr>
                <w:rStyle w:val="PONBHighChar"/>
              </w:rPr>
            </w:r>
            <w:r w:rsidR="00EF16A1" w:rsidRPr="00AB0FFD">
              <w:rPr>
                <w:rStyle w:val="PONBHighChar"/>
              </w:rPr>
              <w:fldChar w:fldCharType="separate"/>
            </w:r>
            <w:r w:rsidRPr="00AB0FFD">
              <w:rPr>
                <w:rStyle w:val="PONBHighChar"/>
                <w:noProof/>
              </w:rPr>
              <w:t>Optional</w:t>
            </w:r>
            <w:r w:rsidR="00EF16A1" w:rsidRPr="00AB0FFD">
              <w:rPr>
                <w:rStyle w:val="PONBHighChar"/>
              </w:rPr>
              <w:fldChar w:fldCharType="end"/>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14:paraId="75824755" w14:textId="320C8D38" w:rsidR="001844B6" w:rsidRPr="00AB0FFD" w:rsidRDefault="001844B6" w:rsidP="006B798D">
            <w:pPr>
              <w:pStyle w:val="IATableLabel"/>
              <w:rPr>
                <w:szCs w:val="18"/>
              </w:rPr>
            </w:pPr>
            <w:r w:rsidRPr="00304C1D">
              <w:t xml:space="preserve">Best </w:t>
            </w:r>
            <w:r>
              <w:t>E</w:t>
            </w:r>
            <w:r w:rsidRPr="00304C1D">
              <w:t>stimate:</w:t>
            </w:r>
            <w:r w:rsidRPr="00826F71">
              <w:t xml:space="preserve"> </w:t>
            </w:r>
            <w:r w:rsidR="00EF16A1" w:rsidRPr="00AB0FFD">
              <w:rPr>
                <w:rStyle w:val="PONBBestEstChar"/>
              </w:rPr>
              <w:fldChar w:fldCharType="begin">
                <w:ffData>
                  <w:name w:val="Text60"/>
                  <w:enabled/>
                  <w:calcOnExit w:val="0"/>
                  <w:textInput>
                    <w:maxLength w:val="8"/>
                  </w:textInput>
                </w:ffData>
              </w:fldChar>
            </w:r>
            <w:r w:rsidRPr="00AB0FFD">
              <w:rPr>
                <w:rStyle w:val="PONBBestEstChar"/>
              </w:rPr>
              <w:instrText xml:space="preserve"> FORMTEXT </w:instrText>
            </w:r>
            <w:r w:rsidR="00EF16A1" w:rsidRPr="00AB0FFD">
              <w:rPr>
                <w:rStyle w:val="PONBBestEstChar"/>
              </w:rPr>
            </w:r>
            <w:r w:rsidR="00EF16A1" w:rsidRPr="00AB0FFD">
              <w:rPr>
                <w:rStyle w:val="PONBBestEstChar"/>
              </w:rPr>
              <w:fldChar w:fldCharType="separate"/>
            </w:r>
            <w:r w:rsidR="00FD298F">
              <w:rPr>
                <w:rStyle w:val="PONBBestEstChar"/>
                <w:rFonts w:ascii="Menlo Regular" w:hAnsi="Menlo Regular" w:cs="Menlo Regular"/>
                <w:noProof/>
              </w:rPr>
              <w:t>6.</w:t>
            </w:r>
            <w:r w:rsidR="006B798D">
              <w:rPr>
                <w:rStyle w:val="PONBBestEstChar"/>
                <w:rFonts w:ascii="Menlo Regular" w:hAnsi="Menlo Regular" w:cs="Menlo Regular"/>
                <w:noProof/>
              </w:rPr>
              <w:t>66</w:t>
            </w:r>
            <w:r w:rsidR="00EF16A1" w:rsidRPr="00AB0FFD">
              <w:rPr>
                <w:rStyle w:val="PONBBestEstChar"/>
              </w:rPr>
              <w:fldChar w:fldCharType="end"/>
            </w:r>
          </w:p>
        </w:tc>
      </w:tr>
    </w:tbl>
    <w:p w14:paraId="75824757" w14:textId="77777777" w:rsidR="001844B6" w:rsidRDefault="001844B6" w:rsidP="005A3880">
      <w:pPr>
        <w:pStyle w:val="IASpac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95"/>
        <w:gridCol w:w="1949"/>
        <w:gridCol w:w="790"/>
        <w:gridCol w:w="2865"/>
        <w:gridCol w:w="1776"/>
        <w:gridCol w:w="860"/>
      </w:tblGrid>
      <w:tr w:rsidR="00AB0FFD" w:rsidRPr="00AB0FFD" w14:paraId="7582475D" w14:textId="77777777">
        <w:trPr>
          <w:trHeight w:hRule="exact" w:val="567"/>
        </w:trPr>
        <w:tc>
          <w:tcPr>
            <w:tcW w:w="1995" w:type="dxa"/>
            <w:shd w:val="clear" w:color="auto" w:fill="FFFFFF"/>
          </w:tcPr>
          <w:p w14:paraId="75824758" w14:textId="77777777" w:rsidR="001844B6" w:rsidRPr="00AB0FFD" w:rsidRDefault="001844B6" w:rsidP="005A3880">
            <w:pPr>
              <w:pStyle w:val="IATableLabel"/>
              <w:rPr>
                <w:sz w:val="24"/>
                <w:szCs w:val="24"/>
              </w:rPr>
            </w:pPr>
            <w:r w:rsidRPr="00AB0FFD">
              <w:rPr>
                <w:sz w:val="24"/>
                <w:szCs w:val="24"/>
              </w:rPr>
              <w:t>COSTS (£m)</w:t>
            </w:r>
          </w:p>
        </w:tc>
        <w:tc>
          <w:tcPr>
            <w:tcW w:w="2739" w:type="dxa"/>
            <w:gridSpan w:val="2"/>
            <w:tcBorders>
              <w:top w:val="single" w:sz="12" w:space="0" w:color="auto"/>
              <w:bottom w:val="single" w:sz="6" w:space="0" w:color="auto"/>
            </w:tcBorders>
            <w:shd w:val="clear" w:color="auto" w:fill="auto"/>
          </w:tcPr>
          <w:p w14:paraId="75824759" w14:textId="77777777" w:rsidR="001844B6" w:rsidRPr="00826F71" w:rsidRDefault="001844B6" w:rsidP="00AB0FFD">
            <w:pPr>
              <w:pStyle w:val="IATableLabel"/>
              <w:tabs>
                <w:tab w:val="right" w:pos="1800"/>
                <w:tab w:val="center" w:pos="2340"/>
              </w:tabs>
              <w:jc w:val="right"/>
            </w:pPr>
            <w:r w:rsidRPr="00826F71">
              <w:t xml:space="preserve">Total Transition </w:t>
            </w:r>
            <w:r>
              <w:br/>
            </w:r>
            <w:r>
              <w:tab/>
            </w:r>
            <w:r w:rsidRPr="00AB0FFD">
              <w:rPr>
                <w:b w:val="0"/>
                <w:sz w:val="18"/>
                <w:szCs w:val="18"/>
              </w:rPr>
              <w:t>(Constant Price)</w:t>
            </w:r>
            <w:r>
              <w:tab/>
            </w:r>
            <w:r w:rsidRPr="00AB0FFD">
              <w:rPr>
                <w:b w:val="0"/>
                <w:sz w:val="18"/>
                <w:szCs w:val="18"/>
              </w:rPr>
              <w:t>Yea</w:t>
            </w:r>
            <w:r w:rsidRPr="00AB0FFD">
              <w:rPr>
                <w:b w:val="0"/>
                <w:bCs/>
                <w:sz w:val="18"/>
                <w:szCs w:val="18"/>
              </w:rPr>
              <w:t>r</w:t>
            </w:r>
            <w:r w:rsidRPr="00AB0FFD">
              <w:rPr>
                <w:b w:val="0"/>
                <w:sz w:val="18"/>
                <w:szCs w:val="18"/>
              </w:rPr>
              <w:t>s</w:t>
            </w:r>
          </w:p>
          <w:p w14:paraId="7582475A" w14:textId="77777777" w:rsidR="001844B6" w:rsidRPr="00826F71" w:rsidRDefault="001844B6" w:rsidP="00AB0FFD">
            <w:pPr>
              <w:pStyle w:val="IATableLabel"/>
              <w:jc w:val="right"/>
            </w:pPr>
            <w:r>
              <w:br/>
            </w:r>
          </w:p>
        </w:tc>
        <w:tc>
          <w:tcPr>
            <w:tcW w:w="2865" w:type="dxa"/>
            <w:tcBorders>
              <w:bottom w:val="single" w:sz="6" w:space="0" w:color="auto"/>
              <w:right w:val="single" w:sz="12" w:space="0" w:color="auto"/>
            </w:tcBorders>
            <w:shd w:val="clear" w:color="auto" w:fill="auto"/>
          </w:tcPr>
          <w:p w14:paraId="7582475B" w14:textId="77777777" w:rsidR="001844B6" w:rsidRPr="00AB0FFD" w:rsidRDefault="001844B6" w:rsidP="00AB0FFD">
            <w:pPr>
              <w:pStyle w:val="IATableLabel"/>
              <w:jc w:val="right"/>
              <w:rPr>
                <w:rFonts w:cs="Arial"/>
                <w:bCs/>
              </w:rPr>
            </w:pPr>
            <w:r w:rsidRPr="00826F71">
              <w:t>Average Annual</w:t>
            </w:r>
            <w:r w:rsidRPr="000C031E">
              <w:t xml:space="preserve"> </w:t>
            </w:r>
            <w:r>
              <w:br/>
            </w:r>
            <w:r w:rsidRPr="00AB0FFD">
              <w:rPr>
                <w:b w:val="0"/>
                <w:sz w:val="18"/>
                <w:szCs w:val="18"/>
              </w:rPr>
              <w:t xml:space="preserve">(excl. Transition) </w:t>
            </w:r>
            <w:r w:rsidRPr="00AB0FFD">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7582475C" w14:textId="77777777" w:rsidR="001844B6" w:rsidRPr="00826F71" w:rsidRDefault="001844B6" w:rsidP="00AB0FFD">
            <w:pPr>
              <w:pStyle w:val="IATableLabel"/>
              <w:jc w:val="right"/>
            </w:pPr>
            <w:r w:rsidRPr="00826F71">
              <w:t>Total Cost</w:t>
            </w:r>
            <w:r w:rsidRPr="00AB0FFD">
              <w:rPr>
                <w:b w:val="0"/>
                <w:sz w:val="18"/>
                <w:szCs w:val="18"/>
              </w:rPr>
              <w:t xml:space="preserve"> </w:t>
            </w:r>
            <w:r w:rsidRPr="00AB0FFD">
              <w:rPr>
                <w:b w:val="0"/>
                <w:sz w:val="18"/>
                <w:szCs w:val="18"/>
              </w:rPr>
              <w:br/>
              <w:t>(Present Value)</w:t>
            </w:r>
          </w:p>
        </w:tc>
      </w:tr>
      <w:tr w:rsidR="00AB0FFD" w:rsidRPr="00AB0FFD" w14:paraId="75824763" w14:textId="77777777">
        <w:trPr>
          <w:trHeight w:hRule="exact" w:val="348"/>
        </w:trPr>
        <w:tc>
          <w:tcPr>
            <w:tcW w:w="1995" w:type="dxa"/>
            <w:tcBorders>
              <w:top w:val="single" w:sz="6" w:space="0" w:color="auto"/>
              <w:bottom w:val="single" w:sz="6" w:space="0" w:color="auto"/>
            </w:tcBorders>
            <w:shd w:val="clear" w:color="auto" w:fill="auto"/>
            <w:vAlign w:val="center"/>
          </w:tcPr>
          <w:p w14:paraId="7582475E" w14:textId="77777777" w:rsidR="001844B6" w:rsidRPr="00F63895" w:rsidRDefault="001844B6" w:rsidP="005A3880">
            <w:pPr>
              <w:pStyle w:val="IATableLabel"/>
            </w:pPr>
            <w:r w:rsidRPr="00F63895">
              <w:t xml:space="preserve">Low </w:t>
            </w:r>
          </w:p>
        </w:tc>
        <w:tc>
          <w:tcPr>
            <w:tcW w:w="1949" w:type="dxa"/>
            <w:tcBorders>
              <w:top w:val="single" w:sz="6" w:space="0" w:color="auto"/>
              <w:bottom w:val="single" w:sz="6" w:space="0" w:color="auto"/>
            </w:tcBorders>
            <w:shd w:val="clear" w:color="auto" w:fill="auto"/>
            <w:vAlign w:val="center"/>
          </w:tcPr>
          <w:p w14:paraId="7582475F" w14:textId="77777777" w:rsidR="001844B6" w:rsidRPr="00AB0FFD" w:rsidRDefault="00EF16A1" w:rsidP="005A3880">
            <w:pPr>
              <w:pStyle w:val="POTTCostsLow"/>
              <w:rPr>
                <w:sz w:val="20"/>
              </w:rPr>
            </w:pPr>
            <w:r w:rsidRPr="00AB0FFD">
              <w:rPr>
                <w:sz w:val="20"/>
              </w:rPr>
              <w:fldChar w:fldCharType="begin">
                <w:ffData>
                  <w:name w:val="Text45"/>
                  <w:enabled/>
                  <w:calcOnExit w:val="0"/>
                  <w:textInput>
                    <w:default w:val="Optional"/>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1844B6" w:rsidRPr="00AB0FFD">
              <w:rPr>
                <w:noProof/>
                <w:sz w:val="20"/>
              </w:rPr>
              <w:t>Optional</w:t>
            </w:r>
            <w:r w:rsidRPr="00AB0FFD">
              <w:rPr>
                <w:sz w:val="20"/>
              </w:rPr>
              <w:fldChar w:fldCharType="end"/>
            </w:r>
          </w:p>
        </w:tc>
        <w:tc>
          <w:tcPr>
            <w:tcW w:w="790" w:type="dxa"/>
            <w:vMerge w:val="restart"/>
            <w:tcBorders>
              <w:top w:val="single" w:sz="6" w:space="0" w:color="auto"/>
            </w:tcBorders>
            <w:shd w:val="clear" w:color="auto" w:fill="auto"/>
            <w:vAlign w:val="center"/>
          </w:tcPr>
          <w:p w14:paraId="75824760" w14:textId="77777777" w:rsidR="001844B6" w:rsidRPr="00AB0FFD" w:rsidRDefault="00EF16A1" w:rsidP="005A3880">
            <w:pPr>
              <w:pStyle w:val="POTTCostsYear"/>
              <w:rPr>
                <w:sz w:val="20"/>
                <w:szCs w:val="20"/>
              </w:rPr>
            </w:pPr>
            <w:r w:rsidRPr="00AB0FFD">
              <w:rPr>
                <w:sz w:val="20"/>
                <w:szCs w:val="20"/>
              </w:rPr>
              <w:fldChar w:fldCharType="begin">
                <w:ffData>
                  <w:name w:val="Text48"/>
                  <w:enabled/>
                  <w:calcOnExit w:val="0"/>
                  <w:textInput>
                    <w:maxLength w:val="3"/>
                  </w:textInput>
                </w:ffData>
              </w:fldChar>
            </w:r>
            <w:r w:rsidR="001844B6" w:rsidRPr="00AB0FFD">
              <w:rPr>
                <w:sz w:val="20"/>
                <w:szCs w:val="20"/>
              </w:rPr>
              <w:instrText xml:space="preserve"> FORMTEXT </w:instrText>
            </w:r>
            <w:r w:rsidRPr="00AB0FFD">
              <w:rPr>
                <w:sz w:val="20"/>
                <w:szCs w:val="20"/>
              </w:rPr>
            </w:r>
            <w:r w:rsidRPr="00AB0FFD">
              <w:rPr>
                <w:sz w:val="20"/>
                <w:szCs w:val="20"/>
              </w:rPr>
              <w:fldChar w:fldCharType="separate"/>
            </w:r>
            <w:r w:rsidR="001844B6" w:rsidRPr="00AB0FFD">
              <w:rPr>
                <w:rFonts w:ascii="Apple Symbols" w:hAnsi="Apple Symbols" w:cs="Apple Symbols"/>
                <w:noProof/>
                <w:sz w:val="20"/>
                <w:szCs w:val="20"/>
              </w:rPr>
              <w:t> </w:t>
            </w:r>
            <w:r w:rsidR="001844B6" w:rsidRPr="00AB0FFD">
              <w:rPr>
                <w:rFonts w:ascii="Apple Symbols" w:hAnsi="Apple Symbols" w:cs="Apple Symbols"/>
                <w:noProof/>
                <w:sz w:val="20"/>
                <w:szCs w:val="20"/>
              </w:rPr>
              <w:t> </w:t>
            </w:r>
            <w:r w:rsidR="001844B6" w:rsidRPr="00AB0FFD">
              <w:rPr>
                <w:rFonts w:ascii="Menlo Regular" w:hAnsi="Menlo Regular" w:cs="Menlo Regular"/>
                <w:noProof/>
                <w:sz w:val="20"/>
                <w:szCs w:val="20"/>
              </w:rPr>
              <w:t> </w:t>
            </w:r>
            <w:r w:rsidRPr="00AB0FFD">
              <w:rPr>
                <w:sz w:val="20"/>
                <w:szCs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14:paraId="75824761" w14:textId="4E3A200F" w:rsidR="001844B6" w:rsidRPr="00AB0FFD" w:rsidRDefault="00EF16A1" w:rsidP="007F59AE">
            <w:pPr>
              <w:pStyle w:val="POAACostsLow"/>
              <w:rPr>
                <w:sz w:val="20"/>
              </w:rPr>
            </w:pPr>
            <w:r w:rsidRPr="00AB0FFD">
              <w:rPr>
                <w:sz w:val="20"/>
              </w:rPr>
              <w:fldChar w:fldCharType="begin">
                <w:ffData>
                  <w:name w:val="Text49"/>
                  <w:enabled/>
                  <w:calcOnExit w:val="0"/>
                  <w:textInput>
                    <w:default w:val="Optional"/>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7F59AE">
              <w:rPr>
                <w:sz w:val="20"/>
              </w:rPr>
              <w:t> </w:t>
            </w:r>
            <w:r w:rsidR="007F59AE">
              <w:rPr>
                <w:sz w:val="20"/>
              </w:rPr>
              <w:t> </w:t>
            </w:r>
            <w:r w:rsidR="007F59AE">
              <w:rPr>
                <w:sz w:val="20"/>
              </w:rPr>
              <w:t> </w:t>
            </w:r>
            <w:r w:rsidR="007F59AE">
              <w:rPr>
                <w:sz w:val="20"/>
              </w:rPr>
              <w:t> </w:t>
            </w:r>
            <w:r w:rsidR="007F59AE">
              <w:rPr>
                <w:sz w:val="20"/>
              </w:rPr>
              <w:t> </w:t>
            </w:r>
            <w:r w:rsidRPr="00AB0FFD">
              <w:rPr>
                <w:sz w:val="20"/>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14:paraId="75824762" w14:textId="13F8AAE2" w:rsidR="001844B6" w:rsidRPr="00AB0FFD" w:rsidRDefault="00EF16A1" w:rsidP="007F59AE">
            <w:pPr>
              <w:pStyle w:val="POTCCostsLow"/>
              <w:rPr>
                <w:sz w:val="20"/>
              </w:rPr>
            </w:pPr>
            <w:r w:rsidRPr="00AB0FFD">
              <w:rPr>
                <w:sz w:val="20"/>
              </w:rPr>
              <w:fldChar w:fldCharType="begin">
                <w:ffData>
                  <w:name w:val="Text52"/>
                  <w:enabled/>
                  <w:calcOnExit w:val="0"/>
                  <w:textInput>
                    <w:default w:val="Optional"/>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7F59AE">
              <w:rPr>
                <w:sz w:val="20"/>
              </w:rPr>
              <w:t> </w:t>
            </w:r>
            <w:r w:rsidR="007F59AE">
              <w:rPr>
                <w:sz w:val="20"/>
              </w:rPr>
              <w:t> </w:t>
            </w:r>
            <w:r w:rsidR="007F59AE">
              <w:rPr>
                <w:sz w:val="20"/>
              </w:rPr>
              <w:t> </w:t>
            </w:r>
            <w:r w:rsidR="007F59AE">
              <w:rPr>
                <w:sz w:val="20"/>
              </w:rPr>
              <w:t> </w:t>
            </w:r>
            <w:r w:rsidR="007F59AE">
              <w:rPr>
                <w:sz w:val="20"/>
              </w:rPr>
              <w:t> </w:t>
            </w:r>
            <w:r w:rsidRPr="00AB0FFD">
              <w:rPr>
                <w:sz w:val="20"/>
              </w:rPr>
              <w:fldChar w:fldCharType="end"/>
            </w:r>
          </w:p>
        </w:tc>
      </w:tr>
      <w:tr w:rsidR="00AB0FFD" w:rsidRPr="00AB0FFD" w14:paraId="75824769" w14:textId="77777777">
        <w:trPr>
          <w:trHeight w:hRule="exact" w:val="348"/>
        </w:trPr>
        <w:tc>
          <w:tcPr>
            <w:tcW w:w="1995" w:type="dxa"/>
            <w:tcBorders>
              <w:top w:val="single" w:sz="6" w:space="0" w:color="auto"/>
              <w:bottom w:val="single" w:sz="12" w:space="0" w:color="auto"/>
            </w:tcBorders>
            <w:shd w:val="clear" w:color="auto" w:fill="auto"/>
            <w:vAlign w:val="center"/>
          </w:tcPr>
          <w:p w14:paraId="75824764" w14:textId="77777777" w:rsidR="001844B6" w:rsidRPr="00F63895" w:rsidRDefault="001844B6" w:rsidP="005A3880">
            <w:pPr>
              <w:pStyle w:val="IATableLabel"/>
            </w:pPr>
            <w:r w:rsidRPr="00F63895">
              <w:t xml:space="preserve">High </w:t>
            </w:r>
          </w:p>
        </w:tc>
        <w:tc>
          <w:tcPr>
            <w:tcW w:w="1949" w:type="dxa"/>
            <w:tcBorders>
              <w:top w:val="single" w:sz="6" w:space="0" w:color="auto"/>
              <w:bottom w:val="single" w:sz="12" w:space="0" w:color="auto"/>
            </w:tcBorders>
            <w:shd w:val="clear" w:color="auto" w:fill="auto"/>
            <w:vAlign w:val="center"/>
          </w:tcPr>
          <w:p w14:paraId="75824765" w14:textId="77777777" w:rsidR="001844B6" w:rsidRPr="00AB0FFD" w:rsidRDefault="00EF16A1" w:rsidP="005A3880">
            <w:pPr>
              <w:pStyle w:val="POTTCostsHigh"/>
              <w:rPr>
                <w:sz w:val="20"/>
              </w:rPr>
            </w:pPr>
            <w:r w:rsidRPr="00AB0FFD">
              <w:rPr>
                <w:sz w:val="20"/>
              </w:rPr>
              <w:fldChar w:fldCharType="begin">
                <w:ffData>
                  <w:name w:val="Text46"/>
                  <w:enabled/>
                  <w:calcOnExit w:val="0"/>
                  <w:textInput>
                    <w:default w:val="Optional"/>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1844B6" w:rsidRPr="00AB0FFD">
              <w:rPr>
                <w:noProof/>
                <w:sz w:val="20"/>
              </w:rPr>
              <w:t>Optional</w:t>
            </w:r>
            <w:r w:rsidRPr="00AB0FFD">
              <w:rPr>
                <w:sz w:val="20"/>
              </w:rPr>
              <w:fldChar w:fldCharType="end"/>
            </w:r>
          </w:p>
        </w:tc>
        <w:tc>
          <w:tcPr>
            <w:tcW w:w="790" w:type="dxa"/>
            <w:vMerge/>
            <w:shd w:val="clear" w:color="auto" w:fill="FFFFFF"/>
            <w:vAlign w:val="center"/>
          </w:tcPr>
          <w:p w14:paraId="75824766" w14:textId="77777777" w:rsidR="001844B6" w:rsidRPr="00AB0FFD" w:rsidRDefault="001844B6" w:rsidP="00AB0FFD">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75824767" w14:textId="37808C75" w:rsidR="001844B6" w:rsidRPr="00AB0FFD" w:rsidRDefault="00EF16A1" w:rsidP="007F59AE">
            <w:pPr>
              <w:pStyle w:val="POAACostsHigh"/>
              <w:rPr>
                <w:sz w:val="20"/>
              </w:rPr>
            </w:pPr>
            <w:r w:rsidRPr="00AB0FFD">
              <w:rPr>
                <w:sz w:val="20"/>
              </w:rPr>
              <w:fldChar w:fldCharType="begin">
                <w:ffData>
                  <w:name w:val="Text50"/>
                  <w:enabled/>
                  <w:calcOnExit w:val="0"/>
                  <w:textInput>
                    <w:default w:val="Optional"/>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7F59AE">
              <w:rPr>
                <w:sz w:val="20"/>
              </w:rPr>
              <w:t> </w:t>
            </w:r>
            <w:r w:rsidR="007F59AE">
              <w:rPr>
                <w:sz w:val="20"/>
              </w:rPr>
              <w:t> </w:t>
            </w:r>
            <w:r w:rsidR="007F59AE">
              <w:rPr>
                <w:sz w:val="20"/>
              </w:rPr>
              <w:t> </w:t>
            </w:r>
            <w:r w:rsidR="007F59AE">
              <w:rPr>
                <w:sz w:val="20"/>
              </w:rPr>
              <w:t> </w:t>
            </w:r>
            <w:r w:rsidR="007F59AE">
              <w:rPr>
                <w:sz w:val="20"/>
              </w:rPr>
              <w:t> </w:t>
            </w:r>
            <w:r w:rsidRPr="00AB0FFD">
              <w:rPr>
                <w:sz w:val="20"/>
              </w:rP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14:paraId="75824768" w14:textId="7580805E" w:rsidR="001844B6" w:rsidRPr="00AB0FFD" w:rsidRDefault="00EF16A1" w:rsidP="007F59AE">
            <w:pPr>
              <w:pStyle w:val="POTCCostsHigh"/>
              <w:rPr>
                <w:sz w:val="20"/>
              </w:rPr>
            </w:pPr>
            <w:r w:rsidRPr="00AB0FFD">
              <w:rPr>
                <w:sz w:val="20"/>
              </w:rPr>
              <w:fldChar w:fldCharType="begin">
                <w:ffData>
                  <w:name w:val="Text53"/>
                  <w:enabled/>
                  <w:calcOnExit w:val="0"/>
                  <w:textInput>
                    <w:default w:val="Optional"/>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7F59AE">
              <w:rPr>
                <w:sz w:val="20"/>
              </w:rPr>
              <w:t> </w:t>
            </w:r>
            <w:r w:rsidR="007F59AE">
              <w:rPr>
                <w:sz w:val="20"/>
              </w:rPr>
              <w:t> </w:t>
            </w:r>
            <w:r w:rsidR="007F59AE">
              <w:rPr>
                <w:sz w:val="20"/>
              </w:rPr>
              <w:t> </w:t>
            </w:r>
            <w:r w:rsidR="007F59AE">
              <w:rPr>
                <w:sz w:val="20"/>
              </w:rPr>
              <w:t> </w:t>
            </w:r>
            <w:r w:rsidR="007F59AE">
              <w:rPr>
                <w:sz w:val="20"/>
              </w:rPr>
              <w:t> </w:t>
            </w:r>
            <w:r w:rsidRPr="00AB0FFD">
              <w:rPr>
                <w:sz w:val="20"/>
              </w:rPr>
              <w:fldChar w:fldCharType="end"/>
            </w:r>
          </w:p>
        </w:tc>
      </w:tr>
      <w:tr w:rsidR="00AB0FFD" w:rsidRPr="00AB0FFD" w14:paraId="75824770" w14:textId="77777777">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7582476A" w14:textId="77777777" w:rsidR="001844B6" w:rsidRPr="00F63895" w:rsidRDefault="001844B6" w:rsidP="005A3880">
            <w:pPr>
              <w:pStyle w:val="IATableLabel"/>
            </w:pPr>
            <w:r w:rsidRPr="00F63895">
              <w:t>Best Estimate</w:t>
            </w:r>
          </w:p>
          <w:p w14:paraId="7582476B" w14:textId="77777777" w:rsidR="001844B6" w:rsidRPr="00AB0FFD" w:rsidRDefault="001844B6" w:rsidP="007578E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582476C" w14:textId="77777777" w:rsidR="001844B6" w:rsidRPr="00AB0FFD" w:rsidRDefault="00EF16A1" w:rsidP="00471578">
            <w:pPr>
              <w:pStyle w:val="POTTCostsBest"/>
              <w:rPr>
                <w:sz w:val="20"/>
              </w:rPr>
            </w:pPr>
            <w:r w:rsidRPr="00AB0FFD">
              <w:rPr>
                <w:sz w:val="20"/>
              </w:rPr>
              <w:fldChar w:fldCharType="begin">
                <w:ffData>
                  <w:name w:val="Text51"/>
                  <w:enabled/>
                  <w:calcOnExit w:val="0"/>
                  <w:textInput>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471578">
              <w:rPr>
                <w:noProof/>
                <w:sz w:val="20"/>
              </w:rPr>
              <w:t>0</w:t>
            </w:r>
            <w:r w:rsidRPr="00AB0FFD">
              <w:rPr>
                <w:sz w:val="20"/>
              </w:rPr>
              <w:fldChar w:fldCharType="end"/>
            </w:r>
          </w:p>
        </w:tc>
        <w:tc>
          <w:tcPr>
            <w:tcW w:w="790" w:type="dxa"/>
            <w:vMerge/>
            <w:tcBorders>
              <w:left w:val="single" w:sz="12" w:space="0" w:color="auto"/>
              <w:right w:val="single" w:sz="12" w:space="0" w:color="auto"/>
            </w:tcBorders>
            <w:shd w:val="clear" w:color="auto" w:fill="FFFFFF"/>
            <w:vAlign w:val="center"/>
          </w:tcPr>
          <w:p w14:paraId="7582476D" w14:textId="77777777" w:rsidR="001844B6" w:rsidRPr="00AB0FFD" w:rsidRDefault="001844B6" w:rsidP="00AB0FFD">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7582476E" w14:textId="40D7EEEC" w:rsidR="001844B6" w:rsidRPr="00AB0FFD" w:rsidRDefault="00EF16A1" w:rsidP="007F59AE">
            <w:pPr>
              <w:pStyle w:val="POAACostsBest"/>
              <w:rPr>
                <w:sz w:val="20"/>
              </w:rPr>
            </w:pPr>
            <w:r w:rsidRPr="00AB0FFD">
              <w:rPr>
                <w:sz w:val="20"/>
              </w:rPr>
              <w:fldChar w:fldCharType="begin">
                <w:ffData>
                  <w:name w:val="Text51"/>
                  <w:enabled/>
                  <w:calcOnExit w:val="0"/>
                  <w:textInput>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7F59AE">
              <w:rPr>
                <w:sz w:val="20"/>
              </w:rPr>
              <w:t> </w:t>
            </w:r>
            <w:r w:rsidR="007F59AE">
              <w:rPr>
                <w:sz w:val="20"/>
              </w:rPr>
              <w:t> </w:t>
            </w:r>
            <w:r w:rsidR="007F59AE">
              <w:rPr>
                <w:sz w:val="20"/>
              </w:rPr>
              <w:t> </w:t>
            </w:r>
            <w:r w:rsidR="007F59AE">
              <w:rPr>
                <w:sz w:val="20"/>
              </w:rPr>
              <w:t> </w:t>
            </w:r>
            <w:r w:rsidR="007F59AE">
              <w:rPr>
                <w:sz w:val="20"/>
              </w:rPr>
              <w:t> </w:t>
            </w:r>
            <w:r w:rsidRPr="00AB0FFD">
              <w:rPr>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7582476F" w14:textId="5F37F49B" w:rsidR="001844B6" w:rsidRPr="00AB0FFD" w:rsidRDefault="00EF16A1" w:rsidP="007F59AE">
            <w:pPr>
              <w:pStyle w:val="POTCCostsBest"/>
              <w:rPr>
                <w:sz w:val="20"/>
              </w:rPr>
            </w:pPr>
            <w:r w:rsidRPr="00AB0FFD">
              <w:rPr>
                <w:sz w:val="20"/>
              </w:rPr>
              <w:fldChar w:fldCharType="begin">
                <w:ffData>
                  <w:name w:val="Text54"/>
                  <w:enabled/>
                  <w:calcOnExit w:val="0"/>
                  <w:textInput>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7F59AE">
              <w:rPr>
                <w:sz w:val="20"/>
              </w:rPr>
              <w:t> </w:t>
            </w:r>
            <w:r w:rsidR="007F59AE">
              <w:rPr>
                <w:sz w:val="20"/>
              </w:rPr>
              <w:t> </w:t>
            </w:r>
            <w:r w:rsidR="007F59AE">
              <w:rPr>
                <w:sz w:val="20"/>
              </w:rPr>
              <w:t> </w:t>
            </w:r>
            <w:r w:rsidR="007F59AE">
              <w:rPr>
                <w:sz w:val="20"/>
              </w:rPr>
              <w:t> </w:t>
            </w:r>
            <w:r w:rsidR="007F59AE">
              <w:rPr>
                <w:sz w:val="20"/>
              </w:rPr>
              <w:t> </w:t>
            </w:r>
            <w:r w:rsidRPr="00AB0FFD">
              <w:rPr>
                <w:sz w:val="20"/>
              </w:rPr>
              <w:fldChar w:fldCharType="end"/>
            </w:r>
          </w:p>
        </w:tc>
      </w:tr>
      <w:tr w:rsidR="001844B6" w:rsidRPr="00826F71" w14:paraId="75824773" w14:textId="77777777">
        <w:trPr>
          <w:trHeight w:hRule="exact" w:val="1701"/>
        </w:trPr>
        <w:tc>
          <w:tcPr>
            <w:tcW w:w="10235" w:type="dxa"/>
            <w:gridSpan w:val="6"/>
            <w:tcBorders>
              <w:bottom w:val="single" w:sz="6" w:space="0" w:color="auto"/>
            </w:tcBorders>
            <w:shd w:val="clear" w:color="auto" w:fill="auto"/>
          </w:tcPr>
          <w:p w14:paraId="75824771" w14:textId="77777777" w:rsidR="001844B6" w:rsidRPr="00AB0FFD" w:rsidRDefault="001844B6" w:rsidP="005A3880">
            <w:pPr>
              <w:pStyle w:val="IAPOQ1"/>
              <w:rPr>
                <w:szCs w:val="22"/>
              </w:rPr>
            </w:pPr>
            <w:r w:rsidRPr="00544292">
              <w:t xml:space="preserve">Description and scale of </w:t>
            </w:r>
            <w:r w:rsidRPr="00826F71">
              <w:t>key monetised costs</w:t>
            </w:r>
            <w:r w:rsidRPr="00544292">
              <w:t xml:space="preserve"> by ‘main affected groups’ </w:t>
            </w:r>
          </w:p>
          <w:p w14:paraId="75824772" w14:textId="77777777" w:rsidR="001844B6" w:rsidRPr="00826F71" w:rsidRDefault="00EF16A1" w:rsidP="005D0971">
            <w:pPr>
              <w:pStyle w:val="IAPOA1"/>
            </w:pPr>
            <w:r w:rsidRPr="00D337D1">
              <w:fldChar w:fldCharType="begin">
                <w:ffData>
                  <w:name w:val="Text62"/>
                  <w:enabled/>
                  <w:calcOnExit w:val="0"/>
                  <w:textInput>
                    <w:default w:val="Maximum of 5 lines"/>
                    <w:maxLength w:val="500"/>
                  </w:textInput>
                </w:ffData>
              </w:fldChar>
            </w:r>
            <w:r w:rsidR="001844B6" w:rsidRPr="00D337D1">
              <w:instrText xml:space="preserve"> FORMTEXT </w:instrText>
            </w:r>
            <w:r w:rsidRPr="00D337D1">
              <w:fldChar w:fldCharType="separate"/>
            </w:r>
            <w:r w:rsidR="00056AE4">
              <w:t>It is proposed that satellite operators be charged a</w:t>
            </w:r>
            <w:r w:rsidR="00CD39B4">
              <w:t xml:space="preserve"> cost recovery</w:t>
            </w:r>
            <w:r w:rsidR="00056AE4">
              <w:t xml:space="preserve"> fee</w:t>
            </w:r>
            <w:r w:rsidR="00CD39B4">
              <w:t xml:space="preserve">, as </w:t>
            </w:r>
            <w:r w:rsidR="00056AE4">
              <w:t xml:space="preserve">proposed in the </w:t>
            </w:r>
            <w:r w:rsidR="00CD39B4">
              <w:t xml:space="preserve">2007 </w:t>
            </w:r>
            <w:r w:rsidR="005D0971">
              <w:t xml:space="preserve">Ofcom </w:t>
            </w:r>
            <w:r w:rsidR="00CD39B4">
              <w:t>consultation</w:t>
            </w:r>
            <w:r w:rsidR="00056AE4">
              <w:t>, for the management of the</w:t>
            </w:r>
            <w:r w:rsidR="005D0971">
              <w:t xml:space="preserve"> International Telecommunications Union (</w:t>
            </w:r>
            <w:r w:rsidR="00056AE4">
              <w:t xml:space="preserve"> ITU</w:t>
            </w:r>
            <w:r w:rsidR="005D0971">
              <w:t>) - an agency of the United Nations</w:t>
            </w:r>
            <w:r w:rsidR="00056AE4">
              <w:t>.</w:t>
            </w:r>
            <w:r w:rsidR="00CD39B4">
              <w:t xml:space="preserve"> </w:t>
            </w:r>
            <w:r w:rsidR="00056AE4">
              <w:t>In 2007 this was estimated to be approximately £4</w:t>
            </w:r>
            <w:r w:rsidR="00CD39B4">
              <w:t>00</w:t>
            </w:r>
            <w:r w:rsidR="00056AE4">
              <w:t xml:space="preserve">,000 per year, which is to be divided between all satellite operators that have and will file to the ITU through the UK. </w:t>
            </w:r>
            <w:r w:rsidRPr="00D337D1">
              <w:fldChar w:fldCharType="end"/>
            </w:r>
          </w:p>
        </w:tc>
      </w:tr>
      <w:tr w:rsidR="001844B6" w:rsidRPr="00826F71" w14:paraId="75824776" w14:textId="77777777">
        <w:trPr>
          <w:trHeight w:hRule="exact" w:val="1701"/>
        </w:trPr>
        <w:tc>
          <w:tcPr>
            <w:tcW w:w="10235" w:type="dxa"/>
            <w:gridSpan w:val="6"/>
            <w:tcBorders>
              <w:top w:val="single" w:sz="6" w:space="0" w:color="auto"/>
              <w:bottom w:val="single" w:sz="12" w:space="0" w:color="auto"/>
            </w:tcBorders>
            <w:shd w:val="clear" w:color="auto" w:fill="auto"/>
          </w:tcPr>
          <w:p w14:paraId="75824774" w14:textId="77777777" w:rsidR="001844B6" w:rsidRPr="00AB0FFD" w:rsidRDefault="001844B6" w:rsidP="005A3880">
            <w:pPr>
              <w:pStyle w:val="IAPOQ2"/>
              <w:rPr>
                <w:szCs w:val="22"/>
              </w:rPr>
            </w:pPr>
            <w:r w:rsidRPr="00544292">
              <w:t>Other</w:t>
            </w:r>
            <w:r w:rsidRPr="00826F71">
              <w:t xml:space="preserve"> key non-monetised costs</w:t>
            </w:r>
            <w:r w:rsidRPr="00544292">
              <w:t xml:space="preserve"> by ‘main affected groups’ </w:t>
            </w:r>
          </w:p>
          <w:p w14:paraId="75824775" w14:textId="77777777" w:rsidR="001844B6" w:rsidRPr="00AB0FFD" w:rsidRDefault="00EF16A1" w:rsidP="00BA2E96">
            <w:pPr>
              <w:pStyle w:val="IAPOA2"/>
              <w:rPr>
                <w:szCs w:val="22"/>
              </w:rPr>
            </w:pPr>
            <w:r w:rsidRPr="00AB0FFD">
              <w:rPr>
                <w:szCs w:val="22"/>
              </w:rPr>
              <w:fldChar w:fldCharType="begin">
                <w:ffData>
                  <w:name w:val="Text62"/>
                  <w:enabled/>
                  <w:calcOnExit w:val="0"/>
                  <w:textInput>
                    <w:default w:val="Maximum of 5 lines"/>
                    <w:maxLength w:val="500"/>
                  </w:textInput>
                </w:ffData>
              </w:fldChar>
            </w:r>
            <w:r w:rsidR="001844B6" w:rsidRPr="00AB0FFD">
              <w:rPr>
                <w:szCs w:val="22"/>
              </w:rPr>
              <w:instrText xml:space="preserve"> FORMTEXT </w:instrText>
            </w:r>
            <w:r w:rsidRPr="00AB0FFD">
              <w:rPr>
                <w:szCs w:val="22"/>
              </w:rPr>
            </w:r>
            <w:r w:rsidRPr="00AB0FFD">
              <w:rPr>
                <w:szCs w:val="22"/>
              </w:rPr>
              <w:fldChar w:fldCharType="separate"/>
            </w:r>
            <w:r w:rsidR="00BA2E96">
              <w:rPr>
                <w:szCs w:val="22"/>
              </w:rPr>
              <w:t xml:space="preserve"> </w:t>
            </w:r>
            <w:r w:rsidR="00C41307">
              <w:rPr>
                <w:szCs w:val="22"/>
              </w:rPr>
              <w:t>Not applicable.</w:t>
            </w:r>
            <w:r w:rsidRPr="00AB0FFD">
              <w:rPr>
                <w:szCs w:val="22"/>
              </w:rPr>
              <w:fldChar w:fldCharType="end"/>
            </w:r>
          </w:p>
        </w:tc>
      </w:tr>
      <w:tr w:rsidR="00AB0FFD" w:rsidRPr="00AB0FFD" w14:paraId="7582477C" w14:textId="77777777">
        <w:trPr>
          <w:trHeight w:hRule="exact" w:val="567"/>
        </w:trPr>
        <w:tc>
          <w:tcPr>
            <w:tcW w:w="1995" w:type="dxa"/>
            <w:shd w:val="clear" w:color="auto" w:fill="FFFFFF"/>
          </w:tcPr>
          <w:p w14:paraId="75824777" w14:textId="77777777" w:rsidR="001844B6" w:rsidRPr="00AB0FFD" w:rsidRDefault="001844B6" w:rsidP="005A3880">
            <w:pPr>
              <w:pStyle w:val="IATableLabel"/>
              <w:rPr>
                <w:sz w:val="24"/>
                <w:szCs w:val="24"/>
              </w:rPr>
            </w:pPr>
            <w:r w:rsidRPr="00AB0FFD">
              <w:rPr>
                <w:sz w:val="24"/>
                <w:szCs w:val="24"/>
              </w:rPr>
              <w:t>BENEFITS (£m)</w:t>
            </w:r>
          </w:p>
        </w:tc>
        <w:tc>
          <w:tcPr>
            <w:tcW w:w="2739" w:type="dxa"/>
            <w:gridSpan w:val="2"/>
            <w:tcBorders>
              <w:top w:val="single" w:sz="12" w:space="0" w:color="auto"/>
              <w:bottom w:val="single" w:sz="6" w:space="0" w:color="auto"/>
            </w:tcBorders>
            <w:shd w:val="clear" w:color="auto" w:fill="auto"/>
          </w:tcPr>
          <w:p w14:paraId="75824778" w14:textId="77777777" w:rsidR="001844B6" w:rsidRPr="00826F71" w:rsidRDefault="001844B6" w:rsidP="00AB0FFD">
            <w:pPr>
              <w:pStyle w:val="IATableLabel"/>
              <w:tabs>
                <w:tab w:val="right" w:pos="1797"/>
                <w:tab w:val="center" w:pos="2340"/>
              </w:tabs>
              <w:jc w:val="right"/>
            </w:pPr>
            <w:r w:rsidRPr="00826F71">
              <w:t xml:space="preserve">Total Transition </w:t>
            </w:r>
            <w:r>
              <w:br/>
            </w:r>
            <w:r>
              <w:tab/>
            </w:r>
            <w:r w:rsidRPr="00AB0FFD">
              <w:rPr>
                <w:b w:val="0"/>
                <w:sz w:val="18"/>
                <w:szCs w:val="18"/>
              </w:rPr>
              <w:t>(Constant Price)</w:t>
            </w:r>
            <w:r>
              <w:tab/>
            </w:r>
            <w:r w:rsidRPr="00AB0FFD">
              <w:rPr>
                <w:b w:val="0"/>
                <w:sz w:val="18"/>
                <w:szCs w:val="18"/>
              </w:rPr>
              <w:t>Yea</w:t>
            </w:r>
            <w:r w:rsidRPr="00AB0FFD">
              <w:rPr>
                <w:b w:val="0"/>
                <w:bCs/>
                <w:sz w:val="18"/>
                <w:szCs w:val="18"/>
              </w:rPr>
              <w:t>r</w:t>
            </w:r>
            <w:r w:rsidRPr="00AB0FFD">
              <w:rPr>
                <w:b w:val="0"/>
                <w:sz w:val="18"/>
                <w:szCs w:val="18"/>
              </w:rPr>
              <w:t>s</w:t>
            </w:r>
          </w:p>
          <w:p w14:paraId="75824779" w14:textId="77777777" w:rsidR="001844B6" w:rsidRPr="00826F71" w:rsidRDefault="001844B6" w:rsidP="00AB0FFD">
            <w:pPr>
              <w:pStyle w:val="IATableLabel"/>
              <w:jc w:val="right"/>
            </w:pPr>
            <w:r>
              <w:br/>
            </w:r>
          </w:p>
        </w:tc>
        <w:tc>
          <w:tcPr>
            <w:tcW w:w="2865" w:type="dxa"/>
            <w:tcBorders>
              <w:bottom w:val="single" w:sz="6" w:space="0" w:color="auto"/>
              <w:right w:val="single" w:sz="12" w:space="0" w:color="auto"/>
            </w:tcBorders>
            <w:shd w:val="clear" w:color="auto" w:fill="auto"/>
          </w:tcPr>
          <w:p w14:paraId="7582477A" w14:textId="77777777" w:rsidR="001844B6" w:rsidRPr="00AB0FFD" w:rsidRDefault="001844B6" w:rsidP="00AB0FFD">
            <w:pPr>
              <w:pStyle w:val="IATableLabel"/>
              <w:jc w:val="right"/>
              <w:rPr>
                <w:rFonts w:cs="Arial"/>
                <w:bCs/>
              </w:rPr>
            </w:pPr>
            <w:r w:rsidRPr="00826F71">
              <w:t>Average Annual</w:t>
            </w:r>
            <w:r w:rsidRPr="000C031E">
              <w:t xml:space="preserve"> </w:t>
            </w:r>
            <w:r>
              <w:br/>
            </w:r>
            <w:r w:rsidRPr="00AB0FFD">
              <w:rPr>
                <w:b w:val="0"/>
                <w:sz w:val="18"/>
                <w:szCs w:val="18"/>
              </w:rPr>
              <w:t xml:space="preserve">(excl. Transition) </w:t>
            </w:r>
            <w:r w:rsidRPr="00AB0FFD">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7582477B" w14:textId="77777777" w:rsidR="001844B6" w:rsidRPr="00826F71" w:rsidRDefault="001844B6" w:rsidP="00AB0FFD">
            <w:pPr>
              <w:pStyle w:val="IATableLabel"/>
              <w:jc w:val="right"/>
            </w:pPr>
            <w:r w:rsidRPr="00826F71">
              <w:t xml:space="preserve">Total </w:t>
            </w:r>
            <w:r>
              <w:t>Benefit</w:t>
            </w:r>
            <w:r w:rsidRPr="00AB0FFD">
              <w:rPr>
                <w:b w:val="0"/>
                <w:sz w:val="18"/>
                <w:szCs w:val="18"/>
              </w:rPr>
              <w:t xml:space="preserve"> </w:t>
            </w:r>
            <w:r w:rsidRPr="00AB0FFD">
              <w:rPr>
                <w:b w:val="0"/>
                <w:sz w:val="18"/>
                <w:szCs w:val="18"/>
              </w:rPr>
              <w:br/>
              <w:t>(Present Value)</w:t>
            </w:r>
          </w:p>
        </w:tc>
      </w:tr>
      <w:tr w:rsidR="00AB0FFD" w:rsidRPr="00AB0FFD" w14:paraId="75824782" w14:textId="77777777">
        <w:trPr>
          <w:trHeight w:hRule="exact" w:val="348"/>
        </w:trPr>
        <w:tc>
          <w:tcPr>
            <w:tcW w:w="1995" w:type="dxa"/>
            <w:tcBorders>
              <w:top w:val="single" w:sz="6" w:space="0" w:color="auto"/>
              <w:bottom w:val="single" w:sz="6" w:space="0" w:color="auto"/>
            </w:tcBorders>
            <w:shd w:val="clear" w:color="auto" w:fill="auto"/>
            <w:vAlign w:val="center"/>
          </w:tcPr>
          <w:p w14:paraId="7582477D" w14:textId="77777777" w:rsidR="001844B6" w:rsidRPr="00826F71" w:rsidRDefault="001844B6" w:rsidP="005A3880">
            <w:pPr>
              <w:pStyle w:val="IATableLabel"/>
            </w:pPr>
            <w:r w:rsidRPr="00826F71">
              <w:t xml:space="preserve">Low </w:t>
            </w:r>
          </w:p>
        </w:tc>
        <w:tc>
          <w:tcPr>
            <w:tcW w:w="1949" w:type="dxa"/>
            <w:tcBorders>
              <w:top w:val="single" w:sz="6" w:space="0" w:color="auto"/>
              <w:bottom w:val="single" w:sz="6" w:space="0" w:color="auto"/>
            </w:tcBorders>
            <w:shd w:val="clear" w:color="auto" w:fill="auto"/>
            <w:vAlign w:val="center"/>
          </w:tcPr>
          <w:p w14:paraId="7582477E" w14:textId="77777777" w:rsidR="001844B6" w:rsidRPr="00AB0FFD" w:rsidRDefault="00EF16A1" w:rsidP="005A3880">
            <w:pPr>
              <w:pStyle w:val="POTTBenLow"/>
              <w:rPr>
                <w:sz w:val="20"/>
              </w:rPr>
            </w:pPr>
            <w:r w:rsidRPr="00AB0FFD">
              <w:rPr>
                <w:sz w:val="20"/>
              </w:rPr>
              <w:fldChar w:fldCharType="begin">
                <w:ffData>
                  <w:name w:val=""/>
                  <w:enabled/>
                  <w:calcOnExit w:val="0"/>
                  <w:textInput>
                    <w:default w:val="Optional"/>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1844B6" w:rsidRPr="00AB0FFD">
              <w:rPr>
                <w:noProof/>
                <w:sz w:val="20"/>
              </w:rPr>
              <w:t>Optional</w:t>
            </w:r>
            <w:r w:rsidRPr="00AB0FFD">
              <w:rPr>
                <w:sz w:val="20"/>
              </w:rPr>
              <w:fldChar w:fldCharType="end"/>
            </w:r>
          </w:p>
        </w:tc>
        <w:tc>
          <w:tcPr>
            <w:tcW w:w="790" w:type="dxa"/>
            <w:vMerge w:val="restart"/>
            <w:tcBorders>
              <w:top w:val="single" w:sz="6" w:space="0" w:color="auto"/>
            </w:tcBorders>
            <w:shd w:val="clear" w:color="auto" w:fill="auto"/>
            <w:vAlign w:val="center"/>
          </w:tcPr>
          <w:p w14:paraId="7582477F" w14:textId="77777777" w:rsidR="001844B6" w:rsidRPr="00AB0FFD" w:rsidRDefault="00EF16A1" w:rsidP="00AB0FFD">
            <w:pPr>
              <w:pStyle w:val="IATableText"/>
              <w:jc w:val="center"/>
              <w:rPr>
                <w:sz w:val="20"/>
              </w:rPr>
            </w:pPr>
            <w:r w:rsidRPr="00AB0FFD">
              <w:rPr>
                <w:sz w:val="20"/>
              </w:rPr>
              <w:fldChar w:fldCharType="begin">
                <w:ffData>
                  <w:name w:val="Text48"/>
                  <w:enabled/>
                  <w:calcOnExit w:val="0"/>
                  <w:textInput>
                    <w:maxLength w:val="3"/>
                  </w:textInput>
                </w:ffData>
              </w:fldChar>
            </w:r>
            <w:r w:rsidR="001844B6" w:rsidRPr="00AB0FFD">
              <w:rPr>
                <w:sz w:val="20"/>
              </w:rPr>
              <w:instrText xml:space="preserve"> FORMTEXT </w:instrText>
            </w:r>
            <w:r w:rsidRPr="00AB0FFD">
              <w:rPr>
                <w:sz w:val="20"/>
              </w:rPr>
            </w:r>
            <w:r w:rsidRPr="00AB0FFD">
              <w:rPr>
                <w:sz w:val="20"/>
              </w:rPr>
              <w:fldChar w:fldCharType="separate"/>
            </w:r>
            <w:r w:rsidR="001844B6" w:rsidRPr="00AB0FFD">
              <w:rPr>
                <w:rFonts w:ascii="Menlo Regular" w:hAnsi="Menlo Regular" w:cs="Menlo Regular"/>
                <w:noProof/>
                <w:sz w:val="20"/>
              </w:rPr>
              <w:t> </w:t>
            </w:r>
            <w:r w:rsidR="001844B6" w:rsidRPr="00AB0FFD">
              <w:rPr>
                <w:rFonts w:ascii="Menlo Regular" w:hAnsi="Menlo Regular" w:cs="Menlo Regular"/>
                <w:noProof/>
                <w:sz w:val="20"/>
              </w:rPr>
              <w:t> </w:t>
            </w:r>
            <w:r w:rsidR="001844B6" w:rsidRPr="00AB0FFD">
              <w:rPr>
                <w:rFonts w:ascii="Apple Symbols" w:hAnsi="Apple Symbols" w:cs="Apple Symbols"/>
                <w:noProof/>
                <w:sz w:val="20"/>
              </w:rPr>
              <w:t> </w:t>
            </w:r>
            <w:r w:rsidRPr="00AB0FFD">
              <w:rPr>
                <w:sz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14:paraId="75824780" w14:textId="5E615829" w:rsidR="001844B6" w:rsidRPr="00AB0FFD" w:rsidRDefault="00EF16A1" w:rsidP="00C04052">
            <w:pPr>
              <w:pStyle w:val="POAABenLow"/>
              <w:rPr>
                <w:sz w:val="20"/>
              </w:rPr>
            </w:pPr>
            <w:r w:rsidRPr="00AB0FFD">
              <w:rPr>
                <w:sz w:val="20"/>
              </w:rPr>
              <w:fldChar w:fldCharType="begin">
                <w:ffData>
                  <w:name w:val=""/>
                  <w:enabled/>
                  <w:calcOnExit w:val="0"/>
                  <w:textInput>
                    <w:default w:val="Optional"/>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7F59AE">
              <w:rPr>
                <w:noProof/>
                <w:sz w:val="20"/>
              </w:rPr>
              <w:t>0.7</w:t>
            </w:r>
            <w:r w:rsidR="00C04052">
              <w:rPr>
                <w:noProof/>
                <w:sz w:val="20"/>
              </w:rPr>
              <w:t>6</w:t>
            </w:r>
            <w:r w:rsidRPr="00AB0FFD">
              <w:rPr>
                <w:sz w:val="20"/>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14:paraId="75824781" w14:textId="0889BAFD" w:rsidR="001844B6" w:rsidRPr="00AB0FFD" w:rsidRDefault="00EF16A1" w:rsidP="006B798D">
            <w:pPr>
              <w:pStyle w:val="POTBBenLow"/>
              <w:rPr>
                <w:sz w:val="20"/>
              </w:rPr>
            </w:pPr>
            <w:r w:rsidRPr="00AB0FFD">
              <w:rPr>
                <w:sz w:val="20"/>
              </w:rPr>
              <w:fldChar w:fldCharType="begin">
                <w:ffData>
                  <w:name w:val=""/>
                  <w:enabled/>
                  <w:calcOnExit w:val="0"/>
                  <w:textInput>
                    <w:default w:val="Optional"/>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7F59AE">
              <w:rPr>
                <w:noProof/>
                <w:sz w:val="20"/>
              </w:rPr>
              <w:t>6.</w:t>
            </w:r>
            <w:r w:rsidR="006B798D">
              <w:rPr>
                <w:noProof/>
                <w:sz w:val="20"/>
              </w:rPr>
              <w:t>66</w:t>
            </w:r>
            <w:r w:rsidRPr="00AB0FFD">
              <w:rPr>
                <w:sz w:val="20"/>
              </w:rPr>
              <w:fldChar w:fldCharType="end"/>
            </w:r>
          </w:p>
        </w:tc>
      </w:tr>
      <w:tr w:rsidR="00AB0FFD" w:rsidRPr="00AB0FFD" w14:paraId="75824788" w14:textId="77777777">
        <w:trPr>
          <w:trHeight w:hRule="exact" w:val="348"/>
        </w:trPr>
        <w:tc>
          <w:tcPr>
            <w:tcW w:w="1995" w:type="dxa"/>
            <w:tcBorders>
              <w:top w:val="single" w:sz="6" w:space="0" w:color="auto"/>
              <w:bottom w:val="single" w:sz="12" w:space="0" w:color="auto"/>
            </w:tcBorders>
            <w:shd w:val="clear" w:color="auto" w:fill="auto"/>
            <w:vAlign w:val="center"/>
          </w:tcPr>
          <w:p w14:paraId="75824783" w14:textId="77777777" w:rsidR="001844B6" w:rsidRPr="00826F71" w:rsidRDefault="001844B6" w:rsidP="005A3880">
            <w:pPr>
              <w:pStyle w:val="IATableLabel"/>
            </w:pPr>
            <w:r w:rsidRPr="00826F71">
              <w:t xml:space="preserve">High </w:t>
            </w:r>
          </w:p>
        </w:tc>
        <w:tc>
          <w:tcPr>
            <w:tcW w:w="1949" w:type="dxa"/>
            <w:tcBorders>
              <w:top w:val="single" w:sz="6" w:space="0" w:color="auto"/>
              <w:bottom w:val="single" w:sz="12" w:space="0" w:color="auto"/>
            </w:tcBorders>
            <w:shd w:val="clear" w:color="auto" w:fill="auto"/>
            <w:vAlign w:val="center"/>
          </w:tcPr>
          <w:p w14:paraId="75824784" w14:textId="77777777" w:rsidR="001844B6" w:rsidRPr="00AB0FFD" w:rsidRDefault="00EF16A1" w:rsidP="005A3880">
            <w:pPr>
              <w:pStyle w:val="POTTBenHigh"/>
              <w:rPr>
                <w:sz w:val="20"/>
              </w:rPr>
            </w:pPr>
            <w:r w:rsidRPr="00AB0FFD">
              <w:rPr>
                <w:sz w:val="20"/>
              </w:rPr>
              <w:fldChar w:fldCharType="begin">
                <w:ffData>
                  <w:name w:val=""/>
                  <w:enabled/>
                  <w:calcOnExit w:val="0"/>
                  <w:textInput>
                    <w:default w:val="Optional"/>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1844B6" w:rsidRPr="00AB0FFD">
              <w:rPr>
                <w:noProof/>
                <w:sz w:val="20"/>
              </w:rPr>
              <w:t>Optional</w:t>
            </w:r>
            <w:r w:rsidRPr="00AB0FFD">
              <w:rPr>
                <w:sz w:val="20"/>
              </w:rPr>
              <w:fldChar w:fldCharType="end"/>
            </w:r>
          </w:p>
        </w:tc>
        <w:tc>
          <w:tcPr>
            <w:tcW w:w="790" w:type="dxa"/>
            <w:vMerge/>
            <w:shd w:val="clear" w:color="auto" w:fill="FFFFFF"/>
            <w:vAlign w:val="center"/>
          </w:tcPr>
          <w:p w14:paraId="75824785" w14:textId="77777777" w:rsidR="001844B6" w:rsidRPr="00AB0FFD" w:rsidRDefault="001844B6" w:rsidP="00AB0FFD">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75824786" w14:textId="12EF1663" w:rsidR="001844B6" w:rsidRPr="00AB0FFD" w:rsidRDefault="00EF16A1" w:rsidP="00812075">
            <w:pPr>
              <w:pStyle w:val="POAABenHigh"/>
              <w:rPr>
                <w:sz w:val="20"/>
              </w:rPr>
            </w:pPr>
            <w:r w:rsidRPr="00AB0FFD">
              <w:rPr>
                <w:sz w:val="20"/>
              </w:rPr>
              <w:fldChar w:fldCharType="begin">
                <w:ffData>
                  <w:name w:val=""/>
                  <w:enabled/>
                  <w:calcOnExit w:val="0"/>
                  <w:textInput>
                    <w:default w:val="Optional"/>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812075">
              <w:rPr>
                <w:noProof/>
                <w:sz w:val="20"/>
              </w:rPr>
              <w:t>0.80</w:t>
            </w:r>
            <w:r w:rsidRPr="00AB0FFD">
              <w:rPr>
                <w:sz w:val="20"/>
              </w:rP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14:paraId="75824787" w14:textId="0CFD10EB" w:rsidR="001844B6" w:rsidRPr="00AB0FFD" w:rsidRDefault="00EF16A1" w:rsidP="006B798D">
            <w:pPr>
              <w:pStyle w:val="POTBBenHigh"/>
              <w:rPr>
                <w:sz w:val="20"/>
              </w:rPr>
            </w:pPr>
            <w:r w:rsidRPr="00AB0FFD">
              <w:rPr>
                <w:sz w:val="20"/>
              </w:rPr>
              <w:fldChar w:fldCharType="begin">
                <w:ffData>
                  <w:name w:val=""/>
                  <w:enabled/>
                  <w:calcOnExit w:val="0"/>
                  <w:textInput>
                    <w:default w:val="Optional"/>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6B798D">
              <w:rPr>
                <w:sz w:val="20"/>
              </w:rPr>
              <w:t>7.04</w:t>
            </w:r>
            <w:r w:rsidRPr="00AB0FFD">
              <w:rPr>
                <w:sz w:val="20"/>
              </w:rPr>
              <w:fldChar w:fldCharType="end"/>
            </w:r>
          </w:p>
        </w:tc>
      </w:tr>
      <w:tr w:rsidR="00AB0FFD" w:rsidRPr="00AB0FFD" w14:paraId="7582478F" w14:textId="77777777">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75824789" w14:textId="77777777" w:rsidR="001844B6" w:rsidRPr="00826F71" w:rsidRDefault="001844B6" w:rsidP="005A3880">
            <w:pPr>
              <w:pStyle w:val="IATableLabel"/>
            </w:pPr>
            <w:r w:rsidRPr="00826F71">
              <w:t xml:space="preserve">Best </w:t>
            </w:r>
            <w:r>
              <w:t>E</w:t>
            </w:r>
            <w:r w:rsidRPr="00826F71">
              <w:t>stimate</w:t>
            </w:r>
          </w:p>
          <w:p w14:paraId="7582478A" w14:textId="77777777" w:rsidR="001844B6" w:rsidRPr="00AB0FFD" w:rsidRDefault="001844B6" w:rsidP="007578E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582478B" w14:textId="77777777" w:rsidR="001844B6" w:rsidRPr="00AB0FFD" w:rsidRDefault="00EF16A1" w:rsidP="005A3880">
            <w:pPr>
              <w:pStyle w:val="POTTBenBest"/>
              <w:rPr>
                <w:sz w:val="20"/>
              </w:rPr>
            </w:pPr>
            <w:r w:rsidRPr="00AB0FFD">
              <w:rPr>
                <w:sz w:val="20"/>
              </w:rPr>
              <w:fldChar w:fldCharType="begin">
                <w:ffData>
                  <w:name w:val=""/>
                  <w:enabled/>
                  <w:calcOnExit w:val="0"/>
                  <w:textInput>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1844B6" w:rsidRPr="00AB0FFD">
              <w:rPr>
                <w:rFonts w:ascii="Menlo Regular" w:hAnsi="Menlo Regular" w:cs="Menlo Regular"/>
                <w:noProof/>
                <w:sz w:val="20"/>
              </w:rPr>
              <w:t> </w:t>
            </w:r>
            <w:r w:rsidR="001844B6" w:rsidRPr="00AB0FFD">
              <w:rPr>
                <w:rFonts w:ascii="Menlo Regular" w:hAnsi="Menlo Regular" w:cs="Menlo Regular"/>
                <w:noProof/>
                <w:sz w:val="20"/>
              </w:rPr>
              <w:t> </w:t>
            </w:r>
            <w:r w:rsidR="001844B6" w:rsidRPr="00AB0FFD">
              <w:rPr>
                <w:rFonts w:ascii="Apple Symbols" w:hAnsi="Apple Symbols" w:cs="Apple Symbols"/>
                <w:noProof/>
                <w:sz w:val="20"/>
              </w:rPr>
              <w:t> </w:t>
            </w:r>
            <w:r w:rsidR="001844B6" w:rsidRPr="00AB0FFD">
              <w:rPr>
                <w:rFonts w:ascii="Menlo Regular" w:hAnsi="Menlo Regular" w:cs="Menlo Regular"/>
                <w:noProof/>
                <w:sz w:val="20"/>
              </w:rPr>
              <w:t> </w:t>
            </w:r>
            <w:r w:rsidR="001844B6" w:rsidRPr="00AB0FFD">
              <w:rPr>
                <w:rFonts w:ascii="Apple Symbols" w:hAnsi="Apple Symbols" w:cs="Apple Symbols"/>
                <w:noProof/>
                <w:sz w:val="20"/>
              </w:rPr>
              <w:t> </w:t>
            </w:r>
            <w:r w:rsidRPr="00AB0FFD">
              <w:rPr>
                <w:sz w:val="20"/>
              </w:rPr>
              <w:fldChar w:fldCharType="end"/>
            </w:r>
          </w:p>
        </w:tc>
        <w:tc>
          <w:tcPr>
            <w:tcW w:w="790" w:type="dxa"/>
            <w:vMerge/>
            <w:tcBorders>
              <w:left w:val="single" w:sz="12" w:space="0" w:color="auto"/>
              <w:right w:val="single" w:sz="12" w:space="0" w:color="auto"/>
            </w:tcBorders>
            <w:shd w:val="clear" w:color="auto" w:fill="FFFFFF"/>
            <w:vAlign w:val="center"/>
          </w:tcPr>
          <w:p w14:paraId="7582478C" w14:textId="77777777" w:rsidR="001844B6" w:rsidRPr="00AB0FFD" w:rsidRDefault="001844B6" w:rsidP="00AB0FFD">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7582478D" w14:textId="6E531406" w:rsidR="001844B6" w:rsidRPr="00AB0FFD" w:rsidRDefault="00EF16A1" w:rsidP="00C04052">
            <w:pPr>
              <w:pStyle w:val="POAABenBest"/>
              <w:rPr>
                <w:sz w:val="20"/>
              </w:rPr>
            </w:pPr>
            <w:r w:rsidRPr="00AB0FFD">
              <w:rPr>
                <w:sz w:val="20"/>
              </w:rPr>
              <w:fldChar w:fldCharType="begin">
                <w:ffData>
                  <w:name w:val=""/>
                  <w:enabled/>
                  <w:calcOnExit w:val="0"/>
                  <w:textInput>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C04052">
              <w:rPr>
                <w:rFonts w:ascii="Apple Symbols" w:hAnsi="Apple Symbols" w:cs="Apple Symbols"/>
                <w:noProof/>
                <w:sz w:val="20"/>
              </w:rPr>
              <w:t>0.76</w:t>
            </w:r>
            <w:r w:rsidRPr="00AB0FFD">
              <w:rPr>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7582478E" w14:textId="7C2D2381" w:rsidR="001844B6" w:rsidRPr="00AB0FFD" w:rsidRDefault="00EF16A1" w:rsidP="00812075">
            <w:pPr>
              <w:pStyle w:val="POTBBenBest"/>
              <w:rPr>
                <w:sz w:val="20"/>
              </w:rPr>
            </w:pPr>
            <w:r w:rsidRPr="00AB0FFD">
              <w:rPr>
                <w:sz w:val="20"/>
              </w:rPr>
              <w:fldChar w:fldCharType="begin">
                <w:ffData>
                  <w:name w:val=""/>
                  <w:enabled/>
                  <w:calcOnExit w:val="0"/>
                  <w:textInput>
                    <w:maxLength w:val="14"/>
                  </w:textInput>
                </w:ffData>
              </w:fldChar>
            </w:r>
            <w:r w:rsidR="001844B6" w:rsidRPr="00AB0FFD">
              <w:rPr>
                <w:sz w:val="20"/>
              </w:rPr>
              <w:instrText xml:space="preserve"> FORMTEXT </w:instrText>
            </w:r>
            <w:r w:rsidRPr="00AB0FFD">
              <w:rPr>
                <w:sz w:val="20"/>
              </w:rPr>
            </w:r>
            <w:r w:rsidRPr="00AB0FFD">
              <w:rPr>
                <w:sz w:val="20"/>
              </w:rPr>
              <w:fldChar w:fldCharType="separate"/>
            </w:r>
            <w:r w:rsidR="00812075">
              <w:rPr>
                <w:rFonts w:ascii="Apple Symbols" w:hAnsi="Apple Symbols" w:cs="Apple Symbols"/>
                <w:noProof/>
                <w:sz w:val="20"/>
              </w:rPr>
              <w:t>6.49</w:t>
            </w:r>
            <w:r w:rsidRPr="00AB0FFD">
              <w:rPr>
                <w:sz w:val="20"/>
              </w:rPr>
              <w:fldChar w:fldCharType="end"/>
            </w:r>
          </w:p>
        </w:tc>
      </w:tr>
      <w:tr w:rsidR="001844B6" w:rsidRPr="00826F71" w14:paraId="75824792" w14:textId="77777777">
        <w:trPr>
          <w:trHeight w:hRule="exact" w:val="1701"/>
        </w:trPr>
        <w:tc>
          <w:tcPr>
            <w:tcW w:w="10235" w:type="dxa"/>
            <w:gridSpan w:val="6"/>
            <w:shd w:val="clear" w:color="auto" w:fill="auto"/>
          </w:tcPr>
          <w:p w14:paraId="75824790" w14:textId="77777777" w:rsidR="001844B6" w:rsidRPr="00AB0FFD" w:rsidRDefault="001844B6" w:rsidP="005A3880">
            <w:pPr>
              <w:pStyle w:val="IPPOQ3"/>
              <w:rPr>
                <w:szCs w:val="22"/>
              </w:rPr>
            </w:pPr>
            <w:r w:rsidRPr="00544292">
              <w:t xml:space="preserve">Description and scale of </w:t>
            </w:r>
            <w:r w:rsidRPr="00826F71">
              <w:t xml:space="preserve">key monetised </w:t>
            </w:r>
            <w:r>
              <w:t>benefits</w:t>
            </w:r>
            <w:r w:rsidRPr="00544292">
              <w:t xml:space="preserve"> by ‘main affected groups’ </w:t>
            </w:r>
          </w:p>
          <w:p w14:paraId="75824791" w14:textId="77777777" w:rsidR="001844B6" w:rsidRPr="00826F71" w:rsidRDefault="00EF16A1" w:rsidP="004F261F">
            <w:pPr>
              <w:pStyle w:val="IAPOA3"/>
            </w:pPr>
            <w:r w:rsidRPr="00D337D1">
              <w:fldChar w:fldCharType="begin">
                <w:ffData>
                  <w:name w:val=""/>
                  <w:enabled/>
                  <w:calcOnExit w:val="0"/>
                  <w:textInput>
                    <w:default w:val="Maximum of 5 lines"/>
                    <w:maxLength w:val="500"/>
                  </w:textInput>
                </w:ffData>
              </w:fldChar>
            </w:r>
            <w:r w:rsidR="001844B6" w:rsidRPr="00D337D1">
              <w:instrText xml:space="preserve"> FORMTEXT </w:instrText>
            </w:r>
            <w:r w:rsidRPr="00D337D1">
              <w:fldChar w:fldCharType="separate"/>
            </w:r>
            <w:r w:rsidR="00C41307">
              <w:t>Ofcom revenues increase by satellite filing charges</w:t>
            </w:r>
            <w:r w:rsidR="00056AE4">
              <w:t>, leading t</w:t>
            </w:r>
            <w:r w:rsidR="00471578">
              <w:t>o a reduction in demand on the public purse.</w:t>
            </w:r>
            <w:r w:rsidR="004E7F3C">
              <w:t xml:space="preserve"> The charges will be shared between all satellite operators who have filed and will continue to file through the UK.</w:t>
            </w:r>
            <w:r w:rsidR="004F261F">
              <w:t xml:space="preserve"> Business costs will be reduced by the removal of mandatory annual reviews of PSB programme policy and Channel 3 networking arrangements.</w:t>
            </w:r>
            <w:r w:rsidR="00FD298F">
              <w:t xml:space="preserve"> Ofcom will </w:t>
            </w:r>
            <w:r w:rsidR="004F261F">
              <w:t>reduce its costs by at least £0.44 m p.a. and increase its revenue by £0.4 m p.a.,</w:t>
            </w:r>
            <w:r w:rsidR="00FD298F">
              <w:t>mak</w:t>
            </w:r>
            <w:r w:rsidR="004F261F">
              <w:t>ing</w:t>
            </w:r>
            <w:r w:rsidR="00FD298F">
              <w:t xml:space="preserve"> total net savings of</w:t>
            </w:r>
            <w:r w:rsidR="004F261F">
              <w:t xml:space="preserve"> </w:t>
            </w:r>
            <w:r w:rsidR="00FD298F">
              <w:t xml:space="preserve"> £0.8</w:t>
            </w:r>
            <w:r w:rsidR="004F261F">
              <w:t>4</w:t>
            </w:r>
            <w:r w:rsidR="00FD298F">
              <w:t xml:space="preserve"> million p.a.</w:t>
            </w:r>
            <w:r w:rsidRPr="00D337D1">
              <w:fldChar w:fldCharType="end"/>
            </w:r>
          </w:p>
        </w:tc>
      </w:tr>
      <w:tr w:rsidR="001844B6" w:rsidRPr="00826F71" w14:paraId="75824795" w14:textId="77777777">
        <w:trPr>
          <w:trHeight w:hRule="exact" w:val="1701"/>
        </w:trPr>
        <w:tc>
          <w:tcPr>
            <w:tcW w:w="10235" w:type="dxa"/>
            <w:gridSpan w:val="6"/>
            <w:shd w:val="clear" w:color="auto" w:fill="auto"/>
          </w:tcPr>
          <w:p w14:paraId="75824793" w14:textId="77777777" w:rsidR="001844B6" w:rsidRPr="00AB0FFD" w:rsidRDefault="001844B6" w:rsidP="005A3880">
            <w:pPr>
              <w:pStyle w:val="IAPOQ4"/>
              <w:rPr>
                <w:szCs w:val="22"/>
              </w:rPr>
            </w:pPr>
            <w:r w:rsidRPr="00544292">
              <w:t>Other</w:t>
            </w:r>
            <w:r w:rsidRPr="00826F71">
              <w:t xml:space="preserve"> key non-monetised </w:t>
            </w:r>
            <w:r>
              <w:t>benefits</w:t>
            </w:r>
            <w:r w:rsidRPr="00544292">
              <w:t xml:space="preserve"> by ‘main affected groups’ </w:t>
            </w:r>
          </w:p>
          <w:p w14:paraId="75824794" w14:textId="77777777" w:rsidR="001844B6" w:rsidRPr="00826F71" w:rsidRDefault="00EF16A1" w:rsidP="004E7F3C">
            <w:pPr>
              <w:pStyle w:val="IAPOA4"/>
            </w:pPr>
            <w:r w:rsidRPr="00D337D1">
              <w:fldChar w:fldCharType="begin">
                <w:ffData>
                  <w:name w:val=""/>
                  <w:enabled/>
                  <w:calcOnExit w:val="0"/>
                  <w:textInput>
                    <w:default w:val="Maximum of 5 lines"/>
                    <w:maxLength w:val="500"/>
                  </w:textInput>
                </w:ffData>
              </w:fldChar>
            </w:r>
            <w:r w:rsidR="001844B6" w:rsidRPr="00D337D1">
              <w:instrText xml:space="preserve"> FORMTEXT </w:instrText>
            </w:r>
            <w:r w:rsidRPr="00D337D1">
              <w:fldChar w:fldCharType="separate"/>
            </w:r>
            <w:r w:rsidR="004E7F3C">
              <w:t>Not applicable.</w:t>
            </w:r>
            <w:r w:rsidRPr="00D337D1">
              <w:fldChar w:fldCharType="end"/>
            </w:r>
          </w:p>
        </w:tc>
      </w:tr>
      <w:tr w:rsidR="001844B6" w:rsidRPr="00826F71" w14:paraId="75824799" w14:textId="77777777">
        <w:trPr>
          <w:trHeight w:hRule="exact" w:val="346"/>
        </w:trPr>
        <w:tc>
          <w:tcPr>
            <w:tcW w:w="9375" w:type="dxa"/>
            <w:gridSpan w:val="5"/>
            <w:tcBorders>
              <w:top w:val="single" w:sz="6" w:space="0" w:color="auto"/>
              <w:bottom w:val="nil"/>
            </w:tcBorders>
            <w:shd w:val="clear" w:color="auto" w:fill="auto"/>
          </w:tcPr>
          <w:p w14:paraId="75824796" w14:textId="77777777" w:rsidR="001844B6" w:rsidRDefault="001844B6" w:rsidP="00AB0FFD">
            <w:pPr>
              <w:pStyle w:val="IATableLabel"/>
              <w:tabs>
                <w:tab w:val="left" w:pos="7655"/>
              </w:tabs>
            </w:pPr>
            <w:r w:rsidRPr="00F1653E">
              <w:rPr>
                <w:rStyle w:val="IAPOQ5Char"/>
              </w:rPr>
              <w:t>Key assumptions/sensitivities/risks</w:t>
            </w:r>
            <w:r>
              <w:tab/>
              <w:t>Discount rate (%)</w:t>
            </w:r>
          </w:p>
          <w:p w14:paraId="75824797" w14:textId="77777777" w:rsidR="001844B6" w:rsidRPr="00455895" w:rsidRDefault="001844B6" w:rsidP="005A3880">
            <w:pPr>
              <w:pStyle w:val="IATableLabel"/>
            </w:pPr>
          </w:p>
        </w:tc>
        <w:tc>
          <w:tcPr>
            <w:tcW w:w="860" w:type="dxa"/>
            <w:tcBorders>
              <w:top w:val="single" w:sz="6" w:space="0" w:color="auto"/>
              <w:bottom w:val="single" w:sz="4" w:space="0" w:color="auto"/>
            </w:tcBorders>
            <w:shd w:val="clear" w:color="auto" w:fill="auto"/>
          </w:tcPr>
          <w:p w14:paraId="75824798" w14:textId="77777777" w:rsidR="001844B6" w:rsidRPr="007E6CF8" w:rsidRDefault="00EF16A1" w:rsidP="007C0CC2">
            <w:pPr>
              <w:pStyle w:val="IAPODisRate"/>
            </w:pPr>
            <w:r w:rsidRPr="00D337D1">
              <w:fldChar w:fldCharType="begin">
                <w:ffData>
                  <w:name w:val=""/>
                  <w:enabled/>
                  <w:calcOnExit w:val="0"/>
                  <w:textInput>
                    <w:maxLength w:val="5"/>
                  </w:textInput>
                </w:ffData>
              </w:fldChar>
            </w:r>
            <w:r w:rsidR="001844B6" w:rsidRPr="00D337D1">
              <w:instrText xml:space="preserve"> FORMTEXT </w:instrText>
            </w:r>
            <w:r w:rsidRPr="00D337D1">
              <w:fldChar w:fldCharType="separate"/>
            </w:r>
            <w:r w:rsidR="007C0CC2">
              <w:rPr>
                <w:noProof/>
              </w:rPr>
              <w:t>3.5</w:t>
            </w:r>
            <w:r w:rsidRPr="00D337D1">
              <w:fldChar w:fldCharType="end"/>
            </w:r>
          </w:p>
        </w:tc>
      </w:tr>
      <w:tr w:rsidR="001844B6" w:rsidRPr="00AB0FFD" w14:paraId="7582479B" w14:textId="77777777">
        <w:trPr>
          <w:trHeight w:hRule="exact" w:val="1507"/>
        </w:trPr>
        <w:tc>
          <w:tcPr>
            <w:tcW w:w="10235" w:type="dxa"/>
            <w:gridSpan w:val="6"/>
            <w:tcBorders>
              <w:top w:val="nil"/>
              <w:bottom w:val="single" w:sz="12" w:space="0" w:color="auto"/>
            </w:tcBorders>
            <w:shd w:val="clear" w:color="auto" w:fill="auto"/>
          </w:tcPr>
          <w:p w14:paraId="7582479A" w14:textId="77777777" w:rsidR="001844B6" w:rsidRPr="00544292" w:rsidRDefault="00EF16A1" w:rsidP="004E7F3C">
            <w:pPr>
              <w:pStyle w:val="IAPOA5"/>
            </w:pPr>
            <w:r>
              <w:fldChar w:fldCharType="begin">
                <w:ffData>
                  <w:name w:val=""/>
                  <w:enabled/>
                  <w:calcOnExit w:val="0"/>
                  <w:textInput>
                    <w:default w:val="Maximum of 5 lines"/>
                    <w:maxLength w:val="500"/>
                  </w:textInput>
                </w:ffData>
              </w:fldChar>
            </w:r>
            <w:r w:rsidR="001844B6">
              <w:instrText xml:space="preserve"> FORMTEXT </w:instrText>
            </w:r>
            <w:r>
              <w:fldChar w:fldCharType="separate"/>
            </w:r>
            <w:r w:rsidR="004E7F3C">
              <w:t>Ofcom 2007 consultation on cost recovery for ITU satellite filings. Satellite operators seem to be willing to pay a cost recovery charge to Ofcom for the management of the satellite filings they submit.</w:t>
            </w:r>
            <w:r>
              <w:fldChar w:fldCharType="end"/>
            </w:r>
          </w:p>
        </w:tc>
      </w:tr>
    </w:tbl>
    <w:p w14:paraId="7582479C" w14:textId="77777777" w:rsidR="001844B6" w:rsidRDefault="001844B6" w:rsidP="005A3880">
      <w:pPr>
        <w:pStyle w:val="IASpacer"/>
      </w:pPr>
    </w:p>
    <w:p w14:paraId="7582479D" w14:textId="77777777" w:rsidR="001844B6" w:rsidRDefault="00F63895" w:rsidP="005A3880">
      <w:pPr>
        <w:pStyle w:val="IAHeadLabel"/>
        <w:spacing w:before="50"/>
      </w:pPr>
      <w:r>
        <w:t xml:space="preserve">BUSINESS </w:t>
      </w:r>
      <w:r w:rsidR="001844B6">
        <w:t xml:space="preserve">ASSESSMENT (Option </w:t>
      </w:r>
      <w:r w:rsidR="00EF16A1">
        <w:fldChar w:fldCharType="begin"/>
      </w:r>
      <w:r w:rsidR="00EF6C45">
        <w:instrText xml:space="preserve"> SEQ BA </w:instrText>
      </w:r>
      <w:r w:rsidR="00EF16A1">
        <w:fldChar w:fldCharType="separate"/>
      </w:r>
      <w:r w:rsidR="008C1ECB">
        <w:rPr>
          <w:noProof/>
        </w:rPr>
        <w:t>1</w:t>
      </w:r>
      <w:r w:rsidR="00EF16A1">
        <w:rPr>
          <w:noProof/>
        </w:rPr>
        <w:fldChar w:fldCharType="end"/>
      </w:r>
      <w:r w:rsidR="001844B6">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90"/>
        <w:gridCol w:w="2155"/>
        <w:gridCol w:w="1980"/>
        <w:gridCol w:w="1980"/>
        <w:gridCol w:w="2110"/>
      </w:tblGrid>
      <w:tr w:rsidR="001844B6" w:rsidRPr="000E02BE" w14:paraId="758247A1" w14:textId="77777777">
        <w:trPr>
          <w:trHeight w:hRule="exact" w:val="312"/>
        </w:trPr>
        <w:tc>
          <w:tcPr>
            <w:tcW w:w="6125" w:type="dxa"/>
            <w:gridSpan w:val="3"/>
            <w:tcBorders>
              <w:top w:val="single" w:sz="4" w:space="0" w:color="auto"/>
              <w:bottom w:val="nil"/>
              <w:right w:val="single" w:sz="4" w:space="0" w:color="auto"/>
            </w:tcBorders>
          </w:tcPr>
          <w:p w14:paraId="7582479E" w14:textId="77777777" w:rsidR="001844B6" w:rsidRPr="000E02BE" w:rsidRDefault="001844B6" w:rsidP="005A3880">
            <w:pPr>
              <w:pStyle w:val="IATableLabel"/>
            </w:pPr>
            <w:r w:rsidRPr="000E02BE">
              <w:t xml:space="preserve">Direct impact on </w:t>
            </w:r>
            <w:r>
              <w:t>business (Equivalent Annual) £m</w:t>
            </w:r>
            <w:r w:rsidRPr="000E02BE">
              <w:t xml:space="preserve">: </w:t>
            </w:r>
          </w:p>
        </w:tc>
        <w:tc>
          <w:tcPr>
            <w:tcW w:w="1980" w:type="dxa"/>
            <w:tcBorders>
              <w:top w:val="single" w:sz="4" w:space="0" w:color="auto"/>
              <w:left w:val="single" w:sz="4" w:space="0" w:color="auto"/>
              <w:bottom w:val="nil"/>
              <w:right w:val="nil"/>
            </w:tcBorders>
          </w:tcPr>
          <w:p w14:paraId="7582479F" w14:textId="77777777" w:rsidR="001844B6" w:rsidRPr="000E02BE" w:rsidRDefault="001844B6" w:rsidP="005A3880">
            <w:pPr>
              <w:pStyle w:val="IATableLabel"/>
            </w:pPr>
            <w:r w:rsidRPr="000E02BE">
              <w:t>In scope of OIOO?</w:t>
            </w:r>
          </w:p>
        </w:tc>
        <w:tc>
          <w:tcPr>
            <w:tcW w:w="2110" w:type="dxa"/>
            <w:tcBorders>
              <w:top w:val="single" w:sz="4" w:space="0" w:color="auto"/>
              <w:left w:val="nil"/>
              <w:bottom w:val="nil"/>
              <w:right w:val="single" w:sz="4" w:space="0" w:color="auto"/>
            </w:tcBorders>
            <w:shd w:val="clear" w:color="auto" w:fill="auto"/>
          </w:tcPr>
          <w:p w14:paraId="758247A0" w14:textId="77777777" w:rsidR="001844B6" w:rsidRPr="000E02BE" w:rsidRDefault="001844B6" w:rsidP="005A3880">
            <w:pPr>
              <w:pStyle w:val="IATableLabel"/>
              <w:ind w:left="0"/>
            </w:pPr>
            <w:r w:rsidRPr="000E02BE">
              <w:t xml:space="preserve">  Measure qualifies as</w:t>
            </w:r>
          </w:p>
        </w:tc>
      </w:tr>
      <w:tr w:rsidR="001844B6" w:rsidRPr="00E75380" w14:paraId="758247A7" w14:textId="77777777">
        <w:trPr>
          <w:trHeight w:hRule="exact" w:val="340"/>
        </w:trPr>
        <w:tc>
          <w:tcPr>
            <w:tcW w:w="1990" w:type="dxa"/>
            <w:tcBorders>
              <w:top w:val="nil"/>
              <w:bottom w:val="single" w:sz="4" w:space="0" w:color="auto"/>
              <w:right w:val="single" w:sz="4" w:space="0" w:color="auto"/>
            </w:tcBorders>
            <w:shd w:val="clear" w:color="auto" w:fill="FFFFFF"/>
          </w:tcPr>
          <w:p w14:paraId="758247A2" w14:textId="19BFB9D8" w:rsidR="001844B6" w:rsidRPr="00F63895" w:rsidRDefault="001844B6" w:rsidP="007F59AE">
            <w:pPr>
              <w:pStyle w:val="IATableLabel"/>
            </w:pPr>
            <w:r w:rsidRPr="00F63895">
              <w:t xml:space="preserve">Costs: </w:t>
            </w:r>
            <w:bookmarkStart w:id="39" w:name="Text67"/>
            <w:r w:rsidR="00EF16A1" w:rsidRPr="00F63895">
              <w:rPr>
                <w:rStyle w:val="IAPODICostChar"/>
                <w:sz w:val="20"/>
                <w:szCs w:val="20"/>
              </w:rPr>
              <w:fldChar w:fldCharType="begin">
                <w:ffData>
                  <w:name w:val="Text67"/>
                  <w:enabled/>
                  <w:calcOnExit w:val="0"/>
                  <w:textInput>
                    <w:maxLength w:val="9"/>
                  </w:textInput>
                </w:ffData>
              </w:fldChar>
            </w:r>
            <w:r w:rsidRPr="00F63895">
              <w:rPr>
                <w:rStyle w:val="IAPODICostChar"/>
                <w:sz w:val="20"/>
                <w:szCs w:val="20"/>
              </w:rPr>
              <w:instrText xml:space="preserve"> FORMTEXT </w:instrText>
            </w:r>
            <w:r w:rsidR="00EF16A1" w:rsidRPr="00F63895">
              <w:rPr>
                <w:rStyle w:val="IAPODICostChar"/>
                <w:sz w:val="20"/>
                <w:szCs w:val="20"/>
              </w:rPr>
            </w:r>
            <w:r w:rsidR="00EF16A1" w:rsidRPr="00F63895">
              <w:rPr>
                <w:rStyle w:val="IAPODICostChar"/>
                <w:sz w:val="20"/>
                <w:szCs w:val="20"/>
              </w:rPr>
              <w:fldChar w:fldCharType="separate"/>
            </w:r>
            <w:r w:rsidR="007F59AE">
              <w:rPr>
                <w:rStyle w:val="IAPODICostChar"/>
                <w:sz w:val="20"/>
                <w:szCs w:val="20"/>
              </w:rPr>
              <w:t>0.28</w:t>
            </w:r>
            <w:r w:rsidR="00EF16A1" w:rsidRPr="00F63895">
              <w:rPr>
                <w:rStyle w:val="IAPODICostChar"/>
                <w:sz w:val="20"/>
                <w:szCs w:val="20"/>
              </w:rPr>
              <w:fldChar w:fldCharType="end"/>
            </w:r>
            <w:bookmarkEnd w:id="39"/>
          </w:p>
        </w:tc>
        <w:tc>
          <w:tcPr>
            <w:tcW w:w="2155" w:type="dxa"/>
            <w:tcBorders>
              <w:top w:val="nil"/>
              <w:bottom w:val="single" w:sz="4" w:space="0" w:color="auto"/>
              <w:right w:val="single" w:sz="4" w:space="0" w:color="auto"/>
            </w:tcBorders>
            <w:shd w:val="clear" w:color="auto" w:fill="FFFFFF"/>
          </w:tcPr>
          <w:p w14:paraId="758247A3" w14:textId="41583ADC" w:rsidR="001844B6" w:rsidRPr="00F63895" w:rsidRDefault="001844B6" w:rsidP="007B0D0D">
            <w:pPr>
              <w:pStyle w:val="IATableLabel"/>
            </w:pPr>
            <w:r w:rsidRPr="00F63895">
              <w:t xml:space="preserve">Benefits: </w:t>
            </w:r>
            <w:bookmarkStart w:id="40" w:name="Text68"/>
            <w:r w:rsidR="00EF16A1" w:rsidRPr="00F63895">
              <w:rPr>
                <w:rStyle w:val="IAPODIBenChar"/>
                <w:sz w:val="20"/>
                <w:szCs w:val="20"/>
              </w:rPr>
              <w:fldChar w:fldCharType="begin">
                <w:ffData>
                  <w:name w:val="Text68"/>
                  <w:enabled/>
                  <w:calcOnExit w:val="0"/>
                  <w:textInput>
                    <w:maxLength w:val="9"/>
                  </w:textInput>
                </w:ffData>
              </w:fldChar>
            </w:r>
            <w:r w:rsidRPr="00F63895">
              <w:rPr>
                <w:rStyle w:val="IAPODIBenChar"/>
                <w:sz w:val="20"/>
                <w:szCs w:val="20"/>
              </w:rPr>
              <w:instrText xml:space="preserve"> FORMTEXT </w:instrText>
            </w:r>
            <w:r w:rsidR="00EF16A1" w:rsidRPr="00F63895">
              <w:rPr>
                <w:rStyle w:val="IAPODIBenChar"/>
                <w:sz w:val="20"/>
                <w:szCs w:val="20"/>
              </w:rPr>
            </w:r>
            <w:r w:rsidR="00EF16A1" w:rsidRPr="00F63895">
              <w:rPr>
                <w:rStyle w:val="IAPODIBenChar"/>
                <w:sz w:val="20"/>
                <w:szCs w:val="20"/>
              </w:rPr>
              <w:fldChar w:fldCharType="separate"/>
            </w:r>
            <w:r w:rsidR="007B0D0D">
              <w:rPr>
                <w:rStyle w:val="IAPODIBenChar"/>
                <w:sz w:val="20"/>
                <w:szCs w:val="20"/>
              </w:rPr>
              <w:t>0</w:t>
            </w:r>
            <w:r w:rsidR="00EF16A1" w:rsidRPr="00F63895">
              <w:rPr>
                <w:rStyle w:val="IAPODIBenChar"/>
                <w:sz w:val="20"/>
                <w:szCs w:val="20"/>
              </w:rPr>
              <w:fldChar w:fldCharType="end"/>
            </w:r>
            <w:bookmarkEnd w:id="40"/>
          </w:p>
        </w:tc>
        <w:tc>
          <w:tcPr>
            <w:tcW w:w="1980" w:type="dxa"/>
            <w:tcBorders>
              <w:top w:val="nil"/>
              <w:bottom w:val="single" w:sz="4" w:space="0" w:color="auto"/>
              <w:right w:val="single" w:sz="4" w:space="0" w:color="auto"/>
            </w:tcBorders>
            <w:shd w:val="clear" w:color="auto" w:fill="FFFFFF"/>
          </w:tcPr>
          <w:p w14:paraId="758247A4" w14:textId="79A010A1" w:rsidR="001844B6" w:rsidRPr="00F63895" w:rsidRDefault="001844B6" w:rsidP="007F59AE">
            <w:pPr>
              <w:pStyle w:val="IATableLabel"/>
            </w:pPr>
            <w:r w:rsidRPr="00F63895">
              <w:t xml:space="preserve">Net: </w:t>
            </w:r>
            <w:bookmarkStart w:id="41" w:name="Text69"/>
            <w:r w:rsidR="00EF16A1" w:rsidRPr="00F63895">
              <w:rPr>
                <w:rStyle w:val="IAPODINetChar"/>
                <w:sz w:val="20"/>
                <w:szCs w:val="20"/>
              </w:rPr>
              <w:fldChar w:fldCharType="begin">
                <w:ffData>
                  <w:name w:val="Text69"/>
                  <w:enabled/>
                  <w:calcOnExit w:val="0"/>
                  <w:textInput>
                    <w:maxLength w:val="9"/>
                  </w:textInput>
                </w:ffData>
              </w:fldChar>
            </w:r>
            <w:r w:rsidRPr="00F63895">
              <w:rPr>
                <w:rStyle w:val="IAPODINetChar"/>
                <w:sz w:val="20"/>
                <w:szCs w:val="20"/>
              </w:rPr>
              <w:instrText xml:space="preserve"> FORMTEXT </w:instrText>
            </w:r>
            <w:r w:rsidR="00EF16A1" w:rsidRPr="00F63895">
              <w:rPr>
                <w:rStyle w:val="IAPODINetChar"/>
                <w:sz w:val="20"/>
                <w:szCs w:val="20"/>
              </w:rPr>
            </w:r>
            <w:r w:rsidR="00EF16A1" w:rsidRPr="00F63895">
              <w:rPr>
                <w:rStyle w:val="IAPODINetChar"/>
                <w:sz w:val="20"/>
                <w:szCs w:val="20"/>
              </w:rPr>
              <w:fldChar w:fldCharType="separate"/>
            </w:r>
            <w:r w:rsidR="00D917B9">
              <w:rPr>
                <w:rStyle w:val="IAPODINetChar"/>
                <w:rFonts w:ascii="Apple Symbols" w:hAnsi="Apple Symbols" w:cs="Apple Symbols"/>
                <w:noProof/>
                <w:sz w:val="20"/>
                <w:szCs w:val="20"/>
              </w:rPr>
              <w:t>-0.2</w:t>
            </w:r>
            <w:r w:rsidR="007F59AE">
              <w:rPr>
                <w:rStyle w:val="IAPODINetChar"/>
                <w:rFonts w:ascii="Apple Symbols" w:hAnsi="Apple Symbols" w:cs="Apple Symbols"/>
                <w:noProof/>
                <w:sz w:val="20"/>
                <w:szCs w:val="20"/>
              </w:rPr>
              <w:t>8</w:t>
            </w:r>
            <w:r w:rsidR="00EF16A1" w:rsidRPr="00F63895">
              <w:rPr>
                <w:rStyle w:val="IAPODINetChar"/>
                <w:sz w:val="20"/>
                <w:szCs w:val="20"/>
              </w:rPr>
              <w:fldChar w:fldCharType="end"/>
            </w:r>
            <w:bookmarkEnd w:id="41"/>
          </w:p>
        </w:tc>
        <w:bookmarkStart w:id="42" w:name="Dropdown23"/>
        <w:tc>
          <w:tcPr>
            <w:tcW w:w="1980" w:type="dxa"/>
            <w:tcBorders>
              <w:top w:val="nil"/>
              <w:left w:val="single" w:sz="4" w:space="0" w:color="auto"/>
              <w:bottom w:val="single" w:sz="4" w:space="0" w:color="auto"/>
              <w:right w:val="single" w:sz="4" w:space="0" w:color="auto"/>
            </w:tcBorders>
            <w:shd w:val="clear" w:color="auto" w:fill="FFFFFF"/>
          </w:tcPr>
          <w:p w14:paraId="758247A5" w14:textId="77777777" w:rsidR="001844B6" w:rsidRPr="00F63895" w:rsidRDefault="00EF16A1" w:rsidP="005A3880">
            <w:pPr>
              <w:pStyle w:val="IAPODIOIOO"/>
              <w:rPr>
                <w:sz w:val="20"/>
                <w:szCs w:val="20"/>
              </w:rPr>
            </w:pPr>
            <w:r w:rsidRPr="00F63895">
              <w:rPr>
                <w:sz w:val="20"/>
                <w:szCs w:val="20"/>
              </w:rPr>
              <w:fldChar w:fldCharType="begin">
                <w:ffData>
                  <w:name w:val="Dropdown23"/>
                  <w:enabled/>
                  <w:calcOnExit w:val="0"/>
                  <w:ddList>
                    <w:result w:val="1"/>
                    <w:listEntry w:val="Yes/No"/>
                    <w:listEntry w:val="Yes"/>
                    <w:listEntry w:val="No"/>
                  </w:ddList>
                </w:ffData>
              </w:fldChar>
            </w:r>
            <w:r w:rsidR="001844B6" w:rsidRPr="00F63895">
              <w:rPr>
                <w:sz w:val="20"/>
                <w:szCs w:val="20"/>
              </w:rPr>
              <w:instrText xml:space="preserve"> FORMDROPDOWN </w:instrText>
            </w:r>
            <w:r w:rsidRPr="00F63895">
              <w:rPr>
                <w:sz w:val="20"/>
                <w:szCs w:val="20"/>
              </w:rPr>
            </w:r>
            <w:r w:rsidRPr="00F63895">
              <w:rPr>
                <w:sz w:val="20"/>
                <w:szCs w:val="20"/>
              </w:rPr>
              <w:fldChar w:fldCharType="end"/>
            </w:r>
            <w:bookmarkEnd w:id="42"/>
          </w:p>
        </w:tc>
        <w:bookmarkStart w:id="43" w:name="Dropdown27"/>
        <w:tc>
          <w:tcPr>
            <w:tcW w:w="2110" w:type="dxa"/>
            <w:tcBorders>
              <w:top w:val="nil"/>
              <w:left w:val="single" w:sz="4" w:space="0" w:color="auto"/>
              <w:bottom w:val="single" w:sz="4" w:space="0" w:color="auto"/>
              <w:right w:val="single" w:sz="4" w:space="0" w:color="auto"/>
            </w:tcBorders>
            <w:shd w:val="clear" w:color="auto" w:fill="auto"/>
          </w:tcPr>
          <w:p w14:paraId="758247A6" w14:textId="521E8227" w:rsidR="001844B6" w:rsidRPr="00F63895" w:rsidRDefault="00EF16A1" w:rsidP="005A3880">
            <w:pPr>
              <w:pStyle w:val="IAPODIMQ"/>
            </w:pPr>
            <w:r w:rsidRPr="00F63895">
              <w:fldChar w:fldCharType="begin">
                <w:ffData>
                  <w:name w:val="Dropdown27"/>
                  <w:enabled/>
                  <w:calcOnExit w:val="0"/>
                  <w:ddList>
                    <w:result w:val="1"/>
                    <w:listEntry w:val="IN/OUT/Zero net cost"/>
                    <w:listEntry w:val="IN"/>
                    <w:listEntry w:val="OUT"/>
                    <w:listEntry w:val="Zero net cost"/>
                    <w:listEntry w:val="NA"/>
                  </w:ddList>
                </w:ffData>
              </w:fldChar>
            </w:r>
            <w:r w:rsidR="001844B6" w:rsidRPr="00F63895">
              <w:instrText xml:space="preserve"> FORMDROPDOWN </w:instrText>
            </w:r>
            <w:r w:rsidRPr="00F63895">
              <w:fldChar w:fldCharType="end"/>
            </w:r>
            <w:bookmarkEnd w:id="43"/>
          </w:p>
        </w:tc>
      </w:tr>
    </w:tbl>
    <w:p w14:paraId="758247A8" w14:textId="77777777" w:rsidR="00854B58" w:rsidRDefault="00854B58" w:rsidP="005A3880">
      <w:pPr>
        <w:sectPr w:rsidR="00854B58">
          <w:footnotePr>
            <w:numRestart w:val="eachSect"/>
          </w:footnotePr>
          <w:pgSz w:w="11907" w:h="16840" w:code="9"/>
          <w:pgMar w:top="680" w:right="851" w:bottom="680" w:left="851" w:header="284" w:footer="284" w:gutter="0"/>
          <w:cols w:space="708"/>
          <w:docGrid w:linePitch="360"/>
        </w:sectPr>
      </w:pPr>
    </w:p>
    <w:p w14:paraId="758247AB" w14:textId="77777777" w:rsidR="00061ADF" w:rsidRDefault="00800694" w:rsidP="002D1AE9">
      <w:pPr>
        <w:pStyle w:val="EBBodyPara"/>
        <w:rPr>
          <w:b/>
        </w:rPr>
      </w:pPr>
      <w:bookmarkStart w:id="44" w:name="EvidenceBase"/>
      <w:bookmarkEnd w:id="44"/>
      <w:r>
        <w:rPr>
          <w:b/>
        </w:rPr>
        <w:lastRenderedPageBreak/>
        <w:t>PROBLEM UNDER CONSIDERATION</w:t>
      </w:r>
      <w:r w:rsidR="00061ADF">
        <w:rPr>
          <w:b/>
        </w:rPr>
        <w:t xml:space="preserve"> </w:t>
      </w:r>
    </w:p>
    <w:p w14:paraId="758247AC" w14:textId="622C757C" w:rsidR="00061ADF" w:rsidRPr="00BA2E96" w:rsidRDefault="00800694" w:rsidP="002D1AE9">
      <w:pPr>
        <w:pStyle w:val="EBBodyPara"/>
      </w:pPr>
      <w:r>
        <w:t>The Communications Act 2003 define</w:t>
      </w:r>
      <w:r w:rsidR="00670C40">
        <w:t>s</w:t>
      </w:r>
      <w:r>
        <w:t xml:space="preserve"> the duties of the Office of Communication</w:t>
      </w:r>
      <w:r w:rsidR="001A2C51">
        <w:t>s</w:t>
      </w:r>
      <w:r>
        <w:t xml:space="preserve"> (Ofcom). Since, that time there have been many developments in the communications markets over which Ofcom presides</w:t>
      </w:r>
      <w:r w:rsidR="00061ADF">
        <w:t>,</w:t>
      </w:r>
      <w:r>
        <w:t xml:space="preserve"> some of which have had substantial impact on the fundamental structure of those markets.</w:t>
      </w:r>
      <w:r w:rsidR="00E574A5">
        <w:t xml:space="preserve"> </w:t>
      </w:r>
      <w:r w:rsidR="00BA2E96">
        <w:t xml:space="preserve"> Certain aspects of prescriptive regulation are no longer relevant.</w:t>
      </w:r>
    </w:p>
    <w:p w14:paraId="758247AD" w14:textId="77777777" w:rsidR="00061ADF" w:rsidRDefault="00061ADF" w:rsidP="00061ADF">
      <w:pPr>
        <w:pStyle w:val="EBBodyPara"/>
        <w:rPr>
          <w:b/>
        </w:rPr>
      </w:pPr>
      <w:r>
        <w:rPr>
          <w:b/>
        </w:rPr>
        <w:t>RATIONALE FOR INTERVENTION</w:t>
      </w:r>
    </w:p>
    <w:p w14:paraId="758247AE" w14:textId="77777777" w:rsidR="00954F3D" w:rsidRDefault="00D55814" w:rsidP="002D1AE9">
      <w:pPr>
        <w:pStyle w:val="EBBodyPara"/>
      </w:pPr>
      <w:r>
        <w:t xml:space="preserve">A significant proportion of </w:t>
      </w:r>
      <w:r w:rsidR="00800694">
        <w:t xml:space="preserve">Ofcom’s duties have not been adjusted in the light of </w:t>
      </w:r>
      <w:r w:rsidR="00061ADF">
        <w:t>communications market</w:t>
      </w:r>
      <w:r w:rsidR="00800694">
        <w:t xml:space="preserve"> changes</w:t>
      </w:r>
      <w:r w:rsidR="00EB32CF">
        <w:t xml:space="preserve"> since 2003</w:t>
      </w:r>
      <w:r w:rsidR="00800694">
        <w:t xml:space="preserve">. As a consequence, it has become increasingly clear that some of those duties are no longer required. In addition, it is no longer appropriate that other duties are performed according to a </w:t>
      </w:r>
      <w:r w:rsidR="00061ADF">
        <w:t>pre-set</w:t>
      </w:r>
      <w:r w:rsidR="00800694">
        <w:t xml:space="preserve"> timetable regardless of the</w:t>
      </w:r>
      <w:r w:rsidR="00061ADF">
        <w:t xml:space="preserve"> costs and</w:t>
      </w:r>
      <w:r w:rsidR="00800694">
        <w:t xml:space="preserve"> benefits that are likely to </w:t>
      </w:r>
      <w:r w:rsidR="00061ADF">
        <w:t>result</w:t>
      </w:r>
      <w:r w:rsidR="00800694">
        <w:t>.</w:t>
      </w:r>
      <w:r w:rsidR="00BC4561">
        <w:t xml:space="preserve"> Finally, the Communications Act 2003 neglected to provide Ofcom with powers to charge for some of its services.</w:t>
      </w:r>
      <w:r w:rsidR="00061ADF">
        <w:t xml:space="preserve"> This measure seeks to rationalise some of the more superfluous duties and to provide</w:t>
      </w:r>
      <w:r w:rsidR="00BC4561">
        <w:t xml:space="preserve"> powers and</w:t>
      </w:r>
      <w:r w:rsidR="00061ADF">
        <w:t xml:space="preserve"> discretion in the performance of others.</w:t>
      </w:r>
    </w:p>
    <w:p w14:paraId="758247AF" w14:textId="77777777" w:rsidR="00BC485E" w:rsidRPr="00800694" w:rsidRDefault="00BC4561" w:rsidP="002D1AE9">
      <w:pPr>
        <w:pStyle w:val="EBBodyPara"/>
      </w:pPr>
      <w:r>
        <w:t xml:space="preserve">Rather than wait until the </w:t>
      </w:r>
      <w:r w:rsidR="00EA26C3">
        <w:t>conclusion of the ongoing Communications Review</w:t>
      </w:r>
      <w:r w:rsidR="005D0971">
        <w:t xml:space="preserve"> which DCMS is carrying out</w:t>
      </w:r>
      <w:r w:rsidR="00EA26C3">
        <w:t xml:space="preserve">, expected to lead to primary legislation in 2015, </w:t>
      </w:r>
      <w:r>
        <w:t>t</w:t>
      </w:r>
      <w:r w:rsidR="00954F3D">
        <w:t>he Government</w:t>
      </w:r>
      <w:r>
        <w:t xml:space="preserve"> </w:t>
      </w:r>
      <w:r w:rsidR="00954F3D">
        <w:t>intends to</w:t>
      </w:r>
      <w:r>
        <w:t xml:space="preserve"> take the </w:t>
      </w:r>
      <w:r w:rsidR="00B860F4">
        <w:t>earliest</w:t>
      </w:r>
      <w:r>
        <w:t xml:space="preserve"> opportunity to amend Ofcom’s statutory duties and powers. Hence, it proposes to pass</w:t>
      </w:r>
      <w:r w:rsidR="00954F3D">
        <w:t xml:space="preserve"> regulat</w:t>
      </w:r>
      <w:r>
        <w:t>ions</w:t>
      </w:r>
      <w:r w:rsidR="00954F3D">
        <w:t xml:space="preserve"> under the Public Bodies Act to amend th</w:t>
      </w:r>
      <w:r>
        <w:t>ose</w:t>
      </w:r>
      <w:r w:rsidR="00954F3D">
        <w:t xml:space="preserve"> duties. </w:t>
      </w:r>
      <w:r w:rsidR="00B4534E">
        <w:t xml:space="preserve">This IA accompanies the consultation which will precede laying the </w:t>
      </w:r>
      <w:r w:rsidR="005D0971">
        <w:t>O</w:t>
      </w:r>
      <w:r w:rsidR="00B4534E">
        <w:t>rder before Parliament.</w:t>
      </w:r>
      <w:r w:rsidR="00061ADF">
        <w:t xml:space="preserve"> </w:t>
      </w:r>
      <w:r w:rsidR="00800694">
        <w:t xml:space="preserve">  </w:t>
      </w:r>
    </w:p>
    <w:p w14:paraId="758247B0" w14:textId="77777777" w:rsidR="00BC485E" w:rsidRDefault="00061ADF" w:rsidP="002D1AE9">
      <w:pPr>
        <w:pStyle w:val="EBBodyPara"/>
        <w:rPr>
          <w:b/>
        </w:rPr>
      </w:pPr>
      <w:r>
        <w:rPr>
          <w:b/>
        </w:rPr>
        <w:t>POLICY OBJECTIVE</w:t>
      </w:r>
    </w:p>
    <w:p w14:paraId="758247B1" w14:textId="77777777" w:rsidR="00BC485E" w:rsidRPr="00061ADF" w:rsidRDefault="00B4534E" w:rsidP="002D1AE9">
      <w:pPr>
        <w:pStyle w:val="EBBodyPara"/>
      </w:pPr>
      <w:r>
        <w:t>This measure has t</w:t>
      </w:r>
      <w:r w:rsidR="00204875">
        <w:t>hree</w:t>
      </w:r>
      <w:r>
        <w:t xml:space="preserve"> policy objectives. First, it intends to prosecute the Government’s de-regulation agenda by assisting Ofcom to become more effective and efficient</w:t>
      </w:r>
      <w:r w:rsidR="00204875">
        <w:t xml:space="preserve">. </w:t>
      </w:r>
      <w:r w:rsidR="005D0971">
        <w:t>Ofcom</w:t>
      </w:r>
      <w:r w:rsidR="00204875">
        <w:t xml:space="preserve"> will be enabled to set up internal structures which are best adapted to </w:t>
      </w:r>
      <w:r w:rsidR="00B33F7C">
        <w:t xml:space="preserve">the current marketplace </w:t>
      </w:r>
      <w:r w:rsidR="00204875">
        <w:t>and which are focussed on the most pressing risk and regulatory problems.</w:t>
      </w:r>
      <w:r>
        <w:t xml:space="preserve"> Second, </w:t>
      </w:r>
      <w:r w:rsidR="00BC4561">
        <w:t>it will reduce unnecessary public expense and avoid duplication of duties and functions among public bodies.</w:t>
      </w:r>
      <w:r w:rsidR="00204875">
        <w:t xml:space="preserve"> This will assist Ofcom to meet its spending targets</w:t>
      </w:r>
      <w:r w:rsidR="00F73222">
        <w:t xml:space="preserve"> and promises to yield the same regulatory gain, measured by market failure ameliorated, at lower cost</w:t>
      </w:r>
      <w:r w:rsidR="00204875">
        <w:t>. Third, it removes an element of subsidy</w:t>
      </w:r>
      <w:r w:rsidR="00845E98">
        <w:t xml:space="preserve"> paid by UK tax payers</w:t>
      </w:r>
      <w:r w:rsidR="004E7F3C" w:rsidRPr="004E7F3C">
        <w:rPr>
          <w:color w:val="FF0000"/>
        </w:rPr>
        <w:t xml:space="preserve"> </w:t>
      </w:r>
      <w:r w:rsidR="00204875">
        <w:t xml:space="preserve">for satellite providers inherent in the current legislation. </w:t>
      </w:r>
      <w:r w:rsidR="00BC4561">
        <w:t xml:space="preserve"> </w:t>
      </w:r>
    </w:p>
    <w:p w14:paraId="758247B2" w14:textId="77777777" w:rsidR="00BC485E" w:rsidRDefault="00BC4561" w:rsidP="002D1AE9">
      <w:pPr>
        <w:pStyle w:val="EBBodyPara"/>
        <w:rPr>
          <w:b/>
        </w:rPr>
      </w:pPr>
      <w:r>
        <w:rPr>
          <w:b/>
        </w:rPr>
        <w:t>OPTIONS</w:t>
      </w:r>
    </w:p>
    <w:p w14:paraId="758247B3" w14:textId="66BC2C94" w:rsidR="00BC485E" w:rsidRDefault="00897D36" w:rsidP="002D1AE9">
      <w:pPr>
        <w:pStyle w:val="EBBodyPara"/>
      </w:pPr>
      <w:r>
        <w:t>T</w:t>
      </w:r>
      <w:r w:rsidR="007B0D0D" w:rsidRPr="00E81BF9">
        <w:t>he imm</w:t>
      </w:r>
      <w:r>
        <w:t>i</w:t>
      </w:r>
      <w:r w:rsidR="007B0D0D" w:rsidRPr="00E81BF9">
        <w:t xml:space="preserve">nence of the next statutory review of </w:t>
      </w:r>
      <w:r>
        <w:t>P</w:t>
      </w:r>
      <w:r w:rsidR="007B0D0D" w:rsidRPr="00E81BF9">
        <w:t xml:space="preserve">ublic </w:t>
      </w:r>
      <w:r>
        <w:t>Service B</w:t>
      </w:r>
      <w:r w:rsidR="007B0D0D" w:rsidRPr="00E81BF9">
        <w:t>roadcasting means that it is not possible to consider delay as an option as was suggested by the RPC. T</w:t>
      </w:r>
      <w:r w:rsidR="00BC4561" w:rsidRPr="00E81BF9">
        <w:t>wo options have</w:t>
      </w:r>
      <w:r w:rsidR="00BC4561">
        <w:t xml:space="preserve"> been considered.</w:t>
      </w:r>
      <w:r w:rsidR="00845E98">
        <w:t xml:space="preserve">  Option 1</w:t>
      </w:r>
      <w:r w:rsidR="00BC4561" w:rsidRPr="004E7F3C">
        <w:rPr>
          <w:color w:val="FF0000"/>
        </w:rPr>
        <w:t xml:space="preserve"> </w:t>
      </w:r>
      <w:r w:rsidR="00BC4561">
        <w:t>is the preferred option which proposes to make</w:t>
      </w:r>
      <w:r w:rsidR="000B3680">
        <w:t xml:space="preserve"> </w:t>
      </w:r>
      <w:r w:rsidR="00BC4561">
        <w:t xml:space="preserve">amendments to Ofcom’s statutory duties and powers. Option </w:t>
      </w:r>
      <w:r w:rsidR="00845E98">
        <w:t>2</w:t>
      </w:r>
      <w:r w:rsidR="00BC4561">
        <w:t xml:space="preserve"> is the do nothing option.</w:t>
      </w:r>
    </w:p>
    <w:p w14:paraId="758247B4" w14:textId="77777777" w:rsidR="007C1BD7" w:rsidRPr="007C1BD7" w:rsidRDefault="007C1BD7" w:rsidP="002D1AE9">
      <w:pPr>
        <w:pStyle w:val="EBBodyPara"/>
        <w:rPr>
          <w:b/>
        </w:rPr>
      </w:pPr>
      <w:r>
        <w:rPr>
          <w:b/>
        </w:rPr>
        <w:t xml:space="preserve">Option </w:t>
      </w:r>
      <w:r w:rsidR="00845E98">
        <w:rPr>
          <w:b/>
        </w:rPr>
        <w:t>1</w:t>
      </w:r>
    </w:p>
    <w:p w14:paraId="758247B5" w14:textId="5C072A1E" w:rsidR="00BC4561" w:rsidRDefault="00BC4561" w:rsidP="002D1AE9">
      <w:pPr>
        <w:pStyle w:val="EBBodyPara"/>
      </w:pPr>
      <w:r>
        <w:t xml:space="preserve">Option </w:t>
      </w:r>
      <w:r w:rsidR="00437E6E">
        <w:t>1</w:t>
      </w:r>
      <w:r>
        <w:t xml:space="preserve"> proposes a series of changes to Ofcom’s duties and powers.</w:t>
      </w:r>
      <w:r w:rsidR="0008629A">
        <w:t xml:space="preserve"> Together they are intended to reduce costs and increase flexibility of operations. One of the changes also removes a hidden subsidy by allowing Ofcom to charge, for the first time, for</w:t>
      </w:r>
      <w:r w:rsidR="00437E6E">
        <w:t xml:space="preserve"> satellite network</w:t>
      </w:r>
      <w:r w:rsidR="004E7F3C" w:rsidRPr="004E7F3C">
        <w:rPr>
          <w:color w:val="FF0000"/>
        </w:rPr>
        <w:t xml:space="preserve"> </w:t>
      </w:r>
      <w:r w:rsidR="0008629A">
        <w:t>filing at the ITU by satellite operators.</w:t>
      </w:r>
      <w:r w:rsidR="007C1BD7">
        <w:t xml:space="preserve"> The</w:t>
      </w:r>
      <w:r w:rsidR="0008629A">
        <w:t xml:space="preserve"> proposed changes</w:t>
      </w:r>
      <w:r w:rsidR="007C1BD7">
        <w:t xml:space="preserve"> are described in turn.</w:t>
      </w:r>
    </w:p>
    <w:p w14:paraId="758247B6" w14:textId="77777777" w:rsidR="007C1BD7" w:rsidRDefault="007C1BD7" w:rsidP="007C1BD7">
      <w:pPr>
        <w:pStyle w:val="EBBodyPara"/>
        <w:numPr>
          <w:ilvl w:val="0"/>
          <w:numId w:val="22"/>
        </w:numPr>
        <w:rPr>
          <w:b/>
          <w:i/>
        </w:rPr>
      </w:pPr>
      <w:r>
        <w:rPr>
          <w:b/>
          <w:i/>
        </w:rPr>
        <w:t xml:space="preserve">Allow Ofcom to </w:t>
      </w:r>
      <w:r w:rsidR="00204875">
        <w:rPr>
          <w:b/>
          <w:i/>
        </w:rPr>
        <w:t>design</w:t>
      </w:r>
      <w:r>
        <w:rPr>
          <w:b/>
          <w:i/>
        </w:rPr>
        <w:t xml:space="preserve"> changes to its internal governance</w:t>
      </w:r>
      <w:r w:rsidR="00204875">
        <w:rPr>
          <w:b/>
          <w:i/>
        </w:rPr>
        <w:t>.</w:t>
      </w:r>
    </w:p>
    <w:p w14:paraId="758247B7" w14:textId="77777777" w:rsidR="00F363E0" w:rsidRDefault="00F146C3" w:rsidP="00204875">
      <w:pPr>
        <w:pStyle w:val="EBBodyPara"/>
        <w:ind w:left="720"/>
      </w:pPr>
      <w:r>
        <w:t xml:space="preserve">Ofcom relies upon advisory boards, panels and committees for information about the changing nature of public expectations about, and experience of, communications services. </w:t>
      </w:r>
      <w:r w:rsidR="006A4EA2">
        <w:t>Part 1</w:t>
      </w:r>
      <w:r w:rsidR="00204875">
        <w:t xml:space="preserve"> of the Communications Act 2003 prescribe</w:t>
      </w:r>
      <w:r w:rsidR="006A4EA2">
        <w:t>s</w:t>
      </w:r>
      <w:r w:rsidR="00204875">
        <w:t xml:space="preserve"> the governance structure which Ofcom must employ to perform its duties.</w:t>
      </w:r>
      <w:r w:rsidR="006A4EA2">
        <w:t xml:space="preserve"> This includes a Content Board, a Consumer Panel and advisory committees in the Nations and regions.</w:t>
      </w:r>
      <w:r w:rsidR="00204875">
        <w:t xml:space="preserve"> </w:t>
      </w:r>
    </w:p>
    <w:p w14:paraId="13431E2E" w14:textId="3BB67999" w:rsidR="007B0D0D" w:rsidRDefault="007B0D0D" w:rsidP="00204875">
      <w:pPr>
        <w:pStyle w:val="EBBodyPara"/>
        <w:ind w:left="720"/>
      </w:pPr>
      <w:r w:rsidRPr="00E81BF9">
        <w:t>The existing arrangements have the virtue of ensuring that a particular form of minimal governance structure remains in place. However, experience shows that Ofcom’s governance duties could be performed more flexibly, more effectively and more in tune with national and regional needs and priorities.</w:t>
      </w:r>
    </w:p>
    <w:p w14:paraId="758247B8" w14:textId="77777777" w:rsidR="00204875" w:rsidRPr="00204875" w:rsidRDefault="00F146C3" w:rsidP="00204875">
      <w:pPr>
        <w:pStyle w:val="EBBodyPara"/>
        <w:ind w:left="720"/>
      </w:pPr>
      <w:r>
        <w:t>T</w:t>
      </w:r>
      <w:r w:rsidR="006A4EA2">
        <w:t>h</w:t>
      </w:r>
      <w:r w:rsidR="00F363E0">
        <w:t>is measure does not change the</w:t>
      </w:r>
      <w:r w:rsidR="006A4EA2">
        <w:t xml:space="preserve"> duties</w:t>
      </w:r>
      <w:r w:rsidR="002010E5">
        <w:t xml:space="preserve"> intended to be</w:t>
      </w:r>
      <w:r w:rsidR="006A4EA2">
        <w:t xml:space="preserve"> performed by Ofcom’s governance</w:t>
      </w:r>
      <w:r w:rsidR="002010E5">
        <w:t xml:space="preserve"> structure</w:t>
      </w:r>
      <w:r>
        <w:t xml:space="preserve">. </w:t>
      </w:r>
      <w:r w:rsidR="006A4EA2">
        <w:t xml:space="preserve">However, </w:t>
      </w:r>
      <w:r w:rsidR="002010E5">
        <w:t xml:space="preserve">it is expected that </w:t>
      </w:r>
      <w:r w:rsidR="00F363E0">
        <w:t>i</w:t>
      </w:r>
      <w:r w:rsidR="006A4EA2">
        <w:t xml:space="preserve">t will allow Ofcom the flexibility to create, subject to approval by the Secretary of State, structures through which a wide variety of views can be </w:t>
      </w:r>
      <w:r w:rsidR="00EA26C3">
        <w:t xml:space="preserve">efficiently </w:t>
      </w:r>
      <w:r w:rsidR="006A4EA2">
        <w:t>expressed. As a consequence, it is expected that Ofcom will be</w:t>
      </w:r>
      <w:r w:rsidR="00437E6E">
        <w:t xml:space="preserve"> </w:t>
      </w:r>
      <w:r w:rsidR="00BA2E96">
        <w:t>able to meet its duties at a reduced cost</w:t>
      </w:r>
      <w:r w:rsidR="006A4EA2">
        <w:t xml:space="preserve">.  </w:t>
      </w:r>
      <w:r w:rsidR="00204875">
        <w:t xml:space="preserve">  </w:t>
      </w:r>
    </w:p>
    <w:p w14:paraId="758247B9" w14:textId="77777777" w:rsidR="00B14864" w:rsidRDefault="00B14864" w:rsidP="00B14864"/>
    <w:p w14:paraId="688BB59E" w14:textId="77777777" w:rsidR="00416225" w:rsidRDefault="00416225" w:rsidP="00416225">
      <w:pPr>
        <w:pStyle w:val="EBBodyPara"/>
        <w:numPr>
          <w:ilvl w:val="0"/>
          <w:numId w:val="26"/>
        </w:numPr>
        <w:rPr>
          <w:b/>
          <w:i/>
          <w:iCs/>
        </w:rPr>
      </w:pPr>
      <w:r>
        <w:rPr>
          <w:b/>
          <w:bCs w:val="0"/>
          <w:i/>
          <w:iCs/>
        </w:rPr>
        <w:lastRenderedPageBreak/>
        <w:t>Remove the requirement that Ofcom promote development opportunities for training and equality of opportunity.</w:t>
      </w:r>
    </w:p>
    <w:p w14:paraId="52C34D68" w14:textId="5EA401A4" w:rsidR="00416225" w:rsidRDefault="00084935" w:rsidP="00416225">
      <w:pPr>
        <w:pStyle w:val="EBBodyPara"/>
        <w:ind w:left="720"/>
        <w:rPr>
          <w:bCs w:val="0"/>
        </w:rPr>
      </w:pPr>
      <w:r>
        <w:t>Section</w:t>
      </w:r>
      <w:r w:rsidR="00416225">
        <w:t xml:space="preserve"> 27 </w:t>
      </w:r>
      <w:r>
        <w:t xml:space="preserve">of the Communications Act </w:t>
      </w:r>
      <w:r w:rsidR="00416225">
        <w:t>require</w:t>
      </w:r>
      <w:r>
        <w:t>s</w:t>
      </w:r>
      <w:r w:rsidR="00416225">
        <w:t xml:space="preserve"> Ofcom to promote development opportunities for training and equality of opportunity. </w:t>
      </w:r>
    </w:p>
    <w:p w14:paraId="1AFEC89E" w14:textId="77777777" w:rsidR="001A2C51" w:rsidRDefault="001A2C51" w:rsidP="001A2C51">
      <w:pPr>
        <w:pStyle w:val="ListParagraph"/>
        <w:spacing w:after="200"/>
      </w:pPr>
      <w:r w:rsidRPr="001A2C51">
        <w:rPr>
          <w:rFonts w:cs="Arial"/>
          <w:bCs/>
          <w:color w:val="000000"/>
          <w:sz w:val="22"/>
          <w:szCs w:val="22"/>
          <w:lang w:eastAsia="en-GB"/>
        </w:rPr>
        <w:t xml:space="preserve">Skillset is the body which provides skills and training for employees and businesses for the media industry.  In particular it helps provide the training opportunities the UK broadcasting sector needs to help maintain its strong position in the world.  All employers in the UK are subject to the Equality Act 2010, and as a public body, Ofcom is also required to comply with the public sector equality duty. As a result, the training and equal opportunity requirements set out in the Communications Act 2003 have largely been </w:t>
      </w:r>
      <w:proofErr w:type="spellStart"/>
      <w:r w:rsidRPr="001A2C51">
        <w:rPr>
          <w:rFonts w:cs="Arial"/>
          <w:bCs/>
          <w:color w:val="000000"/>
          <w:sz w:val="22"/>
          <w:szCs w:val="22"/>
          <w:lang w:eastAsia="en-GB"/>
        </w:rPr>
        <w:t>superceded</w:t>
      </w:r>
      <w:proofErr w:type="spellEnd"/>
      <w:r w:rsidRPr="001A2C51">
        <w:rPr>
          <w:rFonts w:cs="Arial"/>
          <w:bCs/>
          <w:color w:val="000000"/>
          <w:sz w:val="22"/>
          <w:szCs w:val="22"/>
          <w:lang w:eastAsia="en-GB"/>
        </w:rPr>
        <w:t xml:space="preserve"> and leave Ofcom alone among UK regulators charged with this type of duty</w:t>
      </w:r>
      <w:r>
        <w:t>.</w:t>
      </w:r>
    </w:p>
    <w:p w14:paraId="758247C6" w14:textId="77777777" w:rsidR="007C1BD7" w:rsidRDefault="007C1BD7" w:rsidP="00FD298F">
      <w:pPr>
        <w:pStyle w:val="EBBodyPara"/>
        <w:numPr>
          <w:ilvl w:val="0"/>
          <w:numId w:val="26"/>
        </w:numPr>
        <w:rPr>
          <w:b/>
          <w:i/>
        </w:rPr>
      </w:pPr>
      <w:r w:rsidRPr="00A24F78">
        <w:rPr>
          <w:b/>
          <w:i/>
        </w:rPr>
        <w:t>Amend the duty to assess the Channel 3 Networking Arrangement</w:t>
      </w:r>
      <w:r w:rsidR="00497BC4">
        <w:rPr>
          <w:b/>
          <w:i/>
        </w:rPr>
        <w:t>s</w:t>
      </w:r>
      <w:r w:rsidRPr="00A24F78">
        <w:rPr>
          <w:b/>
          <w:i/>
        </w:rPr>
        <w:t>.</w:t>
      </w:r>
    </w:p>
    <w:p w14:paraId="758247C7" w14:textId="77777777" w:rsidR="000D71EE" w:rsidRDefault="00497BC4" w:rsidP="000D71EE">
      <w:pPr>
        <w:pStyle w:val="EBBodyPara"/>
        <w:ind w:left="720"/>
      </w:pPr>
      <w:r w:rsidRPr="00B24D9C">
        <w:rPr>
          <w:color w:val="auto"/>
        </w:rPr>
        <w:t>The Communications Act at sections 293 and 294 requires Ofcom to undertake an annual review of the Channel 3 networking arrangements, the set of arrangements between the holders of the 15 regional Channel 3 licences which enable the licensees to work together to provide a competitive public service network. The purpose of review by Ofcom is to assess whether the arrangements continue to enable the licensees to meet the statutory objective, or whether modifications are necessary in order that the licensees may do so. Experience has shown that an annual review cycle places a considerable regulatory burden on the licence holders</w:t>
      </w:r>
      <w:r w:rsidR="00B33F7C" w:rsidRPr="00B24D9C">
        <w:rPr>
          <w:color w:val="auto"/>
        </w:rPr>
        <w:t xml:space="preserve"> and is of uncertain value</w:t>
      </w:r>
      <w:r w:rsidRPr="00B24D9C">
        <w:rPr>
          <w:color w:val="auto"/>
        </w:rPr>
        <w:t xml:space="preserve">. Nevertheless, the Government believes it is appropriate that Ofcom </w:t>
      </w:r>
      <w:r w:rsidR="000D71EE">
        <w:t>have the power to conduct such a review if it deems it necessary.</w:t>
      </w:r>
    </w:p>
    <w:p w14:paraId="758247C8" w14:textId="5896228D" w:rsidR="009858C3" w:rsidRPr="00D84217" w:rsidRDefault="000D71EE" w:rsidP="009858C3">
      <w:pPr>
        <w:pStyle w:val="EBBodyPara"/>
        <w:ind w:left="720"/>
      </w:pPr>
      <w:r>
        <w:t>The measure removes the duty to perform annual reviews of the Channel 3 networking arrangement</w:t>
      </w:r>
      <w:r w:rsidR="00497BC4">
        <w:t>s</w:t>
      </w:r>
      <w:r>
        <w:t xml:space="preserve"> and provides Ofcom with the power to perform such a review as it thinks fit.</w:t>
      </w:r>
      <w:r w:rsidR="009858C3" w:rsidRPr="009858C3">
        <w:t xml:space="preserve"> </w:t>
      </w:r>
      <w:r w:rsidR="009858C3">
        <w:t>This measure should result in savings of around £30,000 pa for the Channel 3 broadcasters</w:t>
      </w:r>
      <w:r w:rsidR="001A2C51">
        <w:t>, and removing this duty from Ofcom will allow it to make cost savings estimated to be up to £60,000 per annum.</w:t>
      </w:r>
    </w:p>
    <w:p w14:paraId="758247CA" w14:textId="77777777" w:rsidR="007C1BD7" w:rsidRDefault="007C1BD7" w:rsidP="00FD298F">
      <w:pPr>
        <w:pStyle w:val="EBBodyPara"/>
        <w:numPr>
          <w:ilvl w:val="0"/>
          <w:numId w:val="26"/>
        </w:numPr>
        <w:rPr>
          <w:b/>
          <w:i/>
        </w:rPr>
      </w:pPr>
      <w:r>
        <w:rPr>
          <w:b/>
          <w:i/>
        </w:rPr>
        <w:t>Amend the duty to review public service broadcasting every 5 years.</w:t>
      </w:r>
    </w:p>
    <w:p w14:paraId="758247CB" w14:textId="77777777" w:rsidR="00A64DE1" w:rsidRDefault="000D71EE" w:rsidP="000D71EE">
      <w:pPr>
        <w:pStyle w:val="EBBodyPara"/>
        <w:ind w:left="720"/>
      </w:pPr>
      <w:r>
        <w:t>Under</w:t>
      </w:r>
      <w:r w:rsidR="00E543D5">
        <w:t xml:space="preserve"> Section 264 of</w:t>
      </w:r>
      <w:r>
        <w:t xml:space="preserve"> the Communications Act 2003, Ofcom is required to </w:t>
      </w:r>
      <w:r w:rsidR="00E543D5">
        <w:t xml:space="preserve">regularly </w:t>
      </w:r>
      <w:r>
        <w:t>review public service broadcasting</w:t>
      </w:r>
      <w:r w:rsidR="00E543D5">
        <w:t xml:space="preserve"> at least</w:t>
      </w:r>
      <w:r>
        <w:t xml:space="preserve"> every 5 years.</w:t>
      </w:r>
      <w:r w:rsidR="00E543D5">
        <w:t xml:space="preserve"> </w:t>
      </w:r>
    </w:p>
    <w:p w14:paraId="758247CC" w14:textId="77777777" w:rsidR="00E543D5" w:rsidRDefault="00E543D5" w:rsidP="000D71EE">
      <w:pPr>
        <w:pStyle w:val="EBBodyPara"/>
        <w:ind w:left="720"/>
      </w:pPr>
      <w:r>
        <w:t>The purpose of the review is to discover the extent to which PSBs have provided services relevant to the public service television</w:t>
      </w:r>
      <w:r w:rsidR="00F146C3">
        <w:t xml:space="preserve"> and so considers how relevant the PSB merit good is likely to be in the UK broadcasting market in the foreseeable future.</w:t>
      </w:r>
      <w:r w:rsidR="000D71EE">
        <w:t xml:space="preserve"> Since 2003, Ofcom has reviewed public service broadcasting on two occasions, the last</w:t>
      </w:r>
      <w:r>
        <w:t xml:space="preserve"> ending</w:t>
      </w:r>
      <w:r w:rsidR="000D71EE">
        <w:t xml:space="preserve"> in 200</w:t>
      </w:r>
      <w:r>
        <w:t>9</w:t>
      </w:r>
      <w:r w:rsidR="000D71EE">
        <w:t>.</w:t>
      </w:r>
      <w:r>
        <w:t xml:space="preserve"> It has also published annual reports on public service broadcasting.</w:t>
      </w:r>
    </w:p>
    <w:p w14:paraId="43E7E9D6" w14:textId="12B86639" w:rsidR="00A40C64" w:rsidRDefault="00A40C64" w:rsidP="000D71EE">
      <w:pPr>
        <w:pStyle w:val="EBBodyPara"/>
        <w:ind w:left="720"/>
      </w:pPr>
      <w:r w:rsidRPr="00E81BF9">
        <w:t>The advantage of the current arrangement is that public service broadcasting is reviewed independently every 5 years. This exercise leads to the publication of much information about the value attached to the PSBs and how the service develops over time. However, it is judged that, in the absence of changes to political priorities with regard to PSBs, the substantial resources involved in such a review are better employed in other uses.</w:t>
      </w:r>
      <w:r>
        <w:t xml:space="preserve"> </w:t>
      </w:r>
    </w:p>
    <w:p w14:paraId="758247CD" w14:textId="6031F4B8" w:rsidR="000D71EE" w:rsidRPr="000D71EE" w:rsidRDefault="00A40C64" w:rsidP="000D71EE">
      <w:pPr>
        <w:pStyle w:val="EBBodyPara"/>
        <w:ind w:left="720"/>
      </w:pPr>
      <w:r>
        <w:t>T</w:t>
      </w:r>
      <w:r w:rsidR="00E543D5">
        <w:t>his measure will remove the obligation of regular PSB review from Ofcom and, instead, make such reviews at the request of the Secretary of State.</w:t>
      </w:r>
      <w:r w:rsidR="000D71EE">
        <w:t xml:space="preserve"> </w:t>
      </w:r>
      <w:r w:rsidR="00D55814">
        <w:t>Cost impacts in this note are based on the review being conducted once every 10 years.</w:t>
      </w:r>
    </w:p>
    <w:p w14:paraId="3BAA90DB" w14:textId="77777777" w:rsidR="00167E35" w:rsidRDefault="00167E35" w:rsidP="00167E35">
      <w:pPr>
        <w:pStyle w:val="EBBodyPara"/>
        <w:numPr>
          <w:ilvl w:val="0"/>
          <w:numId w:val="26"/>
        </w:numPr>
        <w:rPr>
          <w:b/>
          <w:i/>
        </w:rPr>
      </w:pPr>
      <w:r>
        <w:rPr>
          <w:b/>
          <w:i/>
        </w:rPr>
        <w:t>Remove the requirement that public service broadcasters (PSBs) provide annual statements of programme policy.</w:t>
      </w:r>
    </w:p>
    <w:p w14:paraId="198405F7" w14:textId="77777777" w:rsidR="00167E35" w:rsidRDefault="00167E35" w:rsidP="00167E35">
      <w:pPr>
        <w:pStyle w:val="EBBodyPara"/>
        <w:ind w:left="720"/>
        <w:rPr>
          <w:color w:val="auto"/>
        </w:rPr>
      </w:pPr>
      <w:r>
        <w:t xml:space="preserve">Sections 266 and 267 of the Communications Act 2003 require public service broadcasters to provide annual statements of programme policy </w:t>
      </w:r>
      <w:r>
        <w:rPr>
          <w:color w:val="auto"/>
        </w:rPr>
        <w:t xml:space="preserve">which set out their proposals for delivery of their public service remit and duties as well as self-assessing delivery over the previous year.  </w:t>
      </w:r>
    </w:p>
    <w:p w14:paraId="141C05EA" w14:textId="09675331" w:rsidR="00263D4D" w:rsidRDefault="00167E35" w:rsidP="00263D4D">
      <w:pPr>
        <w:pStyle w:val="EBBodyPara"/>
        <w:ind w:left="720"/>
        <w:rPr>
          <w:b/>
          <w:i/>
        </w:rPr>
      </w:pPr>
      <w:r>
        <w:rPr>
          <w:color w:val="auto"/>
        </w:rPr>
        <w:t xml:space="preserve">Under the Act it is not for Ofcom to comment on the actual content of the documents unless there is evidence of a systemic failure in the delivery of public service broadcasting, or a ‘significant change’ (as defined in the Act) is planned for PSB output which we have not been notified about. If neither of these conditions </w:t>
      </w:r>
      <w:r w:rsidR="001A2C51">
        <w:rPr>
          <w:color w:val="auto"/>
        </w:rPr>
        <w:t>is</w:t>
      </w:r>
      <w:r>
        <w:rPr>
          <w:color w:val="auto"/>
        </w:rPr>
        <w:t xml:space="preserve"> met, Ofcom is required simply to confirm that the statements have been prepared. Accordingly the system has failed to generate the self-critical and questioning analysis envisaged, with the result that these sections have had to be underpinned by other more effective measures. </w:t>
      </w:r>
      <w:r>
        <w:t xml:space="preserve">Ofcom will continue to collect data on these matters from all PSBs and </w:t>
      </w:r>
      <w:r>
        <w:lastRenderedPageBreak/>
        <w:t>produce an annual report on PSB performance. It will also conduct PSB reviews at the request of the Secretary of State. In addition, the regulation of Channel 4 was strengthened under the Digital Economy Act 2010 which now requires the production of Statement of Media Content Policy that provides a more effective monitoring tool than annual statements of programme policy.</w:t>
      </w:r>
      <w:r w:rsidR="00263D4D" w:rsidRPr="00263D4D">
        <w:t xml:space="preserve"> </w:t>
      </w:r>
      <w:r w:rsidR="001A2C51">
        <w:t>The requirement to provide annual statements of programme policy has two aspects</w:t>
      </w:r>
      <w:r w:rsidR="00263D4D">
        <w:t>. First</w:t>
      </w:r>
      <w:r w:rsidR="001A2C51">
        <w:t>,</w:t>
      </w:r>
      <w:r w:rsidR="00263D4D">
        <w:t xml:space="preserve"> Ofcom conducts routine checks to ensure compliance with the note of guidance which cost £5,000 p.a. Second, Ofcom estimates that once a year a policy statement contains a proposal for significant change which warrants further analysis and consideration at an estimated cost of £10,000. Thus, total savings to Ofcom are estimated at £15,000 p.a.</w:t>
      </w:r>
    </w:p>
    <w:p w14:paraId="121BA6F2" w14:textId="77777777" w:rsidR="00263D4D" w:rsidRDefault="00263D4D" w:rsidP="00263D4D">
      <w:pPr>
        <w:pStyle w:val="EBBodyPara"/>
        <w:ind w:left="720"/>
      </w:pPr>
      <w:r>
        <w:t>There will be additional savings to the operators of Channels 3 and 5. We do not have information on the savings which will be accrued by these channels. These statements would need to be developed, and then signed off by board level staff.</w:t>
      </w:r>
    </w:p>
    <w:p w14:paraId="1AF1908C" w14:textId="77777777" w:rsidR="00167E35" w:rsidRDefault="00167E35" w:rsidP="00167E35">
      <w:pPr>
        <w:pStyle w:val="EBBodyPara"/>
        <w:ind w:left="720"/>
      </w:pPr>
      <w:r>
        <w:t>This measure proposes, on grounds of ineffectiveness and redundancy, to remove the requirement for the production of annual statements of programme policy.</w:t>
      </w:r>
    </w:p>
    <w:p w14:paraId="4043012F" w14:textId="77777777" w:rsidR="00167E35" w:rsidRDefault="00167E35" w:rsidP="00167E35">
      <w:pPr>
        <w:pStyle w:val="EBBodyPara"/>
        <w:numPr>
          <w:ilvl w:val="0"/>
          <w:numId w:val="26"/>
        </w:numPr>
        <w:rPr>
          <w:b/>
          <w:i/>
        </w:rPr>
      </w:pPr>
      <w:r>
        <w:rPr>
          <w:b/>
          <w:i/>
        </w:rPr>
        <w:t>Amend the duty to review a change of control of a Channel 3 or Channel 5 licensee.</w:t>
      </w:r>
    </w:p>
    <w:p w14:paraId="6D28125E" w14:textId="77777777" w:rsidR="00167E35" w:rsidRDefault="00167E35" w:rsidP="00167E35">
      <w:pPr>
        <w:pStyle w:val="EBBodyPara"/>
        <w:ind w:left="720"/>
      </w:pPr>
      <w:r>
        <w:t xml:space="preserve">At present Section 351 of the Communications Act 2003 requires Ofcom to conduct a review if there is a significant change of control over a Channel 3 or Channel 5 licensee. It is aimed at ensuring that concentrations of market power in the communications market will not undermine achievement of the PSB objectives. The review is, therefore, limited to the impacts that such a change of control may have upon the licensee’s ability to meet the PSB obligations listed in the Act. These include commissioning original productions, providing news and current affairs and, in the case of Channel 3, broadcasting regional programmes. Three such reviews have been undertaken since 2003. </w:t>
      </w:r>
    </w:p>
    <w:p w14:paraId="35557FE8" w14:textId="77777777" w:rsidR="00167E35" w:rsidRDefault="00167E35" w:rsidP="00167E35">
      <w:pPr>
        <w:pStyle w:val="EBBodyPara"/>
        <w:ind w:left="720"/>
      </w:pPr>
      <w:r>
        <w:t>This measure proposes that such reviews should be at the discretion of Ofcom.</w:t>
      </w:r>
    </w:p>
    <w:p w14:paraId="2C18C65E" w14:textId="6A30C092" w:rsidR="00167E35" w:rsidRDefault="00167E35" w:rsidP="00167E35">
      <w:pPr>
        <w:pStyle w:val="EBBodyPara"/>
        <w:ind w:left="720"/>
      </w:pPr>
      <w:r>
        <w:t xml:space="preserve">This change does not affect fit and proper persons tests applied by Ofcom. Neither will it affect in any way the cross-ownership rules which prevent a national newspaper with an aggregate market share of over 20% from owning more than 20% of an ITV licence. </w:t>
      </w:r>
    </w:p>
    <w:p w14:paraId="2DBAA2C5" w14:textId="5331DD38" w:rsidR="00FD00BD" w:rsidRPr="00167E35" w:rsidRDefault="00FD00BD" w:rsidP="00167E35">
      <w:pPr>
        <w:pStyle w:val="EBBodyPara"/>
        <w:numPr>
          <w:ilvl w:val="0"/>
          <w:numId w:val="26"/>
        </w:numPr>
        <w:rPr>
          <w:b/>
          <w:i/>
        </w:rPr>
      </w:pPr>
      <w:r>
        <w:rPr>
          <w:b/>
          <w:i/>
        </w:rPr>
        <w:t>Provide Ofcom powers to charge fees for satellite filings with the International Telecommunications Union.</w:t>
      </w:r>
    </w:p>
    <w:p w14:paraId="6689DC70" w14:textId="77777777" w:rsidR="00961BBE" w:rsidRPr="000B3680" w:rsidRDefault="00961BBE" w:rsidP="00961BBE">
      <w:pPr>
        <w:pStyle w:val="EBBodyPara"/>
        <w:ind w:left="720"/>
        <w:rPr>
          <w:strike/>
          <w:color w:val="FF0000"/>
        </w:rPr>
      </w:pPr>
      <w:r>
        <w:t xml:space="preserve">The International Telecommunications Union (ITU) coordinates the international use of satellites by allocating orbits to users. Satellite operators draw up technical specifications of their use of satellites </w:t>
      </w:r>
      <w:r w:rsidRPr="000B3680">
        <w:t>which are filed at the ITU on their behalf by Ofcom</w:t>
      </w:r>
      <w:r>
        <w:t>.  This is</w:t>
      </w:r>
      <w:r w:rsidRPr="000B3680">
        <w:rPr>
          <w:color w:val="auto"/>
        </w:rPr>
        <w:t xml:space="preserve"> under a duty arising from S</w:t>
      </w:r>
      <w:r>
        <w:rPr>
          <w:color w:val="auto"/>
        </w:rPr>
        <w:t xml:space="preserve">ecretary </w:t>
      </w:r>
      <w:r w:rsidRPr="000B3680">
        <w:rPr>
          <w:color w:val="auto"/>
        </w:rPr>
        <w:t>o</w:t>
      </w:r>
      <w:r>
        <w:rPr>
          <w:color w:val="auto"/>
        </w:rPr>
        <w:t xml:space="preserve">f </w:t>
      </w:r>
      <w:r w:rsidRPr="000B3680">
        <w:rPr>
          <w:color w:val="auto"/>
        </w:rPr>
        <w:t>S</w:t>
      </w:r>
      <w:r>
        <w:rPr>
          <w:color w:val="auto"/>
        </w:rPr>
        <w:t>tate</w:t>
      </w:r>
      <w:r w:rsidRPr="000B3680">
        <w:rPr>
          <w:color w:val="auto"/>
        </w:rPr>
        <w:t xml:space="preserve"> Directions on Ofcom to represent HMG in the ITU. </w:t>
      </w:r>
      <w:r w:rsidRPr="000B3680">
        <w:t>The Communications Act 2003 has no provision for Ofcom to be able to charge for this activity.  Hence, since 2003, satellite operators based both in the UK and overseas have been subsidised for this activity at the expense of the UK taxpayer. By contrast, other countries commonly charge</w:t>
      </w:r>
      <w:r>
        <w:t xml:space="preserve"> </w:t>
      </w:r>
      <w:r w:rsidRPr="000B3680">
        <w:t xml:space="preserve">for this </w:t>
      </w:r>
      <w:proofErr w:type="spellStart"/>
      <w:r w:rsidRPr="000B3680">
        <w:t>eg</w:t>
      </w:r>
      <w:proofErr w:type="spellEnd"/>
      <w:r w:rsidRPr="000B3680">
        <w:t xml:space="preserve"> France at about </w:t>
      </w:r>
      <w:r>
        <w:t>€</w:t>
      </w:r>
      <w:r w:rsidRPr="000B3680">
        <w:t xml:space="preserve">20,000 per filing, Australia </w:t>
      </w:r>
      <w:r>
        <w:t>at about $A</w:t>
      </w:r>
      <w:r w:rsidRPr="000B3680">
        <w:t>15</w:t>
      </w:r>
      <w:proofErr w:type="gramStart"/>
      <w:r w:rsidRPr="000B3680">
        <w:t>,000</w:t>
      </w:r>
      <w:proofErr w:type="gramEnd"/>
      <w:r w:rsidRPr="000B3680">
        <w:t xml:space="preserve"> per filing plus any additional cost recovery charges and the USA in the region of </w:t>
      </w:r>
      <w:r>
        <w:t>$US</w:t>
      </w:r>
      <w:r w:rsidRPr="000B3680">
        <w:t>150,000</w:t>
      </w:r>
      <w:r>
        <w:t xml:space="preserve"> </w:t>
      </w:r>
      <w:r w:rsidRPr="000B3680">
        <w:t>per filing.</w:t>
      </w:r>
      <w:r w:rsidRPr="000B3680">
        <w:rPr>
          <w:strike/>
          <w:color w:val="FF0000"/>
        </w:rPr>
        <w:t xml:space="preserve"> </w:t>
      </w:r>
    </w:p>
    <w:p w14:paraId="76293300" w14:textId="51DA96C5" w:rsidR="00167E35" w:rsidRPr="00167E35" w:rsidRDefault="00961BBE" w:rsidP="00961BBE">
      <w:pPr>
        <w:pStyle w:val="EBBodyPara"/>
        <w:ind w:left="720"/>
        <w:rPr>
          <w:b/>
          <w:i/>
        </w:rPr>
      </w:pPr>
      <w:r>
        <w:t>This measure proposes to remove this subsidy to satellite operators by permitting Ofcom to charge for filing at the ITU. This will mean that the taxpayer will no longer subsidise these applications via grant in aid to Ofcom</w:t>
      </w:r>
      <w:r w:rsidRPr="00E81BF9">
        <w:t>. Ofcom estimates that the cost of satellite filing is £400,000 p.a. which will be charged on a cost recovery basis. Hence, it is expected that this will increase costs to business by approximately £400,000 per annum.</w:t>
      </w:r>
    </w:p>
    <w:p w14:paraId="29A33B5D" w14:textId="4106346B" w:rsidR="00167E35" w:rsidRPr="00167E35" w:rsidRDefault="00961BBE" w:rsidP="00961BBE">
      <w:pPr>
        <w:pStyle w:val="EBBodyPara"/>
        <w:ind w:left="720"/>
        <w:rPr>
          <w:b/>
          <w:i/>
        </w:rPr>
      </w:pPr>
      <w:r w:rsidRPr="00E81BF9">
        <w:t>It is possible that, as a result, some satellite providers may choose to employ a regulator other than Ofcom to perform filing on their behalf at the ITU. All the while the cost remains as envisaged it would form a relatively small proportion of the total costs of using the spectrum involved. In the short term, therefore, it is judged that imposing this charge will not divert filing activities to other jurisdictions.</w:t>
      </w:r>
    </w:p>
    <w:p w14:paraId="4849139D" w14:textId="6D3EAE3C" w:rsidR="00A40C64" w:rsidRPr="00844F34" w:rsidRDefault="00A40C64" w:rsidP="00844F34">
      <w:pPr>
        <w:pStyle w:val="EBBodyPara"/>
        <w:ind w:left="720"/>
      </w:pPr>
    </w:p>
    <w:p w14:paraId="758247D7" w14:textId="77777777" w:rsidR="000B3680" w:rsidRDefault="000B3680" w:rsidP="00845E98">
      <w:pPr>
        <w:pStyle w:val="EBBodyPara"/>
        <w:rPr>
          <w:b/>
        </w:rPr>
      </w:pPr>
    </w:p>
    <w:p w14:paraId="758247D8" w14:textId="77777777" w:rsidR="00845E98" w:rsidRDefault="00845E98" w:rsidP="00845E98">
      <w:pPr>
        <w:pStyle w:val="EBBodyPara"/>
        <w:rPr>
          <w:b/>
        </w:rPr>
      </w:pPr>
      <w:r>
        <w:rPr>
          <w:b/>
        </w:rPr>
        <w:t>Option 2</w:t>
      </w:r>
    </w:p>
    <w:p w14:paraId="758247D9" w14:textId="3FC77D86" w:rsidR="00845E98" w:rsidRPr="0008629A" w:rsidRDefault="00845E98" w:rsidP="00845E98">
      <w:pPr>
        <w:pStyle w:val="EBBodyPara"/>
      </w:pPr>
      <w:r>
        <w:t xml:space="preserve">Option 2 is the “Do Nothing” option. Under it, the opportunity to amend the Communications Act 2003, afforded by the passage of the Public Bodies </w:t>
      </w:r>
      <w:r w:rsidR="006B77E2">
        <w:t>Act</w:t>
      </w:r>
      <w:r>
        <w:t xml:space="preserve">, is not taken and the proposed measure is not tabled. As a result, Ofcom’s operations remain as they have been since 2003 without being amended in the light </w:t>
      </w:r>
      <w:r>
        <w:lastRenderedPageBreak/>
        <w:t xml:space="preserve">of experience. It is likely, therefore, that they are less flexible and more costly than if Option </w:t>
      </w:r>
      <w:r w:rsidR="007C0CC2">
        <w:t>1</w:t>
      </w:r>
      <w:r>
        <w:t xml:space="preserve"> is adopted. Moreover, they grant a hidden subsidy to satellite operators which currently are not charged for filing documents at the ITU</w:t>
      </w:r>
      <w:r w:rsidR="000B3680">
        <w:t xml:space="preserve"> and for management of the filing activities and international frequency coordination.</w:t>
      </w:r>
      <w:r>
        <w:t xml:space="preserve"> As a consequence, the Government’s policy objectives of de-regulation, reduction of unnecessary public expense and removal of subsidy are not furthered by Option </w:t>
      </w:r>
      <w:r w:rsidR="000B3680">
        <w:t>2</w:t>
      </w:r>
      <w:r>
        <w:t>.</w:t>
      </w:r>
    </w:p>
    <w:p w14:paraId="758247DB" w14:textId="77777777" w:rsidR="00845E98" w:rsidRPr="00D55814" w:rsidRDefault="00845E98" w:rsidP="00844F34">
      <w:pPr>
        <w:pStyle w:val="EBBodyPara"/>
        <w:ind w:left="720"/>
        <w:rPr>
          <w:strike/>
        </w:rPr>
      </w:pPr>
    </w:p>
    <w:p w14:paraId="758247DC" w14:textId="77777777" w:rsidR="00BC485E" w:rsidRDefault="000A1EC6" w:rsidP="002D1AE9">
      <w:pPr>
        <w:pStyle w:val="EBBodyPara"/>
        <w:rPr>
          <w:b/>
        </w:rPr>
      </w:pPr>
      <w:r>
        <w:rPr>
          <w:b/>
        </w:rPr>
        <w:t>COSTS AND BENEFITS</w:t>
      </w:r>
    </w:p>
    <w:p w14:paraId="758247DD" w14:textId="77777777" w:rsidR="00351005" w:rsidRDefault="00351005" w:rsidP="002D1AE9">
      <w:pPr>
        <w:pStyle w:val="EBBodyPara"/>
      </w:pPr>
      <w:r>
        <w:t xml:space="preserve">Option </w:t>
      </w:r>
      <w:r w:rsidR="00D529FD">
        <w:t>1</w:t>
      </w:r>
      <w:r>
        <w:t xml:space="preserve"> promises to reduce the long-term costs of, and increase revenues earned by, Ofcom operations</w:t>
      </w:r>
      <w:r w:rsidR="00F363E0">
        <w:t xml:space="preserve"> to counter market failures</w:t>
      </w:r>
      <w:r>
        <w:t xml:space="preserve">. </w:t>
      </w:r>
      <w:r w:rsidR="007C0CC2">
        <w:t>By contrast, Option 2 implies zero changes to costs and revenues. Net costs of Option 1</w:t>
      </w:r>
      <w:r w:rsidR="00AA2FF7">
        <w:t xml:space="preserve"> are, therefore, couched in terms of reductions in costs or increases in revenues compared with Option </w:t>
      </w:r>
      <w:r w:rsidR="00D529FD">
        <w:t>2</w:t>
      </w:r>
      <w:r w:rsidR="00AA2FF7">
        <w:t>.</w:t>
      </w:r>
    </w:p>
    <w:p w14:paraId="758247DE" w14:textId="77777777" w:rsidR="00A5123B" w:rsidRDefault="00A5123B" w:rsidP="002D1AE9">
      <w:pPr>
        <w:pStyle w:val="EBBodyPara"/>
      </w:pPr>
      <w:r>
        <w:t>Ofcom is funded by the taxpayer, through grant in aid contributions, and by a levy on industry. Reductions in Ofcom expenditure will lead to benefits to either the public purse or a reduction in the levy.</w:t>
      </w:r>
      <w:r w:rsidR="00D55814">
        <w:t xml:space="preserve"> Costs and benefits set out in this Impact Assessment are estimates based on Ofcom’s experience of operating the regulatory regime.</w:t>
      </w:r>
    </w:p>
    <w:p w14:paraId="758247DF" w14:textId="77777777" w:rsidR="00671188" w:rsidRDefault="00351005" w:rsidP="002D1AE9">
      <w:pPr>
        <w:pStyle w:val="EBBodyPara"/>
      </w:pPr>
      <w:r>
        <w:t>The following estimates</w:t>
      </w:r>
      <w:r w:rsidR="00AA2FF7">
        <w:t xml:space="preserve"> of costs and revenues</w:t>
      </w:r>
      <w:r>
        <w:t xml:space="preserve"> have been prepared by Ofcom for the purposes of this IA. </w:t>
      </w:r>
      <w:r w:rsidR="00D529FD">
        <w:t>I</w:t>
      </w:r>
      <w:r>
        <w:t xml:space="preserve">t is possible that </w:t>
      </w:r>
      <w:r w:rsidR="00671188">
        <w:t>its</w:t>
      </w:r>
      <w:r>
        <w:t xml:space="preserve"> estimates</w:t>
      </w:r>
      <w:r w:rsidR="00671188">
        <w:t xml:space="preserve"> of cost savings and revenue generation</w:t>
      </w:r>
      <w:r>
        <w:t xml:space="preserve"> may be subject to optimism bias. </w:t>
      </w:r>
      <w:r w:rsidR="00671188">
        <w:t>The costs and revenue implications of the proposed measure are set out in the order that the changes were addressed above.</w:t>
      </w:r>
    </w:p>
    <w:p w14:paraId="758247E0" w14:textId="77777777" w:rsidR="00671188" w:rsidRDefault="00671188" w:rsidP="002D1AE9">
      <w:pPr>
        <w:pStyle w:val="EBBodyPara"/>
        <w:rPr>
          <w:b/>
        </w:rPr>
      </w:pPr>
      <w:r>
        <w:rPr>
          <w:b/>
        </w:rPr>
        <w:t>Governance Reform</w:t>
      </w:r>
    </w:p>
    <w:p w14:paraId="758247E1" w14:textId="77777777" w:rsidR="00D55814" w:rsidRDefault="00D55814" w:rsidP="00D55814">
      <w:pPr>
        <w:pStyle w:val="EBBodyPara"/>
      </w:pPr>
      <w:r>
        <w:t xml:space="preserve">In the event that Ofcom were provided with governance flexibility, and the Secretary of State </w:t>
      </w:r>
      <w:r w:rsidRPr="00D529FD">
        <w:rPr>
          <w:color w:val="auto"/>
        </w:rPr>
        <w:t xml:space="preserve">was </w:t>
      </w:r>
      <w:r>
        <w:t xml:space="preserve">to consent to their proposals, it is estimated that, </w:t>
      </w:r>
      <w:r w:rsidRPr="00D529FD">
        <w:rPr>
          <w:color w:val="auto"/>
        </w:rPr>
        <w:t xml:space="preserve">in the short term, </w:t>
      </w:r>
      <w:r>
        <w:t>annual savings of up to £35,000</w:t>
      </w:r>
      <w:r w:rsidR="00D529FD">
        <w:t xml:space="preserve"> may</w:t>
      </w:r>
      <w:r>
        <w:t xml:space="preserve"> be possible as a result of this measure. </w:t>
      </w:r>
    </w:p>
    <w:p w14:paraId="758247E2" w14:textId="77777777" w:rsidR="00D55814" w:rsidRDefault="00D55814" w:rsidP="00D55814">
      <w:pPr>
        <w:pStyle w:val="EBBodyPara"/>
        <w:rPr>
          <w:color w:val="auto"/>
        </w:rPr>
      </w:pPr>
      <w:r>
        <w:t xml:space="preserve">This would be the equivalent of the </w:t>
      </w:r>
      <w:r w:rsidRPr="00005C19">
        <w:rPr>
          <w:color w:val="auto"/>
        </w:rPr>
        <w:t xml:space="preserve">costs saved by the </w:t>
      </w:r>
      <w:r>
        <w:t xml:space="preserve">abolition of the </w:t>
      </w:r>
      <w:r w:rsidRPr="00005C19">
        <w:rPr>
          <w:color w:val="auto"/>
        </w:rPr>
        <w:t xml:space="preserve">Advisory Committee </w:t>
      </w:r>
      <w:r>
        <w:t xml:space="preserve">for England. </w:t>
      </w:r>
      <w:r w:rsidRPr="00005C19">
        <w:rPr>
          <w:color w:val="auto"/>
        </w:rPr>
        <w:t>The timing of this change would be for Ofcom to decide and may not be immediate. Further changes in the governance structure may also be possible in the longer term and will be considered by Ofcom once the Order has been passed.</w:t>
      </w:r>
    </w:p>
    <w:p w14:paraId="2879B110" w14:textId="77777777" w:rsidR="008747CD" w:rsidRDefault="008747CD" w:rsidP="008747CD">
      <w:pPr>
        <w:pStyle w:val="EBBodyPara"/>
        <w:rPr>
          <w:b/>
        </w:rPr>
      </w:pPr>
      <w:r>
        <w:rPr>
          <w:b/>
        </w:rPr>
        <w:t>Training and Equality</w:t>
      </w:r>
    </w:p>
    <w:p w14:paraId="5F8A6876" w14:textId="77777777" w:rsidR="008747CD" w:rsidRDefault="008747CD" w:rsidP="008747CD">
      <w:pPr>
        <w:pStyle w:val="EBBodyPara"/>
      </w:pPr>
      <w:r>
        <w:t xml:space="preserve">In the light of the Government’s proposals, Ofcom closed down BETR at the end of June 2011, saving £300,000 p.a. in contributions from broadcasters, and £150,000 p.a. in contributions from Ofcom. The one-off costs of this were £60,000. </w:t>
      </w:r>
    </w:p>
    <w:p w14:paraId="7F65A9C0" w14:textId="77777777" w:rsidR="00F45DC9" w:rsidRDefault="008747CD" w:rsidP="00F45DC9">
      <w:pPr>
        <w:pStyle w:val="EBBodyPara"/>
        <w:rPr>
          <w:b/>
        </w:rPr>
      </w:pPr>
      <w:r>
        <w:t>Based on other costs incurred to date, Ofcom expects to save about a further £20,000 p.a. once the duty is removed.</w:t>
      </w:r>
      <w:r w:rsidR="00F45DC9" w:rsidRPr="00F45DC9">
        <w:rPr>
          <w:b/>
        </w:rPr>
        <w:t xml:space="preserve"> </w:t>
      </w:r>
    </w:p>
    <w:p w14:paraId="0DFBC046" w14:textId="7A2E3477" w:rsidR="00F45DC9" w:rsidRDefault="00F45DC9" w:rsidP="00F45DC9">
      <w:pPr>
        <w:pStyle w:val="EBBodyPara"/>
        <w:rPr>
          <w:b/>
        </w:rPr>
      </w:pPr>
      <w:r>
        <w:rPr>
          <w:b/>
        </w:rPr>
        <w:t>Annual Statements of Programme Policy</w:t>
      </w:r>
    </w:p>
    <w:p w14:paraId="0E0BFA5A" w14:textId="77777777" w:rsidR="00F45DC9" w:rsidRDefault="00F45DC9" w:rsidP="00F45DC9">
      <w:pPr>
        <w:pStyle w:val="EBBodyPara"/>
      </w:pPr>
      <w:r>
        <w:t>This work has two aspects. First Ofcom conducts routine checks to ensure compliance with the note of guidance which cost £5,000 p.a. Second, Ofcom estimates that once a year a policy statement contains a proposal for significant change which warrants further analysis and consideration at an estimated cost of £10,000. Thus, total savings to Ofcom are estimated at £15,000 p.a.</w:t>
      </w:r>
    </w:p>
    <w:p w14:paraId="13C9316C" w14:textId="7C8FF5A8" w:rsidR="008747CD" w:rsidRPr="00005C19" w:rsidRDefault="00F45DC9" w:rsidP="00F45DC9">
      <w:pPr>
        <w:pStyle w:val="EBBodyPara"/>
        <w:rPr>
          <w:color w:val="auto"/>
        </w:rPr>
      </w:pPr>
      <w:r>
        <w:t>There will be additional savings to the operators of Channels 3 and 5. We do not have information on the savings which will be accrued by these channels. These statements would need to be developed, and then signed off by board level staff.</w:t>
      </w:r>
    </w:p>
    <w:p w14:paraId="758247EB" w14:textId="77777777" w:rsidR="006941F9" w:rsidRPr="00787D23" w:rsidRDefault="008727E5" w:rsidP="002D1AE9">
      <w:pPr>
        <w:pStyle w:val="EBBodyPara"/>
        <w:rPr>
          <w:b/>
          <w:color w:val="auto"/>
        </w:rPr>
      </w:pPr>
      <w:r w:rsidRPr="00787D23">
        <w:rPr>
          <w:b/>
          <w:color w:val="auto"/>
        </w:rPr>
        <w:t>Annual Review of Networking Arrangements</w:t>
      </w:r>
    </w:p>
    <w:p w14:paraId="758247EC" w14:textId="77777777" w:rsidR="00AE319A" w:rsidRPr="00787D23" w:rsidRDefault="00497BC4" w:rsidP="002D1AE9">
      <w:pPr>
        <w:pStyle w:val="EBBodyPara"/>
        <w:rPr>
          <w:color w:val="auto"/>
        </w:rPr>
      </w:pPr>
      <w:r w:rsidRPr="00787D23">
        <w:rPr>
          <w:color w:val="auto"/>
        </w:rPr>
        <w:t xml:space="preserve">These reviews have an estimated cost to Ofcom of </w:t>
      </w:r>
      <w:r w:rsidR="00AE319A" w:rsidRPr="00787D23">
        <w:rPr>
          <w:color w:val="auto"/>
        </w:rPr>
        <w:t>£200,000</w:t>
      </w:r>
      <w:r w:rsidRPr="00787D23">
        <w:rPr>
          <w:color w:val="auto"/>
        </w:rPr>
        <w:t xml:space="preserve"> pa as well as requiring a significant time investment by stakeholders. </w:t>
      </w:r>
    </w:p>
    <w:p w14:paraId="758247ED" w14:textId="77777777" w:rsidR="008727E5" w:rsidRPr="00787D23" w:rsidRDefault="00AE319A" w:rsidP="002D1AE9">
      <w:pPr>
        <w:pStyle w:val="EBBodyPara"/>
        <w:rPr>
          <w:color w:val="auto"/>
        </w:rPr>
      </w:pPr>
      <w:r w:rsidRPr="00787D23">
        <w:rPr>
          <w:color w:val="auto"/>
        </w:rPr>
        <w:t xml:space="preserve">Companies who have to participate in this duty will have to prepare and agree their approach. This would require participation and approval from staff up to and including Board level within their organisation. </w:t>
      </w:r>
      <w:r w:rsidR="00F2733E" w:rsidRPr="00787D23">
        <w:rPr>
          <w:color w:val="auto"/>
        </w:rPr>
        <w:t>Data is not held on these costs</w:t>
      </w:r>
      <w:r w:rsidRPr="00787D23">
        <w:rPr>
          <w:color w:val="auto"/>
        </w:rPr>
        <w:t>.</w:t>
      </w:r>
    </w:p>
    <w:p w14:paraId="758247EE" w14:textId="77777777" w:rsidR="008727E5" w:rsidRDefault="008727E5" w:rsidP="002D1AE9">
      <w:pPr>
        <w:pStyle w:val="EBBodyPara"/>
        <w:rPr>
          <w:b/>
        </w:rPr>
      </w:pPr>
      <w:r>
        <w:rPr>
          <w:b/>
        </w:rPr>
        <w:t>5-yearly PSB Reviews</w:t>
      </w:r>
    </w:p>
    <w:p w14:paraId="758247EF" w14:textId="77777777" w:rsidR="00140382" w:rsidRDefault="00140382" w:rsidP="002D1AE9">
      <w:pPr>
        <w:pStyle w:val="EBBodyPara"/>
      </w:pPr>
      <w:r>
        <w:t>Ofcom currently performs PSB reviews under its statutory duties once every 5 years. The review does not place significant direct cost on industry, but Ofcom incurs the cost of performing the review. This cost is then included within the regulatory fees that Ofcom charges industry stakeholders.</w:t>
      </w:r>
    </w:p>
    <w:p w14:paraId="758247F0" w14:textId="77777777" w:rsidR="008727E5" w:rsidRDefault="008727E5" w:rsidP="002D1AE9">
      <w:pPr>
        <w:pStyle w:val="EBBodyPara"/>
      </w:pPr>
      <w:r>
        <w:lastRenderedPageBreak/>
        <w:t>If the frequency of PSB reviews were to be halved then Ofcom expects to save between £135,000 and £180,000 p.a.</w:t>
      </w:r>
    </w:p>
    <w:p w14:paraId="186507C4" w14:textId="77777777" w:rsidR="00167E35" w:rsidRDefault="00167E35" w:rsidP="00167E35">
      <w:pPr>
        <w:pStyle w:val="EBBodyPara"/>
        <w:rPr>
          <w:b/>
        </w:rPr>
      </w:pPr>
      <w:r>
        <w:rPr>
          <w:b/>
        </w:rPr>
        <w:t>Change of Control Reviews</w:t>
      </w:r>
    </w:p>
    <w:p w14:paraId="76E7AB3D" w14:textId="77777777" w:rsidR="00167E35" w:rsidRDefault="00167E35" w:rsidP="00167E35">
      <w:pPr>
        <w:pStyle w:val="EBBodyPara"/>
      </w:pPr>
      <w:r>
        <w:t>Ofcom estimates that since 2003 £30,000 has been spent on this function. Removal of this obligation will, therefore, save £5,000 p.a.</w:t>
      </w:r>
    </w:p>
    <w:p w14:paraId="758247F3" w14:textId="1772555D" w:rsidR="008727E5" w:rsidRDefault="002F5E96" w:rsidP="00167E35">
      <w:pPr>
        <w:pStyle w:val="EBBodyPara"/>
        <w:rPr>
          <w:b/>
        </w:rPr>
      </w:pPr>
      <w:r>
        <w:rPr>
          <w:b/>
        </w:rPr>
        <w:t>Permit Charges for Satellite Filing at the ITU</w:t>
      </w:r>
    </w:p>
    <w:p w14:paraId="758247F4" w14:textId="3154EAAF" w:rsidR="002F5E96" w:rsidRDefault="002F5E96" w:rsidP="002D1AE9">
      <w:pPr>
        <w:pStyle w:val="EBBodyPara"/>
      </w:pPr>
      <w:r>
        <w:t xml:space="preserve">The current cost of these filings </w:t>
      </w:r>
      <w:r w:rsidRPr="00787D23">
        <w:t xml:space="preserve">is </w:t>
      </w:r>
      <w:r w:rsidR="00886242" w:rsidRPr="00787D23">
        <w:rPr>
          <w:color w:val="auto"/>
        </w:rPr>
        <w:t>approximately</w:t>
      </w:r>
      <w:r w:rsidR="00886242">
        <w:t xml:space="preserve"> </w:t>
      </w:r>
      <w:r>
        <w:t>£4</w:t>
      </w:r>
      <w:r w:rsidR="00F45DC9">
        <w:t>00</w:t>
      </w:r>
      <w:r>
        <w:t>,000 p.a</w:t>
      </w:r>
      <w:r w:rsidRPr="00787D23">
        <w:rPr>
          <w:color w:val="auto"/>
        </w:rPr>
        <w:t>.</w:t>
      </w:r>
      <w:r w:rsidR="00886242" w:rsidRPr="00787D23">
        <w:rPr>
          <w:color w:val="auto"/>
        </w:rPr>
        <w:t xml:space="preserve">, as estimated in the 2007 consultation. </w:t>
      </w:r>
      <w:r>
        <w:t>Ofcom expects to charge on the basis of full-cost recovery for those satellite operators which choose to file</w:t>
      </w:r>
      <w:r w:rsidR="00787D23">
        <w:t xml:space="preserve"> via </w:t>
      </w:r>
      <w:r>
        <w:t>the UK. On the basis of 20 operators choosing to do this Ofcom expects to incur extra annual costs of between £500 and £1,000 for administering the charging system.</w:t>
      </w:r>
    </w:p>
    <w:p w14:paraId="758247F5" w14:textId="77777777" w:rsidR="005420CC" w:rsidRDefault="005420CC" w:rsidP="002D1AE9">
      <w:pPr>
        <w:pStyle w:val="EBBodyPara"/>
      </w:pPr>
      <w:r>
        <w:t xml:space="preserve">We would expect that satellite operators would either </w:t>
      </w:r>
      <w:r w:rsidR="00D11868">
        <w:t>continue to file in the UK, in which case they would pay the costs of the work that they c</w:t>
      </w:r>
      <w:r w:rsidR="00886242">
        <w:t>ommission. Alternatively, they</w:t>
      </w:r>
      <w:r w:rsidR="00787D23">
        <w:t xml:space="preserve"> c</w:t>
      </w:r>
      <w:r w:rsidR="00D11868">
        <w:t>ould seek to file abroad</w:t>
      </w:r>
      <w:r w:rsidR="00BA6EC9">
        <w:t xml:space="preserve"> </w:t>
      </w:r>
      <w:r w:rsidR="00787D23">
        <w:t>via another Administration</w:t>
      </w:r>
      <w:r w:rsidR="00D11868">
        <w:t xml:space="preserve">, in which case they would incur the costs there. </w:t>
      </w:r>
    </w:p>
    <w:p w14:paraId="758247F6" w14:textId="0147D95C" w:rsidR="00BC485E" w:rsidRDefault="0021015D" w:rsidP="002D1AE9">
      <w:pPr>
        <w:pStyle w:val="EBBodyPara"/>
      </w:pPr>
      <w:r>
        <w:t>The extent of these changes is summarised in Table 1</w:t>
      </w:r>
      <w:r w:rsidR="00E81BF9">
        <w:t>.</w:t>
      </w:r>
      <w:r w:rsidR="006F1E8B">
        <w:t xml:space="preserve"> </w:t>
      </w:r>
      <w:bookmarkStart w:id="45" w:name="_GoBack"/>
      <w:bookmarkEnd w:id="45"/>
    </w:p>
    <w:p w14:paraId="6C682488" w14:textId="77777777" w:rsidR="00C04052" w:rsidRDefault="00C04052" w:rsidP="00C04052">
      <w:pPr>
        <w:rPr>
          <w:b/>
        </w:rPr>
      </w:pPr>
    </w:p>
    <w:p w14:paraId="46AC774C" w14:textId="61AFDA1F" w:rsidR="00C04052" w:rsidRPr="00C04052" w:rsidRDefault="00C04052" w:rsidP="00C04052">
      <w:pPr>
        <w:jc w:val="center"/>
        <w:rPr>
          <w:b/>
          <w:sz w:val="22"/>
          <w:szCs w:val="22"/>
        </w:rPr>
      </w:pPr>
      <w:r w:rsidRPr="00C04052">
        <w:rPr>
          <w:b/>
          <w:sz w:val="22"/>
          <w:szCs w:val="22"/>
        </w:rPr>
        <w:t>TABLE 1</w:t>
      </w:r>
    </w:p>
    <w:p w14:paraId="758247F8" w14:textId="371BDAAD" w:rsidR="00FD6499" w:rsidRPr="00C04052" w:rsidRDefault="00C04052" w:rsidP="00C04052">
      <w:pPr>
        <w:jc w:val="center"/>
        <w:rPr>
          <w:b/>
          <w:sz w:val="22"/>
          <w:szCs w:val="22"/>
        </w:rPr>
      </w:pPr>
      <w:r w:rsidRPr="00C04052">
        <w:rPr>
          <w:b/>
          <w:sz w:val="22"/>
          <w:szCs w:val="22"/>
        </w:rPr>
        <w:t>SUMMARY OF COST AND REVENUE CHANGES RESULTING FROM OPTION 1</w:t>
      </w:r>
    </w:p>
    <w:p w14:paraId="758247F9" w14:textId="1607163F" w:rsidR="00FD6499" w:rsidRDefault="00C04052" w:rsidP="00C04052">
      <w:pPr>
        <w:pStyle w:val="EBBodyPara"/>
        <w:jc w:val="center"/>
        <w:rPr>
          <w:b/>
        </w:rPr>
      </w:pPr>
      <w:r w:rsidRPr="00C04052">
        <w:rPr>
          <w:b/>
        </w:rPr>
        <w:t>(£ million in 2012 prices)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170"/>
        <w:gridCol w:w="1317"/>
        <w:gridCol w:w="1088"/>
        <w:gridCol w:w="19"/>
        <w:gridCol w:w="1482"/>
        <w:gridCol w:w="9"/>
        <w:gridCol w:w="1482"/>
        <w:gridCol w:w="9"/>
      </w:tblGrid>
      <w:tr w:rsidR="00FD6499" w:rsidRPr="00385D18" w14:paraId="758247FE" w14:textId="77777777" w:rsidTr="00C04052">
        <w:trPr>
          <w:gridAfter w:val="1"/>
          <w:wAfter w:w="9" w:type="dxa"/>
          <w:jc w:val="center"/>
        </w:trPr>
        <w:tc>
          <w:tcPr>
            <w:tcW w:w="2162" w:type="dxa"/>
            <w:shd w:val="clear" w:color="auto" w:fill="auto"/>
          </w:tcPr>
          <w:p w14:paraId="758247FA" w14:textId="68C4EBC2" w:rsidR="00FD6499" w:rsidRDefault="00FD6499" w:rsidP="007B0D0D">
            <w:pPr>
              <w:pStyle w:val="EBBodyPara"/>
            </w:pPr>
            <w:r>
              <w:t>£ million</w:t>
            </w:r>
            <w:r w:rsidR="007F59AE">
              <w:t xml:space="preserve"> p.a. in 2012 prices</w:t>
            </w:r>
          </w:p>
        </w:tc>
        <w:tc>
          <w:tcPr>
            <w:tcW w:w="3575" w:type="dxa"/>
            <w:gridSpan w:val="3"/>
            <w:shd w:val="clear" w:color="auto" w:fill="auto"/>
          </w:tcPr>
          <w:p w14:paraId="758247FB" w14:textId="77777777" w:rsidR="00FD6499" w:rsidRDefault="00FD6499" w:rsidP="007B0D0D">
            <w:pPr>
              <w:pStyle w:val="EBBodyPara"/>
            </w:pPr>
            <w:r>
              <w:t>Ofcom</w:t>
            </w:r>
          </w:p>
        </w:tc>
        <w:tc>
          <w:tcPr>
            <w:tcW w:w="1501" w:type="dxa"/>
            <w:gridSpan w:val="2"/>
          </w:tcPr>
          <w:p w14:paraId="758247FC" w14:textId="77777777" w:rsidR="00FD6499" w:rsidRDefault="00FD6499" w:rsidP="007B0D0D">
            <w:pPr>
              <w:pStyle w:val="EBBodyPara"/>
            </w:pPr>
            <w:r>
              <w:t>Ofcom Stakeholders</w:t>
            </w:r>
          </w:p>
        </w:tc>
        <w:tc>
          <w:tcPr>
            <w:tcW w:w="1491" w:type="dxa"/>
            <w:gridSpan w:val="2"/>
          </w:tcPr>
          <w:p w14:paraId="758247FD" w14:textId="77777777" w:rsidR="00FD6499" w:rsidRDefault="00FD6499" w:rsidP="007B0D0D">
            <w:pPr>
              <w:pStyle w:val="EBBodyPara"/>
            </w:pPr>
          </w:p>
        </w:tc>
      </w:tr>
      <w:tr w:rsidR="00FD6499" w14:paraId="75824808" w14:textId="77777777" w:rsidTr="00C04052">
        <w:trPr>
          <w:jc w:val="center"/>
        </w:trPr>
        <w:tc>
          <w:tcPr>
            <w:tcW w:w="2162" w:type="dxa"/>
            <w:shd w:val="clear" w:color="auto" w:fill="auto"/>
          </w:tcPr>
          <w:p w14:paraId="758247FF" w14:textId="77777777" w:rsidR="00FD6499" w:rsidRDefault="00FD6499" w:rsidP="007B0D0D">
            <w:pPr>
              <w:pStyle w:val="EBBodyPara"/>
            </w:pPr>
            <w:r>
              <w:t>Change</w:t>
            </w:r>
          </w:p>
        </w:tc>
        <w:tc>
          <w:tcPr>
            <w:tcW w:w="1170" w:type="dxa"/>
            <w:shd w:val="clear" w:color="auto" w:fill="auto"/>
          </w:tcPr>
          <w:p w14:paraId="75824800" w14:textId="77777777" w:rsidR="00FD6499" w:rsidRDefault="00FD6499" w:rsidP="007B0D0D">
            <w:pPr>
              <w:pStyle w:val="EBBodyPara"/>
            </w:pPr>
            <w:r>
              <w:t>Annual Cost Increases</w:t>
            </w:r>
          </w:p>
          <w:p w14:paraId="75824801" w14:textId="77777777" w:rsidR="00FD6499" w:rsidRDefault="00FD6499" w:rsidP="007B0D0D">
            <w:pPr>
              <w:pStyle w:val="EBBodyPara"/>
            </w:pPr>
          </w:p>
        </w:tc>
        <w:tc>
          <w:tcPr>
            <w:tcW w:w="1317" w:type="dxa"/>
            <w:shd w:val="clear" w:color="auto" w:fill="auto"/>
          </w:tcPr>
          <w:p w14:paraId="75824802" w14:textId="77777777" w:rsidR="00FD6499" w:rsidRDefault="00FD6499" w:rsidP="007B0D0D">
            <w:pPr>
              <w:pStyle w:val="EBBodyPara"/>
            </w:pPr>
            <w:r>
              <w:t>Annual Cost</w:t>
            </w:r>
          </w:p>
          <w:p w14:paraId="75824803" w14:textId="77777777" w:rsidR="00FD6499" w:rsidRDefault="00FD6499" w:rsidP="007B0D0D">
            <w:pPr>
              <w:pStyle w:val="EBBodyPara"/>
            </w:pPr>
            <w:r>
              <w:t>Reductions</w:t>
            </w:r>
          </w:p>
          <w:p w14:paraId="75824804" w14:textId="77777777" w:rsidR="00FD6499" w:rsidRDefault="00FD6499" w:rsidP="007B0D0D">
            <w:pPr>
              <w:pStyle w:val="EBBodyPara"/>
            </w:pPr>
          </w:p>
        </w:tc>
        <w:tc>
          <w:tcPr>
            <w:tcW w:w="1107" w:type="dxa"/>
            <w:gridSpan w:val="2"/>
            <w:shd w:val="clear" w:color="auto" w:fill="auto"/>
          </w:tcPr>
          <w:p w14:paraId="75824805" w14:textId="77777777" w:rsidR="00FD6499" w:rsidRDefault="00FD6499" w:rsidP="007B0D0D">
            <w:pPr>
              <w:pStyle w:val="EBBodyPara"/>
            </w:pPr>
            <w:r>
              <w:t xml:space="preserve">Annual Revenue Increase </w:t>
            </w:r>
          </w:p>
        </w:tc>
        <w:tc>
          <w:tcPr>
            <w:tcW w:w="1491" w:type="dxa"/>
            <w:gridSpan w:val="2"/>
          </w:tcPr>
          <w:p w14:paraId="75824806" w14:textId="77777777" w:rsidR="00FD6499" w:rsidRDefault="00FD6499" w:rsidP="007B0D0D">
            <w:pPr>
              <w:pStyle w:val="EBBodyPara"/>
            </w:pPr>
            <w:r>
              <w:t>Increased costs</w:t>
            </w:r>
          </w:p>
        </w:tc>
        <w:tc>
          <w:tcPr>
            <w:tcW w:w="1491" w:type="dxa"/>
            <w:gridSpan w:val="2"/>
          </w:tcPr>
          <w:p w14:paraId="75824807" w14:textId="77777777" w:rsidR="00FD6499" w:rsidRDefault="00FD6499" w:rsidP="007B0D0D">
            <w:pPr>
              <w:pStyle w:val="EBBodyPara"/>
            </w:pPr>
            <w:r>
              <w:t>Reduced costs</w:t>
            </w:r>
          </w:p>
        </w:tc>
      </w:tr>
      <w:tr w:rsidR="00FD6499" w14:paraId="7582480F" w14:textId="77777777" w:rsidTr="00C04052">
        <w:trPr>
          <w:jc w:val="center"/>
        </w:trPr>
        <w:tc>
          <w:tcPr>
            <w:tcW w:w="2162" w:type="dxa"/>
            <w:shd w:val="clear" w:color="auto" w:fill="auto"/>
          </w:tcPr>
          <w:p w14:paraId="75824809" w14:textId="77777777" w:rsidR="00FD6499" w:rsidRDefault="00FD6499" w:rsidP="007B0D0D">
            <w:pPr>
              <w:pStyle w:val="EBBodyPara"/>
            </w:pPr>
            <w:r>
              <w:t>Governance Reform(1)</w:t>
            </w:r>
          </w:p>
        </w:tc>
        <w:tc>
          <w:tcPr>
            <w:tcW w:w="1170" w:type="dxa"/>
            <w:shd w:val="clear" w:color="auto" w:fill="auto"/>
          </w:tcPr>
          <w:p w14:paraId="7582480A" w14:textId="77777777" w:rsidR="00FD6499" w:rsidRDefault="00FD6499" w:rsidP="007B0D0D">
            <w:pPr>
              <w:pStyle w:val="EBBodyPara"/>
            </w:pPr>
          </w:p>
        </w:tc>
        <w:tc>
          <w:tcPr>
            <w:tcW w:w="1317" w:type="dxa"/>
            <w:shd w:val="clear" w:color="auto" w:fill="auto"/>
          </w:tcPr>
          <w:p w14:paraId="7582480B" w14:textId="16E8D26B" w:rsidR="00FD6499" w:rsidRDefault="00EE09C0" w:rsidP="007B0D0D">
            <w:pPr>
              <w:pStyle w:val="EBBodyPara"/>
            </w:pPr>
            <w:r>
              <w:t>0.035</w:t>
            </w:r>
          </w:p>
        </w:tc>
        <w:tc>
          <w:tcPr>
            <w:tcW w:w="1107" w:type="dxa"/>
            <w:gridSpan w:val="2"/>
            <w:shd w:val="clear" w:color="auto" w:fill="auto"/>
          </w:tcPr>
          <w:p w14:paraId="7582480C" w14:textId="77777777" w:rsidR="00FD6499" w:rsidRDefault="00FD6499" w:rsidP="007B0D0D">
            <w:pPr>
              <w:pStyle w:val="EBBodyPara"/>
            </w:pPr>
          </w:p>
        </w:tc>
        <w:tc>
          <w:tcPr>
            <w:tcW w:w="1491" w:type="dxa"/>
            <w:gridSpan w:val="2"/>
          </w:tcPr>
          <w:p w14:paraId="7582480D" w14:textId="77777777" w:rsidR="00FD6499" w:rsidRDefault="00FD6499" w:rsidP="007B0D0D">
            <w:pPr>
              <w:pStyle w:val="EBBodyPara"/>
            </w:pPr>
          </w:p>
        </w:tc>
        <w:tc>
          <w:tcPr>
            <w:tcW w:w="1491" w:type="dxa"/>
            <w:gridSpan w:val="2"/>
          </w:tcPr>
          <w:p w14:paraId="7582480E" w14:textId="77777777" w:rsidR="00FD6499" w:rsidRDefault="00FD6499" w:rsidP="007B0D0D">
            <w:pPr>
              <w:pStyle w:val="EBBodyPara"/>
            </w:pPr>
          </w:p>
        </w:tc>
      </w:tr>
      <w:tr w:rsidR="008747CD" w14:paraId="163B21A7" w14:textId="77777777" w:rsidTr="00C04052">
        <w:trPr>
          <w:jc w:val="center"/>
        </w:trPr>
        <w:tc>
          <w:tcPr>
            <w:tcW w:w="2162" w:type="dxa"/>
            <w:shd w:val="clear" w:color="auto" w:fill="auto"/>
          </w:tcPr>
          <w:p w14:paraId="00ECDADE" w14:textId="7586B544" w:rsidR="008747CD" w:rsidRDefault="008747CD" w:rsidP="00EE09C0">
            <w:pPr>
              <w:pStyle w:val="EBBodyPara"/>
            </w:pPr>
            <w:r>
              <w:t>Equality Training(2)</w:t>
            </w:r>
          </w:p>
        </w:tc>
        <w:tc>
          <w:tcPr>
            <w:tcW w:w="1170" w:type="dxa"/>
            <w:shd w:val="clear" w:color="auto" w:fill="auto"/>
          </w:tcPr>
          <w:p w14:paraId="19952628" w14:textId="77777777" w:rsidR="008747CD" w:rsidRDefault="008747CD" w:rsidP="007B0D0D">
            <w:pPr>
              <w:pStyle w:val="EBBodyPara"/>
            </w:pPr>
          </w:p>
        </w:tc>
        <w:tc>
          <w:tcPr>
            <w:tcW w:w="1317" w:type="dxa"/>
            <w:shd w:val="clear" w:color="auto" w:fill="auto"/>
          </w:tcPr>
          <w:p w14:paraId="09E58628" w14:textId="4F616A9C" w:rsidR="008747CD" w:rsidRDefault="008747CD" w:rsidP="007B0D0D">
            <w:pPr>
              <w:pStyle w:val="EBBodyPara"/>
            </w:pPr>
            <w:r>
              <w:t>0.020</w:t>
            </w:r>
          </w:p>
        </w:tc>
        <w:tc>
          <w:tcPr>
            <w:tcW w:w="1107" w:type="dxa"/>
            <w:gridSpan w:val="2"/>
            <w:shd w:val="clear" w:color="auto" w:fill="auto"/>
          </w:tcPr>
          <w:p w14:paraId="45585F4C" w14:textId="77777777" w:rsidR="008747CD" w:rsidRDefault="008747CD" w:rsidP="007B0D0D">
            <w:pPr>
              <w:pStyle w:val="EBBodyPara"/>
            </w:pPr>
          </w:p>
        </w:tc>
        <w:tc>
          <w:tcPr>
            <w:tcW w:w="1491" w:type="dxa"/>
            <w:gridSpan w:val="2"/>
          </w:tcPr>
          <w:p w14:paraId="6A4CAFA0" w14:textId="77777777" w:rsidR="008747CD" w:rsidRDefault="008747CD" w:rsidP="007B0D0D">
            <w:pPr>
              <w:pStyle w:val="EBBodyPara"/>
            </w:pPr>
          </w:p>
        </w:tc>
        <w:tc>
          <w:tcPr>
            <w:tcW w:w="1491" w:type="dxa"/>
            <w:gridSpan w:val="2"/>
          </w:tcPr>
          <w:p w14:paraId="1AFA7A86" w14:textId="77777777" w:rsidR="008747CD" w:rsidRDefault="008747CD" w:rsidP="00EE09C0">
            <w:pPr>
              <w:pStyle w:val="EBBodyPara"/>
            </w:pPr>
          </w:p>
        </w:tc>
      </w:tr>
      <w:tr w:rsidR="00F45DC9" w14:paraId="5A65EF28" w14:textId="77777777" w:rsidTr="00C04052">
        <w:trPr>
          <w:jc w:val="center"/>
        </w:trPr>
        <w:tc>
          <w:tcPr>
            <w:tcW w:w="2162" w:type="dxa"/>
            <w:shd w:val="clear" w:color="auto" w:fill="auto"/>
          </w:tcPr>
          <w:p w14:paraId="32280BA3" w14:textId="544D55D2" w:rsidR="00F45DC9" w:rsidRDefault="00F45DC9" w:rsidP="00F45DC9">
            <w:pPr>
              <w:pStyle w:val="EBBodyPara"/>
            </w:pPr>
            <w:r>
              <w:t>Programme Policy(3)</w:t>
            </w:r>
          </w:p>
        </w:tc>
        <w:tc>
          <w:tcPr>
            <w:tcW w:w="1170" w:type="dxa"/>
            <w:shd w:val="clear" w:color="auto" w:fill="auto"/>
          </w:tcPr>
          <w:p w14:paraId="4553484D" w14:textId="77777777" w:rsidR="00F45DC9" w:rsidRDefault="00F45DC9" w:rsidP="007B0D0D">
            <w:pPr>
              <w:pStyle w:val="EBBodyPara"/>
            </w:pPr>
          </w:p>
        </w:tc>
        <w:tc>
          <w:tcPr>
            <w:tcW w:w="1317" w:type="dxa"/>
            <w:shd w:val="clear" w:color="auto" w:fill="auto"/>
          </w:tcPr>
          <w:p w14:paraId="270994E1" w14:textId="104B904B" w:rsidR="00F45DC9" w:rsidRDefault="00F45DC9" w:rsidP="007B0D0D">
            <w:pPr>
              <w:pStyle w:val="EBBodyPara"/>
            </w:pPr>
            <w:r>
              <w:t>0.015</w:t>
            </w:r>
          </w:p>
        </w:tc>
        <w:tc>
          <w:tcPr>
            <w:tcW w:w="1107" w:type="dxa"/>
            <w:gridSpan w:val="2"/>
            <w:shd w:val="clear" w:color="auto" w:fill="auto"/>
          </w:tcPr>
          <w:p w14:paraId="35A14C96" w14:textId="77777777" w:rsidR="00F45DC9" w:rsidRDefault="00F45DC9" w:rsidP="007B0D0D">
            <w:pPr>
              <w:pStyle w:val="EBBodyPara"/>
            </w:pPr>
          </w:p>
        </w:tc>
        <w:tc>
          <w:tcPr>
            <w:tcW w:w="1491" w:type="dxa"/>
            <w:gridSpan w:val="2"/>
          </w:tcPr>
          <w:p w14:paraId="0803EFF6" w14:textId="77777777" w:rsidR="00F45DC9" w:rsidRDefault="00F45DC9" w:rsidP="007B0D0D">
            <w:pPr>
              <w:pStyle w:val="EBBodyPara"/>
            </w:pPr>
          </w:p>
        </w:tc>
        <w:tc>
          <w:tcPr>
            <w:tcW w:w="1491" w:type="dxa"/>
            <w:gridSpan w:val="2"/>
          </w:tcPr>
          <w:p w14:paraId="1A195F33" w14:textId="77777777" w:rsidR="00F45DC9" w:rsidRDefault="00F45DC9" w:rsidP="008747CD">
            <w:pPr>
              <w:pStyle w:val="EBBodyPara"/>
            </w:pPr>
          </w:p>
        </w:tc>
      </w:tr>
      <w:tr w:rsidR="00FD6499" w14:paraId="7582482B" w14:textId="77777777" w:rsidTr="00C04052">
        <w:trPr>
          <w:jc w:val="center"/>
        </w:trPr>
        <w:tc>
          <w:tcPr>
            <w:tcW w:w="2162" w:type="dxa"/>
            <w:shd w:val="clear" w:color="auto" w:fill="auto"/>
          </w:tcPr>
          <w:p w14:paraId="75824825" w14:textId="41299229" w:rsidR="00FD6499" w:rsidRDefault="00FD6499" w:rsidP="00F45DC9">
            <w:pPr>
              <w:pStyle w:val="EBBodyPara"/>
            </w:pPr>
            <w:r>
              <w:t>Networking Arrangements(</w:t>
            </w:r>
            <w:r w:rsidR="00F45DC9">
              <w:t>4</w:t>
            </w:r>
            <w:r>
              <w:t>)</w:t>
            </w:r>
          </w:p>
        </w:tc>
        <w:tc>
          <w:tcPr>
            <w:tcW w:w="1170" w:type="dxa"/>
            <w:shd w:val="clear" w:color="auto" w:fill="auto"/>
          </w:tcPr>
          <w:p w14:paraId="75824826" w14:textId="77777777" w:rsidR="00FD6499" w:rsidRDefault="00FD6499" w:rsidP="007B0D0D">
            <w:pPr>
              <w:pStyle w:val="EBBodyPara"/>
            </w:pPr>
          </w:p>
        </w:tc>
        <w:tc>
          <w:tcPr>
            <w:tcW w:w="1317" w:type="dxa"/>
            <w:shd w:val="clear" w:color="auto" w:fill="auto"/>
          </w:tcPr>
          <w:p w14:paraId="75824827" w14:textId="77777777" w:rsidR="00FD6499" w:rsidRDefault="00FD6499" w:rsidP="007B0D0D">
            <w:pPr>
              <w:pStyle w:val="EBBodyPara"/>
            </w:pPr>
            <w:r>
              <w:t>0.190</w:t>
            </w:r>
          </w:p>
        </w:tc>
        <w:tc>
          <w:tcPr>
            <w:tcW w:w="1107" w:type="dxa"/>
            <w:gridSpan w:val="2"/>
            <w:shd w:val="clear" w:color="auto" w:fill="auto"/>
          </w:tcPr>
          <w:p w14:paraId="75824828" w14:textId="77777777" w:rsidR="00FD6499" w:rsidRDefault="00FD6499" w:rsidP="007B0D0D">
            <w:pPr>
              <w:pStyle w:val="EBBodyPara"/>
            </w:pPr>
          </w:p>
        </w:tc>
        <w:tc>
          <w:tcPr>
            <w:tcW w:w="1491" w:type="dxa"/>
            <w:gridSpan w:val="2"/>
          </w:tcPr>
          <w:p w14:paraId="75824829" w14:textId="77777777" w:rsidR="00FD6499" w:rsidRDefault="00FD6499" w:rsidP="007B0D0D">
            <w:pPr>
              <w:pStyle w:val="EBBodyPara"/>
            </w:pPr>
          </w:p>
        </w:tc>
        <w:tc>
          <w:tcPr>
            <w:tcW w:w="1491" w:type="dxa"/>
            <w:gridSpan w:val="2"/>
          </w:tcPr>
          <w:p w14:paraId="7582482A" w14:textId="6CDDB3E7" w:rsidR="00FD6499" w:rsidRDefault="00FD6499" w:rsidP="00F45DC9">
            <w:pPr>
              <w:pStyle w:val="EBBodyPara"/>
            </w:pPr>
            <w:r>
              <w:t>0.030(</w:t>
            </w:r>
            <w:r w:rsidR="00F45DC9">
              <w:t>8</w:t>
            </w:r>
            <w:r>
              <w:t>)</w:t>
            </w:r>
          </w:p>
        </w:tc>
      </w:tr>
      <w:tr w:rsidR="00FD6499" w14:paraId="75824832" w14:textId="77777777" w:rsidTr="00C04052">
        <w:trPr>
          <w:jc w:val="center"/>
        </w:trPr>
        <w:tc>
          <w:tcPr>
            <w:tcW w:w="2162" w:type="dxa"/>
            <w:shd w:val="clear" w:color="auto" w:fill="auto"/>
          </w:tcPr>
          <w:p w14:paraId="7582482C" w14:textId="0C72D77D" w:rsidR="00FD6499" w:rsidRDefault="00FD6499" w:rsidP="00F45DC9">
            <w:pPr>
              <w:pStyle w:val="EBBodyPara"/>
            </w:pPr>
            <w:r>
              <w:t>PSB Reviews(</w:t>
            </w:r>
            <w:r w:rsidR="00F45DC9">
              <w:t>5</w:t>
            </w:r>
            <w:r>
              <w:t>)</w:t>
            </w:r>
          </w:p>
        </w:tc>
        <w:tc>
          <w:tcPr>
            <w:tcW w:w="1170" w:type="dxa"/>
            <w:shd w:val="clear" w:color="auto" w:fill="auto"/>
          </w:tcPr>
          <w:p w14:paraId="7582482D" w14:textId="77777777" w:rsidR="00FD6499" w:rsidRDefault="00FD6499" w:rsidP="007B0D0D">
            <w:pPr>
              <w:pStyle w:val="EBBodyPara"/>
            </w:pPr>
          </w:p>
        </w:tc>
        <w:tc>
          <w:tcPr>
            <w:tcW w:w="1317" w:type="dxa"/>
            <w:shd w:val="clear" w:color="auto" w:fill="auto"/>
          </w:tcPr>
          <w:p w14:paraId="7582482E" w14:textId="77777777" w:rsidR="00FD6499" w:rsidRDefault="00FD6499" w:rsidP="007B0D0D">
            <w:pPr>
              <w:pStyle w:val="EBBodyPara"/>
            </w:pPr>
            <w:r>
              <w:t>0.135-0.180</w:t>
            </w:r>
          </w:p>
        </w:tc>
        <w:tc>
          <w:tcPr>
            <w:tcW w:w="1107" w:type="dxa"/>
            <w:gridSpan w:val="2"/>
            <w:shd w:val="clear" w:color="auto" w:fill="auto"/>
          </w:tcPr>
          <w:p w14:paraId="7582482F" w14:textId="77777777" w:rsidR="00FD6499" w:rsidRDefault="00FD6499" w:rsidP="007B0D0D">
            <w:pPr>
              <w:pStyle w:val="EBBodyPara"/>
            </w:pPr>
          </w:p>
        </w:tc>
        <w:tc>
          <w:tcPr>
            <w:tcW w:w="1491" w:type="dxa"/>
            <w:gridSpan w:val="2"/>
          </w:tcPr>
          <w:p w14:paraId="75824830" w14:textId="77777777" w:rsidR="00FD6499" w:rsidRDefault="00FD6499" w:rsidP="007B0D0D">
            <w:pPr>
              <w:pStyle w:val="EBBodyPara"/>
            </w:pPr>
          </w:p>
        </w:tc>
        <w:tc>
          <w:tcPr>
            <w:tcW w:w="1491" w:type="dxa"/>
            <w:gridSpan w:val="2"/>
          </w:tcPr>
          <w:p w14:paraId="75824831" w14:textId="77777777" w:rsidR="00FD6499" w:rsidRDefault="00FD6499" w:rsidP="007B0D0D">
            <w:pPr>
              <w:pStyle w:val="EBBodyPara"/>
            </w:pPr>
          </w:p>
        </w:tc>
      </w:tr>
      <w:tr w:rsidR="00F45DC9" w14:paraId="1B480026" w14:textId="77777777" w:rsidTr="00C04052">
        <w:trPr>
          <w:jc w:val="center"/>
        </w:trPr>
        <w:tc>
          <w:tcPr>
            <w:tcW w:w="2162" w:type="dxa"/>
            <w:shd w:val="clear" w:color="auto" w:fill="auto"/>
          </w:tcPr>
          <w:p w14:paraId="3BD927CE" w14:textId="2CC1883D" w:rsidR="00F45DC9" w:rsidRDefault="00F45DC9" w:rsidP="008747CD">
            <w:pPr>
              <w:pStyle w:val="EBBodyPara"/>
            </w:pPr>
            <w:r>
              <w:t>Change of Control(6)</w:t>
            </w:r>
          </w:p>
        </w:tc>
        <w:tc>
          <w:tcPr>
            <w:tcW w:w="1170" w:type="dxa"/>
            <w:shd w:val="clear" w:color="auto" w:fill="auto"/>
          </w:tcPr>
          <w:p w14:paraId="14D8CFAC" w14:textId="77777777" w:rsidR="00F45DC9" w:rsidRDefault="00F45DC9" w:rsidP="007B0D0D">
            <w:pPr>
              <w:pStyle w:val="EBBodyPara"/>
            </w:pPr>
          </w:p>
        </w:tc>
        <w:tc>
          <w:tcPr>
            <w:tcW w:w="1317" w:type="dxa"/>
            <w:shd w:val="clear" w:color="auto" w:fill="auto"/>
          </w:tcPr>
          <w:p w14:paraId="5CA3B80C" w14:textId="3DEB4BF6" w:rsidR="00F45DC9" w:rsidRDefault="00F45DC9" w:rsidP="007B0D0D">
            <w:pPr>
              <w:pStyle w:val="EBBodyPara"/>
            </w:pPr>
            <w:r>
              <w:t>0.005</w:t>
            </w:r>
          </w:p>
        </w:tc>
        <w:tc>
          <w:tcPr>
            <w:tcW w:w="1107" w:type="dxa"/>
            <w:gridSpan w:val="2"/>
            <w:shd w:val="clear" w:color="auto" w:fill="auto"/>
          </w:tcPr>
          <w:p w14:paraId="0FD897E7" w14:textId="77777777" w:rsidR="00F45DC9" w:rsidRDefault="00F45DC9" w:rsidP="00C04052">
            <w:pPr>
              <w:pStyle w:val="EBBodyPara"/>
            </w:pPr>
          </w:p>
        </w:tc>
        <w:tc>
          <w:tcPr>
            <w:tcW w:w="1491" w:type="dxa"/>
            <w:gridSpan w:val="2"/>
          </w:tcPr>
          <w:p w14:paraId="03482FD8" w14:textId="77777777" w:rsidR="00F45DC9" w:rsidRDefault="00F45DC9" w:rsidP="00C04052">
            <w:pPr>
              <w:pStyle w:val="EBBodyPara"/>
            </w:pPr>
          </w:p>
        </w:tc>
        <w:tc>
          <w:tcPr>
            <w:tcW w:w="1491" w:type="dxa"/>
            <w:gridSpan w:val="2"/>
          </w:tcPr>
          <w:p w14:paraId="03602A6B" w14:textId="77777777" w:rsidR="00F45DC9" w:rsidRDefault="00F45DC9" w:rsidP="007B0D0D">
            <w:pPr>
              <w:pStyle w:val="EBBodyPara"/>
            </w:pPr>
          </w:p>
        </w:tc>
      </w:tr>
      <w:tr w:rsidR="00FD6499" w14:paraId="75824840" w14:textId="77777777" w:rsidTr="00C04052">
        <w:trPr>
          <w:jc w:val="center"/>
        </w:trPr>
        <w:tc>
          <w:tcPr>
            <w:tcW w:w="2162" w:type="dxa"/>
            <w:shd w:val="clear" w:color="auto" w:fill="auto"/>
          </w:tcPr>
          <w:p w14:paraId="7582483A" w14:textId="31E64D83" w:rsidR="00FD6499" w:rsidRDefault="00FD6499" w:rsidP="00F45DC9">
            <w:pPr>
              <w:pStyle w:val="EBBodyPara"/>
            </w:pPr>
            <w:r>
              <w:t>Satellite Filing(</w:t>
            </w:r>
            <w:r w:rsidR="00F45DC9">
              <w:t>7</w:t>
            </w:r>
            <w:r>
              <w:t>)</w:t>
            </w:r>
          </w:p>
        </w:tc>
        <w:tc>
          <w:tcPr>
            <w:tcW w:w="1170" w:type="dxa"/>
            <w:shd w:val="clear" w:color="auto" w:fill="auto"/>
          </w:tcPr>
          <w:p w14:paraId="7582483B" w14:textId="77777777" w:rsidR="00FD6499" w:rsidRDefault="00FD6499" w:rsidP="007B0D0D">
            <w:pPr>
              <w:pStyle w:val="EBBodyPara"/>
            </w:pPr>
            <w:r>
              <w:t>0.001</w:t>
            </w:r>
          </w:p>
        </w:tc>
        <w:tc>
          <w:tcPr>
            <w:tcW w:w="1317" w:type="dxa"/>
            <w:shd w:val="clear" w:color="auto" w:fill="auto"/>
          </w:tcPr>
          <w:p w14:paraId="7582483C" w14:textId="77777777" w:rsidR="00FD6499" w:rsidRDefault="00FD6499" w:rsidP="007B0D0D">
            <w:pPr>
              <w:pStyle w:val="EBBodyPara"/>
            </w:pPr>
          </w:p>
        </w:tc>
        <w:tc>
          <w:tcPr>
            <w:tcW w:w="1107" w:type="dxa"/>
            <w:gridSpan w:val="2"/>
            <w:shd w:val="clear" w:color="auto" w:fill="auto"/>
          </w:tcPr>
          <w:p w14:paraId="7582483D" w14:textId="0A36E2EA" w:rsidR="00FD6499" w:rsidRDefault="00FD6499" w:rsidP="00C04052">
            <w:pPr>
              <w:pStyle w:val="EBBodyPara"/>
            </w:pPr>
            <w:r>
              <w:t>0.</w:t>
            </w:r>
            <w:r w:rsidR="00C04052">
              <w:t>400</w:t>
            </w:r>
          </w:p>
        </w:tc>
        <w:tc>
          <w:tcPr>
            <w:tcW w:w="1491" w:type="dxa"/>
            <w:gridSpan w:val="2"/>
          </w:tcPr>
          <w:p w14:paraId="7582483E" w14:textId="23AFD154" w:rsidR="00FD6499" w:rsidRDefault="00FD6499" w:rsidP="00C04052">
            <w:pPr>
              <w:pStyle w:val="EBBodyPara"/>
            </w:pPr>
            <w:r>
              <w:t>0.</w:t>
            </w:r>
            <w:r w:rsidR="00C04052">
              <w:t>400</w:t>
            </w:r>
          </w:p>
        </w:tc>
        <w:tc>
          <w:tcPr>
            <w:tcW w:w="1491" w:type="dxa"/>
            <w:gridSpan w:val="2"/>
          </w:tcPr>
          <w:p w14:paraId="7582483F" w14:textId="77777777" w:rsidR="00FD6499" w:rsidRDefault="00FD6499" w:rsidP="007B0D0D">
            <w:pPr>
              <w:pStyle w:val="EBBodyPara"/>
            </w:pPr>
          </w:p>
        </w:tc>
      </w:tr>
      <w:tr w:rsidR="00FD6499" w14:paraId="75824847" w14:textId="77777777" w:rsidTr="00C04052">
        <w:trPr>
          <w:jc w:val="center"/>
        </w:trPr>
        <w:tc>
          <w:tcPr>
            <w:tcW w:w="2162" w:type="dxa"/>
            <w:shd w:val="clear" w:color="auto" w:fill="auto"/>
          </w:tcPr>
          <w:p w14:paraId="75824841" w14:textId="77777777" w:rsidR="00FD6499" w:rsidRPr="00FD6499" w:rsidRDefault="00FD6499" w:rsidP="007B0D0D">
            <w:pPr>
              <w:pStyle w:val="EBBodyPara"/>
            </w:pPr>
            <w:r w:rsidRPr="00FD6499">
              <w:t xml:space="preserve">  TOTAL</w:t>
            </w:r>
          </w:p>
        </w:tc>
        <w:tc>
          <w:tcPr>
            <w:tcW w:w="1170" w:type="dxa"/>
            <w:shd w:val="clear" w:color="auto" w:fill="auto"/>
          </w:tcPr>
          <w:p w14:paraId="75824842" w14:textId="77777777" w:rsidR="00FD6499" w:rsidRPr="00FD6499" w:rsidRDefault="00FD6499" w:rsidP="007B0D0D">
            <w:pPr>
              <w:pStyle w:val="EBBodyPara"/>
            </w:pPr>
            <w:r w:rsidRPr="00FD6499">
              <w:t>0.001</w:t>
            </w:r>
          </w:p>
        </w:tc>
        <w:tc>
          <w:tcPr>
            <w:tcW w:w="1317" w:type="dxa"/>
            <w:shd w:val="clear" w:color="auto" w:fill="auto"/>
          </w:tcPr>
          <w:p w14:paraId="75824843" w14:textId="06A8417D" w:rsidR="00FD6499" w:rsidRPr="00FD6499" w:rsidRDefault="00FD6499" w:rsidP="00F45DC9">
            <w:pPr>
              <w:pStyle w:val="EBBodyPara"/>
            </w:pPr>
            <w:r w:rsidRPr="00FD6499">
              <w:t>0.</w:t>
            </w:r>
            <w:r w:rsidR="00F45DC9">
              <w:t>400</w:t>
            </w:r>
            <w:r w:rsidRPr="00FD6499">
              <w:t>-0.4</w:t>
            </w:r>
            <w:r w:rsidR="00F45DC9">
              <w:t>4</w:t>
            </w:r>
            <w:r w:rsidRPr="00FD6499">
              <w:t>5</w:t>
            </w:r>
          </w:p>
        </w:tc>
        <w:tc>
          <w:tcPr>
            <w:tcW w:w="1107" w:type="dxa"/>
            <w:gridSpan w:val="2"/>
            <w:shd w:val="clear" w:color="auto" w:fill="auto"/>
          </w:tcPr>
          <w:p w14:paraId="75824844" w14:textId="714498C6" w:rsidR="00FD6499" w:rsidRPr="00FD6499" w:rsidRDefault="00FD6499" w:rsidP="00C04052">
            <w:pPr>
              <w:pStyle w:val="EBBodyPara"/>
            </w:pPr>
            <w:r w:rsidRPr="00FD6499">
              <w:t>0.</w:t>
            </w:r>
            <w:r w:rsidR="00C04052">
              <w:t>400</w:t>
            </w:r>
          </w:p>
        </w:tc>
        <w:tc>
          <w:tcPr>
            <w:tcW w:w="1491" w:type="dxa"/>
            <w:gridSpan w:val="2"/>
          </w:tcPr>
          <w:p w14:paraId="75824845" w14:textId="08A1B691" w:rsidR="00FD6499" w:rsidRPr="00FD6499" w:rsidRDefault="001132AC" w:rsidP="00C04052">
            <w:pPr>
              <w:pStyle w:val="EBBodyPara"/>
            </w:pPr>
            <w:r>
              <w:t>0.</w:t>
            </w:r>
            <w:r w:rsidR="00C04052">
              <w:t>400</w:t>
            </w:r>
          </w:p>
        </w:tc>
        <w:tc>
          <w:tcPr>
            <w:tcW w:w="1491" w:type="dxa"/>
            <w:gridSpan w:val="2"/>
          </w:tcPr>
          <w:p w14:paraId="75824846" w14:textId="7FC39A54" w:rsidR="00FD6499" w:rsidRPr="00FD6499" w:rsidRDefault="00FD6499" w:rsidP="001132AC">
            <w:pPr>
              <w:pStyle w:val="EBBodyPara"/>
            </w:pPr>
            <w:r w:rsidRPr="00FD6499">
              <w:t>0.0</w:t>
            </w:r>
            <w:r w:rsidR="001132AC">
              <w:t>30</w:t>
            </w:r>
          </w:p>
        </w:tc>
      </w:tr>
    </w:tbl>
    <w:p w14:paraId="75824848" w14:textId="77777777" w:rsidR="0021015D" w:rsidRDefault="0021015D" w:rsidP="002D1AE9">
      <w:pPr>
        <w:pStyle w:val="EBBodyPara"/>
      </w:pPr>
    </w:p>
    <w:p w14:paraId="75824849" w14:textId="77777777" w:rsidR="0021015D" w:rsidRDefault="0021015D" w:rsidP="002D1AE9">
      <w:pPr>
        <w:pStyle w:val="EBBodyPara"/>
      </w:pPr>
    </w:p>
    <w:p w14:paraId="7582484A" w14:textId="77777777" w:rsidR="002F5E96" w:rsidRDefault="00B37107" w:rsidP="002D1AE9">
      <w:pPr>
        <w:pStyle w:val="EBBodyPara"/>
      </w:pPr>
      <w:r>
        <w:t>Notes, sources and methods:</w:t>
      </w:r>
    </w:p>
    <w:p w14:paraId="7582484B" w14:textId="35FA1AD6" w:rsidR="00B37107" w:rsidRDefault="00140382" w:rsidP="00B37107">
      <w:pPr>
        <w:pStyle w:val="EBBodyPara"/>
        <w:numPr>
          <w:ilvl w:val="0"/>
          <w:numId w:val="24"/>
        </w:numPr>
      </w:pPr>
      <w:r>
        <w:t>Following reductions in expenditure in 2010, Ofcom reduced its expenditure on its governance structures. From this reduced base, Ofcom estimates that there are potential savings through reducing its governance structure further, beyond what is currently set out in legislation. It est</w:t>
      </w:r>
      <w:r w:rsidR="001C7D7B">
        <w:t>imates that savings of up to £3</w:t>
      </w:r>
      <w:r w:rsidR="00D55814">
        <w:t>5</w:t>
      </w:r>
      <w:r>
        <w:t xml:space="preserve">,000 in the event that </w:t>
      </w:r>
      <w:r w:rsidR="001C7D7B">
        <w:t xml:space="preserve">certain </w:t>
      </w:r>
      <w:r>
        <w:t xml:space="preserve">advisory bodies were </w:t>
      </w:r>
      <w:r w:rsidR="001C7D7B">
        <w:t>abolished</w:t>
      </w:r>
      <w:r>
        <w:t xml:space="preserve">. </w:t>
      </w:r>
    </w:p>
    <w:p w14:paraId="686AD813" w14:textId="2817AA22" w:rsidR="008747CD" w:rsidRDefault="0012336B" w:rsidP="008747CD">
      <w:pPr>
        <w:pStyle w:val="EBBodyPara"/>
        <w:numPr>
          <w:ilvl w:val="0"/>
          <w:numId w:val="24"/>
        </w:numPr>
      </w:pPr>
      <w:r>
        <w:t xml:space="preserve">Following the government’s declaration of its intention to remove this duty, Ofcom and industry stakeholders abolished BETR, and took the duty in house. Ofcom estimates that it currently spends £10k per annum fulfilling this duty. </w:t>
      </w:r>
      <w:r w:rsidR="008747CD">
        <w:t>Based on other costs incurred to date, Ofcom expects to save about a further £20,000 p.a. once the duty is removed.</w:t>
      </w:r>
    </w:p>
    <w:p w14:paraId="21BC02D5" w14:textId="3DEECCBA" w:rsidR="00F45DC9" w:rsidRDefault="00F45DC9" w:rsidP="008747CD">
      <w:pPr>
        <w:pStyle w:val="EBBodyPara"/>
        <w:numPr>
          <w:ilvl w:val="0"/>
          <w:numId w:val="24"/>
        </w:numPr>
      </w:pPr>
      <w:r>
        <w:lastRenderedPageBreak/>
        <w:t>Ofcom costs.</w:t>
      </w:r>
    </w:p>
    <w:p w14:paraId="7582484F" w14:textId="65F05107" w:rsidR="00B37107" w:rsidRPr="0099057F" w:rsidRDefault="0099057F" w:rsidP="008747CD">
      <w:pPr>
        <w:pStyle w:val="EBBodyPara"/>
        <w:numPr>
          <w:ilvl w:val="0"/>
          <w:numId w:val="24"/>
        </w:numPr>
      </w:pPr>
      <w:r w:rsidRPr="0099057F">
        <w:t xml:space="preserve">The 2009 NWA report cost £190,180. The reviews </w:t>
      </w:r>
      <w:r w:rsidR="00AE319A">
        <w:t>are annual.</w:t>
      </w:r>
    </w:p>
    <w:p w14:paraId="75824850" w14:textId="0BA1E511" w:rsidR="0099057F" w:rsidRDefault="0099057F" w:rsidP="0099057F">
      <w:pPr>
        <w:pStyle w:val="ListParagraph"/>
        <w:numPr>
          <w:ilvl w:val="0"/>
          <w:numId w:val="24"/>
        </w:numPr>
        <w:rPr>
          <w:sz w:val="22"/>
          <w:szCs w:val="22"/>
        </w:rPr>
      </w:pPr>
      <w:r w:rsidRPr="00BA6EC9">
        <w:rPr>
          <w:sz w:val="22"/>
          <w:szCs w:val="22"/>
        </w:rPr>
        <w:t>P</w:t>
      </w:r>
      <w:r w:rsidR="00EE09C0">
        <w:rPr>
          <w:sz w:val="22"/>
          <w:szCs w:val="22"/>
        </w:rPr>
        <w:t>S</w:t>
      </w:r>
      <w:r w:rsidRPr="00BA6EC9">
        <w:rPr>
          <w:sz w:val="22"/>
          <w:szCs w:val="22"/>
        </w:rPr>
        <w:t>B savings: estimated £135,000-180,000. This figure is based on annual savings if a review taking place every ten years rather than every five.</w:t>
      </w:r>
      <w:r w:rsidR="00140382" w:rsidRPr="00BA6EC9">
        <w:rPr>
          <w:sz w:val="22"/>
          <w:szCs w:val="22"/>
        </w:rPr>
        <w:t xml:space="preserve"> Ofcom has projected forward, based on how much it estimates it would spend on a PSB review if it were to have to conduct one this year. The scale of the saving is difficult to quantify exactly, as the frequency</w:t>
      </w:r>
      <w:r w:rsidR="004B6FAA" w:rsidRPr="00BA6EC9">
        <w:rPr>
          <w:sz w:val="22"/>
          <w:szCs w:val="22"/>
        </w:rPr>
        <w:t xml:space="preserve"> and extent of the work to be covered</w:t>
      </w:r>
      <w:r w:rsidR="00140382" w:rsidRPr="00BA6EC9">
        <w:rPr>
          <w:sz w:val="22"/>
          <w:szCs w:val="22"/>
        </w:rPr>
        <w:t xml:space="preserve"> would be at the level set by the </w:t>
      </w:r>
      <w:proofErr w:type="spellStart"/>
      <w:r w:rsidR="00140382" w:rsidRPr="00BA6EC9">
        <w:rPr>
          <w:sz w:val="22"/>
          <w:szCs w:val="22"/>
        </w:rPr>
        <w:t>SoS</w:t>
      </w:r>
      <w:proofErr w:type="spellEnd"/>
      <w:r w:rsidR="00140382" w:rsidRPr="00BA6EC9">
        <w:rPr>
          <w:sz w:val="22"/>
          <w:szCs w:val="22"/>
        </w:rPr>
        <w:t>, so could be more frequent than once every ten years.</w:t>
      </w:r>
    </w:p>
    <w:p w14:paraId="44C57541" w14:textId="4F6FB89E" w:rsidR="00F45DC9" w:rsidRPr="00E80089" w:rsidRDefault="00E80089" w:rsidP="0099057F">
      <w:pPr>
        <w:pStyle w:val="EBBodyPara"/>
        <w:numPr>
          <w:ilvl w:val="0"/>
          <w:numId w:val="24"/>
        </w:numPr>
      </w:pPr>
      <w:r>
        <w:t>This figure is based on Ofcom figures for conducting these reviews in the past.</w:t>
      </w:r>
    </w:p>
    <w:p w14:paraId="75824853" w14:textId="77777777" w:rsidR="00B37107" w:rsidRDefault="004B6FAA" w:rsidP="00B37107">
      <w:pPr>
        <w:pStyle w:val="EBBodyPara"/>
        <w:numPr>
          <w:ilvl w:val="0"/>
          <w:numId w:val="24"/>
        </w:numPr>
      </w:pPr>
      <w:r>
        <w:t xml:space="preserve">Ofcom consulted on this proposal in </w:t>
      </w:r>
      <w:r w:rsidR="00A64DE1">
        <w:t>2007-8</w:t>
      </w:r>
      <w:r>
        <w:t xml:space="preserve">, and estimated these costs at £400k pa based on the current expenditure on the work at this time. The </w:t>
      </w:r>
      <w:r w:rsidR="00A64DE1">
        <w:t>reduction in taxpayer expenditure</w:t>
      </w:r>
      <w:r>
        <w:t xml:space="preserve"> will either come from fees paid by companies, covering the cost of the work, or the work no longer being required as companies decide not to file in the UK.</w:t>
      </w:r>
      <w:r w:rsidR="00A5123B">
        <w:t xml:space="preserve"> The stakeholders who will incur the costs are globally based. This represents a cost transfer from the public purse to those companies who are seeking to complete a satellite filing.</w:t>
      </w:r>
    </w:p>
    <w:p w14:paraId="75824855" w14:textId="1FE0F9D2" w:rsidR="00FD6499" w:rsidRDefault="00FD6499" w:rsidP="00FD6499">
      <w:pPr>
        <w:pStyle w:val="EBBodyPara"/>
        <w:numPr>
          <w:ilvl w:val="0"/>
          <w:numId w:val="24"/>
        </w:numPr>
      </w:pPr>
      <w:r>
        <w:t>Assumes 3 senior managers for 5 days plus 5 support staff for 5 days plus 30% overheads. Applies to ITV, STV, UTV</w:t>
      </w:r>
      <w:r w:rsidR="001132AC">
        <w:t xml:space="preserve"> and</w:t>
      </w:r>
      <w:r>
        <w:t xml:space="preserve"> Channel TV every year. Rates taken from Office of National Statistics: “Annual Survey of Hours and Earnings 2010”, Table 5, average weekly earnings of managers and senior officials and associate professional and technical operations. </w:t>
      </w:r>
    </w:p>
    <w:p w14:paraId="75824857" w14:textId="77777777" w:rsidR="00B37107" w:rsidRDefault="00B37107" w:rsidP="002D1AE9">
      <w:pPr>
        <w:pStyle w:val="EBBodyPara"/>
      </w:pPr>
    </w:p>
    <w:p w14:paraId="75824858" w14:textId="42F96BD5" w:rsidR="00F72CF2" w:rsidRDefault="00F72CF2" w:rsidP="002D1AE9">
      <w:pPr>
        <w:pStyle w:val="EBBodyPara"/>
      </w:pPr>
      <w:r>
        <w:t xml:space="preserve">Compared to Option </w:t>
      </w:r>
      <w:r w:rsidR="00BA6EC9">
        <w:t>2</w:t>
      </w:r>
      <w:r>
        <w:t xml:space="preserve">, it is expected that adoption of Option </w:t>
      </w:r>
      <w:r w:rsidR="00BA6EC9">
        <w:t>1</w:t>
      </w:r>
      <w:r>
        <w:t xml:space="preserve"> will allow Ofcom to reduce its costs by at least £0.</w:t>
      </w:r>
      <w:r w:rsidR="00EE09C0">
        <w:t>3</w:t>
      </w:r>
      <w:r w:rsidR="008747CD">
        <w:t>8</w:t>
      </w:r>
      <w:r>
        <w:t xml:space="preserve"> million p.a. and increase its revenue by £0.</w:t>
      </w:r>
      <w:r w:rsidR="00C04052">
        <w:t>4</w:t>
      </w:r>
      <w:r>
        <w:t xml:space="preserve"> million p.a</w:t>
      </w:r>
      <w:proofErr w:type="gramStart"/>
      <w:r>
        <w:t>..</w:t>
      </w:r>
      <w:proofErr w:type="gramEnd"/>
    </w:p>
    <w:p w14:paraId="463EB7C9" w14:textId="77777777" w:rsidR="00C04052" w:rsidRDefault="00C04052" w:rsidP="002D1AE9">
      <w:pPr>
        <w:pStyle w:val="EBBodyPara"/>
        <w:rPr>
          <w:b/>
        </w:rPr>
      </w:pPr>
    </w:p>
    <w:p w14:paraId="6B77EA41" w14:textId="4FDE9843" w:rsidR="00EE09C0" w:rsidRDefault="00EE09C0" w:rsidP="00EE09C0">
      <w:pPr>
        <w:pStyle w:val="EBBodyPara"/>
        <w:jc w:val="center"/>
        <w:rPr>
          <w:b/>
        </w:rPr>
      </w:pPr>
      <w:r>
        <w:rPr>
          <w:b/>
        </w:rPr>
        <w:t>TABLE 2</w:t>
      </w:r>
    </w:p>
    <w:p w14:paraId="7262B59F" w14:textId="4AF7F0DE" w:rsidR="00EE09C0" w:rsidRDefault="00EE09C0" w:rsidP="00EE09C0">
      <w:pPr>
        <w:pStyle w:val="EBBodyPara"/>
        <w:jc w:val="center"/>
        <w:rPr>
          <w:b/>
        </w:rPr>
      </w:pPr>
      <w:r>
        <w:rPr>
          <w:b/>
        </w:rPr>
        <w:t>SUMMARISED COST REDUCTIONS AND REVENUE INCREASES</w:t>
      </w:r>
    </w:p>
    <w:p w14:paraId="298413CA" w14:textId="4C4CA1CA" w:rsidR="00EE09C0" w:rsidRDefault="00EE09C0" w:rsidP="00EE09C0">
      <w:pPr>
        <w:pStyle w:val="EBBodyPara"/>
        <w:jc w:val="center"/>
        <w:rPr>
          <w:b/>
        </w:rPr>
      </w:pPr>
      <w:r>
        <w:rPr>
          <w:b/>
        </w:rPr>
        <w:t>(£ million in 2012 prices NPV 2014-23)</w:t>
      </w:r>
    </w:p>
    <w:tbl>
      <w:tblPr>
        <w:tblStyle w:val="TableGrid"/>
        <w:tblW w:w="0" w:type="auto"/>
        <w:jc w:val="center"/>
        <w:tblLook w:val="04A0" w:firstRow="1" w:lastRow="0" w:firstColumn="1" w:lastColumn="0" w:noHBand="0" w:noVBand="1"/>
      </w:tblPr>
      <w:tblGrid>
        <w:gridCol w:w="5210"/>
        <w:gridCol w:w="1844"/>
      </w:tblGrid>
      <w:tr w:rsidR="00EE09C0" w14:paraId="3743A3DE" w14:textId="77777777" w:rsidTr="00C04052">
        <w:trPr>
          <w:jc w:val="center"/>
        </w:trPr>
        <w:tc>
          <w:tcPr>
            <w:tcW w:w="5210" w:type="dxa"/>
          </w:tcPr>
          <w:p w14:paraId="03711771" w14:textId="42FE3EF1" w:rsidR="00EE09C0" w:rsidRPr="00EE09C0" w:rsidRDefault="00EE09C0" w:rsidP="00EE09C0">
            <w:pPr>
              <w:pStyle w:val="EBBodyPara"/>
              <w:rPr>
                <w:b/>
              </w:rPr>
            </w:pPr>
            <w:r w:rsidRPr="00EE09C0">
              <w:rPr>
                <w:b/>
              </w:rPr>
              <w:t>COST DECREASES:</w:t>
            </w:r>
          </w:p>
        </w:tc>
        <w:tc>
          <w:tcPr>
            <w:tcW w:w="1844" w:type="dxa"/>
          </w:tcPr>
          <w:p w14:paraId="249D07DE" w14:textId="77777777" w:rsidR="00EE09C0" w:rsidRDefault="00EE09C0" w:rsidP="00EE09C0">
            <w:pPr>
              <w:pStyle w:val="EBBodyPara"/>
              <w:jc w:val="center"/>
              <w:rPr>
                <w:b/>
              </w:rPr>
            </w:pPr>
          </w:p>
        </w:tc>
      </w:tr>
      <w:tr w:rsidR="00EE09C0" w14:paraId="5D94B3D5" w14:textId="77777777" w:rsidTr="00C04052">
        <w:trPr>
          <w:jc w:val="center"/>
        </w:trPr>
        <w:tc>
          <w:tcPr>
            <w:tcW w:w="5210" w:type="dxa"/>
          </w:tcPr>
          <w:p w14:paraId="38F25BC8" w14:textId="2EC187F5" w:rsidR="00EE09C0" w:rsidRPr="00EE09C0" w:rsidRDefault="00EE09C0" w:rsidP="00EE09C0">
            <w:pPr>
              <w:pStyle w:val="EBBodyPara"/>
            </w:pPr>
            <w:r>
              <w:t>Changes to Governance</w:t>
            </w:r>
          </w:p>
        </w:tc>
        <w:tc>
          <w:tcPr>
            <w:tcW w:w="1844" w:type="dxa"/>
          </w:tcPr>
          <w:p w14:paraId="44B7E338" w14:textId="518984C4" w:rsidR="00EE09C0" w:rsidRPr="00EE09C0" w:rsidRDefault="00EE09C0" w:rsidP="00EE09C0">
            <w:pPr>
              <w:pStyle w:val="EBBodyPara"/>
              <w:jc w:val="center"/>
            </w:pPr>
            <w:r>
              <w:t>0.29</w:t>
            </w:r>
          </w:p>
        </w:tc>
      </w:tr>
      <w:tr w:rsidR="008747CD" w14:paraId="0E2323BB" w14:textId="77777777" w:rsidTr="00C04052">
        <w:trPr>
          <w:jc w:val="center"/>
        </w:trPr>
        <w:tc>
          <w:tcPr>
            <w:tcW w:w="5210" w:type="dxa"/>
          </w:tcPr>
          <w:p w14:paraId="3C678B5F" w14:textId="751E7CB2" w:rsidR="008747CD" w:rsidRDefault="008747CD" w:rsidP="00EE09C0">
            <w:pPr>
              <w:pStyle w:val="EBBodyPara"/>
            </w:pPr>
            <w:r>
              <w:t>Cease Equalities Training</w:t>
            </w:r>
          </w:p>
        </w:tc>
        <w:tc>
          <w:tcPr>
            <w:tcW w:w="1844" w:type="dxa"/>
          </w:tcPr>
          <w:p w14:paraId="6B5A9C18" w14:textId="4F15B072" w:rsidR="008747CD" w:rsidRDefault="00A075A0" w:rsidP="00EE09C0">
            <w:pPr>
              <w:pStyle w:val="EBBodyPara"/>
              <w:jc w:val="center"/>
            </w:pPr>
            <w:r>
              <w:t>0.17</w:t>
            </w:r>
          </w:p>
        </w:tc>
      </w:tr>
      <w:tr w:rsidR="00E80089" w14:paraId="3707C2E2" w14:textId="77777777" w:rsidTr="00C04052">
        <w:trPr>
          <w:jc w:val="center"/>
        </w:trPr>
        <w:tc>
          <w:tcPr>
            <w:tcW w:w="5210" w:type="dxa"/>
          </w:tcPr>
          <w:p w14:paraId="2031E3C5" w14:textId="543F9491" w:rsidR="00E80089" w:rsidRDefault="00E80089" w:rsidP="00E80089">
            <w:pPr>
              <w:pStyle w:val="EBBodyPara"/>
            </w:pPr>
            <w:r>
              <w:t>Cease Statements of Programme Policy</w:t>
            </w:r>
          </w:p>
        </w:tc>
        <w:tc>
          <w:tcPr>
            <w:tcW w:w="1844" w:type="dxa"/>
          </w:tcPr>
          <w:p w14:paraId="34FBB2D1" w14:textId="1EF17CF6" w:rsidR="00E80089" w:rsidRDefault="006B798D" w:rsidP="00EE09C0">
            <w:pPr>
              <w:pStyle w:val="EBBodyPara"/>
              <w:jc w:val="center"/>
            </w:pPr>
            <w:r>
              <w:t>0.12</w:t>
            </w:r>
          </w:p>
        </w:tc>
      </w:tr>
      <w:tr w:rsidR="00EE09C0" w14:paraId="2600D9DF" w14:textId="77777777" w:rsidTr="00C04052">
        <w:trPr>
          <w:jc w:val="center"/>
        </w:trPr>
        <w:tc>
          <w:tcPr>
            <w:tcW w:w="5210" w:type="dxa"/>
          </w:tcPr>
          <w:p w14:paraId="2CC3E013" w14:textId="110E3AAC" w:rsidR="00EE09C0" w:rsidRPr="00EE09C0" w:rsidRDefault="008875DE" w:rsidP="00EE09C0">
            <w:pPr>
              <w:pStyle w:val="EBBodyPara"/>
            </w:pPr>
            <w:r>
              <w:t>Reduction in Networking Reports</w:t>
            </w:r>
          </w:p>
        </w:tc>
        <w:tc>
          <w:tcPr>
            <w:tcW w:w="1844" w:type="dxa"/>
          </w:tcPr>
          <w:p w14:paraId="71780FBE" w14:textId="69ED9F24" w:rsidR="00EE09C0" w:rsidRPr="00EE09C0" w:rsidRDefault="008875DE" w:rsidP="00EE09C0">
            <w:pPr>
              <w:pStyle w:val="EBBodyPara"/>
              <w:jc w:val="center"/>
            </w:pPr>
            <w:r>
              <w:t>1.58</w:t>
            </w:r>
          </w:p>
        </w:tc>
      </w:tr>
      <w:tr w:rsidR="00EE09C0" w14:paraId="1084670F" w14:textId="77777777" w:rsidTr="00C04052">
        <w:trPr>
          <w:jc w:val="center"/>
        </w:trPr>
        <w:tc>
          <w:tcPr>
            <w:tcW w:w="5210" w:type="dxa"/>
          </w:tcPr>
          <w:p w14:paraId="09B2FE6E" w14:textId="2D3B5B51" w:rsidR="008875DE" w:rsidRPr="00EE09C0" w:rsidRDefault="008875DE" w:rsidP="008875DE">
            <w:pPr>
              <w:pStyle w:val="EBBodyPara"/>
            </w:pPr>
            <w:r>
              <w:t>Reduction in PSB Reporting:</w:t>
            </w:r>
          </w:p>
        </w:tc>
        <w:tc>
          <w:tcPr>
            <w:tcW w:w="1844" w:type="dxa"/>
          </w:tcPr>
          <w:p w14:paraId="32D78134" w14:textId="77777777" w:rsidR="00EE09C0" w:rsidRPr="00EE09C0" w:rsidRDefault="00EE09C0" w:rsidP="00EE09C0">
            <w:pPr>
              <w:pStyle w:val="EBBodyPara"/>
              <w:jc w:val="center"/>
            </w:pPr>
          </w:p>
        </w:tc>
      </w:tr>
      <w:tr w:rsidR="00EE09C0" w14:paraId="491F5411" w14:textId="77777777" w:rsidTr="00C04052">
        <w:trPr>
          <w:jc w:val="center"/>
        </w:trPr>
        <w:tc>
          <w:tcPr>
            <w:tcW w:w="5210" w:type="dxa"/>
          </w:tcPr>
          <w:p w14:paraId="427262A5" w14:textId="592AEAFF" w:rsidR="00EE09C0" w:rsidRPr="00EE09C0" w:rsidRDefault="008875DE" w:rsidP="00EE09C0">
            <w:pPr>
              <w:pStyle w:val="EBBodyPara"/>
            </w:pPr>
            <w:r>
              <w:t>Minimum</w:t>
            </w:r>
          </w:p>
        </w:tc>
        <w:tc>
          <w:tcPr>
            <w:tcW w:w="1844" w:type="dxa"/>
          </w:tcPr>
          <w:p w14:paraId="393F369F" w14:textId="5E8617CB" w:rsidR="00EE09C0" w:rsidRPr="00EE09C0" w:rsidRDefault="008875DE" w:rsidP="00EE09C0">
            <w:pPr>
              <w:pStyle w:val="EBBodyPara"/>
              <w:jc w:val="center"/>
            </w:pPr>
            <w:r>
              <w:t>1.12</w:t>
            </w:r>
          </w:p>
        </w:tc>
      </w:tr>
      <w:tr w:rsidR="00EE09C0" w14:paraId="33776C86" w14:textId="77777777" w:rsidTr="00C04052">
        <w:trPr>
          <w:jc w:val="center"/>
        </w:trPr>
        <w:tc>
          <w:tcPr>
            <w:tcW w:w="5210" w:type="dxa"/>
          </w:tcPr>
          <w:p w14:paraId="51E8F601" w14:textId="594BBACF" w:rsidR="00EE09C0" w:rsidRPr="00EE09C0" w:rsidRDefault="008875DE" w:rsidP="00EE09C0">
            <w:pPr>
              <w:pStyle w:val="EBBodyPara"/>
            </w:pPr>
            <w:r>
              <w:t>Maximum</w:t>
            </w:r>
          </w:p>
        </w:tc>
        <w:tc>
          <w:tcPr>
            <w:tcW w:w="1844" w:type="dxa"/>
          </w:tcPr>
          <w:p w14:paraId="7132586E" w14:textId="494A7EE6" w:rsidR="00EE09C0" w:rsidRPr="00EE09C0" w:rsidRDefault="008875DE" w:rsidP="00EE09C0">
            <w:pPr>
              <w:pStyle w:val="EBBodyPara"/>
              <w:jc w:val="center"/>
            </w:pPr>
            <w:r>
              <w:t>1.50</w:t>
            </w:r>
          </w:p>
        </w:tc>
      </w:tr>
      <w:tr w:rsidR="00E80089" w14:paraId="509766AE" w14:textId="77777777" w:rsidTr="00C04052">
        <w:trPr>
          <w:jc w:val="center"/>
        </w:trPr>
        <w:tc>
          <w:tcPr>
            <w:tcW w:w="5210" w:type="dxa"/>
          </w:tcPr>
          <w:p w14:paraId="38075FA3" w14:textId="26336AE0" w:rsidR="00E80089" w:rsidRDefault="00E80089" w:rsidP="00EE09C0">
            <w:pPr>
              <w:pStyle w:val="EBBodyPara"/>
            </w:pPr>
            <w:r>
              <w:t>Remove Duty to Review Change of Control</w:t>
            </w:r>
          </w:p>
        </w:tc>
        <w:tc>
          <w:tcPr>
            <w:tcW w:w="1844" w:type="dxa"/>
          </w:tcPr>
          <w:p w14:paraId="0DECCD94" w14:textId="3153BE30" w:rsidR="00E80089" w:rsidRPr="00EE09C0" w:rsidRDefault="006B798D" w:rsidP="00EE09C0">
            <w:pPr>
              <w:pStyle w:val="EBBodyPara"/>
              <w:jc w:val="center"/>
            </w:pPr>
            <w:r>
              <w:t>0.04</w:t>
            </w:r>
          </w:p>
        </w:tc>
      </w:tr>
      <w:tr w:rsidR="00EE09C0" w14:paraId="7EBFC5A0" w14:textId="77777777" w:rsidTr="00C04052">
        <w:trPr>
          <w:jc w:val="center"/>
        </w:trPr>
        <w:tc>
          <w:tcPr>
            <w:tcW w:w="5210" w:type="dxa"/>
          </w:tcPr>
          <w:p w14:paraId="078B0E33" w14:textId="49F32661" w:rsidR="00EE09C0" w:rsidRPr="00EE09C0" w:rsidRDefault="008875DE" w:rsidP="00EE09C0">
            <w:pPr>
              <w:pStyle w:val="EBBodyPara"/>
            </w:pPr>
            <w:r>
              <w:t>TOTAL COST DECREASES</w:t>
            </w:r>
          </w:p>
        </w:tc>
        <w:tc>
          <w:tcPr>
            <w:tcW w:w="1844" w:type="dxa"/>
          </w:tcPr>
          <w:p w14:paraId="7CAC72DF" w14:textId="77777777" w:rsidR="00EE09C0" w:rsidRPr="00EE09C0" w:rsidRDefault="00EE09C0" w:rsidP="00EE09C0">
            <w:pPr>
              <w:pStyle w:val="EBBodyPara"/>
              <w:jc w:val="center"/>
            </w:pPr>
          </w:p>
        </w:tc>
      </w:tr>
      <w:tr w:rsidR="00EE09C0" w14:paraId="3F1C7D43" w14:textId="77777777" w:rsidTr="00C04052">
        <w:trPr>
          <w:jc w:val="center"/>
        </w:trPr>
        <w:tc>
          <w:tcPr>
            <w:tcW w:w="5210" w:type="dxa"/>
          </w:tcPr>
          <w:p w14:paraId="1E0D8BA1" w14:textId="10143580" w:rsidR="00EE09C0" w:rsidRPr="00EE09C0" w:rsidRDefault="008875DE" w:rsidP="00EE09C0">
            <w:pPr>
              <w:pStyle w:val="EBBodyPara"/>
            </w:pPr>
            <w:r>
              <w:t>Minimum</w:t>
            </w:r>
          </w:p>
        </w:tc>
        <w:tc>
          <w:tcPr>
            <w:tcW w:w="1844" w:type="dxa"/>
          </w:tcPr>
          <w:p w14:paraId="08B266C0" w14:textId="4107760D" w:rsidR="00EE09C0" w:rsidRPr="00EE09C0" w:rsidRDefault="00E25787" w:rsidP="006B798D">
            <w:pPr>
              <w:pStyle w:val="EBBodyPara"/>
              <w:jc w:val="center"/>
            </w:pPr>
            <w:r>
              <w:t>3.</w:t>
            </w:r>
            <w:r w:rsidR="006B798D">
              <w:t>33</w:t>
            </w:r>
          </w:p>
        </w:tc>
      </w:tr>
      <w:tr w:rsidR="008875DE" w14:paraId="715D1A61" w14:textId="77777777" w:rsidTr="00C04052">
        <w:trPr>
          <w:jc w:val="center"/>
        </w:trPr>
        <w:tc>
          <w:tcPr>
            <w:tcW w:w="5210" w:type="dxa"/>
          </w:tcPr>
          <w:p w14:paraId="33418000" w14:textId="102FAF77" w:rsidR="008875DE" w:rsidRDefault="008875DE" w:rsidP="00EE09C0">
            <w:pPr>
              <w:pStyle w:val="EBBodyPara"/>
            </w:pPr>
            <w:r>
              <w:t>Maximum</w:t>
            </w:r>
          </w:p>
        </w:tc>
        <w:tc>
          <w:tcPr>
            <w:tcW w:w="1844" w:type="dxa"/>
          </w:tcPr>
          <w:p w14:paraId="72D85C62" w14:textId="7BB6DE12" w:rsidR="008875DE" w:rsidRDefault="008875DE" w:rsidP="006B798D">
            <w:pPr>
              <w:pStyle w:val="EBBodyPara"/>
              <w:jc w:val="center"/>
            </w:pPr>
            <w:r>
              <w:t>3.</w:t>
            </w:r>
            <w:r w:rsidR="006B798D">
              <w:t>70</w:t>
            </w:r>
          </w:p>
        </w:tc>
      </w:tr>
      <w:tr w:rsidR="008875DE" w14:paraId="311866E2" w14:textId="77777777" w:rsidTr="00C04052">
        <w:trPr>
          <w:jc w:val="center"/>
        </w:trPr>
        <w:tc>
          <w:tcPr>
            <w:tcW w:w="5210" w:type="dxa"/>
          </w:tcPr>
          <w:p w14:paraId="11DCC2FA" w14:textId="77777777" w:rsidR="008875DE" w:rsidRDefault="008875DE" w:rsidP="00EE09C0">
            <w:pPr>
              <w:pStyle w:val="EBBodyPara"/>
            </w:pPr>
          </w:p>
        </w:tc>
        <w:tc>
          <w:tcPr>
            <w:tcW w:w="1844" w:type="dxa"/>
          </w:tcPr>
          <w:p w14:paraId="5D30B83A" w14:textId="77777777" w:rsidR="008875DE" w:rsidRDefault="008875DE" w:rsidP="00EE09C0">
            <w:pPr>
              <w:pStyle w:val="EBBodyPara"/>
              <w:jc w:val="center"/>
            </w:pPr>
          </w:p>
        </w:tc>
      </w:tr>
      <w:tr w:rsidR="008875DE" w14:paraId="08B353B3" w14:textId="77777777" w:rsidTr="00C04052">
        <w:trPr>
          <w:jc w:val="center"/>
        </w:trPr>
        <w:tc>
          <w:tcPr>
            <w:tcW w:w="5210" w:type="dxa"/>
          </w:tcPr>
          <w:p w14:paraId="1EDAA2A5" w14:textId="79C4CCE5" w:rsidR="008875DE" w:rsidRPr="008875DE" w:rsidRDefault="008875DE" w:rsidP="00EE09C0">
            <w:pPr>
              <w:pStyle w:val="EBBodyPara"/>
              <w:rPr>
                <w:b/>
              </w:rPr>
            </w:pPr>
            <w:r>
              <w:rPr>
                <w:b/>
              </w:rPr>
              <w:t>REVENUE INCREASES</w:t>
            </w:r>
          </w:p>
        </w:tc>
        <w:tc>
          <w:tcPr>
            <w:tcW w:w="1844" w:type="dxa"/>
          </w:tcPr>
          <w:p w14:paraId="449E51C2" w14:textId="77777777" w:rsidR="008875DE" w:rsidRDefault="008875DE" w:rsidP="00EE09C0">
            <w:pPr>
              <w:pStyle w:val="EBBodyPara"/>
              <w:jc w:val="center"/>
            </w:pPr>
          </w:p>
        </w:tc>
      </w:tr>
      <w:tr w:rsidR="008875DE" w14:paraId="07122440" w14:textId="77777777" w:rsidTr="00C04052">
        <w:trPr>
          <w:jc w:val="center"/>
        </w:trPr>
        <w:tc>
          <w:tcPr>
            <w:tcW w:w="5210" w:type="dxa"/>
          </w:tcPr>
          <w:p w14:paraId="51EAC92F" w14:textId="5E054DA4" w:rsidR="008875DE" w:rsidRPr="008875DE" w:rsidRDefault="008875DE" w:rsidP="00EE09C0">
            <w:pPr>
              <w:pStyle w:val="EBBodyPara"/>
            </w:pPr>
            <w:r>
              <w:t xml:space="preserve">Satellite Filing </w:t>
            </w:r>
          </w:p>
        </w:tc>
        <w:tc>
          <w:tcPr>
            <w:tcW w:w="1844" w:type="dxa"/>
          </w:tcPr>
          <w:p w14:paraId="3734FE72" w14:textId="2427A97B" w:rsidR="008875DE" w:rsidRDefault="008875DE" w:rsidP="00C04052">
            <w:pPr>
              <w:pStyle w:val="EBBodyPara"/>
              <w:jc w:val="center"/>
            </w:pPr>
            <w:r>
              <w:t>3.</w:t>
            </w:r>
            <w:r w:rsidR="00C04052">
              <w:t>33</w:t>
            </w:r>
          </w:p>
        </w:tc>
      </w:tr>
      <w:tr w:rsidR="008875DE" w14:paraId="07774532" w14:textId="77777777" w:rsidTr="00C04052">
        <w:trPr>
          <w:jc w:val="center"/>
        </w:trPr>
        <w:tc>
          <w:tcPr>
            <w:tcW w:w="5210" w:type="dxa"/>
          </w:tcPr>
          <w:p w14:paraId="48D3AA6B" w14:textId="77777777" w:rsidR="008875DE" w:rsidRDefault="008875DE" w:rsidP="00EE09C0">
            <w:pPr>
              <w:pStyle w:val="EBBodyPara"/>
            </w:pPr>
          </w:p>
        </w:tc>
        <w:tc>
          <w:tcPr>
            <w:tcW w:w="1844" w:type="dxa"/>
          </w:tcPr>
          <w:p w14:paraId="7B3DA887" w14:textId="77777777" w:rsidR="008875DE" w:rsidRDefault="008875DE" w:rsidP="00EE09C0">
            <w:pPr>
              <w:pStyle w:val="EBBodyPara"/>
              <w:jc w:val="center"/>
            </w:pPr>
          </w:p>
        </w:tc>
      </w:tr>
      <w:tr w:rsidR="008875DE" w14:paraId="36DD8350" w14:textId="77777777" w:rsidTr="00C04052">
        <w:trPr>
          <w:jc w:val="center"/>
        </w:trPr>
        <w:tc>
          <w:tcPr>
            <w:tcW w:w="5210" w:type="dxa"/>
          </w:tcPr>
          <w:p w14:paraId="072F3AB7" w14:textId="6B0363B5" w:rsidR="008875DE" w:rsidRPr="008875DE" w:rsidRDefault="008875DE" w:rsidP="00EE09C0">
            <w:pPr>
              <w:pStyle w:val="EBBodyPara"/>
              <w:rPr>
                <w:b/>
              </w:rPr>
            </w:pPr>
            <w:r>
              <w:rPr>
                <w:b/>
              </w:rPr>
              <w:t>NET COST REDUCTIONS/REVENUE INCREASES</w:t>
            </w:r>
          </w:p>
        </w:tc>
        <w:tc>
          <w:tcPr>
            <w:tcW w:w="1844" w:type="dxa"/>
          </w:tcPr>
          <w:p w14:paraId="39EC3C99" w14:textId="77777777" w:rsidR="008875DE" w:rsidRDefault="008875DE" w:rsidP="00EE09C0">
            <w:pPr>
              <w:pStyle w:val="EBBodyPara"/>
              <w:jc w:val="center"/>
            </w:pPr>
          </w:p>
        </w:tc>
      </w:tr>
      <w:tr w:rsidR="008875DE" w14:paraId="70FD1D43" w14:textId="77777777" w:rsidTr="00C04052">
        <w:trPr>
          <w:jc w:val="center"/>
        </w:trPr>
        <w:tc>
          <w:tcPr>
            <w:tcW w:w="5210" w:type="dxa"/>
          </w:tcPr>
          <w:p w14:paraId="4CFE52FE" w14:textId="5C4E07AB" w:rsidR="008875DE" w:rsidRPr="008875DE" w:rsidRDefault="008875DE" w:rsidP="008875DE">
            <w:pPr>
              <w:pStyle w:val="EBBodyPara"/>
            </w:pPr>
            <w:r>
              <w:t>Minimum</w:t>
            </w:r>
          </w:p>
        </w:tc>
        <w:tc>
          <w:tcPr>
            <w:tcW w:w="1844" w:type="dxa"/>
          </w:tcPr>
          <w:p w14:paraId="53C2BDED" w14:textId="356F7993" w:rsidR="008875DE" w:rsidRDefault="008875DE" w:rsidP="006B798D">
            <w:pPr>
              <w:pStyle w:val="EBBodyPara"/>
              <w:jc w:val="center"/>
            </w:pPr>
            <w:r>
              <w:t>6.</w:t>
            </w:r>
            <w:r w:rsidR="006B798D">
              <w:t>66</w:t>
            </w:r>
          </w:p>
        </w:tc>
      </w:tr>
      <w:tr w:rsidR="008875DE" w14:paraId="4633367A" w14:textId="77777777" w:rsidTr="00C04052">
        <w:trPr>
          <w:jc w:val="center"/>
        </w:trPr>
        <w:tc>
          <w:tcPr>
            <w:tcW w:w="5210" w:type="dxa"/>
          </w:tcPr>
          <w:p w14:paraId="43F53D9C" w14:textId="7F3938E0" w:rsidR="008875DE" w:rsidRPr="008875DE" w:rsidRDefault="008875DE" w:rsidP="00EE09C0">
            <w:pPr>
              <w:pStyle w:val="EBBodyPara"/>
            </w:pPr>
            <w:r>
              <w:t>Maximum</w:t>
            </w:r>
          </w:p>
        </w:tc>
        <w:tc>
          <w:tcPr>
            <w:tcW w:w="1844" w:type="dxa"/>
          </w:tcPr>
          <w:p w14:paraId="32496EFA" w14:textId="6BA9185F" w:rsidR="008875DE" w:rsidRDefault="006B798D" w:rsidP="006B798D">
            <w:pPr>
              <w:pStyle w:val="EBBodyPara"/>
              <w:jc w:val="center"/>
            </w:pPr>
            <w:r>
              <w:t>7</w:t>
            </w:r>
            <w:r w:rsidR="008875DE">
              <w:t>.</w:t>
            </w:r>
            <w:r>
              <w:t>03</w:t>
            </w:r>
          </w:p>
        </w:tc>
      </w:tr>
    </w:tbl>
    <w:p w14:paraId="24E04F3D" w14:textId="77777777" w:rsidR="00EE09C0" w:rsidRDefault="00EE09C0" w:rsidP="00EE09C0">
      <w:pPr>
        <w:pStyle w:val="EBBodyPara"/>
        <w:jc w:val="center"/>
        <w:rPr>
          <w:b/>
        </w:rPr>
      </w:pPr>
    </w:p>
    <w:p w14:paraId="7582485A" w14:textId="77777777" w:rsidR="00BC485E" w:rsidRDefault="00B37107" w:rsidP="002D1AE9">
      <w:pPr>
        <w:pStyle w:val="EBBodyPara"/>
        <w:rPr>
          <w:b/>
        </w:rPr>
      </w:pPr>
      <w:r>
        <w:rPr>
          <w:b/>
        </w:rPr>
        <w:t>RATIONALE OF APPROACH</w:t>
      </w:r>
    </w:p>
    <w:p w14:paraId="7582485B" w14:textId="77777777" w:rsidR="00BC485E" w:rsidRPr="00B37107" w:rsidRDefault="009C506E" w:rsidP="002D1AE9">
      <w:pPr>
        <w:pStyle w:val="EBBodyPara"/>
      </w:pPr>
      <w:r>
        <w:t>The approach adopted for the preparation of these estimates was to enlist the assistance of Ofcom. Only Ofcom can make informed estimates of many of the likely impacts of the proposed measure. However, where that is not necessarily the case it is hoped that the consultation will help correct any inaccuracies that the approach adopted may entail.</w:t>
      </w:r>
      <w:r w:rsidR="00074A20">
        <w:t xml:space="preserve"> It is conceivable that an alternative approach involving modelling of the operations of Ofcom and the markets and the companies it regulates could also yield robust estimates of costs and benefits. However, it was judged that the expense involved would be disproportionate to the savings in administration costs that are in prospect if the measure is adopted.</w:t>
      </w:r>
    </w:p>
    <w:p w14:paraId="7582485C" w14:textId="77777777" w:rsidR="00BC485E" w:rsidRPr="00074A20" w:rsidRDefault="00074A20" w:rsidP="002D1AE9">
      <w:pPr>
        <w:pStyle w:val="EBBodyPara"/>
        <w:rPr>
          <w:b/>
        </w:rPr>
      </w:pPr>
      <w:r w:rsidRPr="00074A20">
        <w:rPr>
          <w:b/>
        </w:rPr>
        <w:t>RISKS</w:t>
      </w:r>
    </w:p>
    <w:p w14:paraId="7582485D" w14:textId="77777777" w:rsidR="00BC485E" w:rsidRDefault="00AC2C41" w:rsidP="002D1AE9">
      <w:pPr>
        <w:pStyle w:val="EBBodyPara"/>
      </w:pPr>
      <w:r>
        <w:t>T</w:t>
      </w:r>
      <w:r w:rsidR="00BA6EC9">
        <w:t>wo</w:t>
      </w:r>
      <w:r w:rsidR="00074A20">
        <w:t xml:space="preserve"> risks have been identified:</w:t>
      </w:r>
    </w:p>
    <w:p w14:paraId="7582485E" w14:textId="77777777" w:rsidR="00074A20" w:rsidRDefault="00074A20" w:rsidP="00074A20">
      <w:pPr>
        <w:pStyle w:val="EBBodyPara"/>
        <w:numPr>
          <w:ilvl w:val="0"/>
          <w:numId w:val="25"/>
        </w:numPr>
      </w:pPr>
      <w:r>
        <w:t>Ofcom’s estimates of cost savings or revenue gains may suffer from optimism bias. As a consequence, the totals set out in Table 1 may be over-estimated.</w:t>
      </w:r>
    </w:p>
    <w:p w14:paraId="7582485F" w14:textId="77777777" w:rsidR="00F57C99" w:rsidRDefault="00F57C99" w:rsidP="00074A20">
      <w:pPr>
        <w:pStyle w:val="EBBodyPara"/>
        <w:numPr>
          <w:ilvl w:val="0"/>
          <w:numId w:val="25"/>
        </w:numPr>
      </w:pPr>
      <w:r>
        <w:t>The Secretary of State may choose to exercise his discretion to order reviews at more frequent intervals than those currently set out in the Communications Act 2003. In that case, Ofcom costs may rise as a result of this measure.</w:t>
      </w:r>
    </w:p>
    <w:p w14:paraId="75824860" w14:textId="3E4AA9A3" w:rsidR="00BC485E" w:rsidRDefault="00F57C99" w:rsidP="002D1AE9">
      <w:pPr>
        <w:pStyle w:val="EBBodyPara"/>
        <w:rPr>
          <w:b/>
        </w:rPr>
      </w:pPr>
      <w:r>
        <w:rPr>
          <w:b/>
        </w:rPr>
        <w:t xml:space="preserve">ONE IN, </w:t>
      </w:r>
      <w:r w:rsidR="00C04052">
        <w:rPr>
          <w:b/>
        </w:rPr>
        <w:t>TWO</w:t>
      </w:r>
      <w:r>
        <w:rPr>
          <w:b/>
        </w:rPr>
        <w:t xml:space="preserve"> OUT</w:t>
      </w:r>
    </w:p>
    <w:p w14:paraId="75824861" w14:textId="5FC5250A" w:rsidR="00FE428E" w:rsidRDefault="00FE428E" w:rsidP="002D1AE9">
      <w:pPr>
        <w:pStyle w:val="EBBodyPara"/>
      </w:pPr>
      <w:r>
        <w:t xml:space="preserve">This measure counts as an </w:t>
      </w:r>
      <w:r w:rsidR="001132AC">
        <w:t>In</w:t>
      </w:r>
      <w:r>
        <w:t xml:space="preserve">. </w:t>
      </w:r>
      <w:r w:rsidR="00F72CF2">
        <w:t>In 2009 prices</w:t>
      </w:r>
      <w:r>
        <w:t>,</w:t>
      </w:r>
      <w:r w:rsidR="00F72CF2">
        <w:t xml:space="preserve"> PVC</w:t>
      </w:r>
      <w:r>
        <w:t>N</w:t>
      </w:r>
      <w:r w:rsidR="00F72CF2">
        <w:t xml:space="preserve">B are estimated at </w:t>
      </w:r>
      <w:r>
        <w:t>£2.</w:t>
      </w:r>
      <w:r w:rsidR="00C04052">
        <w:t>45</w:t>
      </w:r>
      <w:r>
        <w:t xml:space="preserve"> million for the 1</w:t>
      </w:r>
      <w:r w:rsidR="00C04052">
        <w:t>0</w:t>
      </w:r>
      <w:r>
        <w:t xml:space="preserve"> years to 202</w:t>
      </w:r>
      <w:r w:rsidR="00C04052">
        <w:t>3</w:t>
      </w:r>
      <w:r>
        <w:t>. This implies that the EANCB of this measure is £0.2</w:t>
      </w:r>
      <w:r w:rsidR="00C04052">
        <w:t>8</w:t>
      </w:r>
      <w:r>
        <w:t xml:space="preserve"> million. However, this represents the cost to business of the removal of the taxpayer subsidy currently being afforded satellite operators for filing by Ofcom at the ITU. </w:t>
      </w:r>
    </w:p>
    <w:p w14:paraId="75824862" w14:textId="77777777" w:rsidR="00800694" w:rsidRDefault="00F57C99" w:rsidP="002D1AE9">
      <w:pPr>
        <w:pStyle w:val="EBBodyPara"/>
        <w:rPr>
          <w:b/>
        </w:rPr>
      </w:pPr>
      <w:r>
        <w:rPr>
          <w:b/>
        </w:rPr>
        <w:t>WIDER IMPACTS</w:t>
      </w:r>
    </w:p>
    <w:p w14:paraId="75824863" w14:textId="77777777" w:rsidR="00800694" w:rsidRDefault="00F57C99" w:rsidP="002D1AE9">
      <w:pPr>
        <w:pStyle w:val="EBBodyPara"/>
      </w:pPr>
      <w:r>
        <w:t>No wider impacts have been identified.</w:t>
      </w:r>
    </w:p>
    <w:p w14:paraId="75824864" w14:textId="77777777" w:rsidR="00800694" w:rsidRDefault="00F57C99" w:rsidP="002D1AE9">
      <w:pPr>
        <w:pStyle w:val="EBBodyPara"/>
        <w:rPr>
          <w:b/>
        </w:rPr>
      </w:pPr>
      <w:r>
        <w:rPr>
          <w:b/>
        </w:rPr>
        <w:t>SUMMARY AND IMPLEMENTATION</w:t>
      </w:r>
    </w:p>
    <w:p w14:paraId="75824866" w14:textId="292ACF1E" w:rsidR="007855AB" w:rsidRDefault="007855AB" w:rsidP="002D1AE9">
      <w:pPr>
        <w:pStyle w:val="EBBodyPara"/>
        <w:rPr>
          <w:b/>
        </w:rPr>
      </w:pPr>
      <w:r>
        <w:t>If this measure comes into force it will rationalise some of Ofcom's statutory duties which are out of date or duplicate work performed elsewhere. This is expected to help Ofcom become more efficient and flexible</w:t>
      </w:r>
      <w:r w:rsidR="005869AB">
        <w:t xml:space="preserve"> and to bring back certain functions to the Secretary of State</w:t>
      </w:r>
      <w:r>
        <w:t xml:space="preserve">. </w:t>
      </w:r>
      <w:r w:rsidR="00702D2E">
        <w:t xml:space="preserve">It is proposed that a full public consultation will be carried out on this measure later this year and that a draft Order </w:t>
      </w:r>
      <w:r w:rsidR="0080100D">
        <w:t xml:space="preserve">(to be made under the Public Bodies Act – currently a Bill and expected to receive Royal Assent by the end of 2011) </w:t>
      </w:r>
      <w:r w:rsidR="00702D2E">
        <w:t xml:space="preserve">will be presented to Parliament in </w:t>
      </w:r>
      <w:proofErr w:type="gramStart"/>
      <w:r w:rsidR="00702D2E">
        <w:t>Spring</w:t>
      </w:r>
      <w:proofErr w:type="gramEnd"/>
      <w:r w:rsidR="00702D2E">
        <w:t xml:space="preserve"> 2012.</w:t>
      </w:r>
      <w:r w:rsidR="005869AB">
        <w:t xml:space="preserve">  It is hoped that this measure will enter into force by July 2012.</w:t>
      </w:r>
    </w:p>
    <w:sectPr w:rsidR="007855AB" w:rsidSect="00807DB6">
      <w:footerReference w:type="default" r:id="rId9"/>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24869" w14:textId="77777777" w:rsidR="001A2C51" w:rsidRDefault="001A2C51">
      <w:r>
        <w:separator/>
      </w:r>
    </w:p>
  </w:endnote>
  <w:endnote w:type="continuationSeparator" w:id="0">
    <w:p w14:paraId="7582486A" w14:textId="77777777" w:rsidR="001A2C51" w:rsidRDefault="001A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enlo Regular">
    <w:altName w:val="Lucida Console"/>
    <w:charset w:val="00"/>
    <w:family w:val="auto"/>
    <w:pitch w:val="variable"/>
    <w:sig w:usb0="00000003" w:usb1="00000000" w:usb2="00000000" w:usb3="00000000" w:csb0="00000001" w:csb1="00000000"/>
  </w:font>
  <w:font w:name="Apple Symbol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2486B" w14:textId="77777777" w:rsidR="001A2C51" w:rsidRPr="00EB43FD" w:rsidRDefault="001A2C51"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6B77E2">
      <w:rPr>
        <w:rStyle w:val="PageNumber"/>
        <w:rFonts w:eastAsia="SimSun"/>
        <w:b w:val="0"/>
        <w:noProof/>
        <w:szCs w:val="18"/>
      </w:rPr>
      <w:t>2</w:t>
    </w:r>
    <w:r w:rsidRPr="00EB43FD">
      <w:rPr>
        <w:rStyle w:val="PageNumber"/>
        <w:rFonts w:eastAsia="SimSun"/>
        <w:b w:val="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2486C" w14:textId="77777777" w:rsidR="001A2C51" w:rsidRPr="00EB43FD" w:rsidRDefault="001A2C51"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6F1E8B">
      <w:rPr>
        <w:rStyle w:val="PageNumber"/>
        <w:b w:val="0"/>
        <w:noProof/>
        <w:szCs w:val="18"/>
      </w:rPr>
      <w:t>7</w:t>
    </w:r>
    <w:r w:rsidRPr="00EB43FD">
      <w:rPr>
        <w:rStyle w:val="PageNumber"/>
        <w:b w:val="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24867" w14:textId="77777777" w:rsidR="001A2C51" w:rsidRDefault="001A2C51">
      <w:r>
        <w:separator/>
      </w:r>
    </w:p>
  </w:footnote>
  <w:footnote w:type="continuationSeparator" w:id="0">
    <w:p w14:paraId="75824868" w14:textId="77777777" w:rsidR="001A2C51" w:rsidRDefault="001A2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2EAC8"/>
    <w:lvl w:ilvl="0">
      <w:start w:val="1"/>
      <w:numFmt w:val="decimal"/>
      <w:lvlText w:val="%1."/>
      <w:lvlJc w:val="left"/>
      <w:pPr>
        <w:tabs>
          <w:tab w:val="num" w:pos="1492"/>
        </w:tabs>
        <w:ind w:left="1492" w:hanging="360"/>
      </w:pPr>
    </w:lvl>
  </w:abstractNum>
  <w:abstractNum w:abstractNumId="1">
    <w:nsid w:val="FFFFFF7D"/>
    <w:multiLevelType w:val="singleLevel"/>
    <w:tmpl w:val="3438C8F0"/>
    <w:lvl w:ilvl="0">
      <w:start w:val="1"/>
      <w:numFmt w:val="decimal"/>
      <w:lvlText w:val="%1."/>
      <w:lvlJc w:val="left"/>
      <w:pPr>
        <w:tabs>
          <w:tab w:val="num" w:pos="1209"/>
        </w:tabs>
        <w:ind w:left="1209" w:hanging="360"/>
      </w:pPr>
    </w:lvl>
  </w:abstractNum>
  <w:abstractNum w:abstractNumId="2">
    <w:nsid w:val="FFFFFF7E"/>
    <w:multiLevelType w:val="singleLevel"/>
    <w:tmpl w:val="D742A838"/>
    <w:lvl w:ilvl="0">
      <w:start w:val="1"/>
      <w:numFmt w:val="decimal"/>
      <w:lvlText w:val="%1."/>
      <w:lvlJc w:val="left"/>
      <w:pPr>
        <w:tabs>
          <w:tab w:val="num" w:pos="926"/>
        </w:tabs>
        <w:ind w:left="926" w:hanging="360"/>
      </w:pPr>
    </w:lvl>
  </w:abstractNum>
  <w:abstractNum w:abstractNumId="3">
    <w:nsid w:val="FFFFFF7F"/>
    <w:multiLevelType w:val="singleLevel"/>
    <w:tmpl w:val="23A4D59C"/>
    <w:lvl w:ilvl="0">
      <w:start w:val="1"/>
      <w:numFmt w:val="decimal"/>
      <w:lvlText w:val="%1."/>
      <w:lvlJc w:val="left"/>
      <w:pPr>
        <w:tabs>
          <w:tab w:val="num" w:pos="643"/>
        </w:tabs>
        <w:ind w:left="643" w:hanging="360"/>
      </w:pPr>
    </w:lvl>
  </w:abstractNum>
  <w:abstractNum w:abstractNumId="4">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587AE4"/>
    <w:lvl w:ilvl="0">
      <w:start w:val="1"/>
      <w:numFmt w:val="decimal"/>
      <w:lvlText w:val="%1."/>
      <w:lvlJc w:val="left"/>
      <w:pPr>
        <w:tabs>
          <w:tab w:val="num" w:pos="360"/>
        </w:tabs>
        <w:ind w:left="360" w:hanging="360"/>
      </w:pPr>
    </w:lvl>
  </w:abstractNum>
  <w:abstractNum w:abstractNumId="9">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nsid w:val="001131D5"/>
    <w:multiLevelType w:val="multilevel"/>
    <w:tmpl w:val="7E8654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777104D"/>
    <w:multiLevelType w:val="multilevel"/>
    <w:tmpl w:val="02B2DD8E"/>
    <w:lvl w:ilvl="0">
      <w:start w:val="1"/>
      <w:numFmt w:val="decimal"/>
      <w:suff w:val="nothing"/>
      <w:lvlText w:val="%1"/>
      <w:lvlJc w:val="left"/>
      <w:pPr>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nsid w:val="3F654018"/>
    <w:multiLevelType w:val="hybridMultilevel"/>
    <w:tmpl w:val="25D6E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6638D9"/>
    <w:multiLevelType w:val="hybridMultilevel"/>
    <w:tmpl w:val="50AA0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A47828"/>
    <w:multiLevelType w:val="hybridMultilevel"/>
    <w:tmpl w:val="52420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79A33D09"/>
    <w:multiLevelType w:val="hybridMultilevel"/>
    <w:tmpl w:val="4FE46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DB7C26"/>
    <w:multiLevelType w:val="hybridMultilevel"/>
    <w:tmpl w:val="7C30DE96"/>
    <w:lvl w:ilvl="0" w:tplc="08090017">
      <w:start w:val="2"/>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7FB75C1D"/>
    <w:multiLevelType w:val="multilevel"/>
    <w:tmpl w:val="E2CC615A"/>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0"/>
  </w:num>
  <w:num w:numId="14">
    <w:abstractNumId w:val="13"/>
  </w:num>
  <w:num w:numId="15">
    <w:abstractNumId w:val="12"/>
  </w:num>
  <w:num w:numId="16">
    <w:abstractNumId w:val="11"/>
  </w:num>
  <w:num w:numId="17">
    <w:abstractNumId w:val="12"/>
  </w:num>
  <w:num w:numId="18">
    <w:abstractNumId w:val="20"/>
  </w:num>
  <w:num w:numId="19">
    <w:abstractNumId w:val="20"/>
  </w:num>
  <w:num w:numId="20">
    <w:abstractNumId w:val="20"/>
  </w:num>
  <w:num w:numId="21">
    <w:abstractNumId w:val="12"/>
  </w:num>
  <w:num w:numId="22">
    <w:abstractNumId w:val="18"/>
  </w:num>
  <w:num w:numId="23">
    <w:abstractNumId w:val="14"/>
  </w:num>
  <w:num w:numId="24">
    <w:abstractNumId w:val="15"/>
  </w:num>
  <w:num w:numId="25">
    <w:abstractNumId w:val="16"/>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doNotShadeFormData/>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Doc" w:val="Created"/>
  </w:docVars>
  <w:rsids>
    <w:rsidRoot w:val="000110EB"/>
    <w:rsid w:val="000019B2"/>
    <w:rsid w:val="00001E72"/>
    <w:rsid w:val="0000505F"/>
    <w:rsid w:val="00005C19"/>
    <w:rsid w:val="000071A5"/>
    <w:rsid w:val="000079C0"/>
    <w:rsid w:val="000102B0"/>
    <w:rsid w:val="00010EE1"/>
    <w:rsid w:val="000110EB"/>
    <w:rsid w:val="00012458"/>
    <w:rsid w:val="000142F1"/>
    <w:rsid w:val="0001460F"/>
    <w:rsid w:val="00021306"/>
    <w:rsid w:val="000222F1"/>
    <w:rsid w:val="00022BE0"/>
    <w:rsid w:val="00022F52"/>
    <w:rsid w:val="0002370C"/>
    <w:rsid w:val="000239A7"/>
    <w:rsid w:val="00023E62"/>
    <w:rsid w:val="000251D0"/>
    <w:rsid w:val="00026555"/>
    <w:rsid w:val="00026AC0"/>
    <w:rsid w:val="0003786D"/>
    <w:rsid w:val="0004016B"/>
    <w:rsid w:val="000407D8"/>
    <w:rsid w:val="00041866"/>
    <w:rsid w:val="00045828"/>
    <w:rsid w:val="00045BAD"/>
    <w:rsid w:val="00051403"/>
    <w:rsid w:val="00052F44"/>
    <w:rsid w:val="00056AE4"/>
    <w:rsid w:val="00056EE6"/>
    <w:rsid w:val="0006047F"/>
    <w:rsid w:val="0006053F"/>
    <w:rsid w:val="00061ADF"/>
    <w:rsid w:val="00064C96"/>
    <w:rsid w:val="000671A2"/>
    <w:rsid w:val="00070EEB"/>
    <w:rsid w:val="00071299"/>
    <w:rsid w:val="00072272"/>
    <w:rsid w:val="00074A20"/>
    <w:rsid w:val="000767AC"/>
    <w:rsid w:val="0007695E"/>
    <w:rsid w:val="00076A78"/>
    <w:rsid w:val="00076C08"/>
    <w:rsid w:val="00082514"/>
    <w:rsid w:val="00082BAC"/>
    <w:rsid w:val="00083FE3"/>
    <w:rsid w:val="00084935"/>
    <w:rsid w:val="000860CC"/>
    <w:rsid w:val="00086128"/>
    <w:rsid w:val="0008629A"/>
    <w:rsid w:val="0008731F"/>
    <w:rsid w:val="0009381F"/>
    <w:rsid w:val="00094680"/>
    <w:rsid w:val="000956FD"/>
    <w:rsid w:val="000A1EC6"/>
    <w:rsid w:val="000A36EE"/>
    <w:rsid w:val="000A79FC"/>
    <w:rsid w:val="000B07A1"/>
    <w:rsid w:val="000B1176"/>
    <w:rsid w:val="000B3680"/>
    <w:rsid w:val="000B3E49"/>
    <w:rsid w:val="000C031E"/>
    <w:rsid w:val="000C165A"/>
    <w:rsid w:val="000C1D45"/>
    <w:rsid w:val="000C30D8"/>
    <w:rsid w:val="000C4589"/>
    <w:rsid w:val="000C57D5"/>
    <w:rsid w:val="000C6A87"/>
    <w:rsid w:val="000D1CB0"/>
    <w:rsid w:val="000D55B5"/>
    <w:rsid w:val="000D58BD"/>
    <w:rsid w:val="000D5ED5"/>
    <w:rsid w:val="000D71EE"/>
    <w:rsid w:val="000D7F7C"/>
    <w:rsid w:val="000E3308"/>
    <w:rsid w:val="000E3FD7"/>
    <w:rsid w:val="000E452D"/>
    <w:rsid w:val="000F37BB"/>
    <w:rsid w:val="000F4481"/>
    <w:rsid w:val="000F57BB"/>
    <w:rsid w:val="00101961"/>
    <w:rsid w:val="00102870"/>
    <w:rsid w:val="001110DB"/>
    <w:rsid w:val="001132AC"/>
    <w:rsid w:val="00115D70"/>
    <w:rsid w:val="00120113"/>
    <w:rsid w:val="0012336B"/>
    <w:rsid w:val="001235DD"/>
    <w:rsid w:val="0012369A"/>
    <w:rsid w:val="001243CD"/>
    <w:rsid w:val="00127373"/>
    <w:rsid w:val="00130BCD"/>
    <w:rsid w:val="00133A17"/>
    <w:rsid w:val="00133C58"/>
    <w:rsid w:val="001365F4"/>
    <w:rsid w:val="00140382"/>
    <w:rsid w:val="0014140D"/>
    <w:rsid w:val="00141B6F"/>
    <w:rsid w:val="0014336D"/>
    <w:rsid w:val="001477D1"/>
    <w:rsid w:val="00150DAE"/>
    <w:rsid w:val="0015254E"/>
    <w:rsid w:val="00152C60"/>
    <w:rsid w:val="001535F3"/>
    <w:rsid w:val="00156E0C"/>
    <w:rsid w:val="00160691"/>
    <w:rsid w:val="00165113"/>
    <w:rsid w:val="00167E35"/>
    <w:rsid w:val="001709E2"/>
    <w:rsid w:val="00174C10"/>
    <w:rsid w:val="0017537B"/>
    <w:rsid w:val="00175447"/>
    <w:rsid w:val="00182B85"/>
    <w:rsid w:val="00183038"/>
    <w:rsid w:val="00183882"/>
    <w:rsid w:val="001844B6"/>
    <w:rsid w:val="001851A3"/>
    <w:rsid w:val="001851B9"/>
    <w:rsid w:val="001855B1"/>
    <w:rsid w:val="0019021E"/>
    <w:rsid w:val="00190F9A"/>
    <w:rsid w:val="00194050"/>
    <w:rsid w:val="00194745"/>
    <w:rsid w:val="00194E96"/>
    <w:rsid w:val="001A07F1"/>
    <w:rsid w:val="001A2C51"/>
    <w:rsid w:val="001A3B0B"/>
    <w:rsid w:val="001A4332"/>
    <w:rsid w:val="001A4432"/>
    <w:rsid w:val="001A478E"/>
    <w:rsid w:val="001A509E"/>
    <w:rsid w:val="001A6FE6"/>
    <w:rsid w:val="001A7B61"/>
    <w:rsid w:val="001A7D6D"/>
    <w:rsid w:val="001B305C"/>
    <w:rsid w:val="001B34EB"/>
    <w:rsid w:val="001C0644"/>
    <w:rsid w:val="001C0B58"/>
    <w:rsid w:val="001C7C39"/>
    <w:rsid w:val="001C7D7B"/>
    <w:rsid w:val="001D09CC"/>
    <w:rsid w:val="001D0AF4"/>
    <w:rsid w:val="001D12D6"/>
    <w:rsid w:val="001D2096"/>
    <w:rsid w:val="001D3A43"/>
    <w:rsid w:val="001D3C11"/>
    <w:rsid w:val="001D4D42"/>
    <w:rsid w:val="001D5EC9"/>
    <w:rsid w:val="001D6B90"/>
    <w:rsid w:val="001E152A"/>
    <w:rsid w:val="001E1DA0"/>
    <w:rsid w:val="001F32A9"/>
    <w:rsid w:val="001F5423"/>
    <w:rsid w:val="001F5DD9"/>
    <w:rsid w:val="001F69E9"/>
    <w:rsid w:val="001F71C9"/>
    <w:rsid w:val="0020104C"/>
    <w:rsid w:val="002010E5"/>
    <w:rsid w:val="00201B79"/>
    <w:rsid w:val="00202E56"/>
    <w:rsid w:val="002033D6"/>
    <w:rsid w:val="00203758"/>
    <w:rsid w:val="00204875"/>
    <w:rsid w:val="00205E05"/>
    <w:rsid w:val="0020708B"/>
    <w:rsid w:val="00207B21"/>
    <w:rsid w:val="00207D2A"/>
    <w:rsid w:val="0021015D"/>
    <w:rsid w:val="00211257"/>
    <w:rsid w:val="002144F0"/>
    <w:rsid w:val="00216F02"/>
    <w:rsid w:val="0021731F"/>
    <w:rsid w:val="00217CA1"/>
    <w:rsid w:val="00220F29"/>
    <w:rsid w:val="00221FAD"/>
    <w:rsid w:val="0022431A"/>
    <w:rsid w:val="0022490F"/>
    <w:rsid w:val="002274E5"/>
    <w:rsid w:val="0022767B"/>
    <w:rsid w:val="002347A2"/>
    <w:rsid w:val="00241738"/>
    <w:rsid w:val="002425C2"/>
    <w:rsid w:val="00242C41"/>
    <w:rsid w:val="002437A8"/>
    <w:rsid w:val="002459CB"/>
    <w:rsid w:val="00246360"/>
    <w:rsid w:val="00250259"/>
    <w:rsid w:val="00251ED1"/>
    <w:rsid w:val="002530A8"/>
    <w:rsid w:val="00253F4D"/>
    <w:rsid w:val="00255635"/>
    <w:rsid w:val="0026191F"/>
    <w:rsid w:val="00262437"/>
    <w:rsid w:val="00263D4D"/>
    <w:rsid w:val="00265153"/>
    <w:rsid w:val="002718D6"/>
    <w:rsid w:val="00272539"/>
    <w:rsid w:val="00272F62"/>
    <w:rsid w:val="00273A3C"/>
    <w:rsid w:val="00281E7E"/>
    <w:rsid w:val="00282EFA"/>
    <w:rsid w:val="002837FC"/>
    <w:rsid w:val="00284C30"/>
    <w:rsid w:val="00286282"/>
    <w:rsid w:val="0028755A"/>
    <w:rsid w:val="00287BA8"/>
    <w:rsid w:val="00290335"/>
    <w:rsid w:val="0029158C"/>
    <w:rsid w:val="002A06DA"/>
    <w:rsid w:val="002A456F"/>
    <w:rsid w:val="002A6E2B"/>
    <w:rsid w:val="002B2572"/>
    <w:rsid w:val="002B4D79"/>
    <w:rsid w:val="002B7335"/>
    <w:rsid w:val="002B77F5"/>
    <w:rsid w:val="002B7C43"/>
    <w:rsid w:val="002C1D0C"/>
    <w:rsid w:val="002C1EC2"/>
    <w:rsid w:val="002C331D"/>
    <w:rsid w:val="002C6260"/>
    <w:rsid w:val="002D1AE9"/>
    <w:rsid w:val="002D2D7E"/>
    <w:rsid w:val="002D3103"/>
    <w:rsid w:val="002D4104"/>
    <w:rsid w:val="002D4177"/>
    <w:rsid w:val="002D548B"/>
    <w:rsid w:val="002D66B1"/>
    <w:rsid w:val="002D7ECF"/>
    <w:rsid w:val="002E30D0"/>
    <w:rsid w:val="002E46DE"/>
    <w:rsid w:val="002E5406"/>
    <w:rsid w:val="002E78D7"/>
    <w:rsid w:val="002F1CB1"/>
    <w:rsid w:val="002F3633"/>
    <w:rsid w:val="002F5B67"/>
    <w:rsid w:val="002F5E96"/>
    <w:rsid w:val="002F653C"/>
    <w:rsid w:val="002F7D4C"/>
    <w:rsid w:val="00300CED"/>
    <w:rsid w:val="003030E1"/>
    <w:rsid w:val="00304677"/>
    <w:rsid w:val="00304C1D"/>
    <w:rsid w:val="003069E8"/>
    <w:rsid w:val="00307E85"/>
    <w:rsid w:val="00310269"/>
    <w:rsid w:val="00310E67"/>
    <w:rsid w:val="003111DB"/>
    <w:rsid w:val="00311373"/>
    <w:rsid w:val="003115B4"/>
    <w:rsid w:val="00311CCB"/>
    <w:rsid w:val="00313937"/>
    <w:rsid w:val="00314466"/>
    <w:rsid w:val="003149E9"/>
    <w:rsid w:val="00316B83"/>
    <w:rsid w:val="00317DAD"/>
    <w:rsid w:val="003203C7"/>
    <w:rsid w:val="00320415"/>
    <w:rsid w:val="00322E0B"/>
    <w:rsid w:val="00323107"/>
    <w:rsid w:val="00324485"/>
    <w:rsid w:val="00331DCE"/>
    <w:rsid w:val="00332055"/>
    <w:rsid w:val="00332280"/>
    <w:rsid w:val="003323DB"/>
    <w:rsid w:val="00332B05"/>
    <w:rsid w:val="003330C7"/>
    <w:rsid w:val="00335C9A"/>
    <w:rsid w:val="00336F33"/>
    <w:rsid w:val="003409BF"/>
    <w:rsid w:val="00345525"/>
    <w:rsid w:val="0035064B"/>
    <w:rsid w:val="00351005"/>
    <w:rsid w:val="00351302"/>
    <w:rsid w:val="00355E73"/>
    <w:rsid w:val="00356841"/>
    <w:rsid w:val="00364715"/>
    <w:rsid w:val="00365687"/>
    <w:rsid w:val="003657AB"/>
    <w:rsid w:val="00370A03"/>
    <w:rsid w:val="00372A69"/>
    <w:rsid w:val="00376491"/>
    <w:rsid w:val="00380189"/>
    <w:rsid w:val="00380A15"/>
    <w:rsid w:val="00381107"/>
    <w:rsid w:val="003812B5"/>
    <w:rsid w:val="00381308"/>
    <w:rsid w:val="003818E8"/>
    <w:rsid w:val="003848EF"/>
    <w:rsid w:val="00384905"/>
    <w:rsid w:val="00385BF8"/>
    <w:rsid w:val="00385D18"/>
    <w:rsid w:val="00386560"/>
    <w:rsid w:val="003936FE"/>
    <w:rsid w:val="00395DFD"/>
    <w:rsid w:val="00395F95"/>
    <w:rsid w:val="00396C1A"/>
    <w:rsid w:val="003A151C"/>
    <w:rsid w:val="003A53C5"/>
    <w:rsid w:val="003A5EEC"/>
    <w:rsid w:val="003A6079"/>
    <w:rsid w:val="003A68AB"/>
    <w:rsid w:val="003A7572"/>
    <w:rsid w:val="003B04F0"/>
    <w:rsid w:val="003B1336"/>
    <w:rsid w:val="003B20FC"/>
    <w:rsid w:val="003B30DD"/>
    <w:rsid w:val="003B3E18"/>
    <w:rsid w:val="003B72CF"/>
    <w:rsid w:val="003B78AB"/>
    <w:rsid w:val="003C0404"/>
    <w:rsid w:val="003C2DEE"/>
    <w:rsid w:val="003C35BA"/>
    <w:rsid w:val="003C4286"/>
    <w:rsid w:val="003C4536"/>
    <w:rsid w:val="003C6C81"/>
    <w:rsid w:val="003D11C0"/>
    <w:rsid w:val="003D2341"/>
    <w:rsid w:val="003D2D82"/>
    <w:rsid w:val="003D33A3"/>
    <w:rsid w:val="003D572E"/>
    <w:rsid w:val="003D57B2"/>
    <w:rsid w:val="003D6960"/>
    <w:rsid w:val="003D77EE"/>
    <w:rsid w:val="003E0510"/>
    <w:rsid w:val="003E1BBB"/>
    <w:rsid w:val="003E2295"/>
    <w:rsid w:val="003E54B6"/>
    <w:rsid w:val="003E58BD"/>
    <w:rsid w:val="003E66BB"/>
    <w:rsid w:val="003E7A4D"/>
    <w:rsid w:val="003F1F49"/>
    <w:rsid w:val="003F2FA0"/>
    <w:rsid w:val="003F42A7"/>
    <w:rsid w:val="003F6045"/>
    <w:rsid w:val="003F71C5"/>
    <w:rsid w:val="004016DE"/>
    <w:rsid w:val="004025DC"/>
    <w:rsid w:val="00402E80"/>
    <w:rsid w:val="00405ACA"/>
    <w:rsid w:val="00415A69"/>
    <w:rsid w:val="00416050"/>
    <w:rsid w:val="00416225"/>
    <w:rsid w:val="004175D4"/>
    <w:rsid w:val="004240A9"/>
    <w:rsid w:val="0042494E"/>
    <w:rsid w:val="00426AB3"/>
    <w:rsid w:val="00432445"/>
    <w:rsid w:val="0043446F"/>
    <w:rsid w:val="0043683F"/>
    <w:rsid w:val="00437E6E"/>
    <w:rsid w:val="004406D1"/>
    <w:rsid w:val="004422A6"/>
    <w:rsid w:val="004442E2"/>
    <w:rsid w:val="00445634"/>
    <w:rsid w:val="0045253C"/>
    <w:rsid w:val="00452B35"/>
    <w:rsid w:val="004547EA"/>
    <w:rsid w:val="00455EAA"/>
    <w:rsid w:val="00456494"/>
    <w:rsid w:val="00457408"/>
    <w:rsid w:val="004577E1"/>
    <w:rsid w:val="0045799A"/>
    <w:rsid w:val="00457ACE"/>
    <w:rsid w:val="00463490"/>
    <w:rsid w:val="00466326"/>
    <w:rsid w:val="00470BEA"/>
    <w:rsid w:val="00471060"/>
    <w:rsid w:val="00471578"/>
    <w:rsid w:val="004716AC"/>
    <w:rsid w:val="00471E07"/>
    <w:rsid w:val="004763AF"/>
    <w:rsid w:val="00476A94"/>
    <w:rsid w:val="0048196D"/>
    <w:rsid w:val="00481DBF"/>
    <w:rsid w:val="00483E1A"/>
    <w:rsid w:val="00483FB7"/>
    <w:rsid w:val="00485114"/>
    <w:rsid w:val="004860C0"/>
    <w:rsid w:val="00487074"/>
    <w:rsid w:val="0049072A"/>
    <w:rsid w:val="00490FF7"/>
    <w:rsid w:val="004930F6"/>
    <w:rsid w:val="0049416F"/>
    <w:rsid w:val="004948C9"/>
    <w:rsid w:val="00495404"/>
    <w:rsid w:val="00497931"/>
    <w:rsid w:val="00497BC4"/>
    <w:rsid w:val="004A14BC"/>
    <w:rsid w:val="004A3BCF"/>
    <w:rsid w:val="004A3D93"/>
    <w:rsid w:val="004A3EFD"/>
    <w:rsid w:val="004A3F27"/>
    <w:rsid w:val="004A7E39"/>
    <w:rsid w:val="004B1880"/>
    <w:rsid w:val="004B3B7B"/>
    <w:rsid w:val="004B5251"/>
    <w:rsid w:val="004B6FAA"/>
    <w:rsid w:val="004C1BBB"/>
    <w:rsid w:val="004C4C8F"/>
    <w:rsid w:val="004D0574"/>
    <w:rsid w:val="004D0C7C"/>
    <w:rsid w:val="004D118B"/>
    <w:rsid w:val="004D6A72"/>
    <w:rsid w:val="004E1174"/>
    <w:rsid w:val="004E29C6"/>
    <w:rsid w:val="004E3E8F"/>
    <w:rsid w:val="004E4095"/>
    <w:rsid w:val="004E5E6C"/>
    <w:rsid w:val="004E6683"/>
    <w:rsid w:val="004E7F3C"/>
    <w:rsid w:val="004F261F"/>
    <w:rsid w:val="004F5E43"/>
    <w:rsid w:val="004F7BA3"/>
    <w:rsid w:val="00500698"/>
    <w:rsid w:val="00500C9D"/>
    <w:rsid w:val="00503C39"/>
    <w:rsid w:val="00506528"/>
    <w:rsid w:val="00507986"/>
    <w:rsid w:val="00510AC6"/>
    <w:rsid w:val="005116B1"/>
    <w:rsid w:val="0051329C"/>
    <w:rsid w:val="0051605E"/>
    <w:rsid w:val="00517351"/>
    <w:rsid w:val="00520444"/>
    <w:rsid w:val="00520459"/>
    <w:rsid w:val="00520876"/>
    <w:rsid w:val="0052463E"/>
    <w:rsid w:val="00525511"/>
    <w:rsid w:val="00526B28"/>
    <w:rsid w:val="00527387"/>
    <w:rsid w:val="00527A7D"/>
    <w:rsid w:val="00533D7B"/>
    <w:rsid w:val="005409C5"/>
    <w:rsid w:val="00540A7C"/>
    <w:rsid w:val="005420CC"/>
    <w:rsid w:val="00544292"/>
    <w:rsid w:val="005456EC"/>
    <w:rsid w:val="00547154"/>
    <w:rsid w:val="00554795"/>
    <w:rsid w:val="00556DEA"/>
    <w:rsid w:val="00560465"/>
    <w:rsid w:val="00560972"/>
    <w:rsid w:val="00563F7B"/>
    <w:rsid w:val="005640A6"/>
    <w:rsid w:val="0056664A"/>
    <w:rsid w:val="00570F8E"/>
    <w:rsid w:val="00571B06"/>
    <w:rsid w:val="00572118"/>
    <w:rsid w:val="00573359"/>
    <w:rsid w:val="00574A89"/>
    <w:rsid w:val="00575FFA"/>
    <w:rsid w:val="00576F30"/>
    <w:rsid w:val="005869AB"/>
    <w:rsid w:val="00586CE4"/>
    <w:rsid w:val="00586D82"/>
    <w:rsid w:val="005875FD"/>
    <w:rsid w:val="005879B8"/>
    <w:rsid w:val="00587F1C"/>
    <w:rsid w:val="00591130"/>
    <w:rsid w:val="00593648"/>
    <w:rsid w:val="0059461C"/>
    <w:rsid w:val="00594AC6"/>
    <w:rsid w:val="00594F99"/>
    <w:rsid w:val="00596887"/>
    <w:rsid w:val="00596F19"/>
    <w:rsid w:val="005970B5"/>
    <w:rsid w:val="005978D0"/>
    <w:rsid w:val="005A0026"/>
    <w:rsid w:val="005A0B86"/>
    <w:rsid w:val="005A2FC0"/>
    <w:rsid w:val="005A3880"/>
    <w:rsid w:val="005A66F6"/>
    <w:rsid w:val="005A7A14"/>
    <w:rsid w:val="005B341F"/>
    <w:rsid w:val="005B44D6"/>
    <w:rsid w:val="005B4FF2"/>
    <w:rsid w:val="005B5651"/>
    <w:rsid w:val="005B613F"/>
    <w:rsid w:val="005C0E7F"/>
    <w:rsid w:val="005D0971"/>
    <w:rsid w:val="005D27B8"/>
    <w:rsid w:val="005D2E03"/>
    <w:rsid w:val="005D4544"/>
    <w:rsid w:val="005D4F09"/>
    <w:rsid w:val="005D5178"/>
    <w:rsid w:val="005D6EA8"/>
    <w:rsid w:val="005D6F05"/>
    <w:rsid w:val="005E10E3"/>
    <w:rsid w:val="005E3FC7"/>
    <w:rsid w:val="005E6A2C"/>
    <w:rsid w:val="005F32E7"/>
    <w:rsid w:val="005F54D7"/>
    <w:rsid w:val="005F698B"/>
    <w:rsid w:val="00600956"/>
    <w:rsid w:val="00602401"/>
    <w:rsid w:val="00604158"/>
    <w:rsid w:val="0060666C"/>
    <w:rsid w:val="00606C5F"/>
    <w:rsid w:val="00614CC5"/>
    <w:rsid w:val="00615CA5"/>
    <w:rsid w:val="00615D43"/>
    <w:rsid w:val="00616BCC"/>
    <w:rsid w:val="0061761A"/>
    <w:rsid w:val="00622E16"/>
    <w:rsid w:val="00623440"/>
    <w:rsid w:val="00623DFF"/>
    <w:rsid w:val="00624299"/>
    <w:rsid w:val="006243EB"/>
    <w:rsid w:val="00625536"/>
    <w:rsid w:val="00625AC1"/>
    <w:rsid w:val="006267F8"/>
    <w:rsid w:val="00630966"/>
    <w:rsid w:val="00630EC4"/>
    <w:rsid w:val="00630EC9"/>
    <w:rsid w:val="00631B4C"/>
    <w:rsid w:val="00632522"/>
    <w:rsid w:val="006328B1"/>
    <w:rsid w:val="00632CB9"/>
    <w:rsid w:val="00635BAE"/>
    <w:rsid w:val="00641D5A"/>
    <w:rsid w:val="00643B89"/>
    <w:rsid w:val="00645936"/>
    <w:rsid w:val="00646433"/>
    <w:rsid w:val="00646B92"/>
    <w:rsid w:val="00647402"/>
    <w:rsid w:val="00650282"/>
    <w:rsid w:val="00650A11"/>
    <w:rsid w:val="006511BB"/>
    <w:rsid w:val="006531EF"/>
    <w:rsid w:val="00656305"/>
    <w:rsid w:val="0066034A"/>
    <w:rsid w:val="006631B8"/>
    <w:rsid w:val="006656EC"/>
    <w:rsid w:val="006662EE"/>
    <w:rsid w:val="00667977"/>
    <w:rsid w:val="00670C40"/>
    <w:rsid w:val="00671188"/>
    <w:rsid w:val="006725A4"/>
    <w:rsid w:val="00674043"/>
    <w:rsid w:val="0067720E"/>
    <w:rsid w:val="0067784E"/>
    <w:rsid w:val="00677C65"/>
    <w:rsid w:val="0068051F"/>
    <w:rsid w:val="006824EE"/>
    <w:rsid w:val="00682BBC"/>
    <w:rsid w:val="00684490"/>
    <w:rsid w:val="006867B7"/>
    <w:rsid w:val="00686F5E"/>
    <w:rsid w:val="006914EF"/>
    <w:rsid w:val="00692DE8"/>
    <w:rsid w:val="0069403E"/>
    <w:rsid w:val="006941F9"/>
    <w:rsid w:val="006945C8"/>
    <w:rsid w:val="006A0557"/>
    <w:rsid w:val="006A1B09"/>
    <w:rsid w:val="006A2A2C"/>
    <w:rsid w:val="006A2D92"/>
    <w:rsid w:val="006A4EA2"/>
    <w:rsid w:val="006A56C1"/>
    <w:rsid w:val="006A5A2E"/>
    <w:rsid w:val="006B04D1"/>
    <w:rsid w:val="006B3C41"/>
    <w:rsid w:val="006B4257"/>
    <w:rsid w:val="006B77E2"/>
    <w:rsid w:val="006B798D"/>
    <w:rsid w:val="006C0521"/>
    <w:rsid w:val="006C5CE3"/>
    <w:rsid w:val="006C7426"/>
    <w:rsid w:val="006D1474"/>
    <w:rsid w:val="006D1F7D"/>
    <w:rsid w:val="006D29CD"/>
    <w:rsid w:val="006D2BE3"/>
    <w:rsid w:val="006D2BEB"/>
    <w:rsid w:val="006D2BF3"/>
    <w:rsid w:val="006D37CF"/>
    <w:rsid w:val="006D7AD0"/>
    <w:rsid w:val="006E11EC"/>
    <w:rsid w:val="006E17B6"/>
    <w:rsid w:val="006E7242"/>
    <w:rsid w:val="006F0945"/>
    <w:rsid w:val="006F1E8B"/>
    <w:rsid w:val="006F3BB8"/>
    <w:rsid w:val="007015F2"/>
    <w:rsid w:val="00702D2E"/>
    <w:rsid w:val="00703D2D"/>
    <w:rsid w:val="00706FE9"/>
    <w:rsid w:val="00710BF9"/>
    <w:rsid w:val="00712914"/>
    <w:rsid w:val="0071360C"/>
    <w:rsid w:val="0071367B"/>
    <w:rsid w:val="007139B6"/>
    <w:rsid w:val="0071468E"/>
    <w:rsid w:val="0071686F"/>
    <w:rsid w:val="00716D5C"/>
    <w:rsid w:val="00716E66"/>
    <w:rsid w:val="00717760"/>
    <w:rsid w:val="00717800"/>
    <w:rsid w:val="007208D9"/>
    <w:rsid w:val="00720AF5"/>
    <w:rsid w:val="00720C9D"/>
    <w:rsid w:val="00720FFE"/>
    <w:rsid w:val="00726CF1"/>
    <w:rsid w:val="00732185"/>
    <w:rsid w:val="0073258B"/>
    <w:rsid w:val="00732BA8"/>
    <w:rsid w:val="0073350E"/>
    <w:rsid w:val="00733F8C"/>
    <w:rsid w:val="00734E99"/>
    <w:rsid w:val="007359A7"/>
    <w:rsid w:val="00736A54"/>
    <w:rsid w:val="00744ECC"/>
    <w:rsid w:val="0074677C"/>
    <w:rsid w:val="00746E21"/>
    <w:rsid w:val="0074740B"/>
    <w:rsid w:val="00747E73"/>
    <w:rsid w:val="0075393B"/>
    <w:rsid w:val="0075471A"/>
    <w:rsid w:val="0075771C"/>
    <w:rsid w:val="007578EE"/>
    <w:rsid w:val="007608D7"/>
    <w:rsid w:val="00763D76"/>
    <w:rsid w:val="00764FAA"/>
    <w:rsid w:val="00767A04"/>
    <w:rsid w:val="00773B58"/>
    <w:rsid w:val="00774343"/>
    <w:rsid w:val="007754E1"/>
    <w:rsid w:val="00777487"/>
    <w:rsid w:val="007777A1"/>
    <w:rsid w:val="0078003D"/>
    <w:rsid w:val="0078273E"/>
    <w:rsid w:val="00782DCD"/>
    <w:rsid w:val="00782F88"/>
    <w:rsid w:val="00782FBA"/>
    <w:rsid w:val="0078471D"/>
    <w:rsid w:val="00784EC0"/>
    <w:rsid w:val="007855AB"/>
    <w:rsid w:val="0078730F"/>
    <w:rsid w:val="0078760F"/>
    <w:rsid w:val="00787D23"/>
    <w:rsid w:val="007913FD"/>
    <w:rsid w:val="0079221B"/>
    <w:rsid w:val="007925C2"/>
    <w:rsid w:val="00796A50"/>
    <w:rsid w:val="007A01E1"/>
    <w:rsid w:val="007A49C2"/>
    <w:rsid w:val="007A4BDD"/>
    <w:rsid w:val="007B05B3"/>
    <w:rsid w:val="007B0D0D"/>
    <w:rsid w:val="007B111B"/>
    <w:rsid w:val="007B14CE"/>
    <w:rsid w:val="007B33D7"/>
    <w:rsid w:val="007C08F8"/>
    <w:rsid w:val="007C0CC2"/>
    <w:rsid w:val="007C1837"/>
    <w:rsid w:val="007C1BD7"/>
    <w:rsid w:val="007C2377"/>
    <w:rsid w:val="007C293A"/>
    <w:rsid w:val="007D0CC0"/>
    <w:rsid w:val="007D537B"/>
    <w:rsid w:val="007D6F3F"/>
    <w:rsid w:val="007E1522"/>
    <w:rsid w:val="007E6CF8"/>
    <w:rsid w:val="007E6ECC"/>
    <w:rsid w:val="007F0ABE"/>
    <w:rsid w:val="007F0ED9"/>
    <w:rsid w:val="007F25A7"/>
    <w:rsid w:val="007F2645"/>
    <w:rsid w:val="007F4668"/>
    <w:rsid w:val="007F571B"/>
    <w:rsid w:val="007F59AE"/>
    <w:rsid w:val="007F64C7"/>
    <w:rsid w:val="00800694"/>
    <w:rsid w:val="0080100D"/>
    <w:rsid w:val="008031EC"/>
    <w:rsid w:val="008054F0"/>
    <w:rsid w:val="00805BD3"/>
    <w:rsid w:val="00807DB6"/>
    <w:rsid w:val="00812075"/>
    <w:rsid w:val="00815425"/>
    <w:rsid w:val="008155E3"/>
    <w:rsid w:val="00817638"/>
    <w:rsid w:val="008228A5"/>
    <w:rsid w:val="00822B3C"/>
    <w:rsid w:val="00830ED9"/>
    <w:rsid w:val="00834367"/>
    <w:rsid w:val="008369A3"/>
    <w:rsid w:val="00837300"/>
    <w:rsid w:val="00837F65"/>
    <w:rsid w:val="008410B6"/>
    <w:rsid w:val="00844F34"/>
    <w:rsid w:val="00845B33"/>
    <w:rsid w:val="00845E98"/>
    <w:rsid w:val="008478CE"/>
    <w:rsid w:val="00847C2B"/>
    <w:rsid w:val="00847E7D"/>
    <w:rsid w:val="00847F14"/>
    <w:rsid w:val="00850CF7"/>
    <w:rsid w:val="00853C07"/>
    <w:rsid w:val="00854B58"/>
    <w:rsid w:val="0085583B"/>
    <w:rsid w:val="00857024"/>
    <w:rsid w:val="00857E85"/>
    <w:rsid w:val="00860E75"/>
    <w:rsid w:val="0086103A"/>
    <w:rsid w:val="008617EA"/>
    <w:rsid w:val="0086208D"/>
    <w:rsid w:val="008629E3"/>
    <w:rsid w:val="00864321"/>
    <w:rsid w:val="00865DC8"/>
    <w:rsid w:val="008671AE"/>
    <w:rsid w:val="008679A2"/>
    <w:rsid w:val="00870D58"/>
    <w:rsid w:val="008727AA"/>
    <w:rsid w:val="008727E5"/>
    <w:rsid w:val="008729DD"/>
    <w:rsid w:val="00873250"/>
    <w:rsid w:val="00873825"/>
    <w:rsid w:val="008739EF"/>
    <w:rsid w:val="00873ADE"/>
    <w:rsid w:val="008747CD"/>
    <w:rsid w:val="00876F9A"/>
    <w:rsid w:val="00877C17"/>
    <w:rsid w:val="008839E5"/>
    <w:rsid w:val="00886242"/>
    <w:rsid w:val="008875DE"/>
    <w:rsid w:val="0088761A"/>
    <w:rsid w:val="00887ED3"/>
    <w:rsid w:val="00892576"/>
    <w:rsid w:val="00894601"/>
    <w:rsid w:val="00894CD3"/>
    <w:rsid w:val="00895D49"/>
    <w:rsid w:val="0089699B"/>
    <w:rsid w:val="00897D36"/>
    <w:rsid w:val="008A4654"/>
    <w:rsid w:val="008A6491"/>
    <w:rsid w:val="008A6708"/>
    <w:rsid w:val="008A7CF1"/>
    <w:rsid w:val="008B0674"/>
    <w:rsid w:val="008B0CFF"/>
    <w:rsid w:val="008B20C2"/>
    <w:rsid w:val="008B333C"/>
    <w:rsid w:val="008B3CD2"/>
    <w:rsid w:val="008B5C6E"/>
    <w:rsid w:val="008B75E1"/>
    <w:rsid w:val="008C011F"/>
    <w:rsid w:val="008C0805"/>
    <w:rsid w:val="008C096C"/>
    <w:rsid w:val="008C0B6E"/>
    <w:rsid w:val="008C13C4"/>
    <w:rsid w:val="008C1CAA"/>
    <w:rsid w:val="008C1ECB"/>
    <w:rsid w:val="008C26F4"/>
    <w:rsid w:val="008C4888"/>
    <w:rsid w:val="008C624A"/>
    <w:rsid w:val="008D1DB1"/>
    <w:rsid w:val="008D1DF0"/>
    <w:rsid w:val="008D3892"/>
    <w:rsid w:val="008D39AA"/>
    <w:rsid w:val="008D5118"/>
    <w:rsid w:val="008D55F9"/>
    <w:rsid w:val="008D6A9C"/>
    <w:rsid w:val="008E0D56"/>
    <w:rsid w:val="008E2B2F"/>
    <w:rsid w:val="008E348C"/>
    <w:rsid w:val="008E4DFF"/>
    <w:rsid w:val="008E549E"/>
    <w:rsid w:val="008E67C0"/>
    <w:rsid w:val="008E7F9F"/>
    <w:rsid w:val="008F09FE"/>
    <w:rsid w:val="008F1046"/>
    <w:rsid w:val="008F18B3"/>
    <w:rsid w:val="008F1E40"/>
    <w:rsid w:val="008F281A"/>
    <w:rsid w:val="008F2DC7"/>
    <w:rsid w:val="008F5890"/>
    <w:rsid w:val="008F5B59"/>
    <w:rsid w:val="008F6E9D"/>
    <w:rsid w:val="00900C12"/>
    <w:rsid w:val="00901EDF"/>
    <w:rsid w:val="00903CAE"/>
    <w:rsid w:val="00904B02"/>
    <w:rsid w:val="00904BBF"/>
    <w:rsid w:val="009050B9"/>
    <w:rsid w:val="00905752"/>
    <w:rsid w:val="00906288"/>
    <w:rsid w:val="00906E14"/>
    <w:rsid w:val="009076FD"/>
    <w:rsid w:val="009128E8"/>
    <w:rsid w:val="00920962"/>
    <w:rsid w:val="00920A27"/>
    <w:rsid w:val="009222D2"/>
    <w:rsid w:val="00925FD6"/>
    <w:rsid w:val="0092726F"/>
    <w:rsid w:val="009308F0"/>
    <w:rsid w:val="00936C94"/>
    <w:rsid w:val="00937CD8"/>
    <w:rsid w:val="00937DFB"/>
    <w:rsid w:val="00941D69"/>
    <w:rsid w:val="00944597"/>
    <w:rsid w:val="00944936"/>
    <w:rsid w:val="00944AA7"/>
    <w:rsid w:val="00946AD7"/>
    <w:rsid w:val="00947C30"/>
    <w:rsid w:val="00947F91"/>
    <w:rsid w:val="00950C18"/>
    <w:rsid w:val="00952D7C"/>
    <w:rsid w:val="009540D9"/>
    <w:rsid w:val="009546F6"/>
    <w:rsid w:val="00954F3D"/>
    <w:rsid w:val="009569C9"/>
    <w:rsid w:val="00956BA1"/>
    <w:rsid w:val="00961356"/>
    <w:rsid w:val="00961BBE"/>
    <w:rsid w:val="00962C9F"/>
    <w:rsid w:val="0096455D"/>
    <w:rsid w:val="00965CBF"/>
    <w:rsid w:val="00966271"/>
    <w:rsid w:val="0097372C"/>
    <w:rsid w:val="0097596B"/>
    <w:rsid w:val="009769C6"/>
    <w:rsid w:val="00977F47"/>
    <w:rsid w:val="00980FD2"/>
    <w:rsid w:val="009837EF"/>
    <w:rsid w:val="00984BDC"/>
    <w:rsid w:val="009857E0"/>
    <w:rsid w:val="009858C3"/>
    <w:rsid w:val="00987A1D"/>
    <w:rsid w:val="0099057F"/>
    <w:rsid w:val="009918FB"/>
    <w:rsid w:val="00991CE2"/>
    <w:rsid w:val="00993883"/>
    <w:rsid w:val="009A0497"/>
    <w:rsid w:val="009A1A9A"/>
    <w:rsid w:val="009B157C"/>
    <w:rsid w:val="009B36BF"/>
    <w:rsid w:val="009B5872"/>
    <w:rsid w:val="009B5A80"/>
    <w:rsid w:val="009B671B"/>
    <w:rsid w:val="009B6ACF"/>
    <w:rsid w:val="009B6B48"/>
    <w:rsid w:val="009B7123"/>
    <w:rsid w:val="009B79B9"/>
    <w:rsid w:val="009C18BE"/>
    <w:rsid w:val="009C3E19"/>
    <w:rsid w:val="009C506E"/>
    <w:rsid w:val="009C74B5"/>
    <w:rsid w:val="009C7BD2"/>
    <w:rsid w:val="009D0E47"/>
    <w:rsid w:val="009D1F1C"/>
    <w:rsid w:val="009D2902"/>
    <w:rsid w:val="009D3AEC"/>
    <w:rsid w:val="009D676E"/>
    <w:rsid w:val="009D7957"/>
    <w:rsid w:val="009D7CE6"/>
    <w:rsid w:val="009E008F"/>
    <w:rsid w:val="009E0870"/>
    <w:rsid w:val="009E262C"/>
    <w:rsid w:val="009E3158"/>
    <w:rsid w:val="009E6430"/>
    <w:rsid w:val="009E720C"/>
    <w:rsid w:val="009E771F"/>
    <w:rsid w:val="009F4488"/>
    <w:rsid w:val="009F48BD"/>
    <w:rsid w:val="009F56A0"/>
    <w:rsid w:val="00A00F82"/>
    <w:rsid w:val="00A02AB8"/>
    <w:rsid w:val="00A05393"/>
    <w:rsid w:val="00A05924"/>
    <w:rsid w:val="00A075A0"/>
    <w:rsid w:val="00A12337"/>
    <w:rsid w:val="00A127AE"/>
    <w:rsid w:val="00A13C76"/>
    <w:rsid w:val="00A212FC"/>
    <w:rsid w:val="00A21C3A"/>
    <w:rsid w:val="00A22274"/>
    <w:rsid w:val="00A223AF"/>
    <w:rsid w:val="00A2267C"/>
    <w:rsid w:val="00A23419"/>
    <w:rsid w:val="00A24F78"/>
    <w:rsid w:val="00A26C2C"/>
    <w:rsid w:val="00A32793"/>
    <w:rsid w:val="00A376D1"/>
    <w:rsid w:val="00A40C64"/>
    <w:rsid w:val="00A412A4"/>
    <w:rsid w:val="00A44E29"/>
    <w:rsid w:val="00A46BA8"/>
    <w:rsid w:val="00A5123B"/>
    <w:rsid w:val="00A54607"/>
    <w:rsid w:val="00A566F7"/>
    <w:rsid w:val="00A624D4"/>
    <w:rsid w:val="00A63795"/>
    <w:rsid w:val="00A63817"/>
    <w:rsid w:val="00A64DE1"/>
    <w:rsid w:val="00A64DFC"/>
    <w:rsid w:val="00A64E67"/>
    <w:rsid w:val="00A746C7"/>
    <w:rsid w:val="00A74A12"/>
    <w:rsid w:val="00A74FE2"/>
    <w:rsid w:val="00A75DAF"/>
    <w:rsid w:val="00A80316"/>
    <w:rsid w:val="00A80DCD"/>
    <w:rsid w:val="00A8360B"/>
    <w:rsid w:val="00A857D9"/>
    <w:rsid w:val="00A90192"/>
    <w:rsid w:val="00A90A64"/>
    <w:rsid w:val="00A91448"/>
    <w:rsid w:val="00A92245"/>
    <w:rsid w:val="00A93A78"/>
    <w:rsid w:val="00AA25A1"/>
    <w:rsid w:val="00AA2B6A"/>
    <w:rsid w:val="00AA2EE8"/>
    <w:rsid w:val="00AA2FF7"/>
    <w:rsid w:val="00AA4B70"/>
    <w:rsid w:val="00AA7756"/>
    <w:rsid w:val="00AB0FFD"/>
    <w:rsid w:val="00AB574B"/>
    <w:rsid w:val="00AB6DF3"/>
    <w:rsid w:val="00AB79EC"/>
    <w:rsid w:val="00AC06AD"/>
    <w:rsid w:val="00AC1849"/>
    <w:rsid w:val="00AC1DB2"/>
    <w:rsid w:val="00AC23DD"/>
    <w:rsid w:val="00AC2C41"/>
    <w:rsid w:val="00AC4436"/>
    <w:rsid w:val="00AC6D7C"/>
    <w:rsid w:val="00AC758F"/>
    <w:rsid w:val="00AD01BB"/>
    <w:rsid w:val="00AD02B4"/>
    <w:rsid w:val="00AD4CDC"/>
    <w:rsid w:val="00AD5C7A"/>
    <w:rsid w:val="00AD640D"/>
    <w:rsid w:val="00AD6B21"/>
    <w:rsid w:val="00AD6D7F"/>
    <w:rsid w:val="00AE0DAF"/>
    <w:rsid w:val="00AE1E77"/>
    <w:rsid w:val="00AE311C"/>
    <w:rsid w:val="00AE319A"/>
    <w:rsid w:val="00AE32FC"/>
    <w:rsid w:val="00AE3926"/>
    <w:rsid w:val="00AE46AA"/>
    <w:rsid w:val="00AE6061"/>
    <w:rsid w:val="00AF0388"/>
    <w:rsid w:val="00AF05EF"/>
    <w:rsid w:val="00AF0863"/>
    <w:rsid w:val="00AF29BB"/>
    <w:rsid w:val="00AF2B88"/>
    <w:rsid w:val="00AF5F2E"/>
    <w:rsid w:val="00AF63A9"/>
    <w:rsid w:val="00AF739D"/>
    <w:rsid w:val="00B006A9"/>
    <w:rsid w:val="00B01ECE"/>
    <w:rsid w:val="00B06148"/>
    <w:rsid w:val="00B068F2"/>
    <w:rsid w:val="00B12922"/>
    <w:rsid w:val="00B13310"/>
    <w:rsid w:val="00B135C0"/>
    <w:rsid w:val="00B14864"/>
    <w:rsid w:val="00B154EA"/>
    <w:rsid w:val="00B16720"/>
    <w:rsid w:val="00B20969"/>
    <w:rsid w:val="00B2109F"/>
    <w:rsid w:val="00B219A3"/>
    <w:rsid w:val="00B22390"/>
    <w:rsid w:val="00B2258D"/>
    <w:rsid w:val="00B24D9C"/>
    <w:rsid w:val="00B318B0"/>
    <w:rsid w:val="00B31E83"/>
    <w:rsid w:val="00B32245"/>
    <w:rsid w:val="00B3230A"/>
    <w:rsid w:val="00B325B0"/>
    <w:rsid w:val="00B328FC"/>
    <w:rsid w:val="00B33F7C"/>
    <w:rsid w:val="00B3411C"/>
    <w:rsid w:val="00B37107"/>
    <w:rsid w:val="00B4136C"/>
    <w:rsid w:val="00B4271C"/>
    <w:rsid w:val="00B42A04"/>
    <w:rsid w:val="00B43453"/>
    <w:rsid w:val="00B450F8"/>
    <w:rsid w:val="00B4534E"/>
    <w:rsid w:val="00B47A0F"/>
    <w:rsid w:val="00B47CFD"/>
    <w:rsid w:val="00B50649"/>
    <w:rsid w:val="00B51DCA"/>
    <w:rsid w:val="00B51EDA"/>
    <w:rsid w:val="00B5400D"/>
    <w:rsid w:val="00B549E8"/>
    <w:rsid w:val="00B557B6"/>
    <w:rsid w:val="00B55E3F"/>
    <w:rsid w:val="00B60A1E"/>
    <w:rsid w:val="00B61595"/>
    <w:rsid w:val="00B65FA8"/>
    <w:rsid w:val="00B66384"/>
    <w:rsid w:val="00B664D8"/>
    <w:rsid w:val="00B7014D"/>
    <w:rsid w:val="00B7017B"/>
    <w:rsid w:val="00B722B5"/>
    <w:rsid w:val="00B73F2E"/>
    <w:rsid w:val="00B74113"/>
    <w:rsid w:val="00B827C5"/>
    <w:rsid w:val="00B83D1F"/>
    <w:rsid w:val="00B84190"/>
    <w:rsid w:val="00B860F4"/>
    <w:rsid w:val="00B9057D"/>
    <w:rsid w:val="00B91546"/>
    <w:rsid w:val="00B91D3B"/>
    <w:rsid w:val="00B9232B"/>
    <w:rsid w:val="00B93466"/>
    <w:rsid w:val="00B94293"/>
    <w:rsid w:val="00B94B1E"/>
    <w:rsid w:val="00B9718C"/>
    <w:rsid w:val="00BA1691"/>
    <w:rsid w:val="00BA2722"/>
    <w:rsid w:val="00BA2E96"/>
    <w:rsid w:val="00BA326C"/>
    <w:rsid w:val="00BA6EC9"/>
    <w:rsid w:val="00BB1709"/>
    <w:rsid w:val="00BB249D"/>
    <w:rsid w:val="00BB76DF"/>
    <w:rsid w:val="00BC17BE"/>
    <w:rsid w:val="00BC2FCC"/>
    <w:rsid w:val="00BC4561"/>
    <w:rsid w:val="00BC468A"/>
    <w:rsid w:val="00BC485E"/>
    <w:rsid w:val="00BC7D24"/>
    <w:rsid w:val="00BD0413"/>
    <w:rsid w:val="00BD0C96"/>
    <w:rsid w:val="00BD2E17"/>
    <w:rsid w:val="00BD483E"/>
    <w:rsid w:val="00BD6E3E"/>
    <w:rsid w:val="00BD7B1A"/>
    <w:rsid w:val="00BE2B24"/>
    <w:rsid w:val="00BE2ED0"/>
    <w:rsid w:val="00BE4286"/>
    <w:rsid w:val="00BE4622"/>
    <w:rsid w:val="00BE5FB9"/>
    <w:rsid w:val="00BE647C"/>
    <w:rsid w:val="00BE650A"/>
    <w:rsid w:val="00BE655B"/>
    <w:rsid w:val="00BE7CC4"/>
    <w:rsid w:val="00BF268F"/>
    <w:rsid w:val="00BF385C"/>
    <w:rsid w:val="00BF6B96"/>
    <w:rsid w:val="00C0349A"/>
    <w:rsid w:val="00C04052"/>
    <w:rsid w:val="00C06A01"/>
    <w:rsid w:val="00C079DC"/>
    <w:rsid w:val="00C120C0"/>
    <w:rsid w:val="00C13270"/>
    <w:rsid w:val="00C13EF0"/>
    <w:rsid w:val="00C15A21"/>
    <w:rsid w:val="00C17AAA"/>
    <w:rsid w:val="00C202C8"/>
    <w:rsid w:val="00C22EBB"/>
    <w:rsid w:val="00C23C97"/>
    <w:rsid w:val="00C2545A"/>
    <w:rsid w:val="00C30AB4"/>
    <w:rsid w:val="00C31CC0"/>
    <w:rsid w:val="00C3203A"/>
    <w:rsid w:val="00C33045"/>
    <w:rsid w:val="00C364F8"/>
    <w:rsid w:val="00C41307"/>
    <w:rsid w:val="00C41A41"/>
    <w:rsid w:val="00C4306B"/>
    <w:rsid w:val="00C45162"/>
    <w:rsid w:val="00C509D3"/>
    <w:rsid w:val="00C60BBD"/>
    <w:rsid w:val="00C63CA5"/>
    <w:rsid w:val="00C67CDD"/>
    <w:rsid w:val="00C734E1"/>
    <w:rsid w:val="00C74661"/>
    <w:rsid w:val="00C75C12"/>
    <w:rsid w:val="00C75C51"/>
    <w:rsid w:val="00C850F4"/>
    <w:rsid w:val="00C8797D"/>
    <w:rsid w:val="00C902D7"/>
    <w:rsid w:val="00C94463"/>
    <w:rsid w:val="00C94CD6"/>
    <w:rsid w:val="00C9661C"/>
    <w:rsid w:val="00C971CD"/>
    <w:rsid w:val="00CA10EB"/>
    <w:rsid w:val="00CA31D5"/>
    <w:rsid w:val="00CA6695"/>
    <w:rsid w:val="00CA70B9"/>
    <w:rsid w:val="00CB511B"/>
    <w:rsid w:val="00CB59B4"/>
    <w:rsid w:val="00CC3809"/>
    <w:rsid w:val="00CC7744"/>
    <w:rsid w:val="00CD058E"/>
    <w:rsid w:val="00CD2C94"/>
    <w:rsid w:val="00CD39B4"/>
    <w:rsid w:val="00CD3F58"/>
    <w:rsid w:val="00CD44C8"/>
    <w:rsid w:val="00CE30A6"/>
    <w:rsid w:val="00CE42A1"/>
    <w:rsid w:val="00CE6738"/>
    <w:rsid w:val="00CE7C01"/>
    <w:rsid w:val="00CF2024"/>
    <w:rsid w:val="00CF2B3D"/>
    <w:rsid w:val="00CF3FBF"/>
    <w:rsid w:val="00CF4AD8"/>
    <w:rsid w:val="00CF61B6"/>
    <w:rsid w:val="00CF6219"/>
    <w:rsid w:val="00CF671F"/>
    <w:rsid w:val="00D00503"/>
    <w:rsid w:val="00D00846"/>
    <w:rsid w:val="00D01950"/>
    <w:rsid w:val="00D04919"/>
    <w:rsid w:val="00D052B4"/>
    <w:rsid w:val="00D10076"/>
    <w:rsid w:val="00D11868"/>
    <w:rsid w:val="00D12778"/>
    <w:rsid w:val="00D13B5A"/>
    <w:rsid w:val="00D1488F"/>
    <w:rsid w:val="00D16690"/>
    <w:rsid w:val="00D20645"/>
    <w:rsid w:val="00D20D4C"/>
    <w:rsid w:val="00D22AD5"/>
    <w:rsid w:val="00D23A87"/>
    <w:rsid w:val="00D2449C"/>
    <w:rsid w:val="00D24AAD"/>
    <w:rsid w:val="00D252D1"/>
    <w:rsid w:val="00D26AB3"/>
    <w:rsid w:val="00D2758D"/>
    <w:rsid w:val="00D3177D"/>
    <w:rsid w:val="00D337D1"/>
    <w:rsid w:val="00D33EFF"/>
    <w:rsid w:val="00D357D2"/>
    <w:rsid w:val="00D35E5E"/>
    <w:rsid w:val="00D36AB8"/>
    <w:rsid w:val="00D406B9"/>
    <w:rsid w:val="00D420DA"/>
    <w:rsid w:val="00D425E3"/>
    <w:rsid w:val="00D43E31"/>
    <w:rsid w:val="00D478C9"/>
    <w:rsid w:val="00D50283"/>
    <w:rsid w:val="00D5127D"/>
    <w:rsid w:val="00D529FD"/>
    <w:rsid w:val="00D55814"/>
    <w:rsid w:val="00D675F9"/>
    <w:rsid w:val="00D71F7D"/>
    <w:rsid w:val="00D71F97"/>
    <w:rsid w:val="00D7239D"/>
    <w:rsid w:val="00D73421"/>
    <w:rsid w:val="00D7450E"/>
    <w:rsid w:val="00D74A41"/>
    <w:rsid w:val="00D76907"/>
    <w:rsid w:val="00D81644"/>
    <w:rsid w:val="00D84217"/>
    <w:rsid w:val="00D85D6C"/>
    <w:rsid w:val="00D917B9"/>
    <w:rsid w:val="00D9441D"/>
    <w:rsid w:val="00DA04ED"/>
    <w:rsid w:val="00DA166D"/>
    <w:rsid w:val="00DA232F"/>
    <w:rsid w:val="00DA35CD"/>
    <w:rsid w:val="00DA664C"/>
    <w:rsid w:val="00DA791C"/>
    <w:rsid w:val="00DB17A2"/>
    <w:rsid w:val="00DB1D74"/>
    <w:rsid w:val="00DB25E4"/>
    <w:rsid w:val="00DB36C2"/>
    <w:rsid w:val="00DB5F07"/>
    <w:rsid w:val="00DB6524"/>
    <w:rsid w:val="00DB6D0F"/>
    <w:rsid w:val="00DC14F0"/>
    <w:rsid w:val="00DC1945"/>
    <w:rsid w:val="00DC68C9"/>
    <w:rsid w:val="00DD1B1B"/>
    <w:rsid w:val="00DD32DC"/>
    <w:rsid w:val="00DD617D"/>
    <w:rsid w:val="00DE04E0"/>
    <w:rsid w:val="00DE06E0"/>
    <w:rsid w:val="00DE55FF"/>
    <w:rsid w:val="00DE5F6F"/>
    <w:rsid w:val="00DE7F03"/>
    <w:rsid w:val="00DF2F4B"/>
    <w:rsid w:val="00DF71A3"/>
    <w:rsid w:val="00E00448"/>
    <w:rsid w:val="00E00B23"/>
    <w:rsid w:val="00E0117D"/>
    <w:rsid w:val="00E0310F"/>
    <w:rsid w:val="00E03125"/>
    <w:rsid w:val="00E04D95"/>
    <w:rsid w:val="00E0769B"/>
    <w:rsid w:val="00E10B5C"/>
    <w:rsid w:val="00E11578"/>
    <w:rsid w:val="00E119E8"/>
    <w:rsid w:val="00E12973"/>
    <w:rsid w:val="00E141EC"/>
    <w:rsid w:val="00E14792"/>
    <w:rsid w:val="00E14DAE"/>
    <w:rsid w:val="00E155FA"/>
    <w:rsid w:val="00E15AE0"/>
    <w:rsid w:val="00E169CD"/>
    <w:rsid w:val="00E205A2"/>
    <w:rsid w:val="00E217A2"/>
    <w:rsid w:val="00E228DE"/>
    <w:rsid w:val="00E23208"/>
    <w:rsid w:val="00E24758"/>
    <w:rsid w:val="00E25787"/>
    <w:rsid w:val="00E2763D"/>
    <w:rsid w:val="00E345DB"/>
    <w:rsid w:val="00E3545D"/>
    <w:rsid w:val="00E3574A"/>
    <w:rsid w:val="00E35A46"/>
    <w:rsid w:val="00E40533"/>
    <w:rsid w:val="00E405B8"/>
    <w:rsid w:val="00E435D8"/>
    <w:rsid w:val="00E4448D"/>
    <w:rsid w:val="00E50D28"/>
    <w:rsid w:val="00E51807"/>
    <w:rsid w:val="00E53896"/>
    <w:rsid w:val="00E543D5"/>
    <w:rsid w:val="00E5597A"/>
    <w:rsid w:val="00E55ABB"/>
    <w:rsid w:val="00E561D8"/>
    <w:rsid w:val="00E5686D"/>
    <w:rsid w:val="00E574A5"/>
    <w:rsid w:val="00E6038C"/>
    <w:rsid w:val="00E60BCA"/>
    <w:rsid w:val="00E62FEA"/>
    <w:rsid w:val="00E64602"/>
    <w:rsid w:val="00E659E5"/>
    <w:rsid w:val="00E67B60"/>
    <w:rsid w:val="00E67D90"/>
    <w:rsid w:val="00E72931"/>
    <w:rsid w:val="00E74DC5"/>
    <w:rsid w:val="00E75380"/>
    <w:rsid w:val="00E757A1"/>
    <w:rsid w:val="00E7665D"/>
    <w:rsid w:val="00E766DF"/>
    <w:rsid w:val="00E80089"/>
    <w:rsid w:val="00E8172C"/>
    <w:rsid w:val="00E81BF9"/>
    <w:rsid w:val="00E82968"/>
    <w:rsid w:val="00E82A56"/>
    <w:rsid w:val="00E82B1A"/>
    <w:rsid w:val="00E83D8A"/>
    <w:rsid w:val="00E90731"/>
    <w:rsid w:val="00E95A84"/>
    <w:rsid w:val="00E96CB5"/>
    <w:rsid w:val="00E9789E"/>
    <w:rsid w:val="00E97BF4"/>
    <w:rsid w:val="00EA0B74"/>
    <w:rsid w:val="00EA26C3"/>
    <w:rsid w:val="00EA2A88"/>
    <w:rsid w:val="00EA78FF"/>
    <w:rsid w:val="00EB002B"/>
    <w:rsid w:val="00EB094A"/>
    <w:rsid w:val="00EB279B"/>
    <w:rsid w:val="00EB32CF"/>
    <w:rsid w:val="00EB43FD"/>
    <w:rsid w:val="00EB44BE"/>
    <w:rsid w:val="00EB4682"/>
    <w:rsid w:val="00EB477D"/>
    <w:rsid w:val="00EB7FCF"/>
    <w:rsid w:val="00EC28E5"/>
    <w:rsid w:val="00EC6350"/>
    <w:rsid w:val="00EC6B93"/>
    <w:rsid w:val="00ED1921"/>
    <w:rsid w:val="00EE0868"/>
    <w:rsid w:val="00EE09C0"/>
    <w:rsid w:val="00EE1372"/>
    <w:rsid w:val="00EE1BFF"/>
    <w:rsid w:val="00EE1F4E"/>
    <w:rsid w:val="00EE57DD"/>
    <w:rsid w:val="00EF0B62"/>
    <w:rsid w:val="00EF16A1"/>
    <w:rsid w:val="00EF1989"/>
    <w:rsid w:val="00EF3A40"/>
    <w:rsid w:val="00EF468B"/>
    <w:rsid w:val="00EF5429"/>
    <w:rsid w:val="00EF6C45"/>
    <w:rsid w:val="00F02857"/>
    <w:rsid w:val="00F03424"/>
    <w:rsid w:val="00F04CDD"/>
    <w:rsid w:val="00F0606D"/>
    <w:rsid w:val="00F071A7"/>
    <w:rsid w:val="00F0778D"/>
    <w:rsid w:val="00F077D3"/>
    <w:rsid w:val="00F07E0C"/>
    <w:rsid w:val="00F1328C"/>
    <w:rsid w:val="00F13939"/>
    <w:rsid w:val="00F13B21"/>
    <w:rsid w:val="00F14463"/>
    <w:rsid w:val="00F146C3"/>
    <w:rsid w:val="00F1653E"/>
    <w:rsid w:val="00F17FE9"/>
    <w:rsid w:val="00F2128C"/>
    <w:rsid w:val="00F23291"/>
    <w:rsid w:val="00F25284"/>
    <w:rsid w:val="00F26CA1"/>
    <w:rsid w:val="00F2733E"/>
    <w:rsid w:val="00F31416"/>
    <w:rsid w:val="00F33190"/>
    <w:rsid w:val="00F332A2"/>
    <w:rsid w:val="00F337B2"/>
    <w:rsid w:val="00F33D36"/>
    <w:rsid w:val="00F363E0"/>
    <w:rsid w:val="00F4558C"/>
    <w:rsid w:val="00F45799"/>
    <w:rsid w:val="00F45DC9"/>
    <w:rsid w:val="00F4755A"/>
    <w:rsid w:val="00F547A2"/>
    <w:rsid w:val="00F555C6"/>
    <w:rsid w:val="00F57C99"/>
    <w:rsid w:val="00F60CC6"/>
    <w:rsid w:val="00F622E8"/>
    <w:rsid w:val="00F629D7"/>
    <w:rsid w:val="00F63895"/>
    <w:rsid w:val="00F63F4E"/>
    <w:rsid w:val="00F64822"/>
    <w:rsid w:val="00F65CB3"/>
    <w:rsid w:val="00F66B4C"/>
    <w:rsid w:val="00F707E3"/>
    <w:rsid w:val="00F70A77"/>
    <w:rsid w:val="00F71CD0"/>
    <w:rsid w:val="00F71FC5"/>
    <w:rsid w:val="00F72CF2"/>
    <w:rsid w:val="00F73049"/>
    <w:rsid w:val="00F73222"/>
    <w:rsid w:val="00F7378F"/>
    <w:rsid w:val="00F77609"/>
    <w:rsid w:val="00F843BC"/>
    <w:rsid w:val="00F84A0E"/>
    <w:rsid w:val="00F9065F"/>
    <w:rsid w:val="00F9142F"/>
    <w:rsid w:val="00F91F5A"/>
    <w:rsid w:val="00F92F01"/>
    <w:rsid w:val="00F941C2"/>
    <w:rsid w:val="00F95B2C"/>
    <w:rsid w:val="00F971E5"/>
    <w:rsid w:val="00FA509B"/>
    <w:rsid w:val="00FB0F81"/>
    <w:rsid w:val="00FB17F6"/>
    <w:rsid w:val="00FB3263"/>
    <w:rsid w:val="00FB5CFE"/>
    <w:rsid w:val="00FB6ED3"/>
    <w:rsid w:val="00FB79D5"/>
    <w:rsid w:val="00FC07D5"/>
    <w:rsid w:val="00FC0D50"/>
    <w:rsid w:val="00FC3832"/>
    <w:rsid w:val="00FC4754"/>
    <w:rsid w:val="00FC6BFA"/>
    <w:rsid w:val="00FD00BD"/>
    <w:rsid w:val="00FD1F2A"/>
    <w:rsid w:val="00FD298F"/>
    <w:rsid w:val="00FD5FBF"/>
    <w:rsid w:val="00FD6499"/>
    <w:rsid w:val="00FE41CB"/>
    <w:rsid w:val="00FE428E"/>
    <w:rsid w:val="00FE574F"/>
    <w:rsid w:val="00FE610F"/>
    <w:rsid w:val="00FF029E"/>
    <w:rsid w:val="00FF0918"/>
    <w:rsid w:val="00FF0A78"/>
    <w:rsid w:val="00FF2332"/>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82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qFormat/>
    <w:rsid w:val="002B7335"/>
    <w:pPr>
      <w:spacing w:before="24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semiHidden/>
    <w:rsid w:val="00490FF7"/>
    <w:rPr>
      <w:rFonts w:eastAsia="SimSun"/>
      <w:sz w:val="16"/>
      <w:szCs w:val="20"/>
      <w:lang w:eastAsia="zh-CN"/>
    </w:rPr>
  </w:style>
  <w:style w:type="character" w:styleId="FootnoteReference">
    <w:name w:val="footnote reference"/>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link w:val="IAPOQ2"/>
    <w:rsid w:val="00F1653E"/>
    <w:rPr>
      <w:rFonts w:ascii="Arial" w:eastAsia="SimSun" w:hAnsi="Arial"/>
      <w:b/>
      <w:color w:val="000000"/>
      <w:spacing w:val="-5"/>
      <w:lang w:val="en-GB" w:eastAsia="zh-CN" w:bidi="ar-SA"/>
    </w:rPr>
  </w:style>
  <w:style w:type="character" w:customStyle="1" w:styleId="IPPOQ3Char">
    <w:name w:val="IPPOQ3 Char"/>
    <w:link w:val="IPPOQ3"/>
    <w:rsid w:val="00F1653E"/>
    <w:rPr>
      <w:rFonts w:ascii="Arial" w:eastAsia="SimSun" w:hAnsi="Arial"/>
      <w:b/>
      <w:color w:val="000000"/>
      <w:spacing w:val="-5"/>
      <w:lang w:val="en-GB" w:eastAsia="zh-CN" w:bidi="ar-SA"/>
    </w:rPr>
  </w:style>
  <w:style w:type="character" w:customStyle="1" w:styleId="IAPOQ4Char">
    <w:name w:val="IAPOQ4 Char"/>
    <w:link w:val="IAPOQ4"/>
    <w:rsid w:val="00F1653E"/>
    <w:rPr>
      <w:rFonts w:ascii="Arial" w:eastAsia="SimSun" w:hAnsi="Arial"/>
      <w:b/>
      <w:color w:val="000000"/>
      <w:spacing w:val="-5"/>
      <w:lang w:val="en-GB" w:eastAsia="zh-CN" w:bidi="ar-SA"/>
    </w:rPr>
  </w:style>
  <w:style w:type="character" w:customStyle="1" w:styleId="IAPOQ5Char">
    <w:name w:val="IAPOQ5 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IATableLines"/>
    <w:link w:val="IACOEChar"/>
    <w:rsid w:val="008031EC"/>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174C10"/>
    <w:rPr>
      <w:rFonts w:ascii="Arial" w:eastAsia="SimSun" w:hAnsi="Arial"/>
      <w:b/>
      <w:color w:val="000000"/>
      <w:spacing w:val="-5"/>
      <w:sz w:val="22"/>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paragraph" w:styleId="ListParagraph">
    <w:name w:val="List Paragraph"/>
    <w:basedOn w:val="Normal"/>
    <w:uiPriority w:val="34"/>
    <w:qFormat/>
    <w:rsid w:val="00990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qFormat/>
    <w:rsid w:val="002B7335"/>
    <w:pPr>
      <w:spacing w:before="24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semiHidden/>
    <w:rsid w:val="00490FF7"/>
    <w:rPr>
      <w:rFonts w:eastAsia="SimSun"/>
      <w:sz w:val="16"/>
      <w:szCs w:val="20"/>
      <w:lang w:eastAsia="zh-CN"/>
    </w:rPr>
  </w:style>
  <w:style w:type="character" w:styleId="FootnoteReference">
    <w:name w:val="footnote reference"/>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link w:val="IAPOQ2"/>
    <w:rsid w:val="00F1653E"/>
    <w:rPr>
      <w:rFonts w:ascii="Arial" w:eastAsia="SimSun" w:hAnsi="Arial"/>
      <w:b/>
      <w:color w:val="000000"/>
      <w:spacing w:val="-5"/>
      <w:lang w:val="en-GB" w:eastAsia="zh-CN" w:bidi="ar-SA"/>
    </w:rPr>
  </w:style>
  <w:style w:type="character" w:customStyle="1" w:styleId="IPPOQ3Char">
    <w:name w:val="IPPOQ3 Char"/>
    <w:link w:val="IPPOQ3"/>
    <w:rsid w:val="00F1653E"/>
    <w:rPr>
      <w:rFonts w:ascii="Arial" w:eastAsia="SimSun" w:hAnsi="Arial"/>
      <w:b/>
      <w:color w:val="000000"/>
      <w:spacing w:val="-5"/>
      <w:lang w:val="en-GB" w:eastAsia="zh-CN" w:bidi="ar-SA"/>
    </w:rPr>
  </w:style>
  <w:style w:type="character" w:customStyle="1" w:styleId="IAPOQ4Char">
    <w:name w:val="IAPOQ4 Char"/>
    <w:link w:val="IAPOQ4"/>
    <w:rsid w:val="00F1653E"/>
    <w:rPr>
      <w:rFonts w:ascii="Arial" w:eastAsia="SimSun" w:hAnsi="Arial"/>
      <w:b/>
      <w:color w:val="000000"/>
      <w:spacing w:val="-5"/>
      <w:lang w:val="en-GB" w:eastAsia="zh-CN" w:bidi="ar-SA"/>
    </w:rPr>
  </w:style>
  <w:style w:type="character" w:customStyle="1" w:styleId="IAPOQ5Char">
    <w:name w:val="IAPOQ5 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IATableLines"/>
    <w:link w:val="IACOEChar"/>
    <w:rsid w:val="008031EC"/>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174C10"/>
    <w:rPr>
      <w:rFonts w:ascii="Arial" w:eastAsia="SimSun" w:hAnsi="Arial"/>
      <w:b/>
      <w:color w:val="000000"/>
      <w:spacing w:val="-5"/>
      <w:sz w:val="22"/>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paragraph" w:styleId="ListParagraph">
    <w:name w:val="List Paragraph"/>
    <w:basedOn w:val="Normal"/>
    <w:uiPriority w:val="34"/>
    <w:qFormat/>
    <w:rsid w:val="00990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7816">
      <w:bodyDiv w:val="1"/>
      <w:marLeft w:val="0"/>
      <w:marRight w:val="0"/>
      <w:marTop w:val="0"/>
      <w:marBottom w:val="0"/>
      <w:divBdr>
        <w:top w:val="none" w:sz="0" w:space="0" w:color="auto"/>
        <w:left w:val="none" w:sz="0" w:space="0" w:color="auto"/>
        <w:bottom w:val="none" w:sz="0" w:space="0" w:color="auto"/>
        <w:right w:val="none" w:sz="0" w:space="0" w:color="auto"/>
      </w:divBdr>
    </w:div>
    <w:div w:id="545289060">
      <w:bodyDiv w:val="1"/>
      <w:marLeft w:val="0"/>
      <w:marRight w:val="0"/>
      <w:marTop w:val="0"/>
      <w:marBottom w:val="0"/>
      <w:divBdr>
        <w:top w:val="none" w:sz="0" w:space="0" w:color="auto"/>
        <w:left w:val="none" w:sz="0" w:space="0" w:color="auto"/>
        <w:bottom w:val="none" w:sz="0" w:space="0" w:color="auto"/>
        <w:right w:val="none" w:sz="0" w:space="0" w:color="auto"/>
      </w:divBdr>
    </w:div>
    <w:div w:id="560288766">
      <w:bodyDiv w:val="1"/>
      <w:marLeft w:val="0"/>
      <w:marRight w:val="0"/>
      <w:marTop w:val="0"/>
      <w:marBottom w:val="0"/>
      <w:divBdr>
        <w:top w:val="none" w:sz="0" w:space="0" w:color="auto"/>
        <w:left w:val="none" w:sz="0" w:space="0" w:color="auto"/>
        <w:bottom w:val="none" w:sz="0" w:space="0" w:color="auto"/>
        <w:right w:val="none" w:sz="0" w:space="0" w:color="auto"/>
      </w:divBdr>
    </w:div>
    <w:div w:id="948972132">
      <w:bodyDiv w:val="1"/>
      <w:marLeft w:val="0"/>
      <w:marRight w:val="0"/>
      <w:marTop w:val="0"/>
      <w:marBottom w:val="0"/>
      <w:divBdr>
        <w:top w:val="none" w:sz="0" w:space="0" w:color="auto"/>
        <w:left w:val="none" w:sz="0" w:space="0" w:color="auto"/>
        <w:bottom w:val="none" w:sz="0" w:space="0" w:color="auto"/>
        <w:right w:val="none" w:sz="0" w:space="0" w:color="auto"/>
      </w:divBdr>
    </w:div>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 w:id="1432967598">
      <w:bodyDiv w:val="1"/>
      <w:marLeft w:val="0"/>
      <w:marRight w:val="0"/>
      <w:marTop w:val="0"/>
      <w:marBottom w:val="0"/>
      <w:divBdr>
        <w:top w:val="none" w:sz="0" w:space="0" w:color="auto"/>
        <w:left w:val="none" w:sz="0" w:space="0" w:color="auto"/>
        <w:bottom w:val="none" w:sz="0" w:space="0" w:color="auto"/>
        <w:right w:val="none" w:sz="0" w:space="0" w:color="auto"/>
      </w:divBdr>
    </w:div>
    <w:div w:id="1806391084">
      <w:bodyDiv w:val="1"/>
      <w:marLeft w:val="0"/>
      <w:marRight w:val="0"/>
      <w:marTop w:val="0"/>
      <w:marBottom w:val="0"/>
      <w:divBdr>
        <w:top w:val="none" w:sz="0" w:space="0" w:color="auto"/>
        <w:left w:val="none" w:sz="0" w:space="0" w:color="auto"/>
        <w:bottom w:val="none" w:sz="0" w:space="0" w:color="auto"/>
        <w:right w:val="none" w:sz="0" w:space="0" w:color="auto"/>
      </w:divBdr>
    </w:div>
    <w:div w:id="1908414979">
      <w:bodyDiv w:val="1"/>
      <w:marLeft w:val="0"/>
      <w:marRight w:val="0"/>
      <w:marTop w:val="0"/>
      <w:marBottom w:val="0"/>
      <w:divBdr>
        <w:top w:val="none" w:sz="0" w:space="0" w:color="auto"/>
        <w:left w:val="none" w:sz="0" w:space="0" w:color="auto"/>
        <w:bottom w:val="none" w:sz="0" w:space="0" w:color="auto"/>
        <w:right w:val="none" w:sz="0" w:space="0" w:color="auto"/>
      </w:divBdr>
    </w:div>
    <w:div w:id="21293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5299\Documents\I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 TEMPLATE.dot</Template>
  <TotalTime>14</TotalTime>
  <Pages>9</Pages>
  <Words>4487</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Impact Assessment</vt:lpstr>
    </vt:vector>
  </TitlesOfParts>
  <Company>DCMS</Company>
  <LinksUpToDate>false</LinksUpToDate>
  <CharactersWithSpaces>30003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creator>LEPPER JOHN</dc:creator>
  <cp:lastModifiedBy>ANDERTON, Henry</cp:lastModifiedBy>
  <cp:revision>7</cp:revision>
  <cp:lastPrinted>2011-10-05T09:57:00Z</cp:lastPrinted>
  <dcterms:created xsi:type="dcterms:W3CDTF">2013-04-10T12:53:00Z</dcterms:created>
  <dcterms:modified xsi:type="dcterms:W3CDTF">2013-04-23T10:02:00Z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Consultation</vt:lpwstr>
  </property>
</Properties>
</file>