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B50649" w:rsidTr="0054482E">
        <w:trPr>
          <w:trHeight w:hRule="exact" w:val="2890"/>
        </w:trPr>
        <w:tc>
          <w:tcPr>
            <w:tcW w:w="6118" w:type="dxa"/>
            <w:tcBorders>
              <w:top w:val="single" w:sz="4" w:space="0" w:color="auto"/>
              <w:bottom w:val="single" w:sz="4" w:space="0" w:color="auto"/>
            </w:tcBorders>
            <w:shd w:val="clear" w:color="auto" w:fill="auto"/>
          </w:tcPr>
          <w:p w:rsidR="00FD51F7" w:rsidRPr="00FD51F7" w:rsidRDefault="00FD51F7" w:rsidP="0054482E">
            <w:pPr>
              <w:pStyle w:val="IAHeadLabel0"/>
              <w:spacing w:before="50"/>
              <w:ind w:left="113"/>
              <w:rPr>
                <w:sz w:val="24"/>
                <w:szCs w:val="24"/>
              </w:rPr>
            </w:pPr>
            <w:bookmarkStart w:id="0" w:name="_GoBack"/>
            <w:bookmarkEnd w:id="0"/>
            <w:r w:rsidRPr="00FD51F7">
              <w:rPr>
                <w:sz w:val="24"/>
                <w:szCs w:val="24"/>
              </w:rPr>
              <w:t>ANNEX A</w:t>
            </w:r>
          </w:p>
          <w:p w:rsidR="00FD51F7" w:rsidRDefault="00FD51F7" w:rsidP="0054482E">
            <w:pPr>
              <w:pStyle w:val="IAHeadLabel0"/>
              <w:spacing w:before="50"/>
              <w:ind w:left="113"/>
            </w:pPr>
          </w:p>
          <w:p w:rsidR="007F0ED9" w:rsidRPr="00102870" w:rsidRDefault="00495404" w:rsidP="00FD51F7">
            <w:pPr>
              <w:pStyle w:val="IAHeadLabel0"/>
              <w:spacing w:before="50"/>
              <w:ind w:left="113"/>
            </w:pPr>
            <w:r w:rsidRPr="003E0510">
              <w:t>Title</w:t>
            </w:r>
            <w:r w:rsidR="00463490">
              <w:t>:</w:t>
            </w:r>
            <w:r w:rsidR="00FD51F7">
              <w:t xml:space="preserve"> </w:t>
            </w:r>
            <w:r w:rsidR="00FD51F7" w:rsidRPr="00FD51F7">
              <w:t>Proposed changes to siting requirements for broadband cabinets and overhead lines to facilitate the deployment of superfast broadband networks</w:t>
            </w:r>
            <w:bookmarkStart w:id="1" w:name="IATitle"/>
            <w:r w:rsidR="004C1BBB" w:rsidRPr="00102870">
              <w:fldChar w:fldCharType="begin">
                <w:ffData>
                  <w:name w:val="IATitle"/>
                  <w:enabled/>
                  <w:calcOnExit w:val="0"/>
                  <w:textInput>
                    <w:maxLength w:val="800"/>
                  </w:textInput>
                </w:ffData>
              </w:fldChar>
            </w:r>
            <w:r w:rsidR="004C1BBB" w:rsidRPr="005F32E7">
              <w:instrText xml:space="preserve"> FORMTEXT </w:instrText>
            </w:r>
            <w:r w:rsidR="004C1BBB" w:rsidRPr="00102870">
              <w:fldChar w:fldCharType="separate"/>
            </w:r>
            <w:r w:rsidR="004C1BBB" w:rsidRPr="0054482E">
              <w:rPr>
                <w:rFonts w:eastAsia="Arial Unicode MS"/>
              </w:rPr>
              <w:t> </w:t>
            </w:r>
            <w:r w:rsidR="004C1BBB" w:rsidRPr="0054482E">
              <w:rPr>
                <w:rFonts w:eastAsia="Arial Unicode MS"/>
              </w:rPr>
              <w:t> </w:t>
            </w:r>
            <w:r w:rsidR="004C1BBB" w:rsidRPr="0054482E">
              <w:rPr>
                <w:rFonts w:eastAsia="Arial Unicode MS"/>
              </w:rPr>
              <w:t> </w:t>
            </w:r>
            <w:r w:rsidR="004C1BBB" w:rsidRPr="0054482E">
              <w:rPr>
                <w:rFonts w:eastAsia="Arial Unicode MS"/>
              </w:rPr>
              <w:t> </w:t>
            </w:r>
            <w:r w:rsidR="004C1BBB" w:rsidRPr="0054482E">
              <w:rPr>
                <w:rFonts w:eastAsia="Arial Unicode MS"/>
              </w:rPr>
              <w:t> </w:t>
            </w:r>
            <w:r w:rsidR="004C1BBB" w:rsidRPr="00102870">
              <w:fldChar w:fldCharType="end"/>
            </w:r>
            <w:bookmarkEnd w:id="1"/>
          </w:p>
          <w:p w:rsidR="00E14792" w:rsidRPr="008031EC" w:rsidRDefault="00E14792" w:rsidP="0054482E">
            <w:pPr>
              <w:pStyle w:val="IAHeadTitle"/>
              <w:ind w:left="113"/>
              <w:rPr>
                <w:rStyle w:val="IANoChar"/>
              </w:rPr>
            </w:pPr>
          </w:p>
          <w:p w:rsidR="00495404" w:rsidRDefault="00495404" w:rsidP="0054482E">
            <w:pPr>
              <w:pStyle w:val="IAHeadLabel"/>
              <w:ind w:left="113"/>
            </w:pPr>
            <w:r w:rsidRPr="003E0510">
              <w:t>Lead department or agency</w:t>
            </w:r>
            <w:r>
              <w:t>:</w:t>
            </w:r>
            <w:r w:rsidR="00FD51F7">
              <w:t xml:space="preserve">  Department for Culture, Media and Sport</w:t>
            </w:r>
          </w:p>
          <w:bookmarkStart w:id="2" w:name="IALeadDept"/>
          <w:p w:rsidR="001D5EC9" w:rsidRPr="005F32E7" w:rsidRDefault="00290335" w:rsidP="005F32E7">
            <w:pPr>
              <w:pStyle w:val="IALeadDept"/>
            </w:pPr>
            <w:r w:rsidRPr="005F32E7">
              <w:fldChar w:fldCharType="begin">
                <w:ffData>
                  <w:name w:val="IALeadDept"/>
                  <w:enabled/>
                  <w:calcOnExit w:val="0"/>
                  <w:textInput>
                    <w:maxLength w:val="100"/>
                  </w:textInput>
                </w:ffData>
              </w:fldChar>
            </w:r>
            <w:r w:rsidRPr="005F32E7">
              <w:instrText xml:space="preserve"> FORMTEXT </w:instrText>
            </w:r>
            <w:r w:rsidRPr="005F32E7">
              <w:fldChar w:fldCharType="separate"/>
            </w:r>
            <w:r w:rsidRPr="005F32E7">
              <w:t> </w:t>
            </w:r>
            <w:r w:rsidRPr="005F32E7">
              <w:t> </w:t>
            </w:r>
            <w:r w:rsidRPr="005F32E7">
              <w:t> </w:t>
            </w:r>
            <w:r w:rsidRPr="005F32E7">
              <w:t> </w:t>
            </w:r>
            <w:r w:rsidRPr="005F32E7">
              <w:t> </w:t>
            </w:r>
            <w:r w:rsidRPr="005F32E7">
              <w:fldChar w:fldCharType="end"/>
            </w:r>
            <w:bookmarkEnd w:id="2"/>
          </w:p>
          <w:bookmarkStart w:id="3" w:name="IAOtherDepts"/>
          <w:p w:rsidR="00B93466" w:rsidRDefault="000239A7" w:rsidP="008031EC">
            <w:pPr>
              <w:pStyle w:val="IAOtherDepts"/>
            </w:pPr>
            <w:r>
              <w:fldChar w:fldCharType="begin">
                <w:ffData>
                  <w:name w:val="IAOtherDepts"/>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098" w:type="dxa"/>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rsidTr="0054482E">
              <w:trPr>
                <w:trHeight w:hRule="exact" w:val="539"/>
              </w:trPr>
              <w:tc>
                <w:tcPr>
                  <w:tcW w:w="4088" w:type="dxa"/>
                  <w:shd w:val="clear" w:color="auto" w:fill="333333"/>
                  <w:vAlign w:val="center"/>
                </w:tcPr>
                <w:p w:rsidR="00B50649" w:rsidRDefault="00B50649" w:rsidP="00E90731">
                  <w:pPr>
                    <w:pStyle w:val="Title"/>
                  </w:pPr>
                  <w:r w:rsidRPr="00383295">
                    <w:t>Impact Assessment (IA)</w:t>
                  </w:r>
                </w:p>
                <w:p w:rsidR="00FD51F7" w:rsidRPr="00383295" w:rsidRDefault="00FD51F7" w:rsidP="00E90731">
                  <w:pPr>
                    <w:pStyle w:val="Title"/>
                  </w:pPr>
                </w:p>
              </w:tc>
            </w:tr>
            <w:tr w:rsidR="00B50649" w:rsidRPr="00966271" w:rsidTr="0054482E">
              <w:tc>
                <w:tcPr>
                  <w:tcW w:w="4088" w:type="dxa"/>
                  <w:shd w:val="clear" w:color="auto" w:fill="auto"/>
                </w:tcPr>
                <w:p w:rsidR="001F69E9" w:rsidRPr="00631B4C" w:rsidRDefault="00B50649" w:rsidP="00631B4C">
                  <w:pPr>
                    <w:pStyle w:val="IATableLabel"/>
                  </w:pPr>
                  <w:r w:rsidRPr="00631B4C">
                    <w:t>Date:</w:t>
                  </w:r>
                  <w:r w:rsidR="0071686F">
                    <w:t xml:space="preserve"> </w:t>
                  </w:r>
                  <w:bookmarkStart w:id="4" w:name="IADate"/>
                  <w:r w:rsidR="001F5423" w:rsidRPr="0054482E">
                    <w:rPr>
                      <w:rStyle w:val="IADateChar"/>
                      <w:sz w:val="20"/>
                      <w:szCs w:val="20"/>
                    </w:rPr>
                    <w:fldChar w:fldCharType="begin">
                      <w:ffData>
                        <w:name w:val="IADate"/>
                        <w:enabled/>
                        <w:calcOnExit w:val="0"/>
                        <w:textInput>
                          <w:type w:val="date"/>
                          <w:default w:val="01/01/2011"/>
                          <w:format w:val="DD/MM/YYYY"/>
                        </w:textInput>
                      </w:ffData>
                    </w:fldChar>
                  </w:r>
                  <w:r w:rsidR="001F5423" w:rsidRPr="0054482E">
                    <w:rPr>
                      <w:rStyle w:val="IADateChar"/>
                      <w:sz w:val="20"/>
                      <w:szCs w:val="20"/>
                    </w:rPr>
                    <w:instrText xml:space="preserve"> FORMTEXT </w:instrText>
                  </w:r>
                  <w:r w:rsidR="001F5423" w:rsidRPr="0054482E">
                    <w:rPr>
                      <w:rStyle w:val="IADateChar"/>
                      <w:sz w:val="20"/>
                      <w:szCs w:val="20"/>
                    </w:rPr>
                  </w:r>
                  <w:r w:rsidR="001F5423" w:rsidRPr="0054482E">
                    <w:rPr>
                      <w:rStyle w:val="IADateChar"/>
                      <w:sz w:val="20"/>
                      <w:szCs w:val="20"/>
                    </w:rPr>
                    <w:fldChar w:fldCharType="separate"/>
                  </w:r>
                  <w:r w:rsidR="001F5423" w:rsidRPr="0054482E">
                    <w:rPr>
                      <w:rStyle w:val="IADateChar"/>
                      <w:sz w:val="20"/>
                      <w:szCs w:val="20"/>
                    </w:rPr>
                    <w:t>01/01/2011</w:t>
                  </w:r>
                  <w:r w:rsidR="001F5423" w:rsidRPr="0054482E">
                    <w:rPr>
                      <w:rStyle w:val="IADateChar"/>
                      <w:sz w:val="20"/>
                      <w:szCs w:val="20"/>
                    </w:rPr>
                    <w:fldChar w:fldCharType="end"/>
                  </w:r>
                  <w:bookmarkEnd w:id="4"/>
                </w:p>
              </w:tc>
            </w:tr>
            <w:tr w:rsidR="00B50649" w:rsidRPr="00966271" w:rsidTr="0054482E">
              <w:tc>
                <w:tcPr>
                  <w:tcW w:w="4088" w:type="dxa"/>
                  <w:shd w:val="clear" w:color="auto" w:fill="auto"/>
                </w:tcPr>
                <w:p w:rsidR="00B50649" w:rsidRPr="007F0ED9" w:rsidRDefault="00941D69" w:rsidP="00771A8E">
                  <w:pPr>
                    <w:pStyle w:val="IATableLabel"/>
                  </w:pPr>
                  <w:bookmarkStart w:id="5" w:name="Stage"/>
                  <w:r w:rsidRPr="007F0ED9">
                    <w:t xml:space="preserve">Stage: </w:t>
                  </w:r>
                  <w:r w:rsidR="00771A8E">
                    <w:t>Consultation</w:t>
                  </w:r>
                  <w:bookmarkEnd w:id="5"/>
                </w:p>
              </w:tc>
            </w:tr>
            <w:tr w:rsidR="00B50649" w:rsidRPr="00966271" w:rsidTr="0054482E">
              <w:tc>
                <w:tcPr>
                  <w:tcW w:w="4088" w:type="dxa"/>
                  <w:shd w:val="clear" w:color="auto" w:fill="auto"/>
                </w:tcPr>
                <w:p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6" w:name="IAInterSource"/>
                  <w:r w:rsidR="00290335" w:rsidRPr="0054482E">
                    <w:rPr>
                      <w:rStyle w:val="IASOIChar"/>
                      <w:sz w:val="20"/>
                    </w:rPr>
                    <w:fldChar w:fldCharType="begin">
                      <w:ffData>
                        <w:name w:val="IAInterSource"/>
                        <w:enabled/>
                        <w:calcOnExit w:val="0"/>
                        <w:ddList>
                          <w:listEntry w:val="Domestic"/>
                          <w:listEntry w:val="EU"/>
                          <w:listEntry w:val="International"/>
                        </w:ddList>
                      </w:ffData>
                    </w:fldChar>
                  </w:r>
                  <w:r w:rsidR="00290335" w:rsidRPr="0054482E">
                    <w:rPr>
                      <w:rStyle w:val="IASOIChar"/>
                      <w:sz w:val="20"/>
                    </w:rPr>
                    <w:instrText xml:space="preserve"> FORMDROPDOWN </w:instrText>
                  </w:r>
                  <w:r w:rsidR="00290335" w:rsidRPr="0054482E">
                    <w:rPr>
                      <w:rStyle w:val="IASOIChar"/>
                      <w:sz w:val="20"/>
                    </w:rPr>
                  </w:r>
                  <w:r w:rsidR="00290335" w:rsidRPr="0054482E">
                    <w:rPr>
                      <w:rStyle w:val="IASOIChar"/>
                      <w:sz w:val="20"/>
                    </w:rPr>
                    <w:fldChar w:fldCharType="end"/>
                  </w:r>
                  <w:bookmarkEnd w:id="6"/>
                </w:p>
              </w:tc>
            </w:tr>
            <w:tr w:rsidR="00052F44" w:rsidRPr="0054482E" w:rsidTr="0054482E">
              <w:tc>
                <w:tcPr>
                  <w:tcW w:w="4088" w:type="dxa"/>
                  <w:shd w:val="clear" w:color="auto" w:fill="auto"/>
                </w:tcPr>
                <w:p w:rsidR="00052F44" w:rsidRPr="0054482E" w:rsidRDefault="00052F44" w:rsidP="00771A8E">
                  <w:pPr>
                    <w:pStyle w:val="IATableLabel"/>
                    <w:rPr>
                      <w:b w:val="0"/>
                    </w:rPr>
                  </w:pPr>
                  <w:r w:rsidRPr="007F0ED9">
                    <w:t xml:space="preserve">Type of measure: </w:t>
                  </w:r>
                  <w:bookmarkStart w:id="7" w:name="IAMeasureType"/>
                  <w:r w:rsidR="00771A8E">
                    <w:t>Secondary</w:t>
                  </w:r>
                  <w:bookmarkEnd w:id="7"/>
                </w:p>
              </w:tc>
            </w:tr>
            <w:tr w:rsidR="00B50649" w:rsidRPr="0054482E" w:rsidTr="0054482E">
              <w:trPr>
                <w:trHeight w:val="1115"/>
              </w:trPr>
              <w:tc>
                <w:tcPr>
                  <w:tcW w:w="4088" w:type="dxa"/>
                  <w:shd w:val="clear" w:color="auto" w:fill="auto"/>
                </w:tcPr>
                <w:p w:rsidR="00023080" w:rsidRPr="000F004E" w:rsidRDefault="00773719" w:rsidP="0054482E">
                  <w:pPr>
                    <w:ind w:left="113" w:right="113"/>
                  </w:pPr>
                  <w:r w:rsidRPr="0054482E">
                    <w:rPr>
                      <w:rStyle w:val="IATableLabelCharChar"/>
                      <w:sz w:val="20"/>
                      <w:szCs w:val="20"/>
                    </w:rPr>
                    <w:t>Contact for enquiries:</w:t>
                  </w:r>
                  <w:r w:rsidRPr="00D337D1">
                    <w:t xml:space="preserve"> </w:t>
                  </w:r>
                  <w:bookmarkStart w:id="8" w:name="IAEnquiryContacts"/>
                  <w:r w:rsidRPr="0054482E">
                    <w:rPr>
                      <w:rStyle w:val="IACOEChar"/>
                      <w:b w:val="0"/>
                      <w:sz w:val="20"/>
                    </w:rPr>
                    <w:fldChar w:fldCharType="begin">
                      <w:ffData>
                        <w:name w:val="IAEnquiryContacts"/>
                        <w:enabled/>
                        <w:calcOnExit w:val="0"/>
                        <w:textInput>
                          <w:maxLength w:val="200"/>
                        </w:textInput>
                      </w:ffData>
                    </w:fldChar>
                  </w:r>
                  <w:r w:rsidRPr="0054482E">
                    <w:rPr>
                      <w:rStyle w:val="IACOEChar"/>
                      <w:b w:val="0"/>
                      <w:sz w:val="20"/>
                    </w:rPr>
                    <w:instrText xml:space="preserve"> FORMTEXT </w:instrText>
                  </w:r>
                  <w:r w:rsidRPr="0054482E">
                    <w:rPr>
                      <w:rStyle w:val="IACOEChar"/>
                      <w:b w:val="0"/>
                      <w:sz w:val="20"/>
                    </w:rPr>
                  </w:r>
                  <w:r w:rsidRPr="0054482E">
                    <w:rPr>
                      <w:rStyle w:val="IACOEChar"/>
                      <w:b w:val="0"/>
                      <w:sz w:val="20"/>
                    </w:rPr>
                    <w:fldChar w:fldCharType="separate"/>
                  </w:r>
                  <w:r w:rsidRPr="0054482E">
                    <w:rPr>
                      <w:rStyle w:val="IACOEChar"/>
                      <w:b w:val="0"/>
                      <w:sz w:val="20"/>
                    </w:rPr>
                    <w:t> </w:t>
                  </w:r>
                  <w:r w:rsidRPr="0054482E">
                    <w:rPr>
                      <w:rStyle w:val="IACOEChar"/>
                      <w:b w:val="0"/>
                      <w:sz w:val="20"/>
                    </w:rPr>
                    <w:t> </w:t>
                  </w:r>
                  <w:r w:rsidRPr="0054482E">
                    <w:rPr>
                      <w:rStyle w:val="IACOEChar"/>
                      <w:b w:val="0"/>
                      <w:sz w:val="20"/>
                    </w:rPr>
                    <w:t> </w:t>
                  </w:r>
                  <w:r w:rsidRPr="0054482E">
                    <w:rPr>
                      <w:rStyle w:val="IACOEChar"/>
                      <w:b w:val="0"/>
                      <w:sz w:val="20"/>
                    </w:rPr>
                    <w:t> </w:t>
                  </w:r>
                  <w:r w:rsidRPr="0054482E">
                    <w:rPr>
                      <w:rStyle w:val="IACOEChar"/>
                      <w:b w:val="0"/>
                      <w:sz w:val="20"/>
                    </w:rPr>
                    <w:t> </w:t>
                  </w:r>
                  <w:r w:rsidRPr="0054482E">
                    <w:rPr>
                      <w:rStyle w:val="IACOEChar"/>
                      <w:b w:val="0"/>
                      <w:sz w:val="20"/>
                    </w:rPr>
                    <w:fldChar w:fldCharType="end"/>
                  </w:r>
                  <w:bookmarkEnd w:id="8"/>
                </w:p>
              </w:tc>
            </w:tr>
            <w:tr w:rsidR="000C1D45" w:rsidRPr="0054482E" w:rsidTr="0054482E">
              <w:trPr>
                <w:trHeight w:val="1115"/>
              </w:trPr>
              <w:tc>
                <w:tcPr>
                  <w:tcW w:w="4088" w:type="dxa"/>
                  <w:shd w:val="clear" w:color="auto" w:fill="auto"/>
                </w:tcPr>
                <w:p w:rsidR="000C1D45" w:rsidRPr="0054482E" w:rsidRDefault="000C1D45" w:rsidP="00A32793">
                  <w:pPr>
                    <w:pStyle w:val="IATableLines"/>
                    <w:rPr>
                      <w:b/>
                      <w:color w:val="000000"/>
                      <w:sz w:val="20"/>
                    </w:rPr>
                  </w:pPr>
                </w:p>
              </w:tc>
            </w:tr>
            <w:tr w:rsidR="000C1D45" w:rsidRPr="0054482E" w:rsidTr="0054482E">
              <w:trPr>
                <w:trHeight w:val="1115"/>
              </w:trPr>
              <w:tc>
                <w:tcPr>
                  <w:tcW w:w="4088" w:type="dxa"/>
                  <w:shd w:val="clear" w:color="auto" w:fill="auto"/>
                </w:tcPr>
                <w:p w:rsidR="000C1D45" w:rsidRPr="0054482E" w:rsidRDefault="000C1D45" w:rsidP="00A32793">
                  <w:pPr>
                    <w:pStyle w:val="IATableLines"/>
                    <w:rPr>
                      <w:b/>
                      <w:color w:val="000000"/>
                      <w:sz w:val="20"/>
                    </w:rPr>
                  </w:pPr>
                </w:p>
              </w:tc>
            </w:tr>
            <w:tr w:rsidR="000C1D45" w:rsidRPr="0054482E" w:rsidTr="0054482E">
              <w:trPr>
                <w:trHeight w:val="1115"/>
              </w:trPr>
              <w:tc>
                <w:tcPr>
                  <w:tcW w:w="4088" w:type="dxa"/>
                  <w:shd w:val="clear" w:color="auto" w:fill="auto"/>
                </w:tcPr>
                <w:p w:rsidR="000C1D45" w:rsidRPr="0054482E" w:rsidRDefault="000C1D45" w:rsidP="00A32793">
                  <w:pPr>
                    <w:pStyle w:val="IATableLines"/>
                    <w:rPr>
                      <w:b/>
                      <w:color w:val="000000"/>
                      <w:sz w:val="20"/>
                    </w:rPr>
                  </w:pPr>
                </w:p>
              </w:tc>
            </w:tr>
            <w:tr w:rsidR="000C1D45" w:rsidRPr="0054482E" w:rsidTr="0054482E">
              <w:trPr>
                <w:trHeight w:val="1115"/>
              </w:trPr>
              <w:tc>
                <w:tcPr>
                  <w:tcW w:w="4088" w:type="dxa"/>
                  <w:shd w:val="clear" w:color="auto" w:fill="auto"/>
                </w:tcPr>
                <w:p w:rsidR="000C1D45" w:rsidRPr="0054482E" w:rsidRDefault="000C1D45" w:rsidP="00A32793">
                  <w:pPr>
                    <w:pStyle w:val="IATableLines"/>
                    <w:rPr>
                      <w:b/>
                      <w:color w:val="000000"/>
                      <w:sz w:val="20"/>
                    </w:rPr>
                  </w:pPr>
                </w:p>
              </w:tc>
            </w:tr>
            <w:tr w:rsidR="000C1D45" w:rsidRPr="0054482E" w:rsidTr="0054482E">
              <w:trPr>
                <w:trHeight w:val="1115"/>
              </w:trPr>
              <w:tc>
                <w:tcPr>
                  <w:tcW w:w="4088" w:type="dxa"/>
                  <w:shd w:val="clear" w:color="auto" w:fill="auto"/>
                </w:tcPr>
                <w:p w:rsidR="000C1D45" w:rsidRPr="0054482E" w:rsidRDefault="000C1D45" w:rsidP="00A32793">
                  <w:pPr>
                    <w:pStyle w:val="IATableLines"/>
                    <w:rPr>
                      <w:b/>
                      <w:color w:val="000000"/>
                      <w:sz w:val="20"/>
                    </w:rPr>
                  </w:pPr>
                </w:p>
              </w:tc>
            </w:tr>
            <w:tr w:rsidR="000C1D45" w:rsidRPr="0054482E" w:rsidTr="0054482E">
              <w:trPr>
                <w:trHeight w:val="1115"/>
              </w:trPr>
              <w:tc>
                <w:tcPr>
                  <w:tcW w:w="4088" w:type="dxa"/>
                  <w:shd w:val="clear" w:color="auto" w:fill="auto"/>
                </w:tcPr>
                <w:p w:rsidR="000C1D45" w:rsidRPr="0054482E" w:rsidRDefault="000C1D45" w:rsidP="00A32793">
                  <w:pPr>
                    <w:pStyle w:val="IATableLines"/>
                    <w:rPr>
                      <w:b/>
                      <w:color w:val="000000"/>
                      <w:sz w:val="20"/>
                    </w:rPr>
                  </w:pPr>
                </w:p>
              </w:tc>
            </w:tr>
          </w:tbl>
          <w:p w:rsidR="00B50649" w:rsidRPr="0054482E" w:rsidRDefault="00B50649">
            <w:pPr>
              <w:rPr>
                <w:rFonts w:eastAsia="SimSun"/>
              </w:rPr>
            </w:pPr>
          </w:p>
        </w:tc>
      </w:tr>
      <w:tr w:rsidR="000C1D45" w:rsidRPr="0054482E" w:rsidTr="0054482E">
        <w:trPr>
          <w:trHeight w:hRule="exact" w:val="410"/>
        </w:trPr>
        <w:tc>
          <w:tcPr>
            <w:tcW w:w="6118" w:type="dxa"/>
            <w:tcBorders>
              <w:top w:val="single" w:sz="4" w:space="0" w:color="auto"/>
              <w:left w:val="nil"/>
              <w:bottom w:val="single" w:sz="4" w:space="0" w:color="auto"/>
              <w:right w:val="single" w:sz="4" w:space="0" w:color="auto"/>
            </w:tcBorders>
            <w:shd w:val="clear" w:color="auto" w:fill="auto"/>
          </w:tcPr>
          <w:p w:rsidR="000C1D45" w:rsidRPr="0054482E" w:rsidRDefault="000C1D45" w:rsidP="0054482E">
            <w:pPr>
              <w:pStyle w:val="Heading1"/>
              <w:spacing w:before="60"/>
              <w:rPr>
                <w:rFonts w:eastAsia="SimSun" w:hint="eastAsia"/>
                <w:sz w:val="28"/>
                <w:szCs w:val="28"/>
              </w:rPr>
            </w:pPr>
            <w:r w:rsidRPr="0054482E">
              <w:rPr>
                <w:rFonts w:eastAsia="SimSun"/>
                <w:sz w:val="28"/>
                <w:szCs w:val="28"/>
              </w:rPr>
              <w:t xml:space="preserve">Summary: Intervention and Options </w:t>
            </w:r>
          </w:p>
          <w:p w:rsidR="000C1D45" w:rsidRPr="0054482E" w:rsidRDefault="000C1D45" w:rsidP="0054482E">
            <w:pPr>
              <w:pStyle w:val="IAHeadLabel0"/>
              <w:spacing w:before="50"/>
              <w:ind w:left="113"/>
              <w:rPr>
                <w:sz w:val="28"/>
                <w:szCs w:val="28"/>
              </w:rPr>
            </w:pPr>
          </w:p>
        </w:tc>
        <w:tc>
          <w:tcPr>
            <w:tcW w:w="4098" w:type="dxa"/>
            <w:tcBorders>
              <w:top w:val="single" w:sz="4" w:space="0" w:color="auto"/>
              <w:left w:val="single" w:sz="4" w:space="0" w:color="auto"/>
              <w:bottom w:val="single" w:sz="4" w:space="0" w:color="auto"/>
              <w:right w:val="single" w:sz="4" w:space="0" w:color="auto"/>
            </w:tcBorders>
            <w:shd w:val="clear" w:color="auto" w:fill="E0E0E0"/>
            <w:vAlign w:val="center"/>
          </w:tcPr>
          <w:p w:rsidR="000C1D45" w:rsidRPr="0054482E" w:rsidRDefault="000C1D45" w:rsidP="000C1D45">
            <w:pPr>
              <w:pStyle w:val="Title"/>
              <w:rPr>
                <w:rFonts w:eastAsia="SimSun"/>
                <w:b/>
                <w:color w:val="auto"/>
                <w:sz w:val="24"/>
                <w:szCs w:val="24"/>
              </w:rPr>
            </w:pPr>
            <w:r w:rsidRPr="0054482E">
              <w:rPr>
                <w:rFonts w:eastAsia="SimSun"/>
                <w:b/>
                <w:color w:val="auto"/>
                <w:sz w:val="24"/>
                <w:szCs w:val="24"/>
              </w:rPr>
              <w:t>RPC</w:t>
            </w:r>
            <w:r w:rsidR="00EC6B93" w:rsidRPr="0054482E">
              <w:rPr>
                <w:rFonts w:eastAsia="SimSun"/>
                <w:b/>
                <w:color w:val="auto"/>
                <w:sz w:val="24"/>
                <w:szCs w:val="24"/>
              </w:rPr>
              <w:t xml:space="preserve"> Opinion</w:t>
            </w:r>
            <w:r w:rsidRPr="0054482E">
              <w:rPr>
                <w:rFonts w:eastAsia="SimSun"/>
                <w:b/>
                <w:color w:val="auto"/>
                <w:sz w:val="24"/>
                <w:szCs w:val="24"/>
              </w:rPr>
              <w:t xml:space="preserve">: </w:t>
            </w:r>
            <w:bookmarkStart w:id="9" w:name="IARPC"/>
            <w:r w:rsidR="00EC6B93">
              <w:rPr>
                <w:rStyle w:val="IARPCChar"/>
              </w:rPr>
              <w:fldChar w:fldCharType="begin">
                <w:ffData>
                  <w:name w:val="IARPC"/>
                  <w:enabled/>
                  <w:calcOnExit w:val="0"/>
                  <w:ddList>
                    <w:listEntry w:val="RPC Opinion Status"/>
                    <w:listEntry w:val="Awaiting Scrutiny"/>
                    <w:listEntry w:val="RED"/>
                    <w:listEntry w:val="AMBER"/>
                    <w:listEntry w:val="GREEN"/>
                  </w:ddList>
                </w:ffData>
              </w:fldChar>
            </w:r>
            <w:r w:rsidR="00EC6B93">
              <w:rPr>
                <w:rStyle w:val="IARPCChar"/>
              </w:rPr>
              <w:instrText xml:space="preserve"> FORMDROPDOWN </w:instrText>
            </w:r>
            <w:r w:rsidR="00EC6B93">
              <w:rPr>
                <w:rStyle w:val="IARPCChar"/>
              </w:rPr>
            </w:r>
            <w:r w:rsidR="00EC6B93">
              <w:rPr>
                <w:rStyle w:val="IARPCChar"/>
              </w:rPr>
              <w:fldChar w:fldCharType="end"/>
            </w:r>
            <w:bookmarkEnd w:id="9"/>
          </w:p>
        </w:tc>
      </w:tr>
      <w:tr w:rsidR="00372A69" w:rsidRPr="0054482E" w:rsidTr="0054482E">
        <w:trPr>
          <w:trHeight w:hRule="exact" w:val="90"/>
        </w:trPr>
        <w:tc>
          <w:tcPr>
            <w:tcW w:w="10216" w:type="dxa"/>
            <w:gridSpan w:val="2"/>
            <w:tcBorders>
              <w:top w:val="single" w:sz="4" w:space="0" w:color="auto"/>
              <w:left w:val="nil"/>
              <w:bottom w:val="nil"/>
              <w:right w:val="single" w:sz="4" w:space="0" w:color="auto"/>
            </w:tcBorders>
            <w:shd w:val="clear" w:color="auto" w:fill="auto"/>
          </w:tcPr>
          <w:p w:rsidR="00372A69" w:rsidRPr="0054482E" w:rsidRDefault="00372A69" w:rsidP="00372A69">
            <w:pPr>
              <w:rPr>
                <w:rFonts w:eastAsia="SimSun"/>
              </w:rPr>
            </w:pPr>
          </w:p>
        </w:tc>
      </w:tr>
    </w:tbl>
    <w:p w:rsidR="0054482E" w:rsidRPr="0054482E" w:rsidRDefault="0054482E" w:rsidP="0054482E">
      <w:pPr>
        <w:rPr>
          <w:vanish/>
        </w:rPr>
      </w:pPr>
      <w:bookmarkStart w:id="10" w:name="CostText"/>
    </w:p>
    <w:tbl>
      <w:tblPr>
        <w:tblW w:w="0" w:type="auto"/>
        <w:tblBorders>
          <w:top w:val="single" w:sz="4" w:space="0" w:color="auto"/>
          <w:left w:val="single" w:sz="4" w:space="0" w:color="auto"/>
          <w:bottom w:val="single" w:sz="4" w:space="0" w:color="auto"/>
          <w:right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1986"/>
        <w:gridCol w:w="1619"/>
        <w:gridCol w:w="2516"/>
        <w:gridCol w:w="1980"/>
        <w:gridCol w:w="2106"/>
      </w:tblGrid>
      <w:tr w:rsidR="00372A69" w:rsidRPr="000E02BE" w:rsidTr="000E452D">
        <w:trPr>
          <w:trHeight w:hRule="exact" w:val="312"/>
        </w:trPr>
        <w:tc>
          <w:tcPr>
            <w:tcW w:w="10207" w:type="dxa"/>
            <w:gridSpan w:val="5"/>
            <w:tcBorders>
              <w:top w:val="single" w:sz="4" w:space="0" w:color="auto"/>
              <w:bottom w:val="nil"/>
              <w:right w:val="single" w:sz="4" w:space="0" w:color="auto"/>
            </w:tcBorders>
            <w:shd w:val="clear" w:color="auto" w:fill="E0E0E0"/>
          </w:tcPr>
          <w:p w:rsidR="00372A69" w:rsidRPr="000E02BE" w:rsidRDefault="00372A69" w:rsidP="006A0557">
            <w:pPr>
              <w:pStyle w:val="IATableLabel"/>
              <w:ind w:left="0"/>
              <w:jc w:val="center"/>
            </w:pPr>
            <w:r>
              <w:t>Cost of Preferred (or more likely) Option</w:t>
            </w:r>
            <w:bookmarkEnd w:id="10"/>
          </w:p>
        </w:tc>
      </w:tr>
      <w:tr w:rsidR="00372A69" w:rsidRPr="000E02BE" w:rsidTr="000E452D">
        <w:trPr>
          <w:trHeight w:hRule="exact" w:val="571"/>
        </w:trPr>
        <w:tc>
          <w:tcPr>
            <w:tcW w:w="198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Total Net Present Value</w:t>
            </w:r>
          </w:p>
        </w:tc>
        <w:tc>
          <w:tcPr>
            <w:tcW w:w="1619"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Business Net Present Value</w:t>
            </w:r>
          </w:p>
        </w:tc>
        <w:tc>
          <w:tcPr>
            <w:tcW w:w="251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 xml:space="preserve">on 2009 </w:t>
            </w:r>
            <w:r w:rsidR="006656EC">
              <w:rPr>
                <w:b w:val="0"/>
                <w:sz w:val="16"/>
                <w:szCs w:val="16"/>
              </w:rPr>
              <w:t>prices</w:t>
            </w:r>
            <w:r w:rsidR="006656EC" w:rsidRPr="006656EC">
              <w:rPr>
                <w:b w:val="0"/>
                <w:sz w:val="16"/>
                <w:szCs w:val="16"/>
              </w:rPr>
              <w:t>)</w:t>
            </w:r>
          </w:p>
        </w:tc>
        <w:tc>
          <w:tcPr>
            <w:tcW w:w="1980" w:type="dxa"/>
            <w:tcBorders>
              <w:top w:val="single" w:sz="4" w:space="0" w:color="auto"/>
              <w:left w:val="single" w:sz="4" w:space="0" w:color="auto"/>
              <w:bottom w:val="nil"/>
              <w:right w:val="nil"/>
            </w:tcBorders>
            <w:shd w:val="clear" w:color="auto" w:fill="E0E0E0"/>
            <w:vAlign w:val="center"/>
          </w:tcPr>
          <w:p w:rsidR="00372A69" w:rsidRPr="000E02BE" w:rsidRDefault="00372A69" w:rsidP="006A0557">
            <w:pPr>
              <w:pStyle w:val="IATableLabel"/>
              <w:spacing w:before="0" w:after="0"/>
            </w:pPr>
            <w:r w:rsidRPr="000E02BE">
              <w:t xml:space="preserve">In scope of </w:t>
            </w:r>
            <w:r>
              <w:t>On</w:t>
            </w:r>
            <w:r w:rsidR="00290335">
              <w:t>e</w:t>
            </w:r>
            <w:r>
              <w:t>-In, One-Out</w:t>
            </w:r>
            <w:r w:rsidRPr="000E02BE">
              <w:t>?</w:t>
            </w:r>
          </w:p>
        </w:tc>
        <w:tc>
          <w:tcPr>
            <w:tcW w:w="2106" w:type="dxa"/>
            <w:tcBorders>
              <w:top w:val="single" w:sz="4" w:space="0" w:color="auto"/>
              <w:left w:val="nil"/>
              <w:bottom w:val="nil"/>
              <w:right w:val="single" w:sz="4" w:space="0" w:color="auto"/>
            </w:tcBorders>
            <w:shd w:val="clear" w:color="auto" w:fill="E0E0E0"/>
            <w:vAlign w:val="center"/>
          </w:tcPr>
          <w:p w:rsidR="00372A69" w:rsidRDefault="00372A69" w:rsidP="006A0557">
            <w:pPr>
              <w:pStyle w:val="IATableLabel"/>
              <w:spacing w:before="0" w:after="0"/>
              <w:ind w:left="0"/>
            </w:pPr>
            <w:r w:rsidRPr="000E02BE">
              <w:t>Measure qualifies as</w:t>
            </w:r>
          </w:p>
          <w:p w:rsidR="00463490" w:rsidRPr="000E02BE" w:rsidRDefault="00463490" w:rsidP="006A0557">
            <w:pPr>
              <w:pStyle w:val="IATableLabel"/>
              <w:spacing w:before="0" w:after="0"/>
              <w:ind w:left="0"/>
            </w:pPr>
          </w:p>
        </w:tc>
      </w:tr>
      <w:bookmarkStart w:id="11" w:name="IATNPV"/>
      <w:tr w:rsidR="00372A69" w:rsidRPr="0061761A" w:rsidTr="000E452D">
        <w:trPr>
          <w:trHeight w:hRule="exact" w:val="340"/>
        </w:trPr>
        <w:tc>
          <w:tcPr>
            <w:tcW w:w="1986" w:type="dxa"/>
            <w:tcBorders>
              <w:top w:val="nil"/>
              <w:bottom w:val="single" w:sz="4" w:space="0" w:color="auto"/>
              <w:right w:val="single" w:sz="4" w:space="0" w:color="auto"/>
            </w:tcBorders>
            <w:shd w:val="clear" w:color="auto" w:fill="E0E0E0"/>
            <w:vAlign w:val="center"/>
          </w:tcPr>
          <w:p w:rsidR="00372A69" w:rsidRPr="000E02BE" w:rsidRDefault="005A0B86" w:rsidP="007334E1">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Pr>
                <w:noProof/>
              </w:rPr>
              <w:t>£</w:t>
            </w:r>
            <w:r w:rsidR="007334E1">
              <w:rPr>
                <w:noProof/>
              </w:rPr>
              <w:t>33.65</w:t>
            </w:r>
            <w:r>
              <w:rPr>
                <w:noProof/>
              </w:rPr>
              <w:t>m</w:t>
            </w:r>
            <w:r>
              <w:fldChar w:fldCharType="end"/>
            </w:r>
            <w:bookmarkEnd w:id="11"/>
          </w:p>
        </w:tc>
        <w:bookmarkStart w:id="12" w:name="IABNPV"/>
        <w:tc>
          <w:tcPr>
            <w:tcW w:w="1619" w:type="dxa"/>
            <w:tcBorders>
              <w:top w:val="nil"/>
              <w:bottom w:val="single" w:sz="4" w:space="0" w:color="auto"/>
              <w:right w:val="single" w:sz="4" w:space="0" w:color="auto"/>
            </w:tcBorders>
            <w:shd w:val="clear" w:color="auto" w:fill="E0E0E0"/>
            <w:vAlign w:val="center"/>
          </w:tcPr>
          <w:p w:rsidR="00372A69" w:rsidRPr="000E02BE" w:rsidRDefault="005A0B86" w:rsidP="007334E1">
            <w:pPr>
              <w:pStyle w:val="IAIOBNPV"/>
            </w:pPr>
            <w:r>
              <w:fldChar w:fldCharType="begin">
                <w:ffData>
                  <w:name w:val="IABNPV"/>
                  <w:enabled/>
                  <w:calcOnExit w:val="0"/>
                  <w:textInput>
                    <w:default w:val="£m"/>
                    <w:maxLength w:val="9"/>
                  </w:textInput>
                </w:ffData>
              </w:fldChar>
            </w:r>
            <w:r>
              <w:instrText xml:space="preserve"> FORMTEXT </w:instrText>
            </w:r>
            <w:r>
              <w:fldChar w:fldCharType="separate"/>
            </w:r>
            <w:r>
              <w:rPr>
                <w:noProof/>
              </w:rPr>
              <w:t>£</w:t>
            </w:r>
            <w:r w:rsidR="007334E1">
              <w:rPr>
                <w:noProof/>
              </w:rPr>
              <w:t>12.99</w:t>
            </w:r>
            <w:r>
              <w:rPr>
                <w:noProof/>
              </w:rPr>
              <w:t>m</w:t>
            </w:r>
            <w:r>
              <w:fldChar w:fldCharType="end"/>
            </w:r>
            <w:bookmarkEnd w:id="12"/>
          </w:p>
        </w:tc>
        <w:tc>
          <w:tcPr>
            <w:tcW w:w="2516" w:type="dxa"/>
            <w:tcBorders>
              <w:top w:val="nil"/>
              <w:bottom w:val="single" w:sz="4" w:space="0" w:color="auto"/>
              <w:right w:val="single" w:sz="4" w:space="0" w:color="auto"/>
            </w:tcBorders>
            <w:shd w:val="clear" w:color="auto" w:fill="E0E0E0"/>
            <w:vAlign w:val="center"/>
          </w:tcPr>
          <w:p w:rsidR="00372A69" w:rsidRPr="000E02BE" w:rsidRDefault="00396399" w:rsidP="00DB433C">
            <w:pPr>
              <w:pStyle w:val="IAIONCTBPY"/>
            </w:pPr>
            <w:bookmarkStart w:id="13" w:name="IANCTBPY"/>
            <w:r>
              <w:t>-</w:t>
            </w:r>
            <w:r w:rsidR="005A0B86">
              <w:fldChar w:fldCharType="begin">
                <w:ffData>
                  <w:name w:val="IANCTBPY"/>
                  <w:enabled/>
                  <w:calcOnExit w:val="0"/>
                  <w:textInput>
                    <w:default w:val="£m"/>
                    <w:maxLength w:val="9"/>
                  </w:textInput>
                </w:ffData>
              </w:fldChar>
            </w:r>
            <w:r w:rsidR="005A0B86">
              <w:instrText xml:space="preserve"> FORMTEXT </w:instrText>
            </w:r>
            <w:r w:rsidR="005A0B86">
              <w:fldChar w:fldCharType="separate"/>
            </w:r>
            <w:r w:rsidR="005A0B86">
              <w:rPr>
                <w:noProof/>
              </w:rPr>
              <w:t>£</w:t>
            </w:r>
            <w:r w:rsidR="00DB433C">
              <w:rPr>
                <w:noProof/>
              </w:rPr>
              <w:t>1.41</w:t>
            </w:r>
            <w:r w:rsidR="005A0B86">
              <w:rPr>
                <w:noProof/>
              </w:rPr>
              <w:t>m</w:t>
            </w:r>
            <w:r w:rsidR="005A0B86">
              <w:fldChar w:fldCharType="end"/>
            </w:r>
            <w:bookmarkEnd w:id="13"/>
          </w:p>
        </w:tc>
        <w:tc>
          <w:tcPr>
            <w:tcW w:w="1980" w:type="dxa"/>
            <w:tcBorders>
              <w:top w:val="nil"/>
              <w:left w:val="single" w:sz="4" w:space="0" w:color="auto"/>
              <w:bottom w:val="single" w:sz="4" w:space="0" w:color="auto"/>
              <w:right w:val="single" w:sz="4" w:space="0" w:color="auto"/>
            </w:tcBorders>
            <w:shd w:val="clear" w:color="auto" w:fill="E0E0E0"/>
            <w:vAlign w:val="center"/>
          </w:tcPr>
          <w:p w:rsidR="00372A69" w:rsidRPr="000E02BE" w:rsidRDefault="00396399" w:rsidP="00396399">
            <w:pPr>
              <w:pStyle w:val="IAIOInScopeInOut"/>
            </w:pPr>
            <w:bookmarkStart w:id="14" w:name="IAInScopeInOut"/>
            <w:r>
              <w:t>YES</w:t>
            </w:r>
            <w:bookmarkEnd w:id="14"/>
          </w:p>
        </w:tc>
        <w:tc>
          <w:tcPr>
            <w:tcW w:w="2106" w:type="dxa"/>
            <w:tcBorders>
              <w:top w:val="nil"/>
              <w:left w:val="single" w:sz="4" w:space="0" w:color="auto"/>
              <w:bottom w:val="single" w:sz="4" w:space="0" w:color="auto"/>
              <w:right w:val="single" w:sz="4" w:space="0" w:color="auto"/>
            </w:tcBorders>
            <w:shd w:val="clear" w:color="auto" w:fill="E0E0E0"/>
            <w:vAlign w:val="center"/>
          </w:tcPr>
          <w:p w:rsidR="00372A69" w:rsidRPr="000E02BE" w:rsidRDefault="00396399" w:rsidP="008369A3">
            <w:pPr>
              <w:pStyle w:val="IAIOPrefMQ"/>
            </w:pPr>
            <w:r>
              <w:t>OUT</w:t>
            </w:r>
          </w:p>
        </w:tc>
      </w:tr>
      <w:tr w:rsidR="007208D9" w:rsidRPr="00826F71" w:rsidTr="000E452D">
        <w:tblPrEx>
          <w:shd w:val="clear" w:color="auto" w:fill="auto"/>
        </w:tblPrEx>
        <w:trPr>
          <w:trHeight w:hRule="exact" w:val="2262"/>
        </w:trPr>
        <w:tc>
          <w:tcPr>
            <w:tcW w:w="10207" w:type="dxa"/>
            <w:gridSpan w:val="5"/>
            <w:tcBorders>
              <w:top w:val="single" w:sz="4" w:space="0" w:color="auto"/>
              <w:left w:val="single" w:sz="4" w:space="0" w:color="auto"/>
              <w:bottom w:val="single" w:sz="4" w:space="0" w:color="auto"/>
              <w:right w:val="single" w:sz="4" w:space="0" w:color="auto"/>
            </w:tcBorders>
          </w:tcPr>
          <w:p w:rsidR="007208D9" w:rsidRPr="00EA0B74" w:rsidRDefault="00771A8E" w:rsidP="008369A3">
            <w:pPr>
              <w:pStyle w:val="IAIOQ1"/>
            </w:pPr>
            <w:bookmarkStart w:id="15" w:name="Summary1"/>
            <w:r>
              <w:t>What is the problem under consideration? Why is government intervention necessary?</w:t>
            </w:r>
            <w:bookmarkEnd w:id="15"/>
          </w:p>
          <w:p w:rsidR="00E75380" w:rsidRPr="00C120C0" w:rsidRDefault="007334E1" w:rsidP="0007695E">
            <w:pPr>
              <w:pStyle w:val="IATableLines"/>
            </w:pPr>
            <w:r>
              <w:t>The installation of fixed-line broadband is being constrained by planning restrictions which currently apply to the installation of cabinets and overhead lines in protected areas. This measure relaxes current controls for a period of 5 years.</w:t>
            </w:r>
          </w:p>
        </w:tc>
      </w:tr>
    </w:tbl>
    <w:p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826F71" w:rsidTr="00E75380">
        <w:trPr>
          <w:trHeight w:hRule="exact" w:val="2182"/>
        </w:trPr>
        <w:tc>
          <w:tcPr>
            <w:tcW w:w="10214" w:type="dxa"/>
          </w:tcPr>
          <w:p w:rsidR="007208D9" w:rsidRPr="00EA0B74" w:rsidRDefault="00771A8E" w:rsidP="008369A3">
            <w:pPr>
              <w:pStyle w:val="IAIOQ2"/>
            </w:pPr>
            <w:bookmarkStart w:id="16" w:name="Summary2"/>
            <w:r>
              <w:t>What are the policy objectives and the intended effects?</w:t>
            </w:r>
            <w:bookmarkEnd w:id="16"/>
          </w:p>
          <w:p w:rsidR="00E75380" w:rsidRPr="00C120C0" w:rsidRDefault="007334E1" w:rsidP="007334E1">
            <w:pPr>
              <w:pStyle w:val="IATableLines"/>
            </w:pPr>
            <w:r>
              <w:t>The policy is to relax planning restrictions on telecommunications deployment in protected areas for a period of 5 years. It is intended that by this means the speed of broadband deployment will be accelerated.</w:t>
            </w:r>
          </w:p>
        </w:tc>
      </w:tr>
      <w:tr w:rsidR="007334E1" w:rsidRPr="00826F71" w:rsidTr="00E75380">
        <w:trPr>
          <w:trHeight w:hRule="exact" w:val="2182"/>
        </w:trPr>
        <w:tc>
          <w:tcPr>
            <w:tcW w:w="10214" w:type="dxa"/>
          </w:tcPr>
          <w:p w:rsidR="007334E1" w:rsidRDefault="007334E1" w:rsidP="008369A3">
            <w:pPr>
              <w:pStyle w:val="IAIOQ2"/>
            </w:pPr>
          </w:p>
        </w:tc>
      </w:tr>
    </w:tbl>
    <w:p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826F71" w:rsidTr="00E75380">
        <w:trPr>
          <w:trHeight w:hRule="exact" w:val="3179"/>
        </w:trPr>
        <w:tc>
          <w:tcPr>
            <w:tcW w:w="9648" w:type="dxa"/>
          </w:tcPr>
          <w:p w:rsidR="00686F5E" w:rsidRPr="00826F71" w:rsidRDefault="00686F5E" w:rsidP="008369A3">
            <w:pPr>
              <w:pStyle w:val="IAIOQ3"/>
            </w:pPr>
            <w:bookmarkStart w:id="17" w:name="IAIOQ3"/>
            <w:bookmarkStart w:id="18" w:name="Summary3"/>
            <w:r>
              <w:t>What policy options have been considered</w:t>
            </w:r>
            <w:r w:rsidR="005D6EA8">
              <w:t>, including any alternatives to regulation</w:t>
            </w:r>
            <w:r>
              <w:t>? Please justify preferred option (further details in Evidence Base)</w:t>
            </w:r>
            <w:bookmarkEnd w:id="17"/>
          </w:p>
          <w:p w:rsidR="00D50283" w:rsidRDefault="00C04C8A">
            <w:pPr>
              <w:pStyle w:val="IATableLines"/>
            </w:pPr>
            <w:r>
              <w:t>Two options were considered.</w:t>
            </w:r>
          </w:p>
          <w:p w:rsidR="00C04C8A" w:rsidRDefault="00C04C8A">
            <w:pPr>
              <w:pStyle w:val="IATableLines"/>
            </w:pPr>
            <w:r>
              <w:t>Do Nothing: Keep current planning restrictions in protected areas.</w:t>
            </w:r>
          </w:p>
          <w:p w:rsidR="00C04C8A" w:rsidRPr="00C120C0" w:rsidRDefault="00C04C8A">
            <w:pPr>
              <w:pStyle w:val="IATableLines"/>
            </w:pPr>
            <w:r>
              <w:t>Preferred Option; Relax current planning restrictions in protected areas to facilitate acceleration of fixed-line broadband deployment especially in rural communities.</w:t>
            </w:r>
          </w:p>
        </w:tc>
      </w:tr>
    </w:tbl>
    <w:p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5"/>
      </w:tblGrid>
      <w:tr w:rsidR="00720FFE" w:rsidTr="0054482E">
        <w:tc>
          <w:tcPr>
            <w:tcW w:w="5000" w:type="pct"/>
            <w:shd w:val="clear" w:color="auto" w:fill="auto"/>
          </w:tcPr>
          <w:p w:rsidR="00720FFE" w:rsidRPr="0054482E" w:rsidRDefault="00720FFE" w:rsidP="00332B05">
            <w:pPr>
              <w:pStyle w:val="IATableLabel"/>
              <w:rPr>
                <w:b w:val="0"/>
                <w:sz w:val="22"/>
                <w:szCs w:val="22"/>
              </w:rPr>
            </w:pPr>
            <w:r w:rsidRPr="00D02C89">
              <w:t xml:space="preserve">Will the policy be reviewed?  </w:t>
            </w:r>
            <w:r w:rsidRPr="0054482E">
              <w:rPr>
                <w:b w:val="0"/>
                <w:sz w:val="22"/>
                <w:szCs w:val="22"/>
              </w:rPr>
              <w:t xml:space="preserve">It </w:t>
            </w:r>
            <w:bookmarkStart w:id="19" w:name="IAPolicyReview"/>
            <w:r w:rsidR="00BB249D" w:rsidRPr="0054482E">
              <w:rPr>
                <w:rStyle w:val="IAIOPolicyReviewChar"/>
              </w:rPr>
              <w:fldChar w:fldCharType="begin">
                <w:ffData>
                  <w:name w:val="IAPolicyReview"/>
                  <w:enabled/>
                  <w:calcOnExit w:val="0"/>
                  <w:ddList>
                    <w:listEntry w:val="will/will not"/>
                    <w:listEntry w:val="will"/>
                    <w:listEntry w:val="will not"/>
                  </w:ddList>
                </w:ffData>
              </w:fldChar>
            </w:r>
            <w:r w:rsidR="00BB249D" w:rsidRPr="0054482E">
              <w:rPr>
                <w:rStyle w:val="IAIOPolicyReviewChar"/>
              </w:rPr>
              <w:instrText xml:space="preserve"> FORMDROPDOWN </w:instrText>
            </w:r>
            <w:r w:rsidR="00BB249D" w:rsidRPr="0054482E">
              <w:rPr>
                <w:rStyle w:val="IAIOPolicyReviewChar"/>
              </w:rPr>
            </w:r>
            <w:r w:rsidR="00BB249D" w:rsidRPr="0054482E">
              <w:rPr>
                <w:rStyle w:val="IAIOPolicyReviewChar"/>
              </w:rPr>
              <w:fldChar w:fldCharType="end"/>
            </w:r>
            <w:bookmarkEnd w:id="19"/>
            <w:r w:rsidRPr="0054482E">
              <w:rPr>
                <w:b w:val="0"/>
                <w:sz w:val="22"/>
                <w:szCs w:val="22"/>
              </w:rPr>
              <w:t xml:space="preserve"> be reviewed.</w:t>
            </w:r>
            <w:r w:rsidRPr="0054482E">
              <w:rPr>
                <w:sz w:val="22"/>
                <w:szCs w:val="22"/>
              </w:rPr>
              <w:t xml:space="preserve"> </w:t>
            </w:r>
            <w:r w:rsidRPr="00D02C89">
              <w:t xml:space="preserve"> If applicable, set review date:  </w:t>
            </w:r>
            <w:bookmarkStart w:id="20" w:name="IAReviewMonth"/>
            <w:r w:rsidR="00BB249D" w:rsidRPr="0054482E">
              <w:rPr>
                <w:rStyle w:val="IAIOReviewMonthChar"/>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54482E">
              <w:rPr>
                <w:rStyle w:val="IAIOReviewMonthChar"/>
              </w:rPr>
              <w:instrText xml:space="preserve"> FORMDROPDOWN </w:instrText>
            </w:r>
            <w:r w:rsidR="00BB249D" w:rsidRPr="0054482E">
              <w:rPr>
                <w:rStyle w:val="IAIOReviewMonthChar"/>
              </w:rPr>
            </w:r>
            <w:r w:rsidR="00BB249D" w:rsidRPr="0054482E">
              <w:rPr>
                <w:rStyle w:val="IAIOReviewMonthChar"/>
              </w:rPr>
              <w:fldChar w:fldCharType="end"/>
            </w:r>
            <w:bookmarkEnd w:id="20"/>
            <w:r w:rsidRPr="0054482E">
              <w:rPr>
                <w:b w:val="0"/>
                <w:sz w:val="22"/>
                <w:szCs w:val="22"/>
              </w:rPr>
              <w:t>/</w:t>
            </w:r>
            <w:bookmarkStart w:id="21" w:name="IAReviewYear"/>
            <w:r w:rsidR="00BB249D" w:rsidRPr="0054482E">
              <w:rPr>
                <w:rStyle w:val="IAIOReviewYearChar"/>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54482E">
              <w:rPr>
                <w:rStyle w:val="IAIOReviewYearChar"/>
              </w:rPr>
              <w:instrText xml:space="preserve"> FORMDROPDOWN </w:instrText>
            </w:r>
            <w:r w:rsidR="00BB249D" w:rsidRPr="0054482E">
              <w:rPr>
                <w:rStyle w:val="IAIOReviewYearChar"/>
              </w:rPr>
            </w:r>
            <w:r w:rsidR="00BB249D" w:rsidRPr="0054482E">
              <w:rPr>
                <w:rStyle w:val="IAIOReviewYearChar"/>
              </w:rPr>
              <w:fldChar w:fldCharType="end"/>
            </w:r>
            <w:bookmarkEnd w:id="21"/>
          </w:p>
        </w:tc>
      </w:tr>
    </w:tbl>
    <w:p w:rsidR="0054482E" w:rsidRPr="0054482E" w:rsidRDefault="0054482E" w:rsidP="0054482E">
      <w:pPr>
        <w:rPr>
          <w:vanish/>
        </w:rPr>
      </w:pPr>
      <w:bookmarkStart w:id="22" w:name="Summary4"/>
      <w:bookmarkEnd w:id="18"/>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5286"/>
        <w:gridCol w:w="983"/>
        <w:gridCol w:w="983"/>
        <w:gridCol w:w="983"/>
        <w:gridCol w:w="348"/>
        <w:gridCol w:w="635"/>
        <w:gridCol w:w="983"/>
      </w:tblGrid>
      <w:tr w:rsidR="006656EC" w:rsidRPr="00D50283" w:rsidTr="006656EC">
        <w:trPr>
          <w:trHeight w:hRule="exact" w:val="340"/>
        </w:trPr>
        <w:tc>
          <w:tcPr>
            <w:tcW w:w="7252" w:type="dxa"/>
            <w:gridSpan w:val="3"/>
            <w:shd w:val="clear" w:color="auto" w:fill="E0E0E0"/>
            <w:vAlign w:val="center"/>
          </w:tcPr>
          <w:p w:rsidR="006656EC" w:rsidRPr="00D50283" w:rsidRDefault="006656EC" w:rsidP="006A0557">
            <w:pPr>
              <w:pStyle w:val="IATableText"/>
              <w:spacing w:before="0" w:after="0"/>
              <w:rPr>
                <w:sz w:val="20"/>
              </w:rPr>
            </w:pPr>
            <w:r w:rsidRPr="00D50283">
              <w:rPr>
                <w:iCs/>
                <w:sz w:val="20"/>
              </w:rPr>
              <w:t>Does implementation go beyond minimum EU requirements?</w:t>
            </w:r>
          </w:p>
        </w:tc>
        <w:bookmarkStart w:id="23" w:name="IACheckEU"/>
        <w:tc>
          <w:tcPr>
            <w:tcW w:w="2949" w:type="dxa"/>
            <w:gridSpan w:val="4"/>
            <w:tcBorders>
              <w:bottom w:val="single" w:sz="4" w:space="0" w:color="auto"/>
            </w:tcBorders>
            <w:shd w:val="clear" w:color="auto" w:fill="E0E0E0"/>
            <w:vAlign w:val="center"/>
          </w:tcPr>
          <w:p w:rsidR="006656EC" w:rsidRPr="00D50283" w:rsidRDefault="00BB249D" w:rsidP="00F91F5A">
            <w:pPr>
              <w:pStyle w:val="IAIOCheckEU"/>
            </w:pPr>
            <w:r>
              <w:fldChar w:fldCharType="begin">
                <w:ffData>
                  <w:name w:val="IACheckEU"/>
                  <w:enabled/>
                  <w:calcOnExit w:val="0"/>
                  <w:ddList>
                    <w:listEntry w:val="Yes / No / N/A"/>
                    <w:listEntry w:val="Yes"/>
                    <w:listEntry w:val="No"/>
                    <w:listEntry w:val="N/A"/>
                  </w:ddList>
                </w:ffData>
              </w:fldChar>
            </w:r>
            <w:r>
              <w:instrText xml:space="preserve"> FORMDROPDOWN </w:instrText>
            </w:r>
            <w:r>
              <w:fldChar w:fldCharType="end"/>
            </w:r>
            <w:bookmarkEnd w:id="23"/>
          </w:p>
        </w:tc>
      </w:tr>
      <w:tr w:rsidR="006656EC" w:rsidRPr="00D50283" w:rsidTr="006656EC">
        <w:trPr>
          <w:trHeight w:val="460"/>
        </w:trPr>
        <w:tc>
          <w:tcPr>
            <w:tcW w:w="5286" w:type="dxa"/>
            <w:shd w:val="clear" w:color="auto" w:fill="E0E0E0"/>
            <w:vAlign w:val="center"/>
          </w:tcPr>
          <w:p w:rsidR="006656EC" w:rsidRPr="00D50283" w:rsidRDefault="006656EC" w:rsidP="006A0557">
            <w:pPr>
              <w:pStyle w:val="IATableText"/>
              <w:spacing w:before="0" w:after="0"/>
              <w:rPr>
                <w:sz w:val="20"/>
              </w:rPr>
            </w:pPr>
            <w:r w:rsidRPr="00D50283">
              <w:rPr>
                <w:rFonts w:cs="Arial"/>
                <w:sz w:val="20"/>
              </w:rPr>
              <w:lastRenderedPageBreak/>
              <w:t>Are a</w:t>
            </w:r>
            <w:r>
              <w:rPr>
                <w:rFonts w:cs="Arial"/>
                <w:sz w:val="20"/>
              </w:rPr>
              <w:t>ny of these organisations in scope</w:t>
            </w:r>
            <w:r w:rsidRPr="00D50283">
              <w:rPr>
                <w:rFonts w:cs="Arial"/>
                <w:sz w:val="20"/>
              </w:rPr>
              <w:t>?</w:t>
            </w:r>
            <w:r>
              <w:rPr>
                <w:rFonts w:cs="Arial"/>
                <w:sz w:val="20"/>
              </w:rPr>
              <w:t xml:space="preserve"> If Micros not exempted set out reason in Evidence Base.</w:t>
            </w:r>
          </w:p>
        </w:tc>
        <w:tc>
          <w:tcPr>
            <w:tcW w:w="983" w:type="dxa"/>
            <w:shd w:val="clear" w:color="auto" w:fill="E0E0E0"/>
            <w:vAlign w:val="center"/>
          </w:tcPr>
          <w:p w:rsidR="006656EC" w:rsidRPr="00720FFE" w:rsidRDefault="006656EC" w:rsidP="006A0557">
            <w:pPr>
              <w:pStyle w:val="IATableLines"/>
              <w:rPr>
                <w:b/>
                <w:color w:val="000000"/>
                <w:sz w:val="20"/>
              </w:rPr>
            </w:pPr>
            <w:r w:rsidRPr="00720FFE">
              <w:rPr>
                <w:b/>
                <w:color w:val="000000"/>
                <w:sz w:val="20"/>
              </w:rPr>
              <w:t>Micro</w:t>
            </w:r>
            <w:bookmarkStart w:id="24" w:name="IACheckMicro"/>
            <w:r w:rsidR="00586D82" w:rsidRPr="00817638">
              <w:rPr>
                <w:rStyle w:val="IAIOCheckMicroChar"/>
                <w:b w:val="0"/>
                <w:sz w:val="20"/>
              </w:rPr>
              <w:fldChar w:fldCharType="begin">
                <w:ffData>
                  <w:name w:val="IACheckMicro"/>
                  <w:enabled/>
                  <w:calcOnExit w:val="0"/>
                  <w:ddList>
                    <w:listEntry w:val="Yes/No"/>
                    <w:listEntry w:val="Yes"/>
                    <w:listEntry w:val="No"/>
                  </w:ddList>
                </w:ffData>
              </w:fldChar>
            </w:r>
            <w:r w:rsidR="00586D82" w:rsidRPr="00817638">
              <w:rPr>
                <w:rStyle w:val="IAIOCheckMicroChar"/>
                <w:b w:val="0"/>
                <w:sz w:val="20"/>
              </w:rPr>
              <w:instrText xml:space="preserve"> FORMDROPDOWN </w:instrText>
            </w:r>
            <w:r w:rsidR="00586D82" w:rsidRPr="00817638">
              <w:rPr>
                <w:rStyle w:val="IAIOCheckMicroChar"/>
                <w:b w:val="0"/>
                <w:sz w:val="20"/>
              </w:rPr>
            </w:r>
            <w:r w:rsidR="00586D82" w:rsidRPr="00817638">
              <w:rPr>
                <w:rStyle w:val="IAIOCheckMicroChar"/>
                <w:b w:val="0"/>
                <w:sz w:val="20"/>
              </w:rPr>
              <w:fldChar w:fldCharType="end"/>
            </w:r>
            <w:bookmarkEnd w:id="24"/>
          </w:p>
        </w:tc>
        <w:tc>
          <w:tcPr>
            <w:tcW w:w="983" w:type="dxa"/>
            <w:shd w:val="clear" w:color="auto" w:fill="E0E0E0"/>
            <w:vAlign w:val="center"/>
          </w:tcPr>
          <w:p w:rsidR="00586D82" w:rsidRDefault="006656EC" w:rsidP="006A0557">
            <w:pPr>
              <w:pStyle w:val="IATableLines"/>
              <w:rPr>
                <w:b/>
                <w:color w:val="000000"/>
                <w:sz w:val="20"/>
              </w:rPr>
            </w:pPr>
            <w:r w:rsidRPr="00720FFE">
              <w:rPr>
                <w:b/>
                <w:color w:val="000000"/>
                <w:sz w:val="20"/>
              </w:rPr>
              <w:t>&lt; 20</w:t>
            </w:r>
          </w:p>
          <w:p w:rsidR="006656EC" w:rsidRPr="00720FFE" w:rsidRDefault="00BB249D" w:rsidP="00D478C9">
            <w:pPr>
              <w:pStyle w:val="IAIOCheck20"/>
              <w:rPr>
                <w:b/>
                <w:color w:val="000000"/>
              </w:rPr>
            </w:pPr>
            <w:r>
              <w:rPr>
                <w:b/>
                <w:color w:val="000000"/>
              </w:rPr>
              <w:t xml:space="preserve"> </w:t>
            </w:r>
            <w:bookmarkStart w:id="25" w:name="IACheck20"/>
            <w:r w:rsidR="00072272">
              <w:fldChar w:fldCharType="begin">
                <w:ffData>
                  <w:name w:val="IACheck20"/>
                  <w:enabled/>
                  <w:calcOnExit w:val="0"/>
                  <w:ddList>
                    <w:listEntry w:val="Yes/No"/>
                    <w:listEntry w:val="Yes"/>
                    <w:listEntry w:val="No"/>
                  </w:ddList>
                </w:ffData>
              </w:fldChar>
            </w:r>
            <w:r w:rsidR="00072272">
              <w:instrText xml:space="preserve"> FORMDROPDOWN </w:instrText>
            </w:r>
            <w:r w:rsidR="00072272">
              <w:fldChar w:fldCharType="end"/>
            </w:r>
            <w:bookmarkEnd w:id="25"/>
          </w:p>
        </w:tc>
        <w:tc>
          <w:tcPr>
            <w:tcW w:w="983" w:type="dxa"/>
            <w:shd w:val="clear" w:color="auto" w:fill="E0E0E0"/>
            <w:vAlign w:val="center"/>
          </w:tcPr>
          <w:p w:rsidR="006656EC" w:rsidRPr="00720FFE" w:rsidRDefault="006656EC" w:rsidP="006A0557">
            <w:pPr>
              <w:pStyle w:val="IATableLines"/>
              <w:rPr>
                <w:b/>
                <w:color w:val="000000"/>
                <w:sz w:val="20"/>
              </w:rPr>
            </w:pPr>
            <w:r w:rsidRPr="00720FFE">
              <w:rPr>
                <w:b/>
                <w:color w:val="000000"/>
                <w:sz w:val="20"/>
              </w:rPr>
              <w:t>Small</w:t>
            </w:r>
            <w:bookmarkStart w:id="26" w:name="IACheckSmall"/>
            <w:r w:rsidR="00072272" w:rsidRPr="00817638">
              <w:rPr>
                <w:rStyle w:val="IAIOCheckSmallChar"/>
                <w:b w:val="0"/>
                <w:sz w:val="20"/>
              </w:rPr>
              <w:fldChar w:fldCharType="begin">
                <w:ffData>
                  <w:name w:val="IACheckSmall"/>
                  <w:enabled/>
                  <w:calcOnExit w:val="0"/>
                  <w:ddList>
                    <w:listEntry w:val="Yes/No"/>
                    <w:listEntry w:val="Yes"/>
                    <w:listEntry w:val="No"/>
                  </w:ddList>
                </w:ffData>
              </w:fldChar>
            </w:r>
            <w:r w:rsidR="00072272" w:rsidRPr="00817638">
              <w:rPr>
                <w:rStyle w:val="IAIOCheckSmallChar"/>
                <w:b w:val="0"/>
                <w:sz w:val="20"/>
              </w:rPr>
              <w:instrText xml:space="preserve"> FORMDROPDOWN </w:instrText>
            </w:r>
            <w:r w:rsidR="00072272" w:rsidRPr="00817638">
              <w:rPr>
                <w:rStyle w:val="IAIOCheckSmallChar"/>
                <w:b w:val="0"/>
                <w:sz w:val="20"/>
              </w:rPr>
            </w:r>
            <w:r w:rsidR="00072272" w:rsidRPr="00817638">
              <w:rPr>
                <w:rStyle w:val="IAIOCheckSmallChar"/>
                <w:b w:val="0"/>
                <w:sz w:val="20"/>
              </w:rPr>
              <w:fldChar w:fldCharType="end"/>
            </w:r>
            <w:bookmarkEnd w:id="26"/>
          </w:p>
        </w:tc>
        <w:tc>
          <w:tcPr>
            <w:tcW w:w="983" w:type="dxa"/>
            <w:gridSpan w:val="2"/>
            <w:shd w:val="clear" w:color="auto" w:fill="E0E0E0"/>
            <w:vAlign w:val="center"/>
          </w:tcPr>
          <w:p w:rsidR="006656EC" w:rsidRPr="00720FFE" w:rsidRDefault="006656EC" w:rsidP="006A0557">
            <w:pPr>
              <w:pStyle w:val="IATableLines"/>
              <w:rPr>
                <w:b/>
                <w:color w:val="000000"/>
                <w:sz w:val="20"/>
              </w:rPr>
            </w:pPr>
            <w:r w:rsidRPr="00720FFE">
              <w:rPr>
                <w:b/>
                <w:color w:val="000000"/>
                <w:sz w:val="20"/>
              </w:rPr>
              <w:t>Medium</w:t>
            </w:r>
            <w:bookmarkStart w:id="27" w:name="IACheckMedium"/>
            <w:r w:rsidR="00072272" w:rsidRPr="00817638">
              <w:rPr>
                <w:rStyle w:val="IAIOCheckMediumChar"/>
                <w:b w:val="0"/>
                <w:sz w:val="20"/>
              </w:rPr>
              <w:fldChar w:fldCharType="begin">
                <w:ffData>
                  <w:name w:val="IACheckMedium"/>
                  <w:enabled/>
                  <w:calcOnExit w:val="0"/>
                  <w:ddList>
                    <w:listEntry w:val="Yes/No"/>
                    <w:listEntry w:val="Yes"/>
                    <w:listEntry w:val="No"/>
                  </w:ddList>
                </w:ffData>
              </w:fldChar>
            </w:r>
            <w:r w:rsidR="00072272" w:rsidRPr="00817638">
              <w:rPr>
                <w:rStyle w:val="IAIOCheckMediumChar"/>
                <w:b w:val="0"/>
                <w:sz w:val="20"/>
              </w:rPr>
              <w:instrText xml:space="preserve"> FORMDROPDOWN </w:instrText>
            </w:r>
            <w:r w:rsidR="00072272" w:rsidRPr="00817638">
              <w:rPr>
                <w:rStyle w:val="IAIOCheckMediumChar"/>
                <w:b w:val="0"/>
                <w:sz w:val="20"/>
              </w:rPr>
            </w:r>
            <w:r w:rsidR="00072272" w:rsidRPr="00817638">
              <w:rPr>
                <w:rStyle w:val="IAIOCheckMediumChar"/>
                <w:b w:val="0"/>
                <w:sz w:val="20"/>
              </w:rPr>
              <w:fldChar w:fldCharType="end"/>
            </w:r>
            <w:bookmarkEnd w:id="27"/>
          </w:p>
        </w:tc>
        <w:tc>
          <w:tcPr>
            <w:tcW w:w="983" w:type="dxa"/>
            <w:shd w:val="clear" w:color="auto" w:fill="E0E0E0"/>
            <w:vAlign w:val="center"/>
          </w:tcPr>
          <w:p w:rsidR="006656EC" w:rsidRPr="00720FFE" w:rsidRDefault="006656EC" w:rsidP="006A0557">
            <w:pPr>
              <w:pStyle w:val="IATableLines"/>
              <w:rPr>
                <w:b/>
                <w:color w:val="000000"/>
                <w:sz w:val="20"/>
              </w:rPr>
            </w:pPr>
            <w:r w:rsidRPr="00720FFE">
              <w:rPr>
                <w:b/>
                <w:color w:val="000000"/>
                <w:sz w:val="20"/>
              </w:rPr>
              <w:t>Large</w:t>
            </w:r>
            <w:bookmarkStart w:id="28" w:name="IACheckLarge"/>
            <w:r w:rsidR="00072272" w:rsidRPr="00817638">
              <w:rPr>
                <w:rStyle w:val="IAIOCheckLargeChar"/>
                <w:b w:val="0"/>
                <w:sz w:val="20"/>
              </w:rPr>
              <w:fldChar w:fldCharType="begin">
                <w:ffData>
                  <w:name w:val="IACheckLarge"/>
                  <w:enabled/>
                  <w:calcOnExit w:val="0"/>
                  <w:ddList>
                    <w:listEntry w:val="Yes/No"/>
                    <w:listEntry w:val="Yes"/>
                    <w:listEntry w:val="No"/>
                  </w:ddList>
                </w:ffData>
              </w:fldChar>
            </w:r>
            <w:r w:rsidR="00072272" w:rsidRPr="00817638">
              <w:rPr>
                <w:rStyle w:val="IAIOCheckLargeChar"/>
                <w:b w:val="0"/>
                <w:sz w:val="20"/>
              </w:rPr>
              <w:instrText xml:space="preserve"> FORMDROPDOWN </w:instrText>
            </w:r>
            <w:r w:rsidR="00072272" w:rsidRPr="00817638">
              <w:rPr>
                <w:rStyle w:val="IAIOCheckLargeChar"/>
                <w:b w:val="0"/>
                <w:sz w:val="20"/>
              </w:rPr>
            </w:r>
            <w:r w:rsidR="00072272" w:rsidRPr="00817638">
              <w:rPr>
                <w:rStyle w:val="IAIOCheckLargeChar"/>
                <w:b w:val="0"/>
                <w:sz w:val="20"/>
              </w:rPr>
              <w:fldChar w:fldCharType="end"/>
            </w:r>
            <w:bookmarkEnd w:id="28"/>
          </w:p>
        </w:tc>
      </w:tr>
      <w:tr w:rsidR="00817638" w:rsidTr="006656EC">
        <w:tblPrEx>
          <w:shd w:val="clear" w:color="auto" w:fill="auto"/>
        </w:tblPrEx>
        <w:trPr>
          <w:trHeight w:hRule="exact" w:val="567"/>
        </w:trPr>
        <w:tc>
          <w:tcPr>
            <w:tcW w:w="725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817638" w:rsidRDefault="00817638" w:rsidP="006A055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 xml:space="preserve">(Million tonnes </w:t>
            </w:r>
            <w:r w:rsidR="00FC07D5">
              <w:rPr>
                <w:rFonts w:cs="Arial"/>
                <w:sz w:val="20"/>
              </w:rPr>
              <w:t>CO</w:t>
            </w:r>
            <w:r w:rsidR="00FC07D5"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rsidR="00817638" w:rsidRDefault="00817638" w:rsidP="008A6491">
            <w:pPr>
              <w:pStyle w:val="IATableLabel"/>
            </w:pPr>
            <w:r>
              <w:t xml:space="preserve">Traded:   </w:t>
            </w:r>
            <w:r>
              <w:br/>
            </w:r>
            <w:bookmarkStart w:id="29"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29"/>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rsidR="00817638" w:rsidRDefault="00817638" w:rsidP="008A6491">
            <w:pPr>
              <w:pStyle w:val="IATableLabel"/>
            </w:pPr>
            <w:r>
              <w:t xml:space="preserve">Non-traded:   </w:t>
            </w:r>
            <w:r>
              <w:br/>
            </w:r>
            <w:bookmarkStart w:id="30" w:name="IACO2NonTraded"/>
            <w:r w:rsidR="008155E3">
              <w:rPr>
                <w:rStyle w:val="IAIOCO2TradedChar"/>
                <w:sz w:val="20"/>
              </w:rPr>
              <w:fldChar w:fldCharType="begin">
                <w:ffData>
                  <w:name w:val="IACO2NonTraded"/>
                  <w:enabled/>
                  <w:calcOnExit w:val="0"/>
                  <w:textInput>
                    <w:maxLength w:val="8"/>
                  </w:textInput>
                </w:ffData>
              </w:fldChar>
            </w:r>
            <w:r w:rsidR="008155E3">
              <w:rPr>
                <w:rStyle w:val="IAIOCO2TradedChar"/>
                <w:sz w:val="20"/>
              </w:rPr>
              <w:instrText xml:space="preserve"> FORMTEXT </w:instrText>
            </w:r>
            <w:r w:rsidR="008155E3">
              <w:rPr>
                <w:rStyle w:val="IAIOCO2TradedChar"/>
                <w:sz w:val="20"/>
              </w:rPr>
            </w:r>
            <w:r w:rsidR="008155E3">
              <w:rPr>
                <w:rStyle w:val="IAIOCO2TradedChar"/>
                <w:sz w:val="20"/>
              </w:rPr>
              <w:fldChar w:fldCharType="separate"/>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sz w:val="20"/>
              </w:rPr>
              <w:fldChar w:fldCharType="end"/>
            </w:r>
            <w:bookmarkEnd w:id="30"/>
          </w:p>
        </w:tc>
      </w:tr>
    </w:tbl>
    <w:p w:rsidR="00771A8E" w:rsidRPr="00452B35" w:rsidRDefault="00771A8E">
      <w:pPr>
        <w:pStyle w:val="IASign-off"/>
        <w:rPr>
          <w:sz w:val="20"/>
        </w:rPr>
      </w:pPr>
      <w:bookmarkStart w:id="31" w:name="SignOfftext"/>
      <w:bookmarkEnd w:id="22"/>
      <w:r w:rsidRPr="00452B35">
        <w:rPr>
          <w:rFonts w:cs="Arial"/>
          <w:iCs/>
          <w:color w:val="000000"/>
          <w:sz w:val="20"/>
        </w:rPr>
        <w:t>I have read the Impact Assessment and I am satisfied that (a) it represents a fair and reasonable view of the expected costs, benefits and impact of the policy, and (b) that the benefits justify the costs.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771A8E">
        <w:trPr>
          <w:cantSplit/>
          <w:trHeight w:hRule="exact" w:val="767"/>
        </w:trPr>
        <w:tc>
          <w:tcPr>
            <w:tcW w:w="2350" w:type="pct"/>
            <w:vAlign w:val="bottom"/>
          </w:tcPr>
          <w:p w:rsidR="00771A8E" w:rsidRDefault="00771A8E">
            <w:pPr>
              <w:pStyle w:val="IASignature"/>
              <w:tabs>
                <w:tab w:val="clear" w:pos="6804"/>
                <w:tab w:val="left" w:leader="dot" w:pos="7380"/>
              </w:tabs>
            </w:pPr>
            <w:r w:rsidRPr="00455EAA">
              <w:t>Signed by the</w:t>
            </w:r>
            <w:r>
              <w:t xml:space="preserve"> responsible </w:t>
            </w:r>
            <w:bookmarkStart w:id="32" w:name="IASignedBy"/>
            <w:r>
              <w:fldChar w:fldCharType="begin">
                <w:ffData>
                  <w:name w:val="IASignedBy"/>
                  <w:enabled/>
                  <w:calcOnExit w:val="0"/>
                  <w:ddList>
                    <w:listEntry w:val="SELECT SIGNATORY"/>
                    <w:listEntry w:val="Chair"/>
                    <w:listEntry w:val="Chief Executive"/>
                    <w:listEntry w:val="Minister"/>
                  </w:ddList>
                </w:ffData>
              </w:fldChar>
            </w:r>
            <w:r>
              <w:instrText xml:space="preserve"> FORMDROPDOWN </w:instrText>
            </w:r>
            <w:r>
              <w:fldChar w:fldCharType="end"/>
            </w:r>
            <w:bookmarkEnd w:id="32"/>
            <w:r w:rsidRPr="00455EAA">
              <w:t>:</w:t>
            </w:r>
          </w:p>
        </w:tc>
        <w:tc>
          <w:tcPr>
            <w:tcW w:w="1318" w:type="pct"/>
            <w:tcBorders>
              <w:bottom w:val="dashSmallGap" w:sz="4" w:space="0" w:color="auto"/>
            </w:tcBorders>
            <w:vAlign w:val="bottom"/>
          </w:tcPr>
          <w:p w:rsidR="00771A8E" w:rsidRPr="00AB4A42" w:rsidRDefault="00771A8E">
            <w:pPr>
              <w:pStyle w:val="IAIOtextSign"/>
            </w:pPr>
          </w:p>
        </w:tc>
        <w:tc>
          <w:tcPr>
            <w:tcW w:w="345" w:type="pct"/>
            <w:vAlign w:val="bottom"/>
          </w:tcPr>
          <w:p w:rsidR="00771A8E" w:rsidRDefault="00771A8E">
            <w:pPr>
              <w:pStyle w:val="IASignature"/>
              <w:tabs>
                <w:tab w:val="clear" w:pos="6804"/>
                <w:tab w:val="left" w:leader="dot" w:pos="7380"/>
              </w:tabs>
            </w:pPr>
            <w:r>
              <w:t> </w:t>
            </w:r>
            <w:r w:rsidRPr="00455EAA">
              <w:t>Date:</w:t>
            </w:r>
          </w:p>
        </w:tc>
        <w:bookmarkStart w:id="33" w:name="SigDate"/>
        <w:tc>
          <w:tcPr>
            <w:tcW w:w="988" w:type="pct"/>
            <w:tcBorders>
              <w:bottom w:val="dashSmallGap" w:sz="4" w:space="0" w:color="auto"/>
            </w:tcBorders>
            <w:vAlign w:val="bottom"/>
          </w:tcPr>
          <w:p w:rsidR="00771A8E" w:rsidRPr="005D0BD1" w:rsidRDefault="00771A8E">
            <w:pPr>
              <w:pStyle w:val="IAIOSigDate"/>
            </w:pPr>
            <w:r>
              <w:fldChar w:fldCharType="begin">
                <w:ffData>
                  <w:name w:val="Sig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bookmarkEnd w:id="31"/>
    </w:tbl>
    <w:p w:rsidR="00F1328C" w:rsidRDefault="00F1328C" w:rsidP="005A3880">
      <w:pPr>
        <w:pStyle w:val="Heading1"/>
        <w:spacing w:before="0"/>
        <w:sectPr w:rsidR="00F1328C" w:rsidSect="005A3880">
          <w:headerReference w:type="default" r:id="rId8"/>
          <w:footerReference w:type="default" r:id="rId9"/>
          <w:footnotePr>
            <w:numRestart w:val="eachSect"/>
          </w:footnotePr>
          <w:type w:val="continuous"/>
          <w:pgSz w:w="11907" w:h="16840" w:code="9"/>
          <w:pgMar w:top="680" w:right="851" w:bottom="680" w:left="851" w:header="284" w:footer="284" w:gutter="0"/>
          <w:cols w:space="708"/>
          <w:docGrid w:linePitch="360"/>
        </w:sectPr>
      </w:pPr>
    </w:p>
    <w:p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B05C8E">
        <w:rPr>
          <w:rFonts w:ascii="Arial" w:hAnsi="Arial"/>
          <w:b w:val="0"/>
          <w:bCs w:val="0"/>
          <w:noProof/>
        </w:rPr>
        <w:t>1</w:t>
      </w:r>
      <w:r>
        <w:rPr>
          <w:rFonts w:ascii="Arial" w:hAnsi="Arial"/>
          <w:b w:val="0"/>
          <w:bCs w:val="0"/>
        </w:rPr>
        <w:fldChar w:fldCharType="end"/>
      </w:r>
    </w:p>
    <w:p w:rsidR="001844B6" w:rsidRDefault="001844B6" w:rsidP="005A3880">
      <w:pPr>
        <w:pStyle w:val="IAHeadLabel"/>
        <w:spacing w:before="50"/>
      </w:pPr>
      <w:r w:rsidRPr="00892576">
        <w:t xml:space="preserve">Description: </w:t>
      </w:r>
      <w:r w:rsidRPr="006B70AF">
        <w:t xml:space="preserve"> </w:t>
      </w:r>
      <w:bookmarkStart w:id="34" w:name="Text70"/>
      <w:r w:rsidR="00D74689">
        <w:t>Preferred Option</w:t>
      </w:r>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rPr>
        <w:fldChar w:fldCharType="end"/>
      </w:r>
      <w:bookmarkEnd w:id="34"/>
    </w:p>
    <w:p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54482E" w:rsidRPr="0054482E" w:rsidTr="0054482E">
        <w:trPr>
          <w:trHeight w:val="312"/>
        </w:trPr>
        <w:tc>
          <w:tcPr>
            <w:tcW w:w="1265" w:type="dxa"/>
            <w:vMerge w:val="restart"/>
            <w:shd w:val="clear" w:color="auto" w:fill="auto"/>
          </w:tcPr>
          <w:p w:rsidR="001844B6" w:rsidRPr="00826F71" w:rsidRDefault="001844B6" w:rsidP="00C04C8A">
            <w:pPr>
              <w:pStyle w:val="POPBY"/>
            </w:pPr>
            <w:r w:rsidRPr="00826F71">
              <w:t>Price Base Year</w:t>
            </w:r>
            <w:r>
              <w:t xml:space="preserve"> </w:t>
            </w:r>
            <w:r w:rsidR="00D74689">
              <w:t>20</w:t>
            </w:r>
            <w:r w:rsidR="00140117">
              <w:t>1</w:t>
            </w:r>
            <w:r w:rsidR="00C04C8A">
              <w:t>2</w:t>
            </w:r>
            <w:r>
              <w:t xml:space="preserve"> </w:t>
            </w:r>
            <w:r w:rsidRPr="0054482E">
              <w:rPr>
                <w:b w:val="0"/>
              </w:rPr>
              <w:fldChar w:fldCharType="begin">
                <w:ffData>
                  <w:name w:val="Text55"/>
                  <w:enabled/>
                  <w:calcOnExit w:val="0"/>
                  <w:textInput>
                    <w:maxLength w:val="4"/>
                  </w:textInput>
                </w:ffData>
              </w:fldChar>
            </w:r>
            <w:r w:rsidRPr="0054482E">
              <w:rPr>
                <w:b w:val="0"/>
              </w:rPr>
              <w:instrText xml:space="preserve"> FORMTEXT </w:instrText>
            </w:r>
            <w:r w:rsidRPr="0054482E">
              <w:rPr>
                <w:b w:val="0"/>
              </w:rPr>
            </w:r>
            <w:r w:rsidRPr="0054482E">
              <w:rPr>
                <w:b w:val="0"/>
              </w:rPr>
              <w:fldChar w:fldCharType="separate"/>
            </w:r>
            <w:r w:rsidRPr="0054482E">
              <w:rPr>
                <w:b w:val="0"/>
                <w:noProof/>
              </w:rPr>
              <w:t> </w:t>
            </w:r>
            <w:r w:rsidRPr="0054482E">
              <w:rPr>
                <w:b w:val="0"/>
                <w:noProof/>
              </w:rPr>
              <w:t> </w:t>
            </w:r>
            <w:r w:rsidRPr="0054482E">
              <w:rPr>
                <w:b w:val="0"/>
                <w:noProof/>
              </w:rPr>
              <w:t> </w:t>
            </w:r>
            <w:r w:rsidRPr="0054482E">
              <w:rPr>
                <w:b w:val="0"/>
                <w:noProof/>
              </w:rPr>
              <w:t> </w:t>
            </w:r>
            <w:r w:rsidRPr="0054482E">
              <w:rPr>
                <w:b w:val="0"/>
              </w:rPr>
              <w:fldChar w:fldCharType="end"/>
            </w:r>
          </w:p>
        </w:tc>
        <w:tc>
          <w:tcPr>
            <w:tcW w:w="1260" w:type="dxa"/>
            <w:vMerge w:val="restart"/>
            <w:shd w:val="clear" w:color="auto" w:fill="auto"/>
          </w:tcPr>
          <w:p w:rsidR="001844B6" w:rsidRPr="00826F71" w:rsidRDefault="00C04C8A" w:rsidP="00D74689">
            <w:pPr>
              <w:pStyle w:val="POPVBY"/>
            </w:pPr>
            <w:r>
              <w:t>PV Base Year 2014</w:t>
            </w:r>
          </w:p>
        </w:tc>
        <w:tc>
          <w:tcPr>
            <w:tcW w:w="1440" w:type="dxa"/>
            <w:vMerge w:val="restart"/>
            <w:tcBorders>
              <w:right w:val="single" w:sz="12" w:space="0" w:color="auto"/>
            </w:tcBorders>
            <w:shd w:val="clear" w:color="auto" w:fill="auto"/>
          </w:tcPr>
          <w:p w:rsidR="001844B6" w:rsidRPr="00826F71" w:rsidRDefault="001844B6" w:rsidP="00C04C8A">
            <w:pPr>
              <w:pStyle w:val="POTPY"/>
            </w:pPr>
            <w:r w:rsidRPr="00826F71">
              <w:t>Time Period Years</w:t>
            </w:r>
            <w:r>
              <w:t xml:space="preserve">  </w:t>
            </w:r>
            <w:r w:rsidR="00C04C8A">
              <w:t>10</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1844B6" w:rsidRPr="00826F71" w:rsidRDefault="001844B6" w:rsidP="00C04C8A">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54482E" w:rsidRPr="0054482E" w:rsidTr="0054482E">
        <w:trPr>
          <w:trHeight w:hRule="exact" w:val="340"/>
        </w:trPr>
        <w:tc>
          <w:tcPr>
            <w:tcW w:w="1265" w:type="dxa"/>
            <w:vMerge/>
            <w:shd w:val="clear" w:color="auto" w:fill="auto"/>
          </w:tcPr>
          <w:p w:rsidR="001844B6" w:rsidRPr="0054482E" w:rsidRDefault="001844B6" w:rsidP="0054482E">
            <w:pPr>
              <w:pStyle w:val="IATableNotes"/>
              <w:ind w:left="0"/>
              <w:rPr>
                <w:b/>
                <w:sz w:val="20"/>
              </w:rPr>
            </w:pPr>
          </w:p>
        </w:tc>
        <w:tc>
          <w:tcPr>
            <w:tcW w:w="1260" w:type="dxa"/>
            <w:vMerge/>
            <w:shd w:val="clear" w:color="auto" w:fill="auto"/>
          </w:tcPr>
          <w:p w:rsidR="001844B6" w:rsidRPr="0054482E" w:rsidRDefault="001844B6" w:rsidP="0054482E">
            <w:pPr>
              <w:pStyle w:val="IATableNotes"/>
              <w:ind w:left="0"/>
              <w:rPr>
                <w:b/>
                <w:sz w:val="20"/>
              </w:rPr>
            </w:pPr>
          </w:p>
        </w:tc>
        <w:tc>
          <w:tcPr>
            <w:tcW w:w="1440" w:type="dxa"/>
            <w:vMerge/>
            <w:tcBorders>
              <w:right w:val="single" w:sz="12" w:space="0" w:color="auto"/>
            </w:tcBorders>
            <w:shd w:val="clear" w:color="auto" w:fill="auto"/>
          </w:tcPr>
          <w:p w:rsidR="001844B6" w:rsidRPr="0054482E" w:rsidRDefault="001844B6" w:rsidP="0054482E">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1844B6" w:rsidRPr="0054482E" w:rsidRDefault="001844B6" w:rsidP="005A3880">
            <w:pPr>
              <w:pStyle w:val="IATableLabel"/>
              <w:rPr>
                <w:bCs/>
              </w:rPr>
            </w:pPr>
            <w:r w:rsidRPr="00304C1D">
              <w:t>Low:</w:t>
            </w:r>
            <w:r w:rsidRPr="00826F71">
              <w:t xml:space="preserve"> </w:t>
            </w:r>
            <w:r w:rsidRPr="0054482E">
              <w:rPr>
                <w:rStyle w:val="PONBLowCharChar"/>
              </w:rPr>
              <w:fldChar w:fldCharType="begin">
                <w:ffData>
                  <w:name w:val="Text58"/>
                  <w:enabled/>
                  <w:calcOnExit w:val="0"/>
                  <w:textInput>
                    <w:default w:val="Optional"/>
                    <w:maxLength w:val="8"/>
                  </w:textInput>
                </w:ffData>
              </w:fldChar>
            </w:r>
            <w:r w:rsidRPr="0054482E">
              <w:rPr>
                <w:rStyle w:val="PONBLowCharChar"/>
              </w:rPr>
              <w:instrText xml:space="preserve"> FORMTEXT </w:instrText>
            </w:r>
            <w:r w:rsidRPr="0054482E">
              <w:rPr>
                <w:rStyle w:val="PONBLowCharChar"/>
              </w:rPr>
            </w:r>
            <w:r w:rsidRPr="0054482E">
              <w:rPr>
                <w:rStyle w:val="PONBLowCharChar"/>
              </w:rPr>
              <w:fldChar w:fldCharType="separate"/>
            </w:r>
            <w:r w:rsidRPr="0054482E">
              <w:rPr>
                <w:rStyle w:val="PONBLowCharChar"/>
                <w:noProof/>
              </w:rPr>
              <w:t>Optional</w:t>
            </w:r>
            <w:r w:rsidRPr="0054482E">
              <w:rPr>
                <w:rStyle w:val="PONBLowCharChar"/>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1844B6" w:rsidRPr="0054482E" w:rsidRDefault="001844B6" w:rsidP="005A3880">
            <w:pPr>
              <w:pStyle w:val="IATableLabel"/>
              <w:rPr>
                <w:rFonts w:cs="Arial"/>
                <w:bCs/>
                <w:szCs w:val="18"/>
              </w:rPr>
            </w:pPr>
            <w:r w:rsidRPr="00304C1D">
              <w:t>High:</w:t>
            </w:r>
            <w:r w:rsidRPr="00826F71">
              <w:t xml:space="preserve"> </w:t>
            </w:r>
            <w:r w:rsidRPr="0054482E">
              <w:rPr>
                <w:rStyle w:val="PONBHighChar"/>
              </w:rPr>
              <w:fldChar w:fldCharType="begin">
                <w:ffData>
                  <w:name w:val="Text59"/>
                  <w:enabled/>
                  <w:calcOnExit w:val="0"/>
                  <w:textInput>
                    <w:default w:val="Optional"/>
                    <w:maxLength w:val="8"/>
                  </w:textInput>
                </w:ffData>
              </w:fldChar>
            </w:r>
            <w:r w:rsidRPr="0054482E">
              <w:rPr>
                <w:rStyle w:val="PONBHighChar"/>
              </w:rPr>
              <w:instrText xml:space="preserve"> FORMTEXT </w:instrText>
            </w:r>
            <w:r w:rsidRPr="0054482E">
              <w:rPr>
                <w:rStyle w:val="PONBHighChar"/>
              </w:rPr>
            </w:r>
            <w:r w:rsidRPr="0054482E">
              <w:rPr>
                <w:rStyle w:val="PONBHighChar"/>
              </w:rPr>
              <w:fldChar w:fldCharType="separate"/>
            </w:r>
            <w:r w:rsidRPr="0054482E">
              <w:rPr>
                <w:rStyle w:val="PONBHighChar"/>
                <w:noProof/>
              </w:rPr>
              <w:t>Optional</w:t>
            </w:r>
            <w:r w:rsidRPr="0054482E">
              <w:rPr>
                <w:rStyle w:val="PONBHighChar"/>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1844B6" w:rsidRPr="0054482E" w:rsidRDefault="001844B6" w:rsidP="005A3880">
            <w:pPr>
              <w:pStyle w:val="IATableLabel"/>
              <w:rPr>
                <w:szCs w:val="18"/>
              </w:rPr>
            </w:pPr>
            <w:r w:rsidRPr="00304C1D">
              <w:t xml:space="preserve">Best </w:t>
            </w:r>
            <w:r>
              <w:t>E</w:t>
            </w:r>
            <w:r w:rsidRPr="00304C1D">
              <w:t>stimate:</w:t>
            </w:r>
            <w:r w:rsidR="00C04C8A">
              <w:t xml:space="preserve"> 33.65</w:t>
            </w:r>
            <w:r w:rsidRPr="00826F71">
              <w:t xml:space="preserve"> </w:t>
            </w:r>
            <w:r w:rsidRPr="0054482E">
              <w:rPr>
                <w:rStyle w:val="PONBBestEstChar"/>
              </w:rPr>
              <w:fldChar w:fldCharType="begin">
                <w:ffData>
                  <w:name w:val="Text60"/>
                  <w:enabled/>
                  <w:calcOnExit w:val="0"/>
                  <w:textInput>
                    <w:maxLength w:val="8"/>
                  </w:textInput>
                </w:ffData>
              </w:fldChar>
            </w:r>
            <w:r w:rsidRPr="0054482E">
              <w:rPr>
                <w:rStyle w:val="PONBBestEstChar"/>
              </w:rPr>
              <w:instrText xml:space="preserve"> FORMTEXT </w:instrText>
            </w:r>
            <w:r w:rsidRPr="0054482E">
              <w:rPr>
                <w:rStyle w:val="PONBBestEstChar"/>
              </w:rPr>
            </w:r>
            <w:r w:rsidRPr="0054482E">
              <w:rPr>
                <w:rStyle w:val="PONBBestEstChar"/>
              </w:rPr>
              <w:fldChar w:fldCharType="separate"/>
            </w:r>
            <w:r w:rsidRPr="0054482E">
              <w:rPr>
                <w:rStyle w:val="PONBBestEstChar"/>
                <w:noProof/>
              </w:rPr>
              <w:t> </w:t>
            </w:r>
            <w:r w:rsidRPr="0054482E">
              <w:rPr>
                <w:rStyle w:val="PONBBestEstChar"/>
                <w:noProof/>
              </w:rPr>
              <w:t> </w:t>
            </w:r>
            <w:r w:rsidRPr="0054482E">
              <w:rPr>
                <w:rStyle w:val="PONBBestEstChar"/>
                <w:noProof/>
              </w:rPr>
              <w:t> </w:t>
            </w:r>
            <w:r w:rsidRPr="0054482E">
              <w:rPr>
                <w:rStyle w:val="PONBBestEstChar"/>
                <w:noProof/>
              </w:rPr>
              <w:t> </w:t>
            </w:r>
            <w:r w:rsidRPr="0054482E">
              <w:rPr>
                <w:rStyle w:val="PONBBestEstChar"/>
                <w:noProof/>
              </w:rPr>
              <w:t> </w:t>
            </w:r>
            <w:r w:rsidRPr="0054482E">
              <w:rPr>
                <w:rStyle w:val="PONBBestEstChar"/>
              </w:rPr>
              <w:fldChar w:fldCharType="end"/>
            </w:r>
          </w:p>
        </w:tc>
      </w:tr>
    </w:tbl>
    <w:p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54482E" w:rsidRPr="0054482E" w:rsidTr="0054482E">
        <w:trPr>
          <w:trHeight w:hRule="exact" w:val="567"/>
        </w:trPr>
        <w:tc>
          <w:tcPr>
            <w:tcW w:w="1995" w:type="dxa"/>
            <w:shd w:val="clear" w:color="auto" w:fill="FFFFFF"/>
          </w:tcPr>
          <w:p w:rsidR="001844B6" w:rsidRPr="0054482E" w:rsidRDefault="001844B6" w:rsidP="005A3880">
            <w:pPr>
              <w:pStyle w:val="IATableLabel"/>
              <w:rPr>
                <w:sz w:val="24"/>
                <w:szCs w:val="24"/>
              </w:rPr>
            </w:pPr>
            <w:r w:rsidRPr="0054482E">
              <w:rPr>
                <w:sz w:val="24"/>
                <w:szCs w:val="24"/>
              </w:rPr>
              <w:t>COSTS (£m)</w:t>
            </w:r>
          </w:p>
        </w:tc>
        <w:tc>
          <w:tcPr>
            <w:tcW w:w="2739" w:type="dxa"/>
            <w:gridSpan w:val="2"/>
            <w:tcBorders>
              <w:top w:val="single" w:sz="12" w:space="0" w:color="auto"/>
              <w:bottom w:val="single" w:sz="6" w:space="0" w:color="auto"/>
            </w:tcBorders>
            <w:shd w:val="clear" w:color="auto" w:fill="auto"/>
          </w:tcPr>
          <w:p w:rsidR="001844B6" w:rsidRPr="00826F71" w:rsidRDefault="001844B6" w:rsidP="0054482E">
            <w:pPr>
              <w:pStyle w:val="IATableLabel"/>
              <w:tabs>
                <w:tab w:val="right" w:pos="1800"/>
                <w:tab w:val="center" w:pos="2340"/>
              </w:tabs>
              <w:jc w:val="right"/>
            </w:pPr>
            <w:r w:rsidRPr="00826F71">
              <w:t xml:space="preserve">Total Transition </w:t>
            </w:r>
            <w:r>
              <w:br/>
            </w:r>
            <w:r>
              <w:tab/>
            </w:r>
            <w:r w:rsidRPr="0054482E">
              <w:rPr>
                <w:b w:val="0"/>
                <w:sz w:val="18"/>
                <w:szCs w:val="18"/>
              </w:rPr>
              <w:t>(Constant Price)</w:t>
            </w:r>
            <w:r>
              <w:tab/>
            </w:r>
            <w:r w:rsidRPr="0054482E">
              <w:rPr>
                <w:b w:val="0"/>
                <w:sz w:val="18"/>
                <w:szCs w:val="18"/>
              </w:rPr>
              <w:t>Yea</w:t>
            </w:r>
            <w:r w:rsidRPr="0054482E">
              <w:rPr>
                <w:b w:val="0"/>
                <w:bCs/>
                <w:sz w:val="18"/>
                <w:szCs w:val="18"/>
              </w:rPr>
              <w:t>r</w:t>
            </w:r>
            <w:r w:rsidRPr="0054482E">
              <w:rPr>
                <w:b w:val="0"/>
                <w:sz w:val="18"/>
                <w:szCs w:val="18"/>
              </w:rPr>
              <w:t>s</w:t>
            </w:r>
          </w:p>
          <w:p w:rsidR="001844B6" w:rsidRPr="00826F71" w:rsidRDefault="001844B6" w:rsidP="0054482E">
            <w:pPr>
              <w:pStyle w:val="IATableLabel"/>
              <w:jc w:val="right"/>
            </w:pPr>
            <w:r>
              <w:br/>
            </w:r>
          </w:p>
        </w:tc>
        <w:tc>
          <w:tcPr>
            <w:tcW w:w="2865" w:type="dxa"/>
            <w:tcBorders>
              <w:bottom w:val="single" w:sz="6" w:space="0" w:color="auto"/>
              <w:right w:val="single" w:sz="12" w:space="0" w:color="auto"/>
            </w:tcBorders>
            <w:shd w:val="clear" w:color="auto" w:fill="auto"/>
          </w:tcPr>
          <w:p w:rsidR="001844B6" w:rsidRPr="0054482E" w:rsidRDefault="001844B6" w:rsidP="0054482E">
            <w:pPr>
              <w:pStyle w:val="IATableLabel"/>
              <w:jc w:val="right"/>
              <w:rPr>
                <w:rFonts w:cs="Arial"/>
                <w:bCs/>
              </w:rPr>
            </w:pPr>
            <w:r w:rsidRPr="00826F71">
              <w:t>Average Annual</w:t>
            </w:r>
            <w:r w:rsidRPr="000C031E">
              <w:t xml:space="preserve"> </w:t>
            </w:r>
            <w:r>
              <w:br/>
            </w:r>
            <w:r w:rsidRPr="0054482E">
              <w:rPr>
                <w:b w:val="0"/>
                <w:sz w:val="18"/>
                <w:szCs w:val="18"/>
              </w:rPr>
              <w:t xml:space="preserve">(excl. Transition) </w:t>
            </w:r>
            <w:r w:rsidRPr="0054482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54482E">
            <w:pPr>
              <w:pStyle w:val="IATableLabel"/>
              <w:jc w:val="right"/>
            </w:pPr>
            <w:r w:rsidRPr="00826F71">
              <w:t>Total Cost</w:t>
            </w:r>
            <w:r w:rsidRPr="0054482E">
              <w:rPr>
                <w:b w:val="0"/>
                <w:sz w:val="18"/>
                <w:szCs w:val="18"/>
              </w:rPr>
              <w:t xml:space="preserve"> </w:t>
            </w:r>
            <w:r w:rsidRPr="0054482E">
              <w:rPr>
                <w:b w:val="0"/>
                <w:sz w:val="18"/>
                <w:szCs w:val="18"/>
              </w:rPr>
              <w:br/>
              <w:t>(Present Value)</w:t>
            </w:r>
          </w:p>
        </w:tc>
      </w:tr>
      <w:tr w:rsidR="0054482E" w:rsidRPr="0054482E" w:rsidTr="0054482E">
        <w:trPr>
          <w:trHeight w:hRule="exact" w:val="348"/>
        </w:trPr>
        <w:tc>
          <w:tcPr>
            <w:tcW w:w="1995" w:type="dxa"/>
            <w:tcBorders>
              <w:top w:val="single" w:sz="6" w:space="0" w:color="auto"/>
              <w:bottom w:val="single" w:sz="6" w:space="0" w:color="auto"/>
            </w:tcBorders>
            <w:shd w:val="clear" w:color="auto" w:fill="auto"/>
            <w:vAlign w:val="center"/>
          </w:tcPr>
          <w:p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rsidR="001844B6" w:rsidRPr="0054482E" w:rsidRDefault="001844B6" w:rsidP="005A3880">
            <w:pPr>
              <w:pStyle w:val="POTTCostsLow"/>
              <w:rPr>
                <w:sz w:val="20"/>
              </w:rPr>
            </w:pPr>
            <w:r w:rsidRPr="0054482E">
              <w:rPr>
                <w:sz w:val="20"/>
              </w:rPr>
              <w:fldChar w:fldCharType="begin">
                <w:ffData>
                  <w:name w:val="Text45"/>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790" w:type="dxa"/>
            <w:vMerge w:val="restart"/>
            <w:tcBorders>
              <w:top w:val="single" w:sz="6" w:space="0" w:color="auto"/>
            </w:tcBorders>
            <w:shd w:val="clear" w:color="auto" w:fill="auto"/>
            <w:vAlign w:val="center"/>
          </w:tcPr>
          <w:p w:rsidR="001844B6" w:rsidRPr="0054482E" w:rsidRDefault="001844B6" w:rsidP="005A3880">
            <w:pPr>
              <w:pStyle w:val="POTTCostsYear"/>
              <w:rPr>
                <w:sz w:val="20"/>
                <w:szCs w:val="20"/>
              </w:rPr>
            </w:pPr>
            <w:r w:rsidRPr="0054482E">
              <w:rPr>
                <w:sz w:val="20"/>
                <w:szCs w:val="20"/>
              </w:rPr>
              <w:fldChar w:fldCharType="begin">
                <w:ffData>
                  <w:name w:val="Text48"/>
                  <w:enabled/>
                  <w:calcOnExit w:val="0"/>
                  <w:textInput>
                    <w:maxLength w:val="3"/>
                  </w:textInput>
                </w:ffData>
              </w:fldChar>
            </w:r>
            <w:r w:rsidRPr="0054482E">
              <w:rPr>
                <w:sz w:val="20"/>
                <w:szCs w:val="20"/>
              </w:rPr>
              <w:instrText xml:space="preserve"> FORMTEXT </w:instrText>
            </w:r>
            <w:r w:rsidRPr="0054482E">
              <w:rPr>
                <w:sz w:val="20"/>
                <w:szCs w:val="20"/>
              </w:rPr>
            </w:r>
            <w:r w:rsidRPr="0054482E">
              <w:rPr>
                <w:sz w:val="20"/>
                <w:szCs w:val="20"/>
              </w:rPr>
              <w:fldChar w:fldCharType="separate"/>
            </w:r>
            <w:r w:rsidRPr="0054482E">
              <w:rPr>
                <w:noProof/>
                <w:sz w:val="20"/>
                <w:szCs w:val="20"/>
              </w:rPr>
              <w:t> </w:t>
            </w:r>
            <w:r w:rsidRPr="0054482E">
              <w:rPr>
                <w:noProof/>
                <w:sz w:val="20"/>
                <w:szCs w:val="20"/>
              </w:rPr>
              <w:t> </w:t>
            </w:r>
            <w:r w:rsidRPr="0054482E">
              <w:rPr>
                <w:noProof/>
                <w:sz w:val="20"/>
                <w:szCs w:val="20"/>
              </w:rPr>
              <w:t> </w:t>
            </w:r>
            <w:r w:rsidRPr="0054482E">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54482E" w:rsidRDefault="001844B6" w:rsidP="005A3880">
            <w:pPr>
              <w:pStyle w:val="POAACostsLow"/>
              <w:rPr>
                <w:sz w:val="20"/>
              </w:rPr>
            </w:pPr>
            <w:r w:rsidRPr="0054482E">
              <w:rPr>
                <w:sz w:val="20"/>
              </w:rPr>
              <w:fldChar w:fldCharType="begin">
                <w:ffData>
                  <w:name w:val="Text49"/>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54482E" w:rsidRDefault="001844B6" w:rsidP="005A3880">
            <w:pPr>
              <w:pStyle w:val="POTCCostsLow"/>
              <w:rPr>
                <w:sz w:val="20"/>
              </w:rPr>
            </w:pPr>
            <w:r w:rsidRPr="0054482E">
              <w:rPr>
                <w:sz w:val="20"/>
              </w:rPr>
              <w:fldChar w:fldCharType="begin">
                <w:ffData>
                  <w:name w:val="Text52"/>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r>
      <w:tr w:rsidR="0054482E" w:rsidRPr="0054482E" w:rsidTr="0054482E">
        <w:trPr>
          <w:trHeight w:hRule="exact" w:val="348"/>
        </w:trPr>
        <w:tc>
          <w:tcPr>
            <w:tcW w:w="1995" w:type="dxa"/>
            <w:tcBorders>
              <w:top w:val="single" w:sz="6" w:space="0" w:color="auto"/>
              <w:bottom w:val="single" w:sz="12" w:space="0" w:color="auto"/>
            </w:tcBorders>
            <w:shd w:val="clear" w:color="auto" w:fill="auto"/>
            <w:vAlign w:val="center"/>
          </w:tcPr>
          <w:p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rsidR="001844B6" w:rsidRPr="0054482E" w:rsidRDefault="001844B6" w:rsidP="005A3880">
            <w:pPr>
              <w:pStyle w:val="POTTCostsHigh"/>
              <w:rPr>
                <w:sz w:val="20"/>
              </w:rPr>
            </w:pPr>
            <w:r w:rsidRPr="0054482E">
              <w:rPr>
                <w:sz w:val="20"/>
              </w:rPr>
              <w:fldChar w:fldCharType="begin">
                <w:ffData>
                  <w:name w:val="Text46"/>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790" w:type="dxa"/>
            <w:vMerge/>
            <w:shd w:val="clear" w:color="auto" w:fill="FFFFFF"/>
            <w:vAlign w:val="center"/>
          </w:tcPr>
          <w:p w:rsidR="001844B6" w:rsidRPr="0054482E" w:rsidRDefault="001844B6" w:rsidP="0054482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54482E" w:rsidRDefault="001844B6" w:rsidP="005A3880">
            <w:pPr>
              <w:pStyle w:val="POAACostsHigh"/>
              <w:rPr>
                <w:sz w:val="20"/>
              </w:rPr>
            </w:pPr>
            <w:r w:rsidRPr="0054482E">
              <w:rPr>
                <w:sz w:val="20"/>
              </w:rPr>
              <w:fldChar w:fldCharType="begin">
                <w:ffData>
                  <w:name w:val="Text50"/>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54482E" w:rsidRDefault="001844B6" w:rsidP="005A3880">
            <w:pPr>
              <w:pStyle w:val="POTCCostsHigh"/>
              <w:rPr>
                <w:sz w:val="20"/>
              </w:rPr>
            </w:pPr>
            <w:r w:rsidRPr="0054482E">
              <w:rPr>
                <w:sz w:val="20"/>
              </w:rPr>
              <w:fldChar w:fldCharType="begin">
                <w:ffData>
                  <w:name w:val="Text53"/>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r>
      <w:tr w:rsidR="0054482E" w:rsidRPr="0054482E" w:rsidTr="0054482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F63895" w:rsidRDefault="001844B6" w:rsidP="005A3880">
            <w:pPr>
              <w:pStyle w:val="IATableLabel"/>
            </w:pPr>
            <w:r w:rsidRPr="00F63895">
              <w:t>Best Estimate</w:t>
            </w:r>
          </w:p>
          <w:p w:rsidR="001844B6" w:rsidRPr="0054482E" w:rsidRDefault="001844B6" w:rsidP="0054482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54482E" w:rsidRDefault="001844B6" w:rsidP="005A3880">
            <w:pPr>
              <w:pStyle w:val="POTTCostsBest"/>
              <w:rPr>
                <w:sz w:val="20"/>
              </w:rPr>
            </w:pPr>
            <w:r w:rsidRPr="0054482E">
              <w:rPr>
                <w:sz w:val="20"/>
              </w:rPr>
              <w:fldChar w:fldCharType="begin">
                <w:ffData>
                  <w:name w:val="Text51"/>
                  <w:enabled/>
                  <w:calcOnExit w:val="0"/>
                  <w:textInput>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 </w:t>
            </w:r>
            <w:r w:rsidRPr="0054482E">
              <w:rPr>
                <w:noProof/>
                <w:sz w:val="20"/>
              </w:rPr>
              <w:t> </w:t>
            </w:r>
            <w:r w:rsidRPr="0054482E">
              <w:rPr>
                <w:noProof/>
                <w:sz w:val="20"/>
              </w:rPr>
              <w:t> </w:t>
            </w:r>
            <w:r w:rsidRPr="0054482E">
              <w:rPr>
                <w:noProof/>
                <w:sz w:val="20"/>
              </w:rPr>
              <w:t> </w:t>
            </w:r>
            <w:r w:rsidRPr="0054482E">
              <w:rPr>
                <w:noProof/>
                <w:sz w:val="20"/>
              </w:rPr>
              <w:t> </w:t>
            </w:r>
            <w:r w:rsidRPr="0054482E">
              <w:rPr>
                <w:sz w:val="20"/>
              </w:rPr>
              <w:fldChar w:fldCharType="end"/>
            </w:r>
          </w:p>
        </w:tc>
        <w:tc>
          <w:tcPr>
            <w:tcW w:w="790" w:type="dxa"/>
            <w:vMerge/>
            <w:tcBorders>
              <w:left w:val="single" w:sz="12" w:space="0" w:color="auto"/>
              <w:right w:val="single" w:sz="12" w:space="0" w:color="auto"/>
            </w:tcBorders>
            <w:shd w:val="clear" w:color="auto" w:fill="FFFFFF"/>
            <w:vAlign w:val="center"/>
          </w:tcPr>
          <w:p w:rsidR="001844B6" w:rsidRPr="0054482E" w:rsidRDefault="001844B6" w:rsidP="0054482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54482E" w:rsidRDefault="00C04C8A" w:rsidP="005A3880">
            <w:pPr>
              <w:pStyle w:val="POAACostsBest"/>
              <w:rPr>
                <w:sz w:val="20"/>
              </w:rPr>
            </w:pPr>
            <w:r>
              <w:rPr>
                <w:sz w:val="20"/>
              </w:rPr>
              <w:t>4.51</w:t>
            </w:r>
            <w:r w:rsidR="001844B6" w:rsidRPr="0054482E">
              <w:rPr>
                <w:sz w:val="20"/>
              </w:rPr>
              <w:fldChar w:fldCharType="begin">
                <w:ffData>
                  <w:name w:val="Text51"/>
                  <w:enabled/>
                  <w:calcOnExit w:val="0"/>
                  <w:textInput>
                    <w:maxLength w:val="14"/>
                  </w:textInput>
                </w:ffData>
              </w:fldChar>
            </w:r>
            <w:r w:rsidR="001844B6" w:rsidRPr="0054482E">
              <w:rPr>
                <w:sz w:val="20"/>
              </w:rPr>
              <w:instrText xml:space="preserve"> FORMTEXT </w:instrText>
            </w:r>
            <w:r w:rsidR="001844B6" w:rsidRPr="0054482E">
              <w:rPr>
                <w:sz w:val="20"/>
              </w:rPr>
            </w:r>
            <w:r w:rsidR="001844B6" w:rsidRPr="0054482E">
              <w:rPr>
                <w:sz w:val="20"/>
              </w:rPr>
              <w:fldChar w:fldCharType="separate"/>
            </w:r>
            <w:r w:rsidR="001844B6" w:rsidRPr="0054482E">
              <w:rPr>
                <w:noProof/>
                <w:sz w:val="20"/>
              </w:rPr>
              <w:t> </w:t>
            </w:r>
            <w:r w:rsidR="001844B6" w:rsidRPr="0054482E">
              <w:rPr>
                <w:noProof/>
                <w:sz w:val="20"/>
              </w:rPr>
              <w:t> </w:t>
            </w:r>
            <w:r w:rsidR="001844B6" w:rsidRPr="0054482E">
              <w:rPr>
                <w:noProof/>
                <w:sz w:val="20"/>
              </w:rPr>
              <w:t> </w:t>
            </w:r>
            <w:r w:rsidR="001844B6" w:rsidRPr="0054482E">
              <w:rPr>
                <w:noProof/>
                <w:sz w:val="20"/>
              </w:rPr>
              <w:t> </w:t>
            </w:r>
            <w:r w:rsidR="001844B6" w:rsidRPr="0054482E">
              <w:rPr>
                <w:noProof/>
                <w:sz w:val="20"/>
              </w:rPr>
              <w:t> </w:t>
            </w:r>
            <w:r w:rsidR="001844B6" w:rsidRPr="0054482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54482E" w:rsidRDefault="00C04C8A" w:rsidP="005A3880">
            <w:pPr>
              <w:pStyle w:val="POTCCostsBest"/>
              <w:rPr>
                <w:sz w:val="20"/>
              </w:rPr>
            </w:pPr>
            <w:r>
              <w:rPr>
                <w:sz w:val="20"/>
              </w:rPr>
              <w:t>33.69</w:t>
            </w:r>
          </w:p>
        </w:tc>
      </w:tr>
      <w:tr w:rsidR="001844B6" w:rsidRPr="00826F71" w:rsidTr="0054482E">
        <w:trPr>
          <w:trHeight w:hRule="exact" w:val="1701"/>
        </w:trPr>
        <w:tc>
          <w:tcPr>
            <w:tcW w:w="10235" w:type="dxa"/>
            <w:gridSpan w:val="6"/>
            <w:tcBorders>
              <w:bottom w:val="single" w:sz="6" w:space="0" w:color="auto"/>
            </w:tcBorders>
            <w:shd w:val="clear" w:color="auto" w:fill="auto"/>
          </w:tcPr>
          <w:p w:rsidR="001844B6" w:rsidRPr="0054482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rsidR="001844B6" w:rsidRPr="00826F71" w:rsidRDefault="00D74689" w:rsidP="001D7583">
            <w:pPr>
              <w:pStyle w:val="IAPOA1"/>
            </w:pPr>
            <w:r>
              <w:t xml:space="preserve">Increased deployment of overhead lines </w:t>
            </w:r>
            <w:r w:rsidR="001D7583">
              <w:t>may</w:t>
            </w:r>
            <w:r>
              <w:t xml:space="preserve"> impair</w:t>
            </w:r>
            <w:r w:rsidR="001D7583">
              <w:t xml:space="preserve"> the</w:t>
            </w:r>
            <w:r>
              <w:t xml:space="preserve"> visual amenity of </w:t>
            </w:r>
            <w:r w:rsidR="001D7583">
              <w:t xml:space="preserve">some </w:t>
            </w:r>
            <w:r>
              <w:t>citizens. It will also increase the vulnerability of telecommunications systems to external adverse events</w:t>
            </w:r>
            <w:r w:rsidR="001D7583">
              <w:t xml:space="preserve"> and therefore increased operating costs</w:t>
            </w:r>
            <w:r>
              <w:t>.</w:t>
            </w:r>
            <w:r w:rsidR="001D7583">
              <w:t xml:space="preserve">  The extent of this will depend upon the extent of the extra use is made of the proposed deregulation.</w:t>
            </w:r>
          </w:p>
        </w:tc>
      </w:tr>
      <w:tr w:rsidR="001844B6" w:rsidRPr="00826F71" w:rsidTr="0054482E">
        <w:trPr>
          <w:trHeight w:hRule="exact" w:val="1701"/>
        </w:trPr>
        <w:tc>
          <w:tcPr>
            <w:tcW w:w="10235" w:type="dxa"/>
            <w:gridSpan w:val="6"/>
            <w:tcBorders>
              <w:top w:val="single" w:sz="6" w:space="0" w:color="auto"/>
              <w:bottom w:val="single" w:sz="12" w:space="0" w:color="auto"/>
            </w:tcBorders>
            <w:shd w:val="clear" w:color="auto" w:fill="auto"/>
          </w:tcPr>
          <w:p w:rsidR="001844B6" w:rsidRPr="0054482E" w:rsidRDefault="001844B6" w:rsidP="005A3880">
            <w:pPr>
              <w:pStyle w:val="IAPOQ2"/>
              <w:rPr>
                <w:szCs w:val="22"/>
              </w:rPr>
            </w:pPr>
            <w:r w:rsidRPr="00544292">
              <w:t>Other</w:t>
            </w:r>
            <w:r w:rsidRPr="00826F71">
              <w:t xml:space="preserve"> key non-monetised costs</w:t>
            </w:r>
            <w:r w:rsidRPr="00544292">
              <w:t xml:space="preserve"> by ‘main affected groups’ </w:t>
            </w:r>
          </w:p>
          <w:p w:rsidR="001844B6" w:rsidRPr="0054482E" w:rsidRDefault="001D7583" w:rsidP="005A3880">
            <w:pPr>
              <w:pStyle w:val="IAPOA2"/>
              <w:rPr>
                <w:szCs w:val="22"/>
              </w:rPr>
            </w:pPr>
            <w:r>
              <w:rPr>
                <w:szCs w:val="22"/>
              </w:rPr>
              <w:t>In terms of environmental costs, all Sites of Special Scientific Interest are exempt from the deregulation.  The extent</w:t>
            </w:r>
            <w:r w:rsidR="00F2522D">
              <w:rPr>
                <w:szCs w:val="22"/>
              </w:rPr>
              <w:t xml:space="preserve"> of any environmental costs will depend on the use that is made of the de-regulation.  It has not been possible to obtain reliable estimates of this.</w:t>
            </w:r>
          </w:p>
        </w:tc>
      </w:tr>
      <w:tr w:rsidR="0054482E" w:rsidRPr="0054482E" w:rsidTr="0054482E">
        <w:trPr>
          <w:trHeight w:hRule="exact" w:val="567"/>
        </w:trPr>
        <w:tc>
          <w:tcPr>
            <w:tcW w:w="1995" w:type="dxa"/>
            <w:shd w:val="clear" w:color="auto" w:fill="FFFFFF"/>
          </w:tcPr>
          <w:p w:rsidR="001844B6" w:rsidRPr="0054482E" w:rsidRDefault="001844B6" w:rsidP="005A3880">
            <w:pPr>
              <w:pStyle w:val="IATableLabel"/>
              <w:rPr>
                <w:sz w:val="24"/>
                <w:szCs w:val="24"/>
              </w:rPr>
            </w:pPr>
            <w:r w:rsidRPr="0054482E">
              <w:rPr>
                <w:sz w:val="24"/>
                <w:szCs w:val="24"/>
              </w:rPr>
              <w:t>BENEFITS (£m)</w:t>
            </w:r>
          </w:p>
        </w:tc>
        <w:tc>
          <w:tcPr>
            <w:tcW w:w="2739" w:type="dxa"/>
            <w:gridSpan w:val="2"/>
            <w:tcBorders>
              <w:top w:val="single" w:sz="12" w:space="0" w:color="auto"/>
              <w:bottom w:val="single" w:sz="6" w:space="0" w:color="auto"/>
            </w:tcBorders>
            <w:shd w:val="clear" w:color="auto" w:fill="auto"/>
          </w:tcPr>
          <w:p w:rsidR="001844B6" w:rsidRPr="00826F71" w:rsidRDefault="001844B6" w:rsidP="0054482E">
            <w:pPr>
              <w:pStyle w:val="IATableLabel"/>
              <w:tabs>
                <w:tab w:val="right" w:pos="1797"/>
                <w:tab w:val="center" w:pos="2340"/>
              </w:tabs>
              <w:jc w:val="right"/>
            </w:pPr>
            <w:r w:rsidRPr="00826F71">
              <w:t xml:space="preserve">Total Transition </w:t>
            </w:r>
            <w:r>
              <w:br/>
            </w:r>
            <w:r>
              <w:tab/>
            </w:r>
            <w:r w:rsidRPr="0054482E">
              <w:rPr>
                <w:b w:val="0"/>
                <w:sz w:val="18"/>
                <w:szCs w:val="18"/>
              </w:rPr>
              <w:t>(Constant Price)</w:t>
            </w:r>
            <w:r>
              <w:tab/>
            </w:r>
            <w:r w:rsidRPr="0054482E">
              <w:rPr>
                <w:b w:val="0"/>
                <w:sz w:val="18"/>
                <w:szCs w:val="18"/>
              </w:rPr>
              <w:t>Yea</w:t>
            </w:r>
            <w:r w:rsidRPr="0054482E">
              <w:rPr>
                <w:b w:val="0"/>
                <w:bCs/>
                <w:sz w:val="18"/>
                <w:szCs w:val="18"/>
              </w:rPr>
              <w:t>r</w:t>
            </w:r>
            <w:r w:rsidRPr="0054482E">
              <w:rPr>
                <w:b w:val="0"/>
                <w:sz w:val="18"/>
                <w:szCs w:val="18"/>
              </w:rPr>
              <w:t>s</w:t>
            </w:r>
          </w:p>
          <w:p w:rsidR="001844B6" w:rsidRPr="00826F71" w:rsidRDefault="001844B6" w:rsidP="0054482E">
            <w:pPr>
              <w:pStyle w:val="IATableLabel"/>
              <w:jc w:val="right"/>
            </w:pPr>
            <w:r>
              <w:br/>
            </w:r>
          </w:p>
        </w:tc>
        <w:tc>
          <w:tcPr>
            <w:tcW w:w="2865" w:type="dxa"/>
            <w:tcBorders>
              <w:bottom w:val="single" w:sz="6" w:space="0" w:color="auto"/>
              <w:right w:val="single" w:sz="12" w:space="0" w:color="auto"/>
            </w:tcBorders>
            <w:shd w:val="clear" w:color="auto" w:fill="auto"/>
          </w:tcPr>
          <w:p w:rsidR="001844B6" w:rsidRPr="0054482E" w:rsidRDefault="001844B6" w:rsidP="0054482E">
            <w:pPr>
              <w:pStyle w:val="IATableLabel"/>
              <w:jc w:val="right"/>
              <w:rPr>
                <w:rFonts w:cs="Arial"/>
                <w:bCs/>
              </w:rPr>
            </w:pPr>
            <w:r w:rsidRPr="00826F71">
              <w:t>Average Annual</w:t>
            </w:r>
            <w:r w:rsidRPr="000C031E">
              <w:t xml:space="preserve"> </w:t>
            </w:r>
            <w:r>
              <w:br/>
            </w:r>
            <w:r w:rsidRPr="0054482E">
              <w:rPr>
                <w:b w:val="0"/>
                <w:sz w:val="18"/>
                <w:szCs w:val="18"/>
              </w:rPr>
              <w:t xml:space="preserve">(excl. Transition) </w:t>
            </w:r>
            <w:r w:rsidRPr="0054482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54482E">
            <w:pPr>
              <w:pStyle w:val="IATableLabel"/>
              <w:jc w:val="right"/>
            </w:pPr>
            <w:r w:rsidRPr="00826F71">
              <w:t xml:space="preserve">Total </w:t>
            </w:r>
            <w:r>
              <w:t>Benefit</w:t>
            </w:r>
            <w:r w:rsidRPr="0054482E">
              <w:rPr>
                <w:b w:val="0"/>
                <w:sz w:val="18"/>
                <w:szCs w:val="18"/>
              </w:rPr>
              <w:t xml:space="preserve"> </w:t>
            </w:r>
            <w:r w:rsidRPr="0054482E">
              <w:rPr>
                <w:b w:val="0"/>
                <w:sz w:val="18"/>
                <w:szCs w:val="18"/>
              </w:rPr>
              <w:br/>
              <w:t>(Present Value)</w:t>
            </w:r>
          </w:p>
        </w:tc>
      </w:tr>
      <w:tr w:rsidR="0054482E" w:rsidRPr="0054482E" w:rsidTr="0054482E">
        <w:trPr>
          <w:trHeight w:hRule="exact" w:val="348"/>
        </w:trPr>
        <w:tc>
          <w:tcPr>
            <w:tcW w:w="1995" w:type="dxa"/>
            <w:tcBorders>
              <w:top w:val="single" w:sz="6" w:space="0" w:color="auto"/>
              <w:bottom w:val="single" w:sz="6" w:space="0" w:color="auto"/>
            </w:tcBorders>
            <w:shd w:val="clear" w:color="auto" w:fill="auto"/>
            <w:vAlign w:val="center"/>
          </w:tcPr>
          <w:p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1844B6" w:rsidRPr="0054482E" w:rsidRDefault="001844B6" w:rsidP="005A3880">
            <w:pPr>
              <w:pStyle w:val="POTTBenLow"/>
              <w:rPr>
                <w:sz w:val="20"/>
              </w:rPr>
            </w:pPr>
            <w:r w:rsidRPr="0054482E">
              <w:rPr>
                <w:sz w:val="20"/>
              </w:rPr>
              <w:fldChar w:fldCharType="begin">
                <w:ffData>
                  <w:name w:val=""/>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790" w:type="dxa"/>
            <w:vMerge w:val="restart"/>
            <w:tcBorders>
              <w:top w:val="single" w:sz="6" w:space="0" w:color="auto"/>
            </w:tcBorders>
            <w:shd w:val="clear" w:color="auto" w:fill="auto"/>
            <w:vAlign w:val="center"/>
          </w:tcPr>
          <w:p w:rsidR="001844B6" w:rsidRPr="0054482E" w:rsidRDefault="001844B6" w:rsidP="0054482E">
            <w:pPr>
              <w:pStyle w:val="IATableText"/>
              <w:jc w:val="center"/>
              <w:rPr>
                <w:sz w:val="20"/>
              </w:rPr>
            </w:pPr>
            <w:r w:rsidRPr="0054482E">
              <w:rPr>
                <w:sz w:val="20"/>
              </w:rPr>
              <w:fldChar w:fldCharType="begin">
                <w:ffData>
                  <w:name w:val="Text48"/>
                  <w:enabled/>
                  <w:calcOnExit w:val="0"/>
                  <w:textInput>
                    <w:maxLength w:val="3"/>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 </w:t>
            </w:r>
            <w:r w:rsidRPr="0054482E">
              <w:rPr>
                <w:noProof/>
                <w:sz w:val="20"/>
              </w:rPr>
              <w:t> </w:t>
            </w:r>
            <w:r w:rsidRPr="0054482E">
              <w:rPr>
                <w:noProof/>
                <w:sz w:val="20"/>
              </w:rPr>
              <w:t> </w:t>
            </w:r>
            <w:r w:rsidRPr="0054482E">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54482E" w:rsidRDefault="001844B6" w:rsidP="005A3880">
            <w:pPr>
              <w:pStyle w:val="POAABenLow"/>
              <w:rPr>
                <w:sz w:val="20"/>
              </w:rPr>
            </w:pPr>
            <w:r w:rsidRPr="0054482E">
              <w:rPr>
                <w:sz w:val="20"/>
              </w:rPr>
              <w:fldChar w:fldCharType="begin">
                <w:ffData>
                  <w:name w:val=""/>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54482E" w:rsidRDefault="001844B6" w:rsidP="005A3880">
            <w:pPr>
              <w:pStyle w:val="POTBBenLow"/>
              <w:rPr>
                <w:sz w:val="20"/>
              </w:rPr>
            </w:pPr>
            <w:r w:rsidRPr="0054482E">
              <w:rPr>
                <w:sz w:val="20"/>
              </w:rPr>
              <w:fldChar w:fldCharType="begin">
                <w:ffData>
                  <w:name w:val=""/>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r>
      <w:tr w:rsidR="0054482E" w:rsidRPr="0054482E" w:rsidTr="0054482E">
        <w:trPr>
          <w:trHeight w:hRule="exact" w:val="348"/>
        </w:trPr>
        <w:tc>
          <w:tcPr>
            <w:tcW w:w="1995" w:type="dxa"/>
            <w:tcBorders>
              <w:top w:val="single" w:sz="6" w:space="0" w:color="auto"/>
              <w:bottom w:val="single" w:sz="12" w:space="0" w:color="auto"/>
            </w:tcBorders>
            <w:shd w:val="clear" w:color="auto" w:fill="auto"/>
            <w:vAlign w:val="center"/>
          </w:tcPr>
          <w:p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1844B6" w:rsidRPr="0054482E" w:rsidRDefault="001844B6" w:rsidP="005A3880">
            <w:pPr>
              <w:pStyle w:val="POTTBenHigh"/>
              <w:rPr>
                <w:sz w:val="20"/>
              </w:rPr>
            </w:pPr>
            <w:r w:rsidRPr="0054482E">
              <w:rPr>
                <w:sz w:val="20"/>
              </w:rPr>
              <w:fldChar w:fldCharType="begin">
                <w:ffData>
                  <w:name w:val=""/>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790" w:type="dxa"/>
            <w:vMerge/>
            <w:shd w:val="clear" w:color="auto" w:fill="FFFFFF"/>
            <w:vAlign w:val="center"/>
          </w:tcPr>
          <w:p w:rsidR="001844B6" w:rsidRPr="0054482E" w:rsidRDefault="001844B6" w:rsidP="0054482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54482E" w:rsidRDefault="001844B6" w:rsidP="005A3880">
            <w:pPr>
              <w:pStyle w:val="POAABenHigh"/>
              <w:rPr>
                <w:sz w:val="20"/>
              </w:rPr>
            </w:pPr>
            <w:r w:rsidRPr="0054482E">
              <w:rPr>
                <w:sz w:val="20"/>
              </w:rPr>
              <w:fldChar w:fldCharType="begin">
                <w:ffData>
                  <w:name w:val=""/>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54482E" w:rsidRDefault="001844B6" w:rsidP="005A3880">
            <w:pPr>
              <w:pStyle w:val="POTBBenHigh"/>
              <w:rPr>
                <w:sz w:val="20"/>
              </w:rPr>
            </w:pPr>
            <w:r w:rsidRPr="0054482E">
              <w:rPr>
                <w:sz w:val="20"/>
              </w:rPr>
              <w:fldChar w:fldCharType="begin">
                <w:ffData>
                  <w:name w:val=""/>
                  <w:enabled/>
                  <w:calcOnExit w:val="0"/>
                  <w:textInput>
                    <w:default w:val="Optional"/>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Optional</w:t>
            </w:r>
            <w:r w:rsidRPr="0054482E">
              <w:rPr>
                <w:sz w:val="20"/>
              </w:rPr>
              <w:fldChar w:fldCharType="end"/>
            </w:r>
          </w:p>
        </w:tc>
      </w:tr>
      <w:tr w:rsidR="0054482E" w:rsidRPr="0054482E" w:rsidTr="0054482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826F71" w:rsidRDefault="001844B6" w:rsidP="005A3880">
            <w:pPr>
              <w:pStyle w:val="IATableLabel"/>
            </w:pPr>
            <w:r w:rsidRPr="00826F71">
              <w:t xml:space="preserve">Best </w:t>
            </w:r>
            <w:r>
              <w:t>E</w:t>
            </w:r>
            <w:r w:rsidRPr="00826F71">
              <w:t>stimate</w:t>
            </w:r>
          </w:p>
          <w:p w:rsidR="001844B6" w:rsidRPr="0054482E" w:rsidRDefault="001844B6" w:rsidP="0054482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54482E" w:rsidRDefault="001844B6" w:rsidP="005A3880">
            <w:pPr>
              <w:pStyle w:val="POTTBenBest"/>
              <w:rPr>
                <w:sz w:val="20"/>
              </w:rPr>
            </w:pPr>
            <w:r w:rsidRPr="0054482E">
              <w:rPr>
                <w:sz w:val="20"/>
              </w:rPr>
              <w:fldChar w:fldCharType="begin">
                <w:ffData>
                  <w:name w:val=""/>
                  <w:enabled/>
                  <w:calcOnExit w:val="0"/>
                  <w:textInput>
                    <w:maxLength w:val="14"/>
                  </w:textInput>
                </w:ffData>
              </w:fldChar>
            </w:r>
            <w:r w:rsidRPr="0054482E">
              <w:rPr>
                <w:sz w:val="20"/>
              </w:rPr>
              <w:instrText xml:space="preserve"> FORMTEXT </w:instrText>
            </w:r>
            <w:r w:rsidRPr="0054482E">
              <w:rPr>
                <w:sz w:val="20"/>
              </w:rPr>
            </w:r>
            <w:r w:rsidRPr="0054482E">
              <w:rPr>
                <w:sz w:val="20"/>
              </w:rPr>
              <w:fldChar w:fldCharType="separate"/>
            </w:r>
            <w:r w:rsidRPr="0054482E">
              <w:rPr>
                <w:noProof/>
                <w:sz w:val="20"/>
              </w:rPr>
              <w:t> </w:t>
            </w:r>
            <w:r w:rsidRPr="0054482E">
              <w:rPr>
                <w:noProof/>
                <w:sz w:val="20"/>
              </w:rPr>
              <w:t> </w:t>
            </w:r>
            <w:r w:rsidRPr="0054482E">
              <w:rPr>
                <w:noProof/>
                <w:sz w:val="20"/>
              </w:rPr>
              <w:t> </w:t>
            </w:r>
            <w:r w:rsidRPr="0054482E">
              <w:rPr>
                <w:noProof/>
                <w:sz w:val="20"/>
              </w:rPr>
              <w:t> </w:t>
            </w:r>
            <w:r w:rsidRPr="0054482E">
              <w:rPr>
                <w:noProof/>
                <w:sz w:val="20"/>
              </w:rPr>
              <w:t> </w:t>
            </w:r>
            <w:r w:rsidRPr="0054482E">
              <w:rPr>
                <w:sz w:val="20"/>
              </w:rPr>
              <w:fldChar w:fldCharType="end"/>
            </w:r>
          </w:p>
        </w:tc>
        <w:tc>
          <w:tcPr>
            <w:tcW w:w="790" w:type="dxa"/>
            <w:vMerge/>
            <w:tcBorders>
              <w:left w:val="single" w:sz="12" w:space="0" w:color="auto"/>
              <w:right w:val="single" w:sz="12" w:space="0" w:color="auto"/>
            </w:tcBorders>
            <w:shd w:val="clear" w:color="auto" w:fill="FFFFFF"/>
            <w:vAlign w:val="center"/>
          </w:tcPr>
          <w:p w:rsidR="001844B6" w:rsidRPr="0054482E" w:rsidRDefault="001844B6" w:rsidP="0054482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54482E" w:rsidRDefault="00C04C8A" w:rsidP="005A3880">
            <w:pPr>
              <w:pStyle w:val="POAABenBest"/>
              <w:rPr>
                <w:sz w:val="20"/>
              </w:rPr>
            </w:pPr>
            <w:r>
              <w:rPr>
                <w:sz w:val="20"/>
              </w:rPr>
              <w:t>6.14</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54482E" w:rsidRDefault="00C04C8A" w:rsidP="00050980">
            <w:pPr>
              <w:pStyle w:val="POTBBenBest"/>
              <w:rPr>
                <w:sz w:val="20"/>
              </w:rPr>
            </w:pPr>
            <w:r>
              <w:rPr>
                <w:sz w:val="20"/>
              </w:rPr>
              <w:t>67.34</w:t>
            </w:r>
          </w:p>
        </w:tc>
      </w:tr>
      <w:tr w:rsidR="001844B6" w:rsidRPr="00826F71" w:rsidTr="0054482E">
        <w:trPr>
          <w:trHeight w:hRule="exact" w:val="1701"/>
        </w:trPr>
        <w:tc>
          <w:tcPr>
            <w:tcW w:w="10235" w:type="dxa"/>
            <w:gridSpan w:val="6"/>
            <w:shd w:val="clear" w:color="auto" w:fill="auto"/>
          </w:tcPr>
          <w:p w:rsidR="001844B6" w:rsidRPr="0054482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rsidR="001844B6" w:rsidRPr="00826F71" w:rsidRDefault="00D74689" w:rsidP="00D74689">
            <w:pPr>
              <w:pStyle w:val="IAPOA3"/>
            </w:pPr>
            <w:r>
              <w:t xml:space="preserve">Reduced administration costs, </w:t>
            </w:r>
            <w:r w:rsidR="00F2522D">
              <w:t xml:space="preserve">reduced planning costs, </w:t>
            </w:r>
            <w:r>
              <w:t>reduced capital costs and reduced operating costs will reduce business costs. Increased availability of super-fast broadband will benefit customers some of whom may be businesses.</w:t>
            </w:r>
          </w:p>
        </w:tc>
      </w:tr>
      <w:tr w:rsidR="001844B6" w:rsidRPr="00826F71" w:rsidTr="0054482E">
        <w:trPr>
          <w:trHeight w:hRule="exact" w:val="1701"/>
        </w:trPr>
        <w:tc>
          <w:tcPr>
            <w:tcW w:w="10235" w:type="dxa"/>
            <w:gridSpan w:val="6"/>
            <w:shd w:val="clear" w:color="auto" w:fill="auto"/>
          </w:tcPr>
          <w:p w:rsidR="001844B6" w:rsidRPr="0054482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rsidR="001844B6" w:rsidRPr="00826F71" w:rsidRDefault="00D74689" w:rsidP="00D74689">
            <w:pPr>
              <w:pStyle w:val="IAPOA4"/>
            </w:pPr>
            <w:r>
              <w:t>Possible increased competition in infrastructure provision.</w:t>
            </w:r>
          </w:p>
        </w:tc>
      </w:tr>
      <w:tr w:rsidR="001844B6" w:rsidRPr="00826F71" w:rsidTr="0054482E">
        <w:trPr>
          <w:trHeight w:hRule="exact" w:val="346"/>
        </w:trPr>
        <w:tc>
          <w:tcPr>
            <w:tcW w:w="9375" w:type="dxa"/>
            <w:gridSpan w:val="5"/>
            <w:tcBorders>
              <w:top w:val="single" w:sz="6" w:space="0" w:color="auto"/>
              <w:bottom w:val="nil"/>
            </w:tcBorders>
            <w:shd w:val="clear" w:color="auto" w:fill="auto"/>
          </w:tcPr>
          <w:p w:rsidR="001844B6" w:rsidRDefault="001844B6" w:rsidP="0054482E">
            <w:pPr>
              <w:pStyle w:val="IATableLabel"/>
              <w:tabs>
                <w:tab w:val="left" w:pos="7655"/>
              </w:tabs>
            </w:pPr>
            <w:r w:rsidRPr="00F1653E">
              <w:rPr>
                <w:rStyle w:val="IAPOQ5Char"/>
              </w:rPr>
              <w:t>Key assumptions/sensitivities/risks</w:t>
            </w:r>
            <w:r>
              <w:tab/>
              <w:t>Discount rate (%)</w:t>
            </w:r>
          </w:p>
          <w:p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rsidR="001844B6" w:rsidRPr="007E6CF8" w:rsidRDefault="00D74689" w:rsidP="005A3880">
            <w:pPr>
              <w:pStyle w:val="IAPODisRate"/>
            </w:pPr>
            <w:r>
              <w:t>3.5</w:t>
            </w:r>
          </w:p>
        </w:tc>
      </w:tr>
      <w:tr w:rsidR="001844B6" w:rsidRPr="0054482E" w:rsidTr="0054482E">
        <w:trPr>
          <w:trHeight w:hRule="exact" w:val="1375"/>
        </w:trPr>
        <w:tc>
          <w:tcPr>
            <w:tcW w:w="10235" w:type="dxa"/>
            <w:gridSpan w:val="6"/>
            <w:tcBorders>
              <w:top w:val="nil"/>
              <w:bottom w:val="single" w:sz="12" w:space="0" w:color="auto"/>
            </w:tcBorders>
            <w:shd w:val="clear" w:color="auto" w:fill="auto"/>
          </w:tcPr>
          <w:p w:rsidR="001844B6" w:rsidRPr="00544292" w:rsidRDefault="001844B6" w:rsidP="005A3880">
            <w:pPr>
              <w:pStyle w:val="IAPOA5"/>
            </w:pPr>
            <w:r>
              <w:fldChar w:fldCharType="begin">
                <w:ffData>
                  <w:name w:val=""/>
                  <w:enabled/>
                  <w:calcOnExit w:val="0"/>
                  <w:textInput>
                    <w:default w:val="Maximum of 5 lines"/>
                    <w:maxLength w:val="500"/>
                  </w:textInput>
                </w:ffData>
              </w:fldChar>
            </w:r>
            <w:r>
              <w:instrText xml:space="preserve"> FORMTEXT </w:instrText>
            </w:r>
            <w:r>
              <w:fldChar w:fldCharType="separate"/>
            </w:r>
            <w:r>
              <w:rPr>
                <w:noProof/>
              </w:rPr>
              <w:t>Maximum of 5 lines</w:t>
            </w:r>
            <w:r>
              <w:fldChar w:fldCharType="end"/>
            </w:r>
          </w:p>
        </w:tc>
      </w:tr>
    </w:tbl>
    <w:p w:rsidR="001844B6" w:rsidRDefault="001844B6" w:rsidP="005A3880">
      <w:pPr>
        <w:pStyle w:val="IASpacer"/>
      </w:pPr>
    </w:p>
    <w:p w:rsidR="001844B6" w:rsidRDefault="00F63895" w:rsidP="005A3880">
      <w:pPr>
        <w:pStyle w:val="IAHeadLabel"/>
        <w:spacing w:before="50"/>
      </w:pPr>
      <w:r>
        <w:t xml:space="preserve">BUSINESS </w:t>
      </w:r>
      <w:r w:rsidR="001844B6">
        <w:t xml:space="preserve">ASSESSMENT (Option </w:t>
      </w:r>
      <w:r w:rsidR="004220F6">
        <w:fldChar w:fldCharType="begin"/>
      </w:r>
      <w:r w:rsidR="004220F6">
        <w:instrText xml:space="preserve"> SEQ BA </w:instrText>
      </w:r>
      <w:r w:rsidR="004220F6">
        <w:fldChar w:fldCharType="separate"/>
      </w:r>
      <w:r w:rsidR="00B05C8E">
        <w:rPr>
          <w:noProof/>
        </w:rPr>
        <w:t>1</w:t>
      </w:r>
      <w:r w:rsidR="004220F6">
        <w:rPr>
          <w:noProof/>
        </w:rPr>
        <w:fldChar w:fldCharType="end"/>
      </w:r>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1844B6" w:rsidRPr="000E02BE" w:rsidTr="005A3880">
        <w:trPr>
          <w:trHeight w:hRule="exact" w:val="312"/>
        </w:trPr>
        <w:tc>
          <w:tcPr>
            <w:tcW w:w="6125" w:type="dxa"/>
            <w:gridSpan w:val="3"/>
            <w:tcBorders>
              <w:top w:val="single" w:sz="4" w:space="0" w:color="auto"/>
              <w:bottom w:val="nil"/>
              <w:right w:val="single" w:sz="4" w:space="0" w:color="auto"/>
            </w:tcBorders>
          </w:tcPr>
          <w:p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rsidR="001844B6" w:rsidRPr="000E02BE" w:rsidRDefault="001844B6" w:rsidP="005A3880">
            <w:pPr>
              <w:pStyle w:val="IATableLabel"/>
            </w:pPr>
            <w:r w:rsidRPr="000E02BE">
              <w:t>In scope of OIOO?</w:t>
            </w:r>
          </w:p>
        </w:tc>
        <w:tc>
          <w:tcPr>
            <w:tcW w:w="2110" w:type="dxa"/>
            <w:tcBorders>
              <w:top w:val="single" w:sz="4" w:space="0" w:color="auto"/>
              <w:left w:val="nil"/>
              <w:bottom w:val="nil"/>
              <w:right w:val="single" w:sz="4" w:space="0" w:color="auto"/>
            </w:tcBorders>
            <w:shd w:val="clear" w:color="auto" w:fill="auto"/>
          </w:tcPr>
          <w:p w:rsidR="001844B6" w:rsidRPr="000E02BE" w:rsidRDefault="001844B6" w:rsidP="005A3880">
            <w:pPr>
              <w:pStyle w:val="IATableLabel"/>
              <w:ind w:left="0"/>
            </w:pPr>
            <w:r w:rsidRPr="000E02BE">
              <w:t xml:space="preserve">  Measure qualifies as</w:t>
            </w:r>
          </w:p>
        </w:tc>
      </w:tr>
      <w:tr w:rsidR="001844B6" w:rsidRPr="00E75380" w:rsidTr="005A3880">
        <w:trPr>
          <w:trHeight w:hRule="exact" w:val="340"/>
        </w:trPr>
        <w:tc>
          <w:tcPr>
            <w:tcW w:w="1990" w:type="dxa"/>
            <w:tcBorders>
              <w:top w:val="nil"/>
              <w:bottom w:val="single" w:sz="4" w:space="0" w:color="auto"/>
              <w:right w:val="single" w:sz="4" w:space="0" w:color="auto"/>
            </w:tcBorders>
            <w:shd w:val="clear" w:color="auto" w:fill="FFFFFF"/>
          </w:tcPr>
          <w:p w:rsidR="001844B6" w:rsidRPr="00F63895" w:rsidRDefault="001844B6" w:rsidP="00DB433C">
            <w:pPr>
              <w:pStyle w:val="IATableLabel"/>
            </w:pPr>
            <w:r w:rsidRPr="00F63895">
              <w:t xml:space="preserve">Costs: </w:t>
            </w:r>
            <w:bookmarkStart w:id="35" w:name="Text67"/>
            <w:r w:rsidR="00DB433C">
              <w:t>3.13</w:t>
            </w:r>
            <w:bookmarkEnd w:id="35"/>
          </w:p>
        </w:tc>
        <w:tc>
          <w:tcPr>
            <w:tcW w:w="2155" w:type="dxa"/>
            <w:tcBorders>
              <w:top w:val="nil"/>
              <w:bottom w:val="single" w:sz="4" w:space="0" w:color="auto"/>
              <w:right w:val="single" w:sz="4" w:space="0" w:color="auto"/>
            </w:tcBorders>
            <w:shd w:val="clear" w:color="auto" w:fill="FFFFFF"/>
          </w:tcPr>
          <w:p w:rsidR="001844B6" w:rsidRPr="00F63895" w:rsidRDefault="001844B6" w:rsidP="00DB433C">
            <w:pPr>
              <w:pStyle w:val="IATableLabel"/>
            </w:pPr>
            <w:r w:rsidRPr="00F63895">
              <w:t xml:space="preserve">Benefits: </w:t>
            </w:r>
            <w:bookmarkStart w:id="36" w:name="Text68"/>
            <w:r w:rsidR="00DB433C">
              <w:t>4.34</w:t>
            </w:r>
            <w:r w:rsidRPr="00F63895">
              <w:rPr>
                <w:rStyle w:val="IAPODIBenChar"/>
                <w:sz w:val="20"/>
                <w:szCs w:val="20"/>
              </w:rPr>
              <w:fldChar w:fldCharType="begin">
                <w:ffData>
                  <w:name w:val="Text68"/>
                  <w:enabled/>
                  <w:calcOnExit w:val="0"/>
                  <w:textInput>
                    <w:maxLength w:val="9"/>
                  </w:textInput>
                </w:ffData>
              </w:fldChar>
            </w:r>
            <w:r w:rsidRPr="00F63895">
              <w:rPr>
                <w:rStyle w:val="IAPODIBenChar"/>
                <w:sz w:val="20"/>
                <w:szCs w:val="20"/>
              </w:rPr>
              <w:instrText xml:space="preserve"> FORMTEXT </w:instrText>
            </w:r>
            <w:r w:rsidRPr="00F63895">
              <w:rPr>
                <w:rStyle w:val="IAPODIBenChar"/>
                <w:sz w:val="20"/>
                <w:szCs w:val="20"/>
              </w:rPr>
            </w:r>
            <w:r w:rsidRPr="00F63895">
              <w:rPr>
                <w:rStyle w:val="IAPODIBenChar"/>
                <w:sz w:val="20"/>
                <w:szCs w:val="20"/>
              </w:rPr>
              <w:fldChar w:fldCharType="separate"/>
            </w:r>
            <w:r w:rsidRPr="00F63895">
              <w:rPr>
                <w:rStyle w:val="IAPODIBenChar"/>
                <w:noProof/>
                <w:sz w:val="20"/>
                <w:szCs w:val="20"/>
              </w:rPr>
              <w:t> </w:t>
            </w:r>
            <w:r w:rsidRPr="00F63895">
              <w:rPr>
                <w:rStyle w:val="IAPODIBenChar"/>
                <w:noProof/>
                <w:sz w:val="20"/>
                <w:szCs w:val="20"/>
              </w:rPr>
              <w:t> </w:t>
            </w:r>
            <w:r w:rsidRPr="00F63895">
              <w:rPr>
                <w:rStyle w:val="IAPODIBenChar"/>
                <w:noProof/>
                <w:sz w:val="20"/>
                <w:szCs w:val="20"/>
              </w:rPr>
              <w:t> </w:t>
            </w:r>
            <w:r w:rsidRPr="00F63895">
              <w:rPr>
                <w:rStyle w:val="IAPODIBenChar"/>
                <w:noProof/>
                <w:sz w:val="20"/>
                <w:szCs w:val="20"/>
              </w:rPr>
              <w:t> </w:t>
            </w:r>
            <w:r w:rsidRPr="00F63895">
              <w:rPr>
                <w:rStyle w:val="IAPODIBenChar"/>
                <w:noProof/>
                <w:sz w:val="20"/>
                <w:szCs w:val="20"/>
              </w:rPr>
              <w:t> </w:t>
            </w:r>
            <w:r w:rsidRPr="00F63895">
              <w:rPr>
                <w:rStyle w:val="IAPODIBenChar"/>
                <w:sz w:val="20"/>
                <w:szCs w:val="20"/>
              </w:rPr>
              <w:fldChar w:fldCharType="end"/>
            </w:r>
            <w:bookmarkEnd w:id="36"/>
          </w:p>
        </w:tc>
        <w:tc>
          <w:tcPr>
            <w:tcW w:w="1980" w:type="dxa"/>
            <w:tcBorders>
              <w:top w:val="nil"/>
              <w:bottom w:val="single" w:sz="4" w:space="0" w:color="auto"/>
              <w:right w:val="single" w:sz="4" w:space="0" w:color="auto"/>
            </w:tcBorders>
            <w:shd w:val="clear" w:color="auto" w:fill="FFFFFF"/>
          </w:tcPr>
          <w:p w:rsidR="001844B6" w:rsidRPr="00F63895" w:rsidRDefault="001844B6" w:rsidP="00DB433C">
            <w:pPr>
              <w:pStyle w:val="IATableLabel"/>
            </w:pPr>
            <w:r w:rsidRPr="00F63895">
              <w:t xml:space="preserve">Net: </w:t>
            </w:r>
            <w:bookmarkStart w:id="37" w:name="Text69"/>
            <w:r w:rsidR="00DB433C">
              <w:t>1.21</w:t>
            </w:r>
            <w:r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Pr="00F63895">
              <w:rPr>
                <w:rStyle w:val="IAPODINetChar"/>
                <w:sz w:val="20"/>
                <w:szCs w:val="20"/>
              </w:rPr>
            </w:r>
            <w:r w:rsidRPr="00F63895">
              <w:rPr>
                <w:rStyle w:val="IAPODINetChar"/>
                <w:sz w:val="20"/>
                <w:szCs w:val="20"/>
              </w:rPr>
              <w:fldChar w:fldCharType="separate"/>
            </w:r>
            <w:r w:rsidRPr="00F63895">
              <w:rPr>
                <w:rStyle w:val="IAPODINetChar"/>
                <w:noProof/>
                <w:sz w:val="20"/>
                <w:szCs w:val="20"/>
              </w:rPr>
              <w:t> </w:t>
            </w:r>
            <w:r w:rsidRPr="00F63895">
              <w:rPr>
                <w:rStyle w:val="IAPODINetChar"/>
                <w:noProof/>
                <w:sz w:val="20"/>
                <w:szCs w:val="20"/>
              </w:rPr>
              <w:t> </w:t>
            </w:r>
            <w:r w:rsidRPr="00F63895">
              <w:rPr>
                <w:rStyle w:val="IAPODINetChar"/>
                <w:noProof/>
                <w:sz w:val="20"/>
                <w:szCs w:val="20"/>
              </w:rPr>
              <w:t> </w:t>
            </w:r>
            <w:r w:rsidRPr="00F63895">
              <w:rPr>
                <w:rStyle w:val="IAPODINetChar"/>
                <w:noProof/>
                <w:sz w:val="20"/>
                <w:szCs w:val="20"/>
              </w:rPr>
              <w:t> </w:t>
            </w:r>
            <w:r w:rsidRPr="00F63895">
              <w:rPr>
                <w:rStyle w:val="IAPODINetChar"/>
                <w:noProof/>
                <w:sz w:val="20"/>
                <w:szCs w:val="20"/>
              </w:rPr>
              <w:t> </w:t>
            </w:r>
            <w:r w:rsidRPr="00F63895">
              <w:rPr>
                <w:rStyle w:val="IAPODINetChar"/>
                <w:sz w:val="20"/>
                <w:szCs w:val="20"/>
              </w:rPr>
              <w:fldChar w:fldCharType="end"/>
            </w:r>
            <w:bookmarkEnd w:id="37"/>
          </w:p>
        </w:tc>
        <w:tc>
          <w:tcPr>
            <w:tcW w:w="1980" w:type="dxa"/>
            <w:tcBorders>
              <w:top w:val="nil"/>
              <w:left w:val="single" w:sz="4" w:space="0" w:color="auto"/>
              <w:bottom w:val="single" w:sz="4" w:space="0" w:color="auto"/>
              <w:right w:val="single" w:sz="4" w:space="0" w:color="auto"/>
            </w:tcBorders>
            <w:shd w:val="clear" w:color="auto" w:fill="FFFFFF"/>
          </w:tcPr>
          <w:p w:rsidR="001844B6" w:rsidRPr="00F63895" w:rsidRDefault="00D74689" w:rsidP="00D74689">
            <w:pPr>
              <w:pStyle w:val="IAPODIOIOO"/>
              <w:rPr>
                <w:sz w:val="20"/>
                <w:szCs w:val="20"/>
              </w:rPr>
            </w:pPr>
            <w:bookmarkStart w:id="38" w:name="Dropdown23"/>
            <w:r>
              <w:rPr>
                <w:sz w:val="20"/>
                <w:szCs w:val="20"/>
              </w:rPr>
              <w:t>YES</w:t>
            </w:r>
            <w:bookmarkEnd w:id="38"/>
          </w:p>
        </w:tc>
        <w:tc>
          <w:tcPr>
            <w:tcW w:w="2110" w:type="dxa"/>
            <w:tcBorders>
              <w:top w:val="nil"/>
              <w:left w:val="single" w:sz="4" w:space="0" w:color="auto"/>
              <w:bottom w:val="single" w:sz="4" w:space="0" w:color="auto"/>
              <w:right w:val="single" w:sz="4" w:space="0" w:color="auto"/>
            </w:tcBorders>
            <w:shd w:val="clear" w:color="auto" w:fill="auto"/>
          </w:tcPr>
          <w:p w:rsidR="001844B6" w:rsidRPr="00F63895" w:rsidRDefault="00D74689" w:rsidP="005A3880">
            <w:pPr>
              <w:pStyle w:val="IAPODIMQ"/>
            </w:pPr>
            <w:r>
              <w:t>OUT</w:t>
            </w:r>
          </w:p>
        </w:tc>
      </w:tr>
    </w:tbl>
    <w:p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rsidR="007E4048" w:rsidRDefault="007E4048" w:rsidP="00AC1849">
      <w:pPr>
        <w:pStyle w:val="EBBodyPara"/>
        <w:keepNext/>
        <w:keepLines/>
        <w:rPr>
          <w:b/>
        </w:rPr>
      </w:pPr>
      <w:r>
        <w:rPr>
          <w:b/>
        </w:rPr>
        <w:lastRenderedPageBreak/>
        <w:t>POLICY PROBLEM</w:t>
      </w:r>
    </w:p>
    <w:p w:rsidR="0026160E" w:rsidRDefault="0026160E" w:rsidP="0026160E">
      <w:pPr>
        <w:pStyle w:val="EBBodyPara"/>
        <w:keepNext/>
        <w:keepLines/>
        <w:spacing w:line="276" w:lineRule="auto"/>
      </w:pPr>
      <w:r>
        <w:t>Effective, reliable and fast communications are a vital prerequisite for the economic prosperity and social sustainability of England – and should be available to everyone, wherever they live and work.  To support growth in all areas of the country, broadband connectivity needs to be available as quickly and as widely as possible and be deployed as cost effectively as possible, with a degree of certainty for communications providers in order to facilitate investment decisions.</w:t>
      </w:r>
    </w:p>
    <w:p w:rsidR="0026160E" w:rsidRDefault="0026160E" w:rsidP="0026160E">
      <w:pPr>
        <w:pStyle w:val="EBBodyPara"/>
        <w:keepNext/>
        <w:keepLines/>
        <w:spacing w:line="276" w:lineRule="auto"/>
      </w:pPr>
      <w:r>
        <w:t>Research from Defra in 2010 showed that average broadband speeds were slower in rural areas than in urban areas and a higher proportion of rural households have slow or no broadband.</w:t>
      </w:r>
    </w:p>
    <w:p w:rsidR="0026160E" w:rsidRDefault="0026160E" w:rsidP="0026160E">
      <w:pPr>
        <w:pStyle w:val="EBBodyPara"/>
        <w:keepNext/>
        <w:keepLines/>
        <w:spacing w:line="276" w:lineRule="auto"/>
      </w:pPr>
    </w:p>
    <w:p w:rsidR="0026160E" w:rsidRDefault="0026160E" w:rsidP="00A63AF8">
      <w:pPr>
        <w:pStyle w:val="EBBodyPara"/>
        <w:keepNext/>
        <w:keepLines/>
        <w:spacing w:line="276" w:lineRule="auto"/>
      </w:pPr>
      <w:r>
        <w:rPr>
          <w:noProof/>
          <w:lang w:val="en-US" w:eastAsia="en-US"/>
        </w:rPr>
        <w:drawing>
          <wp:inline distT="0" distB="0" distL="0" distR="0" wp14:anchorId="1DB835BC" wp14:editId="0E75B69F">
            <wp:extent cx="6480175" cy="45102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4510202"/>
                    </a:xfrm>
                    <a:prstGeom prst="rect">
                      <a:avLst/>
                    </a:prstGeom>
                    <a:noFill/>
                    <a:ln>
                      <a:noFill/>
                    </a:ln>
                  </pic:spPr>
                </pic:pic>
              </a:graphicData>
            </a:graphic>
          </wp:inline>
        </w:drawing>
      </w:r>
    </w:p>
    <w:p w:rsidR="0026160E" w:rsidRDefault="0026160E" w:rsidP="0026160E">
      <w:pPr>
        <w:pStyle w:val="EBBodyPara"/>
        <w:keepNext/>
        <w:keepLines/>
        <w:spacing w:line="276" w:lineRule="auto"/>
      </w:pPr>
      <w:r>
        <w:t>Ofcom’s Infrastructure Report, published in November 2012, showed that at present, rural areas are disadvantaged with the roll-out of superfast broadband.  This reflects that rural areas are more commercially challenging when operators look to deploy new networks.</w:t>
      </w:r>
    </w:p>
    <w:p w:rsidR="0026160E" w:rsidRDefault="0026160E" w:rsidP="00A63AF8">
      <w:pPr>
        <w:pStyle w:val="EBBodyPara"/>
        <w:keepNext/>
        <w:keepLines/>
        <w:spacing w:line="276" w:lineRule="auto"/>
      </w:pPr>
      <w:r>
        <w:rPr>
          <w:noProof/>
          <w:lang w:val="en-US" w:eastAsia="en-US"/>
        </w:rPr>
        <w:lastRenderedPageBreak/>
        <w:drawing>
          <wp:inline distT="0" distB="0" distL="0" distR="0" wp14:anchorId="448A5EC0" wp14:editId="1C192E60">
            <wp:extent cx="6480175" cy="4308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4308364"/>
                    </a:xfrm>
                    <a:prstGeom prst="rect">
                      <a:avLst/>
                    </a:prstGeom>
                    <a:noFill/>
                    <a:ln>
                      <a:noFill/>
                    </a:ln>
                  </pic:spPr>
                </pic:pic>
              </a:graphicData>
            </a:graphic>
          </wp:inline>
        </w:drawing>
      </w:r>
    </w:p>
    <w:p w:rsidR="00A63AF8" w:rsidRDefault="00A63AF8" w:rsidP="00AC1849">
      <w:pPr>
        <w:pStyle w:val="EBBodyPara"/>
        <w:keepNext/>
        <w:keepLines/>
        <w:rPr>
          <w:b/>
        </w:rPr>
      </w:pPr>
    </w:p>
    <w:p w:rsidR="00B6788D" w:rsidRDefault="006573CD" w:rsidP="00AC1849">
      <w:pPr>
        <w:pStyle w:val="EBBodyPara"/>
        <w:keepNext/>
        <w:keepLines/>
        <w:rPr>
          <w:b/>
        </w:rPr>
      </w:pPr>
      <w:r>
        <w:rPr>
          <w:b/>
        </w:rPr>
        <w:t>RATIONALE FOR INTERVENTION</w:t>
      </w:r>
    </w:p>
    <w:p w:rsidR="0037363F" w:rsidRPr="00537EAA" w:rsidRDefault="00CF52BE" w:rsidP="00537EAA">
      <w:pPr>
        <w:pStyle w:val="ListParagraph"/>
        <w:ind w:left="0"/>
        <w:rPr>
          <w:rFonts w:ascii="Arial" w:hAnsi="Arial" w:cs="Arial"/>
        </w:rPr>
      </w:pPr>
      <w:r w:rsidRPr="00537EAA">
        <w:rPr>
          <w:rFonts w:ascii="Arial" w:hAnsi="Arial" w:cs="Arial"/>
        </w:rPr>
        <w:t xml:space="preserve">It is important for growth and international competitiveness that we deliver on our ambition for the UK to have the best superfast broadband network in Europe by 2015.  </w:t>
      </w:r>
      <w:r w:rsidR="0037363F" w:rsidRPr="00537EAA">
        <w:rPr>
          <w:rFonts w:ascii="Arial" w:hAnsi="Arial" w:cs="Arial"/>
        </w:rPr>
        <w:t xml:space="preserve">In December 2010, when the Government published its broadband strategy ‘Britain’s Superfast Broadband Future’, it was envisaged that superfast broadband would reach 50% of the UK population by the end of 2012.  Coverage already exceeds that, with superfast broadband available to 65% of the UK population. </w:t>
      </w:r>
    </w:p>
    <w:p w:rsidR="0037363F" w:rsidRPr="00537EAA" w:rsidRDefault="0037363F" w:rsidP="00537EAA">
      <w:pPr>
        <w:pStyle w:val="ListParagraph"/>
        <w:ind w:left="0"/>
        <w:rPr>
          <w:rFonts w:ascii="Arial" w:hAnsi="Arial" w:cs="Arial"/>
        </w:rPr>
      </w:pPr>
    </w:p>
    <w:p w:rsidR="0037363F" w:rsidRPr="00537EAA" w:rsidRDefault="0037363F" w:rsidP="00537EAA">
      <w:pPr>
        <w:pStyle w:val="ListParagraph"/>
        <w:ind w:left="0"/>
        <w:rPr>
          <w:rFonts w:ascii="Arial" w:hAnsi="Arial" w:cs="Arial"/>
        </w:rPr>
      </w:pPr>
    </w:p>
    <w:p w:rsidR="0037363F" w:rsidRPr="00537EAA" w:rsidRDefault="0037363F" w:rsidP="00537EAA">
      <w:pPr>
        <w:pStyle w:val="ListParagraph"/>
        <w:ind w:left="0"/>
        <w:rPr>
          <w:rFonts w:ascii="Arial" w:hAnsi="Arial" w:cs="Arial"/>
        </w:rPr>
      </w:pPr>
      <w:r w:rsidRPr="00537EAA">
        <w:rPr>
          <w:rFonts w:ascii="Arial" w:hAnsi="Arial" w:cs="Arial"/>
        </w:rPr>
        <w:t xml:space="preserve">The broadband strategy also outlined the Government’s policies for lowering the costs of deployment and its intentions for supporting rollout.  Allowing new telecoms lines to be deployed overhead has the potential to reduce deployment costs by as much as 50% in some areas.  This is especially important in rural areas to ensure that there is a fair and equitable availability of superfast broadband.  80% of the cost of deployment of superfast broadband is in the civil works – the digging of the roads.  This solution has long been advocated as a relatively easy way to lower the cost of deployment to allow the market to deliver superfast broadband networks as far as possible, and into areas that would otherwise be considered economically unviable, particularly rural areas.  </w:t>
      </w:r>
    </w:p>
    <w:p w:rsidR="0037363F" w:rsidRPr="00537EAA" w:rsidRDefault="0037363F" w:rsidP="00537EAA">
      <w:pPr>
        <w:pStyle w:val="ListParagraph"/>
        <w:ind w:left="0"/>
        <w:rPr>
          <w:rFonts w:ascii="Arial" w:hAnsi="Arial" w:cs="Arial"/>
        </w:rPr>
      </w:pPr>
    </w:p>
    <w:p w:rsidR="0037363F" w:rsidRPr="00537EAA" w:rsidRDefault="0037363F" w:rsidP="00537EAA">
      <w:pPr>
        <w:pStyle w:val="ListParagraph"/>
        <w:ind w:left="0"/>
        <w:rPr>
          <w:rFonts w:ascii="Arial" w:hAnsi="Arial" w:cs="Arial"/>
        </w:rPr>
      </w:pPr>
      <w:r w:rsidRPr="00537EAA">
        <w:rPr>
          <w:rFonts w:ascii="Arial" w:hAnsi="Arial" w:cs="Arial"/>
        </w:rPr>
        <w:t xml:space="preserve">We believe that broadband investment and deployment would also be boosted by temporarily removing prior approval requirements for poles and street cabinets in protected areas.  Increasing certainty will save communications providers time and money, and facilitate roll out of superfast broadband to the areas that need it most.    </w:t>
      </w:r>
    </w:p>
    <w:p w:rsidR="00CF52BE" w:rsidRDefault="00CF52BE" w:rsidP="00B6788D">
      <w:pPr>
        <w:pStyle w:val="ListParagraph"/>
        <w:ind w:left="0"/>
        <w:rPr>
          <w:rFonts w:ascii="Arial" w:hAnsi="Arial" w:cs="Arial"/>
        </w:rPr>
      </w:pPr>
      <w:bookmarkStart w:id="39" w:name="EvidenceBase"/>
      <w:bookmarkStart w:id="40" w:name="EvidenceHead"/>
      <w:bookmarkEnd w:id="39"/>
    </w:p>
    <w:p w:rsidR="00B6788D" w:rsidRPr="00ED387E" w:rsidRDefault="00A76849" w:rsidP="00B6788D">
      <w:pPr>
        <w:pStyle w:val="ListParagraph"/>
        <w:ind w:left="0"/>
        <w:rPr>
          <w:rFonts w:ascii="Arial" w:hAnsi="Arial" w:cs="Arial"/>
        </w:rPr>
      </w:pPr>
      <w:r>
        <w:rPr>
          <w:rFonts w:ascii="Arial" w:hAnsi="Arial" w:cs="Arial"/>
        </w:rPr>
        <w:t>The</w:t>
      </w:r>
      <w:r w:rsidR="00B6788D" w:rsidRPr="00ED387E">
        <w:rPr>
          <w:rFonts w:ascii="Arial" w:hAnsi="Arial" w:cs="Arial"/>
        </w:rPr>
        <w:t xml:space="preserve"> impact of broadband infrastructure upon GDP appears to be positively related to:</w:t>
      </w:r>
    </w:p>
    <w:p w:rsidR="00B6788D" w:rsidRPr="00ED387E" w:rsidRDefault="00B6788D" w:rsidP="00B6788D">
      <w:pPr>
        <w:pStyle w:val="ListParagraph"/>
        <w:numPr>
          <w:ilvl w:val="0"/>
          <w:numId w:val="23"/>
        </w:numPr>
        <w:rPr>
          <w:rFonts w:ascii="Arial" w:hAnsi="Arial" w:cs="Arial"/>
        </w:rPr>
      </w:pPr>
      <w:r w:rsidRPr="00ED387E">
        <w:rPr>
          <w:rFonts w:ascii="Arial" w:hAnsi="Arial" w:cs="Arial"/>
        </w:rPr>
        <w:t>The level of broadband penetration</w:t>
      </w:r>
      <w:r w:rsidRPr="00ED387E">
        <w:rPr>
          <w:rStyle w:val="FootnoteReference"/>
          <w:rFonts w:ascii="Arial" w:hAnsi="Arial" w:cs="Arial"/>
        </w:rPr>
        <w:footnoteReference w:id="1"/>
      </w:r>
      <w:r w:rsidRPr="00ED387E">
        <w:rPr>
          <w:rFonts w:ascii="Arial" w:hAnsi="Arial" w:cs="Arial"/>
        </w:rPr>
        <w:t xml:space="preserve"> </w:t>
      </w:r>
      <w:r w:rsidRPr="00ED387E">
        <w:rPr>
          <w:rStyle w:val="FootnoteReference"/>
          <w:rFonts w:ascii="Arial" w:hAnsi="Arial" w:cs="Arial"/>
        </w:rPr>
        <w:footnoteReference w:id="2"/>
      </w:r>
      <w:r w:rsidRPr="00ED387E">
        <w:rPr>
          <w:rFonts w:ascii="Arial" w:hAnsi="Arial" w:cs="Arial"/>
        </w:rPr>
        <w:t xml:space="preserve"> </w:t>
      </w:r>
      <w:r w:rsidRPr="00ED387E">
        <w:rPr>
          <w:rStyle w:val="FootnoteReference"/>
          <w:rFonts w:ascii="Arial" w:hAnsi="Arial" w:cs="Arial"/>
        </w:rPr>
        <w:footnoteReference w:id="3"/>
      </w:r>
      <w:r w:rsidRPr="00ED387E">
        <w:rPr>
          <w:rFonts w:ascii="Arial" w:hAnsi="Arial" w:cs="Arial"/>
        </w:rPr>
        <w:t>;</w:t>
      </w:r>
    </w:p>
    <w:p w:rsidR="00B6788D" w:rsidRPr="00ED387E" w:rsidRDefault="00B6788D" w:rsidP="00B6788D">
      <w:pPr>
        <w:pStyle w:val="ListParagraph"/>
        <w:numPr>
          <w:ilvl w:val="0"/>
          <w:numId w:val="23"/>
        </w:numPr>
        <w:rPr>
          <w:rFonts w:ascii="Arial" w:hAnsi="Arial" w:cs="Arial"/>
        </w:rPr>
      </w:pPr>
      <w:r w:rsidRPr="00ED387E">
        <w:rPr>
          <w:rFonts w:ascii="Arial" w:hAnsi="Arial" w:cs="Arial"/>
        </w:rPr>
        <w:lastRenderedPageBreak/>
        <w:t>The rate of change of broadband penetration</w:t>
      </w:r>
      <w:r w:rsidRPr="00ED387E">
        <w:rPr>
          <w:rStyle w:val="FootnoteReference"/>
          <w:rFonts w:ascii="Arial" w:hAnsi="Arial" w:cs="Arial"/>
        </w:rPr>
        <w:footnoteReference w:id="4"/>
      </w:r>
      <w:r w:rsidRPr="00ED387E">
        <w:rPr>
          <w:rFonts w:ascii="Arial" w:hAnsi="Arial" w:cs="Arial"/>
        </w:rPr>
        <w:t xml:space="preserve"> </w:t>
      </w:r>
      <w:r w:rsidRPr="00ED387E">
        <w:rPr>
          <w:rStyle w:val="FootnoteReference"/>
          <w:rFonts w:ascii="Arial" w:hAnsi="Arial" w:cs="Arial"/>
        </w:rPr>
        <w:footnoteReference w:id="5"/>
      </w:r>
      <w:r w:rsidRPr="00ED387E">
        <w:rPr>
          <w:rFonts w:ascii="Arial" w:hAnsi="Arial" w:cs="Arial"/>
        </w:rPr>
        <w:t xml:space="preserve"> and</w:t>
      </w:r>
    </w:p>
    <w:p w:rsidR="00B6788D" w:rsidRPr="00ED387E" w:rsidRDefault="00B6788D" w:rsidP="00B6788D">
      <w:pPr>
        <w:pStyle w:val="ListParagraph"/>
        <w:numPr>
          <w:ilvl w:val="0"/>
          <w:numId w:val="23"/>
        </w:numPr>
        <w:rPr>
          <w:rFonts w:ascii="Arial" w:hAnsi="Arial" w:cs="Arial"/>
        </w:rPr>
      </w:pPr>
      <w:r w:rsidRPr="00ED387E">
        <w:rPr>
          <w:rFonts w:ascii="Arial" w:hAnsi="Arial" w:cs="Arial"/>
        </w:rPr>
        <w:t>Speed of broadband data transmission</w:t>
      </w:r>
      <w:r w:rsidRPr="00ED387E">
        <w:rPr>
          <w:rStyle w:val="FootnoteReference"/>
          <w:rFonts w:ascii="Arial" w:hAnsi="Arial" w:cs="Arial"/>
        </w:rPr>
        <w:footnoteReference w:id="6"/>
      </w:r>
      <w:r w:rsidRPr="00ED387E">
        <w:rPr>
          <w:rFonts w:ascii="Arial" w:hAnsi="Arial" w:cs="Arial"/>
        </w:rPr>
        <w:t xml:space="preserve"> </w:t>
      </w:r>
      <w:r w:rsidRPr="00ED387E">
        <w:rPr>
          <w:rStyle w:val="FootnoteReference"/>
          <w:rFonts w:ascii="Arial" w:hAnsi="Arial" w:cs="Arial"/>
        </w:rPr>
        <w:footnoteReference w:id="7"/>
      </w:r>
      <w:r w:rsidRPr="00ED387E">
        <w:rPr>
          <w:rFonts w:ascii="Arial" w:hAnsi="Arial" w:cs="Arial"/>
        </w:rPr>
        <w:t xml:space="preserve"> </w:t>
      </w:r>
      <w:r w:rsidRPr="00ED387E">
        <w:rPr>
          <w:rStyle w:val="FootnoteReference"/>
          <w:rFonts w:ascii="Arial" w:hAnsi="Arial" w:cs="Arial"/>
        </w:rPr>
        <w:footnoteReference w:id="8"/>
      </w:r>
      <w:r w:rsidRPr="00ED387E">
        <w:rPr>
          <w:rFonts w:ascii="Arial" w:hAnsi="Arial" w:cs="Arial"/>
        </w:rPr>
        <w:t xml:space="preserve"> </w:t>
      </w:r>
      <w:r w:rsidRPr="00ED387E">
        <w:rPr>
          <w:rStyle w:val="FootnoteReference"/>
          <w:rFonts w:ascii="Arial" w:hAnsi="Arial" w:cs="Arial"/>
        </w:rPr>
        <w:footnoteReference w:id="9"/>
      </w:r>
      <w:r w:rsidRPr="00ED387E">
        <w:rPr>
          <w:rFonts w:ascii="Arial" w:hAnsi="Arial" w:cs="Arial"/>
        </w:rPr>
        <w:t>.</w:t>
      </w:r>
    </w:p>
    <w:p w:rsidR="00B6788D" w:rsidRPr="00ED387E" w:rsidRDefault="00B6788D" w:rsidP="00B6788D">
      <w:pPr>
        <w:pStyle w:val="ListParagraph"/>
        <w:ind w:left="0"/>
        <w:rPr>
          <w:rFonts w:ascii="Arial" w:hAnsi="Arial" w:cs="Arial"/>
        </w:rPr>
      </w:pPr>
      <w:r w:rsidRPr="00ED387E">
        <w:rPr>
          <w:rFonts w:ascii="Arial" w:hAnsi="Arial" w:cs="Arial"/>
        </w:rPr>
        <w:t>In addition, the impacts of broadband on GDP appear to be larger the higher the level of broadband penetration.</w:t>
      </w:r>
      <w:r w:rsidRPr="00ED387E">
        <w:rPr>
          <w:rStyle w:val="FootnoteReference"/>
          <w:rFonts w:ascii="Arial" w:hAnsi="Arial" w:cs="Arial"/>
        </w:rPr>
        <w:footnoteReference w:id="10"/>
      </w:r>
      <w:r w:rsidRPr="00ED387E">
        <w:rPr>
          <w:rFonts w:ascii="Arial" w:hAnsi="Arial" w:cs="Arial"/>
        </w:rPr>
        <w:t xml:space="preserve"> This is thought to be the result of pronounced network effects.</w:t>
      </w:r>
    </w:p>
    <w:p w:rsidR="00B6788D" w:rsidRPr="00ED387E" w:rsidRDefault="00B6788D" w:rsidP="00B6788D">
      <w:pPr>
        <w:pStyle w:val="ListParagraph"/>
        <w:rPr>
          <w:rFonts w:ascii="Arial" w:hAnsi="Arial" w:cs="Arial"/>
        </w:rPr>
      </w:pPr>
      <w:r w:rsidRPr="00ED387E">
        <w:rPr>
          <w:rFonts w:ascii="Arial" w:hAnsi="Arial" w:cs="Arial"/>
        </w:rPr>
        <w:t xml:space="preserve">    </w:t>
      </w:r>
    </w:p>
    <w:p w:rsidR="00B6788D" w:rsidRPr="00ED387E" w:rsidRDefault="0043383B" w:rsidP="00B6788D">
      <w:pPr>
        <w:pStyle w:val="ListParagraph"/>
        <w:ind w:left="0"/>
        <w:rPr>
          <w:rFonts w:ascii="Arial" w:hAnsi="Arial" w:cs="Arial"/>
        </w:rPr>
      </w:pPr>
      <w:r>
        <w:rPr>
          <w:rFonts w:ascii="Arial" w:hAnsi="Arial" w:cs="Arial"/>
        </w:rPr>
        <w:t>As at Q1 2012 b</w:t>
      </w:r>
      <w:r w:rsidR="00B6788D" w:rsidRPr="00ED387E">
        <w:rPr>
          <w:rFonts w:ascii="Arial" w:hAnsi="Arial" w:cs="Arial"/>
        </w:rPr>
        <w:t>roadband, either fixed or mobile</w:t>
      </w:r>
      <w:r>
        <w:rPr>
          <w:rFonts w:ascii="Arial" w:hAnsi="Arial" w:cs="Arial"/>
        </w:rPr>
        <w:t xml:space="preserve"> or both</w:t>
      </w:r>
      <w:r w:rsidR="00B6788D" w:rsidRPr="00ED387E">
        <w:rPr>
          <w:rFonts w:ascii="Arial" w:hAnsi="Arial" w:cs="Arial"/>
        </w:rPr>
        <w:t xml:space="preserve">, </w:t>
      </w:r>
      <w:r>
        <w:rPr>
          <w:rFonts w:ascii="Arial" w:hAnsi="Arial" w:cs="Arial"/>
        </w:rPr>
        <w:t>was</w:t>
      </w:r>
      <w:r w:rsidR="00B6788D" w:rsidRPr="00ED387E">
        <w:rPr>
          <w:rFonts w:ascii="Arial" w:hAnsi="Arial" w:cs="Arial"/>
        </w:rPr>
        <w:t xml:space="preserve"> available to</w:t>
      </w:r>
      <w:r>
        <w:rPr>
          <w:rFonts w:ascii="Arial" w:hAnsi="Arial" w:cs="Arial"/>
        </w:rPr>
        <w:t xml:space="preserve"> 76</w:t>
      </w:r>
      <w:r w:rsidR="00B6788D" w:rsidRPr="00ED387E">
        <w:rPr>
          <w:rFonts w:ascii="Arial" w:hAnsi="Arial" w:cs="Arial"/>
        </w:rPr>
        <w:t>% of UK</w:t>
      </w:r>
      <w:r>
        <w:rPr>
          <w:rFonts w:ascii="Arial" w:hAnsi="Arial" w:cs="Arial"/>
        </w:rPr>
        <w:t xml:space="preserve"> households and 60% of households had access to super-fast broadband</w:t>
      </w:r>
      <w:r w:rsidR="00B6788D" w:rsidRPr="00ED387E">
        <w:rPr>
          <w:rFonts w:ascii="Arial" w:hAnsi="Arial" w:cs="Arial"/>
        </w:rPr>
        <w:t xml:space="preserve">. </w:t>
      </w:r>
      <w:r>
        <w:rPr>
          <w:rFonts w:ascii="Arial" w:hAnsi="Arial" w:cs="Arial"/>
        </w:rPr>
        <w:t>At the same time t</w:t>
      </w:r>
      <w:r w:rsidR="00B6788D" w:rsidRPr="00ED387E">
        <w:rPr>
          <w:rFonts w:ascii="Arial" w:hAnsi="Arial" w:cs="Arial"/>
        </w:rPr>
        <w:t xml:space="preserve">here </w:t>
      </w:r>
      <w:r>
        <w:rPr>
          <w:rFonts w:ascii="Arial" w:hAnsi="Arial" w:cs="Arial"/>
        </w:rPr>
        <w:t>were</w:t>
      </w:r>
      <w:r w:rsidR="00B6788D" w:rsidRPr="00ED387E">
        <w:rPr>
          <w:rFonts w:ascii="Arial" w:hAnsi="Arial" w:cs="Arial"/>
        </w:rPr>
        <w:t xml:space="preserve"> currently 18.8 million fixed broadband subscriptions and a further 5.1 million mobile broadband subscriptions.</w:t>
      </w:r>
      <w:r w:rsidR="00B6788D" w:rsidRPr="00ED387E">
        <w:rPr>
          <w:rStyle w:val="FootnoteReference"/>
          <w:rFonts w:ascii="Arial" w:hAnsi="Arial" w:cs="Arial"/>
        </w:rPr>
        <w:footnoteReference w:id="11"/>
      </w:r>
      <w:r w:rsidR="00B6788D" w:rsidRPr="00ED387E">
        <w:rPr>
          <w:rFonts w:ascii="Arial" w:hAnsi="Arial" w:cs="Arial"/>
        </w:rPr>
        <w:t xml:space="preserve"> This suggests that in the UK the major impact of broadband provision on GDP is likely to come less from enhancing the level of penetration than by increasing the speed of existing networks.</w:t>
      </w:r>
      <w:r>
        <w:rPr>
          <w:rFonts w:ascii="Arial" w:hAnsi="Arial" w:cs="Arial"/>
        </w:rPr>
        <w:t xml:space="preserve"> </w:t>
      </w:r>
    </w:p>
    <w:p w:rsidR="00B6788D" w:rsidRPr="00ED387E" w:rsidRDefault="00B6788D" w:rsidP="00B6788D">
      <w:pPr>
        <w:pStyle w:val="ListParagraph"/>
        <w:ind w:left="0"/>
        <w:rPr>
          <w:rFonts w:ascii="Arial" w:hAnsi="Arial" w:cs="Arial"/>
        </w:rPr>
      </w:pPr>
    </w:p>
    <w:p w:rsidR="00B6788D" w:rsidRPr="00ED387E" w:rsidRDefault="00B6788D" w:rsidP="00B6788D">
      <w:pPr>
        <w:pStyle w:val="ListParagraph"/>
        <w:ind w:left="0"/>
        <w:rPr>
          <w:rFonts w:ascii="Arial" w:hAnsi="Arial" w:cs="Arial"/>
        </w:rPr>
      </w:pPr>
      <w:r w:rsidRPr="00ED387E">
        <w:rPr>
          <w:rFonts w:ascii="Arial" w:hAnsi="Arial" w:cs="Arial"/>
        </w:rPr>
        <w:t>Broadband</w:t>
      </w:r>
      <w:r w:rsidR="00A76849">
        <w:rPr>
          <w:rFonts w:ascii="Arial" w:hAnsi="Arial" w:cs="Arial"/>
        </w:rPr>
        <w:t xml:space="preserve"> investment</w:t>
      </w:r>
      <w:r w:rsidRPr="00ED387E">
        <w:rPr>
          <w:rFonts w:ascii="Arial" w:hAnsi="Arial" w:cs="Arial"/>
        </w:rPr>
        <w:t xml:space="preserve"> has three broad impacts on GDP.</w:t>
      </w:r>
      <w:r w:rsidRPr="00ED387E">
        <w:rPr>
          <w:rStyle w:val="FootnoteReference"/>
          <w:rFonts w:ascii="Arial" w:hAnsi="Arial" w:cs="Arial"/>
        </w:rPr>
        <w:footnoteReference w:id="12"/>
      </w:r>
      <w:r w:rsidRPr="00ED387E">
        <w:rPr>
          <w:rFonts w:ascii="Arial" w:hAnsi="Arial" w:cs="Arial"/>
        </w:rPr>
        <w:t xml:space="preserve"> First, there are direct impacts largely resulting from the installation of the broadband network. For the most part, these are confined to network installation and maintenance. Second there are induced effects which come in two types. On the one hand are the savings earned by saving time doing what was already going to be done and, on the other, are benefits of doing more of the same things with the same resources. Third, there are benefits of producing new things and performing new transformations.</w:t>
      </w:r>
      <w:r w:rsidRPr="00ED387E">
        <w:rPr>
          <w:rStyle w:val="FootnoteReference"/>
          <w:rFonts w:ascii="Arial" w:hAnsi="Arial" w:cs="Arial"/>
        </w:rPr>
        <w:footnoteReference w:id="13"/>
      </w:r>
      <w:r w:rsidRPr="00ED387E">
        <w:rPr>
          <w:rFonts w:ascii="Arial" w:hAnsi="Arial" w:cs="Arial"/>
        </w:rPr>
        <w:t xml:space="preserve"> This implies that the longer the broadband investment is in place and the more thoroughgoing the changes it engenders the greater the impact on GDP. It has been shown that that the level of labour productivity has been shown to be positively related to the level of employee connectivity.</w:t>
      </w:r>
      <w:r w:rsidRPr="00ED387E">
        <w:rPr>
          <w:rStyle w:val="FootnoteReference"/>
          <w:rFonts w:ascii="Arial" w:hAnsi="Arial" w:cs="Arial"/>
        </w:rPr>
        <w:footnoteReference w:id="14"/>
      </w:r>
      <w:r w:rsidRPr="00ED387E">
        <w:rPr>
          <w:rFonts w:ascii="Arial" w:hAnsi="Arial" w:cs="Arial"/>
        </w:rPr>
        <w:t xml:space="preserve"> In the long term high speed broadband is likely to facilitate making and maintaining</w:t>
      </w:r>
      <w:r w:rsidRPr="00ED387E">
        <w:rPr>
          <w:rStyle w:val="FootnoteReference"/>
          <w:rFonts w:ascii="Arial" w:hAnsi="Arial" w:cs="Arial"/>
        </w:rPr>
        <w:footnoteReference w:id="15"/>
      </w:r>
      <w:r w:rsidRPr="00ED387E">
        <w:rPr>
          <w:rFonts w:ascii="Arial" w:hAnsi="Arial" w:cs="Arial"/>
        </w:rPr>
        <w:t xml:space="preserve"> of, and wide participation in, new forms of market and market system.</w:t>
      </w:r>
      <w:r w:rsidRPr="00ED387E">
        <w:rPr>
          <w:rStyle w:val="FootnoteReference"/>
          <w:rFonts w:ascii="Arial" w:hAnsi="Arial" w:cs="Arial"/>
        </w:rPr>
        <w:footnoteReference w:id="16"/>
      </w:r>
    </w:p>
    <w:p w:rsidR="00B6788D" w:rsidRPr="00ED387E" w:rsidRDefault="00B6788D" w:rsidP="00B6788D">
      <w:pPr>
        <w:pStyle w:val="ListParagraph"/>
        <w:rPr>
          <w:rFonts w:ascii="Arial" w:hAnsi="Arial" w:cs="Arial"/>
        </w:rPr>
      </w:pPr>
      <w:r w:rsidRPr="00ED387E">
        <w:rPr>
          <w:rFonts w:ascii="Arial" w:hAnsi="Arial" w:cs="Arial"/>
        </w:rPr>
        <w:t xml:space="preserve"> </w:t>
      </w:r>
    </w:p>
    <w:p w:rsidR="00B6788D" w:rsidRPr="00ED387E" w:rsidRDefault="00B6788D" w:rsidP="00B6788D">
      <w:pPr>
        <w:pStyle w:val="ListParagraph"/>
        <w:ind w:left="0"/>
        <w:rPr>
          <w:rFonts w:ascii="Arial" w:hAnsi="Arial" w:cs="Arial"/>
        </w:rPr>
      </w:pPr>
      <w:r w:rsidRPr="00ED387E">
        <w:rPr>
          <w:rFonts w:ascii="Arial" w:hAnsi="Arial" w:cs="Arial"/>
        </w:rPr>
        <w:t>Research in the USA has found that rural communities benefit more from connection to broadband than urban ones.</w:t>
      </w:r>
      <w:r w:rsidRPr="00ED387E">
        <w:rPr>
          <w:rStyle w:val="FootnoteReference"/>
          <w:rFonts w:ascii="Arial" w:hAnsi="Arial" w:cs="Arial"/>
        </w:rPr>
        <w:footnoteReference w:id="17"/>
      </w:r>
      <w:r w:rsidRPr="00ED387E">
        <w:rPr>
          <w:rFonts w:ascii="Arial" w:hAnsi="Arial" w:cs="Arial"/>
        </w:rPr>
        <w:t xml:space="preserve"> There, willingness to pay for a fast broadband connection is significantly higher among rural users than among the urban population.</w:t>
      </w:r>
      <w:r w:rsidRPr="00ED387E">
        <w:rPr>
          <w:rStyle w:val="FootnoteReference"/>
          <w:rFonts w:ascii="Arial" w:hAnsi="Arial" w:cs="Arial"/>
        </w:rPr>
        <w:footnoteReference w:id="18"/>
      </w:r>
      <w:r w:rsidRPr="00ED387E">
        <w:rPr>
          <w:rFonts w:ascii="Arial" w:hAnsi="Arial" w:cs="Arial"/>
        </w:rPr>
        <w:t xml:space="preserve"> In addition, higher broadband speeds are more effective </w:t>
      </w:r>
      <w:r w:rsidRPr="00ED387E">
        <w:rPr>
          <w:rFonts w:ascii="Arial" w:hAnsi="Arial" w:cs="Arial"/>
        </w:rPr>
        <w:lastRenderedPageBreak/>
        <w:t>in attracting and retaining firms in rural districts than in urban settings.</w:t>
      </w:r>
      <w:r w:rsidRPr="00ED387E">
        <w:rPr>
          <w:rStyle w:val="FootnoteReference"/>
          <w:rFonts w:ascii="Arial" w:hAnsi="Arial" w:cs="Arial"/>
        </w:rPr>
        <w:footnoteReference w:id="19"/>
      </w:r>
      <w:r w:rsidRPr="00ED387E">
        <w:rPr>
          <w:rFonts w:ascii="Arial" w:hAnsi="Arial" w:cs="Arial"/>
        </w:rPr>
        <w:t xml:space="preserve"> The estimates of the effects vary but suggest that a 10% point increase in broadband penetration results in a one-off addition to GDP of between 0.5% and 1%. Mobile penetration appears to have a somewhat lower effect on GDP than fixed broadband. In addition, doubling of broadband speed adds a further 0.3% p.a. to the GDP growth rate.  </w:t>
      </w:r>
    </w:p>
    <w:p w:rsidR="00B6788D" w:rsidRPr="00ED387E" w:rsidRDefault="00B6788D" w:rsidP="00B6788D">
      <w:pPr>
        <w:pStyle w:val="ListParagraph"/>
        <w:rPr>
          <w:rFonts w:ascii="Arial" w:hAnsi="Arial" w:cs="Arial"/>
        </w:rPr>
      </w:pPr>
    </w:p>
    <w:p w:rsidR="00B6788D" w:rsidRPr="00ED387E" w:rsidRDefault="00B6788D" w:rsidP="00B6788D">
      <w:pPr>
        <w:pStyle w:val="ListParagraph"/>
        <w:ind w:left="0"/>
        <w:rPr>
          <w:rFonts w:ascii="Arial" w:hAnsi="Arial" w:cs="Arial"/>
        </w:rPr>
      </w:pPr>
      <w:r w:rsidRPr="00ED387E">
        <w:rPr>
          <w:rFonts w:ascii="Arial" w:hAnsi="Arial" w:cs="Arial"/>
        </w:rPr>
        <w:t>The existing estimates of the effect of broadband on GDP are largely based on growth accounting methodology. As such they suffer from an inability to control for a sufficient number of influences which could impact on GDP, the obscurity of many policy impacts and the presence of time diffusion effects which are hard to model.</w:t>
      </w:r>
      <w:r w:rsidRPr="00ED387E">
        <w:rPr>
          <w:rStyle w:val="FootnoteReference"/>
          <w:rFonts w:ascii="Arial" w:hAnsi="Arial" w:cs="Arial"/>
        </w:rPr>
        <w:footnoteReference w:id="20"/>
      </w:r>
      <w:r w:rsidRPr="00ED387E">
        <w:rPr>
          <w:rFonts w:ascii="Arial" w:hAnsi="Arial" w:cs="Arial"/>
        </w:rPr>
        <w:t xml:space="preserve"> As a consequence, the above estimates may, in time, prove to have been grossly inaccurate.</w:t>
      </w:r>
    </w:p>
    <w:p w:rsidR="00B6788D" w:rsidRPr="00ED387E" w:rsidRDefault="00B6788D" w:rsidP="00B6788D">
      <w:pPr>
        <w:pStyle w:val="ListParagraph"/>
        <w:rPr>
          <w:rFonts w:ascii="Arial" w:hAnsi="Arial" w:cs="Arial"/>
        </w:rPr>
      </w:pPr>
      <w:r w:rsidRPr="00ED387E">
        <w:rPr>
          <w:rFonts w:ascii="Arial" w:hAnsi="Arial" w:cs="Arial"/>
        </w:rPr>
        <w:t xml:space="preserve"> </w:t>
      </w:r>
    </w:p>
    <w:p w:rsidR="00B6788D" w:rsidRPr="00ED387E" w:rsidRDefault="00B6788D" w:rsidP="00B6788D">
      <w:pPr>
        <w:pStyle w:val="ListParagraph"/>
        <w:ind w:left="0"/>
        <w:rPr>
          <w:rFonts w:ascii="Arial" w:hAnsi="Arial" w:cs="Arial"/>
        </w:rPr>
      </w:pPr>
      <w:r w:rsidRPr="00ED387E">
        <w:rPr>
          <w:rFonts w:ascii="Arial" w:hAnsi="Arial" w:cs="Arial"/>
        </w:rPr>
        <w:t>Many of these shortcomings can be circumvented by modelling broadband installation in a computable general equilibrium (CGE) setting while holding all other factors constant. Allen Consulting conducted such an exercise and found that, in Australia, at 10% point rise in connectivity is predicted to lead to a one-off 0.44% rise in GDP (The Allen Consulting Group, 2010: 33).</w:t>
      </w:r>
    </w:p>
    <w:p w:rsidR="00B6788D" w:rsidRPr="00ED387E" w:rsidRDefault="00B6788D" w:rsidP="00B6788D">
      <w:pPr>
        <w:pStyle w:val="ListParagraph"/>
        <w:rPr>
          <w:rFonts w:ascii="Arial" w:hAnsi="Arial" w:cs="Arial"/>
        </w:rPr>
      </w:pPr>
    </w:p>
    <w:p w:rsidR="00B6788D" w:rsidRPr="00ED387E" w:rsidRDefault="00B6788D" w:rsidP="00B6788D">
      <w:pPr>
        <w:pStyle w:val="ListParagraph"/>
        <w:ind w:left="0"/>
        <w:rPr>
          <w:rFonts w:ascii="Arial" w:hAnsi="Arial" w:cs="Arial"/>
        </w:rPr>
      </w:pPr>
      <w:r w:rsidRPr="00ED387E">
        <w:rPr>
          <w:rFonts w:ascii="Arial" w:hAnsi="Arial" w:cs="Arial"/>
        </w:rPr>
        <w:t>No estimates are available for the UK. However, it seems plausible to expect that:</w:t>
      </w:r>
    </w:p>
    <w:p w:rsidR="00B6788D" w:rsidRPr="00ED387E" w:rsidRDefault="00B6788D" w:rsidP="00B6788D">
      <w:pPr>
        <w:pStyle w:val="ListParagraph"/>
        <w:numPr>
          <w:ilvl w:val="0"/>
          <w:numId w:val="24"/>
        </w:numPr>
        <w:rPr>
          <w:rFonts w:ascii="Arial" w:hAnsi="Arial" w:cs="Arial"/>
        </w:rPr>
      </w:pPr>
      <w:r w:rsidRPr="00ED387E">
        <w:rPr>
          <w:rFonts w:ascii="Arial" w:hAnsi="Arial" w:cs="Arial"/>
        </w:rPr>
        <w:t>Increased broadband speed will have a significant and positive effect on GDP at current levels of penetration;</w:t>
      </w:r>
    </w:p>
    <w:p w:rsidR="00B6788D" w:rsidRPr="00ED387E" w:rsidRDefault="00B6788D" w:rsidP="00B6788D">
      <w:pPr>
        <w:pStyle w:val="ListParagraph"/>
        <w:numPr>
          <w:ilvl w:val="0"/>
          <w:numId w:val="24"/>
        </w:numPr>
        <w:rPr>
          <w:rFonts w:ascii="Arial" w:hAnsi="Arial" w:cs="Arial"/>
        </w:rPr>
      </w:pPr>
      <w:r w:rsidRPr="00ED387E">
        <w:rPr>
          <w:rFonts w:ascii="Arial" w:hAnsi="Arial" w:cs="Arial"/>
        </w:rPr>
        <w:t>There is unlikely to be much impetus to GDP from increasing broadband penetration;</w:t>
      </w:r>
    </w:p>
    <w:p w:rsidR="00B6788D" w:rsidRPr="00ED387E" w:rsidRDefault="00B6788D" w:rsidP="00B6788D">
      <w:pPr>
        <w:pStyle w:val="ListParagraph"/>
        <w:numPr>
          <w:ilvl w:val="0"/>
          <w:numId w:val="24"/>
        </w:numPr>
        <w:rPr>
          <w:rFonts w:ascii="Arial" w:hAnsi="Arial" w:cs="Arial"/>
        </w:rPr>
      </w:pPr>
      <w:r w:rsidRPr="00ED387E">
        <w:rPr>
          <w:rFonts w:ascii="Arial" w:hAnsi="Arial" w:cs="Arial"/>
        </w:rPr>
        <w:t>At the present state of technology, increases in penetration are now subject to rapidly increasing costs; and</w:t>
      </w:r>
    </w:p>
    <w:p w:rsidR="00B6788D" w:rsidRPr="00ED387E" w:rsidRDefault="00B6788D" w:rsidP="00B6788D">
      <w:pPr>
        <w:pStyle w:val="ListParagraph"/>
        <w:numPr>
          <w:ilvl w:val="0"/>
          <w:numId w:val="24"/>
        </w:numPr>
        <w:rPr>
          <w:rFonts w:ascii="Arial" w:hAnsi="Arial" w:cs="Arial"/>
        </w:rPr>
      </w:pPr>
      <w:r w:rsidRPr="00ED387E">
        <w:rPr>
          <w:rFonts w:ascii="Arial" w:hAnsi="Arial" w:cs="Arial"/>
        </w:rPr>
        <w:t>Rural communities can be expected to benefit disproportionately greatly from the extension of broadband coverage.</w:t>
      </w:r>
    </w:p>
    <w:p w:rsidR="00B6788D" w:rsidRPr="00ED387E" w:rsidRDefault="00B6788D" w:rsidP="00B6788D">
      <w:pPr>
        <w:pStyle w:val="ListParagraph"/>
        <w:ind w:left="1440"/>
        <w:rPr>
          <w:rFonts w:ascii="Arial" w:hAnsi="Arial" w:cs="Arial"/>
        </w:rPr>
      </w:pPr>
    </w:p>
    <w:p w:rsidR="00B6788D" w:rsidRPr="00ED387E" w:rsidRDefault="00B6788D" w:rsidP="00B6788D">
      <w:pPr>
        <w:pStyle w:val="ListParagraph"/>
        <w:ind w:left="0"/>
        <w:rPr>
          <w:rFonts w:ascii="Arial" w:hAnsi="Arial" w:cs="Arial"/>
        </w:rPr>
      </w:pPr>
      <w:r w:rsidRPr="00ED387E">
        <w:rPr>
          <w:rFonts w:ascii="Arial" w:hAnsi="Arial" w:cs="Arial"/>
        </w:rPr>
        <w:t xml:space="preserve">These considerations underpin the UK Government’s policy approach is to ensure that the UK has the fastest broadband network in Europe by 2015. The steps </w:t>
      </w:r>
      <w:r w:rsidR="007E4048">
        <w:rPr>
          <w:rFonts w:ascii="Arial" w:hAnsi="Arial" w:cs="Arial"/>
        </w:rPr>
        <w:t>being</w:t>
      </w:r>
      <w:r w:rsidRPr="00ED387E">
        <w:rPr>
          <w:rFonts w:ascii="Arial" w:hAnsi="Arial" w:cs="Arial"/>
        </w:rPr>
        <w:t xml:space="preserve"> taken to achieve this can be summarised as follows:</w:t>
      </w:r>
    </w:p>
    <w:p w:rsidR="00B6788D" w:rsidRDefault="00B6788D" w:rsidP="00B6788D">
      <w:pPr>
        <w:pStyle w:val="ListParagraph"/>
        <w:numPr>
          <w:ilvl w:val="0"/>
          <w:numId w:val="25"/>
        </w:numPr>
        <w:rPr>
          <w:rFonts w:ascii="Arial" w:hAnsi="Arial" w:cs="Arial"/>
        </w:rPr>
      </w:pPr>
      <w:r w:rsidRPr="00ED387E">
        <w:rPr>
          <w:rFonts w:ascii="Arial" w:hAnsi="Arial" w:cs="Arial"/>
        </w:rPr>
        <w:t>Provide an encouraging climate for private investment in telecommunications.  Private investment in UK telecommunications is thought to be</w:t>
      </w:r>
      <w:r w:rsidR="00A76849">
        <w:rPr>
          <w:rFonts w:ascii="Arial" w:hAnsi="Arial" w:cs="Arial"/>
        </w:rPr>
        <w:t xml:space="preserve"> currently</w:t>
      </w:r>
      <w:r w:rsidRPr="00ED387E">
        <w:rPr>
          <w:rFonts w:ascii="Arial" w:hAnsi="Arial" w:cs="Arial"/>
        </w:rPr>
        <w:t xml:space="preserve"> in excess of £5 billion p.a.</w:t>
      </w:r>
    </w:p>
    <w:p w:rsidR="00CF52BE" w:rsidRPr="00ED387E" w:rsidRDefault="00CF52BE" w:rsidP="00B6788D">
      <w:pPr>
        <w:pStyle w:val="ListParagraph"/>
        <w:numPr>
          <w:ilvl w:val="0"/>
          <w:numId w:val="25"/>
        </w:numPr>
        <w:rPr>
          <w:rFonts w:ascii="Arial" w:hAnsi="Arial" w:cs="Arial"/>
        </w:rPr>
      </w:pPr>
      <w:r>
        <w:rPr>
          <w:rFonts w:ascii="Arial" w:hAnsi="Arial" w:cs="Arial"/>
        </w:rPr>
        <w:t>Removal of barriers to investment and create certainty for investment</w:t>
      </w:r>
    </w:p>
    <w:p w:rsidR="00B6788D" w:rsidRPr="00ED387E" w:rsidRDefault="00B6788D" w:rsidP="00B6788D">
      <w:pPr>
        <w:pStyle w:val="ListParagraph"/>
        <w:numPr>
          <w:ilvl w:val="0"/>
          <w:numId w:val="25"/>
        </w:numPr>
        <w:rPr>
          <w:rFonts w:ascii="Arial" w:hAnsi="Arial" w:cs="Arial"/>
        </w:rPr>
      </w:pPr>
      <w:r w:rsidRPr="00ED387E">
        <w:rPr>
          <w:rFonts w:ascii="Arial" w:hAnsi="Arial" w:cs="Arial"/>
        </w:rPr>
        <w:t>Ensure that broadband coverage is extended to places that private companies find it unprofitable to serve. This will be achieved by the following programmes:</w:t>
      </w:r>
    </w:p>
    <w:p w:rsidR="00B6788D" w:rsidRPr="00ED387E" w:rsidRDefault="00B6788D" w:rsidP="00B6788D">
      <w:pPr>
        <w:pStyle w:val="ListParagraph"/>
        <w:numPr>
          <w:ilvl w:val="2"/>
          <w:numId w:val="22"/>
        </w:numPr>
        <w:rPr>
          <w:rFonts w:ascii="Arial" w:hAnsi="Arial" w:cs="Arial"/>
        </w:rPr>
      </w:pPr>
      <w:r w:rsidRPr="00ED387E">
        <w:rPr>
          <w:rFonts w:ascii="Arial" w:hAnsi="Arial" w:cs="Arial"/>
        </w:rPr>
        <w:t>Rural Broadband, £530 million until 2015;</w:t>
      </w:r>
    </w:p>
    <w:p w:rsidR="00B6788D" w:rsidRPr="00ED387E" w:rsidRDefault="00B6788D" w:rsidP="00B6788D">
      <w:pPr>
        <w:pStyle w:val="ListParagraph"/>
        <w:numPr>
          <w:ilvl w:val="2"/>
          <w:numId w:val="22"/>
        </w:numPr>
        <w:rPr>
          <w:rFonts w:ascii="Arial" w:hAnsi="Arial" w:cs="Arial"/>
        </w:rPr>
      </w:pPr>
      <w:r w:rsidRPr="00ED387E">
        <w:rPr>
          <w:rFonts w:ascii="Arial" w:hAnsi="Arial" w:cs="Arial"/>
        </w:rPr>
        <w:t>Super-connected cities projects, together £150 million until 2015;</w:t>
      </w:r>
    </w:p>
    <w:p w:rsidR="00B6788D" w:rsidRPr="00ED387E" w:rsidRDefault="00B6788D" w:rsidP="00B6788D">
      <w:pPr>
        <w:pStyle w:val="ListParagraph"/>
        <w:numPr>
          <w:ilvl w:val="2"/>
          <w:numId w:val="22"/>
        </w:numPr>
        <w:rPr>
          <w:rFonts w:ascii="Arial" w:hAnsi="Arial" w:cs="Arial"/>
        </w:rPr>
      </w:pPr>
      <w:r w:rsidRPr="00ED387E">
        <w:rPr>
          <w:rFonts w:ascii="Arial" w:hAnsi="Arial" w:cs="Arial"/>
        </w:rPr>
        <w:t>Mobile Infrastructure Programme, £150 million until 2015; and</w:t>
      </w:r>
    </w:p>
    <w:p w:rsidR="00B6788D" w:rsidRDefault="00B6788D" w:rsidP="00B6788D">
      <w:pPr>
        <w:pStyle w:val="ListParagraph"/>
        <w:numPr>
          <w:ilvl w:val="2"/>
          <w:numId w:val="22"/>
        </w:numPr>
        <w:rPr>
          <w:rFonts w:ascii="Arial" w:hAnsi="Arial" w:cs="Arial"/>
        </w:rPr>
      </w:pPr>
      <w:r w:rsidRPr="00ED387E">
        <w:rPr>
          <w:rFonts w:ascii="Arial" w:hAnsi="Arial" w:cs="Arial"/>
        </w:rPr>
        <w:t xml:space="preserve">Rural Community </w:t>
      </w:r>
      <w:r w:rsidR="007E4048">
        <w:rPr>
          <w:rFonts w:ascii="Arial" w:hAnsi="Arial" w:cs="Arial"/>
        </w:rPr>
        <w:t xml:space="preserve">Broadband Fund, £20 million.  </w:t>
      </w:r>
    </w:p>
    <w:p w:rsidR="007E4048" w:rsidRDefault="007E4048" w:rsidP="007E4048">
      <w:pPr>
        <w:pStyle w:val="ListParagraph"/>
        <w:ind w:left="0"/>
        <w:rPr>
          <w:b/>
        </w:rPr>
      </w:pPr>
      <w:r>
        <w:rPr>
          <w:rFonts w:ascii="Arial" w:hAnsi="Arial" w:cs="Arial"/>
        </w:rPr>
        <w:t>This measure contributes towards a) above by reducing or eliminating current planning restrictions.</w:t>
      </w:r>
      <w:bookmarkEnd w:id="40"/>
      <w:r>
        <w:rPr>
          <w:b/>
        </w:rPr>
        <w:t xml:space="preserve"> </w:t>
      </w:r>
    </w:p>
    <w:p w:rsidR="007E4048" w:rsidRDefault="007E4048" w:rsidP="007E4048">
      <w:pPr>
        <w:pStyle w:val="ListParagraph"/>
        <w:ind w:left="0"/>
        <w:rPr>
          <w:b/>
        </w:rPr>
      </w:pPr>
    </w:p>
    <w:p w:rsidR="007E4048" w:rsidRDefault="007E4048" w:rsidP="007E4048">
      <w:pPr>
        <w:pStyle w:val="ListParagraph"/>
        <w:ind w:left="0"/>
        <w:rPr>
          <w:rFonts w:ascii="Arial" w:hAnsi="Arial" w:cs="Arial"/>
          <w:b/>
        </w:rPr>
      </w:pPr>
      <w:r w:rsidRPr="00733C40">
        <w:rPr>
          <w:rFonts w:ascii="Arial" w:hAnsi="Arial" w:cs="Arial"/>
          <w:b/>
        </w:rPr>
        <w:t>P</w:t>
      </w:r>
      <w:r w:rsidR="006573CD" w:rsidRPr="00733C40">
        <w:rPr>
          <w:rFonts w:ascii="Arial" w:hAnsi="Arial" w:cs="Arial"/>
          <w:b/>
        </w:rPr>
        <w:t>OLICY OBJECTIVE</w:t>
      </w:r>
    </w:p>
    <w:p w:rsidR="007E4048" w:rsidRPr="00733C40" w:rsidRDefault="00B6788D" w:rsidP="007E4048">
      <w:pPr>
        <w:pStyle w:val="ListParagraph"/>
        <w:ind w:left="0"/>
        <w:rPr>
          <w:rFonts w:ascii="Arial" w:hAnsi="Arial" w:cs="Arial"/>
        </w:rPr>
      </w:pPr>
      <w:r w:rsidRPr="00733C40">
        <w:rPr>
          <w:rFonts w:ascii="Arial" w:hAnsi="Arial" w:cs="Arial"/>
        </w:rPr>
        <w:t xml:space="preserve">By introducing this measure the Government is proposing to </w:t>
      </w:r>
      <w:r w:rsidR="00CF52BE">
        <w:rPr>
          <w:rFonts w:ascii="Arial" w:hAnsi="Arial" w:cs="Arial"/>
        </w:rPr>
        <w:t>remove some of the barriers</w:t>
      </w:r>
      <w:r w:rsidRPr="00733C40">
        <w:rPr>
          <w:rFonts w:ascii="Arial" w:hAnsi="Arial" w:cs="Arial"/>
        </w:rPr>
        <w:t xml:space="preserve"> for firms to invest in broadband infrastructure</w:t>
      </w:r>
      <w:r w:rsidR="00F06092" w:rsidRPr="00733C40">
        <w:rPr>
          <w:rFonts w:ascii="Arial" w:hAnsi="Arial" w:cs="Arial"/>
        </w:rPr>
        <w:t xml:space="preserve"> by removing unnecessary regulations</w:t>
      </w:r>
      <w:r w:rsidR="00CF52BE">
        <w:rPr>
          <w:rFonts w:ascii="Arial" w:hAnsi="Arial" w:cs="Arial"/>
        </w:rPr>
        <w:t>. Existing regulations can</w:t>
      </w:r>
      <w:r w:rsidRPr="00733C40">
        <w:rPr>
          <w:rFonts w:ascii="Arial" w:hAnsi="Arial" w:cs="Arial"/>
        </w:rPr>
        <w:t xml:space="preserve"> </w:t>
      </w:r>
      <w:r w:rsidR="00CF52BE">
        <w:rPr>
          <w:rFonts w:ascii="Arial" w:hAnsi="Arial" w:cs="Arial"/>
        </w:rPr>
        <w:t>act as</w:t>
      </w:r>
      <w:r w:rsidRPr="00733C40">
        <w:rPr>
          <w:rFonts w:ascii="Arial" w:hAnsi="Arial" w:cs="Arial"/>
        </w:rPr>
        <w:t xml:space="preserve"> </w:t>
      </w:r>
      <w:r w:rsidR="00CF52BE">
        <w:rPr>
          <w:rFonts w:ascii="Arial" w:hAnsi="Arial" w:cs="Arial"/>
        </w:rPr>
        <w:t>barriers</w:t>
      </w:r>
      <w:r w:rsidRPr="00733C40">
        <w:rPr>
          <w:rFonts w:ascii="Arial" w:hAnsi="Arial" w:cs="Arial"/>
        </w:rPr>
        <w:t xml:space="preserve"> in the way of </w:t>
      </w:r>
      <w:r w:rsidR="00ED387E" w:rsidRPr="00733C40">
        <w:rPr>
          <w:rFonts w:ascii="Arial" w:hAnsi="Arial" w:cs="Arial"/>
        </w:rPr>
        <w:t xml:space="preserve">such investment. The </w:t>
      </w:r>
      <w:r w:rsidRPr="00733C40">
        <w:rPr>
          <w:rFonts w:ascii="Arial" w:hAnsi="Arial" w:cs="Arial"/>
        </w:rPr>
        <w:t xml:space="preserve">siting </w:t>
      </w:r>
      <w:r w:rsidR="00F06092" w:rsidRPr="00733C40">
        <w:rPr>
          <w:rFonts w:ascii="Arial" w:hAnsi="Arial" w:cs="Arial"/>
        </w:rPr>
        <w:t xml:space="preserve">of </w:t>
      </w:r>
      <w:r w:rsidRPr="00733C40">
        <w:rPr>
          <w:rFonts w:ascii="Arial" w:hAnsi="Arial" w:cs="Arial"/>
        </w:rPr>
        <w:t>new cabinets</w:t>
      </w:r>
      <w:r w:rsidR="008947F3" w:rsidRPr="00733C40">
        <w:rPr>
          <w:rFonts w:ascii="Arial" w:hAnsi="Arial" w:cs="Arial"/>
        </w:rPr>
        <w:t xml:space="preserve"> required for high speed broadband </w:t>
      </w:r>
      <w:r w:rsidR="00ED387E" w:rsidRPr="00733C40">
        <w:rPr>
          <w:rFonts w:ascii="Arial" w:hAnsi="Arial" w:cs="Arial"/>
        </w:rPr>
        <w:t>has been delayed</w:t>
      </w:r>
      <w:r w:rsidR="00CF52BE">
        <w:rPr>
          <w:rFonts w:ascii="Arial" w:hAnsi="Arial" w:cs="Arial"/>
        </w:rPr>
        <w:t xml:space="preserve"> in conservation areas</w:t>
      </w:r>
      <w:r w:rsidR="00ED387E" w:rsidRPr="00733C40">
        <w:rPr>
          <w:rFonts w:ascii="Arial" w:hAnsi="Arial" w:cs="Arial"/>
        </w:rPr>
        <w:t xml:space="preserve"> </w:t>
      </w:r>
      <w:r w:rsidR="008947F3" w:rsidRPr="00733C40">
        <w:rPr>
          <w:rFonts w:ascii="Arial" w:hAnsi="Arial" w:cs="Arial"/>
        </w:rPr>
        <w:t>and</w:t>
      </w:r>
      <w:r w:rsidR="00ED387E" w:rsidRPr="00733C40">
        <w:rPr>
          <w:rFonts w:ascii="Arial" w:hAnsi="Arial" w:cs="Arial"/>
        </w:rPr>
        <w:t xml:space="preserve"> the use of overhead lines is not permitted. By removing these obstacles the Government aims to</w:t>
      </w:r>
      <w:r w:rsidR="00F06092" w:rsidRPr="00733C40">
        <w:rPr>
          <w:rFonts w:ascii="Arial" w:hAnsi="Arial" w:cs="Arial"/>
        </w:rPr>
        <w:t xml:space="preserve"> achieve the following objectives</w:t>
      </w:r>
      <w:r w:rsidR="00ED387E" w:rsidRPr="00733C40">
        <w:rPr>
          <w:rFonts w:ascii="Arial" w:hAnsi="Arial" w:cs="Arial"/>
        </w:rPr>
        <w:t>:</w:t>
      </w:r>
    </w:p>
    <w:p w:rsidR="007E4048" w:rsidRPr="00733C40" w:rsidRDefault="00ED387E" w:rsidP="007E4048">
      <w:pPr>
        <w:pStyle w:val="ListParagraph"/>
        <w:numPr>
          <w:ilvl w:val="0"/>
          <w:numId w:val="27"/>
        </w:numPr>
        <w:rPr>
          <w:rFonts w:ascii="Arial" w:hAnsi="Arial" w:cs="Arial"/>
        </w:rPr>
      </w:pPr>
      <w:r w:rsidRPr="00733C40">
        <w:rPr>
          <w:rFonts w:ascii="Arial" w:hAnsi="Arial" w:cs="Arial"/>
        </w:rPr>
        <w:lastRenderedPageBreak/>
        <w:t>Increase the pace of deployment of super-fast</w:t>
      </w:r>
      <w:r w:rsidR="00F06092" w:rsidRPr="00733C40">
        <w:rPr>
          <w:rFonts w:ascii="Arial" w:hAnsi="Arial" w:cs="Arial"/>
        </w:rPr>
        <w:t xml:space="preserve"> fixed line</w:t>
      </w:r>
      <w:r w:rsidRPr="00733C40">
        <w:rPr>
          <w:rFonts w:ascii="Arial" w:hAnsi="Arial" w:cs="Arial"/>
        </w:rPr>
        <w:t xml:space="preserve"> broadband in urban and suburban setting</w:t>
      </w:r>
      <w:r w:rsidR="00F06092" w:rsidRPr="00733C40">
        <w:rPr>
          <w:rFonts w:ascii="Arial" w:hAnsi="Arial" w:cs="Arial"/>
        </w:rPr>
        <w:t>s</w:t>
      </w:r>
      <w:r w:rsidRPr="00733C40">
        <w:rPr>
          <w:rFonts w:ascii="Arial" w:hAnsi="Arial" w:cs="Arial"/>
        </w:rPr>
        <w:t>; and</w:t>
      </w:r>
    </w:p>
    <w:p w:rsidR="007E4048" w:rsidRDefault="00ED387E" w:rsidP="007E4048">
      <w:pPr>
        <w:pStyle w:val="ListParagraph"/>
        <w:numPr>
          <w:ilvl w:val="0"/>
          <w:numId w:val="27"/>
        </w:numPr>
        <w:rPr>
          <w:rFonts w:ascii="Arial" w:hAnsi="Arial" w:cs="Arial"/>
        </w:rPr>
      </w:pPr>
      <w:r w:rsidRPr="00733C40">
        <w:rPr>
          <w:rFonts w:ascii="Arial" w:hAnsi="Arial" w:cs="Arial"/>
        </w:rPr>
        <w:t>Allow more rural</w:t>
      </w:r>
      <w:r w:rsidR="00C65AAB" w:rsidRPr="00733C40">
        <w:rPr>
          <w:rFonts w:ascii="Arial" w:hAnsi="Arial" w:cs="Arial"/>
        </w:rPr>
        <w:t xml:space="preserve"> and semi-rural</w:t>
      </w:r>
      <w:r w:rsidRPr="00733C40">
        <w:rPr>
          <w:rFonts w:ascii="Arial" w:hAnsi="Arial" w:cs="Arial"/>
        </w:rPr>
        <w:t xml:space="preserve"> communities to enjoy the benefits of super-fast</w:t>
      </w:r>
      <w:r w:rsidR="00F06092" w:rsidRPr="00733C40">
        <w:rPr>
          <w:rFonts w:ascii="Arial" w:hAnsi="Arial" w:cs="Arial"/>
        </w:rPr>
        <w:t xml:space="preserve"> fixed line</w:t>
      </w:r>
      <w:r w:rsidRPr="00733C40">
        <w:rPr>
          <w:rFonts w:ascii="Arial" w:hAnsi="Arial" w:cs="Arial"/>
        </w:rPr>
        <w:t xml:space="preserve"> broadband than would otherwise be the case.</w:t>
      </w:r>
    </w:p>
    <w:p w:rsidR="00203502" w:rsidRDefault="00203502" w:rsidP="00203502">
      <w:pPr>
        <w:pStyle w:val="ListParagraph"/>
        <w:rPr>
          <w:rFonts w:ascii="Arial" w:hAnsi="Arial" w:cs="Arial"/>
        </w:rPr>
      </w:pPr>
    </w:p>
    <w:p w:rsidR="00203502" w:rsidRPr="00E75696" w:rsidRDefault="00203502" w:rsidP="00E75696">
      <w:pPr>
        <w:pStyle w:val="ListParagraph"/>
        <w:spacing w:after="0"/>
        <w:ind w:left="0"/>
        <w:rPr>
          <w:rFonts w:ascii="Arial" w:hAnsi="Arial" w:cs="Arial"/>
        </w:rPr>
      </w:pPr>
      <w:r w:rsidRPr="00E75696">
        <w:rPr>
          <w:rFonts w:ascii="Arial" w:hAnsi="Arial" w:cs="Arial"/>
        </w:rPr>
        <w:t>It is the consultation process that we are seeking to change on a temporary basis</w:t>
      </w:r>
      <w:r w:rsidR="002F080D">
        <w:rPr>
          <w:rFonts w:ascii="Arial" w:hAnsi="Arial" w:cs="Arial"/>
        </w:rPr>
        <w:t xml:space="preserve"> (i.e. for 5 years)</w:t>
      </w:r>
      <w:r w:rsidRPr="00E75696">
        <w:rPr>
          <w:rFonts w:ascii="Arial" w:hAnsi="Arial" w:cs="Arial"/>
        </w:rPr>
        <w:t xml:space="preserve"> rather than the need for consultation, or the range of </w:t>
      </w:r>
      <w:proofErr w:type="spellStart"/>
      <w:r w:rsidRPr="00E75696">
        <w:rPr>
          <w:rFonts w:ascii="Arial" w:hAnsi="Arial" w:cs="Arial"/>
        </w:rPr>
        <w:t>consultees</w:t>
      </w:r>
      <w:proofErr w:type="spellEnd"/>
      <w:r w:rsidRPr="00E75696">
        <w:rPr>
          <w:rFonts w:ascii="Arial" w:hAnsi="Arial" w:cs="Arial"/>
        </w:rPr>
        <w:t>, in order to speed up the deployment of broadband cabinets and reduce the scope</w:t>
      </w:r>
      <w:r w:rsidR="00CF52BE">
        <w:rPr>
          <w:rFonts w:ascii="Arial" w:hAnsi="Arial" w:cs="Arial"/>
        </w:rPr>
        <w:t xml:space="preserve"> for</w:t>
      </w:r>
      <w:r w:rsidRPr="00E75696">
        <w:rPr>
          <w:rFonts w:ascii="Arial" w:hAnsi="Arial" w:cs="Arial"/>
        </w:rPr>
        <w:t xml:space="preserve"> delay.  Current arrangements have led in some cases to delays in deployment of up to two years.</w:t>
      </w:r>
      <w:r w:rsidRPr="00E75696" w:rsidDel="00DB1103">
        <w:rPr>
          <w:rFonts w:ascii="Arial" w:hAnsi="Arial" w:cs="Arial"/>
        </w:rPr>
        <w:t xml:space="preserve"> </w:t>
      </w:r>
      <w:r w:rsidRPr="00E75696">
        <w:rPr>
          <w:rFonts w:ascii="Arial" w:hAnsi="Arial" w:cs="Arial"/>
        </w:rPr>
        <w:t>In some cases</w:t>
      </w:r>
      <w:r w:rsidR="002F080D">
        <w:rPr>
          <w:rFonts w:ascii="Arial" w:hAnsi="Arial" w:cs="Arial"/>
        </w:rPr>
        <w:t>,</w:t>
      </w:r>
      <w:r w:rsidRPr="00E75696">
        <w:rPr>
          <w:rFonts w:ascii="Arial" w:hAnsi="Arial" w:cs="Arial"/>
        </w:rPr>
        <w:t xml:space="preserve"> communications providers have had to abandon projects</w:t>
      </w:r>
      <w:r w:rsidR="002F080D">
        <w:rPr>
          <w:rFonts w:ascii="Arial" w:hAnsi="Arial" w:cs="Arial"/>
        </w:rPr>
        <w:t>,</w:t>
      </w:r>
      <w:r w:rsidRPr="00E75696">
        <w:rPr>
          <w:rFonts w:ascii="Arial" w:hAnsi="Arial" w:cs="Arial"/>
        </w:rPr>
        <w:t xml:space="preserve"> leaving many households without the connectivity that they need.  We want to ensure that this does not happen now, just as upgraded broadband infrastructure is being rolled out  to the more rural or remote areas where connectivity is needed the most.  According to Ofcom’s updated UK Infrastructure Report which was published in November 201</w:t>
      </w:r>
      <w:r w:rsidR="00CF52BE">
        <w:rPr>
          <w:rFonts w:ascii="Arial" w:hAnsi="Arial" w:cs="Arial"/>
        </w:rPr>
        <w:t>2</w:t>
      </w:r>
      <w:r w:rsidRPr="00E75696">
        <w:rPr>
          <w:rFonts w:ascii="Arial" w:hAnsi="Arial" w:cs="Arial"/>
        </w:rPr>
        <w:t xml:space="preserve"> there is currently a significant disparity in the availability of superfast broadband services between rural and urban areas.  Whereas across the UK, 84% of urban premises have superfast broadband, the figure drops to 65% in semi-urban areas and just 19% in rural areas. For England the figures are 85% coverage in urban areas and 17% coverage in rural areas.</w:t>
      </w:r>
    </w:p>
    <w:p w:rsidR="00203502" w:rsidRPr="00E75696" w:rsidRDefault="00203502" w:rsidP="00E75696">
      <w:pPr>
        <w:spacing w:line="276" w:lineRule="auto"/>
        <w:ind w:left="360"/>
        <w:rPr>
          <w:rFonts w:cs="Arial"/>
          <w:sz w:val="22"/>
          <w:szCs w:val="22"/>
        </w:rPr>
      </w:pPr>
      <w:r w:rsidRPr="00E75696">
        <w:rPr>
          <w:rFonts w:cs="Arial"/>
          <w:sz w:val="22"/>
          <w:szCs w:val="22"/>
        </w:rPr>
        <w:t xml:space="preserve">  </w:t>
      </w:r>
    </w:p>
    <w:p w:rsidR="00203502" w:rsidRPr="00E75696" w:rsidRDefault="00203502" w:rsidP="00E75696">
      <w:pPr>
        <w:pStyle w:val="ListParagraph"/>
        <w:spacing w:after="0"/>
        <w:ind w:left="0"/>
        <w:rPr>
          <w:rFonts w:ascii="Arial" w:hAnsi="Arial" w:cs="Arial"/>
        </w:rPr>
      </w:pPr>
      <w:r w:rsidRPr="00E75696">
        <w:rPr>
          <w:rFonts w:ascii="Arial" w:hAnsi="Arial" w:cs="Arial"/>
        </w:rPr>
        <w:t xml:space="preserve">While the proposed relaxations are intended to support both commercial and publicly funded broadband deployments we consider that they will be of particular benefit to the latter.  The Government’s approach to funding rural broadband means that local authorities </w:t>
      </w:r>
      <w:r w:rsidR="00CF52BE">
        <w:rPr>
          <w:rFonts w:ascii="Arial" w:hAnsi="Arial" w:cs="Arial"/>
        </w:rPr>
        <w:t>have a choice</w:t>
      </w:r>
      <w:r w:rsidRPr="00E75696">
        <w:rPr>
          <w:rFonts w:ascii="Arial" w:hAnsi="Arial" w:cs="Arial"/>
        </w:rPr>
        <w:t xml:space="preserve"> in how networks will be built so that community needs drive the process.  We hope that local authorities will appreciate the additional tool that these relaxations afford to help drive superfast broadband deployment more quickly and extensively. </w:t>
      </w:r>
    </w:p>
    <w:p w:rsidR="00203502" w:rsidRPr="00E75696" w:rsidRDefault="00203502" w:rsidP="00E75696">
      <w:pPr>
        <w:pStyle w:val="ListParagraph"/>
        <w:rPr>
          <w:rFonts w:ascii="Arial" w:hAnsi="Arial" w:cs="Arial"/>
        </w:rPr>
      </w:pPr>
    </w:p>
    <w:p w:rsidR="00203502" w:rsidRPr="00E75696" w:rsidRDefault="00203502" w:rsidP="00E75696">
      <w:pPr>
        <w:pStyle w:val="ListParagraph"/>
        <w:spacing w:before="120" w:after="0"/>
        <w:ind w:left="0"/>
        <w:rPr>
          <w:rFonts w:ascii="Arial" w:hAnsi="Arial" w:cs="Arial"/>
        </w:rPr>
      </w:pPr>
      <w:r w:rsidRPr="00E75696">
        <w:rPr>
          <w:rFonts w:ascii="Arial" w:hAnsi="Arial" w:cs="Arial"/>
        </w:rPr>
        <w:t xml:space="preserve"> We hope that local authorities will encourage their planning authorities to work closely with communications providers to agree cabinet and pole </w:t>
      </w:r>
      <w:proofErr w:type="spellStart"/>
      <w:r w:rsidRPr="00E75696">
        <w:rPr>
          <w:rFonts w:ascii="Arial" w:hAnsi="Arial" w:cs="Arial"/>
        </w:rPr>
        <w:t>sitings</w:t>
      </w:r>
      <w:proofErr w:type="spellEnd"/>
      <w:r w:rsidRPr="00E75696">
        <w:rPr>
          <w:rFonts w:ascii="Arial" w:hAnsi="Arial" w:cs="Arial"/>
        </w:rPr>
        <w:t xml:space="preserve"> quickly.  To assist in this process, the Government has asked communication providers, local planning authorities and other partners to work together to broker a code of practice to be agreed between communications providers and local authorities and other stakeholders on best siting practice as a means of ensuring that broadband infrastructure is sited as sensitively and safely as possible.  </w:t>
      </w:r>
    </w:p>
    <w:p w:rsidR="00203502" w:rsidRPr="00E75696" w:rsidRDefault="00203502" w:rsidP="00203502">
      <w:pPr>
        <w:pStyle w:val="ListParagraph"/>
        <w:rPr>
          <w:rFonts w:ascii="Arial" w:hAnsi="Arial" w:cs="Arial"/>
        </w:rPr>
      </w:pPr>
    </w:p>
    <w:p w:rsidR="007E4048" w:rsidRPr="00733C40" w:rsidRDefault="006573CD" w:rsidP="007E4048">
      <w:pPr>
        <w:pStyle w:val="ListParagraph"/>
        <w:ind w:left="0"/>
        <w:rPr>
          <w:rFonts w:ascii="Arial" w:hAnsi="Arial" w:cs="Arial"/>
          <w:b/>
        </w:rPr>
      </w:pPr>
      <w:r w:rsidRPr="00733C40">
        <w:rPr>
          <w:rFonts w:ascii="Arial" w:hAnsi="Arial" w:cs="Arial"/>
          <w:b/>
        </w:rPr>
        <w:t>OPTIONS CONSIDERED</w:t>
      </w:r>
    </w:p>
    <w:p w:rsidR="007E4048" w:rsidRPr="00733C40" w:rsidRDefault="00A76849" w:rsidP="007E4048">
      <w:pPr>
        <w:pStyle w:val="ListParagraph"/>
        <w:ind w:left="0"/>
        <w:rPr>
          <w:rFonts w:ascii="Arial" w:hAnsi="Arial" w:cs="Arial"/>
        </w:rPr>
      </w:pPr>
      <w:r w:rsidRPr="00733C40">
        <w:rPr>
          <w:rFonts w:ascii="Arial" w:hAnsi="Arial" w:cs="Arial"/>
        </w:rPr>
        <w:t>Two options have been considered.</w:t>
      </w:r>
    </w:p>
    <w:p w:rsidR="007E4048" w:rsidRPr="00733C40" w:rsidRDefault="007E4048" w:rsidP="007E4048">
      <w:pPr>
        <w:pStyle w:val="ListParagraph"/>
        <w:ind w:left="0"/>
        <w:rPr>
          <w:rFonts w:ascii="Arial" w:hAnsi="Arial" w:cs="Arial"/>
          <w:b/>
        </w:rPr>
      </w:pPr>
    </w:p>
    <w:p w:rsidR="007E4048" w:rsidRPr="00733C40" w:rsidRDefault="00203502" w:rsidP="007E4048">
      <w:pPr>
        <w:pStyle w:val="ListParagraph"/>
        <w:ind w:left="0"/>
        <w:rPr>
          <w:rFonts w:ascii="Arial" w:hAnsi="Arial" w:cs="Arial"/>
          <w:b/>
        </w:rPr>
      </w:pPr>
      <w:r>
        <w:rPr>
          <w:rFonts w:ascii="Arial" w:hAnsi="Arial" w:cs="Arial"/>
          <w:b/>
        </w:rPr>
        <w:t xml:space="preserve">Option 1: </w:t>
      </w:r>
      <w:r w:rsidR="00A76849" w:rsidRPr="00733C40">
        <w:rPr>
          <w:rFonts w:ascii="Arial" w:hAnsi="Arial" w:cs="Arial"/>
          <w:b/>
        </w:rPr>
        <w:t>Do Nothing</w:t>
      </w:r>
    </w:p>
    <w:p w:rsidR="007E4048" w:rsidRPr="00733C40" w:rsidRDefault="007E4048" w:rsidP="007E4048">
      <w:pPr>
        <w:pStyle w:val="ListParagraph"/>
        <w:ind w:left="0"/>
        <w:rPr>
          <w:rFonts w:ascii="Arial" w:hAnsi="Arial" w:cs="Arial"/>
          <w:b/>
        </w:rPr>
      </w:pPr>
    </w:p>
    <w:p w:rsidR="007E4048" w:rsidRPr="00733C40" w:rsidRDefault="006573CD" w:rsidP="007E4048">
      <w:pPr>
        <w:pStyle w:val="ListParagraph"/>
        <w:ind w:left="0"/>
        <w:rPr>
          <w:rFonts w:ascii="Arial" w:hAnsi="Arial" w:cs="Arial"/>
        </w:rPr>
      </w:pPr>
      <w:r w:rsidRPr="00733C40">
        <w:rPr>
          <w:rFonts w:ascii="Arial" w:hAnsi="Arial" w:cs="Arial"/>
        </w:rPr>
        <w:t>The existing planning processes currently contained in the Town and Country Planning Act and the ban on new overhead deployment set out in the Communications Code Regulations will remain in place. As a consequence, the following procedures will</w:t>
      </w:r>
      <w:r w:rsidR="002F080D">
        <w:rPr>
          <w:rFonts w:ascii="Arial" w:hAnsi="Arial" w:cs="Arial"/>
        </w:rPr>
        <w:t xml:space="preserve"> continue to</w:t>
      </w:r>
      <w:r w:rsidRPr="00733C40">
        <w:rPr>
          <w:rFonts w:ascii="Arial" w:hAnsi="Arial" w:cs="Arial"/>
        </w:rPr>
        <w:t xml:space="preserve"> apply:</w:t>
      </w:r>
    </w:p>
    <w:p w:rsidR="00203502" w:rsidRDefault="00203502" w:rsidP="00203502">
      <w:pPr>
        <w:pStyle w:val="ListParagraph"/>
        <w:spacing w:before="120" w:after="0" w:line="360" w:lineRule="auto"/>
        <w:ind w:left="0"/>
        <w:rPr>
          <w:rFonts w:cs="Arial"/>
          <w:b/>
          <w:sz w:val="24"/>
        </w:rPr>
      </w:pPr>
    </w:p>
    <w:p w:rsidR="00197EE1" w:rsidRPr="0048223F" w:rsidRDefault="00203502" w:rsidP="00203502">
      <w:pPr>
        <w:pStyle w:val="ListParagraph"/>
        <w:spacing w:before="120" w:after="0" w:line="360" w:lineRule="auto"/>
        <w:ind w:left="0"/>
        <w:rPr>
          <w:rFonts w:cs="Arial"/>
          <w:b/>
          <w:sz w:val="24"/>
        </w:rPr>
      </w:pPr>
      <w:r>
        <w:rPr>
          <w:rFonts w:cs="Arial"/>
          <w:b/>
          <w:sz w:val="24"/>
        </w:rPr>
        <w:t xml:space="preserve">1a) </w:t>
      </w:r>
      <w:r w:rsidR="00197EE1">
        <w:rPr>
          <w:rFonts w:cs="Arial"/>
          <w:b/>
          <w:sz w:val="24"/>
        </w:rPr>
        <w:t>General conditions</w:t>
      </w:r>
    </w:p>
    <w:p w:rsidR="00197EE1" w:rsidRPr="00203502" w:rsidRDefault="00197EE1" w:rsidP="00E75696">
      <w:pPr>
        <w:pStyle w:val="ListParagraph"/>
        <w:spacing w:before="120" w:after="0"/>
        <w:ind w:left="792"/>
        <w:rPr>
          <w:rFonts w:ascii="Arial" w:hAnsi="Arial" w:cs="Arial"/>
        </w:rPr>
      </w:pPr>
      <w:r w:rsidRPr="00203502">
        <w:rPr>
          <w:rFonts w:ascii="Arial" w:hAnsi="Arial" w:cs="Arial"/>
        </w:rPr>
        <w:t>There are a number of statutory requirements in the Electronic Communications Code (Conditions and Restrictions) Regulations 2003 aimed at ensuring the amount of electronic communications apparatus, and its impact on the visual amenity, is kept to a minimum, and these provisions will remain unchanged. The relevant provisions are the General Conditions under Regulations 3(1)(b), 3(3)(a), and 3(4):-</w:t>
      </w:r>
    </w:p>
    <w:p w:rsidR="00203502" w:rsidRDefault="00203502" w:rsidP="00E75696">
      <w:pPr>
        <w:spacing w:line="276" w:lineRule="auto"/>
        <w:ind w:left="720"/>
        <w:rPr>
          <w:rFonts w:cs="Arial"/>
        </w:rPr>
      </w:pPr>
    </w:p>
    <w:p w:rsidR="00197EE1" w:rsidRPr="0048223F" w:rsidRDefault="00197EE1" w:rsidP="00E75696">
      <w:pPr>
        <w:spacing w:line="276" w:lineRule="auto"/>
        <w:ind w:left="720"/>
        <w:rPr>
          <w:rFonts w:cs="Arial"/>
        </w:rPr>
      </w:pPr>
      <w:r>
        <w:rPr>
          <w:rFonts w:cs="Arial"/>
        </w:rPr>
        <w:t>Regulation 3(1)(b) requires communications providers to consult -</w:t>
      </w:r>
      <w:r w:rsidRPr="0048223F">
        <w:rPr>
          <w:rFonts w:cs="Arial"/>
        </w:rPr>
        <w:t xml:space="preserve">   </w:t>
      </w:r>
    </w:p>
    <w:p w:rsidR="00197EE1" w:rsidRDefault="00197EE1" w:rsidP="00E75696">
      <w:pPr>
        <w:spacing w:line="276" w:lineRule="auto"/>
        <w:ind w:left="360"/>
        <w:rPr>
          <w:rFonts w:cs="Arial"/>
          <w:lang w:val="en"/>
        </w:rPr>
      </w:pPr>
      <w:r>
        <w:rPr>
          <w:rFonts w:cs="Arial"/>
        </w:rPr>
        <w:tab/>
      </w:r>
      <w:r>
        <w:rPr>
          <w:rFonts w:cs="Arial"/>
        </w:rPr>
        <w:tab/>
        <w:t>“</w:t>
      </w:r>
      <w:r w:rsidRPr="00FD7F0B">
        <w:rPr>
          <w:rFonts w:cs="Arial"/>
          <w:lang w:val="en"/>
        </w:rPr>
        <w:t xml:space="preserve">planning authorities in relation to the installation of electronic communications </w:t>
      </w:r>
    </w:p>
    <w:p w:rsidR="00197EE1" w:rsidRDefault="00197EE1" w:rsidP="00E75696">
      <w:pPr>
        <w:spacing w:line="276" w:lineRule="auto"/>
        <w:ind w:left="360"/>
        <w:rPr>
          <w:rFonts w:cs="Arial"/>
        </w:rPr>
      </w:pPr>
      <w:r>
        <w:rPr>
          <w:rFonts w:cs="Arial"/>
          <w:lang w:val="en"/>
        </w:rPr>
        <w:lastRenderedPageBreak/>
        <w:t xml:space="preserve">                 </w:t>
      </w:r>
      <w:r w:rsidRPr="00FD7F0B">
        <w:rPr>
          <w:rFonts w:cs="Arial"/>
          <w:lang w:val="en"/>
        </w:rPr>
        <w:t>apparatus, including installation in a local nature reserve;</w:t>
      </w:r>
      <w:r>
        <w:rPr>
          <w:rFonts w:cs="Arial"/>
          <w:lang w:val="en"/>
        </w:rPr>
        <w:t>”</w:t>
      </w:r>
    </w:p>
    <w:p w:rsidR="00197EE1" w:rsidRDefault="00197EE1" w:rsidP="00E75696">
      <w:pPr>
        <w:spacing w:line="276" w:lineRule="auto"/>
        <w:ind w:left="360"/>
        <w:rPr>
          <w:rFonts w:cs="Arial"/>
        </w:rPr>
      </w:pPr>
    </w:p>
    <w:p w:rsidR="00197EE1" w:rsidRPr="00FD7F0B" w:rsidRDefault="00197EE1" w:rsidP="00E75696">
      <w:pPr>
        <w:spacing w:after="200" w:line="276" w:lineRule="auto"/>
        <w:ind w:left="720"/>
        <w:rPr>
          <w:rFonts w:cs="Arial"/>
          <w:lang w:val="en"/>
        </w:rPr>
      </w:pPr>
      <w:r w:rsidRPr="00FD7F0B">
        <w:rPr>
          <w:rFonts w:cs="Arial"/>
          <w:lang w:val="en"/>
        </w:rPr>
        <w:t xml:space="preserve">Regulation 3(3)(a) under which a </w:t>
      </w:r>
      <w:r>
        <w:rPr>
          <w:rFonts w:cs="Arial"/>
          <w:lang w:val="en"/>
        </w:rPr>
        <w:t>communications provider</w:t>
      </w:r>
      <w:r w:rsidRPr="00FD7F0B">
        <w:rPr>
          <w:rFonts w:cs="Arial"/>
          <w:lang w:val="en"/>
        </w:rPr>
        <w:t xml:space="preserve"> when installing electronic communications apparatus shall, so far as reasonably practicable, minimise— </w:t>
      </w:r>
    </w:p>
    <w:p w:rsidR="00197EE1" w:rsidRDefault="00197EE1" w:rsidP="00E75696">
      <w:pPr>
        <w:shd w:val="clear" w:color="auto" w:fill="FFFFFF"/>
        <w:spacing w:after="120" w:line="276" w:lineRule="auto"/>
        <w:ind w:left="1440"/>
        <w:rPr>
          <w:rFonts w:cs="Arial"/>
          <w:lang w:val="en" w:eastAsia="en-GB"/>
        </w:rPr>
      </w:pPr>
      <w:r w:rsidRPr="0048223F">
        <w:rPr>
          <w:rFonts w:cs="Arial"/>
          <w:lang w:val="en" w:eastAsia="en-GB"/>
        </w:rPr>
        <w:t>“the impact on the visual amenity of properties, in particular buildings on the statutory list of buildings”;</w:t>
      </w:r>
    </w:p>
    <w:p w:rsidR="00197EE1" w:rsidRPr="00FD7F0B" w:rsidRDefault="00197EE1" w:rsidP="00E75696">
      <w:pPr>
        <w:shd w:val="clear" w:color="auto" w:fill="FFFFFF"/>
        <w:spacing w:after="120" w:line="276" w:lineRule="auto"/>
        <w:ind w:left="1440"/>
        <w:rPr>
          <w:rFonts w:cs="Arial"/>
          <w:lang w:val="en" w:eastAsia="en-GB"/>
        </w:rPr>
      </w:pPr>
    </w:p>
    <w:p w:rsidR="00197EE1" w:rsidRPr="00FD7F0B" w:rsidRDefault="00197EE1" w:rsidP="00E75696">
      <w:pPr>
        <w:spacing w:after="200" w:line="276" w:lineRule="auto"/>
        <w:ind w:left="720"/>
        <w:rPr>
          <w:rFonts w:cs="Arial"/>
          <w:lang w:val="en"/>
        </w:rPr>
      </w:pPr>
      <w:r w:rsidRPr="00FD7F0B">
        <w:rPr>
          <w:rFonts w:cs="Arial"/>
          <w:lang w:val="en"/>
        </w:rPr>
        <w:t xml:space="preserve">Under Regulation 3(4) a </w:t>
      </w:r>
      <w:r>
        <w:rPr>
          <w:rFonts w:cs="Arial"/>
          <w:lang w:val="en"/>
        </w:rPr>
        <w:t>communications provider</w:t>
      </w:r>
      <w:r w:rsidRPr="00FD7F0B">
        <w:rPr>
          <w:rFonts w:cs="Arial"/>
          <w:lang w:val="en"/>
        </w:rPr>
        <w:t>:-</w:t>
      </w:r>
    </w:p>
    <w:p w:rsidR="00197EE1" w:rsidRDefault="00197EE1" w:rsidP="00E75696">
      <w:pPr>
        <w:spacing w:after="200" w:line="276" w:lineRule="auto"/>
        <w:ind w:left="720"/>
        <w:rPr>
          <w:rFonts w:cs="Arial"/>
          <w:lang w:val="en"/>
        </w:rPr>
      </w:pPr>
      <w:r w:rsidRPr="00FD7F0B">
        <w:rPr>
          <w:rFonts w:cs="Arial"/>
          <w:lang w:val="en"/>
        </w:rPr>
        <w:t>“ where practicable, shall share the use of electronic communications apparatus.”</w:t>
      </w:r>
    </w:p>
    <w:p w:rsidR="00197EE1" w:rsidRPr="003F75FE" w:rsidRDefault="00203502" w:rsidP="00E75696">
      <w:pPr>
        <w:pStyle w:val="ListParagraph"/>
        <w:spacing w:before="120" w:after="0"/>
        <w:ind w:left="0"/>
        <w:rPr>
          <w:rFonts w:cs="Arial"/>
          <w:b/>
          <w:sz w:val="24"/>
        </w:rPr>
      </w:pPr>
      <w:r>
        <w:rPr>
          <w:rFonts w:cs="Arial"/>
          <w:b/>
          <w:sz w:val="24"/>
        </w:rPr>
        <w:t xml:space="preserve">1b) </w:t>
      </w:r>
      <w:r w:rsidR="00197EE1">
        <w:rPr>
          <w:rFonts w:cs="Arial"/>
          <w:b/>
          <w:sz w:val="24"/>
        </w:rPr>
        <w:t>Overhead lines</w:t>
      </w:r>
    </w:p>
    <w:p w:rsidR="00197EE1" w:rsidRPr="00203502" w:rsidRDefault="00197EE1" w:rsidP="00E75696">
      <w:pPr>
        <w:pStyle w:val="ListParagraph"/>
        <w:spacing w:before="120" w:after="0"/>
        <w:ind w:left="794"/>
        <w:rPr>
          <w:rFonts w:ascii="Arial" w:hAnsi="Arial" w:cs="Arial"/>
        </w:rPr>
      </w:pPr>
      <w:r w:rsidRPr="00203502">
        <w:rPr>
          <w:rFonts w:ascii="Arial" w:hAnsi="Arial" w:cs="Arial"/>
        </w:rPr>
        <w:t>Currently, the Electronic Communications Code (Conditions and Restrictions) Regulations 2003, state that (in addition to a number of other minor exceptions) all new telecoms lines have to be buried underground, except where lines already exist, or if there is no viable alternative.  This is the only restriction that stops communications providers from deploying this type of overhead infrastructure, which is already allowed under planning Permitted Development Rights, as telegraph poles are generally less than 15 metres high.</w:t>
      </w:r>
    </w:p>
    <w:p w:rsidR="00203502" w:rsidRPr="003F75FE" w:rsidRDefault="00203502" w:rsidP="00E75696">
      <w:pPr>
        <w:pStyle w:val="ListParagraph"/>
        <w:spacing w:before="120" w:after="0"/>
        <w:ind w:left="0"/>
        <w:rPr>
          <w:rFonts w:cs="Arial"/>
          <w:b/>
          <w:sz w:val="24"/>
        </w:rPr>
      </w:pPr>
      <w:r>
        <w:rPr>
          <w:rFonts w:cs="Arial"/>
          <w:b/>
          <w:sz w:val="24"/>
        </w:rPr>
        <w:t>1c) Cabinets</w:t>
      </w:r>
    </w:p>
    <w:p w:rsidR="00203502" w:rsidRPr="00203502" w:rsidRDefault="00203502" w:rsidP="00E75696">
      <w:pPr>
        <w:pStyle w:val="ListParagraph"/>
        <w:spacing w:before="120" w:after="0"/>
        <w:ind w:left="794"/>
        <w:rPr>
          <w:rFonts w:ascii="Arial" w:hAnsi="Arial" w:cs="Arial"/>
        </w:rPr>
      </w:pPr>
      <w:r w:rsidRPr="00203502">
        <w:rPr>
          <w:rFonts w:ascii="Arial" w:hAnsi="Arial" w:cs="Arial"/>
        </w:rPr>
        <w:t xml:space="preserve">Currently for broadband cabinets in non-protected areas, communication providers are required to give one month’s statutory notice of siting to planning authorities and make changes if they are reasonable and proportionate.  Under Part 24 of the General Permitted Development Order 1995 (as amended) local planning authorities are required to consider siting and design for cabinets in protected areas. Communications providers are required to give 56 days’ notice to planning authorities, who can place conditions on both siting and appearance.  Deployment cannot proceed if the planning authority objects.   </w:t>
      </w:r>
    </w:p>
    <w:p w:rsidR="007E4048" w:rsidRPr="00733C40" w:rsidRDefault="007E4048" w:rsidP="00E75696">
      <w:pPr>
        <w:pStyle w:val="ListParagraph"/>
        <w:ind w:left="0"/>
        <w:rPr>
          <w:rFonts w:ascii="Arial" w:hAnsi="Arial" w:cs="Arial"/>
        </w:rPr>
      </w:pPr>
    </w:p>
    <w:p w:rsidR="007E4048" w:rsidRPr="00733C40" w:rsidRDefault="00197EE1" w:rsidP="00E75696">
      <w:pPr>
        <w:pStyle w:val="ListParagraph"/>
        <w:ind w:left="0"/>
        <w:rPr>
          <w:rFonts w:ascii="Arial" w:hAnsi="Arial" w:cs="Arial"/>
          <w:b/>
        </w:rPr>
      </w:pPr>
      <w:r>
        <w:rPr>
          <w:rFonts w:ascii="Arial" w:hAnsi="Arial" w:cs="Arial"/>
          <w:b/>
        </w:rPr>
        <w:t xml:space="preserve">Option 2: </w:t>
      </w:r>
      <w:r w:rsidR="006573CD" w:rsidRPr="00733C40">
        <w:rPr>
          <w:rFonts w:ascii="Arial" w:hAnsi="Arial" w:cs="Arial"/>
          <w:b/>
        </w:rPr>
        <w:t>Remove Restrictions (Preferred Option)</w:t>
      </w:r>
    </w:p>
    <w:p w:rsidR="00E75696" w:rsidRPr="00E75696" w:rsidRDefault="00E75696" w:rsidP="00E75696">
      <w:pPr>
        <w:spacing w:line="276" w:lineRule="auto"/>
        <w:rPr>
          <w:rFonts w:cs="Arial"/>
          <w:sz w:val="22"/>
          <w:szCs w:val="22"/>
        </w:rPr>
      </w:pPr>
      <w:r w:rsidRPr="00E75696">
        <w:rPr>
          <w:rFonts w:cs="Arial"/>
          <w:sz w:val="22"/>
          <w:szCs w:val="22"/>
        </w:rPr>
        <w:t>We are proposing to amend the Electronic Communications Code (Conditions and Restrictions) Regulations 2003 in order to allow the widespread deployment of broadband street cabinets and new overhead lines</w:t>
      </w:r>
      <w:r w:rsidR="002F080D">
        <w:rPr>
          <w:rFonts w:cs="Arial"/>
          <w:sz w:val="22"/>
          <w:szCs w:val="22"/>
        </w:rPr>
        <w:t xml:space="preserve"> for a period of 5 years</w:t>
      </w:r>
      <w:r w:rsidRPr="00E75696">
        <w:rPr>
          <w:rFonts w:cs="Arial"/>
          <w:sz w:val="22"/>
          <w:szCs w:val="22"/>
        </w:rPr>
        <w:t xml:space="preserve">.  </w:t>
      </w:r>
    </w:p>
    <w:p w:rsidR="00203502" w:rsidRDefault="00203502" w:rsidP="00E75696">
      <w:pPr>
        <w:pStyle w:val="ListParagraph"/>
        <w:spacing w:after="0"/>
        <w:ind w:left="0"/>
        <w:rPr>
          <w:rFonts w:ascii="Arial" w:hAnsi="Arial" w:cs="Arial"/>
        </w:rPr>
      </w:pPr>
    </w:p>
    <w:p w:rsidR="00197EE1" w:rsidRPr="00162E94" w:rsidRDefault="00203502" w:rsidP="00E75696">
      <w:pPr>
        <w:pStyle w:val="ListParagraph"/>
        <w:spacing w:before="120" w:after="0"/>
        <w:ind w:left="0"/>
        <w:rPr>
          <w:rFonts w:cs="Arial"/>
          <w:b/>
          <w:sz w:val="24"/>
        </w:rPr>
      </w:pPr>
      <w:r>
        <w:rPr>
          <w:rFonts w:cs="Arial"/>
          <w:b/>
          <w:sz w:val="24"/>
        </w:rPr>
        <w:t xml:space="preserve">2a) </w:t>
      </w:r>
      <w:r w:rsidR="00197EE1">
        <w:rPr>
          <w:rFonts w:cs="Arial"/>
          <w:b/>
          <w:sz w:val="24"/>
        </w:rPr>
        <w:t>New overhead lines</w:t>
      </w:r>
    </w:p>
    <w:p w:rsidR="00197EE1" w:rsidRPr="00203502" w:rsidRDefault="00197EE1" w:rsidP="00E75696">
      <w:pPr>
        <w:pStyle w:val="ListParagraph"/>
        <w:spacing w:before="120" w:after="0"/>
        <w:ind w:left="792"/>
        <w:rPr>
          <w:rFonts w:ascii="Arial" w:hAnsi="Arial" w:cs="Arial"/>
        </w:rPr>
      </w:pPr>
      <w:r w:rsidRPr="00203502">
        <w:rPr>
          <w:rFonts w:ascii="Arial" w:hAnsi="Arial" w:cs="Arial"/>
        </w:rPr>
        <w:t xml:space="preserve">Changing existing requirements for the deployment of overhead lines will give communications providers a great deal more flexibility and certainty when deploying superfast broadband networks.  It will also allow superfast broadband to be deployed more extensively than would otherwise have been possible because of the cost savings involved.     </w:t>
      </w:r>
    </w:p>
    <w:p w:rsidR="002F080D" w:rsidRDefault="002F080D" w:rsidP="00E75696">
      <w:pPr>
        <w:pStyle w:val="ListParagraph"/>
        <w:spacing w:before="120" w:after="0"/>
        <w:ind w:left="792"/>
        <w:rPr>
          <w:rFonts w:ascii="Arial" w:hAnsi="Arial" w:cs="Arial"/>
        </w:rPr>
      </w:pPr>
    </w:p>
    <w:p w:rsidR="00197EE1" w:rsidRPr="00203502" w:rsidRDefault="00197EE1" w:rsidP="00E75696">
      <w:pPr>
        <w:pStyle w:val="ListParagraph"/>
        <w:spacing w:before="120" w:after="0"/>
        <w:ind w:left="792"/>
        <w:rPr>
          <w:rFonts w:ascii="Arial" w:hAnsi="Arial" w:cs="Arial"/>
        </w:rPr>
      </w:pPr>
      <w:r w:rsidRPr="00203502">
        <w:rPr>
          <w:rFonts w:ascii="Arial" w:hAnsi="Arial" w:cs="Arial"/>
        </w:rPr>
        <w:t xml:space="preserve">Government carried out an initial consultation in September 2009 to test the appetite for new pole deployment from communications providers, but also to </w:t>
      </w:r>
      <w:r w:rsidR="00477CDE">
        <w:rPr>
          <w:rFonts w:ascii="Arial" w:hAnsi="Arial" w:cs="Arial"/>
        </w:rPr>
        <w:t>explore the option</w:t>
      </w:r>
      <w:r w:rsidRPr="00203502">
        <w:rPr>
          <w:rFonts w:ascii="Arial" w:hAnsi="Arial" w:cs="Arial"/>
        </w:rPr>
        <w:t xml:space="preserve"> with communities, given the impact on the visual amenity that new poles would have, particularly in more rural areas.</w:t>
      </w:r>
    </w:p>
    <w:p w:rsidR="00197EE1" w:rsidRPr="00203502" w:rsidRDefault="00197EE1" w:rsidP="00E75696">
      <w:pPr>
        <w:spacing w:line="276" w:lineRule="auto"/>
        <w:rPr>
          <w:rFonts w:cs="Arial"/>
          <w:sz w:val="22"/>
          <w:szCs w:val="22"/>
        </w:rPr>
      </w:pPr>
    </w:p>
    <w:p w:rsidR="00197EE1" w:rsidRPr="00203502" w:rsidRDefault="00197EE1" w:rsidP="00E75696">
      <w:pPr>
        <w:pStyle w:val="ListParagraph"/>
        <w:spacing w:before="120" w:after="0"/>
        <w:ind w:left="792"/>
        <w:rPr>
          <w:rFonts w:ascii="Arial" w:hAnsi="Arial" w:cs="Arial"/>
        </w:rPr>
      </w:pPr>
      <w:r w:rsidRPr="00203502">
        <w:rPr>
          <w:rFonts w:ascii="Arial" w:hAnsi="Arial" w:cs="Arial"/>
        </w:rPr>
        <w:t xml:space="preserve">The conclusion to that initial consultation was that in some cases, new pole deployment could make a difference to the investment case, and communities themselves recognised that in order to have better connectivity, some new overhead deployment may be necessary.  However, communities and other rural stakeholders were keen to stress that this should not be the default option, and that full consultation with communities should be undertaken.   </w:t>
      </w:r>
    </w:p>
    <w:p w:rsidR="00197EE1" w:rsidRPr="00203502" w:rsidRDefault="00197EE1" w:rsidP="00E75696">
      <w:pPr>
        <w:pStyle w:val="ListParagraph"/>
        <w:rPr>
          <w:rFonts w:ascii="Arial" w:hAnsi="Arial" w:cs="Arial"/>
        </w:rPr>
      </w:pPr>
    </w:p>
    <w:p w:rsidR="00197EE1" w:rsidRPr="00203502" w:rsidRDefault="00197EE1" w:rsidP="00E75696">
      <w:pPr>
        <w:pStyle w:val="ListParagraph"/>
        <w:spacing w:before="120" w:after="0"/>
        <w:ind w:left="792"/>
        <w:rPr>
          <w:rFonts w:ascii="Arial" w:hAnsi="Arial" w:cs="Arial"/>
        </w:rPr>
      </w:pPr>
      <w:r w:rsidRPr="00203502">
        <w:rPr>
          <w:rFonts w:ascii="Arial" w:hAnsi="Arial" w:cs="Arial"/>
        </w:rPr>
        <w:t xml:space="preserve">In November 2011, the Government published a further consultation that set out proposals to relax the restrictions, but to allow communities and local authorities the opportunity to influence where this new infrastructure should be deployed.  </w:t>
      </w:r>
    </w:p>
    <w:p w:rsidR="00197EE1" w:rsidRPr="00203502" w:rsidRDefault="00197EE1" w:rsidP="00E75696">
      <w:pPr>
        <w:pStyle w:val="ListParagraph"/>
        <w:rPr>
          <w:rFonts w:ascii="Arial" w:hAnsi="Arial" w:cs="Arial"/>
        </w:rPr>
      </w:pPr>
    </w:p>
    <w:p w:rsidR="00197EE1" w:rsidRPr="00203502" w:rsidRDefault="00197EE1" w:rsidP="00E75696">
      <w:pPr>
        <w:pStyle w:val="ListParagraph"/>
        <w:spacing w:before="120" w:after="0"/>
        <w:ind w:left="792"/>
        <w:rPr>
          <w:rFonts w:ascii="Arial" w:hAnsi="Arial" w:cs="Arial"/>
        </w:rPr>
      </w:pPr>
      <w:r w:rsidRPr="00203502">
        <w:rPr>
          <w:rFonts w:ascii="Arial" w:hAnsi="Arial" w:cs="Arial"/>
        </w:rPr>
        <w:t>The proposal was to encourage communications providers to share infrastructure where technically commercially possible, and for to consult with communities and local authorities, whilst retaining the ability to deploy new infrastructure if they believed there was still merit in doing so.</w:t>
      </w:r>
    </w:p>
    <w:p w:rsidR="00197EE1" w:rsidRPr="00203502" w:rsidRDefault="00197EE1" w:rsidP="00E75696">
      <w:pPr>
        <w:pStyle w:val="ListParagraph"/>
        <w:rPr>
          <w:rFonts w:ascii="Arial" w:hAnsi="Arial" w:cs="Arial"/>
        </w:rPr>
      </w:pPr>
    </w:p>
    <w:p w:rsidR="00B30FDD" w:rsidRPr="00B30FDD" w:rsidRDefault="00B30FDD" w:rsidP="00B30FDD">
      <w:pPr>
        <w:pStyle w:val="ListParagraph"/>
        <w:spacing w:before="120" w:after="0"/>
        <w:ind w:left="792"/>
        <w:contextualSpacing w:val="0"/>
        <w:rPr>
          <w:rFonts w:ascii="Arial" w:hAnsi="Arial" w:cs="Arial"/>
        </w:rPr>
      </w:pPr>
      <w:r w:rsidRPr="00B30FDD">
        <w:rPr>
          <w:rFonts w:ascii="Arial" w:hAnsi="Arial" w:cs="Arial"/>
        </w:rPr>
        <w:t xml:space="preserve">The consultation attracted 27 responses, which included parish and district councils, local authorities, rural stakeholders and communications providers.  Responses were largely split between those who considered that the proposed policy would either not deliver its intended goal and those who opposed the policy goal in its entirety.  A number of stakeholders, mainly local authorities and rural and heritage stakeholders, were opposed in principle to the proposals, citing the possible negative impact on visual amenity, whilst voicing concerns over the impact on heritage sites and listed buildings.  </w:t>
      </w:r>
    </w:p>
    <w:p w:rsidR="00B30FDD" w:rsidRPr="00B30FDD" w:rsidRDefault="00B30FDD" w:rsidP="00B30FDD">
      <w:pPr>
        <w:pStyle w:val="ListParagraph"/>
        <w:ind w:left="792"/>
        <w:rPr>
          <w:rFonts w:ascii="Arial" w:hAnsi="Arial" w:cs="Arial"/>
        </w:rPr>
      </w:pPr>
    </w:p>
    <w:p w:rsidR="00B30FDD" w:rsidRPr="00B30FDD" w:rsidRDefault="00B30FDD" w:rsidP="00B30FDD">
      <w:pPr>
        <w:pStyle w:val="ListParagraph"/>
        <w:spacing w:before="120" w:after="0"/>
        <w:ind w:left="792"/>
        <w:contextualSpacing w:val="0"/>
        <w:rPr>
          <w:rFonts w:ascii="Arial" w:hAnsi="Arial" w:cs="Arial"/>
        </w:rPr>
      </w:pPr>
      <w:r w:rsidRPr="00B30FDD">
        <w:rPr>
          <w:rFonts w:ascii="Arial" w:hAnsi="Arial" w:cs="Arial"/>
        </w:rPr>
        <w:t>Most communications providers believed that the proposals lacked sufficient clarity and certainty, particularly around who should be consulted and how this consultation might take place.  Some providers believed the existing regime allowed for sufficient consultation and that the proposed conditions placed on communications providers to consult with local communities were likely to be too burdensome and costly.  This would result in limited or no new deployments and would not reach the policy goal of increasing the speed and reach of deployment to remote rural  areas where broadband was most needed.</w:t>
      </w:r>
    </w:p>
    <w:p w:rsidR="00197EE1" w:rsidRPr="00203502" w:rsidRDefault="00197EE1" w:rsidP="00E75696">
      <w:pPr>
        <w:pStyle w:val="ListParagraph"/>
        <w:rPr>
          <w:rFonts w:ascii="Arial" w:hAnsi="Arial" w:cs="Arial"/>
        </w:rPr>
      </w:pPr>
    </w:p>
    <w:p w:rsidR="00197EE1" w:rsidRPr="00203502" w:rsidRDefault="00197EE1" w:rsidP="00E75696">
      <w:pPr>
        <w:pStyle w:val="ListParagraph"/>
        <w:spacing w:before="120" w:after="0"/>
        <w:ind w:left="792"/>
        <w:rPr>
          <w:rFonts w:ascii="Arial" w:hAnsi="Arial" w:cs="Arial"/>
        </w:rPr>
      </w:pPr>
      <w:r w:rsidRPr="00203502">
        <w:rPr>
          <w:rFonts w:ascii="Arial" w:hAnsi="Arial" w:cs="Arial"/>
        </w:rPr>
        <w:t xml:space="preserve">The Government has reflected on the responses to the earlier consultation and, after careful consideration of the conflicting views concluded that in order to achieve its broadband targets, that the requirement to underground new telecommunications lines in Regulation 4 of the Electronic Communications Code (Conditions &amp; Restrictions) Regulations should be removed for a period of 5 years.  This will allow communications providers to deploy new overhead infrastructure as Permitted Development, as </w:t>
      </w:r>
      <w:r w:rsidR="00477CDE">
        <w:rPr>
          <w:rFonts w:ascii="Arial" w:hAnsi="Arial" w:cs="Arial"/>
        </w:rPr>
        <w:t>outlined</w:t>
      </w:r>
      <w:r w:rsidRPr="00203502">
        <w:rPr>
          <w:rFonts w:ascii="Arial" w:hAnsi="Arial" w:cs="Arial"/>
        </w:rPr>
        <w:t xml:space="preserve"> above.  This is complementary to the proposal by the Department for Communities and Local Government to remove the prior approval requirement as it applies to protected land. This will enable communications providers to deploy overhead infrastructure in all areas other than SSSIs.</w:t>
      </w:r>
    </w:p>
    <w:p w:rsidR="00197EE1" w:rsidRPr="00203502" w:rsidRDefault="00197EE1" w:rsidP="00E75696">
      <w:pPr>
        <w:pStyle w:val="ListParagraph"/>
        <w:rPr>
          <w:rFonts w:ascii="Arial" w:hAnsi="Arial" w:cs="Arial"/>
        </w:rPr>
      </w:pPr>
    </w:p>
    <w:p w:rsidR="00197EE1" w:rsidRPr="00203502" w:rsidRDefault="00197EE1" w:rsidP="00E75696">
      <w:pPr>
        <w:pStyle w:val="ListParagraph"/>
        <w:spacing w:before="120" w:after="0"/>
        <w:ind w:left="792"/>
        <w:rPr>
          <w:rFonts w:ascii="Arial" w:hAnsi="Arial" w:cs="Arial"/>
        </w:rPr>
      </w:pPr>
      <w:r w:rsidRPr="00203502">
        <w:rPr>
          <w:rFonts w:ascii="Arial" w:hAnsi="Arial" w:cs="Arial"/>
        </w:rPr>
        <w:t xml:space="preserve">We expect communications providers to look to share infrastructure where technically and commercially viable.  In commercial terms, sharing of infrastructure is usually cheaper than deploying new infrastructure and therefore a possibility that we would expect communications providers to exhaust before deploying new overhead lines.  This could be the existing BT Openreach network of ducts and poles but could also mean use of the electricity distribution and local access networks. The Regulation 3(4) general requirement for operators to share apparatus, where practicable will continue to apply, but we do not however propose to make this a specific requirement in the revised Regulations in relation to new overhead line deployment. </w:t>
      </w:r>
    </w:p>
    <w:p w:rsidR="00197EE1" w:rsidRDefault="00197EE1" w:rsidP="00E75696">
      <w:pPr>
        <w:pStyle w:val="ListParagraph"/>
        <w:ind w:left="0"/>
        <w:rPr>
          <w:rFonts w:ascii="Arial" w:hAnsi="Arial" w:cs="Arial"/>
          <w:b/>
        </w:rPr>
      </w:pPr>
    </w:p>
    <w:p w:rsidR="00203502" w:rsidRDefault="00203502" w:rsidP="00E75696">
      <w:pPr>
        <w:pStyle w:val="ListParagraph"/>
        <w:ind w:left="0"/>
        <w:rPr>
          <w:rFonts w:ascii="Arial" w:hAnsi="Arial" w:cs="Arial"/>
          <w:b/>
        </w:rPr>
      </w:pPr>
      <w:r>
        <w:rPr>
          <w:rFonts w:ascii="Arial" w:hAnsi="Arial" w:cs="Arial"/>
          <w:b/>
        </w:rPr>
        <w:t>2b) Cabinets</w:t>
      </w:r>
    </w:p>
    <w:p w:rsidR="00203502" w:rsidRPr="00203502" w:rsidRDefault="00203502" w:rsidP="00E75696">
      <w:pPr>
        <w:pStyle w:val="ListParagraph"/>
        <w:ind w:left="0"/>
        <w:rPr>
          <w:rFonts w:ascii="Arial" w:hAnsi="Arial" w:cs="Arial"/>
          <w:b/>
        </w:rPr>
      </w:pPr>
    </w:p>
    <w:p w:rsidR="00203502" w:rsidRDefault="00203502" w:rsidP="00E75696">
      <w:pPr>
        <w:pStyle w:val="ListParagraph"/>
        <w:spacing w:after="0"/>
        <w:rPr>
          <w:rFonts w:ascii="Arial" w:hAnsi="Arial" w:cs="Arial"/>
        </w:rPr>
      </w:pPr>
      <w:r w:rsidRPr="00203502">
        <w:rPr>
          <w:rFonts w:ascii="Arial" w:hAnsi="Arial" w:cs="Arial"/>
        </w:rPr>
        <w:t xml:space="preserve">We are proposing to remove the prior approval requirement for fixed broadband cabinets except in SSSIs on a temporary basis for 5 years under the Electronic Communications Code (Conditions &amp; Restrictions) Regulations 2003.  This is to help speed up the deployment of superfast broadband and reduce uncertainty and delay for communications providers.  Removal of the prior approval requirement for broadband cabinets in protected areas does not however </w:t>
      </w:r>
      <w:r w:rsidRPr="00203502">
        <w:rPr>
          <w:rFonts w:ascii="Arial" w:hAnsi="Arial" w:cs="Arial"/>
        </w:rPr>
        <w:lastRenderedPageBreak/>
        <w:t xml:space="preserve">remove the requirement for consultation with planning authorities about their siting.  As noted previously the general obligation under Regulation 3(1)(b) of the Electronic Communications Code (Conditions &amp; Restrictions) Regulations to consult local planning authorities about the siting of apparatus will continue to apply.  In addition to this, under the proposed new arrangements, prior approval will be replaced by the notice requirements under Regulation 5, and will ensure that communications providers notify planning authorities about the deployment of any new apparatus and take notice of their objections if reasonable and proportionate.  </w:t>
      </w:r>
    </w:p>
    <w:p w:rsidR="00203502" w:rsidRDefault="00203502" w:rsidP="00E75696">
      <w:pPr>
        <w:pStyle w:val="ListParagraph"/>
        <w:spacing w:after="0"/>
        <w:ind w:left="0"/>
        <w:rPr>
          <w:rFonts w:ascii="Arial" w:hAnsi="Arial" w:cs="Arial"/>
        </w:rPr>
      </w:pPr>
    </w:p>
    <w:p w:rsidR="00203502" w:rsidRPr="00203502" w:rsidRDefault="00203502" w:rsidP="00E75696">
      <w:pPr>
        <w:pStyle w:val="ListParagraph"/>
        <w:spacing w:after="0"/>
        <w:rPr>
          <w:rFonts w:ascii="Arial" w:hAnsi="Arial" w:cs="Arial"/>
        </w:rPr>
      </w:pPr>
      <w:r w:rsidRPr="00203502">
        <w:rPr>
          <w:rFonts w:ascii="Arial" w:hAnsi="Arial" w:cs="Arial"/>
        </w:rPr>
        <w:t xml:space="preserve">Also for the purposes of the proposed relaxation in protected areas  we are proposing to extend the range of </w:t>
      </w:r>
      <w:proofErr w:type="spellStart"/>
      <w:r w:rsidRPr="00203502">
        <w:rPr>
          <w:rFonts w:ascii="Arial" w:hAnsi="Arial" w:cs="Arial"/>
        </w:rPr>
        <w:t>consultees</w:t>
      </w:r>
      <w:proofErr w:type="spellEnd"/>
      <w:r w:rsidRPr="00203502">
        <w:rPr>
          <w:rFonts w:ascii="Arial" w:hAnsi="Arial" w:cs="Arial"/>
        </w:rPr>
        <w:t xml:space="preserve"> under regulation 5 to include those that currently exist for protected areas, as set out in Regulation 8 of the Electronic Communications Code (Conditions &amp; Restrictions) Regulations 2003.</w:t>
      </w:r>
    </w:p>
    <w:p w:rsidR="00203502" w:rsidRPr="00203502" w:rsidRDefault="00203502" w:rsidP="00E75696">
      <w:pPr>
        <w:pStyle w:val="legp1paratext1"/>
        <w:spacing w:line="276" w:lineRule="auto"/>
        <w:ind w:left="792"/>
        <w:rPr>
          <w:rFonts w:ascii="Arial" w:hAnsi="Arial" w:cs="Arial"/>
          <w:color w:val="auto"/>
          <w:sz w:val="22"/>
          <w:szCs w:val="22"/>
          <w:lang w:val="en"/>
        </w:rPr>
      </w:pPr>
      <w:r w:rsidRPr="00203502">
        <w:rPr>
          <w:rFonts w:ascii="Arial" w:hAnsi="Arial" w:cs="Arial"/>
          <w:color w:val="auto"/>
          <w:sz w:val="22"/>
          <w:szCs w:val="22"/>
        </w:rPr>
        <w:t xml:space="preserve">“ </w:t>
      </w:r>
      <w:r w:rsidRPr="00203502">
        <w:rPr>
          <w:rFonts w:ascii="Arial" w:hAnsi="Arial" w:cs="Arial"/>
          <w:b/>
          <w:bCs/>
          <w:color w:val="auto"/>
          <w:sz w:val="22"/>
          <w:szCs w:val="22"/>
          <w:lang w:val="en"/>
        </w:rPr>
        <w:t>8.</w:t>
      </w:r>
      <w:r w:rsidRPr="00203502">
        <w:rPr>
          <w:rFonts w:ascii="Arial" w:hAnsi="Arial" w:cs="Arial"/>
          <w:color w:val="auto"/>
          <w:sz w:val="22"/>
          <w:szCs w:val="22"/>
          <w:lang w:val="en"/>
        </w:rPr>
        <w:t xml:space="preserve">—(1) When a code operator intends to install electronic communications apparatus in—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 xml:space="preserve">(a)a national park, the Broads, the New Forest or a limestone pavement area he must give written notice to the planning authority;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 xml:space="preserve">(b)a national nature reserve, site of special scientific interest, area of special scientific interest or marine nature reserve he must give written notice to—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 xml:space="preserve">(i)English Nature, in England;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 xml:space="preserve">(ii)Scottish Natural Heritage, in Scotland;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 xml:space="preserve">(iii)the Countryside Council for Wales, in Wales; or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 xml:space="preserve">(iv)the planning authority, in Northern Ireland (in the case of a national nature reserve, area of special scientific interest or marine nature reserve);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 xml:space="preserve">(c)a natural heritage area or national scenic area he must give written notice to Scottish Natural Heritage; or </w:t>
      </w:r>
    </w:p>
    <w:p w:rsidR="00203502" w:rsidRPr="00203502" w:rsidRDefault="00203502" w:rsidP="00E75696">
      <w:pPr>
        <w:shd w:val="clear" w:color="auto" w:fill="FFFFFF"/>
        <w:spacing w:after="120" w:line="276" w:lineRule="auto"/>
        <w:ind w:left="960"/>
        <w:rPr>
          <w:rFonts w:cs="Arial"/>
          <w:sz w:val="22"/>
          <w:szCs w:val="22"/>
          <w:lang w:val="en" w:eastAsia="en-GB"/>
        </w:rPr>
      </w:pPr>
      <w:r w:rsidRPr="00203502">
        <w:rPr>
          <w:rFonts w:cs="Arial"/>
          <w:sz w:val="22"/>
          <w:szCs w:val="22"/>
          <w:lang w:val="en" w:eastAsia="en-GB"/>
        </w:rPr>
        <w:t>(d)any land which the National Trust or the National Trust for Scotland has notified the code operator that it owns, or holds any interest in, he must give written notice to its relevant regional office.</w:t>
      </w:r>
    </w:p>
    <w:p w:rsidR="007E4048" w:rsidRPr="00733C40" w:rsidRDefault="007E4048" w:rsidP="00E75696">
      <w:pPr>
        <w:pStyle w:val="ListParagraph"/>
        <w:ind w:left="0"/>
        <w:rPr>
          <w:rFonts w:ascii="Arial" w:hAnsi="Arial" w:cs="Arial"/>
        </w:rPr>
      </w:pPr>
    </w:p>
    <w:p w:rsidR="007E4048" w:rsidRPr="00733C40" w:rsidRDefault="006573CD" w:rsidP="007E4048">
      <w:pPr>
        <w:pStyle w:val="ListParagraph"/>
        <w:ind w:left="0"/>
        <w:rPr>
          <w:rFonts w:ascii="Arial" w:hAnsi="Arial" w:cs="Arial"/>
          <w:b/>
        </w:rPr>
      </w:pPr>
      <w:r w:rsidRPr="00733C40">
        <w:rPr>
          <w:rFonts w:ascii="Arial" w:hAnsi="Arial" w:cs="Arial"/>
          <w:b/>
        </w:rPr>
        <w:t>COSTS AND BENEFITS</w:t>
      </w:r>
    </w:p>
    <w:p w:rsidR="007E4048" w:rsidRPr="00733C40" w:rsidRDefault="00F06092" w:rsidP="007E4048">
      <w:pPr>
        <w:pStyle w:val="ListParagraph"/>
        <w:ind w:left="0"/>
        <w:rPr>
          <w:rFonts w:ascii="Arial" w:hAnsi="Arial" w:cs="Arial"/>
          <w:b/>
        </w:rPr>
      </w:pPr>
      <w:r w:rsidRPr="00733C40">
        <w:rPr>
          <w:rFonts w:ascii="Arial" w:hAnsi="Arial" w:cs="Arial"/>
          <w:b/>
        </w:rPr>
        <w:t>Do Nothing</w:t>
      </w:r>
    </w:p>
    <w:p w:rsidR="007E4048" w:rsidRPr="00733C40" w:rsidRDefault="007E4048" w:rsidP="007E4048">
      <w:pPr>
        <w:pStyle w:val="ListParagraph"/>
        <w:ind w:left="0"/>
        <w:rPr>
          <w:rFonts w:ascii="Arial" w:hAnsi="Arial" w:cs="Arial"/>
          <w:b/>
        </w:rPr>
      </w:pPr>
    </w:p>
    <w:p w:rsidR="007E4048" w:rsidRPr="00733C40" w:rsidRDefault="00F06092" w:rsidP="007E4048">
      <w:pPr>
        <w:pStyle w:val="ListParagraph"/>
        <w:ind w:left="0"/>
        <w:rPr>
          <w:rFonts w:ascii="Arial" w:hAnsi="Arial" w:cs="Arial"/>
        </w:rPr>
      </w:pPr>
      <w:r w:rsidRPr="00733C40">
        <w:rPr>
          <w:rFonts w:ascii="Arial" w:hAnsi="Arial" w:cs="Arial"/>
        </w:rPr>
        <w:t xml:space="preserve">The main benefits of the Do Nothing Option are associated with maintaining the current level of visual amenity </w:t>
      </w:r>
      <w:r w:rsidR="00AC1B56" w:rsidRPr="00733C40">
        <w:rPr>
          <w:rFonts w:ascii="Arial" w:hAnsi="Arial" w:cs="Arial"/>
        </w:rPr>
        <w:t xml:space="preserve">and environmental protection </w:t>
      </w:r>
      <w:r w:rsidRPr="00733C40">
        <w:rPr>
          <w:rFonts w:ascii="Arial" w:hAnsi="Arial" w:cs="Arial"/>
        </w:rPr>
        <w:t>which is afforded by the current regulations.</w:t>
      </w:r>
      <w:r w:rsidR="00AC1B56" w:rsidRPr="00733C40">
        <w:rPr>
          <w:rFonts w:ascii="Arial" w:hAnsi="Arial" w:cs="Arial"/>
        </w:rPr>
        <w:t xml:space="preserve"> However, these substantial benefits incur</w:t>
      </w:r>
      <w:r w:rsidR="0026726B" w:rsidRPr="00733C40">
        <w:rPr>
          <w:rFonts w:ascii="Arial" w:hAnsi="Arial" w:cs="Arial"/>
        </w:rPr>
        <w:t xml:space="preserve"> significant opportunity</w:t>
      </w:r>
      <w:r w:rsidR="00AC1B56" w:rsidRPr="00733C40">
        <w:rPr>
          <w:rFonts w:ascii="Arial" w:hAnsi="Arial" w:cs="Arial"/>
        </w:rPr>
        <w:t xml:space="preserve"> costs in the form of the benefits of super-fast broadband foregone by members of affected communities.</w:t>
      </w:r>
      <w:r w:rsidR="007E4048" w:rsidRPr="00733C40">
        <w:rPr>
          <w:rFonts w:ascii="Arial" w:hAnsi="Arial" w:cs="Arial"/>
        </w:rPr>
        <w:t xml:space="preserve"> </w:t>
      </w:r>
    </w:p>
    <w:p w:rsidR="007E4048" w:rsidRPr="00733C40" w:rsidRDefault="007E4048" w:rsidP="007E4048">
      <w:pPr>
        <w:pStyle w:val="ListParagraph"/>
        <w:ind w:left="0"/>
        <w:rPr>
          <w:rFonts w:ascii="Arial" w:hAnsi="Arial" w:cs="Arial"/>
        </w:rPr>
      </w:pPr>
    </w:p>
    <w:p w:rsidR="007E4048" w:rsidRPr="00733C40" w:rsidRDefault="00AC1B56" w:rsidP="007E4048">
      <w:pPr>
        <w:pStyle w:val="ListParagraph"/>
        <w:ind w:left="0"/>
        <w:rPr>
          <w:rFonts w:ascii="Arial" w:hAnsi="Arial" w:cs="Arial"/>
          <w:b/>
        </w:rPr>
      </w:pPr>
      <w:r w:rsidRPr="00733C40">
        <w:rPr>
          <w:rFonts w:ascii="Arial" w:hAnsi="Arial" w:cs="Arial"/>
          <w:b/>
        </w:rPr>
        <w:t>Remove Restrictions (</w:t>
      </w:r>
      <w:r w:rsidR="00F06092" w:rsidRPr="00733C40">
        <w:rPr>
          <w:rFonts w:ascii="Arial" w:hAnsi="Arial" w:cs="Arial"/>
          <w:b/>
        </w:rPr>
        <w:t>Preferred Option</w:t>
      </w:r>
      <w:r w:rsidRPr="00733C40">
        <w:rPr>
          <w:rFonts w:ascii="Arial" w:hAnsi="Arial" w:cs="Arial"/>
          <w:b/>
        </w:rPr>
        <w:t>)</w:t>
      </w:r>
    </w:p>
    <w:p w:rsidR="007E4048" w:rsidRPr="00733C40" w:rsidRDefault="007E4048" w:rsidP="007E4048">
      <w:pPr>
        <w:pStyle w:val="ListParagraph"/>
        <w:ind w:left="0"/>
        <w:rPr>
          <w:rFonts w:ascii="Arial" w:hAnsi="Arial" w:cs="Arial"/>
          <w:b/>
        </w:rPr>
      </w:pPr>
    </w:p>
    <w:p w:rsidR="00E75696" w:rsidRDefault="00AC1B56" w:rsidP="00E75696">
      <w:pPr>
        <w:pStyle w:val="ListParagraph"/>
        <w:ind w:left="0"/>
        <w:rPr>
          <w:rFonts w:ascii="Arial" w:hAnsi="Arial" w:cs="Arial"/>
        </w:rPr>
      </w:pPr>
      <w:r w:rsidRPr="00733C40">
        <w:rPr>
          <w:rFonts w:ascii="Arial" w:hAnsi="Arial" w:cs="Arial"/>
        </w:rPr>
        <w:t>Since this is an enabling measure the costs it will incur and the benefits it will attract depend upon the advantage that CPs take of the opportunities it presents. Hence, it has been necessary to assume, for the purposes of this IA, levels of use that are likely to take place under de-regulation. It must be emphasised that these assumptions are made by DCMS and are not based upon the business plans of participants in the super-fast broadband market. Nor can they be regarded as forecasts of the likely reaction of business to the pro</w:t>
      </w:r>
      <w:r w:rsidR="0026726B" w:rsidRPr="00733C40">
        <w:rPr>
          <w:rFonts w:ascii="Arial" w:hAnsi="Arial" w:cs="Arial"/>
        </w:rPr>
        <w:t>po</w:t>
      </w:r>
      <w:r w:rsidRPr="00733C40">
        <w:rPr>
          <w:rFonts w:ascii="Arial" w:hAnsi="Arial" w:cs="Arial"/>
        </w:rPr>
        <w:t>sed changes.</w:t>
      </w:r>
    </w:p>
    <w:p w:rsidR="00E75696" w:rsidRDefault="00E75696" w:rsidP="00E75696">
      <w:pPr>
        <w:pStyle w:val="ListParagraph"/>
        <w:ind w:left="0"/>
        <w:rPr>
          <w:rFonts w:ascii="Arial" w:hAnsi="Arial" w:cs="Arial"/>
        </w:rPr>
      </w:pPr>
    </w:p>
    <w:p w:rsidR="00F06092" w:rsidRPr="00E75696" w:rsidRDefault="005D6D92" w:rsidP="00E75696">
      <w:pPr>
        <w:pStyle w:val="ListParagraph"/>
        <w:ind w:left="0"/>
        <w:rPr>
          <w:rFonts w:ascii="Arial" w:hAnsi="Arial" w:cs="Arial"/>
          <w:b/>
          <w:i/>
        </w:rPr>
      </w:pPr>
      <w:r w:rsidRPr="00E75696">
        <w:rPr>
          <w:rFonts w:ascii="Arial" w:hAnsi="Arial" w:cs="Arial"/>
          <w:b/>
          <w:i/>
        </w:rPr>
        <w:t xml:space="preserve">Monetised </w:t>
      </w:r>
      <w:r w:rsidR="00AC1B56" w:rsidRPr="00E75696">
        <w:rPr>
          <w:rFonts w:ascii="Arial" w:hAnsi="Arial" w:cs="Arial"/>
          <w:b/>
          <w:i/>
        </w:rPr>
        <w:t>Costs</w:t>
      </w:r>
    </w:p>
    <w:p w:rsidR="00CC349B" w:rsidRPr="00CC349B" w:rsidRDefault="00CC349B" w:rsidP="00CC349B">
      <w:pPr>
        <w:pStyle w:val="EBBodyPara"/>
        <w:keepNext/>
        <w:keepLines/>
        <w:spacing w:line="276" w:lineRule="auto"/>
        <w:rPr>
          <w:u w:val="single"/>
        </w:rPr>
      </w:pPr>
      <w:r>
        <w:rPr>
          <w:u w:val="single"/>
        </w:rPr>
        <w:lastRenderedPageBreak/>
        <w:t>Visual Amenity</w:t>
      </w:r>
    </w:p>
    <w:p w:rsidR="00CC349B" w:rsidRDefault="00C153D2" w:rsidP="00C153D2">
      <w:pPr>
        <w:pStyle w:val="EBBodyPara"/>
        <w:keepNext/>
        <w:keepLines/>
        <w:spacing w:line="276" w:lineRule="auto"/>
      </w:pPr>
      <w:r>
        <w:t xml:space="preserve">Code operators will remain under statutory obligation to minimise any impact on the visual amenity, but some impact is possible particularly in relation to new overhead line deployment.  The extent of this effect will depend upon the extent of the extra use that is made of the proposed deregulation. The likely use in the case of overhead lines will vary between communications provider. </w:t>
      </w:r>
    </w:p>
    <w:p w:rsidR="00AC1B56" w:rsidRDefault="00A63AF8" w:rsidP="00CC349B">
      <w:pPr>
        <w:pStyle w:val="EBBodyPara"/>
        <w:keepNext/>
        <w:keepLines/>
        <w:spacing w:line="276" w:lineRule="auto"/>
      </w:pPr>
      <w:r>
        <w:t>The extent of this effect will</w:t>
      </w:r>
      <w:r w:rsidR="00CC349B">
        <w:t xml:space="preserve"> also</w:t>
      </w:r>
      <w:r>
        <w:t xml:space="preserve"> depend upon the</w:t>
      </w:r>
      <w:r w:rsidR="00CC349B">
        <w:t xml:space="preserve"> extent of the</w:t>
      </w:r>
      <w:r>
        <w:t xml:space="preserve"> extra use that is made of the de-regulation.</w:t>
      </w:r>
      <w:r w:rsidR="00CC349B">
        <w:t xml:space="preserve"> The likely use in the case of overhead lines</w:t>
      </w:r>
      <w:r w:rsidR="00C153D2">
        <w:t xml:space="preserve"> is also likely to vary</w:t>
      </w:r>
      <w:r w:rsidR="00CC349B">
        <w:t xml:space="preserve"> between CPs. </w:t>
      </w:r>
      <w:r w:rsidR="0093720A">
        <w:t xml:space="preserve">For the purposes of this IA we assume that over 5 years there will be a 10% increase in overhead lines; an increase of </w:t>
      </w:r>
      <w:r w:rsidR="002E371E">
        <w:t>3</w:t>
      </w:r>
      <w:r w:rsidR="00C76B25">
        <w:t>25</w:t>
      </w:r>
      <w:r w:rsidR="0093720A">
        <w:t xml:space="preserve"> km p.a.</w:t>
      </w:r>
    </w:p>
    <w:p w:rsidR="007B41A3" w:rsidRPr="007B41A3" w:rsidRDefault="007B41A3" w:rsidP="007B41A3">
      <w:pPr>
        <w:pStyle w:val="EBBodyPara"/>
        <w:keepNext/>
        <w:keepLines/>
        <w:spacing w:line="276" w:lineRule="auto"/>
        <w:rPr>
          <w:u w:val="single"/>
        </w:rPr>
      </w:pPr>
      <w:r w:rsidRPr="007B41A3">
        <w:rPr>
          <w:u w:val="single"/>
        </w:rPr>
        <w:t>Environmental Costs</w:t>
      </w:r>
    </w:p>
    <w:p w:rsidR="007B41A3" w:rsidRDefault="007B41A3" w:rsidP="007B41A3">
      <w:pPr>
        <w:pStyle w:val="EBBodyPara"/>
        <w:keepNext/>
        <w:keepLines/>
        <w:spacing w:line="276" w:lineRule="auto"/>
      </w:pPr>
      <w:r>
        <w:t xml:space="preserve">All Sites of Special Scientific Interest are exempt from the proposed de-regulation. The extent of any environmental costs will depend on the use that is made of this enabling clause.  It has not been possible to obtain reliable estimates of this. </w:t>
      </w:r>
    </w:p>
    <w:p w:rsidR="001A1FEF" w:rsidRDefault="001A1FEF" w:rsidP="00CC349B">
      <w:pPr>
        <w:pStyle w:val="EBBodyPara"/>
        <w:keepNext/>
        <w:keepLines/>
        <w:spacing w:line="276" w:lineRule="auto"/>
      </w:pPr>
      <w:r>
        <w:rPr>
          <w:u w:val="single"/>
        </w:rPr>
        <w:t>Increased Climatic</w:t>
      </w:r>
      <w:r w:rsidR="00AA006E">
        <w:rPr>
          <w:u w:val="single"/>
        </w:rPr>
        <w:t xml:space="preserve"> and Other</w:t>
      </w:r>
      <w:r>
        <w:rPr>
          <w:u w:val="single"/>
        </w:rPr>
        <w:t xml:space="preserve"> Risks</w:t>
      </w:r>
    </w:p>
    <w:p w:rsidR="001A1FEF" w:rsidRDefault="001A1FEF" w:rsidP="00CC349B">
      <w:pPr>
        <w:pStyle w:val="EBBodyPara"/>
        <w:keepNext/>
        <w:keepLines/>
        <w:spacing w:line="276" w:lineRule="auto"/>
      </w:pPr>
      <w:r>
        <w:t xml:space="preserve">Overhead lines are subject to significant wind loadings and greater variations in temperature than underground installations. As a consequence, they are assumed to require more maintenance than underground lines. Thus, instead of annual maintenance at </w:t>
      </w:r>
      <w:r w:rsidR="00AA006E">
        <w:t>5</w:t>
      </w:r>
      <w:r>
        <w:t>% of capital cost</w:t>
      </w:r>
      <w:r w:rsidR="00D417A6">
        <w:t>,</w:t>
      </w:r>
      <w:r>
        <w:t xml:space="preserve"> as in the case of underground lines, overhead lines are assumed to require maintenance of 15% of capital cost. </w:t>
      </w:r>
    </w:p>
    <w:p w:rsidR="001A1FEF" w:rsidRDefault="001A1FEF" w:rsidP="00CC349B">
      <w:pPr>
        <w:pStyle w:val="EBBodyPara"/>
        <w:keepNext/>
        <w:keepLines/>
        <w:spacing w:line="276" w:lineRule="auto"/>
      </w:pPr>
      <w:r>
        <w:t>They are also subject to failure during natural disasters or</w:t>
      </w:r>
      <w:r w:rsidR="00AA006E">
        <w:t xml:space="preserve"> accidents</w:t>
      </w:r>
      <w:r>
        <w:t xml:space="preserve"> to an extent not shared by underground ducts. This aspect is taken into account by supposing a risk factor of</w:t>
      </w:r>
      <w:r w:rsidR="00AA006E">
        <w:t xml:space="preserve"> 10% is applied to the initial capital cost.</w:t>
      </w:r>
    </w:p>
    <w:p w:rsidR="00AA006E" w:rsidRPr="00AA006E" w:rsidRDefault="005D6D92" w:rsidP="00CC349B">
      <w:pPr>
        <w:pStyle w:val="EBBodyPara"/>
        <w:keepNext/>
        <w:keepLines/>
        <w:spacing w:line="276" w:lineRule="auto"/>
        <w:rPr>
          <w:b/>
          <w:i/>
        </w:rPr>
      </w:pPr>
      <w:r>
        <w:rPr>
          <w:b/>
          <w:i/>
        </w:rPr>
        <w:t xml:space="preserve">Monetised </w:t>
      </w:r>
      <w:r w:rsidR="00AA006E" w:rsidRPr="00AA006E">
        <w:rPr>
          <w:b/>
          <w:i/>
        </w:rPr>
        <w:t>Benefits</w:t>
      </w:r>
    </w:p>
    <w:p w:rsidR="00AA006E" w:rsidRPr="00AA006E" w:rsidRDefault="00AA006E" w:rsidP="00CC349B">
      <w:pPr>
        <w:pStyle w:val="EBBodyPara"/>
        <w:keepNext/>
        <w:keepLines/>
        <w:spacing w:line="276" w:lineRule="auto"/>
        <w:rPr>
          <w:u w:val="single"/>
        </w:rPr>
      </w:pPr>
      <w:r>
        <w:rPr>
          <w:u w:val="single"/>
        </w:rPr>
        <w:t>Reduced Planning Costs</w:t>
      </w:r>
    </w:p>
    <w:p w:rsidR="00AA006E" w:rsidRDefault="00AA006E" w:rsidP="00CC349B">
      <w:pPr>
        <w:pStyle w:val="EBBodyPara"/>
        <w:keepNext/>
        <w:keepLines/>
        <w:spacing w:line="276" w:lineRule="auto"/>
      </w:pPr>
      <w:r>
        <w:t xml:space="preserve">The new procedures will remove costs to local authorities which are incurred under the permitted development regulations and which are passed on as planning costs to CPs. The extent of these costs depends on the use that is made of the measure. Alongside the 200 km p.a. of overhead lines we assume that 50 extra </w:t>
      </w:r>
      <w:r w:rsidR="00177F33">
        <w:t xml:space="preserve">poles </w:t>
      </w:r>
      <w:r>
        <w:t>p.a. and 1,500 cabinets over 5 years will be affected.</w:t>
      </w:r>
    </w:p>
    <w:p w:rsidR="00AA006E" w:rsidRDefault="00AA006E" w:rsidP="00CC349B">
      <w:pPr>
        <w:pStyle w:val="EBBodyPara"/>
        <w:keepNext/>
        <w:keepLines/>
        <w:spacing w:line="276" w:lineRule="auto"/>
      </w:pPr>
      <w:r>
        <w:rPr>
          <w:u w:val="single"/>
        </w:rPr>
        <w:t>Reduced Administration Costs</w:t>
      </w:r>
    </w:p>
    <w:p w:rsidR="00500A35" w:rsidRDefault="00AA006E" w:rsidP="00CC349B">
      <w:pPr>
        <w:pStyle w:val="EBBodyPara"/>
        <w:keepNext/>
        <w:keepLines/>
        <w:spacing w:line="276" w:lineRule="auto"/>
      </w:pPr>
      <w:r>
        <w:t xml:space="preserve">For each </w:t>
      </w:r>
      <w:r w:rsidR="00177F33">
        <w:t>pole</w:t>
      </w:r>
      <w:r>
        <w:t>, cabinet and km of overhead line CPs must incur administration costs associated with obtaining planning permissions. These are internal to the companies and are in addition to the payments to local authorities</w:t>
      </w:r>
      <w:r w:rsidR="00500A35">
        <w:t xml:space="preserve">. We assume that </w:t>
      </w:r>
      <w:proofErr w:type="spellStart"/>
      <w:r w:rsidR="00500A35">
        <w:t>each</w:t>
      </w:r>
      <w:r w:rsidR="00177F33">
        <w:t>pole</w:t>
      </w:r>
      <w:proofErr w:type="spellEnd"/>
      <w:r w:rsidR="00500A35">
        <w:t>, cabinet and km of overhead line involves</w:t>
      </w:r>
      <w:r w:rsidR="00BE3A35">
        <w:t xml:space="preserve"> on average</w:t>
      </w:r>
      <w:r w:rsidR="00500A35">
        <w:t xml:space="preserve"> £</w:t>
      </w:r>
      <w:r w:rsidR="004A4351">
        <w:t>2,</w:t>
      </w:r>
      <w:r w:rsidR="00BE3A35">
        <w:t>350</w:t>
      </w:r>
      <w:r w:rsidR="00500A35">
        <w:t xml:space="preserve"> in administration costs associated with the planning process.</w:t>
      </w:r>
      <w:r w:rsidR="00BE3A35">
        <w:rPr>
          <w:rStyle w:val="FootnoteReference"/>
        </w:rPr>
        <w:footnoteReference w:id="21"/>
      </w:r>
    </w:p>
    <w:p w:rsidR="00500A35" w:rsidRDefault="00500A35" w:rsidP="00CC349B">
      <w:pPr>
        <w:pStyle w:val="EBBodyPara"/>
        <w:keepNext/>
        <w:keepLines/>
        <w:spacing w:line="276" w:lineRule="auto"/>
      </w:pPr>
      <w:r>
        <w:rPr>
          <w:u w:val="single"/>
        </w:rPr>
        <w:t>Reduced Installation Costs</w:t>
      </w:r>
    </w:p>
    <w:p w:rsidR="00500A35" w:rsidRDefault="00500A35" w:rsidP="00CC349B">
      <w:pPr>
        <w:pStyle w:val="EBBodyPara"/>
        <w:keepNext/>
        <w:keepLines/>
        <w:spacing w:line="276" w:lineRule="auto"/>
      </w:pPr>
      <w:r>
        <w:t>The removal of the absolute restriction on overhead lines will significantly reduce the cost of installing a similar length underground.</w:t>
      </w:r>
      <w:r w:rsidR="002E371E">
        <w:t xml:space="preserve"> The difference in installation costs is given in table 1 and amounts to £</w:t>
      </w:r>
      <w:r w:rsidR="005D6D92">
        <w:t>6,900</w:t>
      </w:r>
      <w:r w:rsidR="002E371E">
        <w:t xml:space="preserve"> per km. Hence, it is expected that</w:t>
      </w:r>
      <w:r>
        <w:t xml:space="preserve"> </w:t>
      </w:r>
      <w:r w:rsidR="002E371E">
        <w:t xml:space="preserve">for the five years over which the measure will be in place savings of £15 million p.a. will be made. This is likely to extend the margin beyond which it is not profitable to install super-fast broadband. </w:t>
      </w:r>
      <w:r>
        <w:t>However, th</w:t>
      </w:r>
      <w:r w:rsidR="002E371E">
        <w:t>is</w:t>
      </w:r>
      <w:r>
        <w:t xml:space="preserve"> financial advantage is partly reduced by the extra risk of</w:t>
      </w:r>
      <w:r w:rsidR="002E371E">
        <w:t xml:space="preserve"> service</w:t>
      </w:r>
      <w:r>
        <w:t xml:space="preserve"> failure that will</w:t>
      </w:r>
      <w:r w:rsidR="00C63781">
        <w:t xml:space="preserve"> be</w:t>
      </w:r>
      <w:r>
        <w:t xml:space="preserve"> </w:t>
      </w:r>
      <w:r w:rsidR="002E371E">
        <w:t xml:space="preserve">incurred by overhead installation. </w:t>
      </w:r>
    </w:p>
    <w:p w:rsidR="00500A35" w:rsidRDefault="00500A35" w:rsidP="00CC349B">
      <w:pPr>
        <w:pStyle w:val="EBBodyPara"/>
        <w:keepNext/>
        <w:keepLines/>
        <w:spacing w:line="276" w:lineRule="auto"/>
      </w:pPr>
      <w:r>
        <w:t xml:space="preserve">It is not expected that the costs of installing </w:t>
      </w:r>
      <w:r w:rsidR="00177F33">
        <w:t xml:space="preserve">poles </w:t>
      </w:r>
      <w:r>
        <w:t>or cabinets will be materially affected by the measure.</w:t>
      </w:r>
    </w:p>
    <w:p w:rsidR="00386071" w:rsidRDefault="00386071" w:rsidP="00386071">
      <w:pPr>
        <w:pStyle w:val="EBBodyPara"/>
        <w:rPr>
          <w:b/>
        </w:rPr>
      </w:pPr>
    </w:p>
    <w:p w:rsidR="00D423A9" w:rsidRDefault="00D423A9" w:rsidP="00D423A9">
      <w:pPr>
        <w:pStyle w:val="EBBodyPara"/>
        <w:jc w:val="center"/>
        <w:rPr>
          <w:b/>
        </w:rPr>
      </w:pPr>
      <w:r>
        <w:rPr>
          <w:b/>
        </w:rPr>
        <w:t>TABLE 1</w:t>
      </w:r>
    </w:p>
    <w:p w:rsidR="00D423A9" w:rsidRDefault="00D423A9" w:rsidP="00D423A9">
      <w:pPr>
        <w:pStyle w:val="EBBodyPara"/>
        <w:jc w:val="center"/>
        <w:rPr>
          <w:b/>
        </w:rPr>
      </w:pPr>
      <w:r>
        <w:rPr>
          <w:b/>
        </w:rPr>
        <w:lastRenderedPageBreak/>
        <w:t>COSTS OF OVERHEAD DEPLOYMENT</w:t>
      </w:r>
    </w:p>
    <w:p w:rsidR="00D423A9" w:rsidRPr="00D423A9" w:rsidRDefault="00D423A9" w:rsidP="00D423A9">
      <w:pPr>
        <w:pStyle w:val="EBBodyPara"/>
        <w:jc w:val="center"/>
        <w:rPr>
          <w:b/>
        </w:rPr>
      </w:pPr>
      <w:r>
        <w:rPr>
          <w:b/>
        </w:rPr>
        <w:t>(£ per km. in 2011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31"/>
        <w:gridCol w:w="1531"/>
      </w:tblGrid>
      <w:tr w:rsidR="00FC60D1" w:rsidTr="00203502">
        <w:trPr>
          <w:jc w:val="center"/>
        </w:trPr>
        <w:tc>
          <w:tcPr>
            <w:tcW w:w="2835" w:type="dxa"/>
            <w:shd w:val="clear" w:color="auto" w:fill="auto"/>
          </w:tcPr>
          <w:p w:rsidR="00FC60D1" w:rsidRDefault="00FC60D1" w:rsidP="00203502">
            <w:pPr>
              <w:pStyle w:val="EBBodyPara"/>
            </w:pPr>
          </w:p>
        </w:tc>
        <w:tc>
          <w:tcPr>
            <w:tcW w:w="1531" w:type="dxa"/>
            <w:shd w:val="clear" w:color="auto" w:fill="auto"/>
          </w:tcPr>
          <w:p w:rsidR="00FC60D1" w:rsidRDefault="00FC60D1" w:rsidP="00203502">
            <w:pPr>
              <w:pStyle w:val="EBBodyPara"/>
              <w:jc w:val="center"/>
            </w:pPr>
            <w:r>
              <w:t>Costs of Option 1</w:t>
            </w:r>
          </w:p>
          <w:p w:rsidR="00FC60D1" w:rsidRDefault="00FC60D1" w:rsidP="00203502">
            <w:pPr>
              <w:pStyle w:val="EBBodyPara"/>
              <w:jc w:val="center"/>
            </w:pPr>
            <w:r>
              <w:t>(£/km)</w:t>
            </w:r>
          </w:p>
        </w:tc>
        <w:tc>
          <w:tcPr>
            <w:tcW w:w="1531" w:type="dxa"/>
          </w:tcPr>
          <w:p w:rsidR="00FC60D1" w:rsidRDefault="00FC60D1" w:rsidP="00203502">
            <w:pPr>
              <w:pStyle w:val="EBBodyPara"/>
              <w:jc w:val="center"/>
            </w:pPr>
            <w:r>
              <w:t>Costs of Do Nothing</w:t>
            </w:r>
          </w:p>
          <w:p w:rsidR="00FC60D1" w:rsidRDefault="00FC60D1" w:rsidP="00FC60D1">
            <w:pPr>
              <w:pStyle w:val="EBBodyPara"/>
              <w:jc w:val="center"/>
            </w:pPr>
            <w:r>
              <w:t>(£/km)</w:t>
            </w:r>
          </w:p>
        </w:tc>
      </w:tr>
      <w:tr w:rsidR="00FC60D1" w:rsidTr="00203502">
        <w:trPr>
          <w:jc w:val="center"/>
        </w:trPr>
        <w:tc>
          <w:tcPr>
            <w:tcW w:w="2835" w:type="dxa"/>
            <w:shd w:val="clear" w:color="auto" w:fill="auto"/>
          </w:tcPr>
          <w:p w:rsidR="00FC60D1" w:rsidRDefault="00FC60D1" w:rsidP="00FC60D1">
            <w:pPr>
              <w:pStyle w:val="EBBodyPara"/>
            </w:pPr>
            <w:r>
              <w:t>Installation</w:t>
            </w:r>
          </w:p>
        </w:tc>
        <w:tc>
          <w:tcPr>
            <w:tcW w:w="1531" w:type="dxa"/>
            <w:shd w:val="clear" w:color="auto" w:fill="auto"/>
          </w:tcPr>
          <w:p w:rsidR="00FC60D1" w:rsidRDefault="00FC60D1" w:rsidP="00203502">
            <w:pPr>
              <w:pStyle w:val="EBBodyPara"/>
              <w:jc w:val="center"/>
            </w:pPr>
            <w:r>
              <w:t>29,607(1)</w:t>
            </w:r>
          </w:p>
        </w:tc>
        <w:tc>
          <w:tcPr>
            <w:tcW w:w="1531" w:type="dxa"/>
          </w:tcPr>
          <w:p w:rsidR="00FC60D1" w:rsidRDefault="00FC60D1" w:rsidP="00203502">
            <w:pPr>
              <w:pStyle w:val="EBBodyPara"/>
              <w:jc w:val="center"/>
            </w:pPr>
            <w:r>
              <w:t>36,483(2)</w:t>
            </w:r>
          </w:p>
        </w:tc>
      </w:tr>
      <w:tr w:rsidR="00FC60D1" w:rsidTr="00203502">
        <w:trPr>
          <w:jc w:val="center"/>
        </w:trPr>
        <w:tc>
          <w:tcPr>
            <w:tcW w:w="2835" w:type="dxa"/>
            <w:shd w:val="clear" w:color="auto" w:fill="auto"/>
          </w:tcPr>
          <w:p w:rsidR="00FC60D1" w:rsidRDefault="00FC60D1" w:rsidP="00FC60D1">
            <w:pPr>
              <w:pStyle w:val="EBBodyPara"/>
            </w:pPr>
            <w:r>
              <w:t>Maintenance</w:t>
            </w:r>
          </w:p>
        </w:tc>
        <w:tc>
          <w:tcPr>
            <w:tcW w:w="1531" w:type="dxa"/>
            <w:shd w:val="clear" w:color="auto" w:fill="auto"/>
          </w:tcPr>
          <w:p w:rsidR="00FC60D1" w:rsidRDefault="00FC60D1" w:rsidP="00203502">
            <w:pPr>
              <w:pStyle w:val="EBBodyPara"/>
              <w:jc w:val="center"/>
            </w:pPr>
            <w:r>
              <w:t>4,441(3)</w:t>
            </w:r>
          </w:p>
        </w:tc>
        <w:tc>
          <w:tcPr>
            <w:tcW w:w="1531" w:type="dxa"/>
          </w:tcPr>
          <w:p w:rsidR="00FC60D1" w:rsidRDefault="00FC60D1" w:rsidP="00D423A9">
            <w:pPr>
              <w:pStyle w:val="EBBodyPara"/>
              <w:jc w:val="center"/>
            </w:pPr>
            <w:r>
              <w:t>3,648(</w:t>
            </w:r>
            <w:r w:rsidR="00D423A9">
              <w:t>4</w:t>
            </w:r>
            <w:r>
              <w:t>)</w:t>
            </w:r>
          </w:p>
        </w:tc>
      </w:tr>
      <w:tr w:rsidR="00FC60D1" w:rsidTr="00203502">
        <w:trPr>
          <w:jc w:val="center"/>
        </w:trPr>
        <w:tc>
          <w:tcPr>
            <w:tcW w:w="2835" w:type="dxa"/>
            <w:shd w:val="clear" w:color="auto" w:fill="auto"/>
          </w:tcPr>
          <w:p w:rsidR="00FC60D1" w:rsidRDefault="00FC60D1" w:rsidP="00FC60D1">
            <w:pPr>
              <w:pStyle w:val="EBBodyPara"/>
            </w:pPr>
            <w:r>
              <w:t xml:space="preserve">Way leaves </w:t>
            </w:r>
          </w:p>
        </w:tc>
        <w:tc>
          <w:tcPr>
            <w:tcW w:w="1531" w:type="dxa"/>
            <w:shd w:val="clear" w:color="auto" w:fill="auto"/>
          </w:tcPr>
          <w:p w:rsidR="00FC60D1" w:rsidRDefault="00FC60D1" w:rsidP="00203502">
            <w:pPr>
              <w:pStyle w:val="EBBodyPara"/>
              <w:jc w:val="center"/>
            </w:pPr>
            <w:r>
              <w:t>1,110(5)</w:t>
            </w:r>
          </w:p>
        </w:tc>
        <w:tc>
          <w:tcPr>
            <w:tcW w:w="1531" w:type="dxa"/>
          </w:tcPr>
          <w:p w:rsidR="00FC60D1" w:rsidRDefault="00FC60D1" w:rsidP="00203502">
            <w:pPr>
              <w:pStyle w:val="EBBodyPara"/>
              <w:jc w:val="center"/>
            </w:pPr>
            <w:r>
              <w:t>9,266(6)</w:t>
            </w:r>
            <w:r w:rsidR="00D423A9">
              <w:t>(7)</w:t>
            </w:r>
          </w:p>
        </w:tc>
      </w:tr>
      <w:tr w:rsidR="00FC60D1" w:rsidTr="00203502">
        <w:trPr>
          <w:jc w:val="center"/>
        </w:trPr>
        <w:tc>
          <w:tcPr>
            <w:tcW w:w="2835" w:type="dxa"/>
            <w:shd w:val="clear" w:color="auto" w:fill="auto"/>
          </w:tcPr>
          <w:p w:rsidR="00FC60D1" w:rsidRDefault="00FC60D1" w:rsidP="00D423A9">
            <w:pPr>
              <w:pStyle w:val="EBBodyPara"/>
            </w:pPr>
            <w:r>
              <w:t>Cost of accidents</w:t>
            </w:r>
          </w:p>
        </w:tc>
        <w:tc>
          <w:tcPr>
            <w:tcW w:w="1531" w:type="dxa"/>
            <w:shd w:val="clear" w:color="auto" w:fill="auto"/>
          </w:tcPr>
          <w:p w:rsidR="00FC60D1" w:rsidRDefault="00FC60D1" w:rsidP="00D423A9">
            <w:pPr>
              <w:pStyle w:val="EBBodyPara"/>
              <w:jc w:val="center"/>
            </w:pPr>
            <w:r>
              <w:t>N/A</w:t>
            </w:r>
            <w:r w:rsidR="00D423A9">
              <w:t>(8)</w:t>
            </w:r>
          </w:p>
        </w:tc>
        <w:tc>
          <w:tcPr>
            <w:tcW w:w="1531" w:type="dxa"/>
          </w:tcPr>
          <w:p w:rsidR="00FC60D1" w:rsidRDefault="00FC60D1" w:rsidP="00203502">
            <w:pPr>
              <w:pStyle w:val="EBBodyPara"/>
              <w:jc w:val="center"/>
            </w:pPr>
            <w:r>
              <w:t>0</w:t>
            </w:r>
          </w:p>
        </w:tc>
      </w:tr>
      <w:tr w:rsidR="00FC60D1" w:rsidTr="00203502">
        <w:trPr>
          <w:jc w:val="center"/>
        </w:trPr>
        <w:tc>
          <w:tcPr>
            <w:tcW w:w="2835" w:type="dxa"/>
            <w:shd w:val="clear" w:color="auto" w:fill="auto"/>
          </w:tcPr>
          <w:p w:rsidR="00FC60D1" w:rsidRDefault="00FC60D1" w:rsidP="00D423A9">
            <w:pPr>
              <w:pStyle w:val="EBBodyPara"/>
            </w:pPr>
            <w:r>
              <w:t>Total transition costs</w:t>
            </w:r>
          </w:p>
        </w:tc>
        <w:tc>
          <w:tcPr>
            <w:tcW w:w="1531" w:type="dxa"/>
            <w:shd w:val="clear" w:color="auto" w:fill="auto"/>
          </w:tcPr>
          <w:p w:rsidR="00FC60D1" w:rsidRDefault="00FC60D1" w:rsidP="00D423A9">
            <w:pPr>
              <w:pStyle w:val="EBBodyPara"/>
              <w:jc w:val="center"/>
            </w:pPr>
            <w:r>
              <w:t>29,607</w:t>
            </w:r>
            <w:r w:rsidR="00D423A9">
              <w:t>(9)</w:t>
            </w:r>
          </w:p>
        </w:tc>
        <w:tc>
          <w:tcPr>
            <w:tcW w:w="1531" w:type="dxa"/>
          </w:tcPr>
          <w:p w:rsidR="00FC60D1" w:rsidRDefault="00D423A9" w:rsidP="00203502">
            <w:pPr>
              <w:pStyle w:val="EBBodyPara"/>
              <w:jc w:val="center"/>
            </w:pPr>
            <w:r>
              <w:t>45,749(10)</w:t>
            </w:r>
          </w:p>
        </w:tc>
      </w:tr>
    </w:tbl>
    <w:p w:rsidR="00386071" w:rsidRDefault="00386071" w:rsidP="00386071">
      <w:pPr>
        <w:pStyle w:val="EBBodyPara"/>
      </w:pPr>
      <w:r>
        <w:t>N/A Not Available.</w:t>
      </w:r>
    </w:p>
    <w:p w:rsidR="00386071" w:rsidRDefault="00386071" w:rsidP="00386071">
      <w:pPr>
        <w:pStyle w:val="EBBodyPara"/>
      </w:pPr>
      <w:r>
        <w:t>Notes:</w:t>
      </w:r>
    </w:p>
    <w:p w:rsidR="00FC60D1" w:rsidRDefault="00386071" w:rsidP="002433E6">
      <w:pPr>
        <w:pStyle w:val="EBBodyPara"/>
        <w:numPr>
          <w:ilvl w:val="0"/>
          <w:numId w:val="30"/>
        </w:numPr>
        <w:spacing w:line="276" w:lineRule="auto"/>
        <w:ind w:left="1077"/>
      </w:pPr>
      <w:r>
        <w:t>No data on the costs of installing optic fibre overhead are publicly available for the UK largely because such installations have hardly taken place. This forced the use of publicly available overseas data on overhead installation of optic fibre. The mean one off-cost of new installation of aerial fibre based on DCMS analysis of grants made by the National Telecommunications and Information Administration (NTIA) in the USA for the aerial installation of optic fibre converted to Sterling (1: 0.62).</w:t>
      </w:r>
    </w:p>
    <w:p w:rsidR="00FC60D1" w:rsidRDefault="00FC60D1" w:rsidP="002433E6">
      <w:pPr>
        <w:pStyle w:val="EBBodyPara"/>
        <w:numPr>
          <w:ilvl w:val="0"/>
          <w:numId w:val="30"/>
        </w:numPr>
        <w:spacing w:line="276" w:lineRule="auto"/>
        <w:ind w:left="1077"/>
      </w:pPr>
      <w:r>
        <w:t xml:space="preserve">Overhead installation is likely to be used for FTTP-PTP in rural districts. Calculated as average additional cost of FTTP-PTP taken from Table 1 compared to new aerial installation of fibre. Average overhead installation costs calculated as in Table 3. Note that, in practice, the majority of optic fibre installation will involve replacing copper wires in existing ducts.  </w:t>
      </w:r>
    </w:p>
    <w:p w:rsidR="00386071" w:rsidRDefault="00386071" w:rsidP="002433E6">
      <w:pPr>
        <w:pStyle w:val="EBBodyPara"/>
        <w:numPr>
          <w:ilvl w:val="0"/>
          <w:numId w:val="30"/>
        </w:numPr>
        <w:spacing w:line="276" w:lineRule="auto"/>
        <w:ind w:left="1077"/>
      </w:pPr>
      <w:r>
        <w:t>Annual maintenance costs of optic fibre installed overhead are higher than fibre installed in duct. However, no data are publicly available. Hence, it is assumed that annual maintenance costs are 15% for aerially installed fibre. Maintenance begins in the year after installation.</w:t>
      </w:r>
    </w:p>
    <w:p w:rsidR="00FC60D1" w:rsidRDefault="00FC60D1" w:rsidP="002433E6">
      <w:pPr>
        <w:pStyle w:val="EBBodyPara"/>
        <w:numPr>
          <w:ilvl w:val="0"/>
          <w:numId w:val="30"/>
        </w:numPr>
        <w:spacing w:line="276" w:lineRule="auto"/>
        <w:ind w:left="1077"/>
      </w:pPr>
      <w:r>
        <w:t>No data on the costs of maintaining optic fibre in ducts are publicly available. We, therefore, assume annual maintenance at 10% of capital cost for fibre in duct. Maintenance begins in the year after installation.</w:t>
      </w:r>
    </w:p>
    <w:p w:rsidR="00386071" w:rsidRDefault="00386071" w:rsidP="002433E6">
      <w:pPr>
        <w:pStyle w:val="EBBodyPara"/>
        <w:numPr>
          <w:ilvl w:val="0"/>
          <w:numId w:val="30"/>
        </w:numPr>
        <w:spacing w:line="276" w:lineRule="auto"/>
        <w:ind w:left="1077"/>
      </w:pPr>
      <w:r>
        <w:t xml:space="preserve">Overhead telecommunications lines attract an annual rental payment (a wayleave) for each pole paid to landowners and tenants as appropriate. As with duct wayleaves these involve elements of rent and compensation but no data are publicly available. Wayleave annual rentals vary considerably according to the size of pole, the use of the land traversed and the nature of its tenancy and it is not possible to reliably estimate their average annual level in the absence of firm plans to install aerial optic fibre. The above estimate for wayleave rentals assumes that the National Grid standard wayleave tariff applies see http://www.nationalgrid.com/NR/rdonlyres. It is assumed that poles of 5.3 m are installed at a density of 20 per km, one third of which are installed on grassland and two thirds on arable all owner-occupied. It is possible that this represents an underestimate of actual negotiated costs of telecommunications wayleaves see The Central Association of Agricultural Values (2010): “Telecommunications Masts”, </w:t>
      </w:r>
      <w:proofErr w:type="spellStart"/>
      <w:r>
        <w:t>Coleford</w:t>
      </w:r>
      <w:proofErr w:type="spellEnd"/>
      <w:r>
        <w:t>, CAAV, September, p. 52.</w:t>
      </w:r>
    </w:p>
    <w:p w:rsidR="00FC60D1" w:rsidRDefault="00FC60D1" w:rsidP="002433E6">
      <w:pPr>
        <w:pStyle w:val="EBBodyPara"/>
        <w:numPr>
          <w:ilvl w:val="0"/>
          <w:numId w:val="30"/>
        </w:numPr>
        <w:spacing w:line="276" w:lineRule="auto"/>
        <w:ind w:left="1077"/>
      </w:pPr>
      <w:r>
        <w:tab/>
        <w:t xml:space="preserve">Wayleaves for telecommunications duct are paid to landowners in return for permission to install ducts and fibre underground. They represent both a rental and a compensation and are normally paid as one-off up-front payment at time of installation. They vary widely in practice depending on negotiations between providers and landowners but are normally based on a fair value calculation see Norman E Hutchison and Jeremy Rowan-Robinson (2000): “Utility Wayleaves: A legislative lottery”, London, RICS Research Foundation, December, p. 18. </w:t>
      </w:r>
      <w:r>
        <w:lastRenderedPageBreak/>
        <w:t>Landowners can grow crops over the ducts but may not erect structures within a 6 metre wide strip running the length of the duct trench.</w:t>
      </w:r>
    </w:p>
    <w:p w:rsidR="00D423A9" w:rsidRDefault="00D423A9" w:rsidP="002433E6">
      <w:pPr>
        <w:pStyle w:val="EBBodyPara"/>
        <w:spacing w:line="276" w:lineRule="auto"/>
        <w:ind w:left="1077"/>
      </w:pPr>
    </w:p>
    <w:p w:rsidR="00D423A9" w:rsidRDefault="00D423A9" w:rsidP="002433E6">
      <w:pPr>
        <w:pStyle w:val="EBBodyPara"/>
        <w:numPr>
          <w:ilvl w:val="0"/>
          <w:numId w:val="30"/>
        </w:numPr>
        <w:spacing w:line="276" w:lineRule="auto"/>
        <w:ind w:left="1077"/>
      </w:pPr>
      <w:r>
        <w:t>Fair value is calculated by assuming that the average price of farmland is £5,000 per acre and this dictates the wayleaves payable on average for a strip 6 metres wide across farmland. This is somewhat less than the average price for farmland Great Britain reported for 2010 see Savills (2011): “Agricultural Land Market Survey 2011”, London, Savills Research, February. Underground wayleaves are calculated as 1.25 times the fair value of land.</w:t>
      </w:r>
    </w:p>
    <w:p w:rsidR="00386071" w:rsidRDefault="00386071" w:rsidP="002433E6">
      <w:pPr>
        <w:pStyle w:val="EBBodyPara"/>
        <w:numPr>
          <w:ilvl w:val="0"/>
          <w:numId w:val="30"/>
        </w:numPr>
        <w:spacing w:line="276" w:lineRule="auto"/>
        <w:ind w:left="1077"/>
      </w:pPr>
      <w:r>
        <w:t>It is possible that the number of accidents per year involving roadside poles will increase as a result of new installations. It has not proved possible to estimate this possible effect.</w:t>
      </w:r>
    </w:p>
    <w:p w:rsidR="00D423A9" w:rsidRDefault="00386071" w:rsidP="002433E6">
      <w:pPr>
        <w:pStyle w:val="EBBodyPara"/>
        <w:keepNext/>
        <w:keepLines/>
        <w:numPr>
          <w:ilvl w:val="0"/>
          <w:numId w:val="30"/>
        </w:numPr>
        <w:spacing w:line="276" w:lineRule="auto"/>
        <w:ind w:left="1077"/>
      </w:pPr>
      <w:r>
        <w:lastRenderedPageBreak/>
        <w:t xml:space="preserve">Transition costs = Installation only. </w:t>
      </w:r>
    </w:p>
    <w:p w:rsidR="00D423A9" w:rsidRPr="00D423A9" w:rsidRDefault="00FC60D1" w:rsidP="002433E6">
      <w:pPr>
        <w:pStyle w:val="EBBodyPara"/>
        <w:keepNext/>
        <w:keepLines/>
        <w:numPr>
          <w:ilvl w:val="0"/>
          <w:numId w:val="30"/>
        </w:numPr>
        <w:spacing w:line="276" w:lineRule="auto"/>
        <w:ind w:left="1077"/>
      </w:pPr>
      <w:r>
        <w:t>Transition costs = Installation + one-off wayleave payment.</w:t>
      </w:r>
      <w:r w:rsidR="00D417A6" w:rsidRPr="00D423A9">
        <w:rPr>
          <w:u w:val="single"/>
        </w:rPr>
        <w:t xml:space="preserve"> </w:t>
      </w:r>
    </w:p>
    <w:p w:rsidR="00D423A9" w:rsidRPr="00D423A9" w:rsidRDefault="00D423A9" w:rsidP="00D423A9">
      <w:pPr>
        <w:pStyle w:val="EBBodyPara"/>
        <w:keepNext/>
        <w:keepLines/>
        <w:spacing w:line="276" w:lineRule="auto"/>
        <w:ind w:left="1080"/>
      </w:pPr>
    </w:p>
    <w:p w:rsidR="00D417A6" w:rsidRDefault="00D417A6" w:rsidP="00D423A9">
      <w:pPr>
        <w:pStyle w:val="EBBodyPara"/>
        <w:keepNext/>
        <w:keepLines/>
        <w:spacing w:line="276" w:lineRule="auto"/>
      </w:pPr>
      <w:r w:rsidRPr="00D423A9">
        <w:rPr>
          <w:u w:val="single"/>
        </w:rPr>
        <w:t>Access to Broadband</w:t>
      </w:r>
    </w:p>
    <w:p w:rsidR="00D417A6" w:rsidRDefault="002E371E" w:rsidP="00CC349B">
      <w:pPr>
        <w:pStyle w:val="EBBodyPara"/>
        <w:keepNext/>
        <w:keepLines/>
        <w:spacing w:line="276" w:lineRule="auto"/>
      </w:pPr>
      <w:r>
        <w:t xml:space="preserve">The reduction in installation costs that the use of overhead lines implies will mean that more communities will be connected to fixed-line broadband than if </w:t>
      </w:r>
      <w:r w:rsidR="00C63781">
        <w:t>underground installation had still been mandatory. This will mean that more communities will have access to broadband than if the measure had not been introduced.</w:t>
      </w:r>
    </w:p>
    <w:p w:rsidR="00374AD7" w:rsidRDefault="00C63781" w:rsidP="00CC349B">
      <w:pPr>
        <w:pStyle w:val="EBBodyPara"/>
        <w:keepNext/>
        <w:keepLines/>
        <w:spacing w:line="276" w:lineRule="auto"/>
      </w:pPr>
      <w:r>
        <w:t xml:space="preserve">The extent of this effect is difficult to estimate. This is because the advantages of faster broadband over other types of internet connection in the UK have not been estimated. </w:t>
      </w:r>
      <w:r w:rsidR="00354FAB">
        <w:t>However, US research suggests that consumers are prepared to pay more for faster broadband speeds although the relationship is far from linear. We assume that customers will be willing to pay an extra £5 per month for a doubling of broadband speed.</w:t>
      </w:r>
    </w:p>
    <w:p w:rsidR="003C2BE1" w:rsidRDefault="003C2BE1" w:rsidP="00374AD7">
      <w:pPr>
        <w:pStyle w:val="EBBodyPara"/>
        <w:keepNext/>
        <w:keepLines/>
        <w:spacing w:line="276" w:lineRule="auto"/>
        <w:jc w:val="center"/>
        <w:rPr>
          <w:b/>
        </w:rPr>
      </w:pPr>
    </w:p>
    <w:p w:rsidR="00354FAB" w:rsidRDefault="00374AD7" w:rsidP="00374AD7">
      <w:pPr>
        <w:pStyle w:val="EBBodyPara"/>
        <w:keepNext/>
        <w:keepLines/>
        <w:spacing w:line="276" w:lineRule="auto"/>
        <w:jc w:val="center"/>
        <w:rPr>
          <w:b/>
        </w:rPr>
      </w:pPr>
      <w:r>
        <w:rPr>
          <w:b/>
        </w:rPr>
        <w:t xml:space="preserve">TABLE </w:t>
      </w:r>
      <w:r w:rsidR="00D423A9">
        <w:rPr>
          <w:b/>
        </w:rPr>
        <w:t>2</w:t>
      </w:r>
    </w:p>
    <w:p w:rsidR="00374AD7" w:rsidRDefault="00374AD7" w:rsidP="00374AD7">
      <w:pPr>
        <w:pStyle w:val="EBBodyPara"/>
        <w:keepNext/>
        <w:keepLines/>
        <w:spacing w:line="276" w:lineRule="auto"/>
        <w:jc w:val="center"/>
        <w:rPr>
          <w:b/>
        </w:rPr>
      </w:pPr>
      <w:r>
        <w:rPr>
          <w:b/>
        </w:rPr>
        <w:t>UK POPULATION DENSITIES</w:t>
      </w:r>
    </w:p>
    <w:p w:rsidR="00374AD7" w:rsidRDefault="00374AD7" w:rsidP="00374AD7">
      <w:pPr>
        <w:pStyle w:val="EBBodyPara"/>
        <w:keepNext/>
        <w:keepLines/>
        <w:spacing w:line="276" w:lineRule="auto"/>
        <w:jc w:val="center"/>
        <w:rPr>
          <w:b/>
        </w:rPr>
      </w:pPr>
      <w:r>
        <w:rPr>
          <w:b/>
        </w:rPr>
        <w:t>(As at 2011 Census)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719"/>
        <w:gridCol w:w="1842"/>
        <w:gridCol w:w="1169"/>
      </w:tblGrid>
      <w:tr w:rsidR="00534733" w:rsidRPr="00534733" w:rsidTr="00534733">
        <w:trPr>
          <w:jc w:val="center"/>
        </w:trPr>
        <w:tc>
          <w:tcPr>
            <w:tcW w:w="2217" w:type="dxa"/>
            <w:shd w:val="clear" w:color="auto" w:fill="auto"/>
          </w:tcPr>
          <w:p w:rsidR="00374AD7" w:rsidRPr="00374AD7" w:rsidRDefault="00374AD7" w:rsidP="00534733">
            <w:pPr>
              <w:pStyle w:val="EBBodyPara"/>
              <w:keepNext/>
              <w:keepLines/>
              <w:spacing w:line="276" w:lineRule="auto"/>
              <w:jc w:val="center"/>
            </w:pPr>
          </w:p>
        </w:tc>
        <w:tc>
          <w:tcPr>
            <w:tcW w:w="1719" w:type="dxa"/>
            <w:shd w:val="clear" w:color="auto" w:fill="auto"/>
          </w:tcPr>
          <w:p w:rsidR="00374AD7" w:rsidRDefault="00374AD7" w:rsidP="00534733">
            <w:pPr>
              <w:pStyle w:val="EBBodyPara"/>
              <w:keepNext/>
              <w:keepLines/>
              <w:spacing w:line="276" w:lineRule="auto"/>
              <w:jc w:val="center"/>
            </w:pPr>
            <w:r>
              <w:t>Total Population</w:t>
            </w:r>
          </w:p>
          <w:p w:rsidR="00374AD7" w:rsidRPr="00374AD7" w:rsidRDefault="00374AD7" w:rsidP="00534733">
            <w:pPr>
              <w:pStyle w:val="EBBodyPara"/>
              <w:keepNext/>
              <w:keepLines/>
              <w:spacing w:line="276" w:lineRule="auto"/>
              <w:jc w:val="center"/>
            </w:pPr>
            <w:r>
              <w:t>000s</w:t>
            </w:r>
          </w:p>
        </w:tc>
        <w:tc>
          <w:tcPr>
            <w:tcW w:w="1842" w:type="dxa"/>
            <w:shd w:val="clear" w:color="auto" w:fill="auto"/>
          </w:tcPr>
          <w:p w:rsidR="00374AD7" w:rsidRPr="00374AD7" w:rsidRDefault="00374AD7" w:rsidP="00534733">
            <w:pPr>
              <w:pStyle w:val="EBBodyPara"/>
              <w:keepNext/>
              <w:keepLines/>
              <w:spacing w:line="276" w:lineRule="auto"/>
              <w:jc w:val="center"/>
            </w:pPr>
            <w:r>
              <w:t xml:space="preserve">Population in areas under 150 per </w:t>
            </w:r>
            <w:proofErr w:type="spellStart"/>
            <w:r>
              <w:t>sq</w:t>
            </w:r>
            <w:proofErr w:type="spellEnd"/>
            <w:r>
              <w:t xml:space="preserve"> km</w:t>
            </w:r>
          </w:p>
        </w:tc>
        <w:tc>
          <w:tcPr>
            <w:tcW w:w="1169" w:type="dxa"/>
            <w:shd w:val="clear" w:color="auto" w:fill="auto"/>
          </w:tcPr>
          <w:p w:rsidR="00374AD7" w:rsidRPr="00374AD7" w:rsidRDefault="00374AD7" w:rsidP="00534733">
            <w:pPr>
              <w:pStyle w:val="EBBodyPara"/>
              <w:keepNext/>
              <w:keepLines/>
              <w:spacing w:line="276" w:lineRule="auto"/>
              <w:jc w:val="center"/>
            </w:pPr>
            <w:r>
              <w:t>% of total</w:t>
            </w:r>
          </w:p>
        </w:tc>
      </w:tr>
      <w:tr w:rsidR="00534733" w:rsidRPr="00534733" w:rsidTr="00534733">
        <w:trPr>
          <w:jc w:val="center"/>
        </w:trPr>
        <w:tc>
          <w:tcPr>
            <w:tcW w:w="2217" w:type="dxa"/>
            <w:shd w:val="clear" w:color="auto" w:fill="auto"/>
          </w:tcPr>
          <w:p w:rsidR="00374AD7" w:rsidRPr="00374AD7" w:rsidRDefault="00374AD7" w:rsidP="00534733">
            <w:pPr>
              <w:pStyle w:val="EBBodyPara"/>
              <w:keepNext/>
              <w:keepLines/>
              <w:spacing w:line="276" w:lineRule="auto"/>
            </w:pPr>
            <w:r>
              <w:t>Northern Ireland</w:t>
            </w:r>
          </w:p>
        </w:tc>
        <w:tc>
          <w:tcPr>
            <w:tcW w:w="1719" w:type="dxa"/>
            <w:shd w:val="clear" w:color="auto" w:fill="auto"/>
          </w:tcPr>
          <w:p w:rsidR="00374AD7" w:rsidRPr="00374AD7" w:rsidRDefault="00374AD7" w:rsidP="00534733">
            <w:pPr>
              <w:pStyle w:val="EBBodyPara"/>
              <w:keepNext/>
              <w:keepLines/>
              <w:spacing w:line="276" w:lineRule="auto"/>
              <w:jc w:val="center"/>
            </w:pPr>
            <w:r>
              <w:t>1,802</w:t>
            </w:r>
          </w:p>
        </w:tc>
        <w:tc>
          <w:tcPr>
            <w:tcW w:w="1842" w:type="dxa"/>
            <w:shd w:val="clear" w:color="auto" w:fill="auto"/>
          </w:tcPr>
          <w:p w:rsidR="00374AD7" w:rsidRPr="00374AD7" w:rsidRDefault="00374AD7" w:rsidP="00534733">
            <w:pPr>
              <w:pStyle w:val="EBBodyPara"/>
              <w:keepNext/>
              <w:keepLines/>
              <w:spacing w:line="276" w:lineRule="auto"/>
              <w:jc w:val="center"/>
            </w:pPr>
            <w:r>
              <w:t>862</w:t>
            </w:r>
          </w:p>
        </w:tc>
        <w:tc>
          <w:tcPr>
            <w:tcW w:w="1169" w:type="dxa"/>
            <w:shd w:val="clear" w:color="auto" w:fill="auto"/>
          </w:tcPr>
          <w:p w:rsidR="00374AD7" w:rsidRPr="00374AD7" w:rsidRDefault="0035693D" w:rsidP="00534733">
            <w:pPr>
              <w:pStyle w:val="EBBodyPara"/>
              <w:keepNext/>
              <w:keepLines/>
              <w:spacing w:line="276" w:lineRule="auto"/>
              <w:jc w:val="center"/>
            </w:pPr>
            <w:r>
              <w:t>47.8</w:t>
            </w:r>
          </w:p>
        </w:tc>
      </w:tr>
      <w:tr w:rsidR="00534733" w:rsidRPr="00534733" w:rsidTr="00534733">
        <w:trPr>
          <w:jc w:val="center"/>
        </w:trPr>
        <w:tc>
          <w:tcPr>
            <w:tcW w:w="2217" w:type="dxa"/>
            <w:shd w:val="clear" w:color="auto" w:fill="auto"/>
          </w:tcPr>
          <w:p w:rsidR="00374AD7" w:rsidRPr="00374AD7" w:rsidRDefault="00374AD7" w:rsidP="00534733">
            <w:pPr>
              <w:pStyle w:val="EBBodyPara"/>
              <w:keepNext/>
              <w:keepLines/>
              <w:spacing w:line="276" w:lineRule="auto"/>
            </w:pPr>
            <w:r>
              <w:t>Scotland</w:t>
            </w:r>
          </w:p>
        </w:tc>
        <w:tc>
          <w:tcPr>
            <w:tcW w:w="1719" w:type="dxa"/>
            <w:shd w:val="clear" w:color="auto" w:fill="auto"/>
          </w:tcPr>
          <w:p w:rsidR="00374AD7" w:rsidRPr="00374AD7" w:rsidRDefault="00374AD7" w:rsidP="00534733">
            <w:pPr>
              <w:pStyle w:val="EBBodyPara"/>
              <w:keepNext/>
              <w:keepLines/>
              <w:spacing w:line="276" w:lineRule="auto"/>
              <w:jc w:val="center"/>
            </w:pPr>
            <w:r>
              <w:t>5,223</w:t>
            </w:r>
          </w:p>
        </w:tc>
        <w:tc>
          <w:tcPr>
            <w:tcW w:w="1842" w:type="dxa"/>
            <w:shd w:val="clear" w:color="auto" w:fill="auto"/>
          </w:tcPr>
          <w:p w:rsidR="00374AD7" w:rsidRPr="00374AD7" w:rsidRDefault="00374AD7" w:rsidP="00534733">
            <w:pPr>
              <w:pStyle w:val="EBBodyPara"/>
              <w:keepNext/>
              <w:keepLines/>
              <w:spacing w:line="276" w:lineRule="auto"/>
              <w:jc w:val="center"/>
            </w:pPr>
            <w:r>
              <w:t>1,652</w:t>
            </w:r>
          </w:p>
        </w:tc>
        <w:tc>
          <w:tcPr>
            <w:tcW w:w="1169" w:type="dxa"/>
            <w:shd w:val="clear" w:color="auto" w:fill="auto"/>
          </w:tcPr>
          <w:p w:rsidR="00374AD7" w:rsidRPr="00374AD7" w:rsidRDefault="0035693D" w:rsidP="00534733">
            <w:pPr>
              <w:pStyle w:val="EBBodyPara"/>
              <w:keepNext/>
              <w:keepLines/>
              <w:spacing w:line="276" w:lineRule="auto"/>
              <w:jc w:val="center"/>
            </w:pPr>
            <w:r>
              <w:t>31.6</w:t>
            </w:r>
          </w:p>
        </w:tc>
      </w:tr>
      <w:tr w:rsidR="00534733" w:rsidRPr="00534733" w:rsidTr="00534733">
        <w:trPr>
          <w:jc w:val="center"/>
        </w:trPr>
        <w:tc>
          <w:tcPr>
            <w:tcW w:w="2217" w:type="dxa"/>
            <w:shd w:val="clear" w:color="auto" w:fill="auto"/>
          </w:tcPr>
          <w:p w:rsidR="00374AD7" w:rsidRPr="00374AD7" w:rsidRDefault="00374AD7" w:rsidP="00534733">
            <w:pPr>
              <w:pStyle w:val="EBBodyPara"/>
              <w:keepNext/>
              <w:keepLines/>
              <w:spacing w:line="276" w:lineRule="auto"/>
            </w:pPr>
            <w:r>
              <w:t>Wales</w:t>
            </w:r>
          </w:p>
        </w:tc>
        <w:tc>
          <w:tcPr>
            <w:tcW w:w="1719" w:type="dxa"/>
            <w:shd w:val="clear" w:color="auto" w:fill="auto"/>
          </w:tcPr>
          <w:p w:rsidR="00374AD7" w:rsidRPr="00374AD7" w:rsidRDefault="00374AD7" w:rsidP="00534733">
            <w:pPr>
              <w:pStyle w:val="EBBodyPara"/>
              <w:keepNext/>
              <w:keepLines/>
              <w:spacing w:line="276" w:lineRule="auto"/>
              <w:jc w:val="center"/>
            </w:pPr>
            <w:r>
              <w:t>3,008</w:t>
            </w:r>
          </w:p>
        </w:tc>
        <w:tc>
          <w:tcPr>
            <w:tcW w:w="1842" w:type="dxa"/>
            <w:shd w:val="clear" w:color="auto" w:fill="auto"/>
          </w:tcPr>
          <w:p w:rsidR="00374AD7" w:rsidRPr="00374AD7" w:rsidRDefault="00374AD7" w:rsidP="00534733">
            <w:pPr>
              <w:pStyle w:val="EBBodyPara"/>
              <w:keepNext/>
              <w:keepLines/>
              <w:spacing w:line="276" w:lineRule="auto"/>
              <w:jc w:val="center"/>
            </w:pPr>
            <w:r>
              <w:t>990</w:t>
            </w:r>
          </w:p>
        </w:tc>
        <w:tc>
          <w:tcPr>
            <w:tcW w:w="1169" w:type="dxa"/>
            <w:shd w:val="clear" w:color="auto" w:fill="auto"/>
          </w:tcPr>
          <w:p w:rsidR="00374AD7" w:rsidRPr="00374AD7" w:rsidRDefault="0035693D" w:rsidP="00534733">
            <w:pPr>
              <w:pStyle w:val="EBBodyPara"/>
              <w:keepNext/>
              <w:keepLines/>
              <w:spacing w:line="276" w:lineRule="auto"/>
              <w:jc w:val="center"/>
            </w:pPr>
            <w:r>
              <w:t>21.3</w:t>
            </w:r>
          </w:p>
        </w:tc>
      </w:tr>
      <w:tr w:rsidR="00534733" w:rsidRPr="00534733" w:rsidTr="00534733">
        <w:trPr>
          <w:jc w:val="center"/>
        </w:trPr>
        <w:tc>
          <w:tcPr>
            <w:tcW w:w="2217" w:type="dxa"/>
            <w:shd w:val="clear" w:color="auto" w:fill="auto"/>
          </w:tcPr>
          <w:p w:rsidR="00374AD7" w:rsidRPr="00374AD7" w:rsidRDefault="00374AD7" w:rsidP="00534733">
            <w:pPr>
              <w:pStyle w:val="EBBodyPara"/>
              <w:keepNext/>
              <w:keepLines/>
              <w:spacing w:line="276" w:lineRule="auto"/>
            </w:pPr>
            <w:r>
              <w:t>England</w:t>
            </w:r>
          </w:p>
        </w:tc>
        <w:tc>
          <w:tcPr>
            <w:tcW w:w="1719" w:type="dxa"/>
            <w:shd w:val="clear" w:color="auto" w:fill="auto"/>
          </w:tcPr>
          <w:p w:rsidR="00374AD7" w:rsidRPr="00374AD7" w:rsidRDefault="0035693D" w:rsidP="00534733">
            <w:pPr>
              <w:pStyle w:val="EBBodyPara"/>
              <w:keepNext/>
              <w:keepLines/>
              <w:spacing w:line="276" w:lineRule="auto"/>
              <w:jc w:val="center"/>
            </w:pPr>
            <w:r>
              <w:t>51,885</w:t>
            </w:r>
          </w:p>
        </w:tc>
        <w:tc>
          <w:tcPr>
            <w:tcW w:w="1842" w:type="dxa"/>
            <w:shd w:val="clear" w:color="auto" w:fill="auto"/>
          </w:tcPr>
          <w:p w:rsidR="00374AD7" w:rsidRPr="00374AD7" w:rsidRDefault="0035693D" w:rsidP="00534733">
            <w:pPr>
              <w:pStyle w:val="EBBodyPara"/>
              <w:keepNext/>
              <w:keepLines/>
              <w:spacing w:line="276" w:lineRule="auto"/>
              <w:jc w:val="center"/>
            </w:pPr>
            <w:r>
              <w:t>5,741</w:t>
            </w:r>
          </w:p>
        </w:tc>
        <w:tc>
          <w:tcPr>
            <w:tcW w:w="1169" w:type="dxa"/>
            <w:shd w:val="clear" w:color="auto" w:fill="auto"/>
          </w:tcPr>
          <w:p w:rsidR="00374AD7" w:rsidRPr="00374AD7" w:rsidRDefault="0035693D" w:rsidP="00534733">
            <w:pPr>
              <w:pStyle w:val="EBBodyPara"/>
              <w:keepNext/>
              <w:keepLines/>
              <w:spacing w:line="276" w:lineRule="auto"/>
              <w:jc w:val="center"/>
            </w:pPr>
            <w:r>
              <w:t>11.1</w:t>
            </w:r>
          </w:p>
        </w:tc>
      </w:tr>
      <w:tr w:rsidR="00534733" w:rsidRPr="00534733" w:rsidTr="00534733">
        <w:trPr>
          <w:jc w:val="center"/>
        </w:trPr>
        <w:tc>
          <w:tcPr>
            <w:tcW w:w="2217" w:type="dxa"/>
            <w:shd w:val="clear" w:color="auto" w:fill="auto"/>
          </w:tcPr>
          <w:p w:rsidR="00374AD7" w:rsidRPr="00374AD7" w:rsidRDefault="00374AD7" w:rsidP="00534733">
            <w:pPr>
              <w:pStyle w:val="EBBodyPara"/>
              <w:keepNext/>
              <w:keepLines/>
              <w:spacing w:line="276" w:lineRule="auto"/>
            </w:pPr>
            <w:r>
              <w:t>UK</w:t>
            </w:r>
          </w:p>
        </w:tc>
        <w:tc>
          <w:tcPr>
            <w:tcW w:w="1719" w:type="dxa"/>
            <w:shd w:val="clear" w:color="auto" w:fill="auto"/>
          </w:tcPr>
          <w:p w:rsidR="00374AD7" w:rsidRPr="00374AD7" w:rsidRDefault="0035693D" w:rsidP="00534733">
            <w:pPr>
              <w:pStyle w:val="EBBodyPara"/>
              <w:keepNext/>
              <w:keepLines/>
              <w:spacing w:line="276" w:lineRule="auto"/>
              <w:jc w:val="center"/>
            </w:pPr>
            <w:r>
              <w:t>61,918</w:t>
            </w:r>
          </w:p>
        </w:tc>
        <w:tc>
          <w:tcPr>
            <w:tcW w:w="1842" w:type="dxa"/>
            <w:shd w:val="clear" w:color="auto" w:fill="auto"/>
          </w:tcPr>
          <w:p w:rsidR="00374AD7" w:rsidRPr="00374AD7" w:rsidRDefault="0035693D" w:rsidP="00534733">
            <w:pPr>
              <w:pStyle w:val="EBBodyPara"/>
              <w:keepNext/>
              <w:keepLines/>
              <w:spacing w:line="276" w:lineRule="auto"/>
              <w:jc w:val="center"/>
            </w:pPr>
            <w:r>
              <w:t>9,245</w:t>
            </w:r>
          </w:p>
        </w:tc>
        <w:tc>
          <w:tcPr>
            <w:tcW w:w="1169" w:type="dxa"/>
            <w:shd w:val="clear" w:color="auto" w:fill="auto"/>
          </w:tcPr>
          <w:p w:rsidR="00374AD7" w:rsidRPr="00374AD7" w:rsidRDefault="0035693D" w:rsidP="00534733">
            <w:pPr>
              <w:pStyle w:val="EBBodyPara"/>
              <w:keepNext/>
              <w:keepLines/>
              <w:spacing w:line="276" w:lineRule="auto"/>
              <w:jc w:val="center"/>
            </w:pPr>
            <w:r>
              <w:t>14.9</w:t>
            </w:r>
          </w:p>
        </w:tc>
      </w:tr>
    </w:tbl>
    <w:p w:rsidR="00374AD7" w:rsidRPr="00374AD7" w:rsidRDefault="00374AD7" w:rsidP="00374AD7">
      <w:pPr>
        <w:pStyle w:val="EBBodyPara"/>
        <w:keepNext/>
        <w:keepLines/>
        <w:spacing w:line="276" w:lineRule="auto"/>
        <w:jc w:val="center"/>
        <w:rPr>
          <w:b/>
        </w:rPr>
      </w:pPr>
    </w:p>
    <w:p w:rsidR="00C63781" w:rsidRDefault="00354FAB" w:rsidP="00CC349B">
      <w:pPr>
        <w:pStyle w:val="EBBodyPara"/>
        <w:keepNext/>
        <w:keepLines/>
        <w:spacing w:line="276" w:lineRule="auto"/>
      </w:pPr>
      <w:r>
        <w:t>In addition, we assume that it will possible for commercial broadband suppliers to profitably extend their services to all areas of the UK with a population density of 150 per square kilometre</w:t>
      </w:r>
      <w:r w:rsidR="003C2BE1">
        <w:t xml:space="preserve"> or approximately 85% of the UK population</w:t>
      </w:r>
      <w:r>
        <w:t>. Given that</w:t>
      </w:r>
      <w:r w:rsidR="0043383B">
        <w:t xml:space="preserve"> somewhat more that</w:t>
      </w:r>
      <w:r>
        <w:t xml:space="preserve"> </w:t>
      </w:r>
      <w:r w:rsidR="0043383B">
        <w:t>76</w:t>
      </w:r>
      <w:r>
        <w:t xml:space="preserve">% of UK </w:t>
      </w:r>
      <w:r w:rsidR="0043383B">
        <w:t>households</w:t>
      </w:r>
      <w:r>
        <w:t xml:space="preserve"> can currently access broadband</w:t>
      </w:r>
      <w:r w:rsidR="0035693D">
        <w:rPr>
          <w:rStyle w:val="FootnoteReference"/>
        </w:rPr>
        <w:footnoteReference w:id="22"/>
      </w:r>
      <w:r>
        <w:t xml:space="preserve"> this means that roughly </w:t>
      </w:r>
      <w:r w:rsidR="0043383B">
        <w:t>4.5</w:t>
      </w:r>
      <w:r>
        <w:t xml:space="preserve"> million more people will be able to access super-fast broadband than at present. If we assume take-up among those is 20% then </w:t>
      </w:r>
      <w:r w:rsidR="00534AA8">
        <w:t>the measure will generate consumer benefits of at least £5</w:t>
      </w:r>
      <w:r w:rsidR="0043383B">
        <w:t>4</w:t>
      </w:r>
      <w:r w:rsidR="00534AA8">
        <w:t xml:space="preserve"> million p.a.</w:t>
      </w:r>
      <w:r w:rsidR="00C63781">
        <w:t xml:space="preserve"> </w:t>
      </w:r>
    </w:p>
    <w:p w:rsidR="00D417A6" w:rsidRDefault="00D417A6" w:rsidP="00CC349B">
      <w:pPr>
        <w:pStyle w:val="EBBodyPara"/>
        <w:keepNext/>
        <w:keepLines/>
        <w:spacing w:line="276" w:lineRule="auto"/>
        <w:rPr>
          <w:u w:val="single"/>
        </w:rPr>
      </w:pPr>
      <w:r>
        <w:rPr>
          <w:u w:val="single"/>
        </w:rPr>
        <w:t>Reduced Operating Costs</w:t>
      </w:r>
    </w:p>
    <w:p w:rsidR="00C97BB6" w:rsidRDefault="00C97BB6" w:rsidP="00CC349B">
      <w:pPr>
        <w:pStyle w:val="EBBodyPara"/>
        <w:keepNext/>
        <w:keepLines/>
        <w:spacing w:line="276" w:lineRule="auto"/>
      </w:pPr>
      <w:r>
        <w:t xml:space="preserve">The siting of poles and cabinets will be determined by the CPs subject only to objection by local authorities. Although </w:t>
      </w:r>
      <w:r w:rsidR="00177F33">
        <w:t>CPs will be</w:t>
      </w:r>
      <w:r>
        <w:t xml:space="preserve"> subject to an industry code of best practice it is likely that it will be possible for CPs to optimise their installations of equipment to ensure they are operated at minimum cost.</w:t>
      </w:r>
    </w:p>
    <w:p w:rsidR="00BE3A35" w:rsidRDefault="00C97BB6" w:rsidP="00CC349B">
      <w:pPr>
        <w:pStyle w:val="EBBodyPara"/>
        <w:keepNext/>
        <w:keepLines/>
        <w:spacing w:line="276" w:lineRule="auto"/>
      </w:pPr>
      <w:r>
        <w:t>The extent of this effect is difficult to estimate because it is likely to emerge over time and initially, at least, is unlikely to be large. For this reason, we</w:t>
      </w:r>
      <w:r w:rsidR="00BE3A35">
        <w:t xml:space="preserve"> judge it would require disproportionate effort to</w:t>
      </w:r>
      <w:r>
        <w:t xml:space="preserve"> monetise it.</w:t>
      </w:r>
    </w:p>
    <w:p w:rsidR="00980F73" w:rsidRDefault="00BE3A35" w:rsidP="00CC349B">
      <w:pPr>
        <w:pStyle w:val="EBBodyPara"/>
        <w:keepNext/>
        <w:keepLines/>
        <w:spacing w:line="276" w:lineRule="auto"/>
      </w:pPr>
      <w:r>
        <w:lastRenderedPageBreak/>
        <w:t>We have, however, estimated the reduced operating costs associated with the deployment of overhead</w:t>
      </w:r>
      <w:r w:rsidR="00500A35">
        <w:t xml:space="preserve"> </w:t>
      </w:r>
      <w:r>
        <w:t xml:space="preserve">lines compared with underground installations. </w:t>
      </w:r>
      <w:r w:rsidR="00980F73">
        <w:t>The estimated costs are set out in Table 1.</w:t>
      </w:r>
    </w:p>
    <w:p w:rsidR="0035693D" w:rsidRDefault="0035693D" w:rsidP="00980F73">
      <w:pPr>
        <w:pStyle w:val="EBBodyPara"/>
        <w:keepNext/>
        <w:keepLines/>
        <w:spacing w:line="276" w:lineRule="auto"/>
        <w:jc w:val="center"/>
        <w:rPr>
          <w:b/>
        </w:rPr>
      </w:pPr>
    </w:p>
    <w:p w:rsidR="00980F73" w:rsidRDefault="00980F73" w:rsidP="00980F73">
      <w:pPr>
        <w:pStyle w:val="EBBodyPara"/>
        <w:keepNext/>
        <w:keepLines/>
        <w:spacing w:line="276" w:lineRule="auto"/>
        <w:jc w:val="center"/>
        <w:rPr>
          <w:b/>
        </w:rPr>
      </w:pPr>
      <w:r>
        <w:rPr>
          <w:b/>
        </w:rPr>
        <w:t xml:space="preserve">TABLE </w:t>
      </w:r>
      <w:r w:rsidR="00D423A9">
        <w:rPr>
          <w:b/>
        </w:rPr>
        <w:t>3</w:t>
      </w:r>
    </w:p>
    <w:p w:rsidR="00980F73" w:rsidRDefault="00980F73" w:rsidP="00980F73">
      <w:pPr>
        <w:pStyle w:val="EBBodyPara"/>
        <w:keepNext/>
        <w:keepLines/>
        <w:spacing w:line="276" w:lineRule="auto"/>
        <w:jc w:val="center"/>
        <w:rPr>
          <w:b/>
        </w:rPr>
      </w:pPr>
      <w:r>
        <w:rPr>
          <w:b/>
        </w:rPr>
        <w:t>TELECOMMUNICATIONS OPERATING COSTS</w:t>
      </w:r>
    </w:p>
    <w:p w:rsidR="00980F73" w:rsidRPr="00980F73" w:rsidRDefault="00980F73" w:rsidP="00980F73">
      <w:pPr>
        <w:pStyle w:val="EBBodyPara"/>
        <w:keepNext/>
        <w:keepLines/>
        <w:spacing w:line="276" w:lineRule="auto"/>
        <w:jc w:val="center"/>
        <w:rPr>
          <w:b/>
        </w:rPr>
      </w:pPr>
      <w:r>
        <w:rPr>
          <w:b/>
        </w:rPr>
        <w:t>(£ per km, in 2011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898"/>
        <w:gridCol w:w="2126"/>
        <w:gridCol w:w="992"/>
      </w:tblGrid>
      <w:tr w:rsidR="00534733" w:rsidTr="00534733">
        <w:trPr>
          <w:jc w:val="center"/>
        </w:trPr>
        <w:tc>
          <w:tcPr>
            <w:tcW w:w="2605" w:type="dxa"/>
            <w:shd w:val="clear" w:color="auto" w:fill="auto"/>
          </w:tcPr>
          <w:p w:rsidR="00980F73" w:rsidRDefault="00980F73" w:rsidP="00534733">
            <w:pPr>
              <w:pStyle w:val="EBBodyPara"/>
              <w:keepNext/>
              <w:keepLines/>
              <w:spacing w:line="276" w:lineRule="auto"/>
            </w:pPr>
          </w:p>
        </w:tc>
        <w:tc>
          <w:tcPr>
            <w:tcW w:w="1898" w:type="dxa"/>
            <w:shd w:val="clear" w:color="auto" w:fill="auto"/>
          </w:tcPr>
          <w:p w:rsidR="00980F73" w:rsidRDefault="00980F73" w:rsidP="00534733">
            <w:pPr>
              <w:pStyle w:val="EBBodyPara"/>
              <w:keepNext/>
              <w:keepLines/>
              <w:spacing w:line="276" w:lineRule="auto"/>
              <w:jc w:val="center"/>
            </w:pPr>
            <w:r>
              <w:t>Overhead Lines</w:t>
            </w:r>
          </w:p>
        </w:tc>
        <w:tc>
          <w:tcPr>
            <w:tcW w:w="2126" w:type="dxa"/>
            <w:shd w:val="clear" w:color="auto" w:fill="auto"/>
          </w:tcPr>
          <w:p w:rsidR="00980F73" w:rsidRDefault="00980F73" w:rsidP="00534733">
            <w:pPr>
              <w:pStyle w:val="EBBodyPara"/>
              <w:keepNext/>
              <w:keepLines/>
              <w:spacing w:line="276" w:lineRule="auto"/>
              <w:jc w:val="center"/>
            </w:pPr>
            <w:r>
              <w:t>Underground Lines</w:t>
            </w:r>
          </w:p>
        </w:tc>
        <w:tc>
          <w:tcPr>
            <w:tcW w:w="992" w:type="dxa"/>
            <w:shd w:val="clear" w:color="auto" w:fill="auto"/>
          </w:tcPr>
          <w:p w:rsidR="00980F73" w:rsidRDefault="00980F73" w:rsidP="00534733">
            <w:pPr>
              <w:pStyle w:val="EBBodyPara"/>
              <w:keepNext/>
              <w:keepLines/>
              <w:spacing w:line="276" w:lineRule="auto"/>
              <w:jc w:val="center"/>
            </w:pPr>
            <w:r>
              <w:t>Saving</w:t>
            </w:r>
          </w:p>
        </w:tc>
      </w:tr>
      <w:tr w:rsidR="00534733" w:rsidTr="00534733">
        <w:trPr>
          <w:jc w:val="center"/>
        </w:trPr>
        <w:tc>
          <w:tcPr>
            <w:tcW w:w="2605" w:type="dxa"/>
            <w:shd w:val="clear" w:color="auto" w:fill="auto"/>
          </w:tcPr>
          <w:p w:rsidR="00980F73" w:rsidRDefault="00980F73" w:rsidP="00534733">
            <w:pPr>
              <w:pStyle w:val="EBBodyPara"/>
              <w:keepNext/>
              <w:keepLines/>
              <w:spacing w:line="276" w:lineRule="auto"/>
            </w:pPr>
            <w:r>
              <w:t>Wayleaves</w:t>
            </w:r>
          </w:p>
        </w:tc>
        <w:tc>
          <w:tcPr>
            <w:tcW w:w="1898" w:type="dxa"/>
            <w:shd w:val="clear" w:color="auto" w:fill="auto"/>
          </w:tcPr>
          <w:p w:rsidR="00980F73" w:rsidRDefault="00980F73" w:rsidP="00534733">
            <w:pPr>
              <w:pStyle w:val="EBBodyPara"/>
              <w:keepNext/>
              <w:keepLines/>
              <w:spacing w:line="276" w:lineRule="auto"/>
              <w:jc w:val="center"/>
            </w:pPr>
            <w:r>
              <w:t>1,</w:t>
            </w:r>
            <w:r w:rsidR="00D423A9">
              <w:t>1</w:t>
            </w:r>
            <w:r>
              <w:t>00</w:t>
            </w:r>
          </w:p>
        </w:tc>
        <w:tc>
          <w:tcPr>
            <w:tcW w:w="2126" w:type="dxa"/>
            <w:shd w:val="clear" w:color="auto" w:fill="auto"/>
          </w:tcPr>
          <w:p w:rsidR="00980F73" w:rsidRDefault="00980F73" w:rsidP="00534733">
            <w:pPr>
              <w:pStyle w:val="EBBodyPara"/>
              <w:keepNext/>
              <w:keepLines/>
              <w:spacing w:line="276" w:lineRule="auto"/>
              <w:jc w:val="center"/>
            </w:pPr>
            <w:r>
              <w:t>9,</w:t>
            </w:r>
            <w:r w:rsidR="00D423A9">
              <w:t>266</w:t>
            </w:r>
          </w:p>
        </w:tc>
        <w:tc>
          <w:tcPr>
            <w:tcW w:w="992" w:type="dxa"/>
            <w:shd w:val="clear" w:color="auto" w:fill="auto"/>
          </w:tcPr>
          <w:p w:rsidR="00980F73" w:rsidRDefault="00980F73" w:rsidP="00534733">
            <w:pPr>
              <w:pStyle w:val="EBBodyPara"/>
              <w:keepNext/>
              <w:keepLines/>
              <w:spacing w:line="276" w:lineRule="auto"/>
              <w:jc w:val="center"/>
            </w:pPr>
            <w:r>
              <w:t>8,</w:t>
            </w:r>
            <w:r w:rsidR="00D423A9">
              <w:t>166</w:t>
            </w:r>
          </w:p>
        </w:tc>
      </w:tr>
      <w:tr w:rsidR="00534733" w:rsidTr="00534733">
        <w:trPr>
          <w:jc w:val="center"/>
        </w:trPr>
        <w:tc>
          <w:tcPr>
            <w:tcW w:w="2605" w:type="dxa"/>
            <w:shd w:val="clear" w:color="auto" w:fill="auto"/>
          </w:tcPr>
          <w:p w:rsidR="00980F73" w:rsidRDefault="00980F73" w:rsidP="00534733">
            <w:pPr>
              <w:pStyle w:val="EBBodyPara"/>
              <w:keepNext/>
              <w:keepLines/>
              <w:spacing w:line="276" w:lineRule="auto"/>
            </w:pPr>
            <w:r>
              <w:t>Maintenance</w:t>
            </w:r>
          </w:p>
        </w:tc>
        <w:tc>
          <w:tcPr>
            <w:tcW w:w="1898" w:type="dxa"/>
            <w:shd w:val="clear" w:color="auto" w:fill="auto"/>
          </w:tcPr>
          <w:p w:rsidR="00980F73" w:rsidRDefault="00980F73" w:rsidP="00534733">
            <w:pPr>
              <w:pStyle w:val="EBBodyPara"/>
              <w:keepNext/>
              <w:keepLines/>
              <w:spacing w:line="276" w:lineRule="auto"/>
              <w:jc w:val="center"/>
            </w:pPr>
            <w:r>
              <w:t>4,44</w:t>
            </w:r>
            <w:r w:rsidR="00D423A9">
              <w:t>1</w:t>
            </w:r>
          </w:p>
        </w:tc>
        <w:tc>
          <w:tcPr>
            <w:tcW w:w="2126" w:type="dxa"/>
            <w:shd w:val="clear" w:color="auto" w:fill="auto"/>
          </w:tcPr>
          <w:p w:rsidR="00980F73" w:rsidRDefault="00980F73" w:rsidP="00534733">
            <w:pPr>
              <w:pStyle w:val="EBBodyPara"/>
              <w:keepNext/>
              <w:keepLines/>
              <w:spacing w:line="276" w:lineRule="auto"/>
              <w:jc w:val="center"/>
            </w:pPr>
            <w:r>
              <w:t>3,649</w:t>
            </w:r>
          </w:p>
        </w:tc>
        <w:tc>
          <w:tcPr>
            <w:tcW w:w="992" w:type="dxa"/>
            <w:shd w:val="clear" w:color="auto" w:fill="auto"/>
          </w:tcPr>
          <w:p w:rsidR="00980F73" w:rsidRDefault="00980F73" w:rsidP="00534733">
            <w:pPr>
              <w:pStyle w:val="EBBodyPara"/>
              <w:keepNext/>
              <w:keepLines/>
              <w:spacing w:line="276" w:lineRule="auto"/>
              <w:jc w:val="center"/>
            </w:pPr>
            <w:r>
              <w:t>-79</w:t>
            </w:r>
            <w:r w:rsidR="00D423A9">
              <w:t>2</w:t>
            </w:r>
          </w:p>
        </w:tc>
      </w:tr>
      <w:tr w:rsidR="00534733" w:rsidTr="00534733">
        <w:trPr>
          <w:jc w:val="center"/>
        </w:trPr>
        <w:tc>
          <w:tcPr>
            <w:tcW w:w="2605" w:type="dxa"/>
            <w:shd w:val="clear" w:color="auto" w:fill="auto"/>
          </w:tcPr>
          <w:p w:rsidR="00980F73" w:rsidRDefault="00980F73" w:rsidP="00534733">
            <w:pPr>
              <w:pStyle w:val="EBBodyPara"/>
              <w:keepNext/>
              <w:keepLines/>
              <w:spacing w:line="276" w:lineRule="auto"/>
            </w:pPr>
            <w:r>
              <w:t>Total Operating Cost</w:t>
            </w:r>
          </w:p>
        </w:tc>
        <w:tc>
          <w:tcPr>
            <w:tcW w:w="1898" w:type="dxa"/>
            <w:shd w:val="clear" w:color="auto" w:fill="auto"/>
          </w:tcPr>
          <w:p w:rsidR="00980F73" w:rsidRDefault="00980F73" w:rsidP="00534733">
            <w:pPr>
              <w:pStyle w:val="EBBodyPara"/>
              <w:keepNext/>
              <w:keepLines/>
              <w:spacing w:line="276" w:lineRule="auto"/>
              <w:jc w:val="center"/>
            </w:pPr>
            <w:r>
              <w:t>5,</w:t>
            </w:r>
            <w:r w:rsidR="00D423A9">
              <w:t>5</w:t>
            </w:r>
            <w:r>
              <w:t>4</w:t>
            </w:r>
            <w:r w:rsidR="00D423A9">
              <w:t>1</w:t>
            </w:r>
          </w:p>
        </w:tc>
        <w:tc>
          <w:tcPr>
            <w:tcW w:w="2126" w:type="dxa"/>
            <w:shd w:val="clear" w:color="auto" w:fill="auto"/>
          </w:tcPr>
          <w:p w:rsidR="00980F73" w:rsidRDefault="00980F73" w:rsidP="00534733">
            <w:pPr>
              <w:pStyle w:val="EBBodyPara"/>
              <w:keepNext/>
              <w:keepLines/>
              <w:spacing w:line="276" w:lineRule="auto"/>
              <w:jc w:val="center"/>
            </w:pPr>
            <w:r>
              <w:t>12,9</w:t>
            </w:r>
            <w:r w:rsidR="005F4253">
              <w:t>15</w:t>
            </w:r>
          </w:p>
        </w:tc>
        <w:tc>
          <w:tcPr>
            <w:tcW w:w="992" w:type="dxa"/>
            <w:shd w:val="clear" w:color="auto" w:fill="auto"/>
          </w:tcPr>
          <w:p w:rsidR="00980F73" w:rsidRDefault="00980F73" w:rsidP="00534733">
            <w:pPr>
              <w:pStyle w:val="EBBodyPara"/>
              <w:keepNext/>
              <w:keepLines/>
              <w:spacing w:line="276" w:lineRule="auto"/>
              <w:jc w:val="center"/>
            </w:pPr>
            <w:r>
              <w:t>7,</w:t>
            </w:r>
            <w:r w:rsidR="00D423A9">
              <w:t>374</w:t>
            </w:r>
          </w:p>
        </w:tc>
      </w:tr>
    </w:tbl>
    <w:p w:rsidR="005F4253" w:rsidRDefault="005F4253" w:rsidP="005F4253">
      <w:pPr>
        <w:pStyle w:val="EBBodyPara"/>
        <w:keepNext/>
        <w:keepLines/>
        <w:spacing w:line="276" w:lineRule="auto"/>
      </w:pPr>
      <w:r>
        <w:t>Source: Table 1.</w:t>
      </w:r>
    </w:p>
    <w:p w:rsidR="00374AD7" w:rsidRDefault="005F4253" w:rsidP="005F4253">
      <w:pPr>
        <w:pStyle w:val="EBBodyPara"/>
        <w:keepNext/>
        <w:keepLines/>
        <w:spacing w:line="276" w:lineRule="auto"/>
      </w:pPr>
      <w:r>
        <w:t xml:space="preserve"> </w:t>
      </w:r>
    </w:p>
    <w:p w:rsidR="001A1FEF" w:rsidRPr="001A1FEF" w:rsidRDefault="00BE3A35" w:rsidP="00CC349B">
      <w:pPr>
        <w:pStyle w:val="EBBodyPara"/>
        <w:keepNext/>
        <w:keepLines/>
        <w:spacing w:line="276" w:lineRule="auto"/>
      </w:pPr>
      <w:r>
        <w:t xml:space="preserve">Overhead installations incur lower wayleave payments than underground ones. We estimate that this difference is </w:t>
      </w:r>
      <w:r w:rsidR="005F4253">
        <w:t>£8,166 per km. By contrast, overhead lines are more expensive to maintain than underground ones.</w:t>
      </w:r>
      <w:r w:rsidR="00AA006E">
        <w:t xml:space="preserve">  </w:t>
      </w:r>
      <w:r w:rsidR="001A1FEF">
        <w:t xml:space="preserve"> </w:t>
      </w:r>
    </w:p>
    <w:p w:rsidR="005D6D92" w:rsidRDefault="005D6D92" w:rsidP="00C97BB6">
      <w:pPr>
        <w:pStyle w:val="EBBullet"/>
        <w:keepNext/>
        <w:numPr>
          <w:ilvl w:val="0"/>
          <w:numId w:val="0"/>
        </w:numPr>
        <w:ind w:left="284" w:hanging="284"/>
        <w:rPr>
          <w:b/>
          <w:i/>
        </w:rPr>
      </w:pPr>
      <w:bookmarkStart w:id="41" w:name="EvidenceBullet"/>
      <w:r>
        <w:rPr>
          <w:b/>
          <w:i/>
        </w:rPr>
        <w:t>Non-Monetised Costs and Benefits</w:t>
      </w:r>
    </w:p>
    <w:p w:rsidR="005F4253" w:rsidRDefault="005F4253" w:rsidP="005D6D92">
      <w:pPr>
        <w:pStyle w:val="EBBodyPara"/>
        <w:keepNext/>
        <w:keepLines/>
        <w:spacing w:line="276" w:lineRule="auto"/>
      </w:pPr>
      <w:r>
        <w:rPr>
          <w:u w:val="single"/>
        </w:rPr>
        <w:t>Accident Costs</w:t>
      </w:r>
    </w:p>
    <w:p w:rsidR="0073282A" w:rsidRDefault="0073282A" w:rsidP="0073282A">
      <w:pPr>
        <w:pStyle w:val="EBBodyPara"/>
        <w:spacing w:line="276" w:lineRule="auto"/>
      </w:pPr>
      <w:r>
        <w:t>Increased deployment of overhead lines may lead to more road traffic accidents involving telegraph poles. In 2009, 14 one vehicle fatal accidents involved hitting a telegraph or electricity pole; seven on built-up roads and seven on non-built-up roads. In total there were 603 accidents involving telegraph or electricity poles on all roads, 485 of which were slight. It is to be expected that if this measure leads to the installation of more poles for overhead lines along roads the number of accidents involving them will rise. The extent and hence the costs of this rise cannot be estimated.</w:t>
      </w:r>
    </w:p>
    <w:p w:rsidR="005D6D92" w:rsidRDefault="005D6D92" w:rsidP="005D6D92">
      <w:pPr>
        <w:pStyle w:val="EBBodyPara"/>
        <w:keepNext/>
        <w:keepLines/>
        <w:spacing w:line="276" w:lineRule="auto"/>
      </w:pPr>
      <w:r>
        <w:rPr>
          <w:u w:val="single"/>
        </w:rPr>
        <w:t>Environmental Costs</w:t>
      </w:r>
    </w:p>
    <w:p w:rsidR="005D6D92" w:rsidRPr="0093720A" w:rsidRDefault="005D6D92" w:rsidP="005D6D92">
      <w:pPr>
        <w:pStyle w:val="EBBodyPara"/>
        <w:keepNext/>
        <w:keepLines/>
        <w:spacing w:line="276" w:lineRule="auto"/>
      </w:pPr>
      <w:r>
        <w:t>All Sites of Special Scientific Interest are exempt from the de-regulation. Hence, it is likely that the largest element of environmental damage that may otherwise result from this measure will be avoided. Nevertheless, it is possible that some environmental damage, as a result of the need to maintain communications infrastructure, may occur particularly in National Parks and Areas of Outstanding Natural Beauty. This extent of this effect is likely to depend on the use that is made of the de-regulation. It has not proved possible to obtain reliable monetised estimates of this effect.</w:t>
      </w:r>
    </w:p>
    <w:p w:rsidR="005D6D92" w:rsidRDefault="005D6D92" w:rsidP="005D6D92">
      <w:pPr>
        <w:pStyle w:val="EBBodyPara"/>
        <w:keepNext/>
        <w:keepLines/>
        <w:spacing w:line="276" w:lineRule="auto"/>
      </w:pPr>
      <w:r>
        <w:rPr>
          <w:u w:val="single"/>
        </w:rPr>
        <w:t>Reduction in Heritage Values</w:t>
      </w:r>
    </w:p>
    <w:p w:rsidR="005D6D92" w:rsidRDefault="005D6D92" w:rsidP="005D6D92">
      <w:pPr>
        <w:pStyle w:val="EBBodyPara"/>
        <w:keepNext/>
        <w:keepLines/>
        <w:spacing w:line="276" w:lineRule="auto"/>
      </w:pPr>
      <w:r>
        <w:t>The measure will remove the current restrictions on installing communications infrastructure on heritage sites. As a result, it is possible that some heritage values will be reduced with the result that revenues from tourists will decline and the heritage experience on offer will be diminished. If the current plans off CPs are any guide this effect is likely to be small. However, it is unlikely to be zero.</w:t>
      </w:r>
    </w:p>
    <w:p w:rsidR="005D6D92" w:rsidRDefault="005D6D92" w:rsidP="00C97BB6">
      <w:pPr>
        <w:pStyle w:val="EBBullet"/>
        <w:keepNext/>
        <w:numPr>
          <w:ilvl w:val="0"/>
          <w:numId w:val="0"/>
        </w:numPr>
        <w:ind w:left="284" w:hanging="284"/>
      </w:pPr>
      <w:r>
        <w:rPr>
          <w:u w:val="single"/>
        </w:rPr>
        <w:t>Increased Competition</w:t>
      </w:r>
    </w:p>
    <w:p w:rsidR="005D6D92" w:rsidRPr="005D6D92" w:rsidRDefault="005D6D92" w:rsidP="004A4351">
      <w:pPr>
        <w:pStyle w:val="EBBullet"/>
        <w:keepNext/>
        <w:numPr>
          <w:ilvl w:val="0"/>
          <w:numId w:val="0"/>
        </w:numPr>
        <w:spacing w:line="276" w:lineRule="auto"/>
        <w:ind w:left="284" w:hanging="284"/>
      </w:pPr>
      <w:r>
        <w:t>The removal of the requirement to underground telecommunications line</w:t>
      </w:r>
      <w:r w:rsidR="002F080D">
        <w:t xml:space="preserve">s is likely to reduce the costs </w:t>
      </w:r>
      <w:r>
        <w:t xml:space="preserve">faced by a potential entrant into the UK telecommunications market. As a consequence, it is possible that alternative telecommunications infrastructures will be installed in competition with those of BT, C&amp;W and Virgin Media. However, it is difficult to estimate the extent of this effect. Nevertheless, it is conceivable that even the possibility of such competition will be sufficient to make the wholesale market for telecommunications more contestable than it is at present. If this occurs, then it is to be expected that </w:t>
      </w:r>
      <w:r w:rsidR="004A4351">
        <w:t xml:space="preserve">the price of wholesale products will come under downward pressure. In order to </w:t>
      </w:r>
      <w:r w:rsidR="004A4351">
        <w:lastRenderedPageBreak/>
        <w:t>estimate this possible effect it would be necessary to model future competition in the UK telecommunications market. Not only is such an exercise speculative but also building such a model would be a disproportionate use of resources.</w:t>
      </w:r>
    </w:p>
    <w:p w:rsidR="00553AF5" w:rsidRDefault="00553AF5" w:rsidP="00C97BB6">
      <w:pPr>
        <w:pStyle w:val="EBBullet"/>
        <w:keepNext/>
        <w:numPr>
          <w:ilvl w:val="0"/>
          <w:numId w:val="0"/>
        </w:numPr>
        <w:ind w:left="284" w:hanging="284"/>
        <w:rPr>
          <w:b/>
          <w:i/>
        </w:rPr>
      </w:pPr>
      <w:r>
        <w:rPr>
          <w:b/>
          <w:i/>
        </w:rPr>
        <w:t>Summary Costs and Benefits</w:t>
      </w:r>
    </w:p>
    <w:p w:rsidR="00553AF5" w:rsidRDefault="00553AF5" w:rsidP="00E75696">
      <w:pPr>
        <w:pStyle w:val="EBBullet"/>
        <w:keepNext/>
        <w:numPr>
          <w:ilvl w:val="0"/>
          <w:numId w:val="0"/>
        </w:numPr>
        <w:spacing w:line="276" w:lineRule="auto"/>
        <w:ind w:left="284"/>
      </w:pPr>
      <w:r>
        <w:t>The costs and benefits</w:t>
      </w:r>
      <w:r w:rsidR="00E75696">
        <w:t xml:space="preserve"> of the Preferred Option</w:t>
      </w:r>
      <w:r>
        <w:t xml:space="preserve"> compared to the Do Nothing Option </w:t>
      </w:r>
      <w:r w:rsidR="00E75696">
        <w:t xml:space="preserve">are set out in Table1. </w:t>
      </w:r>
      <w:r w:rsidR="00F90D53">
        <w:t>It will be noted that not</w:t>
      </w:r>
      <w:r w:rsidR="001E40DC">
        <w:t xml:space="preserve"> </w:t>
      </w:r>
      <w:r w:rsidR="00F90D53">
        <w:t>all costs and benefits have been monetised. In the absence of access to a full-scale financial model of the broadband industry they are impossible to estimate. To build such a model for this purpose would represent a disproportionate expense of resources.</w:t>
      </w:r>
    </w:p>
    <w:p w:rsidR="00F90D53" w:rsidRDefault="00F90D53" w:rsidP="00F90D53">
      <w:pPr>
        <w:pStyle w:val="EBBullet"/>
        <w:keepNext/>
        <w:numPr>
          <w:ilvl w:val="0"/>
          <w:numId w:val="0"/>
        </w:numPr>
        <w:spacing w:line="276" w:lineRule="auto"/>
        <w:ind w:left="284" w:hanging="284"/>
      </w:pPr>
    </w:p>
    <w:p w:rsidR="00553AF5" w:rsidRDefault="00553AF5" w:rsidP="00553AF5">
      <w:pPr>
        <w:pStyle w:val="EBBullet"/>
        <w:keepNext/>
        <w:numPr>
          <w:ilvl w:val="0"/>
          <w:numId w:val="0"/>
        </w:numPr>
        <w:ind w:left="284" w:hanging="284"/>
        <w:jc w:val="center"/>
        <w:rPr>
          <w:b/>
        </w:rPr>
      </w:pPr>
      <w:r>
        <w:rPr>
          <w:b/>
        </w:rPr>
        <w:t xml:space="preserve">TABLE </w:t>
      </w:r>
      <w:r w:rsidR="005405BF">
        <w:rPr>
          <w:b/>
        </w:rPr>
        <w:t>4</w:t>
      </w:r>
    </w:p>
    <w:p w:rsidR="00553AF5" w:rsidRDefault="00553AF5" w:rsidP="00553AF5">
      <w:pPr>
        <w:pStyle w:val="EBBullet"/>
        <w:keepNext/>
        <w:numPr>
          <w:ilvl w:val="0"/>
          <w:numId w:val="0"/>
        </w:numPr>
        <w:ind w:left="284" w:hanging="284"/>
        <w:jc w:val="center"/>
        <w:rPr>
          <w:b/>
        </w:rPr>
      </w:pPr>
      <w:r>
        <w:rPr>
          <w:b/>
        </w:rPr>
        <w:t>SUMMARY</w:t>
      </w:r>
      <w:r w:rsidR="004A4351">
        <w:rPr>
          <w:b/>
        </w:rPr>
        <w:t xml:space="preserve"> </w:t>
      </w:r>
      <w:r>
        <w:rPr>
          <w:b/>
        </w:rPr>
        <w:t>COSTS AND BENEFITS: 2013-14</w:t>
      </w:r>
      <w:r w:rsidR="00F90D53">
        <w:rPr>
          <w:b/>
        </w:rPr>
        <w:t xml:space="preserve"> to </w:t>
      </w:r>
      <w:r>
        <w:rPr>
          <w:b/>
        </w:rPr>
        <w:t>20</w:t>
      </w:r>
      <w:r w:rsidR="004A4351">
        <w:rPr>
          <w:b/>
        </w:rPr>
        <w:t>2</w:t>
      </w:r>
      <w:r w:rsidR="00E75696">
        <w:rPr>
          <w:b/>
        </w:rPr>
        <w:t>2</w:t>
      </w:r>
      <w:r>
        <w:rPr>
          <w:b/>
        </w:rPr>
        <w:t>-</w:t>
      </w:r>
      <w:r w:rsidR="004A4351">
        <w:rPr>
          <w:b/>
        </w:rPr>
        <w:t>2</w:t>
      </w:r>
      <w:r w:rsidR="00E75696">
        <w:rPr>
          <w:b/>
        </w:rPr>
        <w:t>3</w:t>
      </w:r>
    </w:p>
    <w:p w:rsidR="00553AF5" w:rsidRPr="00553AF5" w:rsidRDefault="00553AF5" w:rsidP="00553AF5">
      <w:pPr>
        <w:pStyle w:val="EBBullet"/>
        <w:keepNext/>
        <w:numPr>
          <w:ilvl w:val="0"/>
          <w:numId w:val="0"/>
        </w:numPr>
        <w:ind w:left="284" w:hanging="284"/>
        <w:jc w:val="center"/>
        <w:rPr>
          <w:b/>
        </w:rPr>
      </w:pPr>
      <w:r>
        <w:rPr>
          <w:b/>
        </w:rPr>
        <w:t>(NPV, £ million, in 20</w:t>
      </w:r>
      <w:r w:rsidR="004A4351">
        <w:rPr>
          <w:b/>
        </w:rPr>
        <w:t>1</w:t>
      </w:r>
      <w:r w:rsidR="00732A69">
        <w:rPr>
          <w:b/>
        </w:rPr>
        <w:t>2</w:t>
      </w:r>
      <w:r>
        <w:rPr>
          <w:b/>
        </w:rPr>
        <w:t xml:space="preserve"> prices</w:t>
      </w:r>
      <w:r w:rsidR="004A4351">
        <w:rPr>
          <w:b/>
        </w:rPr>
        <w:t xml:space="preserve">, </w:t>
      </w:r>
      <w:r w:rsidR="005F5A14">
        <w:rPr>
          <w:b/>
        </w:rPr>
        <w:t>compared to</w:t>
      </w:r>
      <w:r w:rsidR="004A4351">
        <w:rPr>
          <w:b/>
        </w:rPr>
        <w:t xml:space="preserve"> Do Nothing)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418"/>
      </w:tblGrid>
      <w:tr w:rsidR="00553AF5" w:rsidTr="00B075F4">
        <w:trPr>
          <w:jc w:val="center"/>
        </w:trPr>
        <w:tc>
          <w:tcPr>
            <w:tcW w:w="4095" w:type="dxa"/>
            <w:shd w:val="clear" w:color="auto" w:fill="auto"/>
          </w:tcPr>
          <w:p w:rsidR="00553AF5" w:rsidRPr="00B075F4" w:rsidRDefault="00553AF5" w:rsidP="00B075F4">
            <w:pPr>
              <w:pStyle w:val="EBBullet"/>
              <w:keepNext/>
              <w:numPr>
                <w:ilvl w:val="0"/>
                <w:numId w:val="0"/>
              </w:numPr>
              <w:rPr>
                <w:b/>
              </w:rPr>
            </w:pPr>
            <w:r w:rsidRPr="00B075F4">
              <w:rPr>
                <w:b/>
              </w:rPr>
              <w:t>COSTS</w:t>
            </w:r>
          </w:p>
        </w:tc>
        <w:tc>
          <w:tcPr>
            <w:tcW w:w="1418" w:type="dxa"/>
            <w:shd w:val="clear" w:color="auto" w:fill="auto"/>
          </w:tcPr>
          <w:p w:rsidR="00553AF5" w:rsidRDefault="00553AF5" w:rsidP="00B075F4">
            <w:pPr>
              <w:pStyle w:val="EBBullet"/>
              <w:keepNext/>
              <w:numPr>
                <w:ilvl w:val="0"/>
                <w:numId w:val="0"/>
              </w:numPr>
            </w:pPr>
          </w:p>
        </w:tc>
      </w:tr>
      <w:tr w:rsidR="00553AF5" w:rsidTr="00B075F4">
        <w:trPr>
          <w:jc w:val="center"/>
        </w:trPr>
        <w:tc>
          <w:tcPr>
            <w:tcW w:w="4095" w:type="dxa"/>
            <w:shd w:val="clear" w:color="auto" w:fill="auto"/>
          </w:tcPr>
          <w:p w:rsidR="00553AF5" w:rsidRDefault="00553AF5" w:rsidP="00B075F4">
            <w:pPr>
              <w:pStyle w:val="EBBullet"/>
              <w:keepNext/>
              <w:numPr>
                <w:ilvl w:val="0"/>
                <w:numId w:val="0"/>
              </w:numPr>
            </w:pPr>
            <w:r>
              <w:t>Visual Amenity Lost</w:t>
            </w:r>
            <w:r w:rsidR="00D30747">
              <w:t>(1)</w:t>
            </w:r>
          </w:p>
        </w:tc>
        <w:tc>
          <w:tcPr>
            <w:tcW w:w="1418" w:type="dxa"/>
            <w:shd w:val="clear" w:color="auto" w:fill="auto"/>
          </w:tcPr>
          <w:p w:rsidR="00553AF5" w:rsidRDefault="00D30747" w:rsidP="00C04C8A">
            <w:pPr>
              <w:pStyle w:val="EBBullet"/>
              <w:keepNext/>
              <w:numPr>
                <w:ilvl w:val="0"/>
                <w:numId w:val="0"/>
              </w:numPr>
              <w:jc w:val="center"/>
            </w:pPr>
            <w:r>
              <w:t>0.</w:t>
            </w:r>
            <w:r w:rsidR="00C04C8A">
              <w:t>20</w:t>
            </w:r>
          </w:p>
        </w:tc>
      </w:tr>
      <w:tr w:rsidR="00553AF5" w:rsidTr="00B075F4">
        <w:trPr>
          <w:jc w:val="center"/>
        </w:trPr>
        <w:tc>
          <w:tcPr>
            <w:tcW w:w="4095" w:type="dxa"/>
            <w:shd w:val="clear" w:color="auto" w:fill="auto"/>
          </w:tcPr>
          <w:p w:rsidR="00553AF5" w:rsidRDefault="00553AF5" w:rsidP="00B075F4">
            <w:pPr>
              <w:pStyle w:val="EBBullet"/>
              <w:keepNext/>
              <w:numPr>
                <w:ilvl w:val="0"/>
                <w:numId w:val="0"/>
              </w:numPr>
            </w:pPr>
            <w:r>
              <w:t>Increased Climatic and Other Risks</w:t>
            </w:r>
            <w:r w:rsidR="001E40DC">
              <w:t>(</w:t>
            </w:r>
            <w:r w:rsidR="00D30747">
              <w:t>2</w:t>
            </w:r>
            <w:r w:rsidR="001E40DC">
              <w:t>)</w:t>
            </w:r>
          </w:p>
        </w:tc>
        <w:tc>
          <w:tcPr>
            <w:tcW w:w="1418" w:type="dxa"/>
            <w:shd w:val="clear" w:color="auto" w:fill="auto"/>
          </w:tcPr>
          <w:p w:rsidR="00553AF5" w:rsidRDefault="00C04C8A" w:rsidP="00C04C8A">
            <w:pPr>
              <w:pStyle w:val="EBBullet"/>
              <w:keepNext/>
              <w:numPr>
                <w:ilvl w:val="0"/>
                <w:numId w:val="0"/>
              </w:numPr>
              <w:jc w:val="center"/>
            </w:pPr>
            <w:r>
              <w:t>33.49</w:t>
            </w:r>
          </w:p>
        </w:tc>
      </w:tr>
      <w:tr w:rsidR="005405BF" w:rsidTr="00B075F4">
        <w:trPr>
          <w:jc w:val="center"/>
        </w:trPr>
        <w:tc>
          <w:tcPr>
            <w:tcW w:w="4095" w:type="dxa"/>
            <w:shd w:val="clear" w:color="auto" w:fill="auto"/>
          </w:tcPr>
          <w:p w:rsidR="005405BF" w:rsidRDefault="005405BF" w:rsidP="00B075F4">
            <w:pPr>
              <w:pStyle w:val="EBBullet"/>
              <w:keepNext/>
              <w:numPr>
                <w:ilvl w:val="0"/>
                <w:numId w:val="0"/>
              </w:numPr>
            </w:pPr>
            <w:r>
              <w:t>Accident Costs</w:t>
            </w:r>
          </w:p>
        </w:tc>
        <w:tc>
          <w:tcPr>
            <w:tcW w:w="1418" w:type="dxa"/>
            <w:shd w:val="clear" w:color="auto" w:fill="auto"/>
          </w:tcPr>
          <w:p w:rsidR="005405BF" w:rsidRDefault="005405BF" w:rsidP="00B075F4">
            <w:pPr>
              <w:pStyle w:val="EBBullet"/>
              <w:keepNext/>
              <w:numPr>
                <w:ilvl w:val="0"/>
                <w:numId w:val="0"/>
              </w:numPr>
              <w:jc w:val="center"/>
            </w:pPr>
            <w:r>
              <w:t>+</w:t>
            </w:r>
          </w:p>
        </w:tc>
      </w:tr>
      <w:tr w:rsidR="005405BF" w:rsidTr="00B075F4">
        <w:trPr>
          <w:jc w:val="center"/>
        </w:trPr>
        <w:tc>
          <w:tcPr>
            <w:tcW w:w="4095" w:type="dxa"/>
            <w:shd w:val="clear" w:color="auto" w:fill="auto"/>
          </w:tcPr>
          <w:p w:rsidR="005405BF" w:rsidRDefault="005405BF" w:rsidP="00B075F4">
            <w:pPr>
              <w:pStyle w:val="EBBullet"/>
              <w:keepNext/>
              <w:numPr>
                <w:ilvl w:val="0"/>
                <w:numId w:val="0"/>
              </w:numPr>
            </w:pPr>
            <w:r>
              <w:t>Environmental Costs</w:t>
            </w:r>
          </w:p>
        </w:tc>
        <w:tc>
          <w:tcPr>
            <w:tcW w:w="1418" w:type="dxa"/>
            <w:shd w:val="clear" w:color="auto" w:fill="auto"/>
          </w:tcPr>
          <w:p w:rsidR="005405BF" w:rsidRDefault="005405BF" w:rsidP="00B075F4">
            <w:pPr>
              <w:pStyle w:val="EBBullet"/>
              <w:keepNext/>
              <w:numPr>
                <w:ilvl w:val="0"/>
                <w:numId w:val="0"/>
              </w:numPr>
              <w:jc w:val="center"/>
            </w:pPr>
            <w:r>
              <w:t>+</w:t>
            </w:r>
          </w:p>
        </w:tc>
      </w:tr>
      <w:tr w:rsidR="005405BF" w:rsidTr="00B075F4">
        <w:trPr>
          <w:jc w:val="center"/>
        </w:trPr>
        <w:tc>
          <w:tcPr>
            <w:tcW w:w="4095" w:type="dxa"/>
            <w:shd w:val="clear" w:color="auto" w:fill="auto"/>
          </w:tcPr>
          <w:p w:rsidR="005405BF" w:rsidRDefault="005405BF" w:rsidP="00B075F4">
            <w:pPr>
              <w:pStyle w:val="EBBullet"/>
              <w:keepNext/>
              <w:numPr>
                <w:ilvl w:val="0"/>
                <w:numId w:val="0"/>
              </w:numPr>
            </w:pPr>
            <w:r>
              <w:t>Loss of Heritage Values</w:t>
            </w:r>
          </w:p>
        </w:tc>
        <w:tc>
          <w:tcPr>
            <w:tcW w:w="1418" w:type="dxa"/>
            <w:shd w:val="clear" w:color="auto" w:fill="auto"/>
          </w:tcPr>
          <w:p w:rsidR="005405BF" w:rsidRDefault="005405BF" w:rsidP="00B075F4">
            <w:pPr>
              <w:pStyle w:val="EBBullet"/>
              <w:keepNext/>
              <w:numPr>
                <w:ilvl w:val="0"/>
                <w:numId w:val="0"/>
              </w:numPr>
              <w:jc w:val="center"/>
            </w:pPr>
            <w:r>
              <w:t>+</w:t>
            </w:r>
          </w:p>
        </w:tc>
      </w:tr>
      <w:tr w:rsidR="00553AF5" w:rsidTr="00B075F4">
        <w:trPr>
          <w:jc w:val="center"/>
        </w:trPr>
        <w:tc>
          <w:tcPr>
            <w:tcW w:w="4095" w:type="dxa"/>
            <w:shd w:val="clear" w:color="auto" w:fill="auto"/>
          </w:tcPr>
          <w:p w:rsidR="00553AF5" w:rsidRDefault="00D30747" w:rsidP="00B075F4">
            <w:pPr>
              <w:pStyle w:val="EBBullet"/>
              <w:keepNext/>
              <w:numPr>
                <w:ilvl w:val="0"/>
                <w:numId w:val="0"/>
              </w:numPr>
            </w:pPr>
            <w:r>
              <w:t>TOTAL COSTS</w:t>
            </w:r>
          </w:p>
        </w:tc>
        <w:tc>
          <w:tcPr>
            <w:tcW w:w="1418" w:type="dxa"/>
            <w:shd w:val="clear" w:color="auto" w:fill="auto"/>
          </w:tcPr>
          <w:p w:rsidR="00553AF5" w:rsidRDefault="00C04C8A" w:rsidP="00B075F4">
            <w:pPr>
              <w:pStyle w:val="EBBullet"/>
              <w:keepNext/>
              <w:numPr>
                <w:ilvl w:val="0"/>
                <w:numId w:val="0"/>
              </w:numPr>
              <w:jc w:val="center"/>
            </w:pPr>
            <w:r>
              <w:t>33.69</w:t>
            </w:r>
          </w:p>
        </w:tc>
      </w:tr>
      <w:tr w:rsidR="00D30747" w:rsidRPr="00B075F4" w:rsidTr="00B075F4">
        <w:trPr>
          <w:jc w:val="center"/>
        </w:trPr>
        <w:tc>
          <w:tcPr>
            <w:tcW w:w="4095" w:type="dxa"/>
            <w:shd w:val="clear" w:color="auto" w:fill="auto"/>
          </w:tcPr>
          <w:p w:rsidR="00D30747" w:rsidRDefault="00D30747" w:rsidP="00B075F4">
            <w:pPr>
              <w:pStyle w:val="EBBullet"/>
              <w:keepNext/>
              <w:numPr>
                <w:ilvl w:val="0"/>
                <w:numId w:val="0"/>
              </w:numPr>
            </w:pPr>
          </w:p>
        </w:tc>
        <w:tc>
          <w:tcPr>
            <w:tcW w:w="1418" w:type="dxa"/>
            <w:shd w:val="clear" w:color="auto" w:fill="auto"/>
          </w:tcPr>
          <w:p w:rsidR="00D30747" w:rsidRDefault="00D30747" w:rsidP="00B075F4">
            <w:pPr>
              <w:pStyle w:val="EBBullet"/>
              <w:keepNext/>
              <w:numPr>
                <w:ilvl w:val="0"/>
                <w:numId w:val="0"/>
              </w:numPr>
              <w:jc w:val="center"/>
            </w:pPr>
          </w:p>
        </w:tc>
      </w:tr>
      <w:tr w:rsidR="00553AF5" w:rsidTr="00B075F4">
        <w:trPr>
          <w:jc w:val="center"/>
        </w:trPr>
        <w:tc>
          <w:tcPr>
            <w:tcW w:w="4095" w:type="dxa"/>
            <w:shd w:val="clear" w:color="auto" w:fill="auto"/>
          </w:tcPr>
          <w:p w:rsidR="00553AF5" w:rsidRPr="00B075F4" w:rsidRDefault="00553AF5" w:rsidP="00B075F4">
            <w:pPr>
              <w:pStyle w:val="EBBullet"/>
              <w:keepNext/>
              <w:numPr>
                <w:ilvl w:val="0"/>
                <w:numId w:val="0"/>
              </w:numPr>
              <w:rPr>
                <w:b/>
              </w:rPr>
            </w:pPr>
            <w:r w:rsidRPr="00B075F4">
              <w:rPr>
                <w:b/>
              </w:rPr>
              <w:t>BENEFITS</w:t>
            </w:r>
          </w:p>
        </w:tc>
        <w:tc>
          <w:tcPr>
            <w:tcW w:w="1418" w:type="dxa"/>
            <w:shd w:val="clear" w:color="auto" w:fill="auto"/>
          </w:tcPr>
          <w:p w:rsidR="00553AF5" w:rsidRDefault="00553AF5" w:rsidP="00B075F4">
            <w:pPr>
              <w:pStyle w:val="EBBullet"/>
              <w:keepNext/>
              <w:numPr>
                <w:ilvl w:val="0"/>
                <w:numId w:val="0"/>
              </w:numPr>
              <w:jc w:val="center"/>
            </w:pPr>
          </w:p>
        </w:tc>
      </w:tr>
      <w:tr w:rsidR="00553AF5" w:rsidTr="00B075F4">
        <w:trPr>
          <w:jc w:val="center"/>
        </w:trPr>
        <w:tc>
          <w:tcPr>
            <w:tcW w:w="4095" w:type="dxa"/>
            <w:shd w:val="clear" w:color="auto" w:fill="auto"/>
          </w:tcPr>
          <w:p w:rsidR="00553AF5" w:rsidRDefault="00553AF5" w:rsidP="00B075F4">
            <w:pPr>
              <w:pStyle w:val="EBBullet"/>
              <w:keepNext/>
              <w:numPr>
                <w:ilvl w:val="0"/>
                <w:numId w:val="0"/>
              </w:numPr>
            </w:pPr>
            <w:r>
              <w:t>Reduced Administration Costs</w:t>
            </w:r>
            <w:r w:rsidR="00D30747">
              <w:t>(3)</w:t>
            </w:r>
          </w:p>
        </w:tc>
        <w:tc>
          <w:tcPr>
            <w:tcW w:w="1418" w:type="dxa"/>
            <w:shd w:val="clear" w:color="auto" w:fill="auto"/>
          </w:tcPr>
          <w:p w:rsidR="00553AF5" w:rsidRDefault="00C04C8A" w:rsidP="00B075F4">
            <w:pPr>
              <w:pStyle w:val="EBBullet"/>
              <w:keepNext/>
              <w:numPr>
                <w:ilvl w:val="0"/>
                <w:numId w:val="0"/>
              </w:numPr>
              <w:jc w:val="center"/>
            </w:pPr>
            <w:r>
              <w:t>28.81</w:t>
            </w:r>
          </w:p>
        </w:tc>
      </w:tr>
      <w:tr w:rsidR="00553AF5" w:rsidTr="00B075F4">
        <w:trPr>
          <w:jc w:val="center"/>
        </w:trPr>
        <w:tc>
          <w:tcPr>
            <w:tcW w:w="4095" w:type="dxa"/>
            <w:shd w:val="clear" w:color="auto" w:fill="auto"/>
          </w:tcPr>
          <w:p w:rsidR="00553AF5" w:rsidRDefault="00553AF5" w:rsidP="00B075F4">
            <w:pPr>
              <w:pStyle w:val="EBBullet"/>
              <w:keepNext/>
              <w:numPr>
                <w:ilvl w:val="0"/>
                <w:numId w:val="0"/>
              </w:numPr>
            </w:pPr>
            <w:r>
              <w:t>Reduced Installation Costs</w:t>
            </w:r>
            <w:r w:rsidR="00946773">
              <w:t>(4)</w:t>
            </w:r>
          </w:p>
        </w:tc>
        <w:tc>
          <w:tcPr>
            <w:tcW w:w="1418" w:type="dxa"/>
            <w:shd w:val="clear" w:color="auto" w:fill="auto"/>
          </w:tcPr>
          <w:p w:rsidR="00553AF5" w:rsidRDefault="00C04C8A" w:rsidP="00140117">
            <w:pPr>
              <w:pStyle w:val="EBBullet"/>
              <w:keepNext/>
              <w:numPr>
                <w:ilvl w:val="0"/>
                <w:numId w:val="0"/>
              </w:numPr>
              <w:jc w:val="center"/>
            </w:pPr>
            <w:r>
              <w:t>12.66</w:t>
            </w:r>
          </w:p>
        </w:tc>
      </w:tr>
      <w:tr w:rsidR="00553AF5" w:rsidTr="00B075F4">
        <w:trPr>
          <w:jc w:val="center"/>
        </w:trPr>
        <w:tc>
          <w:tcPr>
            <w:tcW w:w="4095" w:type="dxa"/>
            <w:shd w:val="clear" w:color="auto" w:fill="auto"/>
          </w:tcPr>
          <w:p w:rsidR="00553AF5" w:rsidRDefault="00553AF5" w:rsidP="00B075F4">
            <w:pPr>
              <w:pStyle w:val="EBBullet"/>
              <w:keepNext/>
              <w:numPr>
                <w:ilvl w:val="0"/>
                <w:numId w:val="0"/>
              </w:numPr>
            </w:pPr>
            <w:r>
              <w:t>Improved Access to Broadband</w:t>
            </w:r>
            <w:r w:rsidR="00946773">
              <w:t>(5)</w:t>
            </w:r>
          </w:p>
        </w:tc>
        <w:tc>
          <w:tcPr>
            <w:tcW w:w="1418" w:type="dxa"/>
            <w:shd w:val="clear" w:color="auto" w:fill="auto"/>
          </w:tcPr>
          <w:p w:rsidR="00553AF5" w:rsidRDefault="00C04C8A" w:rsidP="00B075F4">
            <w:pPr>
              <w:pStyle w:val="EBBullet"/>
              <w:keepNext/>
              <w:numPr>
                <w:ilvl w:val="0"/>
                <w:numId w:val="0"/>
              </w:numPr>
              <w:jc w:val="center"/>
            </w:pPr>
            <w:r>
              <w:t>20.86</w:t>
            </w:r>
          </w:p>
        </w:tc>
      </w:tr>
      <w:tr w:rsidR="00553AF5" w:rsidTr="00B075F4">
        <w:trPr>
          <w:jc w:val="center"/>
        </w:trPr>
        <w:tc>
          <w:tcPr>
            <w:tcW w:w="4095" w:type="dxa"/>
            <w:shd w:val="clear" w:color="auto" w:fill="auto"/>
          </w:tcPr>
          <w:p w:rsidR="00553AF5" w:rsidRDefault="00553AF5" w:rsidP="00B075F4">
            <w:pPr>
              <w:pStyle w:val="EBBullet"/>
              <w:keepNext/>
              <w:numPr>
                <w:ilvl w:val="0"/>
                <w:numId w:val="0"/>
              </w:numPr>
            </w:pPr>
            <w:r>
              <w:t>Reduced Operating Costs</w:t>
            </w:r>
            <w:r w:rsidR="00946773">
              <w:t>(6)</w:t>
            </w:r>
          </w:p>
        </w:tc>
        <w:tc>
          <w:tcPr>
            <w:tcW w:w="1418" w:type="dxa"/>
            <w:shd w:val="clear" w:color="auto" w:fill="auto"/>
          </w:tcPr>
          <w:p w:rsidR="00553AF5" w:rsidRDefault="00C04C8A" w:rsidP="00B075F4">
            <w:pPr>
              <w:pStyle w:val="EBBullet"/>
              <w:keepNext/>
              <w:numPr>
                <w:ilvl w:val="0"/>
                <w:numId w:val="0"/>
              </w:numPr>
              <w:jc w:val="center"/>
            </w:pPr>
            <w:r>
              <w:t>5.02</w:t>
            </w:r>
          </w:p>
        </w:tc>
      </w:tr>
      <w:tr w:rsidR="005405BF" w:rsidTr="00B075F4">
        <w:trPr>
          <w:jc w:val="center"/>
        </w:trPr>
        <w:tc>
          <w:tcPr>
            <w:tcW w:w="4095" w:type="dxa"/>
            <w:shd w:val="clear" w:color="auto" w:fill="auto"/>
          </w:tcPr>
          <w:p w:rsidR="005405BF" w:rsidRDefault="005405BF" w:rsidP="00B075F4">
            <w:pPr>
              <w:pStyle w:val="EBBullet"/>
              <w:keepNext/>
              <w:numPr>
                <w:ilvl w:val="0"/>
                <w:numId w:val="0"/>
              </w:numPr>
            </w:pPr>
            <w:r>
              <w:t>Increased Competition</w:t>
            </w:r>
          </w:p>
        </w:tc>
        <w:tc>
          <w:tcPr>
            <w:tcW w:w="1418" w:type="dxa"/>
            <w:shd w:val="clear" w:color="auto" w:fill="auto"/>
          </w:tcPr>
          <w:p w:rsidR="005405BF" w:rsidRDefault="005405BF" w:rsidP="00B075F4">
            <w:pPr>
              <w:pStyle w:val="EBBullet"/>
              <w:keepNext/>
              <w:numPr>
                <w:ilvl w:val="0"/>
                <w:numId w:val="0"/>
              </w:numPr>
              <w:jc w:val="center"/>
            </w:pPr>
            <w:r>
              <w:t>+</w:t>
            </w:r>
          </w:p>
        </w:tc>
      </w:tr>
      <w:tr w:rsidR="00553AF5" w:rsidTr="00B075F4">
        <w:trPr>
          <w:jc w:val="center"/>
        </w:trPr>
        <w:tc>
          <w:tcPr>
            <w:tcW w:w="4095" w:type="dxa"/>
            <w:shd w:val="clear" w:color="auto" w:fill="auto"/>
          </w:tcPr>
          <w:p w:rsidR="00553AF5" w:rsidRDefault="00D30747" w:rsidP="00B075F4">
            <w:pPr>
              <w:pStyle w:val="EBBullet"/>
              <w:keepNext/>
              <w:numPr>
                <w:ilvl w:val="0"/>
                <w:numId w:val="0"/>
              </w:numPr>
            </w:pPr>
            <w:r>
              <w:t>TOTAL BENEFITS</w:t>
            </w:r>
          </w:p>
        </w:tc>
        <w:tc>
          <w:tcPr>
            <w:tcW w:w="1418" w:type="dxa"/>
            <w:shd w:val="clear" w:color="auto" w:fill="auto"/>
          </w:tcPr>
          <w:p w:rsidR="00553AF5" w:rsidRDefault="00C04C8A" w:rsidP="00B075F4">
            <w:pPr>
              <w:pStyle w:val="EBBullet"/>
              <w:keepNext/>
              <w:numPr>
                <w:ilvl w:val="0"/>
                <w:numId w:val="0"/>
              </w:numPr>
              <w:jc w:val="center"/>
            </w:pPr>
            <w:r>
              <w:t>67.34</w:t>
            </w:r>
          </w:p>
        </w:tc>
      </w:tr>
      <w:tr w:rsidR="00D30747" w:rsidRPr="00B075F4" w:rsidTr="00B075F4">
        <w:trPr>
          <w:jc w:val="center"/>
        </w:trPr>
        <w:tc>
          <w:tcPr>
            <w:tcW w:w="4095" w:type="dxa"/>
            <w:shd w:val="clear" w:color="auto" w:fill="auto"/>
          </w:tcPr>
          <w:p w:rsidR="00D30747" w:rsidRDefault="00D30747" w:rsidP="00B075F4">
            <w:pPr>
              <w:pStyle w:val="EBBullet"/>
              <w:keepNext/>
              <w:numPr>
                <w:ilvl w:val="0"/>
                <w:numId w:val="0"/>
              </w:numPr>
            </w:pPr>
          </w:p>
        </w:tc>
        <w:tc>
          <w:tcPr>
            <w:tcW w:w="1418" w:type="dxa"/>
            <w:shd w:val="clear" w:color="auto" w:fill="auto"/>
          </w:tcPr>
          <w:p w:rsidR="00D30747" w:rsidRDefault="00D30747" w:rsidP="00B075F4">
            <w:pPr>
              <w:pStyle w:val="EBBullet"/>
              <w:keepNext/>
              <w:numPr>
                <w:ilvl w:val="0"/>
                <w:numId w:val="0"/>
              </w:numPr>
              <w:jc w:val="center"/>
            </w:pPr>
          </w:p>
        </w:tc>
      </w:tr>
      <w:tr w:rsidR="00553AF5" w:rsidTr="00B075F4">
        <w:trPr>
          <w:jc w:val="center"/>
        </w:trPr>
        <w:tc>
          <w:tcPr>
            <w:tcW w:w="4095" w:type="dxa"/>
            <w:shd w:val="clear" w:color="auto" w:fill="auto"/>
          </w:tcPr>
          <w:p w:rsidR="00553AF5" w:rsidRPr="00B075F4" w:rsidRDefault="00553AF5" w:rsidP="00B075F4">
            <w:pPr>
              <w:pStyle w:val="EBBullet"/>
              <w:keepNext/>
              <w:numPr>
                <w:ilvl w:val="0"/>
                <w:numId w:val="0"/>
              </w:numPr>
              <w:rPr>
                <w:b/>
              </w:rPr>
            </w:pPr>
            <w:r w:rsidRPr="00B075F4">
              <w:rPr>
                <w:b/>
              </w:rPr>
              <w:t>NET BENEFIT</w:t>
            </w:r>
          </w:p>
        </w:tc>
        <w:tc>
          <w:tcPr>
            <w:tcW w:w="1418" w:type="dxa"/>
            <w:shd w:val="clear" w:color="auto" w:fill="auto"/>
          </w:tcPr>
          <w:p w:rsidR="00553AF5" w:rsidRDefault="00C04C8A" w:rsidP="00050980">
            <w:pPr>
              <w:pStyle w:val="EBBullet"/>
              <w:keepNext/>
              <w:numPr>
                <w:ilvl w:val="0"/>
                <w:numId w:val="0"/>
              </w:numPr>
              <w:jc w:val="center"/>
            </w:pPr>
            <w:r>
              <w:t>33.65</w:t>
            </w:r>
          </w:p>
        </w:tc>
      </w:tr>
      <w:tr w:rsidR="00946773" w:rsidRPr="00B075F4" w:rsidTr="00B075F4">
        <w:trPr>
          <w:jc w:val="center"/>
        </w:trPr>
        <w:tc>
          <w:tcPr>
            <w:tcW w:w="4095" w:type="dxa"/>
            <w:shd w:val="clear" w:color="auto" w:fill="auto"/>
          </w:tcPr>
          <w:p w:rsidR="00946773" w:rsidRPr="00946773" w:rsidRDefault="00946773" w:rsidP="00B075F4">
            <w:pPr>
              <w:pStyle w:val="EBBullet"/>
              <w:keepNext/>
              <w:numPr>
                <w:ilvl w:val="0"/>
                <w:numId w:val="0"/>
              </w:numPr>
            </w:pPr>
            <w:r>
              <w:t>To Business</w:t>
            </w:r>
          </w:p>
        </w:tc>
        <w:tc>
          <w:tcPr>
            <w:tcW w:w="1418" w:type="dxa"/>
            <w:shd w:val="clear" w:color="auto" w:fill="auto"/>
          </w:tcPr>
          <w:p w:rsidR="00946773" w:rsidRDefault="00C04C8A" w:rsidP="00B075F4">
            <w:pPr>
              <w:pStyle w:val="EBBullet"/>
              <w:keepNext/>
              <w:numPr>
                <w:ilvl w:val="0"/>
                <w:numId w:val="0"/>
              </w:numPr>
              <w:jc w:val="center"/>
            </w:pPr>
            <w:r>
              <w:t>12.99</w:t>
            </w:r>
          </w:p>
        </w:tc>
      </w:tr>
      <w:tr w:rsidR="00946773" w:rsidRPr="00B075F4" w:rsidTr="00B075F4">
        <w:trPr>
          <w:jc w:val="center"/>
        </w:trPr>
        <w:tc>
          <w:tcPr>
            <w:tcW w:w="4095" w:type="dxa"/>
            <w:shd w:val="clear" w:color="auto" w:fill="auto"/>
          </w:tcPr>
          <w:p w:rsidR="00946773" w:rsidRPr="00946773" w:rsidRDefault="00946773" w:rsidP="00B075F4">
            <w:pPr>
              <w:pStyle w:val="EBBullet"/>
              <w:keepNext/>
              <w:numPr>
                <w:ilvl w:val="0"/>
                <w:numId w:val="0"/>
              </w:numPr>
            </w:pPr>
            <w:r>
              <w:t>To Customers</w:t>
            </w:r>
          </w:p>
        </w:tc>
        <w:tc>
          <w:tcPr>
            <w:tcW w:w="1418" w:type="dxa"/>
            <w:shd w:val="clear" w:color="auto" w:fill="auto"/>
          </w:tcPr>
          <w:p w:rsidR="00946773" w:rsidRDefault="00C04C8A" w:rsidP="00050980">
            <w:pPr>
              <w:pStyle w:val="EBBullet"/>
              <w:keepNext/>
              <w:numPr>
                <w:ilvl w:val="0"/>
                <w:numId w:val="0"/>
              </w:numPr>
              <w:jc w:val="center"/>
            </w:pPr>
            <w:r>
              <w:t>20.66</w:t>
            </w:r>
          </w:p>
        </w:tc>
      </w:tr>
    </w:tbl>
    <w:p w:rsidR="00553AF5" w:rsidRDefault="00553AF5" w:rsidP="00C97BB6">
      <w:pPr>
        <w:pStyle w:val="EBBullet"/>
        <w:keepNext/>
        <w:numPr>
          <w:ilvl w:val="0"/>
          <w:numId w:val="0"/>
        </w:numPr>
        <w:ind w:left="284" w:hanging="284"/>
      </w:pPr>
    </w:p>
    <w:p w:rsidR="00E75696" w:rsidRDefault="00E75696" w:rsidP="00C97BB6">
      <w:pPr>
        <w:pStyle w:val="EBBullet"/>
        <w:keepNext/>
        <w:numPr>
          <w:ilvl w:val="0"/>
          <w:numId w:val="0"/>
        </w:numPr>
        <w:ind w:left="284" w:hanging="284"/>
      </w:pPr>
      <w:r>
        <w:t xml:space="preserve">+ = </w:t>
      </w:r>
      <w:proofErr w:type="spellStart"/>
      <w:r>
        <w:t>Unmonetised</w:t>
      </w:r>
      <w:proofErr w:type="spellEnd"/>
      <w:r>
        <w:t xml:space="preserve"> increase.</w:t>
      </w:r>
    </w:p>
    <w:p w:rsidR="001E40DC" w:rsidRDefault="001E40DC" w:rsidP="00C97BB6">
      <w:pPr>
        <w:pStyle w:val="EBBullet"/>
        <w:keepNext/>
        <w:numPr>
          <w:ilvl w:val="0"/>
          <w:numId w:val="0"/>
        </w:numPr>
        <w:ind w:left="284" w:hanging="284"/>
      </w:pPr>
      <w:r>
        <w:t>Notes:</w:t>
      </w:r>
    </w:p>
    <w:p w:rsidR="00D30747" w:rsidRDefault="00D30747" w:rsidP="001E40DC">
      <w:pPr>
        <w:pStyle w:val="EBBullet"/>
        <w:keepNext/>
        <w:numPr>
          <w:ilvl w:val="0"/>
          <w:numId w:val="28"/>
        </w:numPr>
      </w:pPr>
      <w:r>
        <w:t>£16.27 household per year</w:t>
      </w:r>
      <w:r w:rsidR="00946773">
        <w:t xml:space="preserve"> assuming 135 households affected for each km of overhead line installed.</w:t>
      </w:r>
    </w:p>
    <w:p w:rsidR="00D30747" w:rsidRDefault="001E40DC" w:rsidP="001E40DC">
      <w:pPr>
        <w:pStyle w:val="EBBullet"/>
        <w:keepNext/>
        <w:numPr>
          <w:ilvl w:val="0"/>
          <w:numId w:val="28"/>
        </w:numPr>
      </w:pPr>
      <w:r>
        <w:t>Assumed to be 10% of the cost of installing extra overhead lines.</w:t>
      </w:r>
    </w:p>
    <w:p w:rsidR="00946773" w:rsidRDefault="00946773" w:rsidP="001E40DC">
      <w:pPr>
        <w:pStyle w:val="EBBullet"/>
        <w:keepNext/>
        <w:numPr>
          <w:ilvl w:val="0"/>
          <w:numId w:val="28"/>
        </w:numPr>
      </w:pPr>
      <w:r>
        <w:t xml:space="preserve">Each application assumed to be at </w:t>
      </w:r>
      <w:r w:rsidR="00BE3A35">
        <w:t>reported average of £2,350</w:t>
      </w:r>
      <w:r>
        <w:t xml:space="preserve"> per application. Sites for 300 cabinets and 65,000 poles approved each year for 5 years. 10% assumed to be in protected areas.</w:t>
      </w:r>
    </w:p>
    <w:p w:rsidR="00946773" w:rsidRDefault="00946773" w:rsidP="001E40DC">
      <w:pPr>
        <w:pStyle w:val="EBBullet"/>
        <w:keepNext/>
        <w:numPr>
          <w:ilvl w:val="0"/>
          <w:numId w:val="28"/>
        </w:numPr>
      </w:pPr>
      <w:r>
        <w:t>Reduction in installation assumed to be £</w:t>
      </w:r>
      <w:r w:rsidR="00835839">
        <w:t>6,900</w:t>
      </w:r>
      <w:r>
        <w:t xml:space="preserve"> per km. 325 km installed each year for 5 years.</w:t>
      </w:r>
    </w:p>
    <w:p w:rsidR="00946773" w:rsidRDefault="00BA0FF6" w:rsidP="001E40DC">
      <w:pPr>
        <w:pStyle w:val="EBBullet"/>
        <w:keepNext/>
        <w:numPr>
          <w:ilvl w:val="0"/>
          <w:numId w:val="28"/>
        </w:numPr>
      </w:pPr>
      <w:r>
        <w:lastRenderedPageBreak/>
        <w:t>Measures assumed to permit profitable deployment to all but 15% of the population. Take up 20%. Subscribers willing to pay and extra £5 for fast broadband. 10% assumed to be in protected areas.</w:t>
      </w:r>
    </w:p>
    <w:p w:rsidR="00BA0FF6" w:rsidRDefault="00BA0FF6" w:rsidP="001E40DC">
      <w:pPr>
        <w:pStyle w:val="EBBullet"/>
        <w:keepNext/>
        <w:numPr>
          <w:ilvl w:val="0"/>
          <w:numId w:val="28"/>
        </w:numPr>
      </w:pPr>
      <w:r>
        <w:t>Reduction in maintenance plus wayleaves of overhead installation.</w:t>
      </w:r>
    </w:p>
    <w:p w:rsidR="002433E6" w:rsidRDefault="002433E6" w:rsidP="005405BF">
      <w:pPr>
        <w:pStyle w:val="EBBullet"/>
        <w:keepNext/>
        <w:numPr>
          <w:ilvl w:val="0"/>
          <w:numId w:val="0"/>
        </w:numPr>
        <w:spacing w:line="276" w:lineRule="auto"/>
        <w:ind w:left="284" w:hanging="284"/>
      </w:pPr>
    </w:p>
    <w:p w:rsidR="001E40DC" w:rsidRPr="00553AF5" w:rsidRDefault="002433E6" w:rsidP="00732A69">
      <w:pPr>
        <w:pStyle w:val="EBBullet"/>
        <w:keepNext/>
        <w:numPr>
          <w:ilvl w:val="0"/>
          <w:numId w:val="0"/>
        </w:numPr>
        <w:spacing w:line="276" w:lineRule="auto"/>
        <w:ind w:left="284" w:hanging="284"/>
      </w:pPr>
      <w:r>
        <w:t>The measure is estimated to yield net benefits to business of £</w:t>
      </w:r>
      <w:r w:rsidR="00B87DE3">
        <w:t>12.</w:t>
      </w:r>
      <w:r w:rsidR="00DB433C">
        <w:t>99</w:t>
      </w:r>
      <w:r>
        <w:t xml:space="preserve"> million and £</w:t>
      </w:r>
      <w:r w:rsidR="00B87DE3">
        <w:t>20.66</w:t>
      </w:r>
      <w:r>
        <w:t xml:space="preserve"> million to customers over the period 2013-14 to 202</w:t>
      </w:r>
      <w:r w:rsidR="00097707">
        <w:t>2</w:t>
      </w:r>
      <w:r>
        <w:t>-2</w:t>
      </w:r>
      <w:r w:rsidR="00097707">
        <w:t>3</w:t>
      </w:r>
      <w:r>
        <w:t xml:space="preserve">. </w:t>
      </w:r>
      <w:r w:rsidR="00946773">
        <w:t xml:space="preserve"> </w:t>
      </w:r>
      <w:r w:rsidR="001E40DC">
        <w:t xml:space="preserve">   </w:t>
      </w:r>
    </w:p>
    <w:p w:rsidR="00C97BB6" w:rsidRDefault="00C97BB6" w:rsidP="00C97BB6">
      <w:pPr>
        <w:pStyle w:val="EBBullet"/>
        <w:keepNext/>
        <w:numPr>
          <w:ilvl w:val="0"/>
          <w:numId w:val="0"/>
        </w:numPr>
        <w:ind w:left="284" w:hanging="284"/>
        <w:rPr>
          <w:b/>
        </w:rPr>
      </w:pPr>
      <w:r>
        <w:rPr>
          <w:b/>
        </w:rPr>
        <w:t>RISK</w:t>
      </w:r>
      <w:r w:rsidR="00F6079E">
        <w:rPr>
          <w:b/>
        </w:rPr>
        <w:t>S</w:t>
      </w:r>
      <w:r>
        <w:rPr>
          <w:b/>
        </w:rPr>
        <w:t xml:space="preserve"> AND ASSUMPTIONS</w:t>
      </w:r>
    </w:p>
    <w:p w:rsidR="00C97BB6" w:rsidRDefault="005405BF" w:rsidP="00251A96">
      <w:pPr>
        <w:pStyle w:val="EBBullet"/>
        <w:keepNext/>
        <w:numPr>
          <w:ilvl w:val="0"/>
          <w:numId w:val="0"/>
        </w:numPr>
        <w:spacing w:line="276" w:lineRule="auto"/>
        <w:ind w:left="284" w:hanging="284"/>
      </w:pPr>
      <w:r>
        <w:t xml:space="preserve">The level of costs and benefits depend upon the alacrity with which CPs embrace the opportunities that this measure provides. It is likely that the more use made of the new opportunities the greater the net benefit that will result. However, it is also possible that </w:t>
      </w:r>
      <w:r w:rsidR="00251A96">
        <w:t>if very significant use is made of overhead deployment the loss of visual amenity will become much larger than suggested above.</w:t>
      </w:r>
    </w:p>
    <w:p w:rsidR="00251A96" w:rsidRDefault="00251A96" w:rsidP="00251A96">
      <w:pPr>
        <w:pStyle w:val="EBBullet"/>
        <w:keepNext/>
        <w:numPr>
          <w:ilvl w:val="0"/>
          <w:numId w:val="0"/>
        </w:numPr>
        <w:spacing w:line="276" w:lineRule="auto"/>
        <w:ind w:left="284" w:hanging="284"/>
      </w:pPr>
      <w:r>
        <w:t xml:space="preserve">Although every care has been taken in computing the above estimates and although a number of enquiries have been made of relevant companies and other stakeholders the data on which they are based is of inferior quality. It was hoped that an earlier consultation on overhead deployment would remedy this deficiency but, in the event, that hope proved false. Hence, it is possible that the costs and benefits monetised above bear </w:t>
      </w:r>
      <w:r w:rsidR="00B91E2F">
        <w:t>only an indirect</w:t>
      </w:r>
      <w:r>
        <w:t xml:space="preserve"> relation to commercial realities.</w:t>
      </w:r>
    </w:p>
    <w:p w:rsidR="00251A96" w:rsidRDefault="00251A96" w:rsidP="00251A96">
      <w:pPr>
        <w:pStyle w:val="EBBullet"/>
        <w:keepNext/>
        <w:numPr>
          <w:ilvl w:val="0"/>
          <w:numId w:val="0"/>
        </w:numPr>
        <w:spacing w:line="276" w:lineRule="auto"/>
        <w:ind w:left="284" w:hanging="284"/>
      </w:pPr>
      <w:r>
        <w:t>Most of the benefits identified result from the cost savings associated with overhead deployment. The estimates of these savings are particularly open to question because very few such deployments have ever been undertaken in the UK. As a consequence, it is not possible to be precise about the costs involved in deploying overhead lines in a UK context. It is possible</w:t>
      </w:r>
      <w:r w:rsidR="00AD15E3">
        <w:t>, therefore,</w:t>
      </w:r>
      <w:r>
        <w:t xml:space="preserve"> that</w:t>
      </w:r>
      <w:r w:rsidR="00AD15E3">
        <w:t>, in practice,</w:t>
      </w:r>
      <w:r>
        <w:t xml:space="preserve"> costs in the UK will be considerably higher than in the USA</w:t>
      </w:r>
      <w:r w:rsidR="00AD15E3">
        <w:t xml:space="preserve">. If so, the above net benefits may </w:t>
      </w:r>
      <w:r w:rsidR="00B91E2F">
        <w:t>not materialise</w:t>
      </w:r>
      <w:r w:rsidR="00AD15E3">
        <w:t>.</w:t>
      </w:r>
    </w:p>
    <w:p w:rsidR="00B91E2F" w:rsidRDefault="00B91E2F" w:rsidP="00251A96">
      <w:pPr>
        <w:pStyle w:val="EBBullet"/>
        <w:keepNext/>
        <w:numPr>
          <w:ilvl w:val="0"/>
          <w:numId w:val="0"/>
        </w:numPr>
        <w:spacing w:line="276" w:lineRule="auto"/>
        <w:ind w:left="284" w:hanging="284"/>
      </w:pPr>
      <w:r>
        <w:t xml:space="preserve">No estimates of willingness to pay for super-fast broadband among UK customers have yet been published. As a consequence, the assumptions underlying the calculation of consumer benefit may ultimately prove to be of limited value. This is particularly true of the assumptions about the premium which will be willingly paid to access the new service and the proportion of customers who choose to adopt it. If it transpires that either are too high then the estimate for consumer benefit will have to be revised downwards. </w:t>
      </w:r>
    </w:p>
    <w:p w:rsidR="00B91E2F" w:rsidRDefault="00B91E2F" w:rsidP="00251A96">
      <w:pPr>
        <w:pStyle w:val="EBBullet"/>
        <w:keepNext/>
        <w:numPr>
          <w:ilvl w:val="0"/>
          <w:numId w:val="0"/>
        </w:numPr>
        <w:spacing w:line="276" w:lineRule="auto"/>
        <w:ind w:left="284" w:hanging="284"/>
      </w:pPr>
    </w:p>
    <w:p w:rsidR="00AD15E3" w:rsidRDefault="00AD15E3" w:rsidP="00251A96">
      <w:pPr>
        <w:pStyle w:val="EBBullet"/>
        <w:keepNext/>
        <w:numPr>
          <w:ilvl w:val="0"/>
          <w:numId w:val="0"/>
        </w:numPr>
        <w:spacing w:line="276" w:lineRule="auto"/>
        <w:ind w:left="284" w:hanging="284"/>
        <w:rPr>
          <w:b/>
        </w:rPr>
      </w:pPr>
      <w:r>
        <w:rPr>
          <w:b/>
        </w:rPr>
        <w:t xml:space="preserve">ONE IN </w:t>
      </w:r>
      <w:r w:rsidR="00197EE1">
        <w:rPr>
          <w:b/>
        </w:rPr>
        <w:t>TWO</w:t>
      </w:r>
      <w:r>
        <w:rPr>
          <w:b/>
        </w:rPr>
        <w:t xml:space="preserve"> OUT</w:t>
      </w:r>
    </w:p>
    <w:p w:rsidR="00AD15E3" w:rsidRDefault="00AD15E3" w:rsidP="00251A96">
      <w:pPr>
        <w:pStyle w:val="EBBullet"/>
        <w:keepNext/>
        <w:numPr>
          <w:ilvl w:val="0"/>
          <w:numId w:val="0"/>
        </w:numPr>
        <w:spacing w:line="276" w:lineRule="auto"/>
        <w:ind w:left="284" w:hanging="284"/>
      </w:pPr>
      <w:r>
        <w:t xml:space="preserve">The proposed measure is de-regulatory. </w:t>
      </w:r>
      <w:r w:rsidR="00193ECC">
        <w:t>In 2009 prices and over the period 201</w:t>
      </w:r>
      <w:r w:rsidR="00732A69">
        <w:t>4</w:t>
      </w:r>
      <w:r w:rsidR="00193ECC">
        <w:t>-202</w:t>
      </w:r>
      <w:r w:rsidR="00732A69">
        <w:t>3</w:t>
      </w:r>
      <w:r w:rsidR="00193ECC">
        <w:t>, t</w:t>
      </w:r>
      <w:r>
        <w:t>he present value of the net cost to business is -£</w:t>
      </w:r>
      <w:r w:rsidR="00DB433C">
        <w:t>12.13</w:t>
      </w:r>
      <w:r>
        <w:t xml:space="preserve"> million implying a significant saving. EANCB is consequently -£</w:t>
      </w:r>
      <w:r w:rsidR="00DB433C">
        <w:t>1.41</w:t>
      </w:r>
      <w:r>
        <w:t xml:space="preserve"> million.</w:t>
      </w:r>
    </w:p>
    <w:bookmarkEnd w:id="41"/>
    <w:p w:rsidR="00193ECC" w:rsidRPr="00AD15E3" w:rsidRDefault="00193ECC" w:rsidP="00251A96">
      <w:pPr>
        <w:pStyle w:val="EBBullet"/>
        <w:keepNext/>
        <w:numPr>
          <w:ilvl w:val="0"/>
          <w:numId w:val="0"/>
        </w:numPr>
        <w:spacing w:line="276" w:lineRule="auto"/>
        <w:ind w:left="284" w:hanging="284"/>
      </w:pPr>
    </w:p>
    <w:sectPr w:rsidR="00193ECC" w:rsidRPr="00AD15E3" w:rsidSect="00807DB6">
      <w:headerReference w:type="even" r:id="rId12"/>
      <w:footerReference w:type="default" r:id="rId13"/>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7E" w:rsidRDefault="00B70E7E">
      <w:r>
        <w:separator/>
      </w:r>
    </w:p>
  </w:endnote>
  <w:endnote w:type="continuationSeparator" w:id="0">
    <w:p w:rsidR="00B70E7E" w:rsidRDefault="00B7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Bold">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0E" w:rsidRPr="00EB43FD" w:rsidRDefault="0026160E"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4220F6">
      <w:rPr>
        <w:rStyle w:val="PageNumber"/>
        <w:rFonts w:eastAsia="SimSun"/>
        <w:b w:val="0"/>
        <w:noProof/>
        <w:szCs w:val="18"/>
      </w:rPr>
      <w:t>2</w:t>
    </w:r>
    <w:r w:rsidRPr="00EB43FD">
      <w:rPr>
        <w:rStyle w:val="PageNumber"/>
        <w:rFonts w:eastAsia="SimSun"/>
        <w:b w:val="0"/>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0E" w:rsidRPr="00EB43FD" w:rsidRDefault="0026160E"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4220F6">
      <w:rPr>
        <w:rStyle w:val="PageNumber"/>
        <w:b w:val="0"/>
        <w:noProof/>
        <w:szCs w:val="18"/>
      </w:rPr>
      <w:t>18</w:t>
    </w:r>
    <w:r w:rsidRPr="00EB43FD">
      <w:rPr>
        <w:rStyle w:val="PageNumber"/>
        <w:b w:val="0"/>
        <w:szCs w:val="18"/>
      </w:rPr>
      <w:fldChar w:fldCharType="end"/>
    </w:r>
  </w:p>
  <w:p w:rsidR="0026160E" w:rsidRDefault="0026160E"/>
  <w:p w:rsidR="0026160E" w:rsidRDefault="0026160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7E" w:rsidRDefault="00B70E7E">
      <w:r>
        <w:separator/>
      </w:r>
    </w:p>
  </w:footnote>
  <w:footnote w:type="continuationSeparator" w:id="0">
    <w:p w:rsidR="00B70E7E" w:rsidRDefault="00B70E7E">
      <w:r>
        <w:continuationSeparator/>
      </w:r>
    </w:p>
  </w:footnote>
  <w:footnote w:id="1">
    <w:p w:rsidR="0026160E" w:rsidRDefault="0026160E" w:rsidP="00B6788D">
      <w:pPr>
        <w:pStyle w:val="FootnoteText"/>
      </w:pPr>
      <w:r>
        <w:rPr>
          <w:rStyle w:val="FootnoteReference"/>
        </w:rPr>
        <w:footnoteRef/>
      </w:r>
      <w:r>
        <w:t xml:space="preserve"> The Allen Consulting Group (2010): “Quantifying the possible economic gains of getting more Australian households online”, Report to the Department of Broadband, Communications and the Digital Economy, Melbourne, November.</w:t>
      </w:r>
    </w:p>
  </w:footnote>
  <w:footnote w:id="2">
    <w:p w:rsidR="0026160E" w:rsidRPr="005C6B95" w:rsidRDefault="0026160E" w:rsidP="00B6788D">
      <w:pPr>
        <w:pStyle w:val="FootnoteText"/>
      </w:pPr>
      <w:r>
        <w:rPr>
          <w:rStyle w:val="FootnoteReference"/>
        </w:rPr>
        <w:footnoteRef/>
      </w:r>
      <w:r>
        <w:t xml:space="preserve"> The World Bank (2009): “Information and Communications for Development: Extending Reach and Increasing Impact”, Washington DC.</w:t>
      </w:r>
    </w:p>
  </w:footnote>
  <w:footnote w:id="3">
    <w:p w:rsidR="0026160E" w:rsidRPr="005A7384" w:rsidRDefault="0026160E" w:rsidP="00B6788D">
      <w:pPr>
        <w:pStyle w:val="FootnoteText"/>
      </w:pPr>
      <w:r>
        <w:rPr>
          <w:rStyle w:val="FootnoteReference"/>
        </w:rPr>
        <w:footnoteRef/>
      </w:r>
      <w:r>
        <w:t xml:space="preserve"> Raul L Katz, Stephen </w:t>
      </w:r>
      <w:proofErr w:type="spellStart"/>
      <w:r>
        <w:t>Verlaus</w:t>
      </w:r>
      <w:proofErr w:type="spellEnd"/>
      <w:r>
        <w:t xml:space="preserve">, Patrick </w:t>
      </w:r>
      <w:proofErr w:type="spellStart"/>
      <w:r>
        <w:t>Zenhausen</w:t>
      </w:r>
      <w:proofErr w:type="spellEnd"/>
      <w:r>
        <w:t xml:space="preserve">, Stephan </w:t>
      </w:r>
      <w:proofErr w:type="spellStart"/>
      <w:r>
        <w:t>Suter</w:t>
      </w:r>
      <w:proofErr w:type="spellEnd"/>
      <w:r>
        <w:t xml:space="preserve"> and Philippe Maher (2010): “The Impact of Broadband on Jobs and the German Economy”, </w:t>
      </w:r>
      <w:proofErr w:type="spellStart"/>
      <w:r>
        <w:rPr>
          <w:i/>
        </w:rPr>
        <w:t>Intereconomics</w:t>
      </w:r>
      <w:proofErr w:type="spellEnd"/>
      <w:r>
        <w:rPr>
          <w:i/>
        </w:rPr>
        <w:t xml:space="preserve">, </w:t>
      </w:r>
      <w:proofErr w:type="spellStart"/>
      <w:r>
        <w:t>Vol</w:t>
      </w:r>
      <w:proofErr w:type="spellEnd"/>
      <w:r>
        <w:t xml:space="preserve"> 45, Issue 1, </w:t>
      </w:r>
      <w:proofErr w:type="spellStart"/>
      <w:r>
        <w:t>pp</w:t>
      </w:r>
      <w:proofErr w:type="spellEnd"/>
      <w:r>
        <w:t xml:space="preserve"> 26-34.</w:t>
      </w:r>
    </w:p>
  </w:footnote>
  <w:footnote w:id="4">
    <w:p w:rsidR="0026160E" w:rsidRPr="005C6B95" w:rsidRDefault="0026160E" w:rsidP="00B6788D">
      <w:pPr>
        <w:pStyle w:val="FootnoteText"/>
      </w:pPr>
      <w:r>
        <w:rPr>
          <w:rStyle w:val="FootnoteReference"/>
        </w:rPr>
        <w:footnoteRef/>
      </w:r>
      <w:r>
        <w:t xml:space="preserve"> Nina </w:t>
      </w:r>
      <w:proofErr w:type="spellStart"/>
      <w:r>
        <w:t>Czernich</w:t>
      </w:r>
      <w:proofErr w:type="spellEnd"/>
      <w:r>
        <w:t xml:space="preserve">, Oliver Flack, Tobias </w:t>
      </w:r>
      <w:proofErr w:type="spellStart"/>
      <w:r>
        <w:t>Kreschmer</w:t>
      </w:r>
      <w:proofErr w:type="spellEnd"/>
      <w:r>
        <w:t xml:space="preserve"> and </w:t>
      </w:r>
      <w:proofErr w:type="spellStart"/>
      <w:r>
        <w:t>LudgerWoessmann</w:t>
      </w:r>
      <w:proofErr w:type="spellEnd"/>
      <w:r>
        <w:t xml:space="preserve"> (2011): 2Braodband Infrastructure and Economic Growth”, </w:t>
      </w:r>
      <w:r>
        <w:rPr>
          <w:i/>
        </w:rPr>
        <w:t xml:space="preserve">The Economic Journal, </w:t>
      </w:r>
      <w:proofErr w:type="spellStart"/>
      <w:r>
        <w:t>Vol</w:t>
      </w:r>
      <w:proofErr w:type="spellEnd"/>
      <w:r>
        <w:t xml:space="preserve"> 121, May, </w:t>
      </w:r>
      <w:proofErr w:type="spellStart"/>
      <w:r>
        <w:t>pp</w:t>
      </w:r>
      <w:proofErr w:type="spellEnd"/>
      <w:r>
        <w:t xml:space="preserve"> 505-532.</w:t>
      </w:r>
    </w:p>
  </w:footnote>
  <w:footnote w:id="5">
    <w:p w:rsidR="0026160E" w:rsidRDefault="0026160E" w:rsidP="00B6788D">
      <w:pPr>
        <w:pStyle w:val="FootnoteText"/>
      </w:pPr>
      <w:r>
        <w:rPr>
          <w:rStyle w:val="FootnoteReference"/>
        </w:rPr>
        <w:footnoteRef/>
      </w:r>
      <w:r>
        <w:t xml:space="preserve"> </w:t>
      </w:r>
      <w:proofErr w:type="spellStart"/>
      <w:r>
        <w:t>Pantelis</w:t>
      </w:r>
      <w:proofErr w:type="spellEnd"/>
      <w:r>
        <w:t xml:space="preserve"> </w:t>
      </w:r>
      <w:proofErr w:type="spellStart"/>
      <w:r>
        <w:t>Koutroumpis</w:t>
      </w:r>
      <w:proofErr w:type="spellEnd"/>
      <w:r>
        <w:t xml:space="preserve"> (2009): “The economic impact of broadband on growth: A simultaneous approach”, </w:t>
      </w:r>
      <w:r>
        <w:rPr>
          <w:i/>
        </w:rPr>
        <w:t xml:space="preserve">Telecommunications Policy, </w:t>
      </w:r>
      <w:proofErr w:type="spellStart"/>
      <w:r>
        <w:t>Vol</w:t>
      </w:r>
      <w:proofErr w:type="spellEnd"/>
      <w:r>
        <w:t xml:space="preserve"> 33, No 9, pp471-85.</w:t>
      </w:r>
    </w:p>
  </w:footnote>
  <w:footnote w:id="6">
    <w:p w:rsidR="0026160E" w:rsidRPr="007D1B92" w:rsidRDefault="0026160E" w:rsidP="00B6788D">
      <w:pPr>
        <w:pStyle w:val="FootnoteText"/>
      </w:pPr>
      <w:r>
        <w:rPr>
          <w:rStyle w:val="FootnoteReference"/>
        </w:rPr>
        <w:footnoteRef/>
      </w:r>
      <w:r>
        <w:t xml:space="preserve"> </w:t>
      </w:r>
      <w:proofErr w:type="spellStart"/>
      <w:r>
        <w:t>Jussi</w:t>
      </w:r>
      <w:proofErr w:type="spellEnd"/>
      <w:r>
        <w:t xml:space="preserve"> </w:t>
      </w:r>
      <w:proofErr w:type="spellStart"/>
      <w:r>
        <w:t>Hatonen</w:t>
      </w:r>
      <w:proofErr w:type="spellEnd"/>
      <w:r>
        <w:t xml:space="preserve"> (2011): “The economic impact of fixed and mobile high-speed networks”, </w:t>
      </w:r>
      <w:r>
        <w:rPr>
          <w:i/>
        </w:rPr>
        <w:t xml:space="preserve">EIB Papers, </w:t>
      </w:r>
      <w:proofErr w:type="spellStart"/>
      <w:r>
        <w:t>Vol</w:t>
      </w:r>
      <w:proofErr w:type="spellEnd"/>
      <w:r>
        <w:t xml:space="preserve"> 16, No 2, </w:t>
      </w:r>
      <w:proofErr w:type="spellStart"/>
      <w:r>
        <w:t>pp</w:t>
      </w:r>
      <w:proofErr w:type="spellEnd"/>
      <w:r>
        <w:t xml:space="preserve"> 30-59.</w:t>
      </w:r>
    </w:p>
  </w:footnote>
  <w:footnote w:id="7">
    <w:p w:rsidR="0026160E" w:rsidRDefault="0026160E" w:rsidP="00B6788D">
      <w:pPr>
        <w:pStyle w:val="FootnoteText"/>
      </w:pPr>
      <w:r>
        <w:rPr>
          <w:rStyle w:val="FootnoteReference"/>
        </w:rPr>
        <w:footnoteRef/>
      </w:r>
      <w:r>
        <w:t xml:space="preserve">  Ericsson (2011): “Need for Speed: A new study confirms the positive effects of an increased broadband speed on GDP”, Stockholm, 27 September 2011.</w:t>
      </w:r>
    </w:p>
  </w:footnote>
  <w:footnote w:id="8">
    <w:p w:rsidR="0026160E" w:rsidRDefault="0026160E" w:rsidP="00B6788D">
      <w:pPr>
        <w:pStyle w:val="FootnoteText"/>
      </w:pPr>
      <w:r>
        <w:rPr>
          <w:rStyle w:val="FootnoteReference"/>
        </w:rPr>
        <w:footnoteRef/>
      </w:r>
      <w:r>
        <w:t xml:space="preserve"> By contrast Arthur Grimes, Cleo </w:t>
      </w:r>
      <w:proofErr w:type="spellStart"/>
      <w:r>
        <w:t>Ren</w:t>
      </w:r>
      <w:proofErr w:type="spellEnd"/>
      <w:r>
        <w:t xml:space="preserve"> and Philip Stevens (2009): “The Need for Speed: Impacts of Internet Connectivity on Firm Productivity”, Wellington, </w:t>
      </w:r>
      <w:proofErr w:type="spellStart"/>
      <w:r>
        <w:t>Motu</w:t>
      </w:r>
      <w:proofErr w:type="spellEnd"/>
      <w:r>
        <w:t xml:space="preserve"> Working Paper 09-15, </w:t>
      </w:r>
      <w:proofErr w:type="spellStart"/>
      <w:r>
        <w:t>Motu</w:t>
      </w:r>
      <w:proofErr w:type="spellEnd"/>
      <w:r>
        <w:t xml:space="preserve"> Economic and Public Policy Research, October finds an insignificant effect of speed on firm productivity. </w:t>
      </w:r>
    </w:p>
  </w:footnote>
  <w:footnote w:id="9">
    <w:p w:rsidR="0026160E" w:rsidRDefault="0026160E" w:rsidP="00B6788D">
      <w:pPr>
        <w:pStyle w:val="FootnoteText"/>
      </w:pPr>
      <w:r>
        <w:rPr>
          <w:rStyle w:val="FootnoteReference"/>
        </w:rPr>
        <w:footnoteRef/>
      </w:r>
      <w:r>
        <w:t xml:space="preserve"> Yuji </w:t>
      </w:r>
      <w:proofErr w:type="spellStart"/>
      <w:r>
        <w:t>Akematsu</w:t>
      </w:r>
      <w:proofErr w:type="spellEnd"/>
      <w:r>
        <w:t xml:space="preserve"> (2008): “Broadband </w:t>
      </w:r>
      <w:proofErr w:type="spellStart"/>
      <w:r>
        <w:t>Difussion</w:t>
      </w:r>
      <w:proofErr w:type="spellEnd"/>
      <w:r>
        <w:t xml:space="preserve"> and Public Policy: A Panel Data Analysis”, 3</w:t>
      </w:r>
      <w:r w:rsidRPr="000D283A">
        <w:rPr>
          <w:vertAlign w:val="superscript"/>
        </w:rPr>
        <w:t>rd</w:t>
      </w:r>
      <w:r>
        <w:t xml:space="preserve"> Communication Policy Research South Conference (CPRsouth3), Beijing, December 7. </w:t>
      </w:r>
      <w:proofErr w:type="spellStart"/>
      <w:r>
        <w:t>SSRN:http</w:t>
      </w:r>
      <w:proofErr w:type="spellEnd"/>
      <w:r>
        <w:t>://ssrn.com/abstract=1572299.</w:t>
      </w:r>
    </w:p>
  </w:footnote>
  <w:footnote w:id="10">
    <w:p w:rsidR="0026160E" w:rsidRPr="00E90FC3" w:rsidRDefault="0026160E" w:rsidP="00B6788D">
      <w:pPr>
        <w:pStyle w:val="FootnoteText"/>
      </w:pPr>
      <w:r>
        <w:rPr>
          <w:rStyle w:val="FootnoteReference"/>
        </w:rPr>
        <w:footnoteRef/>
      </w:r>
      <w:r>
        <w:t xml:space="preserve"> </w:t>
      </w:r>
      <w:proofErr w:type="spellStart"/>
      <w:r>
        <w:t>Harald</w:t>
      </w:r>
      <w:proofErr w:type="spellEnd"/>
      <w:r>
        <w:t xml:space="preserve"> Gruber and </w:t>
      </w:r>
      <w:proofErr w:type="spellStart"/>
      <w:r>
        <w:t>Pantelis</w:t>
      </w:r>
      <w:proofErr w:type="spellEnd"/>
      <w:r>
        <w:t xml:space="preserve"> </w:t>
      </w:r>
      <w:proofErr w:type="spellStart"/>
      <w:r>
        <w:t>Koutroumpis</w:t>
      </w:r>
      <w:proofErr w:type="spellEnd"/>
      <w:r>
        <w:t xml:space="preserve"> (2011): “Mobile telecommunications and the impact on economic development”, </w:t>
      </w:r>
      <w:r>
        <w:rPr>
          <w:i/>
        </w:rPr>
        <w:t xml:space="preserve">Economic Policy, </w:t>
      </w:r>
      <w:proofErr w:type="spellStart"/>
      <w:r>
        <w:t>Vol</w:t>
      </w:r>
      <w:proofErr w:type="spellEnd"/>
      <w:r>
        <w:t xml:space="preserve"> 26, Issue 67, July, </w:t>
      </w:r>
      <w:proofErr w:type="spellStart"/>
      <w:r>
        <w:t>pp</w:t>
      </w:r>
      <w:proofErr w:type="spellEnd"/>
      <w:r>
        <w:t xml:space="preserve"> 387-426. </w:t>
      </w:r>
    </w:p>
  </w:footnote>
  <w:footnote w:id="11">
    <w:p w:rsidR="0026160E" w:rsidRDefault="0026160E" w:rsidP="00B6788D">
      <w:pPr>
        <w:pStyle w:val="FootnoteText"/>
      </w:pPr>
      <w:r>
        <w:rPr>
          <w:rStyle w:val="FootnoteReference"/>
        </w:rPr>
        <w:footnoteRef/>
      </w:r>
      <w:r>
        <w:t xml:space="preserve"> Ofcom (2012): “The Communications Market 2012”, London, July.</w:t>
      </w:r>
    </w:p>
  </w:footnote>
  <w:footnote w:id="12">
    <w:p w:rsidR="0026160E" w:rsidRDefault="0026160E" w:rsidP="00B6788D">
      <w:pPr>
        <w:pStyle w:val="FootnoteText"/>
      </w:pPr>
      <w:r>
        <w:rPr>
          <w:rStyle w:val="FootnoteReference"/>
        </w:rPr>
        <w:footnoteRef/>
      </w:r>
      <w:r>
        <w:t xml:space="preserve"> Martin </w:t>
      </w:r>
      <w:proofErr w:type="spellStart"/>
      <w:r>
        <w:t>Fornefeld</w:t>
      </w:r>
      <w:proofErr w:type="spellEnd"/>
      <w:r>
        <w:t xml:space="preserve">, Gilles Delaunay and Dieter </w:t>
      </w:r>
      <w:proofErr w:type="spellStart"/>
      <w:r>
        <w:t>Elixman</w:t>
      </w:r>
      <w:proofErr w:type="spellEnd"/>
      <w:r>
        <w:t xml:space="preserve"> (2008): “The Impact of Broadband on Growth and Productivity: A study on behalf of the European Commission (DG Information Society and Media)”, Dusseldorf, </w:t>
      </w:r>
      <w:proofErr w:type="spellStart"/>
      <w:r>
        <w:t>Micus</w:t>
      </w:r>
      <w:proofErr w:type="spellEnd"/>
      <w:r>
        <w:t>.</w:t>
      </w:r>
    </w:p>
  </w:footnote>
  <w:footnote w:id="13">
    <w:p w:rsidR="0026160E" w:rsidRDefault="0026160E" w:rsidP="00B6788D">
      <w:pPr>
        <w:pStyle w:val="FootnoteText"/>
      </w:pPr>
      <w:r>
        <w:rPr>
          <w:rStyle w:val="FootnoteReference"/>
        </w:rPr>
        <w:footnoteRef/>
      </w:r>
      <w:r>
        <w:t xml:space="preserve"> Plum Consulting (2008): “a Framework for Evaluating the Value of Next Generation Broadband: A report for the Broadband Stakeholder Group”, London, June.</w:t>
      </w:r>
    </w:p>
  </w:footnote>
  <w:footnote w:id="14">
    <w:p w:rsidR="0026160E" w:rsidRDefault="0026160E" w:rsidP="00B6788D">
      <w:pPr>
        <w:pStyle w:val="FootnoteText"/>
      </w:pPr>
      <w:r>
        <w:rPr>
          <w:rStyle w:val="FootnoteReference"/>
        </w:rPr>
        <w:footnoteRef/>
      </w:r>
      <w:r>
        <w:t xml:space="preserve"> Mark Franklin, Peter </w:t>
      </w:r>
      <w:proofErr w:type="spellStart"/>
      <w:r>
        <w:t>Stam</w:t>
      </w:r>
      <w:proofErr w:type="spellEnd"/>
      <w:r>
        <w:t xml:space="preserve"> and Tony Clayton (2009): “ICT impact assessment by linking data”, </w:t>
      </w:r>
      <w:r>
        <w:rPr>
          <w:i/>
        </w:rPr>
        <w:t xml:space="preserve">Economic and Labour Market Review, </w:t>
      </w:r>
      <w:proofErr w:type="spellStart"/>
      <w:r>
        <w:t>Vol</w:t>
      </w:r>
      <w:proofErr w:type="spellEnd"/>
      <w:r>
        <w:t xml:space="preserve"> 3, No 10, October, </w:t>
      </w:r>
      <w:proofErr w:type="spellStart"/>
      <w:r>
        <w:t>pp</w:t>
      </w:r>
      <w:proofErr w:type="spellEnd"/>
      <w:r>
        <w:t xml:space="preserve"> 18-27. </w:t>
      </w:r>
    </w:p>
  </w:footnote>
  <w:footnote w:id="15">
    <w:p w:rsidR="0026160E" w:rsidRDefault="0026160E" w:rsidP="00B6788D">
      <w:pPr>
        <w:pStyle w:val="FootnoteText"/>
      </w:pPr>
      <w:r>
        <w:rPr>
          <w:rStyle w:val="FootnoteReference"/>
        </w:rPr>
        <w:footnoteRef/>
      </w:r>
      <w:r>
        <w:t xml:space="preserve"> John </w:t>
      </w:r>
      <w:proofErr w:type="spellStart"/>
      <w:r>
        <w:t>Lepper</w:t>
      </w:r>
      <w:proofErr w:type="spellEnd"/>
      <w:r>
        <w:t xml:space="preserve"> (2012): “An Enquiry into the Ideology and Reality of Market and Market System”, Basingstoke, Palgrave Macmillan.</w:t>
      </w:r>
    </w:p>
  </w:footnote>
  <w:footnote w:id="16">
    <w:p w:rsidR="0026160E" w:rsidRDefault="0026160E" w:rsidP="00B6788D">
      <w:pPr>
        <w:pStyle w:val="FootnoteText"/>
      </w:pPr>
      <w:r>
        <w:rPr>
          <w:rStyle w:val="FootnoteReference"/>
        </w:rPr>
        <w:footnoteRef/>
      </w:r>
      <w:r>
        <w:t xml:space="preserve"> McKinsey Global Institute (2011): “Big data: The next frontier for innovation, competition and productivity”, Washington DC, May.</w:t>
      </w:r>
    </w:p>
  </w:footnote>
  <w:footnote w:id="17">
    <w:p w:rsidR="0026160E" w:rsidRDefault="0026160E" w:rsidP="00B6788D">
      <w:pPr>
        <w:pStyle w:val="FootnoteText"/>
      </w:pPr>
      <w:r>
        <w:rPr>
          <w:rStyle w:val="FootnoteReference"/>
        </w:rPr>
        <w:footnoteRef/>
      </w:r>
      <w:r>
        <w:t xml:space="preserve"> Sharon E Gillett, William H Lehr, Carlos A </w:t>
      </w:r>
      <w:proofErr w:type="spellStart"/>
      <w:r>
        <w:t>Osirio</w:t>
      </w:r>
      <w:proofErr w:type="spellEnd"/>
      <w:r>
        <w:t xml:space="preserve"> and Marvin A </w:t>
      </w:r>
      <w:proofErr w:type="spellStart"/>
      <w:r>
        <w:t>Sirbu</w:t>
      </w:r>
      <w:proofErr w:type="spellEnd"/>
      <w:r>
        <w:t xml:space="preserve"> (2006): “Measuring the Economic Impact of Broadband Deployment: Final Report”, Washington DC, prepared for the US Department of Commerce, Economic Development Administration, National Technical Assistance, Training Research and Evaluation Project #99-07-13829, February. </w:t>
      </w:r>
    </w:p>
  </w:footnote>
  <w:footnote w:id="18">
    <w:p w:rsidR="0026160E" w:rsidRDefault="0026160E" w:rsidP="00B6788D">
      <w:pPr>
        <w:pStyle w:val="FootnoteText"/>
      </w:pPr>
      <w:r>
        <w:rPr>
          <w:rStyle w:val="FootnoteReference"/>
        </w:rPr>
        <w:footnoteRef/>
      </w:r>
      <w:r>
        <w:t xml:space="preserve"> Gregory </w:t>
      </w:r>
      <w:proofErr w:type="spellStart"/>
      <w:r>
        <w:t>Rosston</w:t>
      </w:r>
      <w:proofErr w:type="spellEnd"/>
      <w:r>
        <w:t xml:space="preserve">, Scott J Savage and Donald Waldman (2010): “Household Demand for Broadband Internet Service: Final Report to the Broadband.gov Task Force”, Washington DC, Federal Communications Commission, February 3. </w:t>
      </w:r>
    </w:p>
  </w:footnote>
  <w:footnote w:id="19">
    <w:p w:rsidR="0026160E" w:rsidRDefault="0026160E" w:rsidP="00B6788D">
      <w:pPr>
        <w:pStyle w:val="FootnoteText"/>
      </w:pPr>
      <w:r>
        <w:rPr>
          <w:rStyle w:val="FootnoteReference"/>
        </w:rPr>
        <w:footnoteRef/>
      </w:r>
      <w:r>
        <w:t xml:space="preserve"> Elizabeth Mack (2011): “Business and the Need for Speed: The Impact of Broadband on Business Presence”, paper presented to Telecommunications Policy Research Conference, Information and Internet Policy, 23-25 September 2011, George Mason University School of Law, Arlington VA. </w:t>
      </w:r>
    </w:p>
  </w:footnote>
  <w:footnote w:id="20">
    <w:p w:rsidR="0026160E" w:rsidRDefault="0026160E" w:rsidP="00B6788D">
      <w:pPr>
        <w:pStyle w:val="FootnoteText"/>
      </w:pPr>
      <w:r>
        <w:rPr>
          <w:rStyle w:val="FootnoteReference"/>
        </w:rPr>
        <w:footnoteRef/>
      </w:r>
      <w:r>
        <w:t xml:space="preserve"> For a discussion of the limitations of cross-country econometric studies see </w:t>
      </w:r>
      <w:proofErr w:type="spellStart"/>
      <w:r>
        <w:t>Yochai</w:t>
      </w:r>
      <w:proofErr w:type="spellEnd"/>
      <w:r>
        <w:t xml:space="preserve"> </w:t>
      </w:r>
      <w:proofErr w:type="spellStart"/>
      <w:r>
        <w:t>Benkler</w:t>
      </w:r>
      <w:proofErr w:type="spellEnd"/>
      <w:r>
        <w:t xml:space="preserve"> (2010): “Next Generation Connectivity: A review of broadband Internet transitions and policy from around the world: Final Report”, Cambridge MA, The </w:t>
      </w:r>
      <w:proofErr w:type="spellStart"/>
      <w:r>
        <w:t>Berkman</w:t>
      </w:r>
      <w:proofErr w:type="spellEnd"/>
      <w:r>
        <w:t xml:space="preserve"> </w:t>
      </w:r>
      <w:proofErr w:type="spellStart"/>
      <w:r>
        <w:t>Center</w:t>
      </w:r>
      <w:proofErr w:type="spellEnd"/>
      <w:r>
        <w:t xml:space="preserve"> for Internet and Society at Harvard University, </w:t>
      </w:r>
      <w:proofErr w:type="spellStart"/>
      <w:r>
        <w:t>pp</w:t>
      </w:r>
      <w:proofErr w:type="spellEnd"/>
      <w:r>
        <w:t xml:space="preserve"> 94-6. </w:t>
      </w:r>
    </w:p>
  </w:footnote>
  <w:footnote w:id="21">
    <w:p w:rsidR="0026160E" w:rsidRDefault="0026160E">
      <w:pPr>
        <w:pStyle w:val="FootnoteText"/>
      </w:pPr>
      <w:r>
        <w:rPr>
          <w:rStyle w:val="FootnoteReference"/>
        </w:rPr>
        <w:footnoteRef/>
      </w:r>
      <w:r>
        <w:t xml:space="preserve"> Arup (2009): “Benchmarking the costs to applicants of submitting a planning application”, London, Department for Communities and Local Government, July.</w:t>
      </w:r>
    </w:p>
  </w:footnote>
  <w:footnote w:id="22">
    <w:p w:rsidR="0026160E" w:rsidRDefault="0026160E">
      <w:pPr>
        <w:pStyle w:val="FootnoteText"/>
      </w:pPr>
      <w:r>
        <w:rPr>
          <w:rStyle w:val="FootnoteReference"/>
        </w:rPr>
        <w:footnoteRef/>
      </w:r>
      <w:r>
        <w:t xml:space="preserve"> Ofcom (2012): “Communications Market Report: UK”, London, Ofcom, July. This is the sum of fixed and mobile broadband subscriptions.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0E" w:rsidRDefault="0026160E">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0E" w:rsidRDefault="0026160E"/>
  <w:p w:rsidR="0026160E" w:rsidRDefault="0026160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942D82"/>
    <w:multiLevelType w:val="hybridMultilevel"/>
    <w:tmpl w:val="4528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DE47194"/>
    <w:multiLevelType w:val="hybridMultilevel"/>
    <w:tmpl w:val="3B6AC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801E6A"/>
    <w:multiLevelType w:val="hybridMultilevel"/>
    <w:tmpl w:val="414679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1F4ABE"/>
    <w:multiLevelType w:val="hybridMultilevel"/>
    <w:tmpl w:val="8CC284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B125339"/>
    <w:multiLevelType w:val="multilevel"/>
    <w:tmpl w:val="0809001F"/>
    <w:numStyleLink w:val="Style1"/>
  </w:abstractNum>
  <w:abstractNum w:abstractNumId="19">
    <w:nsid w:val="467D65D7"/>
    <w:multiLevelType w:val="hybridMultilevel"/>
    <w:tmpl w:val="90F812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7D5729E"/>
    <w:multiLevelType w:val="hybridMultilevel"/>
    <w:tmpl w:val="9E06EE2A"/>
    <w:lvl w:ilvl="0" w:tplc="272C1DE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B27A5D"/>
    <w:multiLevelType w:val="hybridMultilevel"/>
    <w:tmpl w:val="7ECE2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EF406C"/>
    <w:multiLevelType w:val="hybridMultilevel"/>
    <w:tmpl w:val="73C4841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1996331"/>
    <w:multiLevelType w:val="hybridMultilevel"/>
    <w:tmpl w:val="4AFC1AC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75A32AC"/>
    <w:multiLevelType w:val="hybridMultilevel"/>
    <w:tmpl w:val="59F0E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nsid w:val="74FD5D9B"/>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E0A06DB"/>
    <w:multiLevelType w:val="hybridMultilevel"/>
    <w:tmpl w:val="8E3AE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10"/>
  </w:num>
  <w:num w:numId="14">
    <w:abstractNumId w:val="17"/>
  </w:num>
  <w:num w:numId="15">
    <w:abstractNumId w:val="16"/>
  </w:num>
  <w:num w:numId="16">
    <w:abstractNumId w:val="12"/>
  </w:num>
  <w:num w:numId="17">
    <w:abstractNumId w:val="16"/>
  </w:num>
  <w:num w:numId="18">
    <w:abstractNumId w:val="28"/>
  </w:num>
  <w:num w:numId="19">
    <w:abstractNumId w:val="28"/>
  </w:num>
  <w:num w:numId="20">
    <w:abstractNumId w:val="28"/>
  </w:num>
  <w:num w:numId="21">
    <w:abstractNumId w:val="16"/>
  </w:num>
  <w:num w:numId="22">
    <w:abstractNumId w:val="13"/>
  </w:num>
  <w:num w:numId="23">
    <w:abstractNumId w:val="22"/>
  </w:num>
  <w:num w:numId="24">
    <w:abstractNumId w:val="23"/>
  </w:num>
  <w:num w:numId="25">
    <w:abstractNumId w:val="19"/>
  </w:num>
  <w:num w:numId="26">
    <w:abstractNumId w:val="24"/>
  </w:num>
  <w:num w:numId="27">
    <w:abstractNumId w:val="11"/>
  </w:num>
  <w:num w:numId="28">
    <w:abstractNumId w:val="27"/>
  </w:num>
  <w:num w:numId="29">
    <w:abstractNumId w:val="21"/>
  </w:num>
  <w:num w:numId="30">
    <w:abstractNumId w:val="20"/>
  </w:num>
  <w:num w:numId="31">
    <w:abstractNumId w:val="26"/>
  </w:num>
  <w:num w:numId="32">
    <w:abstractNumId w:val="18"/>
  </w:num>
  <w:num w:numId="33">
    <w:abstractNumId w:val="15"/>
  </w:num>
  <w:num w:numId="34">
    <w:abstractNumId w:val="14"/>
  </w:num>
  <w:num w:numId="3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ShadeFormData/>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VerNumber" w:val="3.4.0"/>
  </w:docVars>
  <w:rsids>
    <w:rsidRoot w:val="00771A8E"/>
    <w:rsid w:val="000019B2"/>
    <w:rsid w:val="00001E72"/>
    <w:rsid w:val="0000505F"/>
    <w:rsid w:val="000071A5"/>
    <w:rsid w:val="000079C0"/>
    <w:rsid w:val="00010950"/>
    <w:rsid w:val="00010EE1"/>
    <w:rsid w:val="00012458"/>
    <w:rsid w:val="000142F1"/>
    <w:rsid w:val="0001460F"/>
    <w:rsid w:val="00021306"/>
    <w:rsid w:val="000222F1"/>
    <w:rsid w:val="00022BE0"/>
    <w:rsid w:val="00022F52"/>
    <w:rsid w:val="00023080"/>
    <w:rsid w:val="0002370C"/>
    <w:rsid w:val="000239A7"/>
    <w:rsid w:val="00023E62"/>
    <w:rsid w:val="000251D0"/>
    <w:rsid w:val="00026555"/>
    <w:rsid w:val="00026AC0"/>
    <w:rsid w:val="0003786D"/>
    <w:rsid w:val="0004016B"/>
    <w:rsid w:val="000407D8"/>
    <w:rsid w:val="00045828"/>
    <w:rsid w:val="00045BAD"/>
    <w:rsid w:val="00050980"/>
    <w:rsid w:val="00051403"/>
    <w:rsid w:val="00052F44"/>
    <w:rsid w:val="00056EE6"/>
    <w:rsid w:val="0006047F"/>
    <w:rsid w:val="0006053F"/>
    <w:rsid w:val="000671A2"/>
    <w:rsid w:val="00070EEB"/>
    <w:rsid w:val="00071299"/>
    <w:rsid w:val="00072272"/>
    <w:rsid w:val="000767AC"/>
    <w:rsid w:val="0007695E"/>
    <w:rsid w:val="00076A78"/>
    <w:rsid w:val="00076C08"/>
    <w:rsid w:val="00082659"/>
    <w:rsid w:val="00082BAC"/>
    <w:rsid w:val="000860CC"/>
    <w:rsid w:val="00086128"/>
    <w:rsid w:val="0008731F"/>
    <w:rsid w:val="00093598"/>
    <w:rsid w:val="0009381F"/>
    <w:rsid w:val="00094680"/>
    <w:rsid w:val="000956FD"/>
    <w:rsid w:val="00097707"/>
    <w:rsid w:val="000A36EE"/>
    <w:rsid w:val="000A79FC"/>
    <w:rsid w:val="000B07A1"/>
    <w:rsid w:val="000B1176"/>
    <w:rsid w:val="000B3E49"/>
    <w:rsid w:val="000C031E"/>
    <w:rsid w:val="000C165A"/>
    <w:rsid w:val="000C1D45"/>
    <w:rsid w:val="000C30D8"/>
    <w:rsid w:val="000C4589"/>
    <w:rsid w:val="000C57D5"/>
    <w:rsid w:val="000C6A87"/>
    <w:rsid w:val="000D1CB0"/>
    <w:rsid w:val="000D55B5"/>
    <w:rsid w:val="000D58BD"/>
    <w:rsid w:val="000D5ED5"/>
    <w:rsid w:val="000D7F7C"/>
    <w:rsid w:val="000E3308"/>
    <w:rsid w:val="000E3FD7"/>
    <w:rsid w:val="000E452D"/>
    <w:rsid w:val="000F004E"/>
    <w:rsid w:val="000F0840"/>
    <w:rsid w:val="000F37BB"/>
    <w:rsid w:val="000F4481"/>
    <w:rsid w:val="000F57BB"/>
    <w:rsid w:val="00101961"/>
    <w:rsid w:val="00102870"/>
    <w:rsid w:val="00103A2D"/>
    <w:rsid w:val="00110396"/>
    <w:rsid w:val="001110DB"/>
    <w:rsid w:val="0011158C"/>
    <w:rsid w:val="00115D70"/>
    <w:rsid w:val="00120113"/>
    <w:rsid w:val="001235DD"/>
    <w:rsid w:val="0012369A"/>
    <w:rsid w:val="001243CD"/>
    <w:rsid w:val="00127373"/>
    <w:rsid w:val="00133A17"/>
    <w:rsid w:val="00133C58"/>
    <w:rsid w:val="001365F4"/>
    <w:rsid w:val="00140117"/>
    <w:rsid w:val="0014140D"/>
    <w:rsid w:val="00141B6F"/>
    <w:rsid w:val="0014336D"/>
    <w:rsid w:val="001477D1"/>
    <w:rsid w:val="00150DAE"/>
    <w:rsid w:val="0015254E"/>
    <w:rsid w:val="00152C60"/>
    <w:rsid w:val="001535F3"/>
    <w:rsid w:val="00156E0C"/>
    <w:rsid w:val="00160691"/>
    <w:rsid w:val="00165113"/>
    <w:rsid w:val="00167555"/>
    <w:rsid w:val="001709E2"/>
    <w:rsid w:val="00174C10"/>
    <w:rsid w:val="00175447"/>
    <w:rsid w:val="00177F33"/>
    <w:rsid w:val="00182B85"/>
    <w:rsid w:val="00183038"/>
    <w:rsid w:val="00183882"/>
    <w:rsid w:val="001844B6"/>
    <w:rsid w:val="001851A3"/>
    <w:rsid w:val="001851B9"/>
    <w:rsid w:val="001855B1"/>
    <w:rsid w:val="0019021E"/>
    <w:rsid w:val="00190F9A"/>
    <w:rsid w:val="00193ECC"/>
    <w:rsid w:val="00194050"/>
    <w:rsid w:val="00194745"/>
    <w:rsid w:val="00194E96"/>
    <w:rsid w:val="00197EE1"/>
    <w:rsid w:val="001A07F1"/>
    <w:rsid w:val="001A1FEF"/>
    <w:rsid w:val="001A3B0B"/>
    <w:rsid w:val="001A4332"/>
    <w:rsid w:val="001A4432"/>
    <w:rsid w:val="001A478E"/>
    <w:rsid w:val="001A509E"/>
    <w:rsid w:val="001A6FE6"/>
    <w:rsid w:val="001A7B61"/>
    <w:rsid w:val="001A7D6D"/>
    <w:rsid w:val="001B305C"/>
    <w:rsid w:val="001B34EB"/>
    <w:rsid w:val="001B468E"/>
    <w:rsid w:val="001C0644"/>
    <w:rsid w:val="001C0B58"/>
    <w:rsid w:val="001C3363"/>
    <w:rsid w:val="001C7C39"/>
    <w:rsid w:val="001D0273"/>
    <w:rsid w:val="001D09CC"/>
    <w:rsid w:val="001D0AF4"/>
    <w:rsid w:val="001D12D6"/>
    <w:rsid w:val="001D2096"/>
    <w:rsid w:val="001D3A43"/>
    <w:rsid w:val="001D3C11"/>
    <w:rsid w:val="001D4AA8"/>
    <w:rsid w:val="001D4D42"/>
    <w:rsid w:val="001D5EC9"/>
    <w:rsid w:val="001D6B90"/>
    <w:rsid w:val="001D7583"/>
    <w:rsid w:val="001E152A"/>
    <w:rsid w:val="001E1DA0"/>
    <w:rsid w:val="001E40DC"/>
    <w:rsid w:val="001F4352"/>
    <w:rsid w:val="001F5423"/>
    <w:rsid w:val="001F5DD9"/>
    <w:rsid w:val="001F69E9"/>
    <w:rsid w:val="001F71C9"/>
    <w:rsid w:val="0020104C"/>
    <w:rsid w:val="0020151D"/>
    <w:rsid w:val="00201B79"/>
    <w:rsid w:val="00202E56"/>
    <w:rsid w:val="002033D6"/>
    <w:rsid w:val="00203502"/>
    <w:rsid w:val="00203758"/>
    <w:rsid w:val="00205E05"/>
    <w:rsid w:val="0020708B"/>
    <w:rsid w:val="00207B21"/>
    <w:rsid w:val="00207D2A"/>
    <w:rsid w:val="00211257"/>
    <w:rsid w:val="002144F0"/>
    <w:rsid w:val="00216F02"/>
    <w:rsid w:val="0021731F"/>
    <w:rsid w:val="00217CA1"/>
    <w:rsid w:val="00220F29"/>
    <w:rsid w:val="00221FAD"/>
    <w:rsid w:val="0022490F"/>
    <w:rsid w:val="00225F9C"/>
    <w:rsid w:val="002274E5"/>
    <w:rsid w:val="0022767B"/>
    <w:rsid w:val="0023355B"/>
    <w:rsid w:val="002347A2"/>
    <w:rsid w:val="00241738"/>
    <w:rsid w:val="002425C2"/>
    <w:rsid w:val="00242C41"/>
    <w:rsid w:val="002433E6"/>
    <w:rsid w:val="002437A8"/>
    <w:rsid w:val="00246360"/>
    <w:rsid w:val="00250259"/>
    <w:rsid w:val="00251A96"/>
    <w:rsid w:val="00251ED1"/>
    <w:rsid w:val="002530A8"/>
    <w:rsid w:val="00253F4D"/>
    <w:rsid w:val="0026160E"/>
    <w:rsid w:val="0026191F"/>
    <w:rsid w:val="00262437"/>
    <w:rsid w:val="00265153"/>
    <w:rsid w:val="0026726B"/>
    <w:rsid w:val="002718D6"/>
    <w:rsid w:val="00272539"/>
    <w:rsid w:val="00272F62"/>
    <w:rsid w:val="00273A3C"/>
    <w:rsid w:val="00281E7E"/>
    <w:rsid w:val="00282EFA"/>
    <w:rsid w:val="002837FC"/>
    <w:rsid w:val="00284C30"/>
    <w:rsid w:val="00286282"/>
    <w:rsid w:val="0028755A"/>
    <w:rsid w:val="00287BA8"/>
    <w:rsid w:val="00290335"/>
    <w:rsid w:val="0029158C"/>
    <w:rsid w:val="002A06DA"/>
    <w:rsid w:val="002A456F"/>
    <w:rsid w:val="002A6E2B"/>
    <w:rsid w:val="002B2572"/>
    <w:rsid w:val="002B4D79"/>
    <w:rsid w:val="002B7335"/>
    <w:rsid w:val="002B77F5"/>
    <w:rsid w:val="002C1D0C"/>
    <w:rsid w:val="002C1EC2"/>
    <w:rsid w:val="002C331D"/>
    <w:rsid w:val="002D1AE9"/>
    <w:rsid w:val="002D2D7E"/>
    <w:rsid w:val="002D3103"/>
    <w:rsid w:val="002D4104"/>
    <w:rsid w:val="002D4177"/>
    <w:rsid w:val="002D548B"/>
    <w:rsid w:val="002D66B1"/>
    <w:rsid w:val="002D7ECF"/>
    <w:rsid w:val="002E1C94"/>
    <w:rsid w:val="002E371E"/>
    <w:rsid w:val="002E46DE"/>
    <w:rsid w:val="002E5406"/>
    <w:rsid w:val="002E78D7"/>
    <w:rsid w:val="002F080D"/>
    <w:rsid w:val="002F1CB1"/>
    <w:rsid w:val="002F3633"/>
    <w:rsid w:val="002F5B67"/>
    <w:rsid w:val="002F653C"/>
    <w:rsid w:val="002F7D4C"/>
    <w:rsid w:val="00300CED"/>
    <w:rsid w:val="00300D77"/>
    <w:rsid w:val="003030E1"/>
    <w:rsid w:val="00304677"/>
    <w:rsid w:val="00304C1D"/>
    <w:rsid w:val="003069E8"/>
    <w:rsid w:val="00307E85"/>
    <w:rsid w:val="00310269"/>
    <w:rsid w:val="00310E67"/>
    <w:rsid w:val="003111DB"/>
    <w:rsid w:val="00311373"/>
    <w:rsid w:val="00311CCB"/>
    <w:rsid w:val="00313937"/>
    <w:rsid w:val="00314466"/>
    <w:rsid w:val="003149E9"/>
    <w:rsid w:val="00316B83"/>
    <w:rsid w:val="00317DAD"/>
    <w:rsid w:val="003203C7"/>
    <w:rsid w:val="00320415"/>
    <w:rsid w:val="00322E0B"/>
    <w:rsid w:val="00323107"/>
    <w:rsid w:val="00323C5A"/>
    <w:rsid w:val="00324485"/>
    <w:rsid w:val="00331DCE"/>
    <w:rsid w:val="00332055"/>
    <w:rsid w:val="00332280"/>
    <w:rsid w:val="003323DB"/>
    <w:rsid w:val="00332B05"/>
    <w:rsid w:val="003330C7"/>
    <w:rsid w:val="00335C9A"/>
    <w:rsid w:val="003409BF"/>
    <w:rsid w:val="00345525"/>
    <w:rsid w:val="00351302"/>
    <w:rsid w:val="00354FAB"/>
    <w:rsid w:val="00355E73"/>
    <w:rsid w:val="00356841"/>
    <w:rsid w:val="0035693D"/>
    <w:rsid w:val="00364715"/>
    <w:rsid w:val="00365687"/>
    <w:rsid w:val="003657AB"/>
    <w:rsid w:val="00370A03"/>
    <w:rsid w:val="00372A69"/>
    <w:rsid w:val="0037363F"/>
    <w:rsid w:val="00374AD7"/>
    <w:rsid w:val="00376491"/>
    <w:rsid w:val="00380189"/>
    <w:rsid w:val="00380A15"/>
    <w:rsid w:val="00381107"/>
    <w:rsid w:val="00381308"/>
    <w:rsid w:val="003818E8"/>
    <w:rsid w:val="003848EF"/>
    <w:rsid w:val="00384905"/>
    <w:rsid w:val="00385BF8"/>
    <w:rsid w:val="00386071"/>
    <w:rsid w:val="00386560"/>
    <w:rsid w:val="0039183B"/>
    <w:rsid w:val="00395DFD"/>
    <w:rsid w:val="00395F95"/>
    <w:rsid w:val="00396399"/>
    <w:rsid w:val="00396C1A"/>
    <w:rsid w:val="003A151C"/>
    <w:rsid w:val="003A53C5"/>
    <w:rsid w:val="003A5EEC"/>
    <w:rsid w:val="003A6079"/>
    <w:rsid w:val="003A68AB"/>
    <w:rsid w:val="003A7572"/>
    <w:rsid w:val="003B04F0"/>
    <w:rsid w:val="003B1336"/>
    <w:rsid w:val="003B1D47"/>
    <w:rsid w:val="003B20FC"/>
    <w:rsid w:val="003B30DD"/>
    <w:rsid w:val="003B3E18"/>
    <w:rsid w:val="003B72CF"/>
    <w:rsid w:val="003B78AB"/>
    <w:rsid w:val="003C2BE1"/>
    <w:rsid w:val="003C2DEE"/>
    <w:rsid w:val="003C4286"/>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66BB"/>
    <w:rsid w:val="003E7A4D"/>
    <w:rsid w:val="003F1F49"/>
    <w:rsid w:val="003F2FA0"/>
    <w:rsid w:val="003F42A7"/>
    <w:rsid w:val="003F6045"/>
    <w:rsid w:val="003F71C5"/>
    <w:rsid w:val="004016DE"/>
    <w:rsid w:val="004025DC"/>
    <w:rsid w:val="00402E80"/>
    <w:rsid w:val="004041B8"/>
    <w:rsid w:val="00405ACA"/>
    <w:rsid w:val="00415552"/>
    <w:rsid w:val="00416050"/>
    <w:rsid w:val="00416089"/>
    <w:rsid w:val="00417259"/>
    <w:rsid w:val="004175D4"/>
    <w:rsid w:val="004220F6"/>
    <w:rsid w:val="004240A9"/>
    <w:rsid w:val="0042494E"/>
    <w:rsid w:val="004258D6"/>
    <w:rsid w:val="00426AB3"/>
    <w:rsid w:val="004270D1"/>
    <w:rsid w:val="00432445"/>
    <w:rsid w:val="0043383B"/>
    <w:rsid w:val="0043446F"/>
    <w:rsid w:val="0043683F"/>
    <w:rsid w:val="004406D1"/>
    <w:rsid w:val="004422A6"/>
    <w:rsid w:val="004442E2"/>
    <w:rsid w:val="00445634"/>
    <w:rsid w:val="0045253C"/>
    <w:rsid w:val="00452B35"/>
    <w:rsid w:val="004547EA"/>
    <w:rsid w:val="00455EAA"/>
    <w:rsid w:val="00456494"/>
    <w:rsid w:val="00457408"/>
    <w:rsid w:val="004577E1"/>
    <w:rsid w:val="0045799A"/>
    <w:rsid w:val="00463490"/>
    <w:rsid w:val="00466326"/>
    <w:rsid w:val="00470048"/>
    <w:rsid w:val="00470BEA"/>
    <w:rsid w:val="00471060"/>
    <w:rsid w:val="004716AC"/>
    <w:rsid w:val="00471E07"/>
    <w:rsid w:val="004763AF"/>
    <w:rsid w:val="00477CDE"/>
    <w:rsid w:val="0048196D"/>
    <w:rsid w:val="00481DBF"/>
    <w:rsid w:val="00483E1A"/>
    <w:rsid w:val="00483FB7"/>
    <w:rsid w:val="00485114"/>
    <w:rsid w:val="004860C0"/>
    <w:rsid w:val="00487074"/>
    <w:rsid w:val="0049072A"/>
    <w:rsid w:val="00490FF7"/>
    <w:rsid w:val="004930F6"/>
    <w:rsid w:val="0049416F"/>
    <w:rsid w:val="004948C9"/>
    <w:rsid w:val="00495404"/>
    <w:rsid w:val="00497931"/>
    <w:rsid w:val="004A14BC"/>
    <w:rsid w:val="004A3D93"/>
    <w:rsid w:val="004A3EFD"/>
    <w:rsid w:val="004A3F27"/>
    <w:rsid w:val="004A4351"/>
    <w:rsid w:val="004A7E39"/>
    <w:rsid w:val="004B1880"/>
    <w:rsid w:val="004B3B7B"/>
    <w:rsid w:val="004B5251"/>
    <w:rsid w:val="004C1BBB"/>
    <w:rsid w:val="004C4C8F"/>
    <w:rsid w:val="004C5754"/>
    <w:rsid w:val="004D0574"/>
    <w:rsid w:val="004D0C7C"/>
    <w:rsid w:val="004D118B"/>
    <w:rsid w:val="004D6A72"/>
    <w:rsid w:val="004E1174"/>
    <w:rsid w:val="004E29C6"/>
    <w:rsid w:val="004E3E8F"/>
    <w:rsid w:val="004E4095"/>
    <w:rsid w:val="004E5E6C"/>
    <w:rsid w:val="004E6683"/>
    <w:rsid w:val="004F5E43"/>
    <w:rsid w:val="004F7BA3"/>
    <w:rsid w:val="00500698"/>
    <w:rsid w:val="00500A35"/>
    <w:rsid w:val="00500C9D"/>
    <w:rsid w:val="0050228D"/>
    <w:rsid w:val="00503C39"/>
    <w:rsid w:val="00506528"/>
    <w:rsid w:val="00507986"/>
    <w:rsid w:val="00510AC6"/>
    <w:rsid w:val="005116B1"/>
    <w:rsid w:val="00517351"/>
    <w:rsid w:val="00520444"/>
    <w:rsid w:val="0052463E"/>
    <w:rsid w:val="00525511"/>
    <w:rsid w:val="00526B28"/>
    <w:rsid w:val="00527387"/>
    <w:rsid w:val="00527A7D"/>
    <w:rsid w:val="00533D7B"/>
    <w:rsid w:val="00534733"/>
    <w:rsid w:val="00534AA8"/>
    <w:rsid w:val="00537EAA"/>
    <w:rsid w:val="005405BF"/>
    <w:rsid w:val="005409C5"/>
    <w:rsid w:val="00540A7C"/>
    <w:rsid w:val="00544292"/>
    <w:rsid w:val="0054482E"/>
    <w:rsid w:val="005456EC"/>
    <w:rsid w:val="00547154"/>
    <w:rsid w:val="00553AF5"/>
    <w:rsid w:val="00554795"/>
    <w:rsid w:val="00556DEA"/>
    <w:rsid w:val="00560465"/>
    <w:rsid w:val="00560972"/>
    <w:rsid w:val="00563F7B"/>
    <w:rsid w:val="005640A6"/>
    <w:rsid w:val="0056664A"/>
    <w:rsid w:val="00570F8E"/>
    <w:rsid w:val="005719FD"/>
    <w:rsid w:val="00571B06"/>
    <w:rsid w:val="00572118"/>
    <w:rsid w:val="00573359"/>
    <w:rsid w:val="00574A89"/>
    <w:rsid w:val="00575FFA"/>
    <w:rsid w:val="00576F30"/>
    <w:rsid w:val="00586CE4"/>
    <w:rsid w:val="00586D82"/>
    <w:rsid w:val="005875FD"/>
    <w:rsid w:val="005879B8"/>
    <w:rsid w:val="00591130"/>
    <w:rsid w:val="00593648"/>
    <w:rsid w:val="00594141"/>
    <w:rsid w:val="00594AC6"/>
    <w:rsid w:val="00594F99"/>
    <w:rsid w:val="00596F19"/>
    <w:rsid w:val="005970B5"/>
    <w:rsid w:val="005978D0"/>
    <w:rsid w:val="005A0026"/>
    <w:rsid w:val="005A0B86"/>
    <w:rsid w:val="005A2FC0"/>
    <w:rsid w:val="005A3880"/>
    <w:rsid w:val="005A66F6"/>
    <w:rsid w:val="005A7A14"/>
    <w:rsid w:val="005B341F"/>
    <w:rsid w:val="005B44D6"/>
    <w:rsid w:val="005B5651"/>
    <w:rsid w:val="005B613F"/>
    <w:rsid w:val="005C0E7F"/>
    <w:rsid w:val="005D27B8"/>
    <w:rsid w:val="005D2E03"/>
    <w:rsid w:val="005D4544"/>
    <w:rsid w:val="005D4F09"/>
    <w:rsid w:val="005D5178"/>
    <w:rsid w:val="005D6D92"/>
    <w:rsid w:val="005D6EA8"/>
    <w:rsid w:val="005D6F05"/>
    <w:rsid w:val="005E10E3"/>
    <w:rsid w:val="005E3FC7"/>
    <w:rsid w:val="005F32E7"/>
    <w:rsid w:val="005F4253"/>
    <w:rsid w:val="005F54D7"/>
    <w:rsid w:val="005F5A14"/>
    <w:rsid w:val="005F698B"/>
    <w:rsid w:val="00600956"/>
    <w:rsid w:val="006011E1"/>
    <w:rsid w:val="00602401"/>
    <w:rsid w:val="00604158"/>
    <w:rsid w:val="0060666C"/>
    <w:rsid w:val="00606C5F"/>
    <w:rsid w:val="00615CA5"/>
    <w:rsid w:val="00615D43"/>
    <w:rsid w:val="00616BCC"/>
    <w:rsid w:val="0061761A"/>
    <w:rsid w:val="00623DFF"/>
    <w:rsid w:val="00624299"/>
    <w:rsid w:val="006243EB"/>
    <w:rsid w:val="00625536"/>
    <w:rsid w:val="00625AC1"/>
    <w:rsid w:val="006267F8"/>
    <w:rsid w:val="00630966"/>
    <w:rsid w:val="00630EC4"/>
    <w:rsid w:val="00630EC9"/>
    <w:rsid w:val="00631B4C"/>
    <w:rsid w:val="00632522"/>
    <w:rsid w:val="006328B1"/>
    <w:rsid w:val="00632CB9"/>
    <w:rsid w:val="00635BAE"/>
    <w:rsid w:val="00637D6B"/>
    <w:rsid w:val="00641D5A"/>
    <w:rsid w:val="00643B89"/>
    <w:rsid w:val="00645936"/>
    <w:rsid w:val="00646433"/>
    <w:rsid w:val="00646B92"/>
    <w:rsid w:val="00647402"/>
    <w:rsid w:val="00650282"/>
    <w:rsid w:val="00650A11"/>
    <w:rsid w:val="006511BB"/>
    <w:rsid w:val="006531EF"/>
    <w:rsid w:val="00656305"/>
    <w:rsid w:val="006573CD"/>
    <w:rsid w:val="0066034A"/>
    <w:rsid w:val="006631B8"/>
    <w:rsid w:val="006656EC"/>
    <w:rsid w:val="006662EE"/>
    <w:rsid w:val="00667977"/>
    <w:rsid w:val="006725A4"/>
    <w:rsid w:val="00674043"/>
    <w:rsid w:val="0067720E"/>
    <w:rsid w:val="00677C65"/>
    <w:rsid w:val="0068051F"/>
    <w:rsid w:val="006812CF"/>
    <w:rsid w:val="006824EE"/>
    <w:rsid w:val="00682BBC"/>
    <w:rsid w:val="00684490"/>
    <w:rsid w:val="006867B7"/>
    <w:rsid w:val="00686F5E"/>
    <w:rsid w:val="006914EF"/>
    <w:rsid w:val="00692DE8"/>
    <w:rsid w:val="0069403E"/>
    <w:rsid w:val="006945C8"/>
    <w:rsid w:val="006A0557"/>
    <w:rsid w:val="006A0782"/>
    <w:rsid w:val="006A1B09"/>
    <w:rsid w:val="006A2A2C"/>
    <w:rsid w:val="006A2D92"/>
    <w:rsid w:val="006A56C1"/>
    <w:rsid w:val="006A5A2E"/>
    <w:rsid w:val="006B04D1"/>
    <w:rsid w:val="006B3C41"/>
    <w:rsid w:val="006B4257"/>
    <w:rsid w:val="006C0521"/>
    <w:rsid w:val="006C5CE3"/>
    <w:rsid w:val="006C7426"/>
    <w:rsid w:val="006D09B7"/>
    <w:rsid w:val="006D1474"/>
    <w:rsid w:val="006D1F7D"/>
    <w:rsid w:val="006D29CD"/>
    <w:rsid w:val="006D2BE3"/>
    <w:rsid w:val="006D2BEB"/>
    <w:rsid w:val="006D2BF3"/>
    <w:rsid w:val="006D37CF"/>
    <w:rsid w:val="006D521D"/>
    <w:rsid w:val="006E11EC"/>
    <w:rsid w:val="006E17B6"/>
    <w:rsid w:val="006E7242"/>
    <w:rsid w:val="006F0945"/>
    <w:rsid w:val="006F3BB8"/>
    <w:rsid w:val="00703D2D"/>
    <w:rsid w:val="00706FE9"/>
    <w:rsid w:val="00710BF9"/>
    <w:rsid w:val="00712914"/>
    <w:rsid w:val="0071360C"/>
    <w:rsid w:val="0071367B"/>
    <w:rsid w:val="007139B6"/>
    <w:rsid w:val="0071468E"/>
    <w:rsid w:val="0071686F"/>
    <w:rsid w:val="00716D5C"/>
    <w:rsid w:val="00716E66"/>
    <w:rsid w:val="00717760"/>
    <w:rsid w:val="00717800"/>
    <w:rsid w:val="007208D9"/>
    <w:rsid w:val="00720AF5"/>
    <w:rsid w:val="00720C9D"/>
    <w:rsid w:val="00720FFE"/>
    <w:rsid w:val="00724C0F"/>
    <w:rsid w:val="00732185"/>
    <w:rsid w:val="0073258B"/>
    <w:rsid w:val="0073282A"/>
    <w:rsid w:val="00732A69"/>
    <w:rsid w:val="00732BA8"/>
    <w:rsid w:val="007334E1"/>
    <w:rsid w:val="0073350E"/>
    <w:rsid w:val="00733C40"/>
    <w:rsid w:val="00733F8C"/>
    <w:rsid w:val="00734E99"/>
    <w:rsid w:val="007359A7"/>
    <w:rsid w:val="00736A54"/>
    <w:rsid w:val="00743FA0"/>
    <w:rsid w:val="00744ECC"/>
    <w:rsid w:val="0074677C"/>
    <w:rsid w:val="00746E21"/>
    <w:rsid w:val="0074740B"/>
    <w:rsid w:val="00747E73"/>
    <w:rsid w:val="0075393B"/>
    <w:rsid w:val="0075471A"/>
    <w:rsid w:val="0075771C"/>
    <w:rsid w:val="007608D7"/>
    <w:rsid w:val="00763D76"/>
    <w:rsid w:val="00764FAA"/>
    <w:rsid w:val="00767A04"/>
    <w:rsid w:val="00771A8E"/>
    <w:rsid w:val="00773719"/>
    <w:rsid w:val="00773B58"/>
    <w:rsid w:val="00774343"/>
    <w:rsid w:val="007754E1"/>
    <w:rsid w:val="00777487"/>
    <w:rsid w:val="007777A1"/>
    <w:rsid w:val="0078003D"/>
    <w:rsid w:val="0078273E"/>
    <w:rsid w:val="00782DCD"/>
    <w:rsid w:val="00782F88"/>
    <w:rsid w:val="0078471D"/>
    <w:rsid w:val="00784EC0"/>
    <w:rsid w:val="0078730F"/>
    <w:rsid w:val="0078760F"/>
    <w:rsid w:val="007913FD"/>
    <w:rsid w:val="0079221B"/>
    <w:rsid w:val="007925C2"/>
    <w:rsid w:val="00796A50"/>
    <w:rsid w:val="007A01E1"/>
    <w:rsid w:val="007A49C2"/>
    <w:rsid w:val="007A4BDD"/>
    <w:rsid w:val="007B05B3"/>
    <w:rsid w:val="007B14CE"/>
    <w:rsid w:val="007B33D7"/>
    <w:rsid w:val="007B41A3"/>
    <w:rsid w:val="007C08F8"/>
    <w:rsid w:val="007C1837"/>
    <w:rsid w:val="007C2377"/>
    <w:rsid w:val="007C293A"/>
    <w:rsid w:val="007D0CC0"/>
    <w:rsid w:val="007D537B"/>
    <w:rsid w:val="007D6F3F"/>
    <w:rsid w:val="007E1522"/>
    <w:rsid w:val="007E4048"/>
    <w:rsid w:val="007E6CF8"/>
    <w:rsid w:val="007E6ECC"/>
    <w:rsid w:val="007F0ABE"/>
    <w:rsid w:val="007F0ED9"/>
    <w:rsid w:val="007F25A7"/>
    <w:rsid w:val="007F2645"/>
    <w:rsid w:val="007F4668"/>
    <w:rsid w:val="007F571B"/>
    <w:rsid w:val="007F64C7"/>
    <w:rsid w:val="008031EC"/>
    <w:rsid w:val="008054F0"/>
    <w:rsid w:val="00805BD3"/>
    <w:rsid w:val="00807DB6"/>
    <w:rsid w:val="00815425"/>
    <w:rsid w:val="008155E3"/>
    <w:rsid w:val="00817638"/>
    <w:rsid w:val="008228A5"/>
    <w:rsid w:val="00822B3C"/>
    <w:rsid w:val="00830ED9"/>
    <w:rsid w:val="00834367"/>
    <w:rsid w:val="00835839"/>
    <w:rsid w:val="008369A3"/>
    <w:rsid w:val="00837300"/>
    <w:rsid w:val="00837F65"/>
    <w:rsid w:val="008410B6"/>
    <w:rsid w:val="00845B33"/>
    <w:rsid w:val="008478CE"/>
    <w:rsid w:val="00847C2B"/>
    <w:rsid w:val="00847E7D"/>
    <w:rsid w:val="00847F14"/>
    <w:rsid w:val="00850CF7"/>
    <w:rsid w:val="00854B58"/>
    <w:rsid w:val="0085583B"/>
    <w:rsid w:val="00857E85"/>
    <w:rsid w:val="00860E75"/>
    <w:rsid w:val="0086103A"/>
    <w:rsid w:val="008617EA"/>
    <w:rsid w:val="0086208D"/>
    <w:rsid w:val="008629E3"/>
    <w:rsid w:val="00864321"/>
    <w:rsid w:val="0086595B"/>
    <w:rsid w:val="00865DC8"/>
    <w:rsid w:val="00870D58"/>
    <w:rsid w:val="00872621"/>
    <w:rsid w:val="008727AA"/>
    <w:rsid w:val="008729DD"/>
    <w:rsid w:val="00873250"/>
    <w:rsid w:val="00873825"/>
    <w:rsid w:val="008739EF"/>
    <w:rsid w:val="00873ADE"/>
    <w:rsid w:val="00876F9A"/>
    <w:rsid w:val="00877C17"/>
    <w:rsid w:val="008839E5"/>
    <w:rsid w:val="0088761A"/>
    <w:rsid w:val="00892576"/>
    <w:rsid w:val="00894601"/>
    <w:rsid w:val="008947F3"/>
    <w:rsid w:val="00894CD3"/>
    <w:rsid w:val="00895D49"/>
    <w:rsid w:val="0089699B"/>
    <w:rsid w:val="008A4654"/>
    <w:rsid w:val="008A6491"/>
    <w:rsid w:val="008A6708"/>
    <w:rsid w:val="008A7CF1"/>
    <w:rsid w:val="008B0674"/>
    <w:rsid w:val="008B0CFF"/>
    <w:rsid w:val="008B20C2"/>
    <w:rsid w:val="008B333C"/>
    <w:rsid w:val="008B3CD2"/>
    <w:rsid w:val="008B40E1"/>
    <w:rsid w:val="008B5C6E"/>
    <w:rsid w:val="008B75E1"/>
    <w:rsid w:val="008C011F"/>
    <w:rsid w:val="008C0805"/>
    <w:rsid w:val="008C096C"/>
    <w:rsid w:val="008C0B6E"/>
    <w:rsid w:val="008C1CAA"/>
    <w:rsid w:val="008C26F4"/>
    <w:rsid w:val="008C4888"/>
    <w:rsid w:val="008C624A"/>
    <w:rsid w:val="008D1DB1"/>
    <w:rsid w:val="008D1DF0"/>
    <w:rsid w:val="008D3892"/>
    <w:rsid w:val="008D39AA"/>
    <w:rsid w:val="008D5118"/>
    <w:rsid w:val="008D55F9"/>
    <w:rsid w:val="008D6A9C"/>
    <w:rsid w:val="008E0D56"/>
    <w:rsid w:val="008E2B2F"/>
    <w:rsid w:val="008E348C"/>
    <w:rsid w:val="008E4DFF"/>
    <w:rsid w:val="008E549E"/>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28E8"/>
    <w:rsid w:val="00920962"/>
    <w:rsid w:val="00920A27"/>
    <w:rsid w:val="0092726F"/>
    <w:rsid w:val="009308F0"/>
    <w:rsid w:val="00936C94"/>
    <w:rsid w:val="0093720A"/>
    <w:rsid w:val="00937CD8"/>
    <w:rsid w:val="00937DFB"/>
    <w:rsid w:val="00941D69"/>
    <w:rsid w:val="00944597"/>
    <w:rsid w:val="00944936"/>
    <w:rsid w:val="00944AA7"/>
    <w:rsid w:val="00946773"/>
    <w:rsid w:val="00946AD7"/>
    <w:rsid w:val="00947C30"/>
    <w:rsid w:val="00947F91"/>
    <w:rsid w:val="00952D7C"/>
    <w:rsid w:val="009540D9"/>
    <w:rsid w:val="009546F6"/>
    <w:rsid w:val="009569C9"/>
    <w:rsid w:val="00956BA1"/>
    <w:rsid w:val="00961356"/>
    <w:rsid w:val="00962C9F"/>
    <w:rsid w:val="00963DA9"/>
    <w:rsid w:val="0096455D"/>
    <w:rsid w:val="00964F55"/>
    <w:rsid w:val="00965CBF"/>
    <w:rsid w:val="00966271"/>
    <w:rsid w:val="0097372C"/>
    <w:rsid w:val="009769C6"/>
    <w:rsid w:val="00977F47"/>
    <w:rsid w:val="00980F73"/>
    <w:rsid w:val="00980FD2"/>
    <w:rsid w:val="009837EF"/>
    <w:rsid w:val="00984BDC"/>
    <w:rsid w:val="009857E0"/>
    <w:rsid w:val="00987A1D"/>
    <w:rsid w:val="009918FB"/>
    <w:rsid w:val="00991CE2"/>
    <w:rsid w:val="009A0497"/>
    <w:rsid w:val="009A1A9A"/>
    <w:rsid w:val="009A2D21"/>
    <w:rsid w:val="009B157C"/>
    <w:rsid w:val="009B2293"/>
    <w:rsid w:val="009B36BF"/>
    <w:rsid w:val="009B3A63"/>
    <w:rsid w:val="009B5872"/>
    <w:rsid w:val="009B5A80"/>
    <w:rsid w:val="009B671B"/>
    <w:rsid w:val="009B6ACF"/>
    <w:rsid w:val="009B6B48"/>
    <w:rsid w:val="009B7123"/>
    <w:rsid w:val="009C0CEB"/>
    <w:rsid w:val="009C3E19"/>
    <w:rsid w:val="009C74B5"/>
    <w:rsid w:val="009C7BD2"/>
    <w:rsid w:val="009D0E47"/>
    <w:rsid w:val="009D1F1C"/>
    <w:rsid w:val="009D2902"/>
    <w:rsid w:val="009D3AEC"/>
    <w:rsid w:val="009D7957"/>
    <w:rsid w:val="009D7CE6"/>
    <w:rsid w:val="009E008F"/>
    <w:rsid w:val="009E0870"/>
    <w:rsid w:val="009E262C"/>
    <w:rsid w:val="009E3B03"/>
    <w:rsid w:val="009E6430"/>
    <w:rsid w:val="009E720C"/>
    <w:rsid w:val="009E771F"/>
    <w:rsid w:val="009F48BD"/>
    <w:rsid w:val="009F56A0"/>
    <w:rsid w:val="009F6692"/>
    <w:rsid w:val="00A00F82"/>
    <w:rsid w:val="00A02AB8"/>
    <w:rsid w:val="00A05393"/>
    <w:rsid w:val="00A05924"/>
    <w:rsid w:val="00A12337"/>
    <w:rsid w:val="00A127AE"/>
    <w:rsid w:val="00A212FC"/>
    <w:rsid w:val="00A21C3A"/>
    <w:rsid w:val="00A22274"/>
    <w:rsid w:val="00A223AF"/>
    <w:rsid w:val="00A2267C"/>
    <w:rsid w:val="00A23419"/>
    <w:rsid w:val="00A32793"/>
    <w:rsid w:val="00A376D1"/>
    <w:rsid w:val="00A412A4"/>
    <w:rsid w:val="00A44E29"/>
    <w:rsid w:val="00A46BA8"/>
    <w:rsid w:val="00A54607"/>
    <w:rsid w:val="00A566F7"/>
    <w:rsid w:val="00A624D4"/>
    <w:rsid w:val="00A63795"/>
    <w:rsid w:val="00A63817"/>
    <w:rsid w:val="00A63884"/>
    <w:rsid w:val="00A63AF8"/>
    <w:rsid w:val="00A64DFC"/>
    <w:rsid w:val="00A64E67"/>
    <w:rsid w:val="00A65708"/>
    <w:rsid w:val="00A74FE2"/>
    <w:rsid w:val="00A75DAF"/>
    <w:rsid w:val="00A76849"/>
    <w:rsid w:val="00A80316"/>
    <w:rsid w:val="00A80DCD"/>
    <w:rsid w:val="00A8360B"/>
    <w:rsid w:val="00A8554A"/>
    <w:rsid w:val="00A857D9"/>
    <w:rsid w:val="00A90A64"/>
    <w:rsid w:val="00A91448"/>
    <w:rsid w:val="00A92245"/>
    <w:rsid w:val="00A93A78"/>
    <w:rsid w:val="00AA006E"/>
    <w:rsid w:val="00AA25A1"/>
    <w:rsid w:val="00AA2B6A"/>
    <w:rsid w:val="00AA4B70"/>
    <w:rsid w:val="00AA7756"/>
    <w:rsid w:val="00AB2960"/>
    <w:rsid w:val="00AB574B"/>
    <w:rsid w:val="00AB6DF3"/>
    <w:rsid w:val="00AB79EC"/>
    <w:rsid w:val="00AC06AD"/>
    <w:rsid w:val="00AC1849"/>
    <w:rsid w:val="00AC1B56"/>
    <w:rsid w:val="00AC1DB2"/>
    <w:rsid w:val="00AC23DD"/>
    <w:rsid w:val="00AC4436"/>
    <w:rsid w:val="00AC6D7C"/>
    <w:rsid w:val="00AC758F"/>
    <w:rsid w:val="00AD01BB"/>
    <w:rsid w:val="00AD02B4"/>
    <w:rsid w:val="00AD15E3"/>
    <w:rsid w:val="00AD4CDC"/>
    <w:rsid w:val="00AD5C7A"/>
    <w:rsid w:val="00AD640D"/>
    <w:rsid w:val="00AD6B21"/>
    <w:rsid w:val="00AD6D7F"/>
    <w:rsid w:val="00AE0DAF"/>
    <w:rsid w:val="00AE1E77"/>
    <w:rsid w:val="00AE311C"/>
    <w:rsid w:val="00AE32FC"/>
    <w:rsid w:val="00AE3926"/>
    <w:rsid w:val="00AE46AA"/>
    <w:rsid w:val="00AE6061"/>
    <w:rsid w:val="00AF0388"/>
    <w:rsid w:val="00AF05EF"/>
    <w:rsid w:val="00AF0863"/>
    <w:rsid w:val="00AF29BB"/>
    <w:rsid w:val="00AF2B88"/>
    <w:rsid w:val="00AF5F2E"/>
    <w:rsid w:val="00AF63A9"/>
    <w:rsid w:val="00AF739D"/>
    <w:rsid w:val="00B006A9"/>
    <w:rsid w:val="00B01ECE"/>
    <w:rsid w:val="00B05C8E"/>
    <w:rsid w:val="00B06148"/>
    <w:rsid w:val="00B068F2"/>
    <w:rsid w:val="00B075F4"/>
    <w:rsid w:val="00B12922"/>
    <w:rsid w:val="00B13310"/>
    <w:rsid w:val="00B154EA"/>
    <w:rsid w:val="00B16720"/>
    <w:rsid w:val="00B20969"/>
    <w:rsid w:val="00B2109F"/>
    <w:rsid w:val="00B22390"/>
    <w:rsid w:val="00B2258D"/>
    <w:rsid w:val="00B225B0"/>
    <w:rsid w:val="00B30FDD"/>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DCA"/>
    <w:rsid w:val="00B51EDA"/>
    <w:rsid w:val="00B5400D"/>
    <w:rsid w:val="00B549E8"/>
    <w:rsid w:val="00B557B6"/>
    <w:rsid w:val="00B55E3F"/>
    <w:rsid w:val="00B60A1E"/>
    <w:rsid w:val="00B61595"/>
    <w:rsid w:val="00B657A0"/>
    <w:rsid w:val="00B65FA8"/>
    <w:rsid w:val="00B66384"/>
    <w:rsid w:val="00B664D8"/>
    <w:rsid w:val="00B6788D"/>
    <w:rsid w:val="00B7014D"/>
    <w:rsid w:val="00B7017B"/>
    <w:rsid w:val="00B70E7E"/>
    <w:rsid w:val="00B722B5"/>
    <w:rsid w:val="00B73F2E"/>
    <w:rsid w:val="00B74113"/>
    <w:rsid w:val="00B827C5"/>
    <w:rsid w:val="00B83D1F"/>
    <w:rsid w:val="00B84190"/>
    <w:rsid w:val="00B87DE3"/>
    <w:rsid w:val="00B9057D"/>
    <w:rsid w:val="00B91546"/>
    <w:rsid w:val="00B91D3B"/>
    <w:rsid w:val="00B91E2F"/>
    <w:rsid w:val="00B93466"/>
    <w:rsid w:val="00B94293"/>
    <w:rsid w:val="00B94B1E"/>
    <w:rsid w:val="00B9718C"/>
    <w:rsid w:val="00BA0FF6"/>
    <w:rsid w:val="00BA1691"/>
    <w:rsid w:val="00BA326C"/>
    <w:rsid w:val="00BB1709"/>
    <w:rsid w:val="00BB249D"/>
    <w:rsid w:val="00BB76DF"/>
    <w:rsid w:val="00BC17BE"/>
    <w:rsid w:val="00BC2FCC"/>
    <w:rsid w:val="00BC468A"/>
    <w:rsid w:val="00BC7D24"/>
    <w:rsid w:val="00BD0413"/>
    <w:rsid w:val="00BD0C96"/>
    <w:rsid w:val="00BD2E17"/>
    <w:rsid w:val="00BD483E"/>
    <w:rsid w:val="00BD6E3E"/>
    <w:rsid w:val="00BD7B1A"/>
    <w:rsid w:val="00BE2ED0"/>
    <w:rsid w:val="00BE31AD"/>
    <w:rsid w:val="00BE3A35"/>
    <w:rsid w:val="00BE4286"/>
    <w:rsid w:val="00BE4622"/>
    <w:rsid w:val="00BE5FB9"/>
    <w:rsid w:val="00BE647C"/>
    <w:rsid w:val="00BE650A"/>
    <w:rsid w:val="00BE655B"/>
    <w:rsid w:val="00BE7CC4"/>
    <w:rsid w:val="00BF268F"/>
    <w:rsid w:val="00BF385C"/>
    <w:rsid w:val="00BF6B96"/>
    <w:rsid w:val="00C0349A"/>
    <w:rsid w:val="00C04A7D"/>
    <w:rsid w:val="00C04C8A"/>
    <w:rsid w:val="00C06A01"/>
    <w:rsid w:val="00C079DC"/>
    <w:rsid w:val="00C120C0"/>
    <w:rsid w:val="00C13270"/>
    <w:rsid w:val="00C13EF0"/>
    <w:rsid w:val="00C153D2"/>
    <w:rsid w:val="00C15A21"/>
    <w:rsid w:val="00C17AAA"/>
    <w:rsid w:val="00C202C8"/>
    <w:rsid w:val="00C22EBB"/>
    <w:rsid w:val="00C2545A"/>
    <w:rsid w:val="00C30AB4"/>
    <w:rsid w:val="00C31CC0"/>
    <w:rsid w:val="00C3203A"/>
    <w:rsid w:val="00C33045"/>
    <w:rsid w:val="00C364F8"/>
    <w:rsid w:val="00C41A41"/>
    <w:rsid w:val="00C4306B"/>
    <w:rsid w:val="00C45162"/>
    <w:rsid w:val="00C46617"/>
    <w:rsid w:val="00C509D3"/>
    <w:rsid w:val="00C522A9"/>
    <w:rsid w:val="00C60BBD"/>
    <w:rsid w:val="00C63781"/>
    <w:rsid w:val="00C63CA5"/>
    <w:rsid w:val="00C65AAB"/>
    <w:rsid w:val="00C67CDD"/>
    <w:rsid w:val="00C734E1"/>
    <w:rsid w:val="00C74661"/>
    <w:rsid w:val="00C75C12"/>
    <w:rsid w:val="00C76B25"/>
    <w:rsid w:val="00C850F4"/>
    <w:rsid w:val="00C8797D"/>
    <w:rsid w:val="00C902D7"/>
    <w:rsid w:val="00C94463"/>
    <w:rsid w:val="00C94CD6"/>
    <w:rsid w:val="00C9661C"/>
    <w:rsid w:val="00C971CD"/>
    <w:rsid w:val="00C97BB6"/>
    <w:rsid w:val="00CA10EB"/>
    <w:rsid w:val="00CA31D5"/>
    <w:rsid w:val="00CA6695"/>
    <w:rsid w:val="00CA70B9"/>
    <w:rsid w:val="00CB511B"/>
    <w:rsid w:val="00CC349B"/>
    <w:rsid w:val="00CC3809"/>
    <w:rsid w:val="00CC7744"/>
    <w:rsid w:val="00CD058E"/>
    <w:rsid w:val="00CD2C94"/>
    <w:rsid w:val="00CD3F58"/>
    <w:rsid w:val="00CD44C8"/>
    <w:rsid w:val="00CE30A6"/>
    <w:rsid w:val="00CE42A1"/>
    <w:rsid w:val="00CE6738"/>
    <w:rsid w:val="00CE7C01"/>
    <w:rsid w:val="00CF2024"/>
    <w:rsid w:val="00CF3FBF"/>
    <w:rsid w:val="00CF4AD8"/>
    <w:rsid w:val="00CF52BE"/>
    <w:rsid w:val="00CF61B6"/>
    <w:rsid w:val="00CF671F"/>
    <w:rsid w:val="00D00503"/>
    <w:rsid w:val="00D00846"/>
    <w:rsid w:val="00D01950"/>
    <w:rsid w:val="00D04919"/>
    <w:rsid w:val="00D052B4"/>
    <w:rsid w:val="00D10076"/>
    <w:rsid w:val="00D12778"/>
    <w:rsid w:val="00D13B5A"/>
    <w:rsid w:val="00D1488F"/>
    <w:rsid w:val="00D16690"/>
    <w:rsid w:val="00D20645"/>
    <w:rsid w:val="00D20D4C"/>
    <w:rsid w:val="00D22AD5"/>
    <w:rsid w:val="00D23A87"/>
    <w:rsid w:val="00D2449C"/>
    <w:rsid w:val="00D24AAD"/>
    <w:rsid w:val="00D252D1"/>
    <w:rsid w:val="00D2758D"/>
    <w:rsid w:val="00D30747"/>
    <w:rsid w:val="00D3177D"/>
    <w:rsid w:val="00D337D1"/>
    <w:rsid w:val="00D33EFF"/>
    <w:rsid w:val="00D357D2"/>
    <w:rsid w:val="00D35E5E"/>
    <w:rsid w:val="00D406B9"/>
    <w:rsid w:val="00D417A6"/>
    <w:rsid w:val="00D420DA"/>
    <w:rsid w:val="00D423A9"/>
    <w:rsid w:val="00D43E31"/>
    <w:rsid w:val="00D478C9"/>
    <w:rsid w:val="00D50283"/>
    <w:rsid w:val="00D5127D"/>
    <w:rsid w:val="00D66027"/>
    <w:rsid w:val="00D675F9"/>
    <w:rsid w:val="00D6772B"/>
    <w:rsid w:val="00D71F7D"/>
    <w:rsid w:val="00D71F97"/>
    <w:rsid w:val="00D7239D"/>
    <w:rsid w:val="00D73421"/>
    <w:rsid w:val="00D7450E"/>
    <w:rsid w:val="00D74689"/>
    <w:rsid w:val="00D74A41"/>
    <w:rsid w:val="00D76907"/>
    <w:rsid w:val="00D81644"/>
    <w:rsid w:val="00D85D6C"/>
    <w:rsid w:val="00D9441D"/>
    <w:rsid w:val="00DA04ED"/>
    <w:rsid w:val="00DA166D"/>
    <w:rsid w:val="00DA35CD"/>
    <w:rsid w:val="00DA664C"/>
    <w:rsid w:val="00DA791C"/>
    <w:rsid w:val="00DB17A2"/>
    <w:rsid w:val="00DB1D74"/>
    <w:rsid w:val="00DB25E4"/>
    <w:rsid w:val="00DB36C2"/>
    <w:rsid w:val="00DB433C"/>
    <w:rsid w:val="00DB45EC"/>
    <w:rsid w:val="00DB5F07"/>
    <w:rsid w:val="00DB6524"/>
    <w:rsid w:val="00DB6D0F"/>
    <w:rsid w:val="00DC14F0"/>
    <w:rsid w:val="00DC1945"/>
    <w:rsid w:val="00DC68C9"/>
    <w:rsid w:val="00DD1B1B"/>
    <w:rsid w:val="00DD32DC"/>
    <w:rsid w:val="00DD617D"/>
    <w:rsid w:val="00DE04E0"/>
    <w:rsid w:val="00DE06E0"/>
    <w:rsid w:val="00DE55FF"/>
    <w:rsid w:val="00DE5F6F"/>
    <w:rsid w:val="00DE7F03"/>
    <w:rsid w:val="00DF2F4B"/>
    <w:rsid w:val="00DF71A3"/>
    <w:rsid w:val="00DF7BED"/>
    <w:rsid w:val="00E00448"/>
    <w:rsid w:val="00E00B23"/>
    <w:rsid w:val="00E0117D"/>
    <w:rsid w:val="00E0310F"/>
    <w:rsid w:val="00E03125"/>
    <w:rsid w:val="00E04D95"/>
    <w:rsid w:val="00E0769B"/>
    <w:rsid w:val="00E10B5C"/>
    <w:rsid w:val="00E11760"/>
    <w:rsid w:val="00E119E8"/>
    <w:rsid w:val="00E12973"/>
    <w:rsid w:val="00E141EC"/>
    <w:rsid w:val="00E14792"/>
    <w:rsid w:val="00E14DAE"/>
    <w:rsid w:val="00E155FA"/>
    <w:rsid w:val="00E169CD"/>
    <w:rsid w:val="00E205A2"/>
    <w:rsid w:val="00E217A2"/>
    <w:rsid w:val="00E228DE"/>
    <w:rsid w:val="00E23208"/>
    <w:rsid w:val="00E24758"/>
    <w:rsid w:val="00E2763D"/>
    <w:rsid w:val="00E345DB"/>
    <w:rsid w:val="00E3545D"/>
    <w:rsid w:val="00E3574A"/>
    <w:rsid w:val="00E35A46"/>
    <w:rsid w:val="00E40533"/>
    <w:rsid w:val="00E405B8"/>
    <w:rsid w:val="00E435D8"/>
    <w:rsid w:val="00E4448D"/>
    <w:rsid w:val="00E46F96"/>
    <w:rsid w:val="00E475AC"/>
    <w:rsid w:val="00E50D28"/>
    <w:rsid w:val="00E51807"/>
    <w:rsid w:val="00E53896"/>
    <w:rsid w:val="00E5597A"/>
    <w:rsid w:val="00E55ABB"/>
    <w:rsid w:val="00E5686D"/>
    <w:rsid w:val="00E6038C"/>
    <w:rsid w:val="00E60BCA"/>
    <w:rsid w:val="00E62FEA"/>
    <w:rsid w:val="00E64602"/>
    <w:rsid w:val="00E659E5"/>
    <w:rsid w:val="00E67B60"/>
    <w:rsid w:val="00E67D90"/>
    <w:rsid w:val="00E72931"/>
    <w:rsid w:val="00E74DC5"/>
    <w:rsid w:val="00E75380"/>
    <w:rsid w:val="00E75696"/>
    <w:rsid w:val="00E7665D"/>
    <w:rsid w:val="00E766DF"/>
    <w:rsid w:val="00E8172C"/>
    <w:rsid w:val="00E82A56"/>
    <w:rsid w:val="00E82B1A"/>
    <w:rsid w:val="00E83D8A"/>
    <w:rsid w:val="00E90731"/>
    <w:rsid w:val="00E95A84"/>
    <w:rsid w:val="00E96CB5"/>
    <w:rsid w:val="00E9789E"/>
    <w:rsid w:val="00E97BF4"/>
    <w:rsid w:val="00EA0B74"/>
    <w:rsid w:val="00EA2A88"/>
    <w:rsid w:val="00EA78FF"/>
    <w:rsid w:val="00EB002B"/>
    <w:rsid w:val="00EB094A"/>
    <w:rsid w:val="00EB279B"/>
    <w:rsid w:val="00EB2CA5"/>
    <w:rsid w:val="00EB43FD"/>
    <w:rsid w:val="00EB44BE"/>
    <w:rsid w:val="00EB4682"/>
    <w:rsid w:val="00EB477D"/>
    <w:rsid w:val="00EB7FCF"/>
    <w:rsid w:val="00EC28E5"/>
    <w:rsid w:val="00EC6350"/>
    <w:rsid w:val="00EC6B93"/>
    <w:rsid w:val="00EC741D"/>
    <w:rsid w:val="00ED387E"/>
    <w:rsid w:val="00EE0868"/>
    <w:rsid w:val="00EE1372"/>
    <w:rsid w:val="00EE1BFF"/>
    <w:rsid w:val="00EE1F4E"/>
    <w:rsid w:val="00EF0B62"/>
    <w:rsid w:val="00EF1989"/>
    <w:rsid w:val="00EF3A40"/>
    <w:rsid w:val="00EF468B"/>
    <w:rsid w:val="00EF5429"/>
    <w:rsid w:val="00F02857"/>
    <w:rsid w:val="00F03424"/>
    <w:rsid w:val="00F04CDD"/>
    <w:rsid w:val="00F0606D"/>
    <w:rsid w:val="00F06092"/>
    <w:rsid w:val="00F071A7"/>
    <w:rsid w:val="00F0778D"/>
    <w:rsid w:val="00F077D3"/>
    <w:rsid w:val="00F07E0C"/>
    <w:rsid w:val="00F1328C"/>
    <w:rsid w:val="00F13939"/>
    <w:rsid w:val="00F13B21"/>
    <w:rsid w:val="00F14463"/>
    <w:rsid w:val="00F1653E"/>
    <w:rsid w:val="00F17FE9"/>
    <w:rsid w:val="00F2128C"/>
    <w:rsid w:val="00F23291"/>
    <w:rsid w:val="00F2522D"/>
    <w:rsid w:val="00F25284"/>
    <w:rsid w:val="00F26CA1"/>
    <w:rsid w:val="00F31416"/>
    <w:rsid w:val="00F33190"/>
    <w:rsid w:val="00F332A2"/>
    <w:rsid w:val="00F337B2"/>
    <w:rsid w:val="00F33D36"/>
    <w:rsid w:val="00F45799"/>
    <w:rsid w:val="00F4755A"/>
    <w:rsid w:val="00F547A2"/>
    <w:rsid w:val="00F555C6"/>
    <w:rsid w:val="00F6079E"/>
    <w:rsid w:val="00F60CC6"/>
    <w:rsid w:val="00F622E8"/>
    <w:rsid w:val="00F63895"/>
    <w:rsid w:val="00F63F4E"/>
    <w:rsid w:val="00F64822"/>
    <w:rsid w:val="00F65A25"/>
    <w:rsid w:val="00F65CB3"/>
    <w:rsid w:val="00F66B4C"/>
    <w:rsid w:val="00F6759D"/>
    <w:rsid w:val="00F707E3"/>
    <w:rsid w:val="00F70A77"/>
    <w:rsid w:val="00F71CD0"/>
    <w:rsid w:val="00F71FC5"/>
    <w:rsid w:val="00F73049"/>
    <w:rsid w:val="00F7378F"/>
    <w:rsid w:val="00F74EEB"/>
    <w:rsid w:val="00F77609"/>
    <w:rsid w:val="00F80AE5"/>
    <w:rsid w:val="00F9065F"/>
    <w:rsid w:val="00F90D53"/>
    <w:rsid w:val="00F9142F"/>
    <w:rsid w:val="00F91F5A"/>
    <w:rsid w:val="00F92F01"/>
    <w:rsid w:val="00F941C2"/>
    <w:rsid w:val="00F95B2C"/>
    <w:rsid w:val="00F971E5"/>
    <w:rsid w:val="00FA509B"/>
    <w:rsid w:val="00FB0F81"/>
    <w:rsid w:val="00FB17F6"/>
    <w:rsid w:val="00FB3263"/>
    <w:rsid w:val="00FB5CFE"/>
    <w:rsid w:val="00FB6ED3"/>
    <w:rsid w:val="00FB79D5"/>
    <w:rsid w:val="00FC07D5"/>
    <w:rsid w:val="00FC0D50"/>
    <w:rsid w:val="00FC3832"/>
    <w:rsid w:val="00FC4754"/>
    <w:rsid w:val="00FC60D1"/>
    <w:rsid w:val="00FC6BFA"/>
    <w:rsid w:val="00FD1F2A"/>
    <w:rsid w:val="00FD51F7"/>
    <w:rsid w:val="00FD5FBF"/>
    <w:rsid w:val="00FE41CB"/>
    <w:rsid w:val="00FE574F"/>
    <w:rsid w:val="00FE610F"/>
    <w:rsid w:val="00FF029E"/>
    <w:rsid w:val="00FF0918"/>
    <w:rsid w:val="00FF0A78"/>
    <w:rsid w:val="00FF2332"/>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styleId="FootnoteReference">
    <w:name w:val="footnote reference"/>
    <w:uiPriority w:val="99"/>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IALabel">
    <w:name w:val="IALabel"/>
    <w:rsid w:val="009F6692"/>
    <w:rPr>
      <w:color w:val="000000"/>
      <w:sz w:val="20"/>
    </w:rPr>
  </w:style>
  <w:style w:type="paragraph" w:styleId="ListParagraph">
    <w:name w:val="List Paragraph"/>
    <w:basedOn w:val="Normal"/>
    <w:uiPriority w:val="34"/>
    <w:qFormat/>
    <w:rsid w:val="00B6788D"/>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uiPriority w:val="99"/>
    <w:semiHidden/>
    <w:rsid w:val="00B6788D"/>
    <w:rPr>
      <w:rFonts w:ascii="Arial" w:eastAsia="SimSun" w:hAnsi="Arial"/>
      <w:sz w:val="16"/>
      <w:lang w:eastAsia="zh-CN"/>
    </w:rPr>
  </w:style>
  <w:style w:type="paragraph" w:customStyle="1" w:styleId="legp1paratext1">
    <w:name w:val="legp1paratext1"/>
    <w:basedOn w:val="Normal"/>
    <w:rsid w:val="00197EE1"/>
    <w:pPr>
      <w:shd w:val="clear" w:color="auto" w:fill="FFFFFF"/>
      <w:spacing w:after="120" w:line="360" w:lineRule="atLeast"/>
      <w:ind w:firstLine="240"/>
      <w:jc w:val="both"/>
    </w:pPr>
    <w:rPr>
      <w:rFonts w:ascii="Times New Roman" w:hAnsi="Times New Roman"/>
      <w:color w:val="494949"/>
      <w:sz w:val="19"/>
      <w:szCs w:val="19"/>
      <w:lang w:eastAsia="en-GB"/>
    </w:rPr>
  </w:style>
  <w:style w:type="numbering" w:customStyle="1" w:styleId="Style1">
    <w:name w:val="Style1"/>
    <w:rsid w:val="00197EE1"/>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styleId="FootnoteReference">
    <w:name w:val="footnote reference"/>
    <w:uiPriority w:val="99"/>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IALabel">
    <w:name w:val="IALabel"/>
    <w:rsid w:val="009F6692"/>
    <w:rPr>
      <w:color w:val="000000"/>
      <w:sz w:val="20"/>
    </w:rPr>
  </w:style>
  <w:style w:type="paragraph" w:styleId="ListParagraph">
    <w:name w:val="List Paragraph"/>
    <w:basedOn w:val="Normal"/>
    <w:uiPriority w:val="34"/>
    <w:qFormat/>
    <w:rsid w:val="00B6788D"/>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uiPriority w:val="99"/>
    <w:semiHidden/>
    <w:rsid w:val="00B6788D"/>
    <w:rPr>
      <w:rFonts w:ascii="Arial" w:eastAsia="SimSun" w:hAnsi="Arial"/>
      <w:sz w:val="16"/>
      <w:lang w:eastAsia="zh-CN"/>
    </w:rPr>
  </w:style>
  <w:style w:type="paragraph" w:customStyle="1" w:styleId="legp1paratext1">
    <w:name w:val="legp1paratext1"/>
    <w:basedOn w:val="Normal"/>
    <w:rsid w:val="00197EE1"/>
    <w:pPr>
      <w:shd w:val="clear" w:color="auto" w:fill="FFFFFF"/>
      <w:spacing w:after="120" w:line="360" w:lineRule="atLeast"/>
      <w:ind w:firstLine="240"/>
      <w:jc w:val="both"/>
    </w:pPr>
    <w:rPr>
      <w:rFonts w:ascii="Times New Roman" w:hAnsi="Times New Roman"/>
      <w:color w:val="494949"/>
      <w:sz w:val="19"/>
      <w:szCs w:val="19"/>
      <w:lang w:eastAsia="en-GB"/>
    </w:rPr>
  </w:style>
  <w:style w:type="numbering" w:customStyle="1" w:styleId="Style1">
    <w:name w:val="Style1"/>
    <w:rsid w:val="00197EE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187136106">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299\AppData\Roaming\Microsoft\Templates\Impact%20Assess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\Users\225299\AppData\Roaming\Microsoft\Templates\Impact Assessment Template.dot</Template>
  <TotalTime>0</TotalTime>
  <Pages>18</Pages>
  <Words>6436</Words>
  <Characters>36686</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Impact Assessment</vt:lpstr>
    </vt:vector>
  </TitlesOfParts>
  <Company>DCMS</Company>
  <LinksUpToDate>false</LinksUpToDate>
  <CharactersWithSpaces>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LEPPER JOHN</dc:creator>
  <cp:lastModifiedBy>Office 2004 Test Drive User</cp:lastModifiedBy>
  <cp:revision>2</cp:revision>
  <cp:lastPrinted>2013-01-22T15:25:00Z</cp:lastPrinted>
  <dcterms:created xsi:type="dcterms:W3CDTF">2013-02-26T10:47:00Z</dcterms:created>
  <dcterms:modified xsi:type="dcterms:W3CDTF">2013-02-26T10:47:00Z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Final</vt:lpwstr>
  </property>
</Properties>
</file>