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C3423" w14:textId="5BB7B9EE" w:rsidR="00435158" w:rsidRPr="001B0225" w:rsidRDefault="00435158" w:rsidP="00300A34">
      <w:pPr>
        <w:pStyle w:val="CoverSubTitle"/>
        <w:spacing w:after="0"/>
        <w:rPr>
          <w:rFonts w:cs="Arial"/>
        </w:rPr>
      </w:pPr>
    </w:p>
    <w:p w14:paraId="7B6AE808" w14:textId="77777777" w:rsidR="009E11AB" w:rsidRPr="001B0225" w:rsidRDefault="009E11AB" w:rsidP="009E11AB">
      <w:pPr>
        <w:pStyle w:val="CoverSubTitle"/>
        <w:spacing w:after="0"/>
        <w:ind w:left="1418"/>
        <w:rPr>
          <w:rFonts w:cs="Arial"/>
        </w:rPr>
      </w:pPr>
    </w:p>
    <w:p w14:paraId="4F5480BA" w14:textId="57C659B0" w:rsidR="009E11AB" w:rsidRPr="001B0225" w:rsidRDefault="009E11AB" w:rsidP="009E11AB">
      <w:pPr>
        <w:pStyle w:val="CoverSubTitle"/>
        <w:spacing w:after="0"/>
        <w:ind w:left="1418"/>
        <w:rPr>
          <w:rFonts w:cs="Arial"/>
          <w:i/>
          <w:szCs w:val="36"/>
        </w:rPr>
      </w:pPr>
      <w:r w:rsidRPr="001B0225">
        <w:rPr>
          <w:rFonts w:cs="Arial"/>
          <w:noProof/>
          <w:lang w:eastAsia="en-GB"/>
        </w:rPr>
        <w:drawing>
          <wp:anchor distT="0" distB="0" distL="114300" distR="114300" simplePos="0" relativeHeight="251665408" behindDoc="0" locked="0" layoutInCell="0" allowOverlap="1" wp14:anchorId="4B41D25A" wp14:editId="69FADB92">
            <wp:simplePos x="0" y="0"/>
            <wp:positionH relativeFrom="page">
              <wp:posOffset>704850</wp:posOffset>
            </wp:positionH>
            <wp:positionV relativeFrom="page">
              <wp:posOffset>876300</wp:posOffset>
            </wp:positionV>
            <wp:extent cx="1638300" cy="1191895"/>
            <wp:effectExtent l="0" t="0" r="0" b="8255"/>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B4924" w14:textId="77777777" w:rsidR="009E11AB" w:rsidRPr="001B0225" w:rsidRDefault="009E11AB" w:rsidP="009E11AB">
      <w:pPr>
        <w:rPr>
          <w:rFonts w:cs="Arial"/>
        </w:rPr>
      </w:pPr>
    </w:p>
    <w:p w14:paraId="3291E7A9" w14:textId="77777777" w:rsidR="009E11AB" w:rsidRPr="001B0225" w:rsidRDefault="009E11AB" w:rsidP="009E11AB">
      <w:pPr>
        <w:rPr>
          <w:rFonts w:cs="Arial"/>
        </w:rPr>
      </w:pPr>
    </w:p>
    <w:p w14:paraId="2271025B" w14:textId="77777777" w:rsidR="009E11AB" w:rsidRPr="001B0225" w:rsidRDefault="009E11AB" w:rsidP="009E11AB">
      <w:pPr>
        <w:rPr>
          <w:rFonts w:cs="Arial"/>
        </w:rPr>
      </w:pPr>
    </w:p>
    <w:p w14:paraId="64742D3B" w14:textId="77777777" w:rsidR="009E11AB" w:rsidRPr="001B0225" w:rsidRDefault="009E11AB" w:rsidP="009E11AB">
      <w:pPr>
        <w:rPr>
          <w:rFonts w:cs="Arial"/>
        </w:rPr>
      </w:pPr>
    </w:p>
    <w:p w14:paraId="57F817E9" w14:textId="77777777" w:rsidR="009E11AB" w:rsidRPr="001B0225" w:rsidRDefault="009E11AB" w:rsidP="009E11AB">
      <w:pPr>
        <w:rPr>
          <w:rFonts w:cs="Arial"/>
        </w:rPr>
      </w:pPr>
    </w:p>
    <w:p w14:paraId="63BA1990" w14:textId="27D9167B" w:rsidR="009E11AB" w:rsidRPr="001B0225" w:rsidRDefault="009E11AB" w:rsidP="009E11AB">
      <w:pPr>
        <w:rPr>
          <w:rFonts w:cs="Arial"/>
        </w:rPr>
      </w:pPr>
      <w:r w:rsidRPr="001B0225">
        <w:rPr>
          <w:rFonts w:cs="Arial"/>
          <w:noProof/>
          <w:lang w:eastAsia="en-GB"/>
        </w:rPr>
        <mc:AlternateContent>
          <mc:Choice Requires="wps">
            <w:drawing>
              <wp:anchor distT="0" distB="0" distL="114300" distR="114300" simplePos="0" relativeHeight="251662336" behindDoc="0" locked="0" layoutInCell="1" allowOverlap="1" wp14:anchorId="3A39D8E1" wp14:editId="636EAC69">
                <wp:simplePos x="0" y="0"/>
                <wp:positionH relativeFrom="column">
                  <wp:posOffset>-181610</wp:posOffset>
                </wp:positionH>
                <wp:positionV relativeFrom="paragraph">
                  <wp:posOffset>148590</wp:posOffset>
                </wp:positionV>
                <wp:extent cx="6534150" cy="7372350"/>
                <wp:effectExtent l="0" t="0" r="19050" b="1905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372350"/>
                        </a:xfrm>
                        <a:prstGeom prst="rect">
                          <a:avLst/>
                        </a:prstGeom>
                        <a:solidFill>
                          <a:srgbClr val="FFFFFF">
                            <a:alpha val="0"/>
                          </a:srgbClr>
                        </a:solidFill>
                        <a:ln w="9525">
                          <a:solidFill>
                            <a:srgbClr val="000000"/>
                          </a:solidFill>
                          <a:miter lim="800000"/>
                          <a:headEnd/>
                          <a:tailEnd/>
                        </a:ln>
                      </wps:spPr>
                      <wps:txbx>
                        <w:txbxContent>
                          <w:p w14:paraId="1265ADC1" w14:textId="77777777" w:rsidR="00073DE4" w:rsidRDefault="00073DE4" w:rsidP="00073DE4">
                            <w:pPr>
                              <w:pStyle w:val="CoverDocumentTitle"/>
                              <w:ind w:left="454"/>
                            </w:pPr>
                          </w:p>
                          <w:p w14:paraId="30AA49D1" w14:textId="77777777" w:rsidR="00073DE4" w:rsidRDefault="00073DE4" w:rsidP="00073DE4">
                            <w:pPr>
                              <w:pStyle w:val="CoverDocumentTitle"/>
                              <w:ind w:left="454"/>
                            </w:pPr>
                            <w:r>
                              <w:t xml:space="preserve">Sponsored Museums: Performance Indicators 2012/13   </w:t>
                            </w:r>
                          </w:p>
                          <w:p w14:paraId="0FDE98CB" w14:textId="77777777" w:rsidR="00073DE4" w:rsidRDefault="00073DE4" w:rsidP="00073DE4">
                            <w:pPr>
                              <w:pStyle w:val="CoverSubTitle"/>
                              <w:ind w:left="454"/>
                            </w:pPr>
                            <w:r>
                              <w:t xml:space="preserve">Statistical Release   </w:t>
                            </w:r>
                          </w:p>
                          <w:p w14:paraId="69984A42" w14:textId="393CA49F" w:rsidR="00073DE4" w:rsidRDefault="007764A0" w:rsidP="00073DE4">
                            <w:pPr>
                              <w:pStyle w:val="CoverDate"/>
                              <w:ind w:left="454"/>
                            </w:pPr>
                            <w:r>
                              <w:t>November</w:t>
                            </w:r>
                            <w:r w:rsidR="00073DE4">
                              <w:t xml:space="preserve"> 2013   </w:t>
                            </w:r>
                          </w:p>
                          <w:p w14:paraId="50C0B08B" w14:textId="77777777" w:rsidR="009E11AB" w:rsidRPr="002512F8" w:rsidRDefault="009E11AB" w:rsidP="009E11AB">
                            <w:pPr>
                              <w:pStyle w:val="CoverDate"/>
                              <w:ind w:left="454"/>
                              <w:rPr>
                                <w:i/>
                              </w:rPr>
                            </w:pPr>
                          </w:p>
                          <w:p w14:paraId="0B41B305" w14:textId="77777777" w:rsidR="009E11AB" w:rsidRPr="002512F8" w:rsidRDefault="009E11AB" w:rsidP="009E11AB">
                            <w:pPr>
                              <w:pStyle w:val="CoverDate"/>
                              <w:ind w:left="454"/>
                              <w:rPr>
                                <w:i/>
                              </w:rPr>
                            </w:pPr>
                          </w:p>
                          <w:p w14:paraId="727D7738" w14:textId="77777777" w:rsidR="009E11AB" w:rsidRPr="002512F8" w:rsidRDefault="009E11AB" w:rsidP="009E11AB">
                            <w:pPr>
                              <w:pStyle w:val="CoverDate"/>
                              <w:ind w:left="454"/>
                              <w:rPr>
                                <w:i/>
                              </w:rPr>
                            </w:pPr>
                          </w:p>
                          <w:p w14:paraId="52538638" w14:textId="77777777" w:rsidR="009E11AB" w:rsidRPr="002512F8" w:rsidRDefault="009E11AB" w:rsidP="009E11AB">
                            <w:pPr>
                              <w:pStyle w:val="CoverDate"/>
                              <w:ind w:left="454"/>
                              <w:rPr>
                                <w:i/>
                              </w:rPr>
                            </w:pPr>
                          </w:p>
                          <w:p w14:paraId="6950FB51" w14:textId="77777777" w:rsidR="009E11AB" w:rsidRPr="002512F8" w:rsidRDefault="009E11AB" w:rsidP="009E11AB">
                            <w:pPr>
                              <w:pStyle w:val="CoverDate"/>
                              <w:ind w:left="454"/>
                              <w:rPr>
                                <w:b/>
                                <w:i/>
                              </w:rPr>
                            </w:pPr>
                          </w:p>
                          <w:p w14:paraId="62C63E9F" w14:textId="77777777" w:rsidR="009E11AB" w:rsidRPr="002512F8" w:rsidRDefault="009E11AB" w:rsidP="009E11AB">
                            <w:pPr>
                              <w:pStyle w:val="CoverDate"/>
                              <w:ind w:left="454"/>
                              <w:rPr>
                                <w:i/>
                              </w:rPr>
                            </w:pPr>
                          </w:p>
                          <w:p w14:paraId="6A5D3EB0" w14:textId="77777777" w:rsidR="009E11AB" w:rsidRPr="002512F8" w:rsidRDefault="009E11AB" w:rsidP="009E11AB">
                            <w:pPr>
                              <w:pStyle w:val="CoverDate"/>
                              <w:ind w:left="454"/>
                              <w:rPr>
                                <w:i/>
                              </w:rPr>
                            </w:pPr>
                          </w:p>
                          <w:p w14:paraId="163AD97B" w14:textId="77777777" w:rsidR="009E11AB" w:rsidRPr="002512F8" w:rsidRDefault="009E11AB" w:rsidP="009E11AB">
                            <w:pPr>
                              <w:pStyle w:val="CoverDate"/>
                              <w:ind w:left="454"/>
                              <w:rPr>
                                <w:i/>
                              </w:rPr>
                            </w:pPr>
                          </w:p>
                          <w:p w14:paraId="6AB5FA9B" w14:textId="77777777" w:rsidR="009E11AB" w:rsidRPr="002512F8" w:rsidRDefault="009E11AB" w:rsidP="009E11AB">
                            <w:pPr>
                              <w:pStyle w:val="CoverDate"/>
                              <w:rPr>
                                <w:i/>
                              </w:rPr>
                            </w:pPr>
                          </w:p>
                          <w:p w14:paraId="625BEB9E" w14:textId="77777777" w:rsidR="009E11AB" w:rsidRPr="002512F8" w:rsidRDefault="009E11AB" w:rsidP="009E11AB">
                            <w:pPr>
                              <w:pStyle w:val="CoverDate"/>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3pt;margin-top:11.7pt;width:514.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">
                <v:fill opacity="0"/>
                <v:textbox>
                  <w:txbxContent>
                    <w:p w14:paraId="1265ADC1" w14:textId="77777777" w:rsidR="00073DE4" w:rsidRDefault="00073DE4" w:rsidP="00073DE4">
                      <w:pPr>
                        <w:pStyle w:val="CoverDocumentTitle"/>
                        <w:ind w:left="454"/>
                      </w:pPr>
                    </w:p>
                    <w:p w14:paraId="30AA49D1" w14:textId="77777777" w:rsidR="00073DE4" w:rsidRDefault="00073DE4" w:rsidP="00073DE4">
                      <w:pPr>
                        <w:pStyle w:val="CoverDocumentTitle"/>
                        <w:ind w:left="454"/>
                      </w:pPr>
                      <w:r>
                        <w:t xml:space="preserve">Sponsored Museums: Performance Indicators 2012/13   </w:t>
                      </w:r>
                    </w:p>
                    <w:p w14:paraId="0FDE98CB" w14:textId="77777777" w:rsidR="00073DE4" w:rsidRDefault="00073DE4" w:rsidP="00073DE4">
                      <w:pPr>
                        <w:pStyle w:val="CoverSubTitle"/>
                        <w:ind w:left="454"/>
                      </w:pPr>
                      <w:r>
                        <w:t xml:space="preserve">Statistical Release   </w:t>
                      </w:r>
                    </w:p>
                    <w:p w14:paraId="69984A42" w14:textId="393CA49F" w:rsidR="00073DE4" w:rsidRDefault="007764A0" w:rsidP="00073DE4">
                      <w:pPr>
                        <w:pStyle w:val="CoverDate"/>
                        <w:ind w:left="454"/>
                      </w:pPr>
                      <w:r>
                        <w:t>November</w:t>
                      </w:r>
                      <w:r w:rsidR="00073DE4">
                        <w:t xml:space="preserve"> 2013   </w:t>
                      </w:r>
                    </w:p>
                    <w:p w14:paraId="50C0B08B" w14:textId="77777777" w:rsidR="009E11AB" w:rsidRPr="002512F8" w:rsidRDefault="009E11AB" w:rsidP="009E11AB">
                      <w:pPr>
                        <w:pStyle w:val="CoverDate"/>
                        <w:ind w:left="454"/>
                        <w:rPr>
                          <w:i/>
                        </w:rPr>
                      </w:pPr>
                    </w:p>
                    <w:p w14:paraId="0B41B305" w14:textId="77777777" w:rsidR="009E11AB" w:rsidRPr="002512F8" w:rsidRDefault="009E11AB" w:rsidP="009E11AB">
                      <w:pPr>
                        <w:pStyle w:val="CoverDate"/>
                        <w:ind w:left="454"/>
                        <w:rPr>
                          <w:i/>
                        </w:rPr>
                      </w:pPr>
                    </w:p>
                    <w:p w14:paraId="727D7738" w14:textId="77777777" w:rsidR="009E11AB" w:rsidRPr="002512F8" w:rsidRDefault="009E11AB" w:rsidP="009E11AB">
                      <w:pPr>
                        <w:pStyle w:val="CoverDate"/>
                        <w:ind w:left="454"/>
                        <w:rPr>
                          <w:i/>
                        </w:rPr>
                      </w:pPr>
                    </w:p>
                    <w:p w14:paraId="52538638" w14:textId="77777777" w:rsidR="009E11AB" w:rsidRPr="002512F8" w:rsidRDefault="009E11AB" w:rsidP="009E11AB">
                      <w:pPr>
                        <w:pStyle w:val="CoverDate"/>
                        <w:ind w:left="454"/>
                        <w:rPr>
                          <w:i/>
                        </w:rPr>
                      </w:pPr>
                    </w:p>
                    <w:p w14:paraId="6950FB51" w14:textId="77777777" w:rsidR="009E11AB" w:rsidRPr="002512F8" w:rsidRDefault="009E11AB" w:rsidP="009E11AB">
                      <w:pPr>
                        <w:pStyle w:val="CoverDate"/>
                        <w:ind w:left="454"/>
                        <w:rPr>
                          <w:b/>
                          <w:i/>
                        </w:rPr>
                      </w:pPr>
                    </w:p>
                    <w:p w14:paraId="62C63E9F" w14:textId="77777777" w:rsidR="009E11AB" w:rsidRPr="002512F8" w:rsidRDefault="009E11AB" w:rsidP="009E11AB">
                      <w:pPr>
                        <w:pStyle w:val="CoverDate"/>
                        <w:ind w:left="454"/>
                        <w:rPr>
                          <w:i/>
                        </w:rPr>
                      </w:pPr>
                    </w:p>
                    <w:p w14:paraId="6A5D3EB0" w14:textId="77777777" w:rsidR="009E11AB" w:rsidRPr="002512F8" w:rsidRDefault="009E11AB" w:rsidP="009E11AB">
                      <w:pPr>
                        <w:pStyle w:val="CoverDate"/>
                        <w:ind w:left="454"/>
                        <w:rPr>
                          <w:i/>
                        </w:rPr>
                      </w:pPr>
                    </w:p>
                    <w:p w14:paraId="163AD97B" w14:textId="77777777" w:rsidR="009E11AB" w:rsidRPr="002512F8" w:rsidRDefault="009E11AB" w:rsidP="009E11AB">
                      <w:pPr>
                        <w:pStyle w:val="CoverDate"/>
                        <w:ind w:left="454"/>
                        <w:rPr>
                          <w:i/>
                        </w:rPr>
                      </w:pPr>
                    </w:p>
                    <w:p w14:paraId="6AB5FA9B" w14:textId="77777777" w:rsidR="009E11AB" w:rsidRPr="002512F8" w:rsidRDefault="009E11AB" w:rsidP="009E11AB">
                      <w:pPr>
                        <w:pStyle w:val="CoverDate"/>
                        <w:rPr>
                          <w:i/>
                        </w:rPr>
                      </w:pPr>
                    </w:p>
                    <w:p w14:paraId="625BEB9E" w14:textId="77777777" w:rsidR="009E11AB" w:rsidRPr="002512F8" w:rsidRDefault="009E11AB" w:rsidP="009E11AB">
                      <w:pPr>
                        <w:pStyle w:val="CoverDate"/>
                        <w:rPr>
                          <w:i/>
                        </w:rPr>
                      </w:pPr>
                    </w:p>
                  </w:txbxContent>
                </v:textbox>
              </v:shape>
            </w:pict>
          </mc:Fallback>
        </mc:AlternateContent>
      </w:r>
    </w:p>
    <w:p w14:paraId="757393EF" w14:textId="77777777" w:rsidR="009E11AB" w:rsidRPr="001B0225" w:rsidRDefault="009E11AB" w:rsidP="009E11AB">
      <w:pPr>
        <w:rPr>
          <w:rFonts w:cs="Arial"/>
        </w:rPr>
      </w:pPr>
    </w:p>
    <w:p w14:paraId="6DFF23DE" w14:textId="77777777" w:rsidR="009E11AB" w:rsidRPr="001B0225" w:rsidRDefault="009E11AB" w:rsidP="009E11AB">
      <w:pPr>
        <w:rPr>
          <w:rFonts w:cs="Arial"/>
        </w:rPr>
      </w:pPr>
    </w:p>
    <w:p w14:paraId="700FF900" w14:textId="77777777" w:rsidR="009E11AB" w:rsidRPr="001B0225" w:rsidRDefault="009E11AB" w:rsidP="009E11AB">
      <w:pPr>
        <w:rPr>
          <w:rFonts w:cs="Arial"/>
        </w:rPr>
      </w:pPr>
    </w:p>
    <w:p w14:paraId="2FD070DC" w14:textId="77777777" w:rsidR="009E11AB" w:rsidRPr="001B0225" w:rsidRDefault="009E11AB" w:rsidP="009E11AB">
      <w:pPr>
        <w:rPr>
          <w:rFonts w:cs="Arial"/>
        </w:rPr>
      </w:pPr>
    </w:p>
    <w:p w14:paraId="6A866523" w14:textId="77777777" w:rsidR="009E11AB" w:rsidRPr="001B0225" w:rsidRDefault="009E11AB" w:rsidP="009E11AB">
      <w:pPr>
        <w:rPr>
          <w:rFonts w:cs="Arial"/>
        </w:rPr>
      </w:pPr>
    </w:p>
    <w:p w14:paraId="40E2D8EA" w14:textId="77777777" w:rsidR="009E11AB" w:rsidRPr="001B0225" w:rsidRDefault="009E11AB" w:rsidP="009E11AB">
      <w:pPr>
        <w:rPr>
          <w:rFonts w:cs="Arial"/>
        </w:rPr>
      </w:pPr>
    </w:p>
    <w:p w14:paraId="59A863BF" w14:textId="77777777" w:rsidR="009E11AB" w:rsidRPr="001B0225" w:rsidRDefault="009E11AB" w:rsidP="009E11AB">
      <w:pPr>
        <w:rPr>
          <w:rFonts w:cs="Arial"/>
        </w:rPr>
      </w:pPr>
    </w:p>
    <w:p w14:paraId="2C076EF4" w14:textId="77777777" w:rsidR="009E11AB" w:rsidRPr="001B0225" w:rsidRDefault="009E11AB" w:rsidP="009E11AB">
      <w:pPr>
        <w:rPr>
          <w:rFonts w:cs="Arial"/>
        </w:rPr>
      </w:pPr>
    </w:p>
    <w:p w14:paraId="343854F1" w14:textId="77777777" w:rsidR="009E11AB" w:rsidRPr="001B0225" w:rsidRDefault="009E11AB" w:rsidP="009E11AB">
      <w:pPr>
        <w:rPr>
          <w:rFonts w:cs="Arial"/>
        </w:rPr>
      </w:pPr>
    </w:p>
    <w:p w14:paraId="701F7445" w14:textId="77777777" w:rsidR="009E11AB" w:rsidRPr="001B0225" w:rsidRDefault="009E11AB" w:rsidP="009E11AB">
      <w:pPr>
        <w:rPr>
          <w:rFonts w:cs="Arial"/>
        </w:rPr>
      </w:pPr>
    </w:p>
    <w:p w14:paraId="01BC694A" w14:textId="77777777" w:rsidR="009E11AB" w:rsidRPr="001B0225" w:rsidRDefault="009E11AB" w:rsidP="009E11AB">
      <w:pPr>
        <w:rPr>
          <w:rFonts w:cs="Arial"/>
        </w:rPr>
      </w:pPr>
    </w:p>
    <w:p w14:paraId="341FF6DA" w14:textId="77777777" w:rsidR="009E11AB" w:rsidRPr="001B0225" w:rsidRDefault="009E11AB" w:rsidP="009E11AB">
      <w:pPr>
        <w:rPr>
          <w:rFonts w:cs="Arial"/>
        </w:rPr>
      </w:pPr>
    </w:p>
    <w:p w14:paraId="494DE12A" w14:textId="77777777" w:rsidR="009E11AB" w:rsidRPr="001B0225" w:rsidRDefault="009E11AB" w:rsidP="009E11AB">
      <w:pPr>
        <w:rPr>
          <w:rFonts w:cs="Arial"/>
        </w:rPr>
      </w:pPr>
    </w:p>
    <w:p w14:paraId="4BC3DC2D" w14:textId="77777777" w:rsidR="009E11AB" w:rsidRPr="001B0225" w:rsidRDefault="009E11AB" w:rsidP="009E11AB">
      <w:pPr>
        <w:rPr>
          <w:rFonts w:cs="Arial"/>
        </w:rPr>
      </w:pPr>
    </w:p>
    <w:p w14:paraId="33E294F9" w14:textId="77777777" w:rsidR="009E11AB" w:rsidRPr="001B0225" w:rsidRDefault="009E11AB" w:rsidP="009E11AB">
      <w:pPr>
        <w:rPr>
          <w:rFonts w:cs="Arial"/>
        </w:rPr>
      </w:pPr>
    </w:p>
    <w:p w14:paraId="1679DA25" w14:textId="77777777" w:rsidR="009E11AB" w:rsidRPr="001B0225" w:rsidRDefault="009E11AB" w:rsidP="009E11AB">
      <w:pPr>
        <w:rPr>
          <w:rFonts w:cs="Arial"/>
        </w:rPr>
      </w:pPr>
    </w:p>
    <w:p w14:paraId="5BB26E12" w14:textId="77777777" w:rsidR="009E11AB" w:rsidRPr="001B0225" w:rsidRDefault="009E11AB" w:rsidP="009E11AB">
      <w:pPr>
        <w:rPr>
          <w:rFonts w:cs="Arial"/>
        </w:rPr>
      </w:pPr>
    </w:p>
    <w:p w14:paraId="67357DF5" w14:textId="77777777" w:rsidR="009E11AB" w:rsidRPr="001B0225" w:rsidRDefault="009E11AB" w:rsidP="009E11AB">
      <w:pPr>
        <w:rPr>
          <w:rFonts w:cs="Arial"/>
        </w:rPr>
      </w:pPr>
    </w:p>
    <w:p w14:paraId="0A2DFC8B" w14:textId="77777777" w:rsidR="009E11AB" w:rsidRPr="001B0225" w:rsidRDefault="009E11AB" w:rsidP="009E11AB">
      <w:pPr>
        <w:rPr>
          <w:rFonts w:cs="Arial"/>
        </w:rPr>
      </w:pPr>
    </w:p>
    <w:p w14:paraId="213E207D" w14:textId="77777777" w:rsidR="009E11AB" w:rsidRPr="001B0225" w:rsidRDefault="009E11AB" w:rsidP="009E11AB">
      <w:pPr>
        <w:rPr>
          <w:rFonts w:cs="Arial"/>
        </w:rPr>
      </w:pPr>
    </w:p>
    <w:p w14:paraId="67711388" w14:textId="77777777" w:rsidR="009E11AB" w:rsidRPr="001B0225" w:rsidRDefault="009E11AB" w:rsidP="009E11AB">
      <w:pPr>
        <w:rPr>
          <w:rFonts w:cs="Arial"/>
        </w:rPr>
      </w:pPr>
    </w:p>
    <w:p w14:paraId="7807241E" w14:textId="77777777" w:rsidR="009E11AB" w:rsidRPr="001B0225" w:rsidRDefault="009E11AB" w:rsidP="009E11AB">
      <w:pPr>
        <w:rPr>
          <w:rFonts w:cs="Arial"/>
        </w:rPr>
      </w:pPr>
    </w:p>
    <w:p w14:paraId="45017953" w14:textId="77777777" w:rsidR="009E11AB" w:rsidRPr="001B0225" w:rsidRDefault="009E11AB" w:rsidP="009E11AB">
      <w:pPr>
        <w:rPr>
          <w:rFonts w:cs="Arial"/>
        </w:rPr>
      </w:pPr>
    </w:p>
    <w:p w14:paraId="64984AAE" w14:textId="77777777" w:rsidR="009E11AB" w:rsidRPr="001B0225" w:rsidRDefault="009E11AB" w:rsidP="009E11AB">
      <w:pPr>
        <w:rPr>
          <w:rFonts w:cs="Arial"/>
        </w:rPr>
      </w:pPr>
    </w:p>
    <w:p w14:paraId="4175D3C5" w14:textId="77777777" w:rsidR="009E11AB" w:rsidRPr="001B0225" w:rsidRDefault="009E11AB" w:rsidP="009E11AB">
      <w:pPr>
        <w:rPr>
          <w:rFonts w:cs="Arial"/>
        </w:rPr>
      </w:pPr>
    </w:p>
    <w:p w14:paraId="604A0F3F" w14:textId="77777777" w:rsidR="009E11AB" w:rsidRPr="001B0225" w:rsidRDefault="009E11AB" w:rsidP="009E11AB">
      <w:pPr>
        <w:rPr>
          <w:rFonts w:cs="Arial"/>
        </w:rPr>
      </w:pPr>
    </w:p>
    <w:p w14:paraId="1437C632" w14:textId="77777777" w:rsidR="009E11AB" w:rsidRPr="001B0225" w:rsidRDefault="009E11AB" w:rsidP="009E11AB">
      <w:pPr>
        <w:pStyle w:val="CoverSubTitle"/>
        <w:spacing w:after="0"/>
        <w:ind w:left="1418"/>
        <w:rPr>
          <w:rFonts w:cs="Arial"/>
        </w:rPr>
      </w:pPr>
    </w:p>
    <w:p w14:paraId="3ABB2BA1" w14:textId="77777777" w:rsidR="009E11AB" w:rsidRPr="001B0225" w:rsidRDefault="009E11AB" w:rsidP="009E11AB">
      <w:pPr>
        <w:rPr>
          <w:rFonts w:cs="Arial"/>
        </w:rPr>
      </w:pPr>
    </w:p>
    <w:p w14:paraId="2F1C3424" w14:textId="77777777" w:rsidR="00435158" w:rsidRPr="001B0225" w:rsidRDefault="00435158" w:rsidP="00300A34">
      <w:pPr>
        <w:pStyle w:val="CoverSubTitle"/>
        <w:spacing w:after="0"/>
        <w:rPr>
          <w:rFonts w:cs="Arial"/>
        </w:rPr>
      </w:pPr>
    </w:p>
    <w:p w14:paraId="2F1C3425" w14:textId="77777777" w:rsidR="00435158" w:rsidRPr="001B0225" w:rsidRDefault="00435158" w:rsidP="00300A34">
      <w:pPr>
        <w:pStyle w:val="BodyText"/>
        <w:rPr>
          <w:rFonts w:cs="Arial"/>
        </w:rPr>
      </w:pPr>
    </w:p>
    <w:p w14:paraId="2F1C3443" w14:textId="77777777" w:rsidR="00841BC2" w:rsidRPr="001B0225" w:rsidRDefault="00841BC2" w:rsidP="009E11AB">
      <w:pPr>
        <w:spacing w:before="0"/>
        <w:ind w:left="0"/>
        <w:rPr>
          <w:rFonts w:cs="Arial"/>
        </w:rPr>
        <w:sectPr w:rsidR="00841BC2" w:rsidRPr="001B0225" w:rsidSect="00CC02EF">
          <w:headerReference w:type="even" r:id="rId10"/>
          <w:type w:val="oddPage"/>
          <w:pgSz w:w="11906" w:h="16838" w:code="9"/>
          <w:pgMar w:top="794" w:right="1021" w:bottom="1134" w:left="1021" w:header="709" w:footer="709" w:gutter="0"/>
          <w:cols w:space="708"/>
          <w:docGrid w:linePitch="360"/>
        </w:sectPr>
      </w:pPr>
    </w:p>
    <w:p w14:paraId="2F1C3446" w14:textId="77777777" w:rsidR="009B069B" w:rsidRPr="001B0225" w:rsidRDefault="009B069B" w:rsidP="00300A34">
      <w:pPr>
        <w:spacing w:before="0"/>
        <w:rPr>
          <w:rFonts w:cs="Arial"/>
        </w:rPr>
      </w:pPr>
    </w:p>
    <w:p w14:paraId="2F1C3447" w14:textId="77777777" w:rsidR="00436012" w:rsidRPr="001B0225" w:rsidRDefault="00436012" w:rsidP="00300A34">
      <w:pPr>
        <w:pStyle w:val="MissionStatement"/>
        <w:spacing w:before="0"/>
        <w:ind w:left="1418"/>
        <w:rPr>
          <w:rFonts w:cs="Arial"/>
          <w:i/>
          <w:sz w:val="36"/>
          <w:szCs w:val="36"/>
        </w:rPr>
      </w:pPr>
      <w:r w:rsidRPr="001B0225">
        <w:rPr>
          <w:rFonts w:cs="Arial"/>
          <w:i/>
          <w:sz w:val="36"/>
          <w:szCs w:val="36"/>
        </w:rPr>
        <w:t>Sponsored Museums: Performance Indicators is an Official Statistic and has been produced to the standards set out in the Code of Practice for Official Statistics</w:t>
      </w:r>
    </w:p>
    <w:p w14:paraId="2F1C3448" w14:textId="77777777" w:rsidR="00401C56" w:rsidRPr="001B0225" w:rsidRDefault="00401C56" w:rsidP="00300A34">
      <w:pPr>
        <w:spacing w:before="0"/>
        <w:rPr>
          <w:rFonts w:cs="Arial"/>
        </w:rPr>
      </w:pPr>
    </w:p>
    <w:p w14:paraId="2F1C3449" w14:textId="77777777" w:rsidR="005E332B" w:rsidRPr="001B0225" w:rsidRDefault="005E332B" w:rsidP="00300A34">
      <w:pPr>
        <w:spacing w:before="0"/>
        <w:rPr>
          <w:rFonts w:cs="Arial"/>
        </w:rPr>
        <w:sectPr w:rsidR="005E332B" w:rsidRPr="001B0225" w:rsidSect="005A5D21">
          <w:headerReference w:type="even" r:id="rId11"/>
          <w:pgSz w:w="11906" w:h="16838" w:code="9"/>
          <w:pgMar w:top="1418" w:right="1021" w:bottom="1134" w:left="1021" w:header="540" w:footer="709" w:gutter="0"/>
          <w:cols w:space="708"/>
          <w:docGrid w:linePitch="360"/>
        </w:sectPr>
      </w:pPr>
    </w:p>
    <w:p w14:paraId="2F1C344A" w14:textId="77777777" w:rsidR="00FD27B8" w:rsidRPr="001B0225" w:rsidRDefault="00FD27B8" w:rsidP="00300A34">
      <w:pPr>
        <w:pStyle w:val="StyleTOCHeadingBottomSinglesolidlineAuto05ptLine"/>
        <w:spacing w:before="0" w:after="0"/>
        <w:rPr>
          <w:rFonts w:cs="Arial"/>
        </w:rPr>
      </w:pPr>
      <w:r w:rsidRPr="001B0225">
        <w:rPr>
          <w:rFonts w:cs="Arial"/>
        </w:rPr>
        <w:lastRenderedPageBreak/>
        <w:t>Contents</w:t>
      </w:r>
    </w:p>
    <w:p w14:paraId="2F1C344B" w14:textId="77777777" w:rsidR="00404E69" w:rsidRPr="001B0225" w:rsidRDefault="00404E69" w:rsidP="00404E69">
      <w:pPr>
        <w:pStyle w:val="TOC1"/>
        <w:tabs>
          <w:tab w:val="right" w:leader="dot" w:pos="9854"/>
        </w:tabs>
        <w:spacing w:before="0" w:after="0" w:line="360" w:lineRule="auto"/>
        <w:rPr>
          <w:rFonts w:cs="Arial"/>
        </w:rPr>
      </w:pPr>
    </w:p>
    <w:p w14:paraId="2F1C344C" w14:textId="77777777" w:rsidR="00404E69" w:rsidRPr="001B0225" w:rsidRDefault="00404E69" w:rsidP="00404E69">
      <w:pPr>
        <w:pStyle w:val="TOC1"/>
        <w:tabs>
          <w:tab w:val="right" w:leader="dot" w:pos="9854"/>
        </w:tabs>
        <w:spacing w:before="0" w:after="0" w:line="360" w:lineRule="auto"/>
        <w:rPr>
          <w:rFonts w:cs="Arial"/>
        </w:rPr>
      </w:pPr>
    </w:p>
    <w:p w14:paraId="3185D98F" w14:textId="77777777" w:rsidR="001D4857" w:rsidRDefault="002F69CC">
      <w:pPr>
        <w:pStyle w:val="TOC1"/>
        <w:tabs>
          <w:tab w:val="right" w:leader="dot" w:pos="9854"/>
        </w:tabs>
        <w:rPr>
          <w:rFonts w:asciiTheme="minorHAnsi" w:eastAsiaTheme="minorEastAsia" w:hAnsiTheme="minorHAnsi" w:cstheme="minorBidi"/>
          <w:noProof/>
          <w:szCs w:val="22"/>
          <w:lang w:eastAsia="en-GB"/>
        </w:rPr>
      </w:pPr>
      <w:r w:rsidRPr="001B0225">
        <w:rPr>
          <w:rFonts w:cs="Arial"/>
        </w:rPr>
        <w:fldChar w:fldCharType="begin"/>
      </w:r>
      <w:r w:rsidRPr="001B0225">
        <w:rPr>
          <w:rFonts w:cs="Arial"/>
        </w:rPr>
        <w:instrText xml:space="preserve"> TOC \o "1-2" </w:instrText>
      </w:r>
      <w:r w:rsidRPr="001B0225">
        <w:rPr>
          <w:rFonts w:cs="Arial"/>
        </w:rPr>
        <w:fldChar w:fldCharType="separate"/>
      </w:r>
      <w:r w:rsidR="001D4857" w:rsidRPr="0032210C">
        <w:rPr>
          <w:rFonts w:cs="Arial"/>
          <w:noProof/>
        </w:rPr>
        <w:t>Chapter 1: Introduction</w:t>
      </w:r>
      <w:r w:rsidR="001D4857">
        <w:rPr>
          <w:noProof/>
        </w:rPr>
        <w:tab/>
      </w:r>
      <w:r w:rsidR="001D4857">
        <w:rPr>
          <w:noProof/>
        </w:rPr>
        <w:fldChar w:fldCharType="begin"/>
      </w:r>
      <w:r w:rsidR="001D4857">
        <w:rPr>
          <w:noProof/>
        </w:rPr>
        <w:instrText xml:space="preserve"> PAGEREF _Toc372032797 \h </w:instrText>
      </w:r>
      <w:r w:rsidR="001D4857">
        <w:rPr>
          <w:noProof/>
        </w:rPr>
      </w:r>
      <w:r w:rsidR="001D4857">
        <w:rPr>
          <w:noProof/>
        </w:rPr>
        <w:fldChar w:fldCharType="separate"/>
      </w:r>
      <w:r w:rsidR="00F64291">
        <w:rPr>
          <w:noProof/>
        </w:rPr>
        <w:t>4</w:t>
      </w:r>
      <w:r w:rsidR="001D4857">
        <w:rPr>
          <w:noProof/>
        </w:rPr>
        <w:fldChar w:fldCharType="end"/>
      </w:r>
    </w:p>
    <w:p w14:paraId="76F81D16" w14:textId="77777777" w:rsidR="001D4857" w:rsidRDefault="001D4857">
      <w:pPr>
        <w:pStyle w:val="TOC1"/>
        <w:tabs>
          <w:tab w:val="right" w:leader="dot" w:pos="9854"/>
        </w:tabs>
        <w:rPr>
          <w:rFonts w:asciiTheme="minorHAnsi" w:eastAsiaTheme="minorEastAsia" w:hAnsiTheme="minorHAnsi" w:cstheme="minorBidi"/>
          <w:noProof/>
          <w:szCs w:val="22"/>
          <w:lang w:eastAsia="en-GB"/>
        </w:rPr>
      </w:pPr>
      <w:r w:rsidRPr="0032210C">
        <w:rPr>
          <w:rFonts w:cs="Arial"/>
          <w:noProof/>
        </w:rPr>
        <w:t>Chapter 2: Visits to DCMS’ Sponsored Museums 2012/13</w:t>
      </w:r>
      <w:r>
        <w:rPr>
          <w:noProof/>
        </w:rPr>
        <w:tab/>
      </w:r>
      <w:r>
        <w:rPr>
          <w:noProof/>
        </w:rPr>
        <w:fldChar w:fldCharType="begin"/>
      </w:r>
      <w:r>
        <w:rPr>
          <w:noProof/>
        </w:rPr>
        <w:instrText xml:space="preserve"> PAGEREF _Toc372032798 \h </w:instrText>
      </w:r>
      <w:r>
        <w:rPr>
          <w:noProof/>
        </w:rPr>
      </w:r>
      <w:r>
        <w:rPr>
          <w:noProof/>
        </w:rPr>
        <w:fldChar w:fldCharType="separate"/>
      </w:r>
      <w:r w:rsidR="00F64291">
        <w:rPr>
          <w:noProof/>
        </w:rPr>
        <w:t>5</w:t>
      </w:r>
      <w:r>
        <w:rPr>
          <w:noProof/>
        </w:rPr>
        <w:fldChar w:fldCharType="end"/>
      </w:r>
    </w:p>
    <w:p w14:paraId="2780C28A" w14:textId="77777777" w:rsidR="001D4857" w:rsidRDefault="001D4857">
      <w:pPr>
        <w:pStyle w:val="TOC2"/>
        <w:tabs>
          <w:tab w:val="right" w:leader="dot" w:pos="9854"/>
        </w:tabs>
        <w:rPr>
          <w:rFonts w:asciiTheme="minorHAnsi" w:eastAsiaTheme="minorEastAsia" w:hAnsiTheme="minorHAnsi" w:cstheme="minorBidi"/>
          <w:noProof/>
          <w:szCs w:val="22"/>
          <w:lang w:eastAsia="en-GB"/>
        </w:rPr>
      </w:pPr>
      <w:r>
        <w:rPr>
          <w:noProof/>
        </w:rPr>
        <w:t>Key findings:</w:t>
      </w:r>
      <w:r>
        <w:rPr>
          <w:noProof/>
        </w:rPr>
        <w:tab/>
      </w:r>
      <w:r>
        <w:rPr>
          <w:noProof/>
        </w:rPr>
        <w:fldChar w:fldCharType="begin"/>
      </w:r>
      <w:r>
        <w:rPr>
          <w:noProof/>
        </w:rPr>
        <w:instrText xml:space="preserve"> PAGEREF _Toc372032799 \h </w:instrText>
      </w:r>
      <w:r>
        <w:rPr>
          <w:noProof/>
        </w:rPr>
      </w:r>
      <w:r>
        <w:rPr>
          <w:noProof/>
        </w:rPr>
        <w:fldChar w:fldCharType="separate"/>
      </w:r>
      <w:r w:rsidR="00F64291">
        <w:rPr>
          <w:noProof/>
        </w:rPr>
        <w:t>5</w:t>
      </w:r>
      <w:r>
        <w:rPr>
          <w:noProof/>
        </w:rPr>
        <w:fldChar w:fldCharType="end"/>
      </w:r>
    </w:p>
    <w:p w14:paraId="11B3F10B" w14:textId="77777777" w:rsidR="001D4857" w:rsidRDefault="001D4857">
      <w:pPr>
        <w:pStyle w:val="TOC2"/>
        <w:tabs>
          <w:tab w:val="right" w:leader="dot" w:pos="9854"/>
        </w:tabs>
        <w:rPr>
          <w:rFonts w:asciiTheme="minorHAnsi" w:eastAsiaTheme="minorEastAsia" w:hAnsiTheme="minorHAnsi" w:cstheme="minorBidi"/>
          <w:noProof/>
          <w:szCs w:val="22"/>
          <w:lang w:eastAsia="en-GB"/>
        </w:rPr>
      </w:pPr>
      <w:r w:rsidRPr="0032210C">
        <w:rPr>
          <w:noProof/>
          <w:lang w:val="en"/>
        </w:rPr>
        <w:t>Total visits to sponsored museums:</w:t>
      </w:r>
      <w:r>
        <w:rPr>
          <w:noProof/>
        </w:rPr>
        <w:tab/>
      </w:r>
      <w:r>
        <w:rPr>
          <w:noProof/>
        </w:rPr>
        <w:fldChar w:fldCharType="begin"/>
      </w:r>
      <w:r>
        <w:rPr>
          <w:noProof/>
        </w:rPr>
        <w:instrText xml:space="preserve"> PAGEREF _Toc372032800 \h </w:instrText>
      </w:r>
      <w:r>
        <w:rPr>
          <w:noProof/>
        </w:rPr>
      </w:r>
      <w:r>
        <w:rPr>
          <w:noProof/>
        </w:rPr>
        <w:fldChar w:fldCharType="separate"/>
      </w:r>
      <w:r w:rsidR="00F64291">
        <w:rPr>
          <w:noProof/>
        </w:rPr>
        <w:t>6</w:t>
      </w:r>
      <w:r>
        <w:rPr>
          <w:noProof/>
        </w:rPr>
        <w:fldChar w:fldCharType="end"/>
      </w:r>
    </w:p>
    <w:p w14:paraId="3F32DC5B" w14:textId="77777777" w:rsidR="001D4857" w:rsidRDefault="001D4857">
      <w:pPr>
        <w:pStyle w:val="TOC2"/>
        <w:tabs>
          <w:tab w:val="right" w:leader="dot" w:pos="9854"/>
        </w:tabs>
        <w:rPr>
          <w:rFonts w:asciiTheme="minorHAnsi" w:eastAsiaTheme="minorEastAsia" w:hAnsiTheme="minorHAnsi" w:cstheme="minorBidi"/>
          <w:noProof/>
          <w:szCs w:val="22"/>
          <w:lang w:eastAsia="en-GB"/>
        </w:rPr>
      </w:pPr>
      <w:r w:rsidRPr="0032210C">
        <w:rPr>
          <w:noProof/>
          <w:lang w:val="en"/>
        </w:rPr>
        <w:t>Child visits:</w:t>
      </w:r>
      <w:r>
        <w:rPr>
          <w:noProof/>
        </w:rPr>
        <w:tab/>
      </w:r>
      <w:r>
        <w:rPr>
          <w:noProof/>
        </w:rPr>
        <w:fldChar w:fldCharType="begin"/>
      </w:r>
      <w:r>
        <w:rPr>
          <w:noProof/>
        </w:rPr>
        <w:instrText xml:space="preserve"> PAGEREF _Toc372032801 \h </w:instrText>
      </w:r>
      <w:r>
        <w:rPr>
          <w:noProof/>
        </w:rPr>
      </w:r>
      <w:r>
        <w:rPr>
          <w:noProof/>
        </w:rPr>
        <w:fldChar w:fldCharType="separate"/>
      </w:r>
      <w:r w:rsidR="00F64291">
        <w:rPr>
          <w:noProof/>
        </w:rPr>
        <w:t>7</w:t>
      </w:r>
      <w:r>
        <w:rPr>
          <w:noProof/>
        </w:rPr>
        <w:fldChar w:fldCharType="end"/>
      </w:r>
    </w:p>
    <w:p w14:paraId="1D3C7317" w14:textId="77777777" w:rsidR="001D4857" w:rsidRDefault="001D4857">
      <w:pPr>
        <w:pStyle w:val="TOC2"/>
        <w:tabs>
          <w:tab w:val="right" w:leader="dot" w:pos="9854"/>
        </w:tabs>
        <w:rPr>
          <w:rFonts w:asciiTheme="minorHAnsi" w:eastAsiaTheme="minorEastAsia" w:hAnsiTheme="minorHAnsi" w:cstheme="minorBidi"/>
          <w:noProof/>
          <w:szCs w:val="22"/>
          <w:lang w:eastAsia="en-GB"/>
        </w:rPr>
      </w:pPr>
      <w:r w:rsidRPr="0032210C">
        <w:rPr>
          <w:noProof/>
          <w:lang w:val="en"/>
        </w:rPr>
        <w:t>Overseas visits:</w:t>
      </w:r>
      <w:r>
        <w:rPr>
          <w:noProof/>
        </w:rPr>
        <w:tab/>
      </w:r>
      <w:r>
        <w:rPr>
          <w:noProof/>
        </w:rPr>
        <w:fldChar w:fldCharType="begin"/>
      </w:r>
      <w:r>
        <w:rPr>
          <w:noProof/>
        </w:rPr>
        <w:instrText xml:space="preserve"> PAGEREF _Toc372032802 \h </w:instrText>
      </w:r>
      <w:r>
        <w:rPr>
          <w:noProof/>
        </w:rPr>
      </w:r>
      <w:r>
        <w:rPr>
          <w:noProof/>
        </w:rPr>
        <w:fldChar w:fldCharType="separate"/>
      </w:r>
      <w:r w:rsidR="00F64291">
        <w:rPr>
          <w:noProof/>
        </w:rPr>
        <w:t>8</w:t>
      </w:r>
      <w:r>
        <w:rPr>
          <w:noProof/>
        </w:rPr>
        <w:fldChar w:fldCharType="end"/>
      </w:r>
    </w:p>
    <w:p w14:paraId="3317FFA4" w14:textId="77777777" w:rsidR="001D4857" w:rsidRDefault="001D4857">
      <w:pPr>
        <w:pStyle w:val="TOC2"/>
        <w:tabs>
          <w:tab w:val="right" w:leader="dot" w:pos="9854"/>
        </w:tabs>
        <w:rPr>
          <w:rFonts w:asciiTheme="minorHAnsi" w:eastAsiaTheme="minorEastAsia" w:hAnsiTheme="minorHAnsi" w:cstheme="minorBidi"/>
          <w:noProof/>
          <w:szCs w:val="22"/>
          <w:lang w:eastAsia="en-GB"/>
        </w:rPr>
      </w:pPr>
      <w:r w:rsidRPr="0032210C">
        <w:rPr>
          <w:noProof/>
          <w:lang w:val="en"/>
        </w:rPr>
        <w:t>Website visits:</w:t>
      </w:r>
      <w:r>
        <w:rPr>
          <w:noProof/>
        </w:rPr>
        <w:tab/>
      </w:r>
      <w:r>
        <w:rPr>
          <w:noProof/>
        </w:rPr>
        <w:fldChar w:fldCharType="begin"/>
      </w:r>
      <w:r>
        <w:rPr>
          <w:noProof/>
        </w:rPr>
        <w:instrText xml:space="preserve"> PAGEREF _Toc372032803 \h </w:instrText>
      </w:r>
      <w:r>
        <w:rPr>
          <w:noProof/>
        </w:rPr>
      </w:r>
      <w:r>
        <w:rPr>
          <w:noProof/>
        </w:rPr>
        <w:fldChar w:fldCharType="separate"/>
      </w:r>
      <w:r w:rsidR="00F64291">
        <w:rPr>
          <w:noProof/>
        </w:rPr>
        <w:t>8</w:t>
      </w:r>
      <w:r>
        <w:rPr>
          <w:noProof/>
        </w:rPr>
        <w:fldChar w:fldCharType="end"/>
      </w:r>
    </w:p>
    <w:p w14:paraId="3AB6F897" w14:textId="77777777" w:rsidR="001D4857" w:rsidRDefault="001D4857">
      <w:pPr>
        <w:pStyle w:val="TOC1"/>
        <w:tabs>
          <w:tab w:val="right" w:leader="dot" w:pos="9854"/>
        </w:tabs>
        <w:rPr>
          <w:rFonts w:asciiTheme="minorHAnsi" w:eastAsiaTheme="minorEastAsia" w:hAnsiTheme="minorHAnsi" w:cstheme="minorBidi"/>
          <w:noProof/>
          <w:szCs w:val="22"/>
          <w:lang w:eastAsia="en-GB"/>
        </w:rPr>
      </w:pPr>
      <w:r w:rsidRPr="0032210C">
        <w:rPr>
          <w:rFonts w:cs="Arial"/>
          <w:noProof/>
        </w:rPr>
        <w:t>Annex A: Background note</w:t>
      </w:r>
      <w:r>
        <w:rPr>
          <w:noProof/>
        </w:rPr>
        <w:tab/>
      </w:r>
      <w:r>
        <w:rPr>
          <w:noProof/>
        </w:rPr>
        <w:fldChar w:fldCharType="begin"/>
      </w:r>
      <w:r>
        <w:rPr>
          <w:noProof/>
        </w:rPr>
        <w:instrText xml:space="preserve"> PAGEREF _Toc372032804 \h </w:instrText>
      </w:r>
      <w:r>
        <w:rPr>
          <w:noProof/>
        </w:rPr>
      </w:r>
      <w:r>
        <w:rPr>
          <w:noProof/>
        </w:rPr>
        <w:fldChar w:fldCharType="separate"/>
      </w:r>
      <w:r w:rsidR="00F64291">
        <w:rPr>
          <w:noProof/>
        </w:rPr>
        <w:t>9</w:t>
      </w:r>
      <w:r>
        <w:rPr>
          <w:noProof/>
        </w:rPr>
        <w:fldChar w:fldCharType="end"/>
      </w:r>
    </w:p>
    <w:p w14:paraId="2F1C3450" w14:textId="77777777" w:rsidR="00283206" w:rsidRPr="001B0225" w:rsidRDefault="002F69CC" w:rsidP="00404E69">
      <w:pPr>
        <w:spacing w:before="0" w:line="360" w:lineRule="auto"/>
        <w:rPr>
          <w:rFonts w:cs="Arial"/>
        </w:rPr>
      </w:pPr>
      <w:r w:rsidRPr="001B0225">
        <w:rPr>
          <w:rFonts w:cs="Arial"/>
        </w:rPr>
        <w:fldChar w:fldCharType="end"/>
      </w:r>
    </w:p>
    <w:p w14:paraId="2F1C3451" w14:textId="77777777" w:rsidR="0023155C" w:rsidRPr="001B0225" w:rsidRDefault="0023155C" w:rsidP="00300A34">
      <w:pPr>
        <w:spacing w:before="0"/>
        <w:rPr>
          <w:rFonts w:cs="Arial"/>
        </w:rPr>
      </w:pPr>
    </w:p>
    <w:p w14:paraId="2F1C3452" w14:textId="77777777" w:rsidR="005A5D21" w:rsidRPr="001B0225" w:rsidRDefault="005A5D21" w:rsidP="00300A34">
      <w:pPr>
        <w:spacing w:before="0"/>
        <w:rPr>
          <w:rFonts w:cs="Arial"/>
        </w:rPr>
        <w:sectPr w:rsidR="005A5D21" w:rsidRPr="001B0225"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2F1C3453" w14:textId="77777777" w:rsidR="00FD27B8" w:rsidRPr="001B0225" w:rsidRDefault="00436012" w:rsidP="00300A34">
      <w:pPr>
        <w:pStyle w:val="Heading1Numbered"/>
        <w:spacing w:before="0" w:after="0"/>
        <w:rPr>
          <w:rFonts w:cs="Arial"/>
        </w:rPr>
      </w:pPr>
      <w:bookmarkStart w:id="0" w:name="_Toc372032797"/>
      <w:r w:rsidRPr="001B0225">
        <w:rPr>
          <w:rFonts w:cs="Arial"/>
        </w:rPr>
        <w:lastRenderedPageBreak/>
        <w:t>Introduction</w:t>
      </w:r>
      <w:bookmarkEnd w:id="0"/>
    </w:p>
    <w:p w14:paraId="2F1C3454" w14:textId="77777777" w:rsidR="00300A34" w:rsidRPr="001B0225" w:rsidRDefault="00300A34" w:rsidP="00300A34">
      <w:pPr>
        <w:spacing w:before="0"/>
        <w:ind w:left="851"/>
        <w:rPr>
          <w:rFonts w:cs="Arial"/>
          <w:b/>
          <w:bCs/>
          <w:szCs w:val="22"/>
          <w:lang w:val="en"/>
        </w:rPr>
      </w:pPr>
    </w:p>
    <w:p w14:paraId="2F1C3455" w14:textId="77777777" w:rsidR="00300A34" w:rsidRPr="001B0225" w:rsidRDefault="00300A34" w:rsidP="00610F67">
      <w:pPr>
        <w:spacing w:before="0"/>
        <w:ind w:left="851"/>
        <w:rPr>
          <w:rFonts w:cs="Arial"/>
          <w:b/>
          <w:bCs/>
          <w:szCs w:val="22"/>
          <w:lang w:val="en"/>
        </w:rPr>
      </w:pPr>
    </w:p>
    <w:p w14:paraId="2F1C3456" w14:textId="3BF79BC9" w:rsidR="00436012" w:rsidRPr="001B0225" w:rsidRDefault="00436012" w:rsidP="00610F67">
      <w:pPr>
        <w:spacing w:before="0"/>
        <w:ind w:left="1440"/>
        <w:rPr>
          <w:rFonts w:cs="Arial"/>
          <w:bCs/>
          <w:szCs w:val="22"/>
          <w:lang w:val="en"/>
        </w:rPr>
      </w:pPr>
      <w:r w:rsidRPr="001B0225">
        <w:rPr>
          <w:rFonts w:cs="Arial"/>
          <w:b/>
          <w:bCs/>
          <w:szCs w:val="22"/>
          <w:lang w:val="en"/>
        </w:rPr>
        <w:t xml:space="preserve">Released: </w:t>
      </w:r>
      <w:r w:rsidR="007764A0">
        <w:rPr>
          <w:rFonts w:cs="Arial"/>
          <w:bCs/>
          <w:szCs w:val="22"/>
          <w:lang w:val="en"/>
        </w:rPr>
        <w:t>14 November</w:t>
      </w:r>
      <w:r w:rsidRPr="001B0225">
        <w:rPr>
          <w:rFonts w:cs="Arial"/>
          <w:bCs/>
          <w:szCs w:val="22"/>
          <w:lang w:val="en"/>
        </w:rPr>
        <w:t xml:space="preserve"> 201</w:t>
      </w:r>
      <w:r w:rsidR="0073064A" w:rsidRPr="001B0225">
        <w:rPr>
          <w:rFonts w:cs="Arial"/>
          <w:bCs/>
          <w:szCs w:val="22"/>
          <w:lang w:val="en"/>
        </w:rPr>
        <w:t>3</w:t>
      </w:r>
    </w:p>
    <w:p w14:paraId="2F1C3457" w14:textId="77777777" w:rsidR="00436012" w:rsidRPr="001B0225" w:rsidRDefault="00436012" w:rsidP="00610F67">
      <w:pPr>
        <w:spacing w:before="0"/>
        <w:ind w:left="1440"/>
        <w:rPr>
          <w:rFonts w:cs="Arial"/>
          <w:b/>
          <w:bCs/>
          <w:szCs w:val="22"/>
          <w:lang w:val="en"/>
        </w:rPr>
      </w:pPr>
    </w:p>
    <w:p w14:paraId="2F1C3458" w14:textId="692114EB" w:rsidR="00436012" w:rsidRPr="001B0225" w:rsidRDefault="00436012" w:rsidP="00610F67">
      <w:pPr>
        <w:spacing w:before="0"/>
        <w:ind w:left="1440"/>
        <w:rPr>
          <w:rFonts w:cs="Arial"/>
          <w:bCs/>
          <w:szCs w:val="22"/>
          <w:lang w:val="en"/>
        </w:rPr>
      </w:pPr>
      <w:r w:rsidRPr="001B0225">
        <w:rPr>
          <w:rFonts w:cs="Arial"/>
          <w:b/>
          <w:bCs/>
          <w:szCs w:val="22"/>
          <w:lang w:val="en"/>
        </w:rPr>
        <w:t xml:space="preserve">Period covered: </w:t>
      </w:r>
      <w:r w:rsidRPr="001B0225">
        <w:rPr>
          <w:rFonts w:cs="Arial"/>
          <w:bCs/>
          <w:szCs w:val="22"/>
          <w:lang w:val="en"/>
        </w:rPr>
        <w:t>April 201</w:t>
      </w:r>
      <w:r w:rsidR="0073064A" w:rsidRPr="001B0225">
        <w:rPr>
          <w:rFonts w:cs="Arial"/>
          <w:bCs/>
          <w:szCs w:val="22"/>
          <w:lang w:val="en"/>
        </w:rPr>
        <w:t>2 – March 2013</w:t>
      </w:r>
      <w:r w:rsidR="001E0D1A">
        <w:rPr>
          <w:rFonts w:cs="Arial"/>
          <w:bCs/>
          <w:szCs w:val="22"/>
          <w:lang w:val="en"/>
        </w:rPr>
        <w:t>, referred to as 2012/13</w:t>
      </w:r>
      <w:r w:rsidR="0008146A">
        <w:rPr>
          <w:rFonts w:cs="Arial"/>
          <w:bCs/>
          <w:szCs w:val="22"/>
          <w:lang w:val="en"/>
        </w:rPr>
        <w:t xml:space="preserve"> throughout</w:t>
      </w:r>
    </w:p>
    <w:p w14:paraId="2F1C3459" w14:textId="77777777" w:rsidR="00436012" w:rsidRPr="001B0225" w:rsidRDefault="00436012" w:rsidP="00610F67">
      <w:pPr>
        <w:spacing w:before="0"/>
        <w:ind w:left="1440"/>
        <w:rPr>
          <w:rFonts w:cs="Arial"/>
          <w:b/>
          <w:bCs/>
          <w:szCs w:val="22"/>
          <w:lang w:val="en"/>
        </w:rPr>
      </w:pPr>
    </w:p>
    <w:p w14:paraId="2F1C345A" w14:textId="5C448C25" w:rsidR="00436012" w:rsidRPr="001B0225" w:rsidRDefault="00436012" w:rsidP="00610F67">
      <w:pPr>
        <w:spacing w:before="0"/>
        <w:ind w:left="1440"/>
        <w:rPr>
          <w:rFonts w:cs="Arial"/>
          <w:bCs/>
          <w:szCs w:val="22"/>
          <w:lang w:val="en"/>
        </w:rPr>
      </w:pPr>
      <w:r w:rsidRPr="001B0225">
        <w:rPr>
          <w:rFonts w:cs="Arial"/>
          <w:b/>
          <w:bCs/>
          <w:szCs w:val="22"/>
          <w:lang w:val="en"/>
        </w:rPr>
        <w:t xml:space="preserve">Geographic coverage: </w:t>
      </w:r>
      <w:r w:rsidR="008030B3">
        <w:rPr>
          <w:rFonts w:cs="Arial"/>
          <w:bCs/>
          <w:szCs w:val="22"/>
          <w:lang w:val="en"/>
        </w:rPr>
        <w:t>Sponsored M</w:t>
      </w:r>
      <w:r w:rsidRPr="001B0225">
        <w:rPr>
          <w:rFonts w:cs="Arial"/>
          <w:bCs/>
          <w:szCs w:val="22"/>
          <w:lang w:val="en"/>
        </w:rPr>
        <w:t>useums in England</w:t>
      </w:r>
    </w:p>
    <w:p w14:paraId="2F1C345B" w14:textId="77777777" w:rsidR="00436012" w:rsidRPr="001B0225" w:rsidRDefault="00436012" w:rsidP="00610F67">
      <w:pPr>
        <w:spacing w:before="0"/>
        <w:ind w:left="1440"/>
        <w:rPr>
          <w:rFonts w:cs="Arial"/>
          <w:bCs/>
          <w:szCs w:val="22"/>
          <w:lang w:val="en"/>
        </w:rPr>
      </w:pPr>
    </w:p>
    <w:p w14:paraId="2F1C345C" w14:textId="541559F6" w:rsidR="00436012" w:rsidRPr="001B0225" w:rsidRDefault="00436012" w:rsidP="00610F67">
      <w:pPr>
        <w:spacing w:before="0"/>
        <w:ind w:left="1440"/>
        <w:rPr>
          <w:rFonts w:cs="Arial"/>
          <w:b/>
          <w:bCs/>
          <w:szCs w:val="22"/>
          <w:lang w:val="en"/>
        </w:rPr>
      </w:pPr>
      <w:r w:rsidRPr="001B0225">
        <w:rPr>
          <w:rFonts w:cs="Arial"/>
          <w:b/>
          <w:bCs/>
          <w:szCs w:val="22"/>
          <w:lang w:val="en"/>
        </w:rPr>
        <w:t xml:space="preserve">Next release: </w:t>
      </w:r>
      <w:r w:rsidRPr="001B0225">
        <w:rPr>
          <w:rFonts w:cs="Arial"/>
          <w:bCs/>
          <w:szCs w:val="22"/>
          <w:lang w:val="en"/>
        </w:rPr>
        <w:t>October 201</w:t>
      </w:r>
      <w:r w:rsidR="0073064A" w:rsidRPr="001B0225">
        <w:rPr>
          <w:rFonts w:cs="Arial"/>
          <w:bCs/>
          <w:szCs w:val="22"/>
          <w:lang w:val="en"/>
        </w:rPr>
        <w:t>4</w:t>
      </w:r>
    </w:p>
    <w:p w14:paraId="2F1C345D" w14:textId="77777777" w:rsidR="00436012" w:rsidRPr="001B0225" w:rsidRDefault="00436012" w:rsidP="00610F67">
      <w:pPr>
        <w:spacing w:before="0"/>
        <w:ind w:left="1440"/>
        <w:rPr>
          <w:rFonts w:cs="Arial"/>
          <w:szCs w:val="22"/>
          <w:lang w:val="en"/>
        </w:rPr>
      </w:pPr>
    </w:p>
    <w:p w14:paraId="2F1C345E" w14:textId="77777777" w:rsidR="00436012" w:rsidRPr="001B0225" w:rsidRDefault="00436012" w:rsidP="00610F67">
      <w:pPr>
        <w:spacing w:before="0"/>
        <w:ind w:left="1440"/>
        <w:rPr>
          <w:rFonts w:cs="Arial"/>
          <w:b/>
          <w:bCs/>
          <w:szCs w:val="22"/>
          <w:lang w:val="en"/>
        </w:rPr>
      </w:pPr>
    </w:p>
    <w:p w14:paraId="0FCB6633" w14:textId="4CC14C12" w:rsidR="00107E87" w:rsidRPr="001B0225" w:rsidRDefault="001B0225" w:rsidP="00610F67">
      <w:pPr>
        <w:spacing w:before="0"/>
        <w:ind w:left="1440"/>
        <w:rPr>
          <w:rFonts w:cs="Arial"/>
          <w:bCs/>
          <w:szCs w:val="22"/>
          <w:lang w:val="en"/>
        </w:rPr>
      </w:pPr>
      <w:r w:rsidRPr="001B0225">
        <w:rPr>
          <w:rFonts w:cs="Arial"/>
          <w:bCs/>
          <w:szCs w:val="22"/>
          <w:lang w:val="en"/>
        </w:rPr>
        <w:t>The Department for Culture, Media and Sport (</w:t>
      </w:r>
      <w:r w:rsidR="00107E87" w:rsidRPr="001B0225">
        <w:rPr>
          <w:rFonts w:cs="Arial"/>
          <w:bCs/>
          <w:szCs w:val="22"/>
          <w:lang w:val="en"/>
        </w:rPr>
        <w:t>DCMS</w:t>
      </w:r>
      <w:r w:rsidRPr="001B0225">
        <w:rPr>
          <w:rFonts w:cs="Arial"/>
          <w:bCs/>
          <w:szCs w:val="22"/>
          <w:lang w:val="en"/>
        </w:rPr>
        <w:t>)</w:t>
      </w:r>
      <w:r w:rsidR="00107E87" w:rsidRPr="001B0225">
        <w:rPr>
          <w:rFonts w:cs="Arial"/>
          <w:bCs/>
          <w:szCs w:val="22"/>
          <w:lang w:val="en"/>
        </w:rPr>
        <w:t xml:space="preserve"> sponsor</w:t>
      </w:r>
      <w:r w:rsidR="008030B3">
        <w:rPr>
          <w:rFonts w:cs="Arial"/>
          <w:bCs/>
          <w:szCs w:val="22"/>
          <w:lang w:val="en"/>
        </w:rPr>
        <w:t>s</w:t>
      </w:r>
      <w:r w:rsidR="001D5B0C" w:rsidRPr="001B0225">
        <w:rPr>
          <w:rFonts w:cs="Arial"/>
          <w:bCs/>
          <w:szCs w:val="22"/>
          <w:lang w:val="en"/>
        </w:rPr>
        <w:t xml:space="preserve"> </w:t>
      </w:r>
      <w:r w:rsidR="00107E87" w:rsidRPr="001B0225">
        <w:rPr>
          <w:rFonts w:cs="Arial"/>
          <w:bCs/>
          <w:szCs w:val="22"/>
          <w:lang w:val="en"/>
        </w:rPr>
        <w:t xml:space="preserve">16 National Museums </w:t>
      </w:r>
      <w:r w:rsidR="001D5B0C" w:rsidRPr="001B0225">
        <w:rPr>
          <w:rFonts w:cs="Arial"/>
          <w:bCs/>
          <w:szCs w:val="22"/>
          <w:lang w:val="en"/>
        </w:rPr>
        <w:t>which</w:t>
      </w:r>
      <w:r w:rsidR="00107E87" w:rsidRPr="001B0225">
        <w:rPr>
          <w:rFonts w:cs="Arial"/>
          <w:bCs/>
          <w:szCs w:val="22"/>
          <w:lang w:val="en"/>
        </w:rPr>
        <w:t xml:space="preserve"> provide free entry to their permanent collections</w:t>
      </w:r>
      <w:r w:rsidR="00610F67">
        <w:rPr>
          <w:rFonts w:cs="Arial"/>
          <w:bCs/>
          <w:szCs w:val="22"/>
          <w:lang w:val="en"/>
        </w:rPr>
        <w:t>.</w:t>
      </w:r>
      <w:r w:rsidR="001D5B0C" w:rsidRPr="001B0225">
        <w:rPr>
          <w:rFonts w:cs="Arial"/>
          <w:bCs/>
          <w:szCs w:val="22"/>
          <w:lang w:val="en"/>
        </w:rPr>
        <w:t xml:space="preserve"> </w:t>
      </w:r>
      <w:r w:rsidR="00610F67">
        <w:rPr>
          <w:rFonts w:cs="Arial"/>
          <w:bCs/>
          <w:szCs w:val="22"/>
          <w:lang w:val="en"/>
        </w:rPr>
        <w:t>T</w:t>
      </w:r>
      <w:r w:rsidR="001D5B0C" w:rsidRPr="001B0225">
        <w:rPr>
          <w:rFonts w:cs="Arial"/>
          <w:bCs/>
          <w:szCs w:val="22"/>
          <w:lang w:val="en"/>
        </w:rPr>
        <w:t>hese museums are</w:t>
      </w:r>
      <w:r w:rsidR="00107E87" w:rsidRPr="001B0225">
        <w:rPr>
          <w:rFonts w:cs="Arial"/>
          <w:bCs/>
          <w:szCs w:val="22"/>
          <w:lang w:val="en"/>
        </w:rPr>
        <w:t>:</w:t>
      </w:r>
    </w:p>
    <w:p w14:paraId="244DC5D6" w14:textId="7A219D8A"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British Museum</w:t>
      </w:r>
    </w:p>
    <w:p w14:paraId="76A5A6C6" w14:textId="1AAC93A3"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Geffrye Museum</w:t>
      </w:r>
    </w:p>
    <w:p w14:paraId="4BFBEC7F" w14:textId="058F1341"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Horniman Museum</w:t>
      </w:r>
    </w:p>
    <w:p w14:paraId="69A8A356" w14:textId="745CC4E0"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Imperial War Museum</w:t>
      </w:r>
    </w:p>
    <w:p w14:paraId="5CE26580" w14:textId="78BC0057"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National gallery</w:t>
      </w:r>
    </w:p>
    <w:p w14:paraId="25F9BC5D" w14:textId="08266988"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National Maritime Museum</w:t>
      </w:r>
    </w:p>
    <w:p w14:paraId="44AB40B3" w14:textId="6C246F77"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National Museums Liverpool</w:t>
      </w:r>
    </w:p>
    <w:p w14:paraId="76A67D5E" w14:textId="4CD50CDC"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Science Museum Group</w:t>
      </w:r>
    </w:p>
    <w:p w14:paraId="245B2BAA" w14:textId="15FDDD0B"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National Portrait Gallery</w:t>
      </w:r>
    </w:p>
    <w:p w14:paraId="58A6E722" w14:textId="26769191"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Natural History Museum</w:t>
      </w:r>
    </w:p>
    <w:p w14:paraId="4715B2BB" w14:textId="31FC8215"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Royal Armories</w:t>
      </w:r>
    </w:p>
    <w:p w14:paraId="3F1723F7" w14:textId="32DDCFA4"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Sir John Soane’s Museum</w:t>
      </w:r>
    </w:p>
    <w:p w14:paraId="30FB46F4" w14:textId="0273879F"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Tate Galleries</w:t>
      </w:r>
    </w:p>
    <w:p w14:paraId="2526855A" w14:textId="51D69614"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Tyne and Wear Museums</w:t>
      </w:r>
    </w:p>
    <w:p w14:paraId="30485994" w14:textId="7A0B0BEA"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Victoria and Albert Museum</w:t>
      </w:r>
    </w:p>
    <w:p w14:paraId="14D50CEB" w14:textId="4C5D3F0E" w:rsidR="00107E87" w:rsidRPr="001B0225" w:rsidRDefault="00107E87" w:rsidP="001E4B95">
      <w:pPr>
        <w:pStyle w:val="ListParagraph"/>
        <w:numPr>
          <w:ilvl w:val="0"/>
          <w:numId w:val="17"/>
        </w:numPr>
        <w:spacing w:after="0" w:line="240" w:lineRule="auto"/>
        <w:ind w:left="2160"/>
        <w:rPr>
          <w:rFonts w:ascii="Arial" w:hAnsi="Arial" w:cs="Arial"/>
          <w:bCs/>
          <w:lang w:val="en"/>
        </w:rPr>
      </w:pPr>
      <w:r w:rsidRPr="001B0225">
        <w:rPr>
          <w:rFonts w:ascii="Arial" w:hAnsi="Arial" w:cs="Arial"/>
          <w:bCs/>
          <w:lang w:val="en"/>
        </w:rPr>
        <w:t>Wallace Collection</w:t>
      </w:r>
    </w:p>
    <w:p w14:paraId="4BFB7465" w14:textId="77777777" w:rsidR="00610F67" w:rsidRDefault="00610F67" w:rsidP="00610F67">
      <w:pPr>
        <w:spacing w:before="0"/>
        <w:ind w:left="1440"/>
        <w:rPr>
          <w:rFonts w:cs="Arial"/>
          <w:szCs w:val="22"/>
          <w:lang w:val="en"/>
        </w:rPr>
      </w:pPr>
    </w:p>
    <w:p w14:paraId="2F1C345F" w14:textId="38E20B34" w:rsidR="00436012" w:rsidRPr="001B0225" w:rsidRDefault="00436012" w:rsidP="00610F67">
      <w:pPr>
        <w:spacing w:before="0"/>
        <w:ind w:left="1440"/>
        <w:rPr>
          <w:rFonts w:cs="Arial"/>
          <w:szCs w:val="22"/>
          <w:lang w:val="en"/>
        </w:rPr>
      </w:pPr>
      <w:r w:rsidRPr="001B0225">
        <w:rPr>
          <w:rFonts w:cs="Arial"/>
          <w:szCs w:val="22"/>
          <w:lang w:val="en"/>
        </w:rPr>
        <w:t xml:space="preserve">The data </w:t>
      </w:r>
      <w:r w:rsidR="00610F67">
        <w:rPr>
          <w:rFonts w:cs="Arial"/>
          <w:szCs w:val="22"/>
          <w:lang w:val="en"/>
        </w:rPr>
        <w:t>are</w:t>
      </w:r>
      <w:r w:rsidRPr="001B0225">
        <w:rPr>
          <w:rFonts w:cs="Arial"/>
          <w:szCs w:val="22"/>
          <w:lang w:val="en"/>
        </w:rPr>
        <w:t xml:space="preserve"> collected by the museums through sample surveys, with the exception of the information on educational visits and total visits, which are based on actual counts. </w:t>
      </w:r>
    </w:p>
    <w:p w14:paraId="2F1C3460" w14:textId="77777777" w:rsidR="00436012" w:rsidRPr="001B0225" w:rsidRDefault="00436012" w:rsidP="00911C8D">
      <w:pPr>
        <w:spacing w:before="0"/>
        <w:ind w:left="1440"/>
        <w:rPr>
          <w:rFonts w:cs="Arial"/>
          <w:szCs w:val="22"/>
          <w:lang w:val="en"/>
        </w:rPr>
      </w:pPr>
    </w:p>
    <w:p w14:paraId="2F1C3461" w14:textId="77777777" w:rsidR="00436012" w:rsidRPr="001B0225" w:rsidRDefault="00436012" w:rsidP="00911C8D">
      <w:pPr>
        <w:spacing w:before="0"/>
        <w:ind w:left="1440"/>
        <w:rPr>
          <w:rFonts w:cs="Arial"/>
          <w:szCs w:val="22"/>
          <w:lang w:val="en"/>
        </w:rPr>
      </w:pPr>
      <w:r w:rsidRPr="001B0225">
        <w:rPr>
          <w:rFonts w:cs="Arial"/>
          <w:szCs w:val="22"/>
          <w:lang w:val="en"/>
        </w:rPr>
        <w:t xml:space="preserve">Guidance notes explaining how the data should be collected are available below. </w:t>
      </w:r>
    </w:p>
    <w:p w14:paraId="60F2D597" w14:textId="77777777" w:rsidR="008030B3" w:rsidRDefault="00936B04" w:rsidP="008030B3">
      <w:pPr>
        <w:ind w:left="1440"/>
      </w:pPr>
      <w:hyperlink r:id="rId14" w:history="1">
        <w:r w:rsidR="008030B3">
          <w:rPr>
            <w:rStyle w:val="Hyperlink"/>
          </w:rPr>
          <w:t>https://www.gov.uk/government/publications/sponsored-museums-performance-indicators-2012-13</w:t>
        </w:r>
      </w:hyperlink>
    </w:p>
    <w:p w14:paraId="2F1C3463" w14:textId="77777777" w:rsidR="00436012" w:rsidRPr="001B0225" w:rsidRDefault="00436012" w:rsidP="00911C8D">
      <w:pPr>
        <w:spacing w:before="0"/>
        <w:ind w:left="1440"/>
        <w:rPr>
          <w:rFonts w:cs="Arial"/>
          <w:b/>
          <w:bCs/>
          <w:szCs w:val="22"/>
          <w:lang w:val="en"/>
        </w:rPr>
      </w:pPr>
    </w:p>
    <w:p w14:paraId="2F1C3464" w14:textId="2F181A4A" w:rsidR="00436012" w:rsidRPr="001B0225" w:rsidRDefault="00436012" w:rsidP="00911C8D">
      <w:pPr>
        <w:spacing w:before="0"/>
        <w:ind w:left="1440"/>
        <w:rPr>
          <w:rFonts w:cs="Arial"/>
          <w:b/>
          <w:bCs/>
          <w:szCs w:val="22"/>
          <w:lang w:val="en"/>
        </w:rPr>
      </w:pPr>
      <w:r w:rsidRPr="001B0225">
        <w:rPr>
          <w:rFonts w:cs="Arial"/>
          <w:b/>
          <w:bCs/>
          <w:szCs w:val="22"/>
          <w:lang w:val="en"/>
        </w:rPr>
        <w:t>The most recent performance indicator data available is for 201</w:t>
      </w:r>
      <w:r w:rsidR="0073064A" w:rsidRPr="001B0225">
        <w:rPr>
          <w:rFonts w:cs="Arial"/>
          <w:b/>
          <w:bCs/>
          <w:szCs w:val="22"/>
          <w:lang w:val="en"/>
        </w:rPr>
        <w:t>2</w:t>
      </w:r>
      <w:r w:rsidRPr="001B0225">
        <w:rPr>
          <w:rFonts w:cs="Arial"/>
          <w:b/>
          <w:bCs/>
          <w:szCs w:val="22"/>
          <w:lang w:val="en"/>
        </w:rPr>
        <w:t>/1</w:t>
      </w:r>
      <w:r w:rsidR="0073064A" w:rsidRPr="001B0225">
        <w:rPr>
          <w:rFonts w:cs="Arial"/>
          <w:b/>
          <w:bCs/>
          <w:szCs w:val="22"/>
          <w:lang w:val="en"/>
        </w:rPr>
        <w:t>3</w:t>
      </w:r>
    </w:p>
    <w:p w14:paraId="2F1C3465" w14:textId="3F20653D" w:rsidR="00436012" w:rsidRPr="001B0225" w:rsidRDefault="00936B04" w:rsidP="00911C8D">
      <w:pPr>
        <w:spacing w:before="0"/>
        <w:ind w:left="1440"/>
        <w:rPr>
          <w:rFonts w:cs="Arial"/>
          <w:bCs/>
          <w:color w:val="244061"/>
          <w:szCs w:val="22"/>
          <w:lang w:val="en"/>
        </w:rPr>
      </w:pPr>
      <w:hyperlink r:id="rId15" w:history="1">
        <w:r w:rsidR="00957DB6" w:rsidRPr="001B0225">
          <w:rPr>
            <w:rStyle w:val="Hyperlink"/>
            <w:rFonts w:cs="Arial"/>
            <w:bCs/>
            <w:szCs w:val="22"/>
            <w:lang w:val="en"/>
          </w:rPr>
          <w:t>https://www.gov.uk/government/collections/performance-indicators</w:t>
        </w:r>
      </w:hyperlink>
      <w:r w:rsidR="00957DB6" w:rsidRPr="001B0225">
        <w:rPr>
          <w:rFonts w:cs="Arial"/>
          <w:bCs/>
          <w:color w:val="244061"/>
          <w:szCs w:val="22"/>
          <w:lang w:val="en"/>
        </w:rPr>
        <w:t xml:space="preserve"> </w:t>
      </w:r>
    </w:p>
    <w:p w14:paraId="2F1C3466" w14:textId="77777777" w:rsidR="0023155C" w:rsidRPr="001B0225" w:rsidRDefault="0023155C" w:rsidP="00300A34">
      <w:pPr>
        <w:spacing w:before="0"/>
        <w:rPr>
          <w:rFonts w:cs="Arial"/>
        </w:rPr>
      </w:pPr>
    </w:p>
    <w:p w14:paraId="2F1C3467" w14:textId="77777777" w:rsidR="002803C8" w:rsidRPr="001B0225" w:rsidRDefault="002803C8" w:rsidP="00300A34">
      <w:pPr>
        <w:spacing w:before="0"/>
        <w:rPr>
          <w:rFonts w:cs="Arial"/>
        </w:rPr>
      </w:pPr>
    </w:p>
    <w:p w14:paraId="2F1C3468" w14:textId="0FE54EA0" w:rsidR="00436012" w:rsidRPr="001B0225" w:rsidRDefault="00AE3339" w:rsidP="00300A34">
      <w:pPr>
        <w:pStyle w:val="Heading1Numbered"/>
        <w:spacing w:before="0" w:after="0"/>
        <w:rPr>
          <w:rFonts w:cs="Arial"/>
        </w:rPr>
      </w:pPr>
      <w:bookmarkStart w:id="1" w:name="_Toc372032798"/>
      <w:r>
        <w:rPr>
          <w:rFonts w:cs="Arial"/>
        </w:rPr>
        <w:lastRenderedPageBreak/>
        <w:t>Visits to DCMS’ S</w:t>
      </w:r>
      <w:r w:rsidR="009E30C6" w:rsidRPr="001B0225">
        <w:rPr>
          <w:rFonts w:cs="Arial"/>
        </w:rPr>
        <w:t>ponsored Museums 2012/13</w:t>
      </w:r>
      <w:bookmarkEnd w:id="1"/>
    </w:p>
    <w:p w14:paraId="08AD22B5" w14:textId="77777777" w:rsidR="00610F67" w:rsidRDefault="00610F67" w:rsidP="001E4B95">
      <w:pPr>
        <w:pStyle w:val="Heading2"/>
        <w:spacing w:before="0" w:after="0"/>
        <w:ind w:left="1211"/>
        <w:rPr>
          <w:sz w:val="22"/>
          <w:szCs w:val="22"/>
        </w:rPr>
      </w:pPr>
    </w:p>
    <w:p w14:paraId="6C735592" w14:textId="5AB8DECE" w:rsidR="009E30C6" w:rsidRDefault="009E30C6" w:rsidP="001E4B95">
      <w:pPr>
        <w:pStyle w:val="Heading2"/>
        <w:spacing w:before="0" w:after="0"/>
        <w:ind w:left="1211"/>
        <w:rPr>
          <w:sz w:val="22"/>
          <w:szCs w:val="22"/>
        </w:rPr>
      </w:pPr>
      <w:bookmarkStart w:id="2" w:name="_Toc372032799"/>
      <w:r w:rsidRPr="00B47BEA">
        <w:rPr>
          <w:sz w:val="22"/>
          <w:szCs w:val="22"/>
        </w:rPr>
        <w:t>Key findings:</w:t>
      </w:r>
      <w:bookmarkEnd w:id="2"/>
    </w:p>
    <w:p w14:paraId="0E731C09" w14:textId="6A6A32B5" w:rsidR="00856A96" w:rsidRDefault="00AE3339" w:rsidP="00AE3339">
      <w:pPr>
        <w:ind w:left="1211"/>
        <w:rPr>
          <w:rFonts w:cs="Arial"/>
          <w:lang w:val="en"/>
        </w:rPr>
      </w:pPr>
      <w:r>
        <w:rPr>
          <w:rFonts w:cs="Arial"/>
          <w:lang w:val="en"/>
        </w:rPr>
        <w:t>The figure for t</w:t>
      </w:r>
      <w:r w:rsidRPr="00AE3339">
        <w:rPr>
          <w:rFonts w:cs="Arial"/>
          <w:lang w:val="en"/>
        </w:rPr>
        <w:t>otal visits</w:t>
      </w:r>
      <w:r>
        <w:rPr>
          <w:rFonts w:cs="Arial"/>
          <w:lang w:val="en"/>
        </w:rPr>
        <w:t xml:space="preserve"> to</w:t>
      </w:r>
      <w:r w:rsidRPr="00AE3339">
        <w:rPr>
          <w:rFonts w:cs="Arial"/>
          <w:lang w:val="en"/>
        </w:rPr>
        <w:t xml:space="preserve"> Sponsored Museums </w:t>
      </w:r>
      <w:r>
        <w:rPr>
          <w:rFonts w:cs="Arial"/>
          <w:lang w:val="en"/>
        </w:rPr>
        <w:t xml:space="preserve">is one of DCMS’ </w:t>
      </w:r>
      <w:r w:rsidRPr="00AE3339">
        <w:rPr>
          <w:rFonts w:cs="Arial"/>
          <w:lang w:val="en"/>
        </w:rPr>
        <w:t>Performance Indicators.</w:t>
      </w:r>
      <w:r>
        <w:rPr>
          <w:rFonts w:cs="Arial"/>
          <w:lang w:val="en"/>
        </w:rPr>
        <w:t xml:space="preserve"> Visits and other information produced in this report at the individual museums level are also used as Performance Indicators by the museums themselves.</w:t>
      </w:r>
    </w:p>
    <w:p w14:paraId="77071E46" w14:textId="77777777" w:rsidR="00AE3339" w:rsidRPr="00AE3339" w:rsidRDefault="00AE3339" w:rsidP="00AE3339">
      <w:pPr>
        <w:pStyle w:val="ListParagraph"/>
        <w:spacing w:after="0" w:line="240" w:lineRule="auto"/>
        <w:ind w:left="1571"/>
        <w:rPr>
          <w:rFonts w:ascii="Arial" w:hAnsi="Arial" w:cs="Arial"/>
          <w:lang w:val="en"/>
        </w:rPr>
      </w:pPr>
    </w:p>
    <w:p w14:paraId="52B63423" w14:textId="131F7597" w:rsidR="00610F67" w:rsidRDefault="00F72A94" w:rsidP="00AE3339">
      <w:pPr>
        <w:pStyle w:val="ListParagraph"/>
        <w:numPr>
          <w:ilvl w:val="0"/>
          <w:numId w:val="18"/>
        </w:numPr>
        <w:spacing w:after="0" w:line="240" w:lineRule="auto"/>
        <w:rPr>
          <w:rFonts w:ascii="Arial" w:hAnsi="Arial" w:cs="Arial"/>
          <w:lang w:val="en"/>
        </w:rPr>
      </w:pPr>
      <w:r w:rsidRPr="00AE3339">
        <w:rPr>
          <w:rFonts w:ascii="Arial" w:hAnsi="Arial" w:cs="Arial"/>
          <w:lang w:val="en"/>
        </w:rPr>
        <w:t>There were 47 million</w:t>
      </w:r>
      <w:r w:rsidR="00AE3339" w:rsidRPr="00AE3339">
        <w:rPr>
          <w:rFonts w:ascii="Arial" w:hAnsi="Arial" w:cs="Arial"/>
          <w:lang w:val="en"/>
        </w:rPr>
        <w:t xml:space="preserve"> visits to the Department’s 16 s</w:t>
      </w:r>
      <w:r w:rsidRPr="00AE3339">
        <w:rPr>
          <w:rFonts w:ascii="Arial" w:hAnsi="Arial" w:cs="Arial"/>
          <w:lang w:val="en"/>
        </w:rPr>
        <w:t xml:space="preserve">ponsored </w:t>
      </w:r>
      <w:r w:rsidR="00AE3339" w:rsidRPr="00AE3339">
        <w:rPr>
          <w:rFonts w:ascii="Arial" w:hAnsi="Arial" w:cs="Arial"/>
          <w:lang w:val="en"/>
        </w:rPr>
        <w:t>m</w:t>
      </w:r>
      <w:r w:rsidRPr="00AE3339">
        <w:rPr>
          <w:rFonts w:ascii="Arial" w:hAnsi="Arial" w:cs="Arial"/>
          <w:lang w:val="en"/>
        </w:rPr>
        <w:t>useums in 2012/13. This was an increase of 2 per cent from 2011/12 (46 million)</w:t>
      </w:r>
      <w:r w:rsidRPr="00AE3339">
        <w:rPr>
          <w:vertAlign w:val="superscript"/>
        </w:rPr>
        <w:footnoteReference w:id="1"/>
      </w:r>
      <w:r w:rsidR="00741C0D" w:rsidRPr="00936B04">
        <w:rPr>
          <w:rFonts w:ascii="Arial" w:hAnsi="Arial" w:cs="Arial"/>
          <w:vertAlign w:val="superscript"/>
          <w:lang w:val="en"/>
        </w:rPr>
        <w:t>,</w:t>
      </w:r>
      <w:r w:rsidR="001D4857">
        <w:rPr>
          <w:rStyle w:val="FootnoteReference"/>
          <w:rFonts w:ascii="Arial" w:hAnsi="Arial" w:cs="Arial"/>
          <w:lang w:val="en"/>
        </w:rPr>
        <w:footnoteReference w:id="2"/>
      </w:r>
      <w:r w:rsidR="00AE3339">
        <w:rPr>
          <w:rFonts w:ascii="Arial" w:hAnsi="Arial" w:cs="Arial"/>
          <w:lang w:val="en"/>
        </w:rPr>
        <w:t>.</w:t>
      </w:r>
    </w:p>
    <w:p w14:paraId="0B8FBCA9" w14:textId="77777777" w:rsidR="00AE3339" w:rsidRPr="00AE3339" w:rsidRDefault="00AE3339" w:rsidP="00AE3339">
      <w:pPr>
        <w:pStyle w:val="ListParagraph"/>
        <w:spacing w:after="0" w:line="240" w:lineRule="auto"/>
        <w:ind w:left="1571"/>
        <w:rPr>
          <w:rFonts w:ascii="Arial" w:hAnsi="Arial" w:cs="Arial"/>
          <w:lang w:val="en"/>
        </w:rPr>
      </w:pPr>
    </w:p>
    <w:p w14:paraId="70B07933" w14:textId="1634F89C" w:rsidR="00107E87" w:rsidRDefault="001C288D" w:rsidP="001E4B95">
      <w:pPr>
        <w:pStyle w:val="ListParagraph"/>
        <w:numPr>
          <w:ilvl w:val="0"/>
          <w:numId w:val="18"/>
        </w:numPr>
        <w:spacing w:after="0" w:line="240" w:lineRule="auto"/>
        <w:rPr>
          <w:rFonts w:ascii="Arial" w:hAnsi="Arial" w:cs="Arial"/>
          <w:lang w:val="en"/>
        </w:rPr>
      </w:pPr>
      <w:r w:rsidRPr="001B0225">
        <w:rPr>
          <w:rFonts w:ascii="Arial" w:hAnsi="Arial" w:cs="Arial"/>
          <w:lang w:val="en"/>
        </w:rPr>
        <w:t>There were 9</w:t>
      </w:r>
      <w:r w:rsidR="00107E87" w:rsidRPr="001B0225">
        <w:rPr>
          <w:rFonts w:ascii="Arial" w:hAnsi="Arial" w:cs="Arial"/>
          <w:lang w:val="en"/>
        </w:rPr>
        <w:t xml:space="preserve"> million visits </w:t>
      </w:r>
      <w:r w:rsidR="00834A56" w:rsidRPr="001B0225">
        <w:rPr>
          <w:rFonts w:ascii="Arial" w:hAnsi="Arial" w:cs="Arial"/>
          <w:lang w:val="en"/>
        </w:rPr>
        <w:t xml:space="preserve">to the sponsored museums </w:t>
      </w:r>
      <w:r w:rsidR="00107E87" w:rsidRPr="001B0225">
        <w:rPr>
          <w:rFonts w:ascii="Arial" w:hAnsi="Arial" w:cs="Arial"/>
          <w:lang w:val="en"/>
        </w:rPr>
        <w:t xml:space="preserve">by children </w:t>
      </w:r>
      <w:r w:rsidR="00834A56" w:rsidRPr="001B0225">
        <w:rPr>
          <w:rFonts w:ascii="Arial" w:hAnsi="Arial" w:cs="Arial"/>
          <w:lang w:val="en"/>
        </w:rPr>
        <w:t xml:space="preserve">aged </w:t>
      </w:r>
      <w:r w:rsidR="00107E87" w:rsidRPr="001B0225">
        <w:rPr>
          <w:rFonts w:ascii="Arial" w:hAnsi="Arial" w:cs="Arial"/>
          <w:lang w:val="en"/>
        </w:rPr>
        <w:t>1</w:t>
      </w:r>
      <w:r w:rsidR="00875240">
        <w:rPr>
          <w:rFonts w:ascii="Arial" w:hAnsi="Arial" w:cs="Arial"/>
          <w:lang w:val="en"/>
        </w:rPr>
        <w:t>5</w:t>
      </w:r>
      <w:r w:rsidR="00503D63">
        <w:rPr>
          <w:rFonts w:ascii="Arial" w:hAnsi="Arial" w:cs="Arial"/>
          <w:lang w:val="en"/>
        </w:rPr>
        <w:t xml:space="preserve"> and under</w:t>
      </w:r>
      <w:r w:rsidR="00834A56" w:rsidRPr="001B0225">
        <w:rPr>
          <w:rFonts w:ascii="Arial" w:hAnsi="Arial" w:cs="Arial"/>
          <w:lang w:val="en"/>
        </w:rPr>
        <w:t xml:space="preserve"> </w:t>
      </w:r>
      <w:r w:rsidR="00107E87" w:rsidRPr="001B0225">
        <w:rPr>
          <w:rFonts w:ascii="Arial" w:hAnsi="Arial" w:cs="Arial"/>
          <w:lang w:val="en"/>
        </w:rPr>
        <w:t xml:space="preserve">in 2012/13, </w:t>
      </w:r>
      <w:r w:rsidR="00A84496">
        <w:rPr>
          <w:rFonts w:ascii="Arial" w:hAnsi="Arial" w:cs="Arial"/>
          <w:lang w:val="en"/>
        </w:rPr>
        <w:t>a decrease of 3</w:t>
      </w:r>
      <w:r w:rsidR="00863CB6">
        <w:rPr>
          <w:rFonts w:ascii="Arial" w:hAnsi="Arial" w:cs="Arial"/>
          <w:lang w:val="en"/>
        </w:rPr>
        <w:t xml:space="preserve"> per cent since 2011/12</w:t>
      </w:r>
      <w:r w:rsidR="00863CB6">
        <w:rPr>
          <w:rFonts w:ascii="Arial" w:hAnsi="Arial" w:cs="Arial"/>
          <w:vertAlign w:val="superscript"/>
          <w:lang w:val="en"/>
        </w:rPr>
        <w:t>1</w:t>
      </w:r>
      <w:r w:rsidR="00741C0D" w:rsidRPr="0048082B">
        <w:rPr>
          <w:rFonts w:ascii="Arial" w:hAnsi="Arial" w:cs="Arial"/>
          <w:vertAlign w:val="superscript"/>
          <w:lang w:val="en"/>
        </w:rPr>
        <w:t>,</w:t>
      </w:r>
      <w:r w:rsidR="00A84496">
        <w:rPr>
          <w:rStyle w:val="FootnoteReference"/>
          <w:rFonts w:ascii="Arial" w:hAnsi="Arial" w:cs="Arial"/>
          <w:lang w:val="en"/>
        </w:rPr>
        <w:footnoteReference w:id="3"/>
      </w:r>
      <w:r w:rsidR="00AE3339">
        <w:rPr>
          <w:rFonts w:ascii="Arial" w:hAnsi="Arial" w:cs="Arial"/>
          <w:lang w:val="en"/>
        </w:rPr>
        <w:t>.</w:t>
      </w:r>
    </w:p>
    <w:p w14:paraId="32FAFB6E" w14:textId="77777777" w:rsidR="00610F67" w:rsidRPr="001B0225" w:rsidRDefault="00610F67" w:rsidP="00610F67">
      <w:pPr>
        <w:pStyle w:val="ListParagraph"/>
        <w:spacing w:after="0" w:line="240" w:lineRule="auto"/>
        <w:ind w:left="1571"/>
        <w:rPr>
          <w:rFonts w:ascii="Arial" w:hAnsi="Arial" w:cs="Arial"/>
          <w:lang w:val="en"/>
        </w:rPr>
      </w:pPr>
    </w:p>
    <w:p w14:paraId="28F0003D" w14:textId="7DF09292" w:rsidR="00107E87" w:rsidRDefault="00863CB6" w:rsidP="001E4B95">
      <w:pPr>
        <w:pStyle w:val="ListParagraph"/>
        <w:numPr>
          <w:ilvl w:val="0"/>
          <w:numId w:val="18"/>
        </w:numPr>
        <w:spacing w:after="0" w:line="240" w:lineRule="auto"/>
        <w:rPr>
          <w:rFonts w:ascii="Arial" w:hAnsi="Arial" w:cs="Arial"/>
          <w:lang w:val="en"/>
        </w:rPr>
      </w:pPr>
      <w:r>
        <w:rPr>
          <w:rFonts w:ascii="Arial" w:hAnsi="Arial" w:cs="Arial"/>
          <w:lang w:val="en"/>
        </w:rPr>
        <w:t xml:space="preserve">44 per cent of all visits were made by overseas visitors. </w:t>
      </w:r>
      <w:r w:rsidR="00107E87" w:rsidRPr="001B0225">
        <w:rPr>
          <w:rFonts w:ascii="Arial" w:hAnsi="Arial" w:cs="Arial"/>
          <w:lang w:val="en"/>
        </w:rPr>
        <w:t xml:space="preserve">There were </w:t>
      </w:r>
      <w:r w:rsidR="001C288D" w:rsidRPr="001B0225">
        <w:rPr>
          <w:rFonts w:ascii="Arial" w:hAnsi="Arial" w:cs="Arial"/>
          <w:lang w:val="en"/>
        </w:rPr>
        <w:t>21</w:t>
      </w:r>
      <w:r w:rsidR="00107E87" w:rsidRPr="001B0225">
        <w:rPr>
          <w:rFonts w:ascii="Arial" w:hAnsi="Arial" w:cs="Arial"/>
          <w:lang w:val="en"/>
        </w:rPr>
        <w:t xml:space="preserve"> million visits</w:t>
      </w:r>
      <w:r w:rsidR="009E30C6" w:rsidRPr="001B0225">
        <w:rPr>
          <w:rFonts w:ascii="Arial" w:hAnsi="Arial" w:cs="Arial"/>
          <w:lang w:val="en"/>
        </w:rPr>
        <w:t xml:space="preserve"> from overseas visitors</w:t>
      </w:r>
      <w:r>
        <w:rPr>
          <w:rFonts w:ascii="Arial" w:hAnsi="Arial" w:cs="Arial"/>
          <w:lang w:val="en"/>
        </w:rPr>
        <w:t xml:space="preserve"> in 2012/13</w:t>
      </w:r>
      <w:r w:rsidR="00107E87" w:rsidRPr="001B0225">
        <w:rPr>
          <w:rFonts w:ascii="Arial" w:hAnsi="Arial" w:cs="Arial"/>
          <w:lang w:val="en"/>
        </w:rPr>
        <w:t>.</w:t>
      </w:r>
      <w:r>
        <w:rPr>
          <w:rFonts w:ascii="Arial" w:hAnsi="Arial" w:cs="Arial"/>
          <w:lang w:val="en"/>
        </w:rPr>
        <w:t xml:space="preserve"> This was an increase of 4 per cent since 2011/12</w:t>
      </w:r>
      <w:r>
        <w:rPr>
          <w:rFonts w:ascii="Arial" w:hAnsi="Arial" w:cs="Arial"/>
          <w:vertAlign w:val="superscript"/>
          <w:lang w:val="en"/>
        </w:rPr>
        <w:t>1</w:t>
      </w:r>
      <w:r>
        <w:rPr>
          <w:rFonts w:ascii="Arial" w:hAnsi="Arial" w:cs="Arial"/>
          <w:lang w:val="en"/>
        </w:rPr>
        <w:t xml:space="preserve"> (20 million overseas visits)</w:t>
      </w:r>
      <w:r w:rsidR="00AE3339">
        <w:rPr>
          <w:rFonts w:ascii="Arial" w:hAnsi="Arial" w:cs="Arial"/>
          <w:lang w:val="en"/>
        </w:rPr>
        <w:t>.</w:t>
      </w:r>
    </w:p>
    <w:p w14:paraId="618C8732" w14:textId="77777777" w:rsidR="00610F67" w:rsidRPr="001B0225" w:rsidRDefault="00610F67" w:rsidP="00610F67">
      <w:pPr>
        <w:pStyle w:val="ListParagraph"/>
        <w:spacing w:after="0" w:line="240" w:lineRule="auto"/>
        <w:ind w:left="1571"/>
        <w:rPr>
          <w:rFonts w:ascii="Arial" w:hAnsi="Arial" w:cs="Arial"/>
          <w:lang w:val="en"/>
        </w:rPr>
      </w:pPr>
    </w:p>
    <w:p w14:paraId="4EF4D4DB" w14:textId="3BEC26B2" w:rsidR="001C288D" w:rsidRPr="006E0153" w:rsidRDefault="00834A56" w:rsidP="001E4B95">
      <w:pPr>
        <w:pStyle w:val="ListParagraph"/>
        <w:numPr>
          <w:ilvl w:val="0"/>
          <w:numId w:val="18"/>
        </w:numPr>
        <w:spacing w:after="0" w:line="240" w:lineRule="auto"/>
        <w:rPr>
          <w:rFonts w:ascii="Arial" w:hAnsi="Arial" w:cs="Arial"/>
          <w:lang w:val="en"/>
        </w:rPr>
      </w:pPr>
      <w:r w:rsidRPr="006E0153">
        <w:rPr>
          <w:rFonts w:ascii="Arial" w:hAnsi="Arial" w:cs="Arial"/>
          <w:lang w:val="en"/>
        </w:rPr>
        <w:t>There were 109</w:t>
      </w:r>
      <w:r w:rsidR="001C288D" w:rsidRPr="006E0153">
        <w:rPr>
          <w:rFonts w:ascii="Arial" w:hAnsi="Arial" w:cs="Arial"/>
          <w:lang w:val="en"/>
        </w:rPr>
        <w:t xml:space="preserve"> million unique visits to the </w:t>
      </w:r>
      <w:r w:rsidRPr="006E0153">
        <w:rPr>
          <w:rFonts w:ascii="Arial" w:hAnsi="Arial" w:cs="Arial"/>
          <w:lang w:val="en"/>
        </w:rPr>
        <w:t xml:space="preserve">websites of </w:t>
      </w:r>
      <w:r w:rsidR="001C288D" w:rsidRPr="006E0153">
        <w:rPr>
          <w:rFonts w:ascii="Arial" w:hAnsi="Arial" w:cs="Arial"/>
          <w:lang w:val="en"/>
        </w:rPr>
        <w:t>sponsored museums in 2012/13</w:t>
      </w:r>
      <w:r w:rsidRPr="006E0153">
        <w:rPr>
          <w:rFonts w:ascii="Arial" w:hAnsi="Arial" w:cs="Arial"/>
          <w:lang w:val="en"/>
        </w:rPr>
        <w:t>.</w:t>
      </w:r>
    </w:p>
    <w:p w14:paraId="09F46756" w14:textId="77777777" w:rsidR="00610F67" w:rsidRPr="006E0153" w:rsidRDefault="00610F67" w:rsidP="006E0153">
      <w:pPr>
        <w:ind w:left="0"/>
        <w:rPr>
          <w:rFonts w:cs="Arial"/>
          <w:lang w:val="en"/>
        </w:rPr>
      </w:pPr>
    </w:p>
    <w:p w14:paraId="002D0219" w14:textId="77777777" w:rsidR="00610F67" w:rsidRPr="001B0225" w:rsidRDefault="00610F67" w:rsidP="00610F67">
      <w:pPr>
        <w:pStyle w:val="ListParagraph"/>
        <w:spacing w:after="0" w:line="240" w:lineRule="auto"/>
        <w:ind w:left="1571"/>
        <w:rPr>
          <w:rFonts w:ascii="Arial" w:hAnsi="Arial" w:cs="Arial"/>
          <w:lang w:val="en"/>
        </w:rPr>
      </w:pPr>
    </w:p>
    <w:p w14:paraId="181C607F" w14:textId="77777777" w:rsidR="00AB6911" w:rsidRDefault="00AB6911" w:rsidP="00AB6911">
      <w:pPr>
        <w:pStyle w:val="Heading2"/>
        <w:spacing w:before="0" w:after="0"/>
        <w:ind w:left="0"/>
        <w:rPr>
          <w:sz w:val="22"/>
          <w:szCs w:val="22"/>
          <w:lang w:val="en"/>
        </w:rPr>
      </w:pPr>
    </w:p>
    <w:p w14:paraId="0901609F" w14:textId="77777777" w:rsidR="00AB6911" w:rsidRDefault="00AB6911">
      <w:pPr>
        <w:spacing w:before="0"/>
        <w:ind w:left="0"/>
        <w:rPr>
          <w:rFonts w:cs="Arial"/>
          <w:b/>
          <w:bCs/>
          <w:iCs/>
          <w:szCs w:val="22"/>
          <w:lang w:val="en"/>
        </w:rPr>
      </w:pPr>
      <w:r>
        <w:rPr>
          <w:szCs w:val="22"/>
          <w:lang w:val="en"/>
        </w:rPr>
        <w:br w:type="page"/>
      </w:r>
    </w:p>
    <w:p w14:paraId="29096F00" w14:textId="2E2CD558" w:rsidR="003A7793" w:rsidRDefault="003A7793" w:rsidP="001E4B95">
      <w:pPr>
        <w:pStyle w:val="Heading2"/>
        <w:spacing w:before="0" w:after="0"/>
        <w:ind w:left="1211"/>
        <w:rPr>
          <w:sz w:val="22"/>
          <w:szCs w:val="22"/>
          <w:lang w:val="en"/>
        </w:rPr>
      </w:pPr>
      <w:bookmarkStart w:id="3" w:name="_Toc372032800"/>
      <w:r w:rsidRPr="00B47BEA">
        <w:rPr>
          <w:sz w:val="22"/>
          <w:szCs w:val="22"/>
          <w:lang w:val="en"/>
        </w:rPr>
        <w:lastRenderedPageBreak/>
        <w:t>Total visits to sponsored museums:</w:t>
      </w:r>
      <w:bookmarkEnd w:id="3"/>
    </w:p>
    <w:p w14:paraId="59B620DE" w14:textId="77777777" w:rsidR="00610F67" w:rsidRPr="00610F67" w:rsidRDefault="00610F67" w:rsidP="001E4B95">
      <w:pPr>
        <w:spacing w:before="0"/>
        <w:rPr>
          <w:lang w:val="en"/>
        </w:rPr>
      </w:pPr>
    </w:p>
    <w:p w14:paraId="6CFB8ECE" w14:textId="5EB2B91C" w:rsidR="004C09CF" w:rsidRPr="004C09CF" w:rsidRDefault="00AB6911" w:rsidP="00610F67">
      <w:pPr>
        <w:spacing w:before="0"/>
        <w:ind w:left="1211"/>
        <w:rPr>
          <w:rFonts w:cs="Arial"/>
          <w:vertAlign w:val="superscript"/>
          <w:lang w:val="en"/>
        </w:rPr>
      </w:pPr>
      <w:r>
        <w:rPr>
          <w:rFonts w:cs="Arial"/>
          <w:lang w:val="en"/>
        </w:rPr>
        <w:t>Total v</w:t>
      </w:r>
      <w:r w:rsidR="003A7793" w:rsidRPr="004C09CF">
        <w:rPr>
          <w:rFonts w:cs="Arial"/>
          <w:lang w:val="en"/>
        </w:rPr>
        <w:t>isits to all sponsored m</w:t>
      </w:r>
      <w:r w:rsidR="004C09CF" w:rsidRPr="004C09CF">
        <w:rPr>
          <w:rFonts w:cs="Arial"/>
          <w:lang w:val="en"/>
        </w:rPr>
        <w:t>useums combined increased by 2.2</w:t>
      </w:r>
      <w:r w:rsidR="003A7793" w:rsidRPr="004C09CF">
        <w:rPr>
          <w:rFonts w:cs="Arial"/>
          <w:lang w:val="en"/>
        </w:rPr>
        <w:t xml:space="preserve"> per cent from </w:t>
      </w:r>
      <w:r w:rsidR="005034C0" w:rsidRPr="004C09CF">
        <w:rPr>
          <w:rFonts w:cs="Arial"/>
          <w:lang w:val="en"/>
        </w:rPr>
        <w:t>4</w:t>
      </w:r>
      <w:r w:rsidR="004C09CF" w:rsidRPr="004C09CF">
        <w:rPr>
          <w:rFonts w:cs="Arial"/>
          <w:lang w:val="en"/>
        </w:rPr>
        <w:t>5.9</w:t>
      </w:r>
      <w:r w:rsidR="005034C0" w:rsidRPr="004C09CF">
        <w:rPr>
          <w:rFonts w:cs="Arial"/>
          <w:lang w:val="en"/>
        </w:rPr>
        <w:t xml:space="preserve"> million</w:t>
      </w:r>
      <w:r w:rsidR="003A7793" w:rsidRPr="004C09CF">
        <w:rPr>
          <w:rFonts w:cs="Arial"/>
          <w:lang w:val="en"/>
        </w:rPr>
        <w:t xml:space="preserve"> to 46.9 million over this period.</w:t>
      </w:r>
      <w:r w:rsidR="004C09CF">
        <w:rPr>
          <w:rFonts w:cs="Arial"/>
          <w:vertAlign w:val="superscript"/>
          <w:lang w:val="en"/>
        </w:rPr>
        <w:t>1</w:t>
      </w:r>
      <w:r w:rsidR="001D4857">
        <w:rPr>
          <w:rFonts w:cs="Arial"/>
          <w:vertAlign w:val="superscript"/>
          <w:lang w:val="en"/>
        </w:rPr>
        <w:t>,</w:t>
      </w:r>
      <w:r w:rsidR="001D4857">
        <w:rPr>
          <w:rStyle w:val="FootnoteReference"/>
          <w:rFonts w:cs="Arial"/>
          <w:lang w:val="en"/>
        </w:rPr>
        <w:footnoteReference w:id="4"/>
      </w:r>
    </w:p>
    <w:p w14:paraId="3693A7D9" w14:textId="77777777" w:rsidR="004C09CF" w:rsidRDefault="004C09CF" w:rsidP="00610F67">
      <w:pPr>
        <w:spacing w:before="0"/>
        <w:ind w:left="1211"/>
        <w:rPr>
          <w:rFonts w:cs="Arial"/>
          <w:lang w:val="en"/>
        </w:rPr>
      </w:pPr>
    </w:p>
    <w:p w14:paraId="33B851E2" w14:textId="31FF986D" w:rsidR="006E0153" w:rsidRDefault="00AB6911" w:rsidP="00911C8D">
      <w:pPr>
        <w:spacing w:before="0"/>
        <w:ind w:left="1211"/>
        <w:rPr>
          <w:rFonts w:cs="Arial"/>
          <w:b/>
          <w:bCs/>
          <w:lang w:val="en"/>
        </w:rPr>
      </w:pPr>
      <w:r>
        <w:rPr>
          <w:rFonts w:cs="Arial"/>
          <w:lang w:val="en"/>
        </w:rPr>
        <w:t>Figure 1 shows the</w:t>
      </w:r>
      <w:r w:rsidR="004C09CF" w:rsidRPr="001B0225">
        <w:rPr>
          <w:rFonts w:cs="Arial"/>
          <w:lang w:val="en"/>
        </w:rPr>
        <w:t xml:space="preserve"> number of visits to DCMS’ sponsored museums in 2011/12 and 2012/13</w:t>
      </w:r>
    </w:p>
    <w:p w14:paraId="412A168E" w14:textId="77777777" w:rsidR="006E0153" w:rsidRDefault="006E0153" w:rsidP="00911C8D">
      <w:pPr>
        <w:spacing w:before="0"/>
        <w:ind w:left="1211"/>
        <w:rPr>
          <w:rFonts w:cs="Arial"/>
          <w:b/>
          <w:bCs/>
          <w:lang w:val="en"/>
        </w:rPr>
      </w:pPr>
    </w:p>
    <w:p w14:paraId="2F1C346E" w14:textId="033F829F" w:rsidR="00436012" w:rsidRPr="001B0225" w:rsidRDefault="00436012" w:rsidP="00911C8D">
      <w:pPr>
        <w:spacing w:before="0"/>
        <w:ind w:left="1211"/>
        <w:rPr>
          <w:rFonts w:cs="Arial"/>
          <w:b/>
          <w:bCs/>
          <w:lang w:val="en"/>
        </w:rPr>
      </w:pPr>
      <w:r w:rsidRPr="001B0225">
        <w:rPr>
          <w:rFonts w:cs="Arial"/>
          <w:b/>
          <w:bCs/>
          <w:lang w:val="en"/>
        </w:rPr>
        <w:t>Figure 1: Total visits by museum 201</w:t>
      </w:r>
      <w:r w:rsidR="0073064A" w:rsidRPr="001B0225">
        <w:rPr>
          <w:rFonts w:cs="Arial"/>
          <w:b/>
          <w:bCs/>
          <w:lang w:val="en"/>
        </w:rPr>
        <w:t>1</w:t>
      </w:r>
      <w:r w:rsidRPr="001B0225">
        <w:rPr>
          <w:rFonts w:cs="Arial"/>
          <w:b/>
          <w:bCs/>
          <w:lang w:val="en"/>
        </w:rPr>
        <w:t>/1</w:t>
      </w:r>
      <w:r w:rsidR="0073064A" w:rsidRPr="001B0225">
        <w:rPr>
          <w:rFonts w:cs="Arial"/>
          <w:b/>
          <w:bCs/>
          <w:lang w:val="en"/>
        </w:rPr>
        <w:t>2</w:t>
      </w:r>
      <w:r w:rsidRPr="001B0225">
        <w:rPr>
          <w:rFonts w:cs="Arial"/>
          <w:b/>
          <w:bCs/>
          <w:lang w:val="en"/>
        </w:rPr>
        <w:t xml:space="preserve"> </w:t>
      </w:r>
      <w:r w:rsidR="003A7793" w:rsidRPr="001B0225">
        <w:rPr>
          <w:rFonts w:cs="Arial"/>
          <w:b/>
          <w:bCs/>
          <w:lang w:val="en"/>
        </w:rPr>
        <w:t>to</w:t>
      </w:r>
      <w:r w:rsidRPr="001B0225">
        <w:rPr>
          <w:rFonts w:cs="Arial"/>
          <w:b/>
          <w:bCs/>
          <w:lang w:val="en"/>
        </w:rPr>
        <w:t xml:space="preserve"> 201</w:t>
      </w:r>
      <w:r w:rsidR="0073064A" w:rsidRPr="001B0225">
        <w:rPr>
          <w:rFonts w:cs="Arial"/>
          <w:b/>
          <w:bCs/>
          <w:lang w:val="en"/>
        </w:rPr>
        <w:t>2</w:t>
      </w:r>
      <w:r w:rsidRPr="001B0225">
        <w:rPr>
          <w:rFonts w:cs="Arial"/>
          <w:b/>
          <w:bCs/>
          <w:lang w:val="en"/>
        </w:rPr>
        <w:t>/1</w:t>
      </w:r>
      <w:r w:rsidR="0073064A" w:rsidRPr="001B0225">
        <w:rPr>
          <w:rFonts w:cs="Arial"/>
          <w:b/>
          <w:bCs/>
          <w:lang w:val="en"/>
        </w:rPr>
        <w:t>3</w:t>
      </w:r>
      <w:r w:rsidR="00F721B2">
        <w:rPr>
          <w:rStyle w:val="FootnoteReference"/>
          <w:rFonts w:cs="Arial"/>
          <w:b/>
          <w:bCs/>
          <w:lang w:val="en"/>
        </w:rPr>
        <w:footnoteReference w:id="5"/>
      </w:r>
    </w:p>
    <w:p w14:paraId="2F1C346F" w14:textId="3E4A4C23" w:rsidR="00436012" w:rsidRPr="001B0225" w:rsidRDefault="004E07C3" w:rsidP="004E07C3">
      <w:pPr>
        <w:spacing w:before="0"/>
        <w:ind w:left="1211"/>
        <w:rPr>
          <w:rFonts w:cs="Arial"/>
          <w:lang w:val="en"/>
        </w:rPr>
      </w:pPr>
      <w:r>
        <w:rPr>
          <w:noProof/>
          <w:lang w:eastAsia="en-GB"/>
        </w:rPr>
        <w:drawing>
          <wp:inline distT="0" distB="0" distL="0" distR="0" wp14:anchorId="4357B959" wp14:editId="212C5C0B">
            <wp:extent cx="5484957" cy="3248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4706" cy="3247876"/>
                    </a:xfrm>
                    <a:prstGeom prst="rect">
                      <a:avLst/>
                    </a:prstGeom>
                  </pic:spPr>
                </pic:pic>
              </a:graphicData>
            </a:graphic>
          </wp:inline>
        </w:drawing>
      </w:r>
    </w:p>
    <w:p w14:paraId="2F1C3470" w14:textId="005FBA69" w:rsidR="00436012" w:rsidRPr="00BC0D0F" w:rsidRDefault="00BC0D0F" w:rsidP="00BC0D0F">
      <w:pPr>
        <w:tabs>
          <w:tab w:val="left" w:pos="1290"/>
        </w:tabs>
        <w:spacing w:before="0"/>
        <w:ind w:left="1211"/>
        <w:rPr>
          <w:rFonts w:cs="Arial"/>
          <w:sz w:val="18"/>
          <w:szCs w:val="18"/>
          <w:lang w:val="en"/>
        </w:rPr>
      </w:pPr>
      <w:r w:rsidRPr="00BC0D0F">
        <w:rPr>
          <w:rFonts w:cs="Arial"/>
          <w:sz w:val="18"/>
          <w:szCs w:val="18"/>
          <w:lang w:val="en"/>
        </w:rPr>
        <w:t xml:space="preserve">Note: The figure presented for the Royal </w:t>
      </w:r>
      <w:proofErr w:type="spellStart"/>
      <w:r w:rsidRPr="00BC0D0F">
        <w:rPr>
          <w:rFonts w:cs="Arial"/>
          <w:sz w:val="18"/>
          <w:szCs w:val="18"/>
          <w:lang w:val="en"/>
        </w:rPr>
        <w:t>Armouries</w:t>
      </w:r>
      <w:proofErr w:type="spellEnd"/>
      <w:r w:rsidRPr="00BC0D0F">
        <w:rPr>
          <w:rFonts w:cs="Arial"/>
          <w:sz w:val="18"/>
          <w:szCs w:val="18"/>
          <w:lang w:val="en"/>
        </w:rPr>
        <w:t xml:space="preserve"> in 2011/12 has been revised from that previously published.</w:t>
      </w:r>
    </w:p>
    <w:p w14:paraId="3DD3D92E" w14:textId="11357C40" w:rsidR="00F721B2" w:rsidRDefault="00436012" w:rsidP="00F721B2">
      <w:pPr>
        <w:spacing w:before="0"/>
        <w:ind w:left="1211"/>
      </w:pPr>
      <w:r w:rsidRPr="001B0225">
        <w:rPr>
          <w:rFonts w:cs="Arial"/>
          <w:lang w:val="en"/>
        </w:rPr>
        <w:t> </w:t>
      </w:r>
    </w:p>
    <w:p w14:paraId="76EA3046" w14:textId="4263B53C" w:rsidR="001B0225" w:rsidRDefault="00936B04" w:rsidP="00F721B2">
      <w:pPr>
        <w:spacing w:before="0"/>
        <w:ind w:left="1211"/>
        <w:rPr>
          <w:rFonts w:cs="Arial"/>
          <w:bCs/>
          <w:lang w:val="en"/>
        </w:rPr>
      </w:pPr>
      <w:hyperlink r:id="rId17" w:history="1">
        <w:r w:rsidR="001B0225" w:rsidRPr="008030B3">
          <w:rPr>
            <w:rStyle w:val="Hyperlink"/>
            <w:rFonts w:cs="Arial"/>
            <w:bCs/>
            <w:lang w:val="en"/>
          </w:rPr>
          <w:t>Accompanying excel tables showing</w:t>
        </w:r>
        <w:r w:rsidR="00686460" w:rsidRPr="008030B3">
          <w:rPr>
            <w:rStyle w:val="Hyperlink"/>
            <w:rFonts w:cs="Arial"/>
            <w:bCs/>
            <w:lang w:val="en"/>
          </w:rPr>
          <w:t xml:space="preserve"> </w:t>
        </w:r>
        <w:r w:rsidR="00503D63" w:rsidRPr="008030B3">
          <w:rPr>
            <w:rStyle w:val="Hyperlink"/>
            <w:rFonts w:cs="Arial"/>
            <w:bCs/>
            <w:lang w:val="en"/>
          </w:rPr>
          <w:t xml:space="preserve">individual museum </w:t>
        </w:r>
        <w:r w:rsidR="001B0225" w:rsidRPr="008030B3">
          <w:rPr>
            <w:rStyle w:val="Hyperlink"/>
            <w:rFonts w:cs="Arial"/>
            <w:bCs/>
            <w:lang w:val="en"/>
          </w:rPr>
          <w:t>visit figures</w:t>
        </w:r>
        <w:r w:rsidR="00686460" w:rsidRPr="008030B3">
          <w:rPr>
            <w:rStyle w:val="Hyperlink"/>
            <w:rFonts w:cs="Arial"/>
            <w:bCs/>
            <w:lang w:val="en"/>
          </w:rPr>
          <w:t xml:space="preserve"> </w:t>
        </w:r>
        <w:r w:rsidR="00503D63" w:rsidRPr="008030B3">
          <w:rPr>
            <w:rStyle w:val="Hyperlink"/>
            <w:rFonts w:cs="Arial"/>
            <w:bCs/>
            <w:lang w:val="en"/>
          </w:rPr>
          <w:t>since</w:t>
        </w:r>
        <w:r w:rsidR="001B0225" w:rsidRPr="008030B3">
          <w:rPr>
            <w:rStyle w:val="Hyperlink"/>
            <w:rFonts w:cs="Arial"/>
            <w:bCs/>
            <w:lang w:val="en"/>
          </w:rPr>
          <w:t xml:space="preserve"> 200</w:t>
        </w:r>
        <w:r w:rsidR="00686460" w:rsidRPr="008030B3">
          <w:rPr>
            <w:rStyle w:val="Hyperlink"/>
            <w:rFonts w:cs="Arial"/>
            <w:bCs/>
            <w:lang w:val="en"/>
          </w:rPr>
          <w:t>8/09</w:t>
        </w:r>
        <w:r w:rsidR="001B0225" w:rsidRPr="008030B3">
          <w:rPr>
            <w:rStyle w:val="Hyperlink"/>
            <w:rFonts w:cs="Arial"/>
            <w:bCs/>
            <w:lang w:val="en"/>
          </w:rPr>
          <w:t xml:space="preserve"> are available.</w:t>
        </w:r>
      </w:hyperlink>
      <w:r w:rsidR="001B0225" w:rsidRPr="001B0225">
        <w:rPr>
          <w:rFonts w:cs="Arial"/>
          <w:bCs/>
          <w:lang w:val="en"/>
        </w:rPr>
        <w:t xml:space="preserve"> </w:t>
      </w:r>
    </w:p>
    <w:p w14:paraId="26D99AEB" w14:textId="77777777" w:rsidR="00610F67" w:rsidRDefault="00610F67" w:rsidP="00911C8D">
      <w:pPr>
        <w:spacing w:before="0"/>
        <w:ind w:left="1440"/>
        <w:rPr>
          <w:rFonts w:cs="Arial"/>
          <w:bCs/>
          <w:lang w:val="en"/>
        </w:rPr>
      </w:pPr>
    </w:p>
    <w:p w14:paraId="051900F7" w14:textId="77777777" w:rsidR="00610F67" w:rsidRPr="001B0225" w:rsidRDefault="00610F67" w:rsidP="00911C8D">
      <w:pPr>
        <w:spacing w:before="0"/>
        <w:ind w:left="1440"/>
        <w:rPr>
          <w:rFonts w:cs="Arial"/>
          <w:bCs/>
          <w:lang w:val="en"/>
        </w:rPr>
      </w:pPr>
    </w:p>
    <w:p w14:paraId="23ABBB76" w14:textId="77777777" w:rsidR="00352103" w:rsidRDefault="00352103" w:rsidP="00352103">
      <w:pPr>
        <w:pStyle w:val="Heading2"/>
        <w:spacing w:before="0" w:after="0"/>
        <w:ind w:left="0"/>
        <w:rPr>
          <w:sz w:val="22"/>
          <w:szCs w:val="22"/>
          <w:lang w:val="en"/>
        </w:rPr>
      </w:pPr>
    </w:p>
    <w:p w14:paraId="5AF40EB5" w14:textId="77777777" w:rsidR="00AB6911" w:rsidRDefault="00AB6911">
      <w:pPr>
        <w:spacing w:before="0"/>
        <w:ind w:left="0"/>
        <w:rPr>
          <w:rFonts w:cs="Arial"/>
          <w:b/>
          <w:bCs/>
          <w:iCs/>
          <w:szCs w:val="22"/>
          <w:lang w:val="en"/>
        </w:rPr>
      </w:pPr>
      <w:r>
        <w:rPr>
          <w:szCs w:val="22"/>
          <w:lang w:val="en"/>
        </w:rPr>
        <w:br w:type="page"/>
      </w:r>
    </w:p>
    <w:p w14:paraId="1755374D" w14:textId="782C6A39" w:rsidR="003A7793" w:rsidRPr="00B47BEA" w:rsidRDefault="00436012" w:rsidP="00F721B2">
      <w:pPr>
        <w:pStyle w:val="Heading2"/>
        <w:spacing w:before="0" w:after="0"/>
        <w:ind w:left="1211"/>
        <w:rPr>
          <w:sz w:val="22"/>
          <w:szCs w:val="22"/>
          <w:lang w:val="en"/>
        </w:rPr>
      </w:pPr>
      <w:bookmarkStart w:id="4" w:name="_Toc372032801"/>
      <w:r w:rsidRPr="00B47BEA">
        <w:rPr>
          <w:sz w:val="22"/>
          <w:szCs w:val="22"/>
          <w:lang w:val="en"/>
        </w:rPr>
        <w:lastRenderedPageBreak/>
        <w:t>Child visits:</w:t>
      </w:r>
      <w:bookmarkEnd w:id="4"/>
    </w:p>
    <w:p w14:paraId="5038688D" w14:textId="77777777" w:rsidR="003A7793" w:rsidRPr="001B0225" w:rsidRDefault="003A7793" w:rsidP="00F721B2">
      <w:pPr>
        <w:spacing w:before="0"/>
        <w:ind w:left="1211"/>
        <w:rPr>
          <w:rFonts w:cs="Arial"/>
          <w:b/>
          <w:bCs/>
          <w:lang w:val="en"/>
        </w:rPr>
      </w:pPr>
    </w:p>
    <w:p w14:paraId="011DFB96" w14:textId="71FFC59D" w:rsidR="00544B41" w:rsidRDefault="00436012" w:rsidP="00AB6911">
      <w:pPr>
        <w:spacing w:before="0"/>
        <w:ind w:left="1211"/>
        <w:rPr>
          <w:rFonts w:cs="Arial"/>
          <w:b/>
          <w:bCs/>
          <w:lang w:val="en"/>
        </w:rPr>
      </w:pPr>
      <w:r w:rsidRPr="001B0225">
        <w:rPr>
          <w:rFonts w:cs="Arial"/>
          <w:lang w:val="en"/>
        </w:rPr>
        <w:t>There were 8.</w:t>
      </w:r>
      <w:r w:rsidR="004E374C" w:rsidRPr="001B0225">
        <w:rPr>
          <w:rFonts w:cs="Arial"/>
          <w:lang w:val="en"/>
        </w:rPr>
        <w:t>9</w:t>
      </w:r>
      <w:r w:rsidRPr="001B0225">
        <w:rPr>
          <w:rFonts w:cs="Arial"/>
          <w:lang w:val="en"/>
        </w:rPr>
        <w:t xml:space="preserve"> million visits by children </w:t>
      </w:r>
      <w:r w:rsidR="005D498E">
        <w:rPr>
          <w:rFonts w:cs="Arial"/>
          <w:lang w:val="en"/>
        </w:rPr>
        <w:t xml:space="preserve">aged </w:t>
      </w:r>
      <w:r w:rsidRPr="001B0225">
        <w:rPr>
          <w:rFonts w:cs="Arial"/>
          <w:lang w:val="en"/>
        </w:rPr>
        <w:t>1</w:t>
      </w:r>
      <w:r w:rsidR="007C6BFB" w:rsidRPr="001B0225">
        <w:rPr>
          <w:rFonts w:cs="Arial"/>
          <w:lang w:val="en"/>
        </w:rPr>
        <w:t>5</w:t>
      </w:r>
      <w:r w:rsidR="00503D63">
        <w:rPr>
          <w:rFonts w:cs="Arial"/>
          <w:lang w:val="en"/>
        </w:rPr>
        <w:t xml:space="preserve"> and under</w:t>
      </w:r>
      <w:r w:rsidRPr="001B0225">
        <w:rPr>
          <w:rFonts w:cs="Arial"/>
          <w:lang w:val="en"/>
        </w:rPr>
        <w:t xml:space="preserve"> in 201</w:t>
      </w:r>
      <w:r w:rsidR="004E374C" w:rsidRPr="001B0225">
        <w:rPr>
          <w:rFonts w:cs="Arial"/>
          <w:lang w:val="en"/>
        </w:rPr>
        <w:t>2</w:t>
      </w:r>
      <w:r w:rsidRPr="001B0225">
        <w:rPr>
          <w:rFonts w:cs="Arial"/>
          <w:lang w:val="en"/>
        </w:rPr>
        <w:t>/1</w:t>
      </w:r>
      <w:r w:rsidR="004E374C" w:rsidRPr="001B0225">
        <w:rPr>
          <w:rFonts w:cs="Arial"/>
          <w:lang w:val="en"/>
        </w:rPr>
        <w:t>3</w:t>
      </w:r>
      <w:r w:rsidR="005D498E">
        <w:rPr>
          <w:rFonts w:cs="Arial"/>
          <w:lang w:val="en"/>
        </w:rPr>
        <w:t>.</w:t>
      </w:r>
      <w:r w:rsidRPr="001B0225">
        <w:rPr>
          <w:rFonts w:cs="Arial"/>
          <w:lang w:val="en"/>
        </w:rPr>
        <w:t xml:space="preserve"> </w:t>
      </w:r>
      <w:r w:rsidR="005D498E" w:rsidRPr="00352103">
        <w:rPr>
          <w:rFonts w:cs="Arial"/>
          <w:lang w:val="en"/>
        </w:rPr>
        <w:t xml:space="preserve">This was </w:t>
      </w:r>
      <w:r w:rsidRPr="00352103">
        <w:rPr>
          <w:rFonts w:cs="Arial"/>
          <w:lang w:val="en"/>
        </w:rPr>
        <w:t>a</w:t>
      </w:r>
      <w:r w:rsidR="00352103">
        <w:rPr>
          <w:rFonts w:cs="Arial"/>
          <w:lang w:val="en"/>
        </w:rPr>
        <w:t xml:space="preserve"> de</w:t>
      </w:r>
      <w:r w:rsidRPr="00352103">
        <w:rPr>
          <w:rFonts w:cs="Arial"/>
          <w:lang w:val="en"/>
        </w:rPr>
        <w:t xml:space="preserve">crease of </w:t>
      </w:r>
      <w:r w:rsidR="00A84496">
        <w:rPr>
          <w:rFonts w:cs="Arial"/>
          <w:lang w:val="en"/>
        </w:rPr>
        <w:t>3.1</w:t>
      </w:r>
      <w:r w:rsidR="00A84496">
        <w:rPr>
          <w:rStyle w:val="FootnoteReference"/>
          <w:rFonts w:cs="Arial"/>
          <w:lang w:val="en"/>
        </w:rPr>
        <w:footnoteReference w:id="6"/>
      </w:r>
      <w:r w:rsidR="00352103">
        <w:rPr>
          <w:rFonts w:cs="Arial"/>
          <w:lang w:val="en"/>
        </w:rPr>
        <w:t xml:space="preserve"> per cent since</w:t>
      </w:r>
      <w:r w:rsidRPr="00352103">
        <w:rPr>
          <w:rFonts w:cs="Arial"/>
          <w:lang w:val="en"/>
        </w:rPr>
        <w:t xml:space="preserve"> 201</w:t>
      </w:r>
      <w:r w:rsidR="004E374C" w:rsidRPr="00352103">
        <w:rPr>
          <w:rFonts w:cs="Arial"/>
          <w:lang w:val="en"/>
        </w:rPr>
        <w:t>1</w:t>
      </w:r>
      <w:r w:rsidRPr="00352103">
        <w:rPr>
          <w:rFonts w:cs="Arial"/>
          <w:lang w:val="en"/>
        </w:rPr>
        <w:t>/1</w:t>
      </w:r>
      <w:r w:rsidR="004E374C" w:rsidRPr="00352103">
        <w:rPr>
          <w:rFonts w:cs="Arial"/>
          <w:lang w:val="en"/>
        </w:rPr>
        <w:t>2</w:t>
      </w:r>
      <w:r w:rsidR="00A84496">
        <w:rPr>
          <w:rFonts w:cs="Arial"/>
          <w:lang w:val="en"/>
        </w:rPr>
        <w:t xml:space="preserve"> (9.2</w:t>
      </w:r>
      <w:r w:rsidR="00060579" w:rsidRPr="00352103">
        <w:rPr>
          <w:rFonts w:cs="Arial"/>
          <w:lang w:val="en"/>
        </w:rPr>
        <w:t xml:space="preserve"> million</w:t>
      </w:r>
      <w:r w:rsidR="00936B04" w:rsidRPr="00352103">
        <w:rPr>
          <w:rFonts w:cs="Arial"/>
          <w:lang w:val="en"/>
        </w:rPr>
        <w:t>)</w:t>
      </w:r>
      <w:r w:rsidR="00936B04">
        <w:rPr>
          <w:rFonts w:cs="Arial"/>
          <w:vertAlign w:val="superscript"/>
          <w:lang w:val="en"/>
        </w:rPr>
        <w:t xml:space="preserve"> 6</w:t>
      </w:r>
      <w:r w:rsidR="00741C0D" w:rsidRPr="0048082B">
        <w:rPr>
          <w:rFonts w:cs="Arial"/>
          <w:vertAlign w:val="superscript"/>
          <w:lang w:val="en"/>
        </w:rPr>
        <w:t>,</w:t>
      </w:r>
      <w:r w:rsidR="00352103">
        <w:rPr>
          <w:rStyle w:val="FootnoteReference"/>
          <w:rFonts w:cs="Arial"/>
          <w:lang w:val="en"/>
        </w:rPr>
        <w:footnoteReference w:id="7"/>
      </w:r>
      <w:r w:rsidRPr="00352103">
        <w:rPr>
          <w:rFonts w:cs="Arial"/>
          <w:lang w:val="en"/>
        </w:rPr>
        <w:t xml:space="preserve">. </w:t>
      </w:r>
      <w:r w:rsidR="003A7793" w:rsidRPr="00352103">
        <w:rPr>
          <w:rFonts w:cs="Arial"/>
          <w:lang w:val="en"/>
        </w:rPr>
        <w:t>Figure 3</w:t>
      </w:r>
      <w:r w:rsidRPr="00352103">
        <w:rPr>
          <w:rFonts w:cs="Arial"/>
          <w:lang w:val="en"/>
        </w:rPr>
        <w:t xml:space="preserve"> shows </w:t>
      </w:r>
      <w:r w:rsidR="005D498E" w:rsidRPr="00352103">
        <w:rPr>
          <w:rFonts w:cs="Arial"/>
          <w:lang w:val="en"/>
        </w:rPr>
        <w:t>the number of visits made by children to sponsored</w:t>
      </w:r>
      <w:r w:rsidRPr="00352103">
        <w:rPr>
          <w:rFonts w:cs="Arial"/>
          <w:lang w:val="en"/>
        </w:rPr>
        <w:t xml:space="preserve"> museum</w:t>
      </w:r>
      <w:r w:rsidR="005D498E" w:rsidRPr="00352103">
        <w:rPr>
          <w:rFonts w:cs="Arial"/>
          <w:lang w:val="en"/>
        </w:rPr>
        <w:t>s</w:t>
      </w:r>
      <w:r w:rsidRPr="00352103">
        <w:rPr>
          <w:rFonts w:cs="Arial"/>
          <w:lang w:val="en"/>
        </w:rPr>
        <w:t>.</w:t>
      </w:r>
      <w:r w:rsidRPr="001B0225">
        <w:rPr>
          <w:rFonts w:cs="Arial"/>
          <w:lang w:val="en"/>
        </w:rPr>
        <w:t xml:space="preserve"> </w:t>
      </w:r>
    </w:p>
    <w:p w14:paraId="231E278F" w14:textId="77777777" w:rsidR="007B163E" w:rsidRDefault="007B163E" w:rsidP="00352103">
      <w:pPr>
        <w:spacing w:before="0"/>
        <w:ind w:left="0"/>
        <w:rPr>
          <w:rFonts w:cs="Arial"/>
          <w:b/>
          <w:bCs/>
          <w:lang w:val="en"/>
        </w:rPr>
      </w:pPr>
    </w:p>
    <w:p w14:paraId="2F1C3486" w14:textId="6575783B" w:rsidR="00436012" w:rsidRPr="001B0225" w:rsidRDefault="005D498E" w:rsidP="00F721B2">
      <w:pPr>
        <w:spacing w:before="0"/>
        <w:ind w:left="1211"/>
        <w:rPr>
          <w:rFonts w:cs="Arial"/>
          <w:b/>
          <w:bCs/>
          <w:lang w:val="en"/>
        </w:rPr>
      </w:pPr>
      <w:r>
        <w:rPr>
          <w:rFonts w:cs="Arial"/>
          <w:b/>
          <w:bCs/>
          <w:lang w:val="en"/>
        </w:rPr>
        <w:t>Figure 3: The n</w:t>
      </w:r>
      <w:r w:rsidR="00436012" w:rsidRPr="001B0225">
        <w:rPr>
          <w:rFonts w:cs="Arial"/>
          <w:b/>
          <w:bCs/>
          <w:lang w:val="en"/>
        </w:rPr>
        <w:t xml:space="preserve">umber of visits </w:t>
      </w:r>
      <w:r>
        <w:rPr>
          <w:rFonts w:cs="Arial"/>
          <w:b/>
          <w:bCs/>
          <w:lang w:val="en"/>
        </w:rPr>
        <w:t xml:space="preserve">to </w:t>
      </w:r>
      <w:r>
        <w:rPr>
          <w:rFonts w:cs="Arial"/>
          <w:b/>
          <w:bCs/>
          <w:lang w:val="en"/>
        </w:rPr>
        <w:t xml:space="preserve">sponsored museums </w:t>
      </w:r>
      <w:r w:rsidR="00436012" w:rsidRPr="001B0225">
        <w:rPr>
          <w:rFonts w:cs="Arial"/>
          <w:b/>
          <w:bCs/>
          <w:lang w:val="en"/>
        </w:rPr>
        <w:t xml:space="preserve">by children </w:t>
      </w:r>
      <w:r>
        <w:rPr>
          <w:rFonts w:cs="Arial"/>
          <w:b/>
          <w:bCs/>
          <w:lang w:val="en"/>
        </w:rPr>
        <w:t>aged 15</w:t>
      </w:r>
      <w:r w:rsidR="00503D63">
        <w:rPr>
          <w:rFonts w:cs="Arial"/>
          <w:b/>
          <w:bCs/>
          <w:lang w:val="en"/>
        </w:rPr>
        <w:t xml:space="preserve"> and under</w:t>
      </w:r>
      <w:r w:rsidR="00436012" w:rsidRPr="001B0225">
        <w:rPr>
          <w:rFonts w:cs="Arial"/>
          <w:b/>
          <w:bCs/>
          <w:lang w:val="en"/>
        </w:rPr>
        <w:t xml:space="preserve"> </w:t>
      </w:r>
      <w:r>
        <w:rPr>
          <w:rFonts w:cs="Arial"/>
          <w:b/>
          <w:bCs/>
          <w:lang w:val="en"/>
        </w:rPr>
        <w:t>by museum</w:t>
      </w:r>
      <w:r w:rsidR="00060579">
        <w:rPr>
          <w:rFonts w:cs="Arial"/>
          <w:b/>
          <w:bCs/>
          <w:lang w:val="en"/>
        </w:rPr>
        <w:t xml:space="preserve"> visited</w:t>
      </w:r>
      <w:r w:rsidR="00911C8D">
        <w:rPr>
          <w:rFonts w:cs="Arial"/>
          <w:b/>
          <w:bCs/>
          <w:lang w:val="en"/>
        </w:rPr>
        <w:t xml:space="preserve">, 2011/12 </w:t>
      </w:r>
      <w:r w:rsidR="007764A0">
        <w:rPr>
          <w:rFonts w:cs="Arial"/>
          <w:b/>
          <w:bCs/>
          <w:lang w:val="en"/>
        </w:rPr>
        <w:t>to</w:t>
      </w:r>
      <w:r w:rsidR="00911C8D">
        <w:rPr>
          <w:rFonts w:cs="Arial"/>
          <w:b/>
          <w:bCs/>
          <w:lang w:val="en"/>
        </w:rPr>
        <w:t xml:space="preserve"> 2012/13</w:t>
      </w:r>
      <w:r w:rsidR="00544B41">
        <w:rPr>
          <w:rStyle w:val="FootnoteReference"/>
          <w:rFonts w:cs="Arial"/>
          <w:b/>
          <w:bCs/>
          <w:lang w:val="en"/>
        </w:rPr>
        <w:footnoteReference w:id="8"/>
      </w:r>
      <w:r w:rsidR="00741C0D" w:rsidRPr="0048082B">
        <w:rPr>
          <w:rFonts w:cs="Arial"/>
          <w:vertAlign w:val="superscript"/>
          <w:lang w:val="en"/>
        </w:rPr>
        <w:t>,</w:t>
      </w:r>
      <w:r w:rsidR="001D4857">
        <w:rPr>
          <w:rStyle w:val="FootnoteReference"/>
          <w:rFonts w:cs="Arial"/>
          <w:b/>
          <w:bCs/>
          <w:lang w:val="en"/>
        </w:rPr>
        <w:footnoteReference w:id="9"/>
      </w:r>
    </w:p>
    <w:p w14:paraId="2F1C3487" w14:textId="77777777" w:rsidR="00436012" w:rsidRPr="001B0225" w:rsidRDefault="00436012" w:rsidP="00F721B2">
      <w:pPr>
        <w:spacing w:before="0"/>
        <w:ind w:left="1211"/>
        <w:rPr>
          <w:rFonts w:cs="Arial"/>
          <w:lang w:val="en"/>
        </w:rPr>
      </w:pPr>
    </w:p>
    <w:p w14:paraId="2F1C3488" w14:textId="23DDFE08" w:rsidR="00436012" w:rsidRDefault="00BE4B0F" w:rsidP="00F721B2">
      <w:pPr>
        <w:spacing w:before="0"/>
        <w:ind w:left="1211"/>
        <w:rPr>
          <w:rFonts w:cs="Arial"/>
          <w:lang w:val="en"/>
        </w:rPr>
      </w:pPr>
      <w:r>
        <w:rPr>
          <w:noProof/>
          <w:lang w:eastAsia="en-GB"/>
        </w:rPr>
        <w:drawing>
          <wp:inline distT="0" distB="0" distL="0" distR="0" wp14:anchorId="166730BB" wp14:editId="5B1BC41B">
            <wp:extent cx="5248275" cy="3659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47619" cy="3658733"/>
                    </a:xfrm>
                    <a:prstGeom prst="rect">
                      <a:avLst/>
                    </a:prstGeom>
                  </pic:spPr>
                </pic:pic>
              </a:graphicData>
            </a:graphic>
          </wp:inline>
        </w:drawing>
      </w:r>
    </w:p>
    <w:p w14:paraId="51963255" w14:textId="6EF5916C" w:rsidR="00BC0D0F" w:rsidRPr="00BC0D0F" w:rsidRDefault="00BC0D0F" w:rsidP="00BC0D0F">
      <w:pPr>
        <w:tabs>
          <w:tab w:val="left" w:pos="1290"/>
        </w:tabs>
        <w:spacing w:before="0"/>
        <w:ind w:left="1211"/>
        <w:rPr>
          <w:rFonts w:cs="Arial"/>
          <w:sz w:val="18"/>
          <w:szCs w:val="18"/>
          <w:lang w:val="en"/>
        </w:rPr>
      </w:pPr>
      <w:r w:rsidRPr="00BC0D0F">
        <w:rPr>
          <w:rFonts w:cs="Arial"/>
          <w:sz w:val="18"/>
          <w:szCs w:val="18"/>
          <w:lang w:val="en"/>
        </w:rPr>
        <w:t>Note: The figure</w:t>
      </w:r>
      <w:r w:rsidR="00A84496">
        <w:rPr>
          <w:rFonts w:cs="Arial"/>
          <w:sz w:val="18"/>
          <w:szCs w:val="18"/>
          <w:lang w:val="en"/>
        </w:rPr>
        <w:t>s</w:t>
      </w:r>
      <w:r w:rsidRPr="00BC0D0F">
        <w:rPr>
          <w:rFonts w:cs="Arial"/>
          <w:sz w:val="18"/>
          <w:szCs w:val="18"/>
          <w:lang w:val="en"/>
        </w:rPr>
        <w:t xml:space="preserve"> presented for the Royal </w:t>
      </w:r>
      <w:proofErr w:type="spellStart"/>
      <w:r w:rsidRPr="00BC0D0F">
        <w:rPr>
          <w:rFonts w:cs="Arial"/>
          <w:sz w:val="18"/>
          <w:szCs w:val="18"/>
          <w:lang w:val="en"/>
        </w:rPr>
        <w:t>Armouries</w:t>
      </w:r>
      <w:proofErr w:type="spellEnd"/>
      <w:r w:rsidR="00A84496">
        <w:rPr>
          <w:rFonts w:cs="Arial"/>
          <w:sz w:val="18"/>
          <w:szCs w:val="18"/>
          <w:lang w:val="en"/>
        </w:rPr>
        <w:t xml:space="preserve"> and the British </w:t>
      </w:r>
      <w:r w:rsidR="00BE4B0F">
        <w:rPr>
          <w:rFonts w:cs="Arial"/>
          <w:sz w:val="18"/>
          <w:szCs w:val="18"/>
          <w:lang w:val="en"/>
        </w:rPr>
        <w:t>Museum</w:t>
      </w:r>
      <w:r w:rsidR="00A84496">
        <w:rPr>
          <w:rFonts w:cs="Arial"/>
          <w:sz w:val="18"/>
          <w:szCs w:val="18"/>
          <w:lang w:val="en"/>
        </w:rPr>
        <w:t xml:space="preserve"> in 2011/12 have</w:t>
      </w:r>
      <w:r w:rsidRPr="00BC0D0F">
        <w:rPr>
          <w:rFonts w:cs="Arial"/>
          <w:sz w:val="18"/>
          <w:szCs w:val="18"/>
          <w:lang w:val="en"/>
        </w:rPr>
        <w:t xml:space="preserve"> been revised from that previously published.</w:t>
      </w:r>
    </w:p>
    <w:p w14:paraId="769D2863" w14:textId="77777777" w:rsidR="003347A6" w:rsidRPr="001B0225" w:rsidRDefault="003347A6" w:rsidP="00F721B2">
      <w:pPr>
        <w:spacing w:before="0"/>
        <w:ind w:left="1211"/>
        <w:rPr>
          <w:rFonts w:cs="Arial"/>
          <w:lang w:val="en"/>
        </w:rPr>
      </w:pPr>
    </w:p>
    <w:p w14:paraId="711117BD" w14:textId="57053CA3" w:rsidR="005D498E" w:rsidRPr="001B0225" w:rsidRDefault="00936B04" w:rsidP="00F721B2">
      <w:pPr>
        <w:spacing w:before="0"/>
        <w:ind w:left="1211"/>
        <w:rPr>
          <w:rFonts w:cs="Arial"/>
          <w:lang w:val="en"/>
        </w:rPr>
      </w:pPr>
      <w:hyperlink r:id="rId19" w:history="1">
        <w:r w:rsidR="005D498E" w:rsidRPr="008030B3">
          <w:rPr>
            <w:rStyle w:val="Hyperlink"/>
            <w:rFonts w:cs="Arial"/>
            <w:bCs/>
            <w:lang w:val="en"/>
          </w:rPr>
          <w:t xml:space="preserve">Accompanying excel tables showing total </w:t>
        </w:r>
        <w:r w:rsidR="00060579" w:rsidRPr="008030B3">
          <w:rPr>
            <w:rStyle w:val="Hyperlink"/>
            <w:rFonts w:cs="Arial"/>
            <w:bCs/>
            <w:lang w:val="en"/>
          </w:rPr>
          <w:t xml:space="preserve">child </w:t>
        </w:r>
        <w:r w:rsidR="005D498E" w:rsidRPr="008030B3">
          <w:rPr>
            <w:rStyle w:val="Hyperlink"/>
            <w:rFonts w:cs="Arial"/>
            <w:bCs/>
            <w:lang w:val="en"/>
          </w:rPr>
          <w:t xml:space="preserve">visit figures </w:t>
        </w:r>
        <w:r w:rsidR="00B3085D" w:rsidRPr="008030B3">
          <w:rPr>
            <w:rStyle w:val="Hyperlink"/>
            <w:rFonts w:cs="Arial"/>
            <w:bCs/>
            <w:lang w:val="en"/>
          </w:rPr>
          <w:t>since</w:t>
        </w:r>
        <w:r w:rsidR="005D498E" w:rsidRPr="008030B3">
          <w:rPr>
            <w:rStyle w:val="Hyperlink"/>
            <w:rFonts w:cs="Arial"/>
            <w:bCs/>
            <w:lang w:val="en"/>
          </w:rPr>
          <w:t xml:space="preserve"> 2008/09 are available.</w:t>
        </w:r>
      </w:hyperlink>
    </w:p>
    <w:p w14:paraId="5D5C3051" w14:textId="77777777" w:rsidR="00007EBE" w:rsidRPr="001B0225" w:rsidRDefault="00007EBE" w:rsidP="00F721B2">
      <w:pPr>
        <w:spacing w:before="0"/>
        <w:ind w:left="1211"/>
        <w:rPr>
          <w:rFonts w:cs="Arial"/>
          <w:b/>
          <w:bCs/>
          <w:lang w:val="en"/>
        </w:rPr>
      </w:pPr>
    </w:p>
    <w:p w14:paraId="03A32CB2" w14:textId="77777777" w:rsidR="00007EBE" w:rsidRPr="001B0225" w:rsidRDefault="00007EBE" w:rsidP="00F721B2">
      <w:pPr>
        <w:spacing w:before="0"/>
        <w:ind w:left="1211"/>
        <w:rPr>
          <w:rFonts w:cs="Arial"/>
          <w:b/>
          <w:bCs/>
          <w:lang w:val="en"/>
        </w:rPr>
      </w:pPr>
    </w:p>
    <w:p w14:paraId="3127D98A" w14:textId="77777777" w:rsidR="00FE2784" w:rsidRDefault="00FE2784">
      <w:pPr>
        <w:spacing w:before="0"/>
        <w:ind w:left="0"/>
        <w:rPr>
          <w:rFonts w:cs="Arial"/>
          <w:b/>
          <w:bCs/>
          <w:iCs/>
          <w:szCs w:val="22"/>
          <w:lang w:val="en"/>
        </w:rPr>
      </w:pPr>
      <w:r>
        <w:rPr>
          <w:szCs w:val="22"/>
          <w:lang w:val="en"/>
        </w:rPr>
        <w:br w:type="page"/>
      </w:r>
    </w:p>
    <w:p w14:paraId="1923C362" w14:textId="2DCD1EEB" w:rsidR="003A7793" w:rsidRPr="00B47BEA" w:rsidRDefault="00436012" w:rsidP="00F721B2">
      <w:pPr>
        <w:pStyle w:val="Heading2"/>
        <w:spacing w:before="0" w:after="0"/>
        <w:ind w:left="1211"/>
        <w:rPr>
          <w:sz w:val="22"/>
          <w:szCs w:val="22"/>
          <w:lang w:val="en"/>
        </w:rPr>
      </w:pPr>
      <w:bookmarkStart w:id="6" w:name="_Toc372032802"/>
      <w:r w:rsidRPr="00B47BEA">
        <w:rPr>
          <w:sz w:val="22"/>
          <w:szCs w:val="22"/>
          <w:lang w:val="en"/>
        </w:rPr>
        <w:lastRenderedPageBreak/>
        <w:t>Overseas visits:</w:t>
      </w:r>
      <w:bookmarkEnd w:id="6"/>
    </w:p>
    <w:p w14:paraId="1D71448A" w14:textId="77777777" w:rsidR="003A7793" w:rsidRPr="001B0225" w:rsidRDefault="003A7793" w:rsidP="00F721B2">
      <w:pPr>
        <w:spacing w:before="0"/>
        <w:ind w:left="1211"/>
        <w:rPr>
          <w:rFonts w:cs="Arial"/>
          <w:b/>
          <w:bCs/>
          <w:lang w:val="en"/>
        </w:rPr>
      </w:pPr>
    </w:p>
    <w:p w14:paraId="08EE0AFA" w14:textId="66926E96" w:rsidR="007B163E" w:rsidRPr="00FE2784" w:rsidRDefault="00436012" w:rsidP="00FE2784">
      <w:pPr>
        <w:spacing w:before="0"/>
        <w:ind w:left="1211"/>
        <w:rPr>
          <w:rFonts w:cs="Arial"/>
          <w:vertAlign w:val="superscript"/>
          <w:lang w:val="en"/>
        </w:rPr>
      </w:pPr>
      <w:r w:rsidRPr="001B0225">
        <w:rPr>
          <w:rFonts w:cs="Arial"/>
          <w:lang w:val="en"/>
        </w:rPr>
        <w:t xml:space="preserve">There were </w:t>
      </w:r>
      <w:r w:rsidR="007C6BFB" w:rsidRPr="001B0225">
        <w:rPr>
          <w:rFonts w:cs="Arial"/>
          <w:lang w:val="en"/>
        </w:rPr>
        <w:t>20.7</w:t>
      </w:r>
      <w:r w:rsidRPr="001B0225">
        <w:rPr>
          <w:rFonts w:cs="Arial"/>
          <w:lang w:val="en"/>
        </w:rPr>
        <w:t xml:space="preserve"> million visits</w:t>
      </w:r>
      <w:r w:rsidR="00503D63">
        <w:rPr>
          <w:rFonts w:cs="Arial"/>
          <w:lang w:val="en"/>
        </w:rPr>
        <w:t xml:space="preserve"> to sponsored museums</w:t>
      </w:r>
      <w:r w:rsidRPr="001B0225">
        <w:rPr>
          <w:rFonts w:cs="Arial"/>
          <w:lang w:val="en"/>
        </w:rPr>
        <w:t xml:space="preserve"> in 201</w:t>
      </w:r>
      <w:r w:rsidR="007C6BFB" w:rsidRPr="001B0225">
        <w:rPr>
          <w:rFonts w:cs="Arial"/>
          <w:lang w:val="en"/>
        </w:rPr>
        <w:t>2</w:t>
      </w:r>
      <w:r w:rsidRPr="001B0225">
        <w:rPr>
          <w:rFonts w:cs="Arial"/>
          <w:lang w:val="en"/>
        </w:rPr>
        <w:t>/1</w:t>
      </w:r>
      <w:r w:rsidR="007C6BFB" w:rsidRPr="001B0225">
        <w:rPr>
          <w:rFonts w:cs="Arial"/>
          <w:lang w:val="en"/>
        </w:rPr>
        <w:t>3</w:t>
      </w:r>
      <w:r w:rsidR="00503D63">
        <w:rPr>
          <w:rFonts w:cs="Arial"/>
          <w:lang w:val="en"/>
        </w:rPr>
        <w:t xml:space="preserve"> by overseas visitors</w:t>
      </w:r>
      <w:r w:rsidR="00060579">
        <w:rPr>
          <w:rFonts w:cs="Arial"/>
          <w:lang w:val="en"/>
        </w:rPr>
        <w:t>. These visits</w:t>
      </w:r>
      <w:r w:rsidR="00503D63">
        <w:rPr>
          <w:rFonts w:cs="Arial"/>
          <w:lang w:val="en"/>
        </w:rPr>
        <w:t xml:space="preserve"> accounted for</w:t>
      </w:r>
      <w:r w:rsidRPr="001B0225">
        <w:rPr>
          <w:rFonts w:cs="Arial"/>
          <w:lang w:val="en"/>
        </w:rPr>
        <w:t xml:space="preserve"> 4</w:t>
      </w:r>
      <w:r w:rsidR="007C6BFB" w:rsidRPr="001B0225">
        <w:rPr>
          <w:rFonts w:cs="Arial"/>
          <w:lang w:val="en"/>
        </w:rPr>
        <w:t>4</w:t>
      </w:r>
      <w:r w:rsidR="00D84A7D" w:rsidRPr="001B0225">
        <w:rPr>
          <w:rFonts w:cs="Arial"/>
          <w:lang w:val="en"/>
        </w:rPr>
        <w:t>.1</w:t>
      </w:r>
      <w:r w:rsidRPr="001B0225">
        <w:rPr>
          <w:rFonts w:cs="Arial"/>
          <w:lang w:val="en"/>
        </w:rPr>
        <w:t xml:space="preserve"> per cent</w:t>
      </w:r>
      <w:r w:rsidR="00B47BEA">
        <w:rPr>
          <w:rFonts w:cs="Arial"/>
          <w:lang w:val="en"/>
        </w:rPr>
        <w:t xml:space="preserve"> of all visits, a similar proportion to 2011/12</w:t>
      </w:r>
      <w:r w:rsidR="007B163E">
        <w:rPr>
          <w:rFonts w:cs="Arial"/>
          <w:lang w:val="en"/>
        </w:rPr>
        <w:t xml:space="preserve"> (43.4%)</w:t>
      </w:r>
      <w:r w:rsidR="007B163E">
        <w:rPr>
          <w:rStyle w:val="FootnoteReference"/>
          <w:rFonts w:cs="Arial"/>
          <w:lang w:val="en"/>
        </w:rPr>
        <w:footnoteReference w:id="10"/>
      </w:r>
      <w:r w:rsidR="00B47BEA">
        <w:rPr>
          <w:rFonts w:cs="Arial"/>
          <w:lang w:val="en"/>
        </w:rPr>
        <w:t>.</w:t>
      </w:r>
      <w:r w:rsidR="00BC0D0F">
        <w:rPr>
          <w:rFonts w:cs="Arial"/>
          <w:lang w:val="en"/>
        </w:rPr>
        <w:t xml:space="preserve"> </w:t>
      </w:r>
      <w:r w:rsidR="005F5A20">
        <w:rPr>
          <w:rFonts w:cs="Arial"/>
          <w:lang w:val="en"/>
        </w:rPr>
        <w:t>Overseas visits to the 16 sponsored</w:t>
      </w:r>
      <w:r w:rsidR="007B163E">
        <w:rPr>
          <w:rFonts w:cs="Arial"/>
          <w:lang w:val="en"/>
        </w:rPr>
        <w:t xml:space="preserve"> museums have increased by 4.0</w:t>
      </w:r>
      <w:r w:rsidR="005F5A20">
        <w:rPr>
          <w:rFonts w:cs="Arial"/>
          <w:lang w:val="en"/>
        </w:rPr>
        <w:t xml:space="preserve"> per cent since 2011/12 (1</w:t>
      </w:r>
      <w:r w:rsidR="007B163E">
        <w:rPr>
          <w:rFonts w:cs="Arial"/>
          <w:lang w:val="en"/>
        </w:rPr>
        <w:t>9</w:t>
      </w:r>
      <w:r w:rsidR="005F5A20">
        <w:rPr>
          <w:rFonts w:cs="Arial"/>
          <w:lang w:val="en"/>
        </w:rPr>
        <w:t>.</w:t>
      </w:r>
      <w:r w:rsidR="007B163E">
        <w:rPr>
          <w:rFonts w:cs="Arial"/>
          <w:lang w:val="en"/>
        </w:rPr>
        <w:t>9</w:t>
      </w:r>
      <w:r w:rsidR="005F5A20">
        <w:rPr>
          <w:rFonts w:cs="Arial"/>
          <w:lang w:val="en"/>
        </w:rPr>
        <w:t xml:space="preserve"> million</w:t>
      </w:r>
      <w:r w:rsidR="007B163E">
        <w:rPr>
          <w:rFonts w:cs="Arial"/>
          <w:lang w:val="en"/>
        </w:rPr>
        <w:t>)</w:t>
      </w:r>
      <w:r w:rsidR="007A0309">
        <w:rPr>
          <w:rFonts w:cs="Arial"/>
          <w:vertAlign w:val="superscript"/>
          <w:lang w:val="en"/>
        </w:rPr>
        <w:t>8</w:t>
      </w:r>
      <w:r w:rsidR="00741C0D" w:rsidRPr="0048082B">
        <w:rPr>
          <w:rFonts w:cs="Arial"/>
          <w:vertAlign w:val="superscript"/>
          <w:lang w:val="en"/>
        </w:rPr>
        <w:t>,</w:t>
      </w:r>
      <w:r w:rsidR="001D4857">
        <w:rPr>
          <w:rStyle w:val="FootnoteReference"/>
          <w:rFonts w:cs="Arial"/>
          <w:lang w:val="en"/>
        </w:rPr>
        <w:footnoteReference w:id="11"/>
      </w:r>
    </w:p>
    <w:p w14:paraId="1AA953B3" w14:textId="77777777" w:rsidR="00741C0D" w:rsidRDefault="00741C0D" w:rsidP="00F721B2">
      <w:pPr>
        <w:spacing w:before="0"/>
        <w:ind w:left="1211"/>
        <w:rPr>
          <w:rFonts w:cs="Arial"/>
          <w:b/>
          <w:bCs/>
          <w:lang w:val="en"/>
        </w:rPr>
      </w:pPr>
    </w:p>
    <w:p w14:paraId="2F1C3495" w14:textId="122D4545" w:rsidR="00436012" w:rsidRPr="001B0225" w:rsidRDefault="00436012" w:rsidP="00F721B2">
      <w:pPr>
        <w:spacing w:before="0"/>
        <w:ind w:left="1211"/>
        <w:rPr>
          <w:rFonts w:cs="Arial"/>
          <w:b/>
          <w:bCs/>
          <w:lang w:val="en"/>
        </w:rPr>
      </w:pPr>
      <w:r w:rsidRPr="001B0225">
        <w:rPr>
          <w:rFonts w:cs="Arial"/>
          <w:b/>
          <w:bCs/>
          <w:lang w:val="en"/>
        </w:rPr>
        <w:t>Figure 5: Percentage of overseas and UK visits</w:t>
      </w:r>
      <w:r w:rsidR="00D84A7D" w:rsidRPr="001B0225">
        <w:rPr>
          <w:rFonts w:cs="Arial"/>
          <w:b/>
          <w:bCs/>
          <w:lang w:val="en"/>
        </w:rPr>
        <w:t xml:space="preserve"> to the 16 DCMS sponsored museums</w:t>
      </w:r>
      <w:r w:rsidRPr="001B0225">
        <w:rPr>
          <w:rFonts w:cs="Arial"/>
          <w:b/>
          <w:bCs/>
          <w:lang w:val="en"/>
        </w:rPr>
        <w:t xml:space="preserve"> in 201</w:t>
      </w:r>
      <w:r w:rsidR="007C6BFB" w:rsidRPr="001B0225">
        <w:rPr>
          <w:rFonts w:cs="Arial"/>
          <w:b/>
          <w:bCs/>
          <w:lang w:val="en"/>
        </w:rPr>
        <w:t>1</w:t>
      </w:r>
      <w:r w:rsidRPr="001B0225">
        <w:rPr>
          <w:rFonts w:cs="Arial"/>
          <w:b/>
          <w:bCs/>
          <w:lang w:val="en"/>
        </w:rPr>
        <w:t>/1</w:t>
      </w:r>
      <w:r w:rsidR="007C6BFB" w:rsidRPr="001B0225">
        <w:rPr>
          <w:rFonts w:cs="Arial"/>
          <w:b/>
          <w:bCs/>
          <w:lang w:val="en"/>
        </w:rPr>
        <w:t>2</w:t>
      </w:r>
      <w:r w:rsidR="00967FE8">
        <w:rPr>
          <w:rStyle w:val="FootnoteReference"/>
          <w:rFonts w:cs="Arial"/>
          <w:b/>
          <w:bCs/>
          <w:lang w:val="en"/>
        </w:rPr>
        <w:footnoteReference w:id="12"/>
      </w:r>
      <w:r w:rsidRPr="001B0225">
        <w:rPr>
          <w:rFonts w:cs="Arial"/>
          <w:b/>
          <w:bCs/>
          <w:lang w:val="en"/>
        </w:rPr>
        <w:t xml:space="preserve"> and 201</w:t>
      </w:r>
      <w:r w:rsidR="007C6BFB" w:rsidRPr="001B0225">
        <w:rPr>
          <w:rFonts w:cs="Arial"/>
          <w:b/>
          <w:bCs/>
          <w:lang w:val="en"/>
        </w:rPr>
        <w:t>2</w:t>
      </w:r>
      <w:r w:rsidRPr="001B0225">
        <w:rPr>
          <w:rFonts w:cs="Arial"/>
          <w:b/>
          <w:bCs/>
          <w:lang w:val="en"/>
        </w:rPr>
        <w:t>/1</w:t>
      </w:r>
      <w:r w:rsidR="007C6BFB" w:rsidRPr="001B0225">
        <w:rPr>
          <w:rFonts w:cs="Arial"/>
          <w:b/>
          <w:bCs/>
          <w:lang w:val="en"/>
        </w:rPr>
        <w:t>3</w:t>
      </w:r>
    </w:p>
    <w:p w14:paraId="2F1C3496" w14:textId="06E05C6F" w:rsidR="00436012" w:rsidRPr="001B0225" w:rsidRDefault="007B163E" w:rsidP="00F721B2">
      <w:pPr>
        <w:spacing w:before="0"/>
        <w:ind w:left="1211"/>
        <w:rPr>
          <w:rFonts w:cs="Arial"/>
          <w:b/>
          <w:bCs/>
          <w:lang w:val="en"/>
        </w:rPr>
      </w:pPr>
      <w:r>
        <w:rPr>
          <w:noProof/>
          <w:lang w:eastAsia="en-GB"/>
        </w:rPr>
        <w:drawing>
          <wp:anchor distT="0" distB="0" distL="114300" distR="114300" simplePos="0" relativeHeight="251671552" behindDoc="1" locked="0" layoutInCell="1" allowOverlap="1" wp14:anchorId="684EB793" wp14:editId="7DA0F508">
            <wp:simplePos x="0" y="0"/>
            <wp:positionH relativeFrom="column">
              <wp:posOffset>808990</wp:posOffset>
            </wp:positionH>
            <wp:positionV relativeFrom="paragraph">
              <wp:posOffset>35560</wp:posOffset>
            </wp:positionV>
            <wp:extent cx="2552700" cy="1768475"/>
            <wp:effectExtent l="0" t="0" r="0" b="3175"/>
            <wp:wrapTight wrapText="bothSides">
              <wp:wrapPolygon edited="0">
                <wp:start x="0" y="0"/>
                <wp:lineTo x="0" y="21406"/>
                <wp:lineTo x="21439" y="21406"/>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52700" cy="1768475"/>
                    </a:xfrm>
                    <a:prstGeom prst="rect">
                      <a:avLst/>
                    </a:prstGeom>
                  </pic:spPr>
                </pic:pic>
              </a:graphicData>
            </a:graphic>
            <wp14:sizeRelH relativeFrom="page">
              <wp14:pctWidth>0</wp14:pctWidth>
            </wp14:sizeRelH>
            <wp14:sizeRelV relativeFrom="page">
              <wp14:pctHeight>0</wp14:pctHeight>
            </wp14:sizeRelV>
          </wp:anchor>
        </w:drawing>
      </w:r>
      <w:r w:rsidR="00A94456">
        <w:rPr>
          <w:noProof/>
          <w:lang w:eastAsia="en-GB"/>
        </w:rPr>
        <w:drawing>
          <wp:anchor distT="0" distB="0" distL="114300" distR="114300" simplePos="0" relativeHeight="251670528" behindDoc="1" locked="0" layoutInCell="1" allowOverlap="1" wp14:anchorId="220323DA" wp14:editId="7CCA7B95">
            <wp:simplePos x="0" y="0"/>
            <wp:positionH relativeFrom="column">
              <wp:posOffset>3523615</wp:posOffset>
            </wp:positionH>
            <wp:positionV relativeFrom="paragraph">
              <wp:posOffset>33020</wp:posOffset>
            </wp:positionV>
            <wp:extent cx="2569210" cy="1781175"/>
            <wp:effectExtent l="0" t="0" r="2540" b="9525"/>
            <wp:wrapTight wrapText="bothSides">
              <wp:wrapPolygon edited="0">
                <wp:start x="0" y="0"/>
                <wp:lineTo x="0" y="21484"/>
                <wp:lineTo x="21461" y="21484"/>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569210" cy="1781175"/>
                    </a:xfrm>
                    <a:prstGeom prst="rect">
                      <a:avLst/>
                    </a:prstGeom>
                  </pic:spPr>
                </pic:pic>
              </a:graphicData>
            </a:graphic>
            <wp14:sizeRelH relativeFrom="page">
              <wp14:pctWidth>0</wp14:pctWidth>
            </wp14:sizeRelH>
            <wp14:sizeRelV relativeFrom="page">
              <wp14:pctHeight>0</wp14:pctHeight>
            </wp14:sizeRelV>
          </wp:anchor>
        </w:drawing>
      </w:r>
      <w:r w:rsidRPr="007B163E">
        <w:rPr>
          <w:noProof/>
          <w:lang w:eastAsia="en-GB"/>
        </w:rPr>
        <w:t xml:space="preserve"> </w:t>
      </w:r>
    </w:p>
    <w:p w14:paraId="2F1C3497" w14:textId="45CAE85B" w:rsidR="00436012" w:rsidRPr="001B0225" w:rsidRDefault="00436012" w:rsidP="00F721B2">
      <w:pPr>
        <w:spacing w:before="0"/>
        <w:ind w:left="2651"/>
        <w:rPr>
          <w:rFonts w:cs="Arial"/>
          <w:lang w:val="en"/>
        </w:rPr>
      </w:pPr>
    </w:p>
    <w:p w14:paraId="71329B01" w14:textId="58A67C6C" w:rsidR="00EF7BC4" w:rsidRPr="001B0225" w:rsidRDefault="00B47BEA" w:rsidP="00F721B2">
      <w:pPr>
        <w:spacing w:before="0"/>
        <w:ind w:left="1931"/>
        <w:rPr>
          <w:rFonts w:cs="Arial"/>
          <w:lang w:val="en"/>
        </w:rPr>
      </w:pPr>
      <w:r w:rsidRPr="00B47BEA">
        <w:rPr>
          <w:noProof/>
          <w:lang w:eastAsia="en-GB"/>
        </w:rPr>
        <w:t xml:space="preserve"> </w:t>
      </w:r>
      <w:r w:rsidR="006846FB" w:rsidRPr="001B0225">
        <w:rPr>
          <w:rFonts w:cs="Arial"/>
          <w:lang w:val="en"/>
        </w:rPr>
        <w:br w:type="textWrapping" w:clear="all"/>
      </w:r>
    </w:p>
    <w:p w14:paraId="21410E2B" w14:textId="0E310001" w:rsidR="006846FB" w:rsidRPr="001B0225" w:rsidRDefault="006846FB" w:rsidP="00F721B2">
      <w:pPr>
        <w:spacing w:before="0"/>
        <w:ind w:left="622"/>
        <w:rPr>
          <w:rFonts w:cs="Arial"/>
          <w:lang w:val="en"/>
        </w:rPr>
      </w:pPr>
    </w:p>
    <w:p w14:paraId="77B04167" w14:textId="2995DA8B" w:rsidR="00B47BEA" w:rsidRPr="004E4319" w:rsidRDefault="004E4319" w:rsidP="00F721B2">
      <w:pPr>
        <w:spacing w:before="0"/>
        <w:ind w:left="1211"/>
        <w:rPr>
          <w:rStyle w:val="Hyperlink"/>
          <w:rFonts w:cs="Arial"/>
          <w:bCs/>
          <w:lang w:val="en"/>
        </w:rPr>
      </w:pPr>
      <w:r>
        <w:rPr>
          <w:rFonts w:cs="Arial"/>
          <w:bCs/>
          <w:lang w:val="en"/>
        </w:rPr>
        <w:fldChar w:fldCharType="begin"/>
      </w:r>
      <w:r>
        <w:rPr>
          <w:rFonts w:cs="Arial"/>
          <w:bCs/>
          <w:lang w:val="en"/>
        </w:rPr>
        <w:instrText xml:space="preserve"> HYPERLINK "https://www.gov.uk/government/publications/sponsored-museums-performance-indicators-2012-13" </w:instrText>
      </w:r>
      <w:r>
        <w:rPr>
          <w:rFonts w:cs="Arial"/>
          <w:bCs/>
          <w:lang w:val="en"/>
        </w:rPr>
        <w:fldChar w:fldCharType="separate"/>
      </w:r>
      <w:r w:rsidR="00B47BEA" w:rsidRPr="004E4319">
        <w:rPr>
          <w:rStyle w:val="Hyperlink"/>
          <w:rFonts w:cs="Arial"/>
          <w:bCs/>
          <w:lang w:val="en"/>
        </w:rPr>
        <w:t>Accompanying excel tables showing the total number of overseas visits to sponsored museums since 2008/09 are available.</w:t>
      </w:r>
    </w:p>
    <w:p w14:paraId="0B36D8A2" w14:textId="6E752432" w:rsidR="00FD7C76" w:rsidRDefault="004E4319" w:rsidP="00F721B2">
      <w:pPr>
        <w:pStyle w:val="Heading2"/>
        <w:spacing w:before="0" w:after="0"/>
        <w:ind w:left="1211"/>
        <w:rPr>
          <w:sz w:val="22"/>
          <w:szCs w:val="22"/>
          <w:lang w:val="en"/>
        </w:rPr>
      </w:pPr>
      <w:r>
        <w:rPr>
          <w:b w:val="0"/>
          <w:iCs w:val="0"/>
          <w:sz w:val="22"/>
          <w:szCs w:val="24"/>
          <w:lang w:val="en"/>
        </w:rPr>
        <w:fldChar w:fldCharType="end"/>
      </w:r>
    </w:p>
    <w:p w14:paraId="522185F5" w14:textId="77777777" w:rsidR="00FD7C76" w:rsidRDefault="00FD7C76" w:rsidP="00F721B2">
      <w:pPr>
        <w:pStyle w:val="Heading2"/>
        <w:spacing w:before="0" w:after="0"/>
        <w:ind w:left="1211"/>
        <w:rPr>
          <w:sz w:val="22"/>
          <w:szCs w:val="22"/>
          <w:lang w:val="en"/>
        </w:rPr>
      </w:pPr>
    </w:p>
    <w:p w14:paraId="60D9D35E" w14:textId="1F8EB4F6" w:rsidR="001E0D1A" w:rsidRDefault="001E0D1A" w:rsidP="00F721B2">
      <w:pPr>
        <w:pStyle w:val="Heading2"/>
        <w:spacing w:before="0" w:after="0"/>
        <w:ind w:left="1211"/>
        <w:rPr>
          <w:sz w:val="22"/>
          <w:szCs w:val="22"/>
          <w:lang w:val="en"/>
        </w:rPr>
      </w:pPr>
      <w:bookmarkStart w:id="7" w:name="_Toc372032803"/>
      <w:r w:rsidRPr="001E0D1A">
        <w:rPr>
          <w:sz w:val="22"/>
          <w:szCs w:val="22"/>
          <w:lang w:val="en"/>
        </w:rPr>
        <w:t>Website visits:</w:t>
      </w:r>
      <w:bookmarkEnd w:id="7"/>
    </w:p>
    <w:p w14:paraId="677FCA80" w14:textId="77777777" w:rsidR="00911C8D" w:rsidRPr="00911C8D" w:rsidRDefault="00911C8D" w:rsidP="00F721B2">
      <w:pPr>
        <w:spacing w:before="0"/>
        <w:ind w:left="1699"/>
        <w:rPr>
          <w:lang w:val="en"/>
        </w:rPr>
      </w:pPr>
    </w:p>
    <w:p w14:paraId="38238275" w14:textId="77777777" w:rsidR="00BC0D0F" w:rsidRDefault="001E0D1A" w:rsidP="00F721B2">
      <w:pPr>
        <w:spacing w:before="0"/>
        <w:ind w:left="1211"/>
        <w:rPr>
          <w:lang w:val="en"/>
        </w:rPr>
      </w:pPr>
      <w:r>
        <w:rPr>
          <w:lang w:val="en"/>
        </w:rPr>
        <w:t xml:space="preserve">In 2012/13 there </w:t>
      </w:r>
      <w:r w:rsidR="00B64100">
        <w:rPr>
          <w:lang w:val="en"/>
        </w:rPr>
        <w:t>were</w:t>
      </w:r>
      <w:r>
        <w:rPr>
          <w:lang w:val="en"/>
        </w:rPr>
        <w:t xml:space="preserve"> a total of 109</w:t>
      </w:r>
      <w:r w:rsidR="002B2AFD">
        <w:rPr>
          <w:lang w:val="en"/>
        </w:rPr>
        <w:t>.4</w:t>
      </w:r>
      <w:r>
        <w:rPr>
          <w:lang w:val="en"/>
        </w:rPr>
        <w:t xml:space="preserve"> million unique visits to the websites of the DCMS’ sponsored museums</w:t>
      </w:r>
      <w:r w:rsidR="0046364F">
        <w:rPr>
          <w:lang w:val="en"/>
        </w:rPr>
        <w:t>.</w:t>
      </w:r>
    </w:p>
    <w:p w14:paraId="600D970A" w14:textId="77777777" w:rsidR="00BC0D0F" w:rsidRDefault="00BC0D0F" w:rsidP="00F721B2">
      <w:pPr>
        <w:spacing w:before="0"/>
        <w:ind w:left="1211"/>
        <w:rPr>
          <w:lang w:val="en"/>
        </w:rPr>
      </w:pPr>
    </w:p>
    <w:p w14:paraId="41C28FA5" w14:textId="53187407" w:rsidR="00BC0D0F" w:rsidRDefault="00BC0D0F" w:rsidP="00BC0D0F">
      <w:pPr>
        <w:spacing w:before="0"/>
        <w:ind w:left="1211"/>
        <w:rPr>
          <w:lang w:val="en"/>
        </w:rPr>
      </w:pPr>
      <w:r>
        <w:rPr>
          <w:lang w:val="en"/>
        </w:rPr>
        <w:t>However, due to changes in the</w:t>
      </w:r>
      <w:r w:rsidR="003C5AD5">
        <w:rPr>
          <w:lang w:val="en"/>
        </w:rPr>
        <w:t xml:space="preserve"> software used to measure website</w:t>
      </w:r>
      <w:r>
        <w:rPr>
          <w:lang w:val="en"/>
        </w:rPr>
        <w:t xml:space="preserve"> visits by many of the museums at several points over time, these figures are not directly comparable between years.</w:t>
      </w:r>
    </w:p>
    <w:p w14:paraId="12893FBC" w14:textId="04683C45" w:rsidR="004E4319" w:rsidRDefault="0046364F" w:rsidP="00F721B2">
      <w:pPr>
        <w:spacing w:before="0"/>
        <w:ind w:left="1211"/>
        <w:rPr>
          <w:lang w:val="en"/>
        </w:rPr>
      </w:pPr>
      <w:r>
        <w:rPr>
          <w:lang w:val="en"/>
        </w:rPr>
        <w:t xml:space="preserve"> </w:t>
      </w:r>
    </w:p>
    <w:p w14:paraId="365ED0C9" w14:textId="24CF427B" w:rsidR="004E4319" w:rsidRDefault="00936B04" w:rsidP="00F721B2">
      <w:pPr>
        <w:spacing w:before="0"/>
        <w:ind w:left="1211"/>
        <w:rPr>
          <w:lang w:val="en"/>
        </w:rPr>
      </w:pPr>
      <w:hyperlink r:id="rId22" w:history="1">
        <w:r w:rsidR="004E4319" w:rsidRPr="004E4319">
          <w:rPr>
            <w:rStyle w:val="Hyperlink"/>
            <w:lang w:val="en"/>
          </w:rPr>
          <w:t>Accompanying tables showing the total number of unique visits to the websites of the DCMS’ sponsored museums since 2008/09 are available.</w:t>
        </w:r>
      </w:hyperlink>
    </w:p>
    <w:p w14:paraId="3E3626F3" w14:textId="77777777" w:rsidR="004E4319" w:rsidRDefault="004E4319" w:rsidP="00F721B2">
      <w:pPr>
        <w:spacing w:before="0"/>
        <w:ind w:left="1211"/>
        <w:rPr>
          <w:lang w:val="en"/>
        </w:rPr>
      </w:pPr>
    </w:p>
    <w:p w14:paraId="1F256FB3" w14:textId="77777777" w:rsidR="008C51CA" w:rsidRPr="001B0225" w:rsidRDefault="008C51CA" w:rsidP="00F721B2">
      <w:pPr>
        <w:spacing w:before="0"/>
        <w:ind w:left="1699"/>
        <w:rPr>
          <w:rFonts w:cs="Arial"/>
        </w:rPr>
      </w:pPr>
    </w:p>
    <w:p w14:paraId="7A3AFAB1" w14:textId="77777777" w:rsidR="008C51CA" w:rsidRPr="001B0225" w:rsidRDefault="008C51CA" w:rsidP="00F721B2">
      <w:pPr>
        <w:spacing w:before="0"/>
        <w:ind w:left="1699"/>
        <w:rPr>
          <w:rFonts w:cs="Arial"/>
        </w:rPr>
      </w:pPr>
    </w:p>
    <w:p w14:paraId="4C4E6D4C" w14:textId="77777777" w:rsidR="008C51CA" w:rsidRPr="001B0225" w:rsidRDefault="008C51CA" w:rsidP="00F721B2">
      <w:pPr>
        <w:ind w:left="1699"/>
        <w:jc w:val="right"/>
        <w:rPr>
          <w:rFonts w:cs="Arial"/>
        </w:rPr>
      </w:pPr>
    </w:p>
    <w:p w14:paraId="407DDDBB" w14:textId="77777777" w:rsidR="008C51CA" w:rsidRPr="001B0225" w:rsidRDefault="008C51CA" w:rsidP="00F721B2">
      <w:pPr>
        <w:pStyle w:val="Heading1Numbered"/>
        <w:numPr>
          <w:ilvl w:val="0"/>
          <w:numId w:val="0"/>
        </w:numPr>
        <w:spacing w:before="0" w:after="0"/>
        <w:ind w:left="1189"/>
        <w:rPr>
          <w:rFonts w:cs="Arial"/>
          <w:sz w:val="52"/>
          <w:szCs w:val="52"/>
        </w:rPr>
      </w:pPr>
      <w:bookmarkStart w:id="8" w:name="_Toc246996360"/>
      <w:bookmarkStart w:id="9" w:name="_Toc268532189"/>
      <w:bookmarkStart w:id="10" w:name="_Toc320107346"/>
      <w:bookmarkStart w:id="11" w:name="_Toc335731519"/>
      <w:bookmarkStart w:id="12" w:name="_Toc372032804"/>
      <w:r w:rsidRPr="001B0225">
        <w:rPr>
          <w:rFonts w:cs="Arial"/>
          <w:sz w:val="52"/>
          <w:szCs w:val="52"/>
        </w:rPr>
        <w:lastRenderedPageBreak/>
        <w:t xml:space="preserve">Annex A: </w:t>
      </w:r>
      <w:bookmarkEnd w:id="8"/>
      <w:bookmarkEnd w:id="9"/>
      <w:r w:rsidRPr="001B0225">
        <w:rPr>
          <w:rFonts w:cs="Arial"/>
          <w:sz w:val="52"/>
          <w:szCs w:val="52"/>
        </w:rPr>
        <w:t>Background note</w:t>
      </w:r>
      <w:bookmarkEnd w:id="10"/>
      <w:bookmarkEnd w:id="11"/>
      <w:bookmarkEnd w:id="12"/>
    </w:p>
    <w:p w14:paraId="7E550BDD" w14:textId="77777777" w:rsidR="008C51CA" w:rsidRPr="001B0225" w:rsidRDefault="008C51CA" w:rsidP="00FE2784">
      <w:pPr>
        <w:spacing w:before="0"/>
        <w:ind w:left="0"/>
        <w:rPr>
          <w:rFonts w:cs="Arial"/>
          <w:i/>
          <w:szCs w:val="22"/>
        </w:rPr>
      </w:pPr>
    </w:p>
    <w:p w14:paraId="1FB50E94" w14:textId="7D698489" w:rsidR="008C51CA" w:rsidRDefault="008C51CA" w:rsidP="00F721B2">
      <w:pPr>
        <w:pStyle w:val="ListParagraph"/>
        <w:numPr>
          <w:ilvl w:val="0"/>
          <w:numId w:val="19"/>
        </w:numPr>
        <w:spacing w:after="0" w:line="240" w:lineRule="auto"/>
        <w:ind w:left="1549"/>
        <w:rPr>
          <w:rFonts w:ascii="Arial" w:hAnsi="Arial" w:cs="Arial"/>
        </w:rPr>
      </w:pPr>
      <w:r w:rsidRPr="001B0225">
        <w:rPr>
          <w:rFonts w:ascii="Arial" w:hAnsi="Arial" w:cs="Arial"/>
        </w:rPr>
        <w:t>Sponsored Museums: Performance Indicator</w:t>
      </w:r>
      <w:r w:rsidR="00FE2784">
        <w:rPr>
          <w:rFonts w:ascii="Arial" w:hAnsi="Arial" w:cs="Arial"/>
        </w:rPr>
        <w:t xml:space="preserve">s is an Official Statistic and </w:t>
      </w:r>
      <w:r w:rsidRPr="001B0225">
        <w:rPr>
          <w:rFonts w:ascii="Arial" w:hAnsi="Arial" w:cs="Arial"/>
        </w:rPr>
        <w:t xml:space="preserve">has been produced to the </w:t>
      </w:r>
      <w:r w:rsidR="00FE2784">
        <w:rPr>
          <w:rFonts w:ascii="Arial" w:hAnsi="Arial" w:cs="Arial"/>
        </w:rPr>
        <w:t>stand</w:t>
      </w:r>
      <w:r w:rsidRPr="001B0225">
        <w:rPr>
          <w:rFonts w:ascii="Arial" w:hAnsi="Arial" w:cs="Arial"/>
        </w:rPr>
        <w:t xml:space="preserve">ards set out in the Code of Practice for Official Statistics. Official Statistics undergo regular quality assurance reviews to ensure they meet customer needs and are produced free from any political interference. For more information, see </w:t>
      </w:r>
      <w:hyperlink r:id="rId23" w:history="1">
        <w:r w:rsidRPr="001B0225">
          <w:rPr>
            <w:rStyle w:val="Hyperlink"/>
            <w:rFonts w:cs="Arial"/>
          </w:rPr>
          <w:t>http://www.statisticsauthority.gov.uk/assessment/code-of-practice/code-of-practice-for-official-statistics.pdf</w:t>
        </w:r>
      </w:hyperlink>
      <w:r w:rsidRPr="001B0225">
        <w:rPr>
          <w:rFonts w:ascii="Arial" w:hAnsi="Arial" w:cs="Arial"/>
        </w:rPr>
        <w:t xml:space="preserve">. </w:t>
      </w:r>
    </w:p>
    <w:p w14:paraId="4526934B" w14:textId="77777777" w:rsidR="00BC0D0F" w:rsidRDefault="00BC0D0F" w:rsidP="00BC0D0F">
      <w:pPr>
        <w:pStyle w:val="ListParagraph"/>
        <w:spacing w:after="0" w:line="240" w:lineRule="auto"/>
        <w:ind w:left="1549"/>
        <w:rPr>
          <w:rFonts w:ascii="Arial" w:hAnsi="Arial" w:cs="Arial"/>
        </w:rPr>
      </w:pPr>
    </w:p>
    <w:p w14:paraId="4330354A" w14:textId="77777777" w:rsidR="00BC0D0F" w:rsidRDefault="00BC0D0F" w:rsidP="00F721B2">
      <w:pPr>
        <w:pStyle w:val="ListParagraph"/>
        <w:numPr>
          <w:ilvl w:val="0"/>
          <w:numId w:val="19"/>
        </w:numPr>
        <w:spacing w:after="0" w:line="240" w:lineRule="auto"/>
        <w:ind w:left="1549"/>
        <w:rPr>
          <w:rFonts w:ascii="Arial" w:hAnsi="Arial" w:cs="Arial"/>
        </w:rPr>
      </w:pPr>
      <w:r>
        <w:rPr>
          <w:rFonts w:ascii="Arial" w:hAnsi="Arial" w:cs="Arial"/>
        </w:rPr>
        <w:t>This release of this publication was delayed by two weeks to 14/11/2013 due to data issues identified during quality assurance.</w:t>
      </w:r>
    </w:p>
    <w:p w14:paraId="64DCA7B6" w14:textId="77777777" w:rsidR="00BC0D0F" w:rsidRPr="00BC0D0F" w:rsidRDefault="00BC0D0F" w:rsidP="00BC0D0F">
      <w:pPr>
        <w:pStyle w:val="ListParagraph"/>
        <w:rPr>
          <w:rFonts w:ascii="Arial" w:hAnsi="Arial" w:cs="Arial"/>
        </w:rPr>
      </w:pPr>
    </w:p>
    <w:p w14:paraId="7B7B52DB" w14:textId="6D7BD72C" w:rsidR="00BC0D0F" w:rsidRDefault="00BC0D0F" w:rsidP="00F721B2">
      <w:pPr>
        <w:pStyle w:val="ListParagraph"/>
        <w:numPr>
          <w:ilvl w:val="0"/>
          <w:numId w:val="19"/>
        </w:numPr>
        <w:spacing w:after="0" w:line="240" w:lineRule="auto"/>
        <w:ind w:left="1549"/>
        <w:rPr>
          <w:rFonts w:ascii="Arial" w:hAnsi="Arial" w:cs="Arial"/>
        </w:rPr>
      </w:pPr>
      <w:r>
        <w:rPr>
          <w:rFonts w:ascii="Arial" w:hAnsi="Arial" w:cs="Arial"/>
        </w:rPr>
        <w:t>Sponsored Museums Performance Indicator publications previously included data on adult visits by NS-SEC group, ethnicity and whether visitor</w:t>
      </w:r>
      <w:r w:rsidR="003E0A7B">
        <w:rPr>
          <w:rFonts w:ascii="Arial" w:hAnsi="Arial" w:cs="Arial"/>
        </w:rPr>
        <w:t>s</w:t>
      </w:r>
      <w:r>
        <w:rPr>
          <w:rFonts w:ascii="Arial" w:hAnsi="Arial" w:cs="Arial"/>
        </w:rPr>
        <w:t xml:space="preserve"> </w:t>
      </w:r>
      <w:r w:rsidR="003E0A7B">
        <w:rPr>
          <w:rFonts w:ascii="Arial" w:hAnsi="Arial" w:cs="Arial"/>
        </w:rPr>
        <w:t xml:space="preserve">considered themselves to have a long term illness, disability or infirmity. </w:t>
      </w:r>
    </w:p>
    <w:p w14:paraId="5FDA39C2" w14:textId="77777777" w:rsidR="003E0A7B" w:rsidRPr="003E0A7B" w:rsidRDefault="003E0A7B" w:rsidP="003E0A7B">
      <w:pPr>
        <w:pStyle w:val="ListParagraph"/>
        <w:rPr>
          <w:rFonts w:ascii="Arial" w:hAnsi="Arial" w:cs="Arial"/>
        </w:rPr>
      </w:pPr>
    </w:p>
    <w:p w14:paraId="68C4C584" w14:textId="58405632" w:rsidR="003E0A7B" w:rsidRDefault="003E0A7B" w:rsidP="003E0A7B">
      <w:pPr>
        <w:pStyle w:val="ListParagraph"/>
        <w:spacing w:after="0" w:line="240" w:lineRule="auto"/>
        <w:ind w:left="1549"/>
        <w:rPr>
          <w:rFonts w:ascii="Arial" w:hAnsi="Arial" w:cs="Arial"/>
        </w:rPr>
      </w:pPr>
      <w:r>
        <w:rPr>
          <w:rFonts w:ascii="Arial" w:hAnsi="Arial" w:cs="Arial"/>
        </w:rPr>
        <w:t>Previous publications also included data on:</w:t>
      </w:r>
    </w:p>
    <w:p w14:paraId="7B62CC07" w14:textId="77777777" w:rsidR="003E0A7B" w:rsidRPr="003E0A7B" w:rsidRDefault="003E0A7B" w:rsidP="003E0A7B">
      <w:pPr>
        <w:pStyle w:val="ListParagraph"/>
        <w:rPr>
          <w:rFonts w:ascii="Arial" w:hAnsi="Arial" w:cs="Arial"/>
        </w:rPr>
      </w:pPr>
    </w:p>
    <w:p w14:paraId="60B38D4F" w14:textId="209E0223" w:rsidR="003E0A7B" w:rsidRPr="00CB43DA" w:rsidRDefault="003E0A7B" w:rsidP="003E0A7B">
      <w:pPr>
        <w:pStyle w:val="ListParagraph"/>
        <w:numPr>
          <w:ilvl w:val="0"/>
          <w:numId w:val="20"/>
        </w:numPr>
        <w:spacing w:line="240" w:lineRule="auto"/>
        <w:rPr>
          <w:rFonts w:ascii="Arial" w:hAnsi="Arial" w:cs="Arial"/>
          <w:szCs w:val="24"/>
        </w:rPr>
      </w:pPr>
      <w:r>
        <w:rPr>
          <w:rFonts w:ascii="Arial" w:hAnsi="Arial" w:cs="Arial"/>
        </w:rPr>
        <w:t>The number</w:t>
      </w:r>
      <w:r w:rsidRPr="00CB43DA">
        <w:rPr>
          <w:rFonts w:ascii="Arial" w:hAnsi="Arial" w:cs="Arial"/>
          <w:szCs w:val="24"/>
        </w:rPr>
        <w:t xml:space="preserve"> of instances of children participating in outreach activities outside the gallery</w:t>
      </w:r>
    </w:p>
    <w:p w14:paraId="6340F7EC" w14:textId="05627FB6" w:rsidR="003E0A7B" w:rsidRPr="00CB43DA" w:rsidRDefault="003E0A7B" w:rsidP="003E0A7B">
      <w:pPr>
        <w:pStyle w:val="ListParagraph"/>
        <w:numPr>
          <w:ilvl w:val="0"/>
          <w:numId w:val="20"/>
        </w:numPr>
        <w:spacing w:line="240" w:lineRule="auto"/>
        <w:rPr>
          <w:rFonts w:ascii="Arial" w:hAnsi="Arial" w:cs="Arial"/>
          <w:szCs w:val="24"/>
        </w:rPr>
      </w:pPr>
      <w:r>
        <w:rPr>
          <w:rFonts w:ascii="Arial" w:hAnsi="Arial" w:cs="Arial"/>
          <w:szCs w:val="24"/>
        </w:rPr>
        <w:t>The number</w:t>
      </w:r>
      <w:r w:rsidRPr="00CB43DA">
        <w:rPr>
          <w:rFonts w:ascii="Arial" w:hAnsi="Arial" w:cs="Arial"/>
          <w:szCs w:val="24"/>
        </w:rPr>
        <w:t xml:space="preserve"> of instances of adults aged 16 and over participating in organised activities at the museum/gallery</w:t>
      </w:r>
    </w:p>
    <w:p w14:paraId="4E740BF9" w14:textId="6C3A423F" w:rsidR="003E0A7B" w:rsidRDefault="003E0A7B" w:rsidP="003E0A7B">
      <w:pPr>
        <w:pStyle w:val="ListParagraph"/>
        <w:numPr>
          <w:ilvl w:val="0"/>
          <w:numId w:val="20"/>
        </w:numPr>
        <w:spacing w:line="240" w:lineRule="auto"/>
        <w:rPr>
          <w:rFonts w:ascii="Arial" w:hAnsi="Arial" w:cs="Arial"/>
          <w:szCs w:val="24"/>
        </w:rPr>
      </w:pPr>
      <w:r>
        <w:rPr>
          <w:rFonts w:ascii="Arial" w:hAnsi="Arial" w:cs="Arial"/>
          <w:szCs w:val="24"/>
        </w:rPr>
        <w:t>The number</w:t>
      </w:r>
      <w:r w:rsidRPr="00CB43DA">
        <w:rPr>
          <w:rFonts w:ascii="Arial" w:hAnsi="Arial" w:cs="Arial"/>
          <w:szCs w:val="24"/>
        </w:rPr>
        <w:t xml:space="preserve"> of instances of adults aged 16 and over participating in outreach activities outside the museum/gallery</w:t>
      </w:r>
      <w:r>
        <w:rPr>
          <w:rFonts w:ascii="Arial" w:hAnsi="Arial" w:cs="Arial"/>
          <w:szCs w:val="24"/>
        </w:rPr>
        <w:t>.</w:t>
      </w:r>
    </w:p>
    <w:p w14:paraId="7FFD0FD0" w14:textId="30C58100" w:rsidR="008C51CA" w:rsidRPr="00FE2784" w:rsidRDefault="00FA5555" w:rsidP="00FE2784">
      <w:pPr>
        <w:ind w:left="1549"/>
        <w:rPr>
          <w:rStyle w:val="Hyperlink"/>
          <w:rFonts w:cs="Arial"/>
          <w:color w:val="auto"/>
          <w:u w:val="none"/>
        </w:rPr>
      </w:pPr>
      <w:r w:rsidRPr="00FE2784">
        <w:rPr>
          <w:rFonts w:cs="Arial"/>
        </w:rPr>
        <w:t>Following consultation with the sponsored Museums and Galleries,</w:t>
      </w:r>
      <w:r w:rsidR="003E0A7B" w:rsidRPr="00FE2784">
        <w:rPr>
          <w:rFonts w:cs="Arial"/>
        </w:rPr>
        <w:t xml:space="preserve"> the data outlined above were no longer collected</w:t>
      </w:r>
      <w:r w:rsidRPr="00FE2784">
        <w:rPr>
          <w:rFonts w:cs="Arial"/>
        </w:rPr>
        <w:t xml:space="preserve"> from 2012/13 onwards</w:t>
      </w:r>
      <w:r w:rsidR="003E0A7B" w:rsidRPr="00FE2784">
        <w:rPr>
          <w:rFonts w:cs="Arial"/>
        </w:rPr>
        <w:t xml:space="preserve"> to reduce the burden of data collection on the Museums and Galleries.</w:t>
      </w:r>
      <w:r w:rsidR="00FE2784">
        <w:rPr>
          <w:rFonts w:cs="Arial"/>
        </w:rPr>
        <w:t xml:space="preserve"> </w:t>
      </w:r>
      <w:r>
        <w:rPr>
          <w:rFonts w:cs="Arial"/>
        </w:rPr>
        <w:t>If you have a continued user need for th</w:t>
      </w:r>
      <w:r w:rsidR="00FE2784">
        <w:rPr>
          <w:rFonts w:cs="Arial"/>
        </w:rPr>
        <w:t>ese</w:t>
      </w:r>
      <w:r>
        <w:rPr>
          <w:rFonts w:cs="Arial"/>
        </w:rPr>
        <w:t xml:space="preserve"> data, please contact </w:t>
      </w:r>
      <w:hyperlink r:id="rId24" w:history="1">
        <w:r w:rsidRPr="001B0225">
          <w:rPr>
            <w:rStyle w:val="Hyperlink"/>
            <w:rFonts w:cs="Arial"/>
            <w:szCs w:val="22"/>
          </w:rPr>
          <w:t>enquiries@culture.gov.uk</w:t>
        </w:r>
      </w:hyperlink>
    </w:p>
    <w:p w14:paraId="55B4897F" w14:textId="77777777" w:rsidR="00FA5555" w:rsidRPr="001B0225" w:rsidRDefault="00FA5555" w:rsidP="00FA5555">
      <w:pPr>
        <w:spacing w:before="0"/>
        <w:ind w:left="1549"/>
        <w:rPr>
          <w:rFonts w:cs="Arial"/>
          <w:szCs w:val="22"/>
        </w:rPr>
      </w:pPr>
    </w:p>
    <w:p w14:paraId="51081D82" w14:textId="0084EEC8" w:rsidR="00FE2784" w:rsidRPr="00FE2784" w:rsidRDefault="00FE2784" w:rsidP="00FE2784">
      <w:pPr>
        <w:pStyle w:val="ListParagraph"/>
        <w:numPr>
          <w:ilvl w:val="0"/>
          <w:numId w:val="19"/>
        </w:numPr>
        <w:spacing w:after="0" w:line="240" w:lineRule="auto"/>
        <w:ind w:left="1549"/>
        <w:rPr>
          <w:rFonts w:ascii="Arial" w:hAnsi="Arial" w:cs="Arial"/>
        </w:rPr>
      </w:pPr>
      <w:r w:rsidRPr="00FE2784">
        <w:rPr>
          <w:rFonts w:ascii="Arial" w:hAnsi="Arial" w:cs="Arial"/>
        </w:rPr>
        <w:t>Due to data issues identified during processing, d</w:t>
      </w:r>
      <w:r w:rsidR="006E0153" w:rsidRPr="00FE2784">
        <w:rPr>
          <w:rFonts w:ascii="Arial" w:hAnsi="Arial" w:cs="Arial"/>
        </w:rPr>
        <w:t>ata on income generated through admissions, trading and fundraising as well as the number of instances of children under 16 participating in on-site organised activities have been omitted from this report and accompanying tables. They will be made available at a later date</w:t>
      </w:r>
      <w:r w:rsidRPr="00FE2784">
        <w:rPr>
          <w:rFonts w:ascii="Arial" w:hAnsi="Arial" w:cs="Arial"/>
        </w:rPr>
        <w:t>, once these issues have been resolved</w:t>
      </w:r>
      <w:r w:rsidR="006E0153" w:rsidRPr="00FE2784">
        <w:rPr>
          <w:rFonts w:ascii="Arial" w:hAnsi="Arial" w:cs="Arial"/>
        </w:rPr>
        <w:t>.</w:t>
      </w:r>
      <w:r w:rsidRPr="00FE2784">
        <w:rPr>
          <w:rFonts w:ascii="Arial" w:hAnsi="Arial" w:cs="Arial"/>
        </w:rPr>
        <w:t xml:space="preserve"> Please contact </w:t>
      </w:r>
      <w:hyperlink r:id="rId25" w:history="1">
        <w:r w:rsidRPr="00FE2784">
          <w:rPr>
            <w:rStyle w:val="Hyperlink"/>
            <w:rFonts w:cs="Arial"/>
          </w:rPr>
          <w:t>enquiries@culture.gov.uk</w:t>
        </w:r>
      </w:hyperlink>
      <w:r w:rsidRPr="00FE2784">
        <w:rPr>
          <w:rStyle w:val="Hyperlink"/>
          <w:rFonts w:cs="Arial"/>
          <w:color w:val="auto"/>
          <w:u w:val="none"/>
        </w:rPr>
        <w:t xml:space="preserve"> for further information.</w:t>
      </w:r>
    </w:p>
    <w:p w14:paraId="7989E2F0" w14:textId="77777777" w:rsidR="006E0153" w:rsidRDefault="006E0153" w:rsidP="006E0153">
      <w:pPr>
        <w:pStyle w:val="ListParagraph"/>
        <w:spacing w:after="0" w:line="240" w:lineRule="auto"/>
        <w:ind w:left="1549"/>
        <w:rPr>
          <w:rFonts w:ascii="Arial" w:hAnsi="Arial" w:cs="Arial"/>
        </w:rPr>
      </w:pPr>
    </w:p>
    <w:p w14:paraId="0D751EB2" w14:textId="1A74360D" w:rsidR="008C51CA" w:rsidRPr="001B0225" w:rsidRDefault="008C51CA" w:rsidP="00F721B2">
      <w:pPr>
        <w:pStyle w:val="ListParagraph"/>
        <w:numPr>
          <w:ilvl w:val="0"/>
          <w:numId w:val="19"/>
        </w:numPr>
        <w:spacing w:after="0" w:line="240" w:lineRule="auto"/>
        <w:ind w:left="1549"/>
        <w:rPr>
          <w:rFonts w:ascii="Arial" w:hAnsi="Arial" w:cs="Arial"/>
        </w:rPr>
      </w:pPr>
      <w:r w:rsidRPr="001B0225">
        <w:rPr>
          <w:rFonts w:ascii="Arial" w:hAnsi="Arial" w:cs="Arial"/>
        </w:rPr>
        <w:t>This report has been pr</w:t>
      </w:r>
      <w:r w:rsidR="006A618A">
        <w:rPr>
          <w:rFonts w:ascii="Arial" w:hAnsi="Arial" w:cs="Arial"/>
        </w:rPr>
        <w:t>oduced by Paul Maley</w:t>
      </w:r>
      <w:r w:rsidRPr="001B0225">
        <w:rPr>
          <w:rFonts w:ascii="Arial" w:hAnsi="Arial" w:cs="Arial"/>
        </w:rPr>
        <w:t xml:space="preserve"> and Sam Tuckett. </w:t>
      </w:r>
    </w:p>
    <w:p w14:paraId="18943FCA" w14:textId="77777777" w:rsidR="008C51CA" w:rsidRPr="001B0225" w:rsidRDefault="008C51CA" w:rsidP="00F721B2">
      <w:pPr>
        <w:ind w:left="0"/>
        <w:rPr>
          <w:rFonts w:cs="Arial"/>
        </w:rPr>
      </w:pPr>
    </w:p>
    <w:p w14:paraId="61274251" w14:textId="70E4F1FA" w:rsidR="008C51CA" w:rsidRPr="001B0225" w:rsidRDefault="008C51CA" w:rsidP="00F721B2">
      <w:pPr>
        <w:pStyle w:val="ListParagraph"/>
        <w:numPr>
          <w:ilvl w:val="0"/>
          <w:numId w:val="19"/>
        </w:numPr>
        <w:spacing w:after="0" w:line="240" w:lineRule="auto"/>
        <w:ind w:left="1549"/>
        <w:rPr>
          <w:rFonts w:ascii="Arial" w:hAnsi="Arial" w:cs="Arial"/>
        </w:rPr>
      </w:pPr>
      <w:r w:rsidRPr="001B0225">
        <w:rPr>
          <w:rFonts w:ascii="Arial" w:hAnsi="Arial" w:cs="Arial"/>
        </w:rPr>
        <w:t>The responsible statistician for this release is Sam Tuckett. For enquiries on this release, please contact Sam Tuckett on 0207 211 2382.</w:t>
      </w:r>
    </w:p>
    <w:p w14:paraId="3A280B59" w14:textId="77777777" w:rsidR="008C51CA" w:rsidRPr="001B0225" w:rsidRDefault="008C51CA" w:rsidP="00F721B2">
      <w:pPr>
        <w:pStyle w:val="ListParagraph"/>
        <w:ind w:left="491"/>
        <w:rPr>
          <w:rFonts w:ascii="Arial" w:hAnsi="Arial" w:cs="Arial"/>
        </w:rPr>
      </w:pPr>
    </w:p>
    <w:p w14:paraId="2D481AB8" w14:textId="49F202A7" w:rsidR="008C51CA" w:rsidRPr="001B0225" w:rsidRDefault="008C51CA" w:rsidP="00F721B2">
      <w:pPr>
        <w:pStyle w:val="ListParagraph"/>
        <w:numPr>
          <w:ilvl w:val="0"/>
          <w:numId w:val="19"/>
        </w:numPr>
        <w:spacing w:after="0" w:line="240" w:lineRule="auto"/>
        <w:ind w:left="1549"/>
        <w:rPr>
          <w:rFonts w:ascii="Arial" w:hAnsi="Arial" w:cs="Arial"/>
        </w:rPr>
      </w:pPr>
      <w:r w:rsidRPr="001B0225">
        <w:rPr>
          <w:rFonts w:ascii="Arial" w:hAnsi="Arial" w:cs="Arial"/>
        </w:rPr>
        <w:t xml:space="preserve">Next Release: Sponsored Museums: Performance Indicators is an annual publication. The next release is scheduled for October 2014  </w:t>
      </w:r>
    </w:p>
    <w:p w14:paraId="4235BFF6" w14:textId="77777777" w:rsidR="008C51CA" w:rsidRPr="001B0225" w:rsidRDefault="008C51CA" w:rsidP="00F721B2">
      <w:pPr>
        <w:pStyle w:val="ListParagraph"/>
        <w:ind w:left="851"/>
        <w:rPr>
          <w:rFonts w:ascii="Arial" w:hAnsi="Arial" w:cs="Arial"/>
        </w:rPr>
      </w:pPr>
    </w:p>
    <w:p w14:paraId="23122646" w14:textId="77777777" w:rsidR="008C51CA" w:rsidRPr="001B0225" w:rsidRDefault="008C51CA" w:rsidP="00F721B2">
      <w:pPr>
        <w:pStyle w:val="ListParagraph"/>
        <w:numPr>
          <w:ilvl w:val="0"/>
          <w:numId w:val="19"/>
        </w:numPr>
        <w:spacing w:after="0" w:line="240" w:lineRule="auto"/>
        <w:ind w:left="1549"/>
        <w:rPr>
          <w:rFonts w:ascii="Arial" w:hAnsi="Arial" w:cs="Arial"/>
        </w:rPr>
      </w:pPr>
      <w:r w:rsidRPr="001B0225">
        <w:rPr>
          <w:rFonts w:ascii="Arial" w:hAnsi="Arial" w:cs="Arial"/>
        </w:rPr>
        <w:t>For general enquiries telephone: 0207 211 6200</w:t>
      </w:r>
    </w:p>
    <w:p w14:paraId="0A53001C" w14:textId="080CB3A1" w:rsidR="008C51CA" w:rsidRPr="001B0225" w:rsidRDefault="008C51CA" w:rsidP="00F721B2">
      <w:pPr>
        <w:spacing w:before="0"/>
        <w:ind w:left="1549"/>
        <w:rPr>
          <w:rFonts w:cs="Arial"/>
          <w:szCs w:val="22"/>
        </w:rPr>
      </w:pPr>
      <w:r w:rsidRPr="001B0225">
        <w:rPr>
          <w:rFonts w:cs="Arial"/>
          <w:szCs w:val="22"/>
        </w:rPr>
        <w:t>Department for Culture Media and Sport</w:t>
      </w:r>
      <w:r w:rsidRPr="001B0225">
        <w:rPr>
          <w:rFonts w:cs="Arial"/>
          <w:szCs w:val="22"/>
        </w:rPr>
        <w:br/>
        <w:t>100 Parliament Street</w:t>
      </w:r>
    </w:p>
    <w:p w14:paraId="2D37D9E3" w14:textId="77777777" w:rsidR="008C51CA" w:rsidRPr="001B0225" w:rsidRDefault="008C51CA" w:rsidP="00F721B2">
      <w:pPr>
        <w:spacing w:before="0"/>
        <w:ind w:left="1549"/>
        <w:rPr>
          <w:rFonts w:cs="Arial"/>
          <w:szCs w:val="22"/>
        </w:rPr>
      </w:pPr>
      <w:r w:rsidRPr="001B0225">
        <w:rPr>
          <w:rFonts w:cs="Arial"/>
          <w:szCs w:val="22"/>
        </w:rPr>
        <w:t>London</w:t>
      </w:r>
    </w:p>
    <w:p w14:paraId="52AE9748" w14:textId="75077442" w:rsidR="008C51CA" w:rsidRPr="001B0225" w:rsidRDefault="008C51CA" w:rsidP="00F721B2">
      <w:pPr>
        <w:spacing w:before="0"/>
        <w:ind w:left="1549"/>
        <w:rPr>
          <w:rFonts w:cs="Arial"/>
          <w:szCs w:val="22"/>
        </w:rPr>
      </w:pPr>
      <w:r w:rsidRPr="001B0225">
        <w:rPr>
          <w:rFonts w:cs="Arial"/>
          <w:szCs w:val="22"/>
        </w:rPr>
        <w:t>SW1A 2BQ</w:t>
      </w:r>
    </w:p>
    <w:p w14:paraId="0B5E6CBA" w14:textId="431481F7" w:rsidR="008C51CA" w:rsidRPr="001B0225" w:rsidRDefault="00936B04" w:rsidP="00F108BA">
      <w:pPr>
        <w:spacing w:before="0"/>
        <w:ind w:left="1549"/>
        <w:rPr>
          <w:rFonts w:cs="Arial"/>
        </w:rPr>
        <w:sectPr w:rsidR="008C51CA" w:rsidRPr="001B0225" w:rsidSect="0023155C">
          <w:pgSz w:w="11906" w:h="16838" w:code="9"/>
          <w:pgMar w:top="1418" w:right="1021" w:bottom="1134" w:left="1021" w:header="539" w:footer="709" w:gutter="0"/>
          <w:cols w:space="708"/>
          <w:docGrid w:linePitch="360"/>
        </w:sectPr>
      </w:pPr>
      <w:hyperlink r:id="rId26" w:history="1">
        <w:r w:rsidR="008C51CA" w:rsidRPr="001B0225">
          <w:rPr>
            <w:rStyle w:val="Hyperlink"/>
            <w:rFonts w:cs="Arial"/>
            <w:szCs w:val="22"/>
          </w:rPr>
          <w:t>enquiries@culture.gov.uk</w:t>
        </w:r>
      </w:hyperlink>
    </w:p>
    <w:p w14:paraId="0CA20F80" w14:textId="702ED59D" w:rsidR="008C51CA" w:rsidRPr="001B0225" w:rsidRDefault="008C51CA" w:rsidP="00F721B2">
      <w:pPr>
        <w:autoSpaceDE w:val="0"/>
        <w:autoSpaceDN w:val="0"/>
        <w:adjustRightInd w:val="0"/>
        <w:ind w:left="0"/>
        <w:rPr>
          <w:rFonts w:cs="Arial"/>
          <w:szCs w:val="22"/>
          <w:lang w:val="en-US"/>
        </w:rPr>
      </w:pPr>
      <w:r w:rsidRPr="001B0225">
        <w:rPr>
          <w:rFonts w:cs="Arial"/>
          <w:noProof/>
          <w:lang w:eastAsia="en-GB"/>
        </w:rPr>
        <w:lastRenderedPageBreak/>
        <w:drawing>
          <wp:anchor distT="0" distB="0" distL="114300" distR="114300" simplePos="0" relativeHeight="251667456" behindDoc="0" locked="0" layoutInCell="0" allowOverlap="1" wp14:anchorId="6FB34376" wp14:editId="78FF2B58">
            <wp:simplePos x="0" y="0"/>
            <wp:positionH relativeFrom="page">
              <wp:posOffset>459740</wp:posOffset>
            </wp:positionH>
            <wp:positionV relativeFrom="page">
              <wp:posOffset>8263890</wp:posOffset>
            </wp:positionV>
            <wp:extent cx="1638300" cy="119189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225">
        <w:rPr>
          <w:rFonts w:cs="Arial"/>
          <w:noProof/>
          <w:lang w:eastAsia="en-GB"/>
        </w:rPr>
        <w:drawing>
          <wp:anchor distT="0" distB="0" distL="114300" distR="114300" simplePos="0" relativeHeight="251668480" behindDoc="1" locked="0" layoutInCell="1" allowOverlap="1" wp14:anchorId="4B3007A5" wp14:editId="5FE648B4">
            <wp:simplePos x="0" y="0"/>
            <wp:positionH relativeFrom="column">
              <wp:posOffset>-275590</wp:posOffset>
            </wp:positionH>
            <wp:positionV relativeFrom="paragraph">
              <wp:posOffset>8707120</wp:posOffset>
            </wp:positionV>
            <wp:extent cx="2524760" cy="685800"/>
            <wp:effectExtent l="0" t="0" r="8890" b="0"/>
            <wp:wrapTight wrapText="bothSides">
              <wp:wrapPolygon edited="0">
                <wp:start x="0" y="0"/>
                <wp:lineTo x="0" y="21000"/>
                <wp:lineTo x="21513" y="21000"/>
                <wp:lineTo x="2151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4760" cy="685800"/>
                    </a:xfrm>
                    <a:prstGeom prst="rect">
                      <a:avLst/>
                    </a:prstGeom>
                    <a:noFill/>
                  </pic:spPr>
                </pic:pic>
              </a:graphicData>
            </a:graphic>
            <wp14:sizeRelH relativeFrom="page">
              <wp14:pctWidth>0</wp14:pctWidth>
            </wp14:sizeRelH>
            <wp14:sizeRelV relativeFrom="page">
              <wp14:pctHeight>0</wp14:pctHeight>
            </wp14:sizeRelV>
          </wp:anchor>
        </w:drawing>
      </w:r>
    </w:p>
    <w:p w14:paraId="2F1C34B7" w14:textId="3D5E8F7B" w:rsidR="00125909" w:rsidRPr="001B0225" w:rsidRDefault="00125909" w:rsidP="00F721B2">
      <w:pPr>
        <w:spacing w:before="0"/>
        <w:ind w:left="0"/>
        <w:rPr>
          <w:rFonts w:cs="Arial"/>
        </w:rPr>
      </w:pPr>
    </w:p>
    <w:sectPr w:rsidR="00125909" w:rsidRPr="001B0225" w:rsidSect="008C51CA">
      <w:type w:val="evenPage"/>
      <w:pgSz w:w="11906" w:h="16838" w:code="9"/>
      <w:pgMar w:top="1418"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E49DA" w14:textId="77777777" w:rsidR="00FB6CDA" w:rsidRDefault="00FB6CDA" w:rsidP="00FD27B8">
      <w:pPr>
        <w:pStyle w:val="Header"/>
      </w:pPr>
      <w:r>
        <w:separator/>
      </w:r>
    </w:p>
    <w:p w14:paraId="74542229" w14:textId="77777777" w:rsidR="00FB6CDA" w:rsidRDefault="00FB6CDA"/>
  </w:endnote>
  <w:endnote w:type="continuationSeparator" w:id="0">
    <w:p w14:paraId="158423AF" w14:textId="77777777" w:rsidR="00FB6CDA" w:rsidRDefault="00FB6CDA" w:rsidP="00FD27B8">
      <w:pPr>
        <w:pStyle w:val="Header"/>
      </w:pPr>
      <w:r>
        <w:continuationSeparator/>
      </w:r>
    </w:p>
    <w:p w14:paraId="0959A0D5" w14:textId="77777777" w:rsidR="00FB6CDA" w:rsidRDefault="00FB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2F368" w14:textId="77777777" w:rsidR="00FB6CDA" w:rsidRDefault="00FB6CDA" w:rsidP="00FD27B8">
      <w:pPr>
        <w:pStyle w:val="Header"/>
      </w:pPr>
    </w:p>
    <w:p w14:paraId="06C0C084" w14:textId="77777777" w:rsidR="00FB6CDA" w:rsidRDefault="00FB6CDA"/>
  </w:footnote>
  <w:footnote w:type="continuationSeparator" w:id="0">
    <w:p w14:paraId="21E6EC49" w14:textId="77777777" w:rsidR="00FB6CDA" w:rsidRDefault="00FB6CDA" w:rsidP="00FD27B8">
      <w:pPr>
        <w:pStyle w:val="Header"/>
      </w:pPr>
      <w:r>
        <w:continuationSeparator/>
      </w:r>
    </w:p>
    <w:p w14:paraId="33035F79" w14:textId="77777777" w:rsidR="00FB6CDA" w:rsidRDefault="00FB6CDA"/>
  </w:footnote>
  <w:footnote w:id="1">
    <w:p w14:paraId="38918489" w14:textId="32B09FA2" w:rsidR="00F72A94" w:rsidRDefault="00F72A94" w:rsidP="001D4857">
      <w:pPr>
        <w:pStyle w:val="FootnoteText"/>
        <w:spacing w:before="0"/>
        <w:ind w:left="720"/>
      </w:pPr>
      <w:r>
        <w:rPr>
          <w:rStyle w:val="FootnoteReference"/>
        </w:rPr>
        <w:footnoteRef/>
      </w:r>
      <w:r>
        <w:t xml:space="preserve"> In 2012/13 Royal Armouries White Tower visit figures measured using a clicker on the door</w:t>
      </w:r>
      <w:r w:rsidR="00AF408D">
        <w:t>,</w:t>
      </w:r>
      <w:r>
        <w:t xml:space="preserve"> were included for the first time. For the purpose of this comparison, the </w:t>
      </w:r>
      <w:r w:rsidR="00AF408D">
        <w:t xml:space="preserve">child, overseas and total visit </w:t>
      </w:r>
      <w:r>
        <w:t>figure</w:t>
      </w:r>
      <w:r w:rsidR="00AF408D">
        <w:t>s</w:t>
      </w:r>
      <w:r>
        <w:t xml:space="preserve"> for 2011/12 has been recalculated using this</w:t>
      </w:r>
      <w:r w:rsidR="004C09CF">
        <w:t xml:space="preserve"> new</w:t>
      </w:r>
      <w:r>
        <w:t xml:space="preserve"> methodology</w:t>
      </w:r>
      <w:r w:rsidR="004C09CF">
        <w:t xml:space="preserve"> to enable a percentage change to be given between the two years on a comparable basis. The 2012/13</w:t>
      </w:r>
      <w:r w:rsidR="00AF408D">
        <w:t xml:space="preserve"> child, overseas and total visit</w:t>
      </w:r>
      <w:r w:rsidR="004C09CF">
        <w:t xml:space="preserve"> figure</w:t>
      </w:r>
      <w:r w:rsidR="00AF408D">
        <w:t>s are</w:t>
      </w:r>
      <w:r w:rsidR="004C09CF">
        <w:t xml:space="preserve"> therefore not comparable to data prior to the revised 2011/12 figure</w:t>
      </w:r>
      <w:r w:rsidR="00AF408D">
        <w:t>s</w:t>
      </w:r>
      <w:r w:rsidR="004C09CF">
        <w:t xml:space="preserve"> presented in the data tables. </w:t>
      </w:r>
    </w:p>
    <w:p w14:paraId="6F568CF4" w14:textId="50782828" w:rsidR="00C9578D" w:rsidRPr="00C9578D" w:rsidRDefault="00C9578D" w:rsidP="001D4857">
      <w:pPr>
        <w:pStyle w:val="FootnoteText"/>
        <w:spacing w:before="0"/>
        <w:ind w:left="720"/>
      </w:pPr>
    </w:p>
  </w:footnote>
  <w:footnote w:id="2">
    <w:p w14:paraId="0BFADB9E" w14:textId="2CA95BBA" w:rsidR="001D4857" w:rsidRDefault="001D4857" w:rsidP="001D4857">
      <w:pPr>
        <w:pStyle w:val="FootnoteText"/>
        <w:spacing w:before="0"/>
        <w:ind w:left="720"/>
      </w:pPr>
      <w:r>
        <w:rPr>
          <w:rStyle w:val="FootnoteReference"/>
        </w:rPr>
        <w:footnoteRef/>
      </w:r>
      <w:r>
        <w:t xml:space="preserve"> Using a clicker on the door to measure White Tower visitor figures increased total recorded visit figures by approximately 1.4 million, child visit figures by approximately 0.4 million and overseas visit figures by approximately 1.2 million.</w:t>
      </w:r>
    </w:p>
  </w:footnote>
  <w:footnote w:id="3">
    <w:p w14:paraId="4F26B665" w14:textId="39955C38" w:rsidR="00A84496" w:rsidRDefault="00A84496" w:rsidP="00A84496">
      <w:pPr>
        <w:pStyle w:val="FootnoteText"/>
        <w:ind w:left="720"/>
      </w:pPr>
      <w:r>
        <w:rPr>
          <w:rStyle w:val="FootnoteReference"/>
        </w:rPr>
        <w:footnoteRef/>
      </w:r>
      <w:r>
        <w:t xml:space="preserve"> This percentage has been updated from what was initially published </w:t>
      </w:r>
      <w:r w:rsidR="00936B04">
        <w:t>on 14</w:t>
      </w:r>
      <w:r w:rsidR="00936B04" w:rsidRPr="00936B04">
        <w:rPr>
          <w:vertAlign w:val="superscript"/>
        </w:rPr>
        <w:t>th</w:t>
      </w:r>
      <w:r w:rsidR="00936B04">
        <w:t xml:space="preserve"> November </w:t>
      </w:r>
      <w:r>
        <w:t>as the number of child visits to the British Museum in 2011/12 has been revised.</w:t>
      </w:r>
    </w:p>
  </w:footnote>
  <w:footnote w:id="4">
    <w:p w14:paraId="0D979FE5" w14:textId="3B203C36" w:rsidR="001D4857" w:rsidRDefault="001D4857" w:rsidP="001D4857">
      <w:pPr>
        <w:pStyle w:val="FootnoteText"/>
        <w:ind w:left="720"/>
      </w:pPr>
      <w:r>
        <w:rPr>
          <w:rStyle w:val="FootnoteReference"/>
        </w:rPr>
        <w:footnoteRef/>
      </w:r>
      <w:r>
        <w:t xml:space="preserve"> Using a clicker on the door to measure White Tower visitor figures increased total recorded visit figures by approximately 1.4 million, child visit figures by approximately 0.4 million and overseas visit figures by approximately 1.2 million.</w:t>
      </w:r>
    </w:p>
  </w:footnote>
  <w:footnote w:id="5">
    <w:p w14:paraId="3682B71F" w14:textId="7A93061D" w:rsidR="00F721B2" w:rsidRDefault="00F721B2" w:rsidP="00C9578D">
      <w:pPr>
        <w:pStyle w:val="FootnoteText"/>
        <w:ind w:left="720"/>
      </w:pPr>
      <w:r>
        <w:rPr>
          <w:rStyle w:val="FootnoteReference"/>
        </w:rPr>
        <w:footnoteRef/>
      </w:r>
      <w:r>
        <w:t xml:space="preserve"> The 2011/12 figure for Royal Armouries presented on this chart has been recalculated using White Tower figures collected using a clicker on the door to make it comparable to the 2012/13 figure.</w:t>
      </w:r>
    </w:p>
    <w:p w14:paraId="26CB156B" w14:textId="73F98535" w:rsidR="00AB6911" w:rsidRDefault="00AB6911" w:rsidP="00C9578D">
      <w:pPr>
        <w:pStyle w:val="FootnoteText"/>
        <w:ind w:left="720"/>
      </w:pPr>
    </w:p>
  </w:footnote>
  <w:footnote w:id="6">
    <w:p w14:paraId="38B7163A" w14:textId="11F94E93" w:rsidR="00A84496" w:rsidRDefault="00A84496" w:rsidP="00A84496">
      <w:pPr>
        <w:pStyle w:val="FootnoteText"/>
        <w:ind w:left="720"/>
      </w:pPr>
      <w:r>
        <w:rPr>
          <w:rStyle w:val="FootnoteReference"/>
        </w:rPr>
        <w:footnoteRef/>
      </w:r>
      <w:r>
        <w:t xml:space="preserve"> This percentage has been updated from what was initially published </w:t>
      </w:r>
      <w:r w:rsidR="00936B04">
        <w:t>on 14</w:t>
      </w:r>
      <w:r w:rsidR="00936B04" w:rsidRPr="00936B04">
        <w:rPr>
          <w:vertAlign w:val="superscript"/>
        </w:rPr>
        <w:t>th</w:t>
      </w:r>
      <w:r w:rsidR="00936B04">
        <w:t xml:space="preserve"> November </w:t>
      </w:r>
      <w:bookmarkStart w:id="5" w:name="_GoBack"/>
      <w:bookmarkEnd w:id="5"/>
      <w:r>
        <w:t>as the number of child visits to the British Museum in 2011/12 has been revised.</w:t>
      </w:r>
    </w:p>
  </w:footnote>
  <w:footnote w:id="7">
    <w:p w14:paraId="3145AD49" w14:textId="46C10124" w:rsidR="00352103" w:rsidRDefault="00352103" w:rsidP="00C9578D">
      <w:pPr>
        <w:pStyle w:val="FootnoteText"/>
        <w:ind w:left="720"/>
      </w:pPr>
      <w:r>
        <w:rPr>
          <w:rStyle w:val="FootnoteReference"/>
        </w:rPr>
        <w:footnoteRef/>
      </w:r>
      <w:r>
        <w:t xml:space="preserve"> In 2012/13 Royal Armouries White Tower visit figures measured using a clicker on the door were included for the first time. For the purpose of this comparison, the </w:t>
      </w:r>
      <w:r w:rsidR="00C96834">
        <w:t xml:space="preserve">child visit </w:t>
      </w:r>
      <w:r>
        <w:t>figure for 2011/12 has been recalculated using this new methodology to enable a percentage change to be given between the two years on a comparable basis. The 2012/13 figure is therefore not comparable to data prior to the revised 2011/12 figure presented in the data tables.</w:t>
      </w:r>
    </w:p>
  </w:footnote>
  <w:footnote w:id="8">
    <w:p w14:paraId="6BD2387D" w14:textId="4EE912F9" w:rsidR="00544B41" w:rsidRDefault="00544B41" w:rsidP="00BC0D0F">
      <w:pPr>
        <w:pStyle w:val="FootnoteText"/>
        <w:ind w:left="720"/>
      </w:pPr>
      <w:r>
        <w:rPr>
          <w:rStyle w:val="FootnoteReference"/>
        </w:rPr>
        <w:footnoteRef/>
      </w:r>
      <w:r>
        <w:t xml:space="preserve"> The 2011/12 figure for Royal Armouries presented on this chart has been recalculated using White Tower figures collected using a clicker on the door to make it comparable to the 2012/13 figure.</w:t>
      </w:r>
    </w:p>
  </w:footnote>
  <w:footnote w:id="9">
    <w:p w14:paraId="37D32B20" w14:textId="6C4C0FB6" w:rsidR="001D4857" w:rsidRDefault="001D4857" w:rsidP="001D4857">
      <w:pPr>
        <w:pStyle w:val="FootnoteText"/>
        <w:ind w:left="720"/>
      </w:pPr>
      <w:r>
        <w:rPr>
          <w:rStyle w:val="FootnoteReference"/>
        </w:rPr>
        <w:footnoteRef/>
      </w:r>
      <w:r>
        <w:t xml:space="preserve"> Using a clicker on the door to measure White Tower visitor figures increased total recorded visit figures by approximately 1.4 million, child visit figures by approximately 0.4 million and overseas visit figures by approximately 1.2 million.</w:t>
      </w:r>
    </w:p>
  </w:footnote>
  <w:footnote w:id="10">
    <w:p w14:paraId="7BF52035" w14:textId="4CD9A93A" w:rsidR="007B163E" w:rsidRDefault="007B163E" w:rsidP="00BC0D0F">
      <w:pPr>
        <w:pStyle w:val="FootnoteText"/>
        <w:ind w:left="720"/>
      </w:pPr>
      <w:r>
        <w:rPr>
          <w:rStyle w:val="FootnoteReference"/>
        </w:rPr>
        <w:footnoteRef/>
      </w:r>
      <w:r>
        <w:t xml:space="preserve"> In 2012/13 Royal Armouries White Tower visit figures measured using a clicker on the door were included for the first time. For the purpose of this comparison, the </w:t>
      </w:r>
      <w:r w:rsidR="00C96834">
        <w:t xml:space="preserve">overseas visit </w:t>
      </w:r>
      <w:r>
        <w:t>figure for 2011/12 has been recalculated using this new methodology to enable a percentage change to be given between the two years on a comparable basis. The 2012/13 figure is therefore not comparable to data prior to the revised 2011/12 figure presented in the data tables.</w:t>
      </w:r>
    </w:p>
  </w:footnote>
  <w:footnote w:id="11">
    <w:p w14:paraId="4FEF92BB" w14:textId="16AFA7DD" w:rsidR="001D4857" w:rsidRDefault="001D4857" w:rsidP="001D4857">
      <w:pPr>
        <w:pStyle w:val="FootnoteText"/>
        <w:ind w:left="720"/>
      </w:pPr>
      <w:r>
        <w:rPr>
          <w:rStyle w:val="FootnoteReference"/>
        </w:rPr>
        <w:footnoteRef/>
      </w:r>
      <w:r>
        <w:t xml:space="preserve"> Using a clicker on the door to measure White Tower visitor figures increased total recorded visit figures by approximately 1.4 million, child visit figures by approximately 0.4 million and overseas visit figures by approximately 1.2 million.</w:t>
      </w:r>
    </w:p>
  </w:footnote>
  <w:footnote w:id="12">
    <w:p w14:paraId="6DC71698" w14:textId="4B448AD8" w:rsidR="00967FE8" w:rsidRDefault="00967FE8" w:rsidP="00BC0D0F">
      <w:pPr>
        <w:pStyle w:val="FootnoteText"/>
        <w:ind w:left="720"/>
      </w:pPr>
      <w:r>
        <w:rPr>
          <w:rStyle w:val="FootnoteReference"/>
        </w:rPr>
        <w:footnoteRef/>
      </w:r>
      <w:r>
        <w:t xml:space="preserve"> The 2011/12 figure for Royal Armouries used in calculating the aggregate percentage on this chart has been recalculated using White Tower figures collected using a clicker on the door to make it comparable to the 2012/13 figure.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7A4A49" w14:paraId="2F1C34CE" w14:textId="77777777" w:rsidTr="00987F05">
      <w:tc>
        <w:tcPr>
          <w:tcW w:w="10080" w:type="dxa"/>
          <w:shd w:val="clear" w:color="auto" w:fill="auto"/>
        </w:tcPr>
        <w:p w14:paraId="2F1C34CD" w14:textId="77777777" w:rsidR="007A4A49" w:rsidRDefault="007A4A49">
          <w:pPr>
            <w:pStyle w:val="Header"/>
          </w:pPr>
          <w:r>
            <w:t>Department for Culture, Media and Sport</w:t>
          </w:r>
        </w:p>
      </w:tc>
    </w:tr>
    <w:tr w:rsidR="007A4A49" w14:paraId="2F1C34D0" w14:textId="77777777" w:rsidTr="00987F05">
      <w:tc>
        <w:tcPr>
          <w:tcW w:w="10080" w:type="dxa"/>
          <w:shd w:val="clear" w:color="auto" w:fill="auto"/>
        </w:tcPr>
        <w:p w14:paraId="2F1C34CF" w14:textId="77777777" w:rsidR="007A4A49" w:rsidRDefault="007A4A49" w:rsidP="00F51926">
          <w:pPr>
            <w:pStyle w:val="HeaderBold"/>
          </w:pPr>
          <w:proofErr w:type="spellStart"/>
          <w:r>
            <w:t>DocumentTitle</w:t>
          </w:r>
          <w:proofErr w:type="spellEnd"/>
        </w:p>
      </w:tc>
    </w:tr>
  </w:tbl>
  <w:p w14:paraId="2F1C34D1" w14:textId="77777777" w:rsidR="007A4A49" w:rsidRDefault="007A4A49"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9E30C6" w14:paraId="419FFA80" w14:textId="77777777" w:rsidTr="009E30C6">
      <w:tc>
        <w:tcPr>
          <w:tcW w:w="648" w:type="dxa"/>
          <w:hideMark/>
        </w:tcPr>
        <w:p w14:paraId="7B6834D5" w14:textId="329BC9D4" w:rsidR="009E30C6" w:rsidRDefault="009E30C6">
          <w:pPr>
            <w:pStyle w:val="Header"/>
            <w:jc w:val="right"/>
          </w:pPr>
          <w:r>
            <w:rPr>
              <w:noProof/>
              <w:lang w:eastAsia="en-GB"/>
            </w:rPr>
            <mc:AlternateContent>
              <mc:Choice Requires="wps">
                <w:drawing>
                  <wp:anchor distT="0" distB="0" distL="114300" distR="114300" simplePos="0" relativeHeight="251662336" behindDoc="0" locked="0" layoutInCell="1" allowOverlap="1" wp14:anchorId="5DAAF6C0" wp14:editId="359BBC83">
                    <wp:simplePos x="0" y="0"/>
                    <wp:positionH relativeFrom="column">
                      <wp:posOffset>-1905</wp:posOffset>
                    </wp:positionH>
                    <wp:positionV relativeFrom="paragraph">
                      <wp:posOffset>-17780</wp:posOffset>
                    </wp:positionV>
                    <wp:extent cx="288290" cy="288290"/>
                    <wp:effectExtent l="7620" t="10795" r="889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2C90E74" w14:textId="77777777" w:rsidR="009E30C6" w:rsidRDefault="009E30C6" w:rsidP="009E30C6">
                                <w:pPr>
                                  <w:pStyle w:val="HeaderBold"/>
                                  <w:jc w:val="center"/>
                                </w:pPr>
                                <w:r>
                                  <w:fldChar w:fldCharType="begin"/>
                                </w:r>
                                <w:r>
                                  <w:instrText xml:space="preserve"> PAGE  \* Arabic  \* MERGEFORMAT </w:instrText>
                                </w:r>
                                <w:r>
                                  <w:fldChar w:fldCharType="separate"/>
                                </w:r>
                                <w:r w:rsidR="00936B04">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FJwIAAFE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PSU/xScCAABRBAAADgAAAAAAAAAAAAAAAAAuAgAAZHJzL2Uyb0Rv&#10;Yy54bWxQSwECLQAUAAYACAAAACEAJsX7u90AAAAGAQAADwAAAAAAAAAAAAAAAACBBAAAZHJzL2Rv&#10;d25yZXYueG1sUEsFBgAAAAAEAAQA8wAAAIsFAAAAAA==&#10;" strokeweight=".5pt">
                    <v:textbox inset="1mm,.5mm,1mm">
                      <w:txbxContent>
                        <w:p w14:paraId="02C90E74" w14:textId="77777777" w:rsidR="009E30C6" w:rsidRDefault="009E30C6" w:rsidP="009E30C6">
                          <w:pPr>
                            <w:pStyle w:val="HeaderBold"/>
                            <w:jc w:val="center"/>
                          </w:pPr>
                          <w:r>
                            <w:fldChar w:fldCharType="begin"/>
                          </w:r>
                          <w:r>
                            <w:instrText xml:space="preserve"> PAGE  \* Arabic  \* MERGEFORMAT </w:instrText>
                          </w:r>
                          <w:r>
                            <w:fldChar w:fldCharType="separate"/>
                          </w:r>
                          <w:r w:rsidR="00936B04">
                            <w:rPr>
                              <w:noProof/>
                            </w:rPr>
                            <w:t>2</w:t>
                          </w:r>
                          <w:r>
                            <w:fldChar w:fldCharType="end"/>
                          </w:r>
                        </w:p>
                      </w:txbxContent>
                    </v:textbox>
                  </v:shape>
                </w:pict>
              </mc:Fallback>
            </mc:AlternateContent>
          </w:r>
        </w:p>
      </w:tc>
      <w:tc>
        <w:tcPr>
          <w:tcW w:w="9360" w:type="dxa"/>
          <w:hideMark/>
        </w:tcPr>
        <w:p w14:paraId="67BFBC19" w14:textId="77777777" w:rsidR="009E30C6" w:rsidRDefault="009E30C6">
          <w:pPr>
            <w:pStyle w:val="Header"/>
          </w:pPr>
          <w:r>
            <w:t>Department for Culture, Media and Sport</w:t>
          </w:r>
        </w:p>
      </w:tc>
    </w:tr>
    <w:tr w:rsidR="009E30C6" w14:paraId="7D834E9A" w14:textId="77777777" w:rsidTr="009E30C6">
      <w:tc>
        <w:tcPr>
          <w:tcW w:w="648" w:type="dxa"/>
        </w:tcPr>
        <w:p w14:paraId="3159DE29" w14:textId="77777777" w:rsidR="009E30C6" w:rsidRDefault="009E30C6">
          <w:pPr>
            <w:pStyle w:val="HeaderBold"/>
            <w:jc w:val="right"/>
          </w:pPr>
        </w:p>
      </w:tc>
      <w:tc>
        <w:tcPr>
          <w:tcW w:w="9360" w:type="dxa"/>
          <w:hideMark/>
        </w:tcPr>
        <w:p w14:paraId="5FACA6AE" w14:textId="3897DA8F" w:rsidR="009E30C6" w:rsidRDefault="009E30C6">
          <w:pPr>
            <w:pStyle w:val="HeaderBold"/>
          </w:pPr>
          <w:r>
            <w:t>Sponsored Museums: Performance Indicators 2012/13</w:t>
          </w:r>
        </w:p>
      </w:tc>
    </w:tr>
  </w:tbl>
  <w:p w14:paraId="2F1C34D6" w14:textId="77777777" w:rsidR="007A4A49" w:rsidRDefault="007A4A49"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9E30C6" w14:paraId="207C8A91" w14:textId="77777777" w:rsidTr="00B35FA9">
      <w:tc>
        <w:tcPr>
          <w:tcW w:w="648" w:type="dxa"/>
          <w:hideMark/>
        </w:tcPr>
        <w:p w14:paraId="43080A91" w14:textId="77777777" w:rsidR="009E30C6" w:rsidRDefault="009E30C6" w:rsidP="00B35FA9">
          <w:pPr>
            <w:pStyle w:val="Header"/>
            <w:jc w:val="right"/>
          </w:pPr>
          <w:r>
            <w:rPr>
              <w:noProof/>
              <w:lang w:eastAsia="en-GB"/>
            </w:rPr>
            <mc:AlternateContent>
              <mc:Choice Requires="wps">
                <w:drawing>
                  <wp:anchor distT="0" distB="0" distL="114300" distR="114300" simplePos="0" relativeHeight="251664384" behindDoc="0" locked="0" layoutInCell="1" allowOverlap="1" wp14:anchorId="2D69C2C2" wp14:editId="4D616ABC">
                    <wp:simplePos x="0" y="0"/>
                    <wp:positionH relativeFrom="column">
                      <wp:posOffset>-1905</wp:posOffset>
                    </wp:positionH>
                    <wp:positionV relativeFrom="paragraph">
                      <wp:posOffset>-17780</wp:posOffset>
                    </wp:positionV>
                    <wp:extent cx="288290" cy="288290"/>
                    <wp:effectExtent l="7620" t="10795" r="889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1657D80C" w14:textId="77777777" w:rsidR="009E30C6" w:rsidRDefault="009E30C6" w:rsidP="009E30C6">
                                <w:pPr>
                                  <w:pStyle w:val="HeaderBold"/>
                                  <w:jc w:val="center"/>
                                </w:pPr>
                                <w:r>
                                  <w:fldChar w:fldCharType="begin"/>
                                </w:r>
                                <w:r>
                                  <w:instrText xml:space="preserve"> PAGE  \* Arabic  \* MERGEFORMAT </w:instrText>
                                </w:r>
                                <w:r>
                                  <w:fldChar w:fldCharType="separate"/>
                                </w:r>
                                <w:r w:rsidR="00936B04">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15pt;margin-top:-1.4pt;width:22.7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" strokeweight=".5pt">
                    <v:textbox inset="1mm,.5mm,1mm">
                      <w:txbxContent>
                        <w:p w14:paraId="1657D80C" w14:textId="77777777" w:rsidR="009E30C6" w:rsidRDefault="009E30C6" w:rsidP="009E30C6">
                          <w:pPr>
                            <w:pStyle w:val="HeaderBold"/>
                            <w:jc w:val="center"/>
                          </w:pPr>
                          <w:r>
                            <w:fldChar w:fldCharType="begin"/>
                          </w:r>
                          <w:r>
                            <w:instrText xml:space="preserve"> PAGE  \* Arabic  \* MERGEFORMAT </w:instrText>
                          </w:r>
                          <w:r>
                            <w:fldChar w:fldCharType="separate"/>
                          </w:r>
                          <w:r w:rsidR="00936B04">
                            <w:rPr>
                              <w:noProof/>
                            </w:rPr>
                            <w:t>4</w:t>
                          </w:r>
                          <w:r>
                            <w:fldChar w:fldCharType="end"/>
                          </w:r>
                        </w:p>
                      </w:txbxContent>
                    </v:textbox>
                  </v:shape>
                </w:pict>
              </mc:Fallback>
            </mc:AlternateContent>
          </w:r>
        </w:p>
      </w:tc>
      <w:tc>
        <w:tcPr>
          <w:tcW w:w="9360" w:type="dxa"/>
          <w:hideMark/>
        </w:tcPr>
        <w:p w14:paraId="268A3E16" w14:textId="77777777" w:rsidR="009E30C6" w:rsidRDefault="009E30C6" w:rsidP="00B35FA9">
          <w:pPr>
            <w:pStyle w:val="Header"/>
          </w:pPr>
          <w:r>
            <w:t>Department for Culture, Media and Sport</w:t>
          </w:r>
        </w:p>
      </w:tc>
    </w:tr>
    <w:tr w:rsidR="009E30C6" w14:paraId="430EE4BB" w14:textId="77777777" w:rsidTr="00B35FA9">
      <w:tc>
        <w:tcPr>
          <w:tcW w:w="648" w:type="dxa"/>
        </w:tcPr>
        <w:p w14:paraId="64DC9578" w14:textId="77777777" w:rsidR="009E30C6" w:rsidRDefault="009E30C6" w:rsidP="00B35FA9">
          <w:pPr>
            <w:pStyle w:val="HeaderBold"/>
            <w:jc w:val="right"/>
          </w:pPr>
        </w:p>
      </w:tc>
      <w:tc>
        <w:tcPr>
          <w:tcW w:w="9360" w:type="dxa"/>
          <w:hideMark/>
        </w:tcPr>
        <w:p w14:paraId="7D5F10A7" w14:textId="77777777" w:rsidR="009E30C6" w:rsidRDefault="009E30C6" w:rsidP="00B35FA9">
          <w:pPr>
            <w:pStyle w:val="HeaderBold"/>
          </w:pPr>
          <w:r>
            <w:t>Sponsored Museums: Performance Indicators 2012/13</w:t>
          </w:r>
        </w:p>
      </w:tc>
    </w:tr>
  </w:tbl>
  <w:p w14:paraId="2F1C34DD" w14:textId="77777777" w:rsidR="007A4A49" w:rsidRDefault="007A4A49"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9E30C6" w14:paraId="055909D6" w14:textId="77777777" w:rsidTr="009E30C6">
      <w:tc>
        <w:tcPr>
          <w:tcW w:w="8618" w:type="dxa"/>
          <w:hideMark/>
        </w:tcPr>
        <w:p w14:paraId="14F8EE27" w14:textId="77777777" w:rsidR="009E30C6" w:rsidRDefault="009E30C6">
          <w:pPr>
            <w:pStyle w:val="Header"/>
            <w:jc w:val="right"/>
          </w:pPr>
          <w:r>
            <w:t>Department for Culture, Media and Sport</w:t>
          </w:r>
        </w:p>
      </w:tc>
      <w:tc>
        <w:tcPr>
          <w:tcW w:w="720" w:type="dxa"/>
          <w:hideMark/>
        </w:tcPr>
        <w:p w14:paraId="2CD5137A" w14:textId="6C493363" w:rsidR="009E30C6" w:rsidRDefault="009E30C6">
          <w:pPr>
            <w:pStyle w:val="Header"/>
          </w:pPr>
          <w:r>
            <w:rPr>
              <w:noProof/>
              <w:lang w:eastAsia="en-GB"/>
            </w:rPr>
            <mc:AlternateContent>
              <mc:Choice Requires="wps">
                <w:drawing>
                  <wp:anchor distT="0" distB="0" distL="114300" distR="114300" simplePos="0" relativeHeight="251660288" behindDoc="0" locked="0" layoutInCell="1" allowOverlap="1" wp14:anchorId="1DCEAC99" wp14:editId="0D1EA915">
                    <wp:simplePos x="0" y="0"/>
                    <wp:positionH relativeFrom="column">
                      <wp:posOffset>45720</wp:posOffset>
                    </wp:positionH>
                    <wp:positionV relativeFrom="paragraph">
                      <wp:posOffset>-11430</wp:posOffset>
                    </wp:positionV>
                    <wp:extent cx="288290" cy="288290"/>
                    <wp:effectExtent l="7620" t="7620" r="889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1CC03689" w14:textId="77777777" w:rsidR="009E30C6" w:rsidRDefault="009E30C6" w:rsidP="009E30C6">
                                <w:pPr>
                                  <w:pStyle w:val="HeaderBold"/>
                                  <w:jc w:val="center"/>
                                </w:pPr>
                                <w:r>
                                  <w:fldChar w:fldCharType="begin"/>
                                </w:r>
                                <w:r>
                                  <w:instrText xml:space="preserve"> PAGE  \* Arabic  \* MERGEFORMAT </w:instrText>
                                </w:r>
                                <w:r>
                                  <w:fldChar w:fldCharType="separate"/>
                                </w:r>
                                <w:r w:rsidR="00936B04">
                                  <w:rPr>
                                    <w:noProof/>
                                  </w:rPr>
                                  <w:t>5</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" strokeweight=".5pt">
                    <v:textbox inset="1mm,.5mm,1mm">
                      <w:txbxContent>
                        <w:p w14:paraId="1CC03689" w14:textId="77777777" w:rsidR="009E30C6" w:rsidRDefault="009E30C6" w:rsidP="009E30C6">
                          <w:pPr>
                            <w:pStyle w:val="HeaderBold"/>
                            <w:jc w:val="center"/>
                          </w:pPr>
                          <w:r>
                            <w:fldChar w:fldCharType="begin"/>
                          </w:r>
                          <w:r>
                            <w:instrText xml:space="preserve"> PAGE  \* Arabic  \* MERGEFORMAT </w:instrText>
                          </w:r>
                          <w:r>
                            <w:fldChar w:fldCharType="separate"/>
                          </w:r>
                          <w:r w:rsidR="00936B04">
                            <w:rPr>
                              <w:noProof/>
                            </w:rPr>
                            <w:t>5</w:t>
                          </w:r>
                          <w:r>
                            <w:fldChar w:fldCharType="end"/>
                          </w:r>
                        </w:p>
                      </w:txbxContent>
                    </v:textbox>
                  </v:shape>
                </w:pict>
              </mc:Fallback>
            </mc:AlternateContent>
          </w:r>
        </w:p>
      </w:tc>
    </w:tr>
    <w:tr w:rsidR="009E30C6" w14:paraId="168C433B" w14:textId="77777777" w:rsidTr="009E30C6">
      <w:tc>
        <w:tcPr>
          <w:tcW w:w="8618" w:type="dxa"/>
          <w:hideMark/>
        </w:tcPr>
        <w:p w14:paraId="43DB1A67" w14:textId="107324CD" w:rsidR="009E30C6" w:rsidRDefault="009E30C6">
          <w:pPr>
            <w:pStyle w:val="HeaderBold"/>
            <w:jc w:val="right"/>
          </w:pPr>
          <w:r>
            <w:t>Sponsored Museums: Performance Indicators 2012/13</w:t>
          </w:r>
        </w:p>
      </w:tc>
      <w:tc>
        <w:tcPr>
          <w:tcW w:w="720" w:type="dxa"/>
        </w:tcPr>
        <w:p w14:paraId="4790BC15" w14:textId="77777777" w:rsidR="009E30C6" w:rsidRDefault="009E30C6">
          <w:pPr>
            <w:pStyle w:val="HeaderBold"/>
          </w:pPr>
        </w:p>
      </w:tc>
    </w:tr>
  </w:tbl>
  <w:p w14:paraId="2F1C34E4" w14:textId="77777777" w:rsidR="007A4A49" w:rsidRDefault="007A4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07311024"/>
    <w:multiLevelType w:val="hybridMultilevel"/>
    <w:tmpl w:val="E95C33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EDC08DF"/>
    <w:multiLevelType w:val="hybridMultilevel"/>
    <w:tmpl w:val="12FED6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6F94996"/>
    <w:multiLevelType w:val="hybridMultilevel"/>
    <w:tmpl w:val="6BD2D5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
    <w:nsid w:val="2F592109"/>
    <w:multiLevelType w:val="multilevel"/>
    <w:tmpl w:val="0A80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C1A17"/>
    <w:multiLevelType w:val="multilevel"/>
    <w:tmpl w:val="132E40AC"/>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1">
    <w:nsid w:val="32E9481B"/>
    <w:multiLevelType w:val="hybridMultilevel"/>
    <w:tmpl w:val="DDA6A6B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86684C"/>
    <w:multiLevelType w:val="hybridMultilevel"/>
    <w:tmpl w:val="E16EDD9E"/>
    <w:lvl w:ilvl="0" w:tplc="08090001">
      <w:start w:val="1"/>
      <w:numFmt w:val="bullet"/>
      <w:lvlText w:val=""/>
      <w:lvlJc w:val="left"/>
      <w:pPr>
        <w:ind w:left="1549" w:hanging="360"/>
      </w:pPr>
      <w:rPr>
        <w:rFonts w:ascii="Symbol" w:hAnsi="Symbol" w:hint="default"/>
      </w:rPr>
    </w:lvl>
    <w:lvl w:ilvl="1" w:tplc="08090003">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13">
    <w:nsid w:val="39813F9E"/>
    <w:multiLevelType w:val="multilevel"/>
    <w:tmpl w:val="AA0ADE6A"/>
    <w:lvl w:ilvl="0">
      <w:start w:val="1"/>
      <w:numFmt w:val="bullet"/>
      <w:lvlText w:val=""/>
      <w:lvlJc w:val="left"/>
      <w:pPr>
        <w:tabs>
          <w:tab w:val="num" w:pos="912"/>
        </w:tabs>
        <w:ind w:left="912" w:hanging="360"/>
      </w:pPr>
      <w:rPr>
        <w:rFonts w:ascii="Symbol" w:hAnsi="Symbol" w:hint="default"/>
        <w:sz w:val="20"/>
      </w:rPr>
    </w:lvl>
    <w:lvl w:ilvl="1" w:tentative="1">
      <w:start w:val="1"/>
      <w:numFmt w:val="bullet"/>
      <w:lvlText w:val="o"/>
      <w:lvlJc w:val="left"/>
      <w:pPr>
        <w:tabs>
          <w:tab w:val="num" w:pos="1632"/>
        </w:tabs>
        <w:ind w:left="1632" w:hanging="360"/>
      </w:pPr>
      <w:rPr>
        <w:rFonts w:ascii="Courier New" w:hAnsi="Courier New" w:hint="default"/>
        <w:sz w:val="20"/>
      </w:rPr>
    </w:lvl>
    <w:lvl w:ilvl="2" w:tentative="1">
      <w:start w:val="1"/>
      <w:numFmt w:val="bullet"/>
      <w:lvlText w:val=""/>
      <w:lvlJc w:val="left"/>
      <w:pPr>
        <w:tabs>
          <w:tab w:val="num" w:pos="2352"/>
        </w:tabs>
        <w:ind w:left="2352" w:hanging="360"/>
      </w:pPr>
      <w:rPr>
        <w:rFonts w:ascii="Wingdings" w:hAnsi="Wingdings" w:hint="default"/>
        <w:sz w:val="20"/>
      </w:rPr>
    </w:lvl>
    <w:lvl w:ilvl="3" w:tentative="1">
      <w:start w:val="1"/>
      <w:numFmt w:val="bullet"/>
      <w:lvlText w:val=""/>
      <w:lvlJc w:val="left"/>
      <w:pPr>
        <w:tabs>
          <w:tab w:val="num" w:pos="3072"/>
        </w:tabs>
        <w:ind w:left="3072" w:hanging="360"/>
      </w:pPr>
      <w:rPr>
        <w:rFonts w:ascii="Wingdings" w:hAnsi="Wingdings" w:hint="default"/>
        <w:sz w:val="20"/>
      </w:rPr>
    </w:lvl>
    <w:lvl w:ilvl="4" w:tentative="1">
      <w:start w:val="1"/>
      <w:numFmt w:val="bullet"/>
      <w:lvlText w:val=""/>
      <w:lvlJc w:val="left"/>
      <w:pPr>
        <w:tabs>
          <w:tab w:val="num" w:pos="3792"/>
        </w:tabs>
        <w:ind w:left="3792" w:hanging="360"/>
      </w:pPr>
      <w:rPr>
        <w:rFonts w:ascii="Wingdings" w:hAnsi="Wingdings" w:hint="default"/>
        <w:sz w:val="20"/>
      </w:rPr>
    </w:lvl>
    <w:lvl w:ilvl="5" w:tentative="1">
      <w:start w:val="1"/>
      <w:numFmt w:val="bullet"/>
      <w:lvlText w:val=""/>
      <w:lvlJc w:val="left"/>
      <w:pPr>
        <w:tabs>
          <w:tab w:val="num" w:pos="4512"/>
        </w:tabs>
        <w:ind w:left="4512" w:hanging="360"/>
      </w:pPr>
      <w:rPr>
        <w:rFonts w:ascii="Wingdings" w:hAnsi="Wingdings" w:hint="default"/>
        <w:sz w:val="20"/>
      </w:rPr>
    </w:lvl>
    <w:lvl w:ilvl="6" w:tentative="1">
      <w:start w:val="1"/>
      <w:numFmt w:val="bullet"/>
      <w:lvlText w:val=""/>
      <w:lvlJc w:val="left"/>
      <w:pPr>
        <w:tabs>
          <w:tab w:val="num" w:pos="5232"/>
        </w:tabs>
        <w:ind w:left="5232" w:hanging="360"/>
      </w:pPr>
      <w:rPr>
        <w:rFonts w:ascii="Wingdings" w:hAnsi="Wingdings" w:hint="default"/>
        <w:sz w:val="20"/>
      </w:rPr>
    </w:lvl>
    <w:lvl w:ilvl="7" w:tentative="1">
      <w:start w:val="1"/>
      <w:numFmt w:val="bullet"/>
      <w:lvlText w:val=""/>
      <w:lvlJc w:val="left"/>
      <w:pPr>
        <w:tabs>
          <w:tab w:val="num" w:pos="5952"/>
        </w:tabs>
        <w:ind w:left="5952" w:hanging="360"/>
      </w:pPr>
      <w:rPr>
        <w:rFonts w:ascii="Wingdings" w:hAnsi="Wingdings" w:hint="default"/>
        <w:sz w:val="20"/>
      </w:rPr>
    </w:lvl>
    <w:lvl w:ilvl="8" w:tentative="1">
      <w:start w:val="1"/>
      <w:numFmt w:val="bullet"/>
      <w:lvlText w:val=""/>
      <w:lvlJc w:val="left"/>
      <w:pPr>
        <w:tabs>
          <w:tab w:val="num" w:pos="6672"/>
        </w:tabs>
        <w:ind w:left="6672" w:hanging="360"/>
      </w:pPr>
      <w:rPr>
        <w:rFonts w:ascii="Wingdings" w:hAnsi="Wingdings" w:hint="default"/>
        <w:sz w:val="20"/>
      </w:rPr>
    </w:lvl>
  </w:abstractNum>
  <w:abstractNum w:abstractNumId="14">
    <w:nsid w:val="3B3C348D"/>
    <w:multiLevelType w:val="hybridMultilevel"/>
    <w:tmpl w:val="79042A50"/>
    <w:lvl w:ilvl="0" w:tplc="FCF03960">
      <w:start w:val="1"/>
      <w:numFmt w:val="decimal"/>
      <w:lvlText w:val="%1."/>
      <w:lvlJc w:val="left"/>
      <w:pPr>
        <w:ind w:left="1778" w:hanging="360"/>
      </w:pPr>
      <w:rPr>
        <w:rFonts w:cs="Times New Roman" w:hint="default"/>
      </w:rPr>
    </w:lvl>
    <w:lvl w:ilvl="1" w:tplc="08090019">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5">
    <w:nsid w:val="4D213A0B"/>
    <w:multiLevelType w:val="multilevel"/>
    <w:tmpl w:val="0A803110"/>
    <w:lvl w:ilvl="0">
      <w:start w:val="1"/>
      <w:numFmt w:val="bullet"/>
      <w:lvlText w:val=""/>
      <w:lvlJc w:val="left"/>
      <w:pPr>
        <w:tabs>
          <w:tab w:val="num" w:pos="850"/>
        </w:tabs>
        <w:ind w:left="850" w:hanging="360"/>
      </w:pPr>
      <w:rPr>
        <w:rFonts w:ascii="Symbol" w:hAnsi="Symbol" w:hint="default"/>
        <w:sz w:val="20"/>
      </w:rPr>
    </w:lvl>
    <w:lvl w:ilvl="1" w:tentative="1">
      <w:start w:val="1"/>
      <w:numFmt w:val="bullet"/>
      <w:lvlText w:val="o"/>
      <w:lvlJc w:val="left"/>
      <w:pPr>
        <w:tabs>
          <w:tab w:val="num" w:pos="1570"/>
        </w:tabs>
        <w:ind w:left="1570" w:hanging="360"/>
      </w:pPr>
      <w:rPr>
        <w:rFonts w:ascii="Courier New" w:hAnsi="Courier New" w:hint="default"/>
        <w:sz w:val="20"/>
      </w:rPr>
    </w:lvl>
    <w:lvl w:ilvl="2" w:tentative="1">
      <w:start w:val="1"/>
      <w:numFmt w:val="bullet"/>
      <w:lvlText w:val=""/>
      <w:lvlJc w:val="left"/>
      <w:pPr>
        <w:tabs>
          <w:tab w:val="num" w:pos="2290"/>
        </w:tabs>
        <w:ind w:left="2290" w:hanging="360"/>
      </w:pPr>
      <w:rPr>
        <w:rFonts w:ascii="Wingdings" w:hAnsi="Wingdings" w:hint="default"/>
        <w:sz w:val="20"/>
      </w:rPr>
    </w:lvl>
    <w:lvl w:ilvl="3" w:tentative="1">
      <w:start w:val="1"/>
      <w:numFmt w:val="bullet"/>
      <w:lvlText w:val=""/>
      <w:lvlJc w:val="left"/>
      <w:pPr>
        <w:tabs>
          <w:tab w:val="num" w:pos="3010"/>
        </w:tabs>
        <w:ind w:left="3010" w:hanging="360"/>
      </w:pPr>
      <w:rPr>
        <w:rFonts w:ascii="Wingdings" w:hAnsi="Wingdings" w:hint="default"/>
        <w:sz w:val="20"/>
      </w:rPr>
    </w:lvl>
    <w:lvl w:ilvl="4" w:tentative="1">
      <w:start w:val="1"/>
      <w:numFmt w:val="bullet"/>
      <w:lvlText w:val=""/>
      <w:lvlJc w:val="left"/>
      <w:pPr>
        <w:tabs>
          <w:tab w:val="num" w:pos="3730"/>
        </w:tabs>
        <w:ind w:left="3730" w:hanging="360"/>
      </w:pPr>
      <w:rPr>
        <w:rFonts w:ascii="Wingdings" w:hAnsi="Wingdings" w:hint="default"/>
        <w:sz w:val="20"/>
      </w:rPr>
    </w:lvl>
    <w:lvl w:ilvl="5" w:tentative="1">
      <w:start w:val="1"/>
      <w:numFmt w:val="bullet"/>
      <w:lvlText w:val=""/>
      <w:lvlJc w:val="left"/>
      <w:pPr>
        <w:tabs>
          <w:tab w:val="num" w:pos="4450"/>
        </w:tabs>
        <w:ind w:left="4450" w:hanging="360"/>
      </w:pPr>
      <w:rPr>
        <w:rFonts w:ascii="Wingdings" w:hAnsi="Wingdings" w:hint="default"/>
        <w:sz w:val="20"/>
      </w:rPr>
    </w:lvl>
    <w:lvl w:ilvl="6" w:tentative="1">
      <w:start w:val="1"/>
      <w:numFmt w:val="bullet"/>
      <w:lvlText w:val=""/>
      <w:lvlJc w:val="left"/>
      <w:pPr>
        <w:tabs>
          <w:tab w:val="num" w:pos="5170"/>
        </w:tabs>
        <w:ind w:left="5170" w:hanging="360"/>
      </w:pPr>
      <w:rPr>
        <w:rFonts w:ascii="Wingdings" w:hAnsi="Wingdings" w:hint="default"/>
        <w:sz w:val="20"/>
      </w:rPr>
    </w:lvl>
    <w:lvl w:ilvl="7" w:tentative="1">
      <w:start w:val="1"/>
      <w:numFmt w:val="bullet"/>
      <w:lvlText w:val=""/>
      <w:lvlJc w:val="left"/>
      <w:pPr>
        <w:tabs>
          <w:tab w:val="num" w:pos="5890"/>
        </w:tabs>
        <w:ind w:left="5890" w:hanging="360"/>
      </w:pPr>
      <w:rPr>
        <w:rFonts w:ascii="Wingdings" w:hAnsi="Wingdings" w:hint="default"/>
        <w:sz w:val="20"/>
      </w:rPr>
    </w:lvl>
    <w:lvl w:ilvl="8" w:tentative="1">
      <w:start w:val="1"/>
      <w:numFmt w:val="bullet"/>
      <w:lvlText w:val=""/>
      <w:lvlJc w:val="left"/>
      <w:pPr>
        <w:tabs>
          <w:tab w:val="num" w:pos="6610"/>
        </w:tabs>
        <w:ind w:left="6610" w:hanging="360"/>
      </w:pPr>
      <w:rPr>
        <w:rFonts w:ascii="Wingdings" w:hAnsi="Wingdings" w:hint="default"/>
        <w:sz w:val="20"/>
      </w:rPr>
    </w:lvl>
  </w:abstractNum>
  <w:abstractNum w:abstractNumId="16">
    <w:nsid w:val="4DDA6A6F"/>
    <w:multiLevelType w:val="hybridMultilevel"/>
    <w:tmpl w:val="EECEF3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10"/>
  </w:num>
  <w:num w:numId="2">
    <w:abstractNumId w:val="8"/>
  </w:num>
  <w:num w:numId="3">
    <w:abstractNumId w:val="17"/>
  </w:num>
  <w:num w:numId="4">
    <w:abstractNumId w:val="0"/>
  </w:num>
  <w:num w:numId="5">
    <w:abstractNumId w:val="3"/>
  </w:num>
  <w:num w:numId="6">
    <w:abstractNumId w:val="4"/>
  </w:num>
  <w:num w:numId="7">
    <w:abstractNumId w:val="1"/>
  </w:num>
  <w:num w:numId="8">
    <w:abstractNumId w:val="2"/>
  </w:num>
  <w:num w:numId="9">
    <w:abstractNumId w:val="17"/>
  </w:num>
  <w:num w:numId="10">
    <w:abstractNumId w:val="10"/>
  </w:num>
  <w:num w:numId="11">
    <w:abstractNumId w:val="13"/>
  </w:num>
  <w:num w:numId="12">
    <w:abstractNumId w:val="10"/>
  </w:num>
  <w:num w:numId="13">
    <w:abstractNumId w:val="15"/>
  </w:num>
  <w:num w:numId="14">
    <w:abstractNumId w:val="9"/>
  </w:num>
  <w:num w:numId="15">
    <w:abstractNumId w:val="16"/>
  </w:num>
  <w:num w:numId="16">
    <w:abstractNumId w:val="7"/>
  </w:num>
  <w:num w:numId="17">
    <w:abstractNumId w:val="6"/>
  </w:num>
  <w:num w:numId="18">
    <w:abstractNumId w:val="5"/>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12"/>
    <w:rsid w:val="00007EBE"/>
    <w:rsid w:val="00015B61"/>
    <w:rsid w:val="000272A7"/>
    <w:rsid w:val="00041739"/>
    <w:rsid w:val="00042868"/>
    <w:rsid w:val="0004306B"/>
    <w:rsid w:val="00052A3E"/>
    <w:rsid w:val="00052F76"/>
    <w:rsid w:val="0005654A"/>
    <w:rsid w:val="00060579"/>
    <w:rsid w:val="00060D5C"/>
    <w:rsid w:val="0006321D"/>
    <w:rsid w:val="00070A1E"/>
    <w:rsid w:val="000718D4"/>
    <w:rsid w:val="00073DE4"/>
    <w:rsid w:val="0007598B"/>
    <w:rsid w:val="0008146A"/>
    <w:rsid w:val="00082A8E"/>
    <w:rsid w:val="00090D86"/>
    <w:rsid w:val="000922FC"/>
    <w:rsid w:val="000E0907"/>
    <w:rsid w:val="001062B9"/>
    <w:rsid w:val="00107E87"/>
    <w:rsid w:val="00111B1F"/>
    <w:rsid w:val="001145D3"/>
    <w:rsid w:val="001250EF"/>
    <w:rsid w:val="00125909"/>
    <w:rsid w:val="00135142"/>
    <w:rsid w:val="001369EA"/>
    <w:rsid w:val="00155080"/>
    <w:rsid w:val="00157A69"/>
    <w:rsid w:val="00157C15"/>
    <w:rsid w:val="001663B0"/>
    <w:rsid w:val="00187DF4"/>
    <w:rsid w:val="001B0225"/>
    <w:rsid w:val="001B2DA6"/>
    <w:rsid w:val="001C288D"/>
    <w:rsid w:val="001D187C"/>
    <w:rsid w:val="001D4857"/>
    <w:rsid w:val="001D5B0C"/>
    <w:rsid w:val="001E0D1A"/>
    <w:rsid w:val="001E1826"/>
    <w:rsid w:val="001E2003"/>
    <w:rsid w:val="001E4B95"/>
    <w:rsid w:val="001E4EE9"/>
    <w:rsid w:val="001F0A37"/>
    <w:rsid w:val="001F4ACA"/>
    <w:rsid w:val="00220892"/>
    <w:rsid w:val="00220D8F"/>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2AFD"/>
    <w:rsid w:val="002B5C17"/>
    <w:rsid w:val="002C1B99"/>
    <w:rsid w:val="002C5DF6"/>
    <w:rsid w:val="002D2A86"/>
    <w:rsid w:val="002D3E77"/>
    <w:rsid w:val="002D772A"/>
    <w:rsid w:val="002E2379"/>
    <w:rsid w:val="002E391C"/>
    <w:rsid w:val="002E512C"/>
    <w:rsid w:val="002E649F"/>
    <w:rsid w:val="002F2EBC"/>
    <w:rsid w:val="002F69CC"/>
    <w:rsid w:val="00300A34"/>
    <w:rsid w:val="003347A6"/>
    <w:rsid w:val="00352103"/>
    <w:rsid w:val="003774A1"/>
    <w:rsid w:val="003A11CC"/>
    <w:rsid w:val="003A7793"/>
    <w:rsid w:val="003C5AD5"/>
    <w:rsid w:val="003C5C92"/>
    <w:rsid w:val="003D2A70"/>
    <w:rsid w:val="003D7B62"/>
    <w:rsid w:val="003E0A7B"/>
    <w:rsid w:val="003E2C43"/>
    <w:rsid w:val="003E5929"/>
    <w:rsid w:val="003F0099"/>
    <w:rsid w:val="003F720D"/>
    <w:rsid w:val="00401173"/>
    <w:rsid w:val="00401C56"/>
    <w:rsid w:val="00404E0B"/>
    <w:rsid w:val="00404E69"/>
    <w:rsid w:val="004075A3"/>
    <w:rsid w:val="004247E4"/>
    <w:rsid w:val="00426327"/>
    <w:rsid w:val="00435158"/>
    <w:rsid w:val="00436012"/>
    <w:rsid w:val="004563B9"/>
    <w:rsid w:val="0046364F"/>
    <w:rsid w:val="00477478"/>
    <w:rsid w:val="00492820"/>
    <w:rsid w:val="00493B5C"/>
    <w:rsid w:val="00494FE2"/>
    <w:rsid w:val="0049501E"/>
    <w:rsid w:val="00497E55"/>
    <w:rsid w:val="004A627C"/>
    <w:rsid w:val="004B7EBD"/>
    <w:rsid w:val="004C09CF"/>
    <w:rsid w:val="004C2265"/>
    <w:rsid w:val="004D6E11"/>
    <w:rsid w:val="004E07C3"/>
    <w:rsid w:val="004E374C"/>
    <w:rsid w:val="004E4319"/>
    <w:rsid w:val="004E584F"/>
    <w:rsid w:val="004E5986"/>
    <w:rsid w:val="004F355B"/>
    <w:rsid w:val="005034C0"/>
    <w:rsid w:val="00503D63"/>
    <w:rsid w:val="0051143B"/>
    <w:rsid w:val="00525BB3"/>
    <w:rsid w:val="00542840"/>
    <w:rsid w:val="00544B41"/>
    <w:rsid w:val="00550F5A"/>
    <w:rsid w:val="00577B52"/>
    <w:rsid w:val="005A51C7"/>
    <w:rsid w:val="005A5D21"/>
    <w:rsid w:val="005A76B6"/>
    <w:rsid w:val="005B04B7"/>
    <w:rsid w:val="005B39EB"/>
    <w:rsid w:val="005B3AFA"/>
    <w:rsid w:val="005C0743"/>
    <w:rsid w:val="005C4984"/>
    <w:rsid w:val="005D1207"/>
    <w:rsid w:val="005D3906"/>
    <w:rsid w:val="005D498E"/>
    <w:rsid w:val="005E09C7"/>
    <w:rsid w:val="005E2EFA"/>
    <w:rsid w:val="005E332B"/>
    <w:rsid w:val="005F5A20"/>
    <w:rsid w:val="00606109"/>
    <w:rsid w:val="00610F67"/>
    <w:rsid w:val="00631751"/>
    <w:rsid w:val="006351E3"/>
    <w:rsid w:val="00642D1B"/>
    <w:rsid w:val="00645DC4"/>
    <w:rsid w:val="00650B64"/>
    <w:rsid w:val="006702A6"/>
    <w:rsid w:val="00671E89"/>
    <w:rsid w:val="0068195C"/>
    <w:rsid w:val="006846FB"/>
    <w:rsid w:val="00686460"/>
    <w:rsid w:val="0069013D"/>
    <w:rsid w:val="006A111A"/>
    <w:rsid w:val="006A5E7F"/>
    <w:rsid w:val="006A618A"/>
    <w:rsid w:val="006C1D0C"/>
    <w:rsid w:val="006C33E3"/>
    <w:rsid w:val="006C7440"/>
    <w:rsid w:val="006E0153"/>
    <w:rsid w:val="00702421"/>
    <w:rsid w:val="007065AC"/>
    <w:rsid w:val="00710B0E"/>
    <w:rsid w:val="007161D5"/>
    <w:rsid w:val="00720ECD"/>
    <w:rsid w:val="00724E7C"/>
    <w:rsid w:val="00726EC3"/>
    <w:rsid w:val="0073064A"/>
    <w:rsid w:val="00740E34"/>
    <w:rsid w:val="00741C0D"/>
    <w:rsid w:val="00744629"/>
    <w:rsid w:val="00760628"/>
    <w:rsid w:val="00761E9A"/>
    <w:rsid w:val="00767F75"/>
    <w:rsid w:val="007764A0"/>
    <w:rsid w:val="00784D9F"/>
    <w:rsid w:val="007A0309"/>
    <w:rsid w:val="007A182D"/>
    <w:rsid w:val="007A4A49"/>
    <w:rsid w:val="007B1027"/>
    <w:rsid w:val="007B163E"/>
    <w:rsid w:val="007C12E9"/>
    <w:rsid w:val="007C6BFB"/>
    <w:rsid w:val="007D12BA"/>
    <w:rsid w:val="007D35B7"/>
    <w:rsid w:val="007D38A0"/>
    <w:rsid w:val="007D67A2"/>
    <w:rsid w:val="007F75E6"/>
    <w:rsid w:val="008030B3"/>
    <w:rsid w:val="00812DA1"/>
    <w:rsid w:val="00834A56"/>
    <w:rsid w:val="008406C2"/>
    <w:rsid w:val="0084105C"/>
    <w:rsid w:val="00841BC2"/>
    <w:rsid w:val="008433E8"/>
    <w:rsid w:val="008500BD"/>
    <w:rsid w:val="00856A96"/>
    <w:rsid w:val="00861A6B"/>
    <w:rsid w:val="00863CB6"/>
    <w:rsid w:val="00870449"/>
    <w:rsid w:val="00875240"/>
    <w:rsid w:val="008A4F4F"/>
    <w:rsid w:val="008C36CD"/>
    <w:rsid w:val="008C51CA"/>
    <w:rsid w:val="008D1852"/>
    <w:rsid w:val="008D3B91"/>
    <w:rsid w:val="008D7B48"/>
    <w:rsid w:val="00911C8D"/>
    <w:rsid w:val="00920EAC"/>
    <w:rsid w:val="0092196E"/>
    <w:rsid w:val="00921ECE"/>
    <w:rsid w:val="009253DB"/>
    <w:rsid w:val="00933613"/>
    <w:rsid w:val="00936B04"/>
    <w:rsid w:val="00942EA8"/>
    <w:rsid w:val="009456CE"/>
    <w:rsid w:val="00950AEB"/>
    <w:rsid w:val="00957DB6"/>
    <w:rsid w:val="00962D11"/>
    <w:rsid w:val="009631D5"/>
    <w:rsid w:val="00967FE8"/>
    <w:rsid w:val="0097556C"/>
    <w:rsid w:val="00976B5F"/>
    <w:rsid w:val="00987BD5"/>
    <w:rsid w:val="00987F05"/>
    <w:rsid w:val="009902D2"/>
    <w:rsid w:val="00996262"/>
    <w:rsid w:val="009B069B"/>
    <w:rsid w:val="009B3D14"/>
    <w:rsid w:val="009C1B73"/>
    <w:rsid w:val="009C4DEC"/>
    <w:rsid w:val="009E11AB"/>
    <w:rsid w:val="009E30C6"/>
    <w:rsid w:val="009E78C9"/>
    <w:rsid w:val="00A068BF"/>
    <w:rsid w:val="00A35E9E"/>
    <w:rsid w:val="00A677F3"/>
    <w:rsid w:val="00A84496"/>
    <w:rsid w:val="00A94456"/>
    <w:rsid w:val="00AA0178"/>
    <w:rsid w:val="00AB2AB1"/>
    <w:rsid w:val="00AB6911"/>
    <w:rsid w:val="00AE2A0A"/>
    <w:rsid w:val="00AE3339"/>
    <w:rsid w:val="00AE7933"/>
    <w:rsid w:val="00AF150D"/>
    <w:rsid w:val="00AF408D"/>
    <w:rsid w:val="00AF775C"/>
    <w:rsid w:val="00B11880"/>
    <w:rsid w:val="00B16196"/>
    <w:rsid w:val="00B3085D"/>
    <w:rsid w:val="00B36397"/>
    <w:rsid w:val="00B47BEA"/>
    <w:rsid w:val="00B52CB1"/>
    <w:rsid w:val="00B5482B"/>
    <w:rsid w:val="00B64100"/>
    <w:rsid w:val="00B91E98"/>
    <w:rsid w:val="00B928E4"/>
    <w:rsid w:val="00BA715A"/>
    <w:rsid w:val="00BC0D0F"/>
    <w:rsid w:val="00BC770A"/>
    <w:rsid w:val="00BD3C7C"/>
    <w:rsid w:val="00BD3D34"/>
    <w:rsid w:val="00BE4A27"/>
    <w:rsid w:val="00BE4B0F"/>
    <w:rsid w:val="00BF5395"/>
    <w:rsid w:val="00C01191"/>
    <w:rsid w:val="00C01BDF"/>
    <w:rsid w:val="00C07DC1"/>
    <w:rsid w:val="00C12C43"/>
    <w:rsid w:val="00C1454C"/>
    <w:rsid w:val="00C153FC"/>
    <w:rsid w:val="00C17844"/>
    <w:rsid w:val="00C50D61"/>
    <w:rsid w:val="00C52E8C"/>
    <w:rsid w:val="00C6497E"/>
    <w:rsid w:val="00C676B9"/>
    <w:rsid w:val="00C713C3"/>
    <w:rsid w:val="00C748D0"/>
    <w:rsid w:val="00C767AD"/>
    <w:rsid w:val="00C9578D"/>
    <w:rsid w:val="00C95C8D"/>
    <w:rsid w:val="00C96834"/>
    <w:rsid w:val="00CC02EF"/>
    <w:rsid w:val="00CC1B2D"/>
    <w:rsid w:val="00CE0A8D"/>
    <w:rsid w:val="00CE51DC"/>
    <w:rsid w:val="00CF0597"/>
    <w:rsid w:val="00CF096A"/>
    <w:rsid w:val="00D03D99"/>
    <w:rsid w:val="00D05FBF"/>
    <w:rsid w:val="00D1194B"/>
    <w:rsid w:val="00D134B1"/>
    <w:rsid w:val="00D255EF"/>
    <w:rsid w:val="00D2732F"/>
    <w:rsid w:val="00D315E2"/>
    <w:rsid w:val="00D4258B"/>
    <w:rsid w:val="00D6339E"/>
    <w:rsid w:val="00D64443"/>
    <w:rsid w:val="00D73CC1"/>
    <w:rsid w:val="00D804E9"/>
    <w:rsid w:val="00D84A7D"/>
    <w:rsid w:val="00D8513B"/>
    <w:rsid w:val="00D9489F"/>
    <w:rsid w:val="00DA248B"/>
    <w:rsid w:val="00DA7BB4"/>
    <w:rsid w:val="00DB69E8"/>
    <w:rsid w:val="00DC5882"/>
    <w:rsid w:val="00DD4B6B"/>
    <w:rsid w:val="00DE0B98"/>
    <w:rsid w:val="00DE4BD9"/>
    <w:rsid w:val="00DE5CAA"/>
    <w:rsid w:val="00E033EA"/>
    <w:rsid w:val="00E06BD7"/>
    <w:rsid w:val="00E1082D"/>
    <w:rsid w:val="00E15968"/>
    <w:rsid w:val="00E27C51"/>
    <w:rsid w:val="00E41EE6"/>
    <w:rsid w:val="00E62E9B"/>
    <w:rsid w:val="00E7796B"/>
    <w:rsid w:val="00E90709"/>
    <w:rsid w:val="00E916EB"/>
    <w:rsid w:val="00E92CC8"/>
    <w:rsid w:val="00E94D71"/>
    <w:rsid w:val="00EA1FBC"/>
    <w:rsid w:val="00EB35BA"/>
    <w:rsid w:val="00EC6521"/>
    <w:rsid w:val="00EF55CC"/>
    <w:rsid w:val="00EF7BC4"/>
    <w:rsid w:val="00F02588"/>
    <w:rsid w:val="00F05B3D"/>
    <w:rsid w:val="00F066E3"/>
    <w:rsid w:val="00F108BA"/>
    <w:rsid w:val="00F21E39"/>
    <w:rsid w:val="00F234B1"/>
    <w:rsid w:val="00F51926"/>
    <w:rsid w:val="00F545C4"/>
    <w:rsid w:val="00F64291"/>
    <w:rsid w:val="00F666D9"/>
    <w:rsid w:val="00F721B2"/>
    <w:rsid w:val="00F72A94"/>
    <w:rsid w:val="00F80452"/>
    <w:rsid w:val="00F8304E"/>
    <w:rsid w:val="00F878CE"/>
    <w:rsid w:val="00F9791D"/>
    <w:rsid w:val="00FA396B"/>
    <w:rsid w:val="00FA526F"/>
    <w:rsid w:val="00FA548C"/>
    <w:rsid w:val="00FA5555"/>
    <w:rsid w:val="00FA57BC"/>
    <w:rsid w:val="00FA5A08"/>
    <w:rsid w:val="00FB4543"/>
    <w:rsid w:val="00FB6CDA"/>
    <w:rsid w:val="00FB74E7"/>
    <w:rsid w:val="00FC6AB3"/>
    <w:rsid w:val="00FD125B"/>
    <w:rsid w:val="00FD27B8"/>
    <w:rsid w:val="00FD50E3"/>
    <w:rsid w:val="00FD63D7"/>
    <w:rsid w:val="00FD7232"/>
    <w:rsid w:val="00FD7C76"/>
    <w:rsid w:val="00FE10BB"/>
    <w:rsid w:val="00FE2784"/>
    <w:rsid w:val="00FE5D2B"/>
    <w:rsid w:val="00FE6E85"/>
    <w:rsid w:val="00FF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1C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ListParagraph">
    <w:name w:val="List Paragraph"/>
    <w:basedOn w:val="Normal"/>
    <w:uiPriority w:val="34"/>
    <w:qFormat/>
    <w:rsid w:val="0049501E"/>
    <w:pPr>
      <w:spacing w:before="0" w:after="200" w:line="276" w:lineRule="auto"/>
      <w:ind w:left="720"/>
      <w:contextualSpacing/>
    </w:pPr>
    <w:rPr>
      <w:rFonts w:ascii="Calibri" w:eastAsia="Calibri" w:hAnsi="Calibri"/>
      <w:szCs w:val="22"/>
    </w:rPr>
  </w:style>
  <w:style w:type="paragraph" w:styleId="BalloonText">
    <w:name w:val="Balloon Text"/>
    <w:basedOn w:val="Normal"/>
    <w:link w:val="BalloonTextChar"/>
    <w:rsid w:val="00073DE4"/>
    <w:pPr>
      <w:spacing w:before="0"/>
    </w:pPr>
    <w:rPr>
      <w:rFonts w:ascii="Tahoma" w:hAnsi="Tahoma" w:cs="Tahoma"/>
      <w:sz w:val="16"/>
      <w:szCs w:val="16"/>
    </w:rPr>
  </w:style>
  <w:style w:type="character" w:customStyle="1" w:styleId="BalloonTextChar">
    <w:name w:val="Balloon Text Char"/>
    <w:basedOn w:val="DefaultParagraphFont"/>
    <w:link w:val="BalloonText"/>
    <w:rsid w:val="00073DE4"/>
    <w:rPr>
      <w:rFonts w:ascii="Tahoma" w:hAnsi="Tahoma" w:cs="Tahoma"/>
      <w:sz w:val="16"/>
      <w:szCs w:val="16"/>
      <w:lang w:eastAsia="en-US"/>
    </w:rPr>
  </w:style>
  <w:style w:type="character" w:styleId="CommentReference">
    <w:name w:val="annotation reference"/>
    <w:basedOn w:val="DefaultParagraphFont"/>
    <w:rsid w:val="00073DE4"/>
    <w:rPr>
      <w:sz w:val="16"/>
      <w:szCs w:val="16"/>
    </w:rPr>
  </w:style>
  <w:style w:type="paragraph" w:styleId="CommentText">
    <w:name w:val="annotation text"/>
    <w:basedOn w:val="Normal"/>
    <w:link w:val="CommentTextChar"/>
    <w:rsid w:val="00073DE4"/>
    <w:rPr>
      <w:sz w:val="20"/>
      <w:szCs w:val="20"/>
    </w:rPr>
  </w:style>
  <w:style w:type="character" w:customStyle="1" w:styleId="CommentTextChar">
    <w:name w:val="Comment Text Char"/>
    <w:basedOn w:val="DefaultParagraphFont"/>
    <w:link w:val="CommentText"/>
    <w:rsid w:val="00073DE4"/>
    <w:rPr>
      <w:rFonts w:ascii="Arial" w:hAnsi="Arial"/>
      <w:lang w:eastAsia="en-US"/>
    </w:rPr>
  </w:style>
  <w:style w:type="paragraph" w:styleId="CommentSubject">
    <w:name w:val="annotation subject"/>
    <w:basedOn w:val="CommentText"/>
    <w:next w:val="CommentText"/>
    <w:link w:val="CommentSubjectChar"/>
    <w:rsid w:val="00073DE4"/>
    <w:rPr>
      <w:b/>
      <w:bCs/>
    </w:rPr>
  </w:style>
  <w:style w:type="character" w:customStyle="1" w:styleId="CommentSubjectChar">
    <w:name w:val="Comment Subject Char"/>
    <w:basedOn w:val="CommentTextChar"/>
    <w:link w:val="CommentSubject"/>
    <w:rsid w:val="00073DE4"/>
    <w:rPr>
      <w:rFonts w:ascii="Arial" w:hAnsi="Arial"/>
      <w:b/>
      <w:bCs/>
      <w:lang w:eastAsia="en-US"/>
    </w:rPr>
  </w:style>
  <w:style w:type="character" w:styleId="FollowedHyperlink">
    <w:name w:val="FollowedHyperlink"/>
    <w:basedOn w:val="DefaultParagraphFont"/>
    <w:rsid w:val="00073DE4"/>
    <w:rPr>
      <w:color w:val="800080" w:themeColor="followedHyperlink"/>
      <w:u w:val="single"/>
    </w:rPr>
  </w:style>
  <w:style w:type="character" w:customStyle="1" w:styleId="HeaderChar">
    <w:name w:val="Header Char"/>
    <w:basedOn w:val="DefaultParagraphFont"/>
    <w:link w:val="Header"/>
    <w:rsid w:val="009E30C6"/>
    <w:rPr>
      <w:rFonts w:ascii="Arial" w:hAnsi="Arial"/>
      <w:sz w:val="18"/>
      <w:szCs w:val="24"/>
      <w:lang w:eastAsia="en-US"/>
    </w:rPr>
  </w:style>
  <w:style w:type="paragraph" w:styleId="Revision">
    <w:name w:val="Revision"/>
    <w:hidden/>
    <w:uiPriority w:val="99"/>
    <w:semiHidden/>
    <w:rsid w:val="00911C8D"/>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ListParagraph">
    <w:name w:val="List Paragraph"/>
    <w:basedOn w:val="Normal"/>
    <w:uiPriority w:val="34"/>
    <w:qFormat/>
    <w:rsid w:val="0049501E"/>
    <w:pPr>
      <w:spacing w:before="0" w:after="200" w:line="276" w:lineRule="auto"/>
      <w:ind w:left="720"/>
      <w:contextualSpacing/>
    </w:pPr>
    <w:rPr>
      <w:rFonts w:ascii="Calibri" w:eastAsia="Calibri" w:hAnsi="Calibri"/>
      <w:szCs w:val="22"/>
    </w:rPr>
  </w:style>
  <w:style w:type="paragraph" w:styleId="BalloonText">
    <w:name w:val="Balloon Text"/>
    <w:basedOn w:val="Normal"/>
    <w:link w:val="BalloonTextChar"/>
    <w:rsid w:val="00073DE4"/>
    <w:pPr>
      <w:spacing w:before="0"/>
    </w:pPr>
    <w:rPr>
      <w:rFonts w:ascii="Tahoma" w:hAnsi="Tahoma" w:cs="Tahoma"/>
      <w:sz w:val="16"/>
      <w:szCs w:val="16"/>
    </w:rPr>
  </w:style>
  <w:style w:type="character" w:customStyle="1" w:styleId="BalloonTextChar">
    <w:name w:val="Balloon Text Char"/>
    <w:basedOn w:val="DefaultParagraphFont"/>
    <w:link w:val="BalloonText"/>
    <w:rsid w:val="00073DE4"/>
    <w:rPr>
      <w:rFonts w:ascii="Tahoma" w:hAnsi="Tahoma" w:cs="Tahoma"/>
      <w:sz w:val="16"/>
      <w:szCs w:val="16"/>
      <w:lang w:eastAsia="en-US"/>
    </w:rPr>
  </w:style>
  <w:style w:type="character" w:styleId="CommentReference">
    <w:name w:val="annotation reference"/>
    <w:basedOn w:val="DefaultParagraphFont"/>
    <w:rsid w:val="00073DE4"/>
    <w:rPr>
      <w:sz w:val="16"/>
      <w:szCs w:val="16"/>
    </w:rPr>
  </w:style>
  <w:style w:type="paragraph" w:styleId="CommentText">
    <w:name w:val="annotation text"/>
    <w:basedOn w:val="Normal"/>
    <w:link w:val="CommentTextChar"/>
    <w:rsid w:val="00073DE4"/>
    <w:rPr>
      <w:sz w:val="20"/>
      <w:szCs w:val="20"/>
    </w:rPr>
  </w:style>
  <w:style w:type="character" w:customStyle="1" w:styleId="CommentTextChar">
    <w:name w:val="Comment Text Char"/>
    <w:basedOn w:val="DefaultParagraphFont"/>
    <w:link w:val="CommentText"/>
    <w:rsid w:val="00073DE4"/>
    <w:rPr>
      <w:rFonts w:ascii="Arial" w:hAnsi="Arial"/>
      <w:lang w:eastAsia="en-US"/>
    </w:rPr>
  </w:style>
  <w:style w:type="paragraph" w:styleId="CommentSubject">
    <w:name w:val="annotation subject"/>
    <w:basedOn w:val="CommentText"/>
    <w:next w:val="CommentText"/>
    <w:link w:val="CommentSubjectChar"/>
    <w:rsid w:val="00073DE4"/>
    <w:rPr>
      <w:b/>
      <w:bCs/>
    </w:rPr>
  </w:style>
  <w:style w:type="character" w:customStyle="1" w:styleId="CommentSubjectChar">
    <w:name w:val="Comment Subject Char"/>
    <w:basedOn w:val="CommentTextChar"/>
    <w:link w:val="CommentSubject"/>
    <w:rsid w:val="00073DE4"/>
    <w:rPr>
      <w:rFonts w:ascii="Arial" w:hAnsi="Arial"/>
      <w:b/>
      <w:bCs/>
      <w:lang w:eastAsia="en-US"/>
    </w:rPr>
  </w:style>
  <w:style w:type="character" w:styleId="FollowedHyperlink">
    <w:name w:val="FollowedHyperlink"/>
    <w:basedOn w:val="DefaultParagraphFont"/>
    <w:rsid w:val="00073DE4"/>
    <w:rPr>
      <w:color w:val="800080" w:themeColor="followedHyperlink"/>
      <w:u w:val="single"/>
    </w:rPr>
  </w:style>
  <w:style w:type="character" w:customStyle="1" w:styleId="HeaderChar">
    <w:name w:val="Header Char"/>
    <w:basedOn w:val="DefaultParagraphFont"/>
    <w:link w:val="Header"/>
    <w:rsid w:val="009E30C6"/>
    <w:rPr>
      <w:rFonts w:ascii="Arial" w:hAnsi="Arial"/>
      <w:sz w:val="18"/>
      <w:szCs w:val="24"/>
      <w:lang w:eastAsia="en-US"/>
    </w:rPr>
  </w:style>
  <w:style w:type="paragraph" w:styleId="Revision">
    <w:name w:val="Revision"/>
    <w:hidden/>
    <w:uiPriority w:val="99"/>
    <w:semiHidden/>
    <w:rsid w:val="00911C8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8935">
      <w:bodyDiv w:val="1"/>
      <w:marLeft w:val="0"/>
      <w:marRight w:val="0"/>
      <w:marTop w:val="0"/>
      <w:marBottom w:val="0"/>
      <w:divBdr>
        <w:top w:val="none" w:sz="0" w:space="0" w:color="auto"/>
        <w:left w:val="none" w:sz="0" w:space="0" w:color="auto"/>
        <w:bottom w:val="none" w:sz="0" w:space="0" w:color="auto"/>
        <w:right w:val="none" w:sz="0" w:space="0" w:color="auto"/>
      </w:divBdr>
    </w:div>
    <w:div w:id="914435744">
      <w:bodyDiv w:val="1"/>
      <w:marLeft w:val="0"/>
      <w:marRight w:val="0"/>
      <w:marTop w:val="0"/>
      <w:marBottom w:val="0"/>
      <w:divBdr>
        <w:top w:val="none" w:sz="0" w:space="0" w:color="auto"/>
        <w:left w:val="none" w:sz="0" w:space="0" w:color="auto"/>
        <w:bottom w:val="none" w:sz="0" w:space="0" w:color="auto"/>
        <w:right w:val="none" w:sz="0" w:space="0" w:color="auto"/>
      </w:divBdr>
    </w:div>
    <w:div w:id="950744529">
      <w:bodyDiv w:val="1"/>
      <w:marLeft w:val="0"/>
      <w:marRight w:val="0"/>
      <w:marTop w:val="0"/>
      <w:marBottom w:val="0"/>
      <w:divBdr>
        <w:top w:val="none" w:sz="0" w:space="0" w:color="auto"/>
        <w:left w:val="none" w:sz="0" w:space="0" w:color="auto"/>
        <w:bottom w:val="none" w:sz="0" w:space="0" w:color="auto"/>
        <w:right w:val="none" w:sz="0" w:space="0" w:color="auto"/>
      </w:divBdr>
    </w:div>
    <w:div w:id="1951357816">
      <w:bodyDiv w:val="1"/>
      <w:marLeft w:val="0"/>
      <w:marRight w:val="0"/>
      <w:marTop w:val="0"/>
      <w:marBottom w:val="0"/>
      <w:divBdr>
        <w:top w:val="none" w:sz="0" w:space="0" w:color="auto"/>
        <w:left w:val="none" w:sz="0" w:space="0" w:color="auto"/>
        <w:bottom w:val="none" w:sz="0" w:space="0" w:color="auto"/>
        <w:right w:val="none" w:sz="0" w:space="0" w:color="auto"/>
      </w:divBdr>
    </w:div>
    <w:div w:id="1958177268">
      <w:bodyDiv w:val="1"/>
      <w:marLeft w:val="0"/>
      <w:marRight w:val="0"/>
      <w:marTop w:val="0"/>
      <w:marBottom w:val="0"/>
      <w:divBdr>
        <w:top w:val="none" w:sz="0" w:space="0" w:color="auto"/>
        <w:left w:val="none" w:sz="0" w:space="0" w:color="auto"/>
        <w:bottom w:val="none" w:sz="0" w:space="0" w:color="auto"/>
        <w:right w:val="none" w:sz="0" w:space="0" w:color="auto"/>
      </w:divBdr>
    </w:div>
    <w:div w:id="21401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hyperlink" Target="mailto:enquiries@culture.gov.uk"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gov.uk/government/publications/sponsored-museums-performance-indicators-2012-13" TargetMode="External"/><Relationship Id="rId25" Type="http://schemas.openxmlformats.org/officeDocument/2006/relationships/hyperlink" Target="mailto:enquiries@culture.gov.u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enquiries@culture.gov.uk" TargetMode="External"/><Relationship Id="rId5" Type="http://schemas.openxmlformats.org/officeDocument/2006/relationships/settings" Target="settings.xml"/><Relationship Id="rId15" Type="http://schemas.openxmlformats.org/officeDocument/2006/relationships/hyperlink" Target="https://www.gov.uk/government/collections/performance-indicators" TargetMode="External"/><Relationship Id="rId23" Type="http://schemas.openxmlformats.org/officeDocument/2006/relationships/hyperlink" Target="http://www.statisticsauthority.gov.uk/assessment/code-of-practice/code-of-practice-for-official-statistics.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ov.uk/government/publications/sponsored-museums-performance-indicators-2012-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ponsored-museums-performance-indicators-2012-13" TargetMode="External"/><Relationship Id="rId22" Type="http://schemas.openxmlformats.org/officeDocument/2006/relationships/hyperlink" Target="https://www.gov.uk/government/publications/sponsored-museums-performance-indicators-2012-13" TargetMode="External"/><Relationship Id="rId27"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E890-074E-46AA-89F9-BA15203C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740</TotalTime>
  <Pages>10</Pages>
  <Words>1032</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Penny</dc:creator>
  <cp:lastModifiedBy>TUCKETT, Sam</cp:lastModifiedBy>
  <cp:revision>65</cp:revision>
  <cp:lastPrinted>2013-11-12T15:23:00Z</cp:lastPrinted>
  <dcterms:created xsi:type="dcterms:W3CDTF">2013-10-17T14:18:00Z</dcterms:created>
  <dcterms:modified xsi:type="dcterms:W3CDTF">2013-12-02T16:45:00Z</dcterms:modified>
</cp:coreProperties>
</file>