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D3" w:rsidRPr="00FE5E94" w:rsidRDefault="00FF1F50" w:rsidP="0010143E">
      <w:pPr>
        <w:rPr>
          <w:rFonts w:ascii="Arial" w:hAnsi="Arial" w:cs="Arial"/>
          <w:sz w:val="28"/>
          <w:szCs w:val="28"/>
        </w:rPr>
      </w:pPr>
      <w:r w:rsidRPr="00FE5E94">
        <w:rPr>
          <w:rFonts w:ascii="Arial" w:hAnsi="Arial" w:cs="Arial"/>
          <w:b/>
          <w:sz w:val="28"/>
          <w:szCs w:val="28"/>
        </w:rPr>
        <w:t xml:space="preserve">Detailed points on the methodology and data used to measure re-offending </w:t>
      </w:r>
      <w:r w:rsidR="008B19DF" w:rsidRPr="00FE5E94">
        <w:rPr>
          <w:rFonts w:ascii="Arial" w:hAnsi="Arial" w:cs="Arial"/>
          <w:b/>
          <w:sz w:val="28"/>
          <w:szCs w:val="28"/>
        </w:rPr>
        <w:t xml:space="preserve">outcomes </w:t>
      </w:r>
      <w:r w:rsidRPr="00FE5E94">
        <w:rPr>
          <w:rFonts w:ascii="Arial" w:hAnsi="Arial" w:cs="Arial"/>
          <w:b/>
          <w:sz w:val="28"/>
          <w:szCs w:val="28"/>
        </w:rPr>
        <w:t xml:space="preserve">for the </w:t>
      </w:r>
      <w:proofErr w:type="spellStart"/>
      <w:r w:rsidRPr="00FE5E94">
        <w:rPr>
          <w:rFonts w:ascii="Arial" w:hAnsi="Arial" w:cs="Arial"/>
          <w:b/>
          <w:sz w:val="28"/>
          <w:szCs w:val="28"/>
        </w:rPr>
        <w:t>PbR</w:t>
      </w:r>
      <w:proofErr w:type="spellEnd"/>
      <w:r w:rsidRPr="00FE5E94">
        <w:rPr>
          <w:rFonts w:ascii="Arial" w:hAnsi="Arial" w:cs="Arial"/>
          <w:b/>
          <w:sz w:val="28"/>
          <w:szCs w:val="28"/>
        </w:rPr>
        <w:t xml:space="preserve"> element of the T</w:t>
      </w:r>
      <w:r w:rsidR="00272A8D" w:rsidRPr="00FE5E94">
        <w:rPr>
          <w:rFonts w:ascii="Arial" w:hAnsi="Arial" w:cs="Arial"/>
          <w:b/>
          <w:sz w:val="28"/>
          <w:szCs w:val="28"/>
        </w:rPr>
        <w:t xml:space="preserve">ransforming </w:t>
      </w:r>
      <w:r w:rsidRPr="00FE5E94">
        <w:rPr>
          <w:rFonts w:ascii="Arial" w:hAnsi="Arial" w:cs="Arial"/>
          <w:b/>
          <w:sz w:val="28"/>
          <w:szCs w:val="28"/>
        </w:rPr>
        <w:t>R</w:t>
      </w:r>
      <w:r w:rsidR="00272A8D" w:rsidRPr="00FE5E94">
        <w:rPr>
          <w:rFonts w:ascii="Arial" w:hAnsi="Arial" w:cs="Arial"/>
          <w:b/>
          <w:sz w:val="28"/>
          <w:szCs w:val="28"/>
        </w:rPr>
        <w:t>ehabilitation</w:t>
      </w:r>
      <w:r w:rsidRPr="00FE5E94">
        <w:rPr>
          <w:rFonts w:ascii="Arial" w:hAnsi="Arial" w:cs="Arial"/>
          <w:b/>
          <w:sz w:val="28"/>
          <w:szCs w:val="28"/>
        </w:rPr>
        <w:t xml:space="preserve"> payment mechanism</w:t>
      </w:r>
    </w:p>
    <w:p w:rsidR="008939D3" w:rsidRDefault="008939D3" w:rsidP="008939D3">
      <w:pPr>
        <w:jc w:val="both"/>
        <w:rPr>
          <w:rFonts w:ascii="Arial" w:hAnsi="Arial" w:cs="Arial"/>
          <w:sz w:val="22"/>
          <w:szCs w:val="22"/>
        </w:rPr>
      </w:pPr>
    </w:p>
    <w:p w:rsidR="008939D3" w:rsidRDefault="008939D3" w:rsidP="008867A6">
      <w:p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Introduction</w:t>
      </w:r>
    </w:p>
    <w:p w:rsidR="00E437CD" w:rsidRDefault="00CF3BA3" w:rsidP="008B19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19DF">
        <w:rPr>
          <w:rFonts w:ascii="Arial" w:hAnsi="Arial" w:cs="Arial"/>
          <w:sz w:val="22"/>
          <w:szCs w:val="22"/>
        </w:rPr>
        <w:t>This</w:t>
      </w:r>
      <w:r w:rsidR="00893C96" w:rsidRPr="008B19DF">
        <w:rPr>
          <w:rFonts w:ascii="Arial" w:hAnsi="Arial" w:cs="Arial"/>
          <w:sz w:val="22"/>
          <w:szCs w:val="22"/>
        </w:rPr>
        <w:t xml:space="preserve"> </w:t>
      </w:r>
      <w:r w:rsidR="00227E34">
        <w:rPr>
          <w:rFonts w:ascii="Arial" w:hAnsi="Arial" w:cs="Arial"/>
          <w:sz w:val="22"/>
          <w:szCs w:val="22"/>
        </w:rPr>
        <w:t>note</w:t>
      </w:r>
      <w:r w:rsidR="00893C96" w:rsidRPr="008B19DF">
        <w:rPr>
          <w:rFonts w:ascii="Arial" w:hAnsi="Arial" w:cs="Arial"/>
          <w:sz w:val="22"/>
          <w:szCs w:val="22"/>
        </w:rPr>
        <w:t xml:space="preserve"> sets out the </w:t>
      </w:r>
      <w:r w:rsidR="00773B59" w:rsidRPr="008B19DF">
        <w:rPr>
          <w:rFonts w:ascii="Arial" w:hAnsi="Arial" w:cs="Arial"/>
          <w:sz w:val="22"/>
          <w:szCs w:val="22"/>
        </w:rPr>
        <w:t>assumptions and</w:t>
      </w:r>
      <w:r w:rsidR="00893C96" w:rsidRPr="008B19DF">
        <w:rPr>
          <w:rFonts w:ascii="Arial" w:hAnsi="Arial" w:cs="Arial"/>
          <w:sz w:val="22"/>
          <w:szCs w:val="22"/>
        </w:rPr>
        <w:t xml:space="preserve"> rules used </w:t>
      </w:r>
      <w:r w:rsidR="009A6374" w:rsidRPr="008B19DF">
        <w:rPr>
          <w:rFonts w:ascii="Arial" w:hAnsi="Arial" w:cs="Arial"/>
          <w:sz w:val="22"/>
          <w:szCs w:val="22"/>
        </w:rPr>
        <w:t>by MoJ</w:t>
      </w:r>
      <w:r w:rsidR="00FF1CA4" w:rsidRPr="008B19DF">
        <w:rPr>
          <w:rFonts w:ascii="Arial" w:hAnsi="Arial" w:cs="Arial"/>
          <w:sz w:val="22"/>
          <w:szCs w:val="22"/>
        </w:rPr>
        <w:t xml:space="preserve"> Analytical Services</w:t>
      </w:r>
      <w:r w:rsidR="009A6374" w:rsidRPr="008B19DF">
        <w:rPr>
          <w:rFonts w:ascii="Arial" w:hAnsi="Arial" w:cs="Arial"/>
          <w:sz w:val="22"/>
          <w:szCs w:val="22"/>
        </w:rPr>
        <w:t xml:space="preserve"> for</w:t>
      </w:r>
      <w:r w:rsidR="00E437CD">
        <w:rPr>
          <w:rFonts w:ascii="Arial" w:hAnsi="Arial" w:cs="Arial"/>
          <w:sz w:val="22"/>
          <w:szCs w:val="22"/>
        </w:rPr>
        <w:t xml:space="preserve"> </w:t>
      </w:r>
      <w:r w:rsidR="00773B59" w:rsidRPr="008B19DF">
        <w:rPr>
          <w:rFonts w:ascii="Arial" w:hAnsi="Arial" w:cs="Arial"/>
          <w:sz w:val="22"/>
          <w:szCs w:val="22"/>
        </w:rPr>
        <w:t xml:space="preserve">the </w:t>
      </w:r>
      <w:r w:rsidR="009A6374" w:rsidRPr="008B19DF">
        <w:rPr>
          <w:rFonts w:ascii="Arial" w:hAnsi="Arial" w:cs="Arial"/>
          <w:sz w:val="22"/>
          <w:szCs w:val="22"/>
        </w:rPr>
        <w:t xml:space="preserve">regular </w:t>
      </w:r>
      <w:r w:rsidR="00773B59" w:rsidRPr="008B19DF">
        <w:rPr>
          <w:rFonts w:ascii="Arial" w:hAnsi="Arial" w:cs="Arial"/>
          <w:sz w:val="22"/>
          <w:szCs w:val="22"/>
        </w:rPr>
        <w:t xml:space="preserve">measurement of re-offending </w:t>
      </w:r>
      <w:r w:rsidR="0076681C">
        <w:rPr>
          <w:rFonts w:ascii="Arial" w:hAnsi="Arial" w:cs="Arial"/>
          <w:sz w:val="22"/>
          <w:szCs w:val="22"/>
        </w:rPr>
        <w:t xml:space="preserve">outcomes (meaning both the binary and frequency measures) </w:t>
      </w:r>
      <w:r w:rsidR="000F420D" w:rsidRPr="008B19DF">
        <w:rPr>
          <w:rFonts w:ascii="Arial" w:hAnsi="Arial" w:cs="Arial"/>
          <w:sz w:val="22"/>
          <w:szCs w:val="22"/>
        </w:rPr>
        <w:t xml:space="preserve">for </w:t>
      </w:r>
      <w:r w:rsidR="00773B59" w:rsidRPr="008B19DF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0F420D" w:rsidRPr="008B19DF">
        <w:rPr>
          <w:rFonts w:ascii="Arial" w:hAnsi="Arial" w:cs="Arial"/>
          <w:sz w:val="22"/>
          <w:szCs w:val="22"/>
        </w:rPr>
        <w:t>PbR</w:t>
      </w:r>
      <w:proofErr w:type="spellEnd"/>
      <w:r w:rsidR="000F420D" w:rsidRPr="008B19DF">
        <w:rPr>
          <w:rFonts w:ascii="Arial" w:hAnsi="Arial" w:cs="Arial"/>
          <w:sz w:val="22"/>
          <w:szCs w:val="22"/>
        </w:rPr>
        <w:t xml:space="preserve"> </w:t>
      </w:r>
      <w:r w:rsidR="00773B59" w:rsidRPr="008B19DF">
        <w:rPr>
          <w:rFonts w:ascii="Arial" w:hAnsi="Arial" w:cs="Arial"/>
          <w:sz w:val="22"/>
          <w:szCs w:val="22"/>
        </w:rPr>
        <w:t>element of the TR payment mechanism</w:t>
      </w:r>
      <w:r w:rsidR="00E437CD">
        <w:rPr>
          <w:rFonts w:ascii="Arial" w:hAnsi="Arial" w:cs="Arial"/>
          <w:sz w:val="22"/>
          <w:szCs w:val="22"/>
        </w:rPr>
        <w:t>.</w:t>
      </w:r>
    </w:p>
    <w:p w:rsidR="000A1062" w:rsidRPr="008B19DF" w:rsidRDefault="000A1062" w:rsidP="000A106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19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aim </w:t>
      </w:r>
      <w:r w:rsidR="00A07462">
        <w:rPr>
          <w:rFonts w:ascii="Arial" w:hAnsi="Arial" w:cs="Arial"/>
          <w:sz w:val="22"/>
          <w:szCs w:val="22"/>
        </w:rPr>
        <w:t>of this note</w:t>
      </w:r>
      <w:r>
        <w:rPr>
          <w:rFonts w:ascii="Arial" w:hAnsi="Arial" w:cs="Arial"/>
          <w:sz w:val="22"/>
          <w:szCs w:val="22"/>
        </w:rPr>
        <w:t xml:space="preserve"> </w:t>
      </w:r>
      <w:r w:rsidRPr="008B19DF">
        <w:rPr>
          <w:rFonts w:ascii="Arial" w:hAnsi="Arial" w:cs="Arial"/>
          <w:sz w:val="22"/>
          <w:szCs w:val="22"/>
        </w:rPr>
        <w:t>is to clarify the detailed aspects of the data and methodology</w:t>
      </w:r>
      <w:r w:rsidR="00A07462">
        <w:rPr>
          <w:rFonts w:ascii="Arial" w:hAnsi="Arial" w:cs="Arial"/>
          <w:sz w:val="22"/>
          <w:szCs w:val="22"/>
        </w:rPr>
        <w:t xml:space="preserve"> that are to be used to calculate the re-offending outcomes</w:t>
      </w:r>
      <w:r w:rsidRPr="008B19DF">
        <w:rPr>
          <w:rFonts w:ascii="Arial" w:hAnsi="Arial" w:cs="Arial"/>
          <w:sz w:val="22"/>
          <w:szCs w:val="22"/>
        </w:rPr>
        <w:t xml:space="preserve"> so the measure can be fully understood by providers as they prepare their bids.</w:t>
      </w:r>
    </w:p>
    <w:p w:rsidR="00A8637F" w:rsidRPr="00A8637F" w:rsidRDefault="000A1062" w:rsidP="008B19D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227E34">
        <w:rPr>
          <w:rFonts w:ascii="Arial" w:hAnsi="Arial" w:cs="Arial"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 xml:space="preserve"> </w:t>
      </w:r>
      <w:r w:rsidR="00E437CD">
        <w:rPr>
          <w:rFonts w:ascii="Arial" w:hAnsi="Arial" w:cs="Arial"/>
          <w:sz w:val="22"/>
          <w:szCs w:val="22"/>
        </w:rPr>
        <w:t xml:space="preserve">also briefly outlines the configuration of </w:t>
      </w:r>
      <w:r w:rsidR="009A6374" w:rsidRPr="008B19DF">
        <w:rPr>
          <w:rFonts w:ascii="Arial" w:hAnsi="Arial" w:cs="Arial"/>
          <w:sz w:val="22"/>
          <w:szCs w:val="22"/>
        </w:rPr>
        <w:t>the baselines</w:t>
      </w:r>
      <w:r w:rsidR="00773B59" w:rsidRPr="008B19DF">
        <w:rPr>
          <w:rFonts w:ascii="Arial" w:hAnsi="Arial" w:cs="Arial"/>
          <w:sz w:val="22"/>
          <w:szCs w:val="22"/>
        </w:rPr>
        <w:t xml:space="preserve"> </w:t>
      </w:r>
      <w:r w:rsidR="009A6374" w:rsidRPr="008B19DF">
        <w:rPr>
          <w:rFonts w:ascii="Arial" w:hAnsi="Arial" w:cs="Arial"/>
          <w:sz w:val="22"/>
          <w:szCs w:val="22"/>
        </w:rPr>
        <w:t xml:space="preserve">against which </w:t>
      </w:r>
      <w:r w:rsidR="0076681C">
        <w:rPr>
          <w:rFonts w:ascii="Arial" w:hAnsi="Arial" w:cs="Arial"/>
          <w:sz w:val="22"/>
          <w:szCs w:val="22"/>
        </w:rPr>
        <w:t xml:space="preserve">the re-offending outcomes of all subsequent TR </w:t>
      </w:r>
      <w:proofErr w:type="spellStart"/>
      <w:r w:rsidR="0076681C">
        <w:rPr>
          <w:rFonts w:ascii="Arial" w:hAnsi="Arial" w:cs="Arial"/>
          <w:sz w:val="22"/>
          <w:szCs w:val="22"/>
        </w:rPr>
        <w:t>PbR</w:t>
      </w:r>
      <w:proofErr w:type="spellEnd"/>
      <w:r w:rsidR="0076681C">
        <w:rPr>
          <w:rFonts w:ascii="Arial" w:hAnsi="Arial" w:cs="Arial"/>
          <w:sz w:val="22"/>
          <w:szCs w:val="22"/>
        </w:rPr>
        <w:t xml:space="preserve"> cohorts will be compared for the purpose of calculating </w:t>
      </w:r>
      <w:proofErr w:type="spellStart"/>
      <w:r w:rsidR="0076681C">
        <w:rPr>
          <w:rFonts w:ascii="Arial" w:hAnsi="Arial" w:cs="Arial"/>
          <w:sz w:val="22"/>
          <w:szCs w:val="22"/>
        </w:rPr>
        <w:t>PbR</w:t>
      </w:r>
      <w:proofErr w:type="spellEnd"/>
      <w:r w:rsidR="0076681C">
        <w:rPr>
          <w:rFonts w:ascii="Arial" w:hAnsi="Arial" w:cs="Arial"/>
          <w:sz w:val="22"/>
          <w:szCs w:val="22"/>
        </w:rPr>
        <w:t xml:space="preserve"> payments</w:t>
      </w:r>
      <w:r w:rsidR="00773B59" w:rsidRPr="008B19D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More detailed information on the production of these baselines can be found in the document </w:t>
      </w:r>
      <w:r w:rsidR="00F213AA">
        <w:rPr>
          <w:rFonts w:ascii="Arial" w:hAnsi="Arial" w:cs="Arial"/>
          <w:i/>
          <w:sz w:val="22"/>
          <w:szCs w:val="22"/>
        </w:rPr>
        <w:t xml:space="preserve">Methodology for the </w:t>
      </w:r>
      <w:proofErr w:type="spellStart"/>
      <w:r w:rsidR="00F213AA">
        <w:rPr>
          <w:rFonts w:ascii="Arial" w:hAnsi="Arial" w:cs="Arial"/>
          <w:i/>
          <w:sz w:val="22"/>
          <w:szCs w:val="22"/>
        </w:rPr>
        <w:t>PbR</w:t>
      </w:r>
      <w:proofErr w:type="spellEnd"/>
      <w:r w:rsidR="00F213AA">
        <w:rPr>
          <w:rFonts w:ascii="Arial" w:hAnsi="Arial" w:cs="Arial"/>
          <w:i/>
          <w:sz w:val="22"/>
          <w:szCs w:val="22"/>
        </w:rPr>
        <w:t xml:space="preserve"> re-offending baselines</w:t>
      </w:r>
      <w:r>
        <w:rPr>
          <w:rFonts w:ascii="Arial" w:hAnsi="Arial" w:cs="Arial"/>
          <w:sz w:val="22"/>
          <w:szCs w:val="22"/>
        </w:rPr>
        <w:t>.</w:t>
      </w:r>
      <w:r w:rsidR="00A8637F">
        <w:rPr>
          <w:rFonts w:ascii="Arial" w:hAnsi="Arial" w:cs="Arial"/>
          <w:sz w:val="22"/>
          <w:szCs w:val="22"/>
        </w:rPr>
        <w:t xml:space="preserve"> This is available </w:t>
      </w:r>
      <w:r w:rsidR="005D78C2">
        <w:rPr>
          <w:rFonts w:ascii="Arial" w:hAnsi="Arial" w:cs="Arial"/>
          <w:sz w:val="22"/>
          <w:szCs w:val="22"/>
        </w:rPr>
        <w:t>in the TR data room.</w:t>
      </w:r>
    </w:p>
    <w:p w:rsidR="004803E5" w:rsidRPr="008B19DF" w:rsidRDefault="004803E5" w:rsidP="008B19D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13FC8" w:rsidRPr="008B19DF" w:rsidRDefault="004803E5" w:rsidP="008867A6">
      <w:pPr>
        <w:spacing w:before="120"/>
        <w:jc w:val="both"/>
        <w:outlineLvl w:val="0"/>
        <w:rPr>
          <w:rFonts w:ascii="Arial" w:hAnsi="Arial" w:cs="Arial"/>
          <w:b/>
        </w:rPr>
      </w:pPr>
      <w:r w:rsidRPr="008B19DF">
        <w:rPr>
          <w:rFonts w:ascii="Arial" w:hAnsi="Arial" w:cs="Arial"/>
          <w:b/>
        </w:rPr>
        <w:t>Measuring re-offending outcomes for TR cohorts</w:t>
      </w:r>
    </w:p>
    <w:p w:rsidR="00F76EC3" w:rsidRDefault="00F76EC3" w:rsidP="00F76EC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Re-offending outcomes</w:t>
      </w:r>
    </w:p>
    <w:p w:rsidR="00F76EC3" w:rsidRDefault="00F76EC3" w:rsidP="00F76EC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final re-offending outcomes calculated as described </w:t>
      </w:r>
      <w:r w:rsidR="001527FD">
        <w:rPr>
          <w:rFonts w:ascii="Arial" w:hAnsi="Arial" w:cs="Arial"/>
          <w:sz w:val="22"/>
          <w:szCs w:val="22"/>
        </w:rPr>
        <w:t>below</w:t>
      </w:r>
      <w:r>
        <w:rPr>
          <w:rFonts w:ascii="Arial" w:hAnsi="Arial" w:cs="Arial"/>
          <w:sz w:val="22"/>
          <w:szCs w:val="22"/>
        </w:rPr>
        <w:t xml:space="preserve"> are definitive for </w:t>
      </w:r>
      <w:proofErr w:type="spellStart"/>
      <w:r>
        <w:rPr>
          <w:rFonts w:ascii="Arial" w:hAnsi="Arial" w:cs="Arial"/>
          <w:sz w:val="22"/>
          <w:szCs w:val="22"/>
        </w:rPr>
        <w:t>PbR</w:t>
      </w:r>
      <w:proofErr w:type="spellEnd"/>
      <w:r>
        <w:rPr>
          <w:rFonts w:ascii="Arial" w:hAnsi="Arial" w:cs="Arial"/>
          <w:sz w:val="22"/>
          <w:szCs w:val="22"/>
        </w:rPr>
        <w:t xml:space="preserve"> purposes. Any discrepancies seen in data from other sources (for example management information or interim re-offending figures) shall have no bearing on re-offending outcomes or </w:t>
      </w:r>
      <w:proofErr w:type="spellStart"/>
      <w:r>
        <w:rPr>
          <w:rFonts w:ascii="Arial" w:hAnsi="Arial" w:cs="Arial"/>
          <w:sz w:val="22"/>
          <w:szCs w:val="22"/>
        </w:rPr>
        <w:t>PbR</w:t>
      </w:r>
      <w:proofErr w:type="spellEnd"/>
      <w:r>
        <w:rPr>
          <w:rFonts w:ascii="Arial" w:hAnsi="Arial" w:cs="Arial"/>
          <w:sz w:val="22"/>
          <w:szCs w:val="22"/>
        </w:rPr>
        <w:t xml:space="preserve"> payments.</w:t>
      </w:r>
    </w:p>
    <w:p w:rsidR="00F76EC3" w:rsidRDefault="00F76EC3" w:rsidP="00F76EC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Re-offending outcomes (meaning both the binary and frequency measures) will be rounded and used to 2 decimal places. For example:</w:t>
      </w:r>
    </w:p>
    <w:p w:rsidR="00F76EC3" w:rsidRDefault="00F76EC3" w:rsidP="00F76EC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Quarterly binary rate of 45.67%</w:t>
      </w:r>
    </w:p>
    <w:p w:rsidR="00F76EC3" w:rsidRDefault="00F76EC3" w:rsidP="00F76EC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frequency rate of 4.23 re-offences per re-offender</w:t>
      </w:r>
    </w:p>
    <w:p w:rsidR="00AB75FF" w:rsidRPr="009C5A04" w:rsidRDefault="00AB75FF" w:rsidP="00AB75F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939D3" w:rsidRDefault="008939D3" w:rsidP="008867A6">
      <w:pPr>
        <w:spacing w:before="120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Data</w:t>
      </w:r>
      <w:r w:rsidR="00EB4424">
        <w:rPr>
          <w:rFonts w:ascii="Arial" w:hAnsi="Arial" w:cs="Arial"/>
          <w:b/>
          <w:i/>
          <w:sz w:val="22"/>
          <w:szCs w:val="22"/>
        </w:rPr>
        <w:t xml:space="preserve"> sources</w:t>
      </w:r>
    </w:p>
    <w:p w:rsidR="008939D3" w:rsidRDefault="008939D3" w:rsidP="008939D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19DF">
        <w:rPr>
          <w:rFonts w:ascii="Arial" w:hAnsi="Arial" w:cs="Arial"/>
          <w:sz w:val="22"/>
          <w:szCs w:val="22"/>
        </w:rPr>
        <w:t xml:space="preserve">The measurement of re-offending </w:t>
      </w:r>
      <w:r>
        <w:rPr>
          <w:rFonts w:ascii="Arial" w:hAnsi="Arial" w:cs="Arial"/>
          <w:sz w:val="22"/>
          <w:szCs w:val="22"/>
        </w:rPr>
        <w:t xml:space="preserve">outcomes </w:t>
      </w:r>
      <w:r w:rsidRPr="008B19DF">
        <w:rPr>
          <w:rFonts w:ascii="Arial" w:hAnsi="Arial" w:cs="Arial"/>
          <w:sz w:val="22"/>
          <w:szCs w:val="22"/>
        </w:rPr>
        <w:t>relies on operational data systems</w:t>
      </w:r>
      <w:r>
        <w:rPr>
          <w:rFonts w:ascii="Arial" w:hAnsi="Arial" w:cs="Arial"/>
          <w:sz w:val="22"/>
          <w:szCs w:val="22"/>
        </w:rPr>
        <w:t xml:space="preserve">, in particular </w:t>
      </w:r>
      <w:r w:rsidRPr="008B19DF">
        <w:rPr>
          <w:rFonts w:ascii="Arial" w:hAnsi="Arial" w:cs="Arial"/>
          <w:sz w:val="22"/>
          <w:szCs w:val="22"/>
        </w:rPr>
        <w:t>the Police National Computer (PNC)</w:t>
      </w:r>
      <w:r w:rsidR="00E15550">
        <w:rPr>
          <w:rFonts w:ascii="Arial" w:hAnsi="Arial" w:cs="Arial"/>
          <w:sz w:val="22"/>
          <w:szCs w:val="22"/>
        </w:rPr>
        <w:t xml:space="preserve"> and National Delius (</w:t>
      </w:r>
      <w:proofErr w:type="spellStart"/>
      <w:r w:rsidR="00E1555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Delius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8B19DF">
        <w:rPr>
          <w:rFonts w:ascii="Arial" w:hAnsi="Arial" w:cs="Arial"/>
          <w:sz w:val="22"/>
          <w:szCs w:val="22"/>
        </w:rPr>
        <w:t xml:space="preserve">. Data from such systems are subject to possible errors in data entry and processing, and in </w:t>
      </w:r>
      <w:proofErr w:type="gramStart"/>
      <w:r w:rsidRPr="008B19DF">
        <w:rPr>
          <w:rFonts w:ascii="Arial" w:hAnsi="Arial" w:cs="Arial"/>
          <w:sz w:val="22"/>
          <w:szCs w:val="22"/>
        </w:rPr>
        <w:t>a</w:t>
      </w:r>
      <w:proofErr w:type="gramEnd"/>
      <w:r w:rsidRPr="008B19DF">
        <w:rPr>
          <w:rFonts w:ascii="Arial" w:hAnsi="Arial" w:cs="Arial"/>
          <w:sz w:val="22"/>
          <w:szCs w:val="22"/>
        </w:rPr>
        <w:t xml:space="preserve"> minority of cases necessary data items may be missing or incorrect. In order to produce statistics that are robust and consistent a set of pragmatic assumptions and rules must be inc</w:t>
      </w:r>
      <w:r w:rsidR="00AB75FF">
        <w:rPr>
          <w:rFonts w:ascii="Arial" w:hAnsi="Arial" w:cs="Arial"/>
          <w:sz w:val="22"/>
          <w:szCs w:val="22"/>
        </w:rPr>
        <w:t>orporated into the methodology.</w:t>
      </w:r>
    </w:p>
    <w:p w:rsidR="008939D3" w:rsidRPr="008B19DF" w:rsidRDefault="008939D3" w:rsidP="008939D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 to these, data held on</w:t>
      </w:r>
      <w:r w:rsidR="00516E6C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PNC </w:t>
      </w:r>
      <w:r w:rsidR="00516E6C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516E6C">
        <w:rPr>
          <w:rFonts w:ascii="Arial" w:hAnsi="Arial" w:cs="Arial"/>
          <w:sz w:val="22"/>
          <w:szCs w:val="22"/>
        </w:rPr>
        <w:t>nDelius</w:t>
      </w:r>
      <w:proofErr w:type="spellEnd"/>
      <w:r w:rsidR="00516E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be treated as authoritative and final for the purposes of measuring re-offending outcomes for PbR.</w:t>
      </w:r>
    </w:p>
    <w:p w:rsidR="008939D3" w:rsidRDefault="00F13C18" w:rsidP="008B19D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</w:t>
      </w:r>
      <w:r w:rsidR="001F0EC2">
        <w:rPr>
          <w:rFonts w:ascii="Arial" w:hAnsi="Arial" w:cs="Arial"/>
          <w:sz w:val="22"/>
          <w:szCs w:val="22"/>
        </w:rPr>
        <w:t xml:space="preserve"> points to bear in mind in relation to the PNC are:</w:t>
      </w:r>
    </w:p>
    <w:p w:rsidR="00A07462" w:rsidRDefault="00A07462" w:rsidP="00A07462">
      <w:pPr>
        <w:numPr>
          <w:ilvl w:val="0"/>
          <w:numId w:val="6"/>
        </w:numPr>
        <w:tabs>
          <w:tab w:val="clear" w:pos="1080"/>
          <w:tab w:val="num" w:pos="540"/>
        </w:tabs>
        <w:spacing w:before="120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data are the same as those used to produce </w:t>
      </w:r>
      <w:proofErr w:type="spellStart"/>
      <w:r>
        <w:rPr>
          <w:rFonts w:ascii="Arial" w:hAnsi="Arial" w:cs="Arial"/>
          <w:sz w:val="22"/>
          <w:szCs w:val="22"/>
        </w:rPr>
        <w:t>MoJ’s</w:t>
      </w:r>
      <w:proofErr w:type="spellEnd"/>
      <w:r>
        <w:rPr>
          <w:rFonts w:ascii="Arial" w:hAnsi="Arial" w:cs="Arial"/>
          <w:sz w:val="22"/>
          <w:szCs w:val="22"/>
        </w:rPr>
        <w:t xml:space="preserve"> existing Proven Re-offending Statistics, which are accredited by the UK Statistics Authority as meeting National Statistics standards. You can find more information on these statistics at the following link.</w:t>
      </w:r>
    </w:p>
    <w:p w:rsidR="00A07462" w:rsidRPr="00FD0AA5" w:rsidRDefault="001F5920" w:rsidP="00A07462">
      <w:pPr>
        <w:spacing w:before="120"/>
        <w:ind w:left="540"/>
        <w:jc w:val="both"/>
        <w:rPr>
          <w:rFonts w:ascii="Arial" w:hAnsi="Arial" w:cs="Arial"/>
          <w:sz w:val="22"/>
          <w:szCs w:val="22"/>
        </w:rPr>
      </w:pPr>
      <w:hyperlink r:id="rId7" w:history="1">
        <w:r w:rsidR="00A07462" w:rsidRPr="00434AC0">
          <w:rPr>
            <w:rStyle w:val="Hyperlink"/>
            <w:rFonts w:ascii="Arial" w:hAnsi="Arial" w:cs="Arial"/>
            <w:sz w:val="22"/>
            <w:szCs w:val="22"/>
          </w:rPr>
          <w:t>https://www.gov.uk/government/collections/proven-reoffending-statistics</w:t>
        </w:r>
      </w:hyperlink>
      <w:r w:rsidR="00A07462">
        <w:rPr>
          <w:rFonts w:ascii="Arial" w:hAnsi="Arial" w:cs="Arial"/>
          <w:sz w:val="22"/>
          <w:szCs w:val="22"/>
        </w:rPr>
        <w:t xml:space="preserve"> </w:t>
      </w:r>
    </w:p>
    <w:p w:rsidR="001F0EC2" w:rsidRDefault="001F0EC2" w:rsidP="005745B7">
      <w:pPr>
        <w:numPr>
          <w:ilvl w:val="0"/>
          <w:numId w:val="6"/>
        </w:numPr>
        <w:tabs>
          <w:tab w:val="clear" w:pos="1080"/>
          <w:tab w:val="num" w:pos="540"/>
        </w:tabs>
        <w:spacing w:before="120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PNC and the data it contains are owned by the </w:t>
      </w:r>
      <w:r w:rsidR="009B102D">
        <w:rPr>
          <w:rFonts w:ascii="Arial" w:hAnsi="Arial" w:cs="Arial"/>
          <w:sz w:val="22"/>
          <w:szCs w:val="22"/>
        </w:rPr>
        <w:t>Home Office</w:t>
      </w:r>
      <w:r w:rsidR="00AE3343">
        <w:rPr>
          <w:rFonts w:ascii="Arial" w:hAnsi="Arial" w:cs="Arial"/>
          <w:sz w:val="22"/>
          <w:szCs w:val="22"/>
        </w:rPr>
        <w:t xml:space="preserve"> and police forces</w:t>
      </w:r>
      <w:r>
        <w:rPr>
          <w:rFonts w:ascii="Arial" w:hAnsi="Arial" w:cs="Arial"/>
          <w:sz w:val="22"/>
          <w:szCs w:val="22"/>
        </w:rPr>
        <w:t xml:space="preserve">, not by </w:t>
      </w:r>
      <w:r w:rsidR="00907A8F">
        <w:rPr>
          <w:rFonts w:ascii="Arial" w:hAnsi="Arial" w:cs="Arial"/>
          <w:sz w:val="22"/>
          <w:szCs w:val="22"/>
        </w:rPr>
        <w:t>MoJ</w:t>
      </w:r>
      <w:r w:rsidR="005745B7">
        <w:rPr>
          <w:rFonts w:ascii="Arial" w:hAnsi="Arial" w:cs="Arial"/>
          <w:sz w:val="22"/>
          <w:szCs w:val="22"/>
        </w:rPr>
        <w:t>.</w:t>
      </w:r>
    </w:p>
    <w:p w:rsidR="001F0EC2" w:rsidRDefault="001F0EC2" w:rsidP="001F0EC2">
      <w:pPr>
        <w:numPr>
          <w:ilvl w:val="0"/>
          <w:numId w:val="6"/>
        </w:numPr>
        <w:tabs>
          <w:tab w:val="clear" w:pos="1080"/>
          <w:tab w:val="num" w:pos="540"/>
        </w:tabs>
        <w:spacing w:before="120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data are collected primarily for operational and administrative purposes; </w:t>
      </w:r>
      <w:proofErr w:type="gramStart"/>
      <w:r>
        <w:rPr>
          <w:rFonts w:ascii="Arial" w:hAnsi="Arial" w:cs="Arial"/>
          <w:sz w:val="22"/>
          <w:szCs w:val="22"/>
        </w:rPr>
        <w:t>while</w:t>
      </w:r>
      <w:proofErr w:type="gramEnd"/>
      <w:r>
        <w:rPr>
          <w:rFonts w:ascii="Arial" w:hAnsi="Arial" w:cs="Arial"/>
          <w:sz w:val="22"/>
          <w:szCs w:val="22"/>
        </w:rPr>
        <w:t xml:space="preserve"> they provide a rich source of data on offenders and offending that can be used to produce detailed statistics on re-offending, this is not the primary purpose </w:t>
      </w:r>
      <w:r w:rsidR="00CE4055">
        <w:rPr>
          <w:rFonts w:ascii="Arial" w:hAnsi="Arial" w:cs="Arial"/>
          <w:sz w:val="22"/>
          <w:szCs w:val="22"/>
        </w:rPr>
        <w:t>of the PNC</w:t>
      </w:r>
      <w:r>
        <w:rPr>
          <w:rFonts w:ascii="Arial" w:hAnsi="Arial" w:cs="Arial"/>
          <w:sz w:val="22"/>
          <w:szCs w:val="22"/>
        </w:rPr>
        <w:t>.</w:t>
      </w:r>
      <w:r w:rsidR="005D52E0" w:rsidRPr="005D52E0">
        <w:rPr>
          <w:rFonts w:ascii="Arial" w:hAnsi="Arial" w:cs="Arial"/>
          <w:sz w:val="22"/>
          <w:szCs w:val="22"/>
        </w:rPr>
        <w:t xml:space="preserve"> </w:t>
      </w:r>
      <w:r w:rsidR="005D52E0">
        <w:rPr>
          <w:rFonts w:ascii="Arial" w:hAnsi="Arial" w:cs="Arial"/>
          <w:sz w:val="22"/>
          <w:szCs w:val="22"/>
        </w:rPr>
        <w:t>Data are recorded by police forces and are subject to recording practices and errors, like any large operational data</w:t>
      </w:r>
      <w:r w:rsidR="00F93A1F">
        <w:rPr>
          <w:rFonts w:ascii="Arial" w:hAnsi="Arial" w:cs="Arial"/>
          <w:sz w:val="22"/>
          <w:szCs w:val="22"/>
        </w:rPr>
        <w:t xml:space="preserve"> </w:t>
      </w:r>
      <w:r w:rsidR="00F2488A">
        <w:rPr>
          <w:rFonts w:ascii="Arial" w:hAnsi="Arial" w:cs="Arial"/>
          <w:sz w:val="22"/>
          <w:szCs w:val="22"/>
        </w:rPr>
        <w:t xml:space="preserve">recording </w:t>
      </w:r>
      <w:r w:rsidR="00F93A1F">
        <w:rPr>
          <w:rFonts w:ascii="Arial" w:hAnsi="Arial" w:cs="Arial"/>
          <w:sz w:val="22"/>
          <w:szCs w:val="22"/>
        </w:rPr>
        <w:t>system</w:t>
      </w:r>
      <w:r w:rsidR="005D52E0">
        <w:rPr>
          <w:rFonts w:ascii="Arial" w:hAnsi="Arial" w:cs="Arial"/>
          <w:sz w:val="22"/>
          <w:szCs w:val="22"/>
        </w:rPr>
        <w:t>.</w:t>
      </w:r>
    </w:p>
    <w:p w:rsidR="001F0EC2" w:rsidRDefault="00880989" w:rsidP="001F0EC2">
      <w:pPr>
        <w:numPr>
          <w:ilvl w:val="0"/>
          <w:numId w:val="6"/>
        </w:numPr>
        <w:tabs>
          <w:tab w:val="clear" w:pos="1080"/>
          <w:tab w:val="num" w:pos="540"/>
        </w:tabs>
        <w:spacing w:before="120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F0EC2">
        <w:rPr>
          <w:rFonts w:ascii="Arial" w:hAnsi="Arial" w:cs="Arial"/>
          <w:sz w:val="22"/>
          <w:szCs w:val="22"/>
        </w:rPr>
        <w:t xml:space="preserve">OJ </w:t>
      </w:r>
      <w:r>
        <w:rPr>
          <w:rFonts w:ascii="Arial" w:hAnsi="Arial" w:cs="Arial"/>
          <w:sz w:val="22"/>
          <w:szCs w:val="22"/>
        </w:rPr>
        <w:t xml:space="preserve">does not undertake </w:t>
      </w:r>
      <w:r w:rsidR="001F0EC2">
        <w:rPr>
          <w:rFonts w:ascii="Arial" w:hAnsi="Arial" w:cs="Arial"/>
          <w:sz w:val="22"/>
          <w:szCs w:val="22"/>
        </w:rPr>
        <w:t xml:space="preserve">validation </w:t>
      </w:r>
      <w:r>
        <w:rPr>
          <w:rFonts w:ascii="Arial" w:hAnsi="Arial" w:cs="Arial"/>
          <w:sz w:val="22"/>
          <w:szCs w:val="22"/>
        </w:rPr>
        <w:t>of individual data items recorded on the PNC.</w:t>
      </w:r>
    </w:p>
    <w:p w:rsidR="00D02BEE" w:rsidRDefault="00F13C18" w:rsidP="008B19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02BEE">
        <w:rPr>
          <w:rFonts w:ascii="Arial" w:hAnsi="Arial" w:cs="Arial"/>
          <w:sz w:val="22"/>
          <w:szCs w:val="22"/>
        </w:rPr>
        <w:t>Key</w:t>
      </w:r>
      <w:r w:rsidR="002D052B" w:rsidRPr="00D02BEE">
        <w:rPr>
          <w:rFonts w:ascii="Arial" w:hAnsi="Arial" w:cs="Arial"/>
          <w:sz w:val="22"/>
          <w:szCs w:val="22"/>
        </w:rPr>
        <w:t xml:space="preserve"> points to </w:t>
      </w:r>
      <w:r w:rsidRPr="00D02BEE">
        <w:rPr>
          <w:rFonts w:ascii="Arial" w:hAnsi="Arial" w:cs="Arial"/>
          <w:sz w:val="22"/>
          <w:szCs w:val="22"/>
        </w:rPr>
        <w:t xml:space="preserve">bear in mind in relation to </w:t>
      </w:r>
      <w:proofErr w:type="spellStart"/>
      <w:r w:rsidRPr="00D02BEE">
        <w:rPr>
          <w:rFonts w:ascii="Arial" w:hAnsi="Arial" w:cs="Arial"/>
          <w:sz w:val="22"/>
          <w:szCs w:val="22"/>
        </w:rPr>
        <w:t>nDelius</w:t>
      </w:r>
      <w:proofErr w:type="spellEnd"/>
      <w:r w:rsidRPr="00D02BEE">
        <w:rPr>
          <w:rFonts w:ascii="Arial" w:hAnsi="Arial" w:cs="Arial"/>
          <w:sz w:val="22"/>
          <w:szCs w:val="22"/>
        </w:rPr>
        <w:t xml:space="preserve"> are:</w:t>
      </w:r>
    </w:p>
    <w:p w:rsidR="00D02BEE" w:rsidRDefault="001961CC" w:rsidP="001F5920">
      <w:pPr>
        <w:numPr>
          <w:ilvl w:val="0"/>
          <w:numId w:val="6"/>
        </w:numPr>
        <w:tabs>
          <w:tab w:val="clear" w:pos="1080"/>
          <w:tab w:val="num" w:pos="540"/>
        </w:tabs>
        <w:spacing w:before="120"/>
        <w:ind w:left="540"/>
        <w:jc w:val="both"/>
        <w:rPr>
          <w:rFonts w:ascii="Arial" w:hAnsi="Arial" w:cs="Arial"/>
          <w:sz w:val="22"/>
          <w:szCs w:val="22"/>
        </w:rPr>
      </w:pPr>
      <w:r w:rsidRPr="009B2383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Pr="009B2383">
        <w:rPr>
          <w:rFonts w:ascii="Arial" w:hAnsi="Arial" w:cs="Arial"/>
          <w:sz w:val="22"/>
          <w:szCs w:val="22"/>
        </w:rPr>
        <w:t xml:space="preserve">nformation relating to allocated offender starts held on </w:t>
      </w:r>
      <w:proofErr w:type="spellStart"/>
      <w:r w:rsidRPr="009B2383">
        <w:rPr>
          <w:rFonts w:ascii="Arial" w:hAnsi="Arial" w:cs="Arial"/>
          <w:sz w:val="22"/>
          <w:szCs w:val="22"/>
        </w:rPr>
        <w:t>nDelius</w:t>
      </w:r>
      <w:proofErr w:type="spellEnd"/>
      <w:r w:rsidRPr="009B2383">
        <w:rPr>
          <w:rFonts w:ascii="Arial" w:hAnsi="Arial" w:cs="Arial"/>
          <w:sz w:val="22"/>
          <w:szCs w:val="22"/>
        </w:rPr>
        <w:t xml:space="preserve"> will include the data needed to match each start to offending data on the PNC. </w:t>
      </w:r>
      <w:r w:rsidR="00F203A2" w:rsidRPr="009B2383">
        <w:rPr>
          <w:rFonts w:ascii="Arial" w:hAnsi="Arial" w:cs="Arial"/>
          <w:sz w:val="22"/>
          <w:szCs w:val="22"/>
        </w:rPr>
        <w:t>While these may be subject to recording practices and errors, validation is built into processes and systems to minimise any such problems.</w:t>
      </w:r>
      <w:r w:rsidR="0012468D" w:rsidRPr="009B2383">
        <w:rPr>
          <w:rFonts w:ascii="Arial" w:hAnsi="Arial" w:cs="Arial"/>
          <w:sz w:val="22"/>
          <w:szCs w:val="22"/>
        </w:rPr>
        <w:t xml:space="preserve"> For more details on the matching of allocated offender starts to PNC data see </w:t>
      </w:r>
      <w:r w:rsidR="00227E34" w:rsidRPr="009B2383">
        <w:rPr>
          <w:rFonts w:ascii="Arial" w:hAnsi="Arial" w:cs="Arial"/>
          <w:sz w:val="22"/>
          <w:szCs w:val="22"/>
        </w:rPr>
        <w:t>the sections of this note on matching below.</w:t>
      </w:r>
    </w:p>
    <w:p w:rsidR="00AB75FF" w:rsidRPr="009B2383" w:rsidRDefault="00AB75FF" w:rsidP="00AB75F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65308" w:rsidRDefault="00A65308" w:rsidP="008867A6">
      <w:pPr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Formation of </w:t>
      </w:r>
      <w:r w:rsidRPr="00A65308">
        <w:rPr>
          <w:rFonts w:ascii="Arial" w:hAnsi="Arial" w:cs="Arial"/>
          <w:b/>
          <w:i/>
          <w:sz w:val="22"/>
          <w:szCs w:val="22"/>
        </w:rPr>
        <w:t>cohorts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E2BD9" w:rsidRDefault="00A65308" w:rsidP="008B19D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</w:t>
      </w:r>
      <w:r w:rsidR="00265AF9">
        <w:rPr>
          <w:rFonts w:ascii="Arial" w:hAnsi="Arial" w:cs="Arial"/>
          <w:sz w:val="22"/>
          <w:szCs w:val="22"/>
        </w:rPr>
        <w:t xml:space="preserve">quarterly </w:t>
      </w:r>
      <w:r>
        <w:rPr>
          <w:rFonts w:ascii="Arial" w:hAnsi="Arial" w:cs="Arial"/>
          <w:sz w:val="22"/>
          <w:szCs w:val="22"/>
        </w:rPr>
        <w:t xml:space="preserve">cohort will comprise a list of offender starts. </w:t>
      </w:r>
      <w:r w:rsidR="00617CDD" w:rsidRPr="00A65308">
        <w:rPr>
          <w:rFonts w:ascii="Arial" w:hAnsi="Arial" w:cs="Arial"/>
          <w:sz w:val="22"/>
          <w:szCs w:val="22"/>
        </w:rPr>
        <w:t>Each</w:t>
      </w:r>
      <w:r w:rsidR="00617CDD">
        <w:rPr>
          <w:rFonts w:ascii="Arial" w:hAnsi="Arial" w:cs="Arial"/>
          <w:sz w:val="22"/>
          <w:szCs w:val="22"/>
        </w:rPr>
        <w:t xml:space="preserve"> allocated offender start has associated with it an offender and </w:t>
      </w:r>
      <w:r w:rsidR="004E2BD9">
        <w:rPr>
          <w:rFonts w:ascii="Arial" w:hAnsi="Arial" w:cs="Arial"/>
          <w:sz w:val="22"/>
          <w:szCs w:val="22"/>
        </w:rPr>
        <w:t>an</w:t>
      </w:r>
      <w:r w:rsidR="00617CDD">
        <w:rPr>
          <w:rFonts w:ascii="Arial" w:hAnsi="Arial" w:cs="Arial"/>
          <w:sz w:val="22"/>
          <w:szCs w:val="22"/>
        </w:rPr>
        <w:t xml:space="preserve"> </w:t>
      </w:r>
      <w:r w:rsidR="00617CDD">
        <w:rPr>
          <w:rFonts w:ascii="Arial" w:hAnsi="Arial" w:cs="Arial"/>
          <w:i/>
          <w:sz w:val="22"/>
          <w:szCs w:val="22"/>
        </w:rPr>
        <w:t>index offence</w:t>
      </w:r>
      <w:r w:rsidR="00617CDD">
        <w:rPr>
          <w:rFonts w:ascii="Arial" w:hAnsi="Arial" w:cs="Arial"/>
          <w:sz w:val="22"/>
          <w:szCs w:val="22"/>
        </w:rPr>
        <w:t>. The index offence is the most serious offence associated with the sentence which led to the offender being eligible to jo</w:t>
      </w:r>
      <w:r w:rsidR="00AB75FF">
        <w:rPr>
          <w:rFonts w:ascii="Arial" w:hAnsi="Arial" w:cs="Arial"/>
          <w:sz w:val="22"/>
          <w:szCs w:val="22"/>
        </w:rPr>
        <w:t>in a TR cohort.</w:t>
      </w:r>
    </w:p>
    <w:p w:rsidR="008B19DF" w:rsidRPr="00617CDD" w:rsidRDefault="00FF1CA4" w:rsidP="008B19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19DF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8B19DF">
        <w:rPr>
          <w:rFonts w:ascii="Arial" w:hAnsi="Arial" w:cs="Arial"/>
          <w:sz w:val="22"/>
          <w:szCs w:val="22"/>
        </w:rPr>
        <w:t>PbR</w:t>
      </w:r>
      <w:proofErr w:type="spellEnd"/>
      <w:r w:rsidRPr="008B19DF">
        <w:rPr>
          <w:rFonts w:ascii="Arial" w:hAnsi="Arial" w:cs="Arial"/>
          <w:sz w:val="22"/>
          <w:szCs w:val="22"/>
        </w:rPr>
        <w:t xml:space="preserve"> purposes </w:t>
      </w:r>
      <w:r w:rsidR="00636B14" w:rsidRPr="008B19DF">
        <w:rPr>
          <w:rFonts w:ascii="Arial" w:hAnsi="Arial" w:cs="Arial"/>
          <w:sz w:val="22"/>
          <w:szCs w:val="22"/>
        </w:rPr>
        <w:t>each offender start</w:t>
      </w:r>
      <w:r w:rsidRPr="008B19DF">
        <w:rPr>
          <w:rFonts w:ascii="Arial" w:hAnsi="Arial" w:cs="Arial"/>
          <w:sz w:val="22"/>
          <w:szCs w:val="22"/>
        </w:rPr>
        <w:t xml:space="preserve"> will be allocated </w:t>
      </w:r>
      <w:r w:rsidR="00636B14" w:rsidRPr="008B19DF">
        <w:rPr>
          <w:rFonts w:ascii="Arial" w:hAnsi="Arial" w:cs="Arial"/>
          <w:sz w:val="22"/>
          <w:szCs w:val="22"/>
        </w:rPr>
        <w:t xml:space="preserve">by the National Probation Service (NPS) </w:t>
      </w:r>
      <w:r w:rsidRPr="008B19DF">
        <w:rPr>
          <w:rFonts w:ascii="Arial" w:hAnsi="Arial" w:cs="Arial"/>
          <w:sz w:val="22"/>
          <w:szCs w:val="22"/>
        </w:rPr>
        <w:t xml:space="preserve">to </w:t>
      </w:r>
      <w:r w:rsidR="00636B14" w:rsidRPr="008B19DF">
        <w:rPr>
          <w:rFonts w:ascii="Arial" w:hAnsi="Arial" w:cs="Arial"/>
          <w:sz w:val="22"/>
          <w:szCs w:val="22"/>
        </w:rPr>
        <w:t>a quarterly cohort</w:t>
      </w:r>
      <w:r w:rsidRPr="008B19DF">
        <w:rPr>
          <w:rFonts w:ascii="Arial" w:hAnsi="Arial" w:cs="Arial"/>
          <w:sz w:val="22"/>
          <w:szCs w:val="22"/>
        </w:rPr>
        <w:t>, with each cohort comprising all offender starts allocated between the cohort start date and the cohort end date (inclusive)</w:t>
      </w:r>
      <w:r w:rsidR="00636B14" w:rsidRPr="008B19DF">
        <w:rPr>
          <w:rFonts w:ascii="Arial" w:hAnsi="Arial" w:cs="Arial"/>
          <w:sz w:val="22"/>
          <w:szCs w:val="22"/>
        </w:rPr>
        <w:t xml:space="preserve"> within a given CPA</w:t>
      </w:r>
      <w:r w:rsidR="00AB75FF">
        <w:rPr>
          <w:rFonts w:ascii="Arial" w:hAnsi="Arial" w:cs="Arial"/>
          <w:sz w:val="22"/>
          <w:szCs w:val="22"/>
        </w:rPr>
        <w:t>.</w:t>
      </w:r>
    </w:p>
    <w:p w:rsidR="008D27F0" w:rsidRDefault="00636B14" w:rsidP="008B19D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19DF">
        <w:rPr>
          <w:rFonts w:ascii="Arial" w:hAnsi="Arial" w:cs="Arial"/>
          <w:sz w:val="22"/>
          <w:szCs w:val="22"/>
        </w:rPr>
        <w:t>For example, if cohort A relates to the first quarter of 2015</w:t>
      </w:r>
      <w:r w:rsidR="00CF4CD9" w:rsidRPr="008B19DF">
        <w:rPr>
          <w:rFonts w:ascii="Arial" w:hAnsi="Arial" w:cs="Arial"/>
          <w:sz w:val="22"/>
          <w:szCs w:val="22"/>
        </w:rPr>
        <w:t xml:space="preserve"> in CPA XYZ</w:t>
      </w:r>
      <w:r w:rsidRPr="008B19DF">
        <w:rPr>
          <w:rFonts w:ascii="Arial" w:hAnsi="Arial" w:cs="Arial"/>
          <w:sz w:val="22"/>
          <w:szCs w:val="22"/>
        </w:rPr>
        <w:t xml:space="preserve"> then it will comprise all offenders allocated </w:t>
      </w:r>
      <w:r w:rsidR="00CF4CD9" w:rsidRPr="008B19DF">
        <w:rPr>
          <w:rFonts w:ascii="Arial" w:hAnsi="Arial" w:cs="Arial"/>
          <w:sz w:val="22"/>
          <w:szCs w:val="22"/>
        </w:rPr>
        <w:t xml:space="preserve">to </w:t>
      </w:r>
      <w:r w:rsidR="00EB4424" w:rsidRPr="008B19DF">
        <w:rPr>
          <w:rFonts w:ascii="Arial" w:hAnsi="Arial" w:cs="Arial"/>
          <w:sz w:val="22"/>
          <w:szCs w:val="22"/>
        </w:rPr>
        <w:t xml:space="preserve">CPA </w:t>
      </w:r>
      <w:r w:rsidR="00CF4CD9" w:rsidRPr="008B19DF">
        <w:rPr>
          <w:rFonts w:ascii="Arial" w:hAnsi="Arial" w:cs="Arial"/>
          <w:sz w:val="22"/>
          <w:szCs w:val="22"/>
        </w:rPr>
        <w:t>XYZ from 1</w:t>
      </w:r>
      <w:r w:rsidR="00CF4CD9" w:rsidRPr="008B19DF">
        <w:rPr>
          <w:rFonts w:ascii="Arial" w:hAnsi="Arial" w:cs="Arial"/>
          <w:sz w:val="22"/>
          <w:szCs w:val="22"/>
          <w:vertAlign w:val="superscript"/>
        </w:rPr>
        <w:t>st</w:t>
      </w:r>
      <w:r w:rsidR="00CF4CD9" w:rsidRPr="008B19DF">
        <w:rPr>
          <w:rFonts w:ascii="Arial" w:hAnsi="Arial" w:cs="Arial"/>
          <w:sz w:val="22"/>
          <w:szCs w:val="22"/>
        </w:rPr>
        <w:t xml:space="preserve"> January 2015 to 31</w:t>
      </w:r>
      <w:r w:rsidR="00CF4CD9" w:rsidRPr="008B19DF">
        <w:rPr>
          <w:rFonts w:ascii="Arial" w:hAnsi="Arial" w:cs="Arial"/>
          <w:sz w:val="22"/>
          <w:szCs w:val="22"/>
          <w:vertAlign w:val="superscript"/>
        </w:rPr>
        <w:t>st</w:t>
      </w:r>
      <w:r w:rsidR="00CF4CD9" w:rsidRPr="008B19DF">
        <w:rPr>
          <w:rFonts w:ascii="Arial" w:hAnsi="Arial" w:cs="Arial"/>
          <w:sz w:val="22"/>
          <w:szCs w:val="22"/>
        </w:rPr>
        <w:t xml:space="preserve"> March 2015 inclusive. </w:t>
      </w:r>
      <w:r w:rsidR="002A130C">
        <w:rPr>
          <w:rFonts w:ascii="Arial" w:hAnsi="Arial" w:cs="Arial"/>
          <w:sz w:val="22"/>
          <w:szCs w:val="22"/>
        </w:rPr>
        <w:t>Each</w:t>
      </w:r>
      <w:r w:rsidR="001961CC">
        <w:rPr>
          <w:rFonts w:ascii="Arial" w:hAnsi="Arial" w:cs="Arial"/>
          <w:sz w:val="22"/>
          <w:szCs w:val="22"/>
        </w:rPr>
        <w:t xml:space="preserve"> individual offender should</w:t>
      </w:r>
      <w:r w:rsidR="008B19DF">
        <w:rPr>
          <w:rFonts w:ascii="Arial" w:hAnsi="Arial" w:cs="Arial"/>
          <w:sz w:val="22"/>
          <w:szCs w:val="22"/>
        </w:rPr>
        <w:t xml:space="preserve"> be allocated</w:t>
      </w:r>
      <w:r w:rsidR="008D27F0">
        <w:rPr>
          <w:rFonts w:ascii="Arial" w:hAnsi="Arial" w:cs="Arial"/>
          <w:sz w:val="22"/>
          <w:szCs w:val="22"/>
        </w:rPr>
        <w:t xml:space="preserve"> to each quarterly cohort </w:t>
      </w:r>
      <w:r w:rsidR="001961CC">
        <w:rPr>
          <w:rFonts w:ascii="Arial" w:hAnsi="Arial" w:cs="Arial"/>
          <w:sz w:val="22"/>
          <w:szCs w:val="22"/>
        </w:rPr>
        <w:t xml:space="preserve">only </w:t>
      </w:r>
      <w:r w:rsidR="008D27F0">
        <w:rPr>
          <w:rFonts w:ascii="Arial" w:hAnsi="Arial" w:cs="Arial"/>
          <w:sz w:val="22"/>
          <w:szCs w:val="22"/>
        </w:rPr>
        <w:t>once</w:t>
      </w:r>
      <w:r w:rsidR="00265AF9">
        <w:rPr>
          <w:rFonts w:ascii="Arial" w:hAnsi="Arial" w:cs="Arial"/>
          <w:sz w:val="22"/>
          <w:szCs w:val="22"/>
        </w:rPr>
        <w:t>, based on their first entry in a given quarter</w:t>
      </w:r>
      <w:r w:rsidR="008D27F0">
        <w:rPr>
          <w:rFonts w:ascii="Arial" w:hAnsi="Arial" w:cs="Arial"/>
          <w:sz w:val="22"/>
          <w:szCs w:val="22"/>
        </w:rPr>
        <w:t>.</w:t>
      </w:r>
      <w:r w:rsidR="00A65308">
        <w:rPr>
          <w:rFonts w:ascii="Arial" w:hAnsi="Arial" w:cs="Arial"/>
          <w:sz w:val="22"/>
          <w:szCs w:val="22"/>
        </w:rPr>
        <w:t xml:space="preserve"> Annual cohorts will </w:t>
      </w:r>
      <w:r w:rsidR="00C70E55">
        <w:rPr>
          <w:rFonts w:ascii="Arial" w:hAnsi="Arial" w:cs="Arial"/>
          <w:sz w:val="22"/>
          <w:szCs w:val="22"/>
        </w:rPr>
        <w:t xml:space="preserve">be formed simply by combining the 4 quarterly cohorts of the relevant year; therefore </w:t>
      </w:r>
      <w:r w:rsidR="00C745E4">
        <w:rPr>
          <w:rFonts w:ascii="Arial" w:hAnsi="Arial" w:cs="Arial"/>
          <w:sz w:val="22"/>
          <w:szCs w:val="22"/>
        </w:rPr>
        <w:t>an</w:t>
      </w:r>
      <w:r w:rsidR="00C70E55">
        <w:rPr>
          <w:rFonts w:ascii="Arial" w:hAnsi="Arial" w:cs="Arial"/>
          <w:sz w:val="22"/>
          <w:szCs w:val="22"/>
        </w:rPr>
        <w:t xml:space="preserve"> individual offender may have up to 4 starts within a single annual cohort (one from each quarter).</w:t>
      </w:r>
    </w:p>
    <w:p w:rsidR="00AB75FF" w:rsidRDefault="00E51348" w:rsidP="008B19D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</w:t>
      </w:r>
      <w:r w:rsidR="00A22F47">
        <w:rPr>
          <w:rFonts w:ascii="Arial" w:hAnsi="Arial" w:cs="Arial"/>
          <w:sz w:val="22"/>
          <w:szCs w:val="22"/>
        </w:rPr>
        <w:t>the list of</w:t>
      </w:r>
      <w:r w:rsidR="00E52316">
        <w:rPr>
          <w:rFonts w:ascii="Arial" w:hAnsi="Arial" w:cs="Arial"/>
          <w:sz w:val="22"/>
          <w:szCs w:val="22"/>
        </w:rPr>
        <w:t xml:space="preserve"> offender start</w:t>
      </w:r>
      <w:r w:rsidR="00A22F47">
        <w:rPr>
          <w:rFonts w:ascii="Arial" w:hAnsi="Arial" w:cs="Arial"/>
          <w:sz w:val="22"/>
          <w:szCs w:val="22"/>
        </w:rPr>
        <w:t>s</w:t>
      </w:r>
      <w:r w:rsidR="00E52316">
        <w:rPr>
          <w:rFonts w:ascii="Arial" w:hAnsi="Arial" w:cs="Arial"/>
          <w:sz w:val="22"/>
          <w:szCs w:val="22"/>
        </w:rPr>
        <w:t xml:space="preserve"> included in </w:t>
      </w:r>
      <w:r w:rsidR="00A22F47">
        <w:rPr>
          <w:rFonts w:ascii="Arial" w:hAnsi="Arial" w:cs="Arial"/>
          <w:sz w:val="22"/>
          <w:szCs w:val="22"/>
        </w:rPr>
        <w:t xml:space="preserve">each </w:t>
      </w:r>
      <w:proofErr w:type="spellStart"/>
      <w:r w:rsidR="00E52316">
        <w:rPr>
          <w:rFonts w:ascii="Arial" w:hAnsi="Arial" w:cs="Arial"/>
          <w:sz w:val="22"/>
          <w:szCs w:val="22"/>
        </w:rPr>
        <w:t>PbR</w:t>
      </w:r>
      <w:proofErr w:type="spellEnd"/>
      <w:r w:rsidR="00E52316">
        <w:rPr>
          <w:rFonts w:ascii="Arial" w:hAnsi="Arial" w:cs="Arial"/>
          <w:sz w:val="22"/>
          <w:szCs w:val="22"/>
        </w:rPr>
        <w:t xml:space="preserve"> cohort </w:t>
      </w:r>
      <w:r w:rsidR="00A22F47">
        <w:rPr>
          <w:rFonts w:ascii="Arial" w:hAnsi="Arial" w:cs="Arial"/>
          <w:sz w:val="22"/>
          <w:szCs w:val="22"/>
        </w:rPr>
        <w:t>is finalised this cohort is definitive and any subsequent transfers of offenders between CRCs</w:t>
      </w:r>
      <w:r w:rsidR="00A07462">
        <w:rPr>
          <w:rFonts w:ascii="Arial" w:hAnsi="Arial" w:cs="Arial"/>
          <w:sz w:val="22"/>
          <w:szCs w:val="22"/>
        </w:rPr>
        <w:t>,</w:t>
      </w:r>
      <w:r w:rsidR="00A22F47">
        <w:rPr>
          <w:rFonts w:ascii="Arial" w:hAnsi="Arial" w:cs="Arial"/>
          <w:sz w:val="22"/>
          <w:szCs w:val="22"/>
        </w:rPr>
        <w:t xml:space="preserve"> or to or from the NPS</w:t>
      </w:r>
      <w:r w:rsidR="00A07462">
        <w:rPr>
          <w:rFonts w:ascii="Arial" w:hAnsi="Arial" w:cs="Arial"/>
          <w:sz w:val="22"/>
          <w:szCs w:val="22"/>
        </w:rPr>
        <w:t>,</w:t>
      </w:r>
      <w:r w:rsidR="00A22F47">
        <w:rPr>
          <w:rFonts w:ascii="Arial" w:hAnsi="Arial" w:cs="Arial"/>
          <w:sz w:val="22"/>
          <w:szCs w:val="22"/>
        </w:rPr>
        <w:t xml:space="preserve"> are not taken into account</w:t>
      </w:r>
      <w:r w:rsidR="00863459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="00863459">
        <w:rPr>
          <w:rFonts w:ascii="Arial" w:hAnsi="Arial" w:cs="Arial"/>
          <w:sz w:val="22"/>
          <w:szCs w:val="22"/>
        </w:rPr>
        <w:t>PbR</w:t>
      </w:r>
      <w:proofErr w:type="spellEnd"/>
      <w:r w:rsidR="00863459">
        <w:rPr>
          <w:rFonts w:ascii="Arial" w:hAnsi="Arial" w:cs="Arial"/>
          <w:sz w:val="22"/>
          <w:szCs w:val="22"/>
        </w:rPr>
        <w:t xml:space="preserve"> cohorts</w:t>
      </w:r>
      <w:r w:rsidR="00E52316">
        <w:rPr>
          <w:rFonts w:ascii="Arial" w:hAnsi="Arial" w:cs="Arial"/>
          <w:sz w:val="22"/>
          <w:szCs w:val="22"/>
        </w:rPr>
        <w:t xml:space="preserve">. </w:t>
      </w:r>
      <w:r w:rsidR="00636B14" w:rsidRPr="008B19DF">
        <w:rPr>
          <w:rFonts w:ascii="Arial" w:hAnsi="Arial" w:cs="Arial"/>
          <w:sz w:val="22"/>
          <w:szCs w:val="22"/>
        </w:rPr>
        <w:t xml:space="preserve">The definitive list of offender starts included in a </w:t>
      </w:r>
      <w:proofErr w:type="spellStart"/>
      <w:r w:rsidR="00863459">
        <w:rPr>
          <w:rFonts w:ascii="Arial" w:hAnsi="Arial" w:cs="Arial"/>
          <w:sz w:val="22"/>
          <w:szCs w:val="22"/>
        </w:rPr>
        <w:t>PbR</w:t>
      </w:r>
      <w:proofErr w:type="spellEnd"/>
      <w:r w:rsidR="00863459">
        <w:rPr>
          <w:rFonts w:ascii="Arial" w:hAnsi="Arial" w:cs="Arial"/>
          <w:sz w:val="22"/>
          <w:szCs w:val="22"/>
        </w:rPr>
        <w:t xml:space="preserve"> </w:t>
      </w:r>
      <w:r w:rsidR="00636B14" w:rsidRPr="008B19DF">
        <w:rPr>
          <w:rFonts w:ascii="Arial" w:hAnsi="Arial" w:cs="Arial"/>
          <w:sz w:val="22"/>
          <w:szCs w:val="22"/>
        </w:rPr>
        <w:t>cohort</w:t>
      </w:r>
      <w:r w:rsidR="00A22F47">
        <w:rPr>
          <w:rFonts w:ascii="Arial" w:hAnsi="Arial" w:cs="Arial"/>
          <w:sz w:val="22"/>
          <w:szCs w:val="22"/>
        </w:rPr>
        <w:t xml:space="preserve"> </w:t>
      </w:r>
      <w:r w:rsidR="00636B14" w:rsidRPr="00140865">
        <w:rPr>
          <w:rFonts w:ascii="Arial" w:hAnsi="Arial" w:cs="Arial"/>
          <w:sz w:val="22"/>
          <w:szCs w:val="22"/>
        </w:rPr>
        <w:t xml:space="preserve">will be generated </w:t>
      </w:r>
      <w:r w:rsidR="007A35DA">
        <w:rPr>
          <w:rFonts w:ascii="Arial" w:hAnsi="Arial" w:cs="Arial"/>
          <w:sz w:val="22"/>
          <w:szCs w:val="22"/>
        </w:rPr>
        <w:t xml:space="preserve">by </w:t>
      </w:r>
      <w:proofErr w:type="spellStart"/>
      <w:r w:rsidR="007A35DA">
        <w:rPr>
          <w:rFonts w:ascii="Arial" w:hAnsi="Arial" w:cs="Arial"/>
          <w:sz w:val="22"/>
          <w:szCs w:val="22"/>
        </w:rPr>
        <w:t>n</w:t>
      </w:r>
      <w:r w:rsidR="00636B14" w:rsidRPr="00140865">
        <w:rPr>
          <w:rFonts w:ascii="Arial" w:hAnsi="Arial" w:cs="Arial"/>
          <w:sz w:val="22"/>
          <w:szCs w:val="22"/>
        </w:rPr>
        <w:t>Delius</w:t>
      </w:r>
      <w:proofErr w:type="spellEnd"/>
      <w:r w:rsidR="00A22F47">
        <w:rPr>
          <w:rFonts w:ascii="Arial" w:hAnsi="Arial" w:cs="Arial"/>
          <w:sz w:val="22"/>
          <w:szCs w:val="22"/>
        </w:rPr>
        <w:t xml:space="preserve"> </w:t>
      </w:r>
      <w:r w:rsidR="00E52316" w:rsidRPr="00E52316">
        <w:rPr>
          <w:rFonts w:ascii="Arial" w:hAnsi="Arial" w:cs="Arial"/>
          <w:sz w:val="22"/>
          <w:szCs w:val="22"/>
        </w:rPr>
        <w:t xml:space="preserve">and used to carry out the measurement of re-offending for </w:t>
      </w:r>
      <w:proofErr w:type="spellStart"/>
      <w:r w:rsidR="00E52316" w:rsidRPr="00E52316">
        <w:rPr>
          <w:rFonts w:ascii="Arial" w:hAnsi="Arial" w:cs="Arial"/>
          <w:sz w:val="22"/>
          <w:szCs w:val="22"/>
        </w:rPr>
        <w:t>PbR</w:t>
      </w:r>
      <w:proofErr w:type="spellEnd"/>
      <w:r w:rsidR="00E52316" w:rsidRPr="00E52316">
        <w:rPr>
          <w:rFonts w:ascii="Arial" w:hAnsi="Arial" w:cs="Arial"/>
          <w:sz w:val="22"/>
          <w:szCs w:val="22"/>
        </w:rPr>
        <w:t xml:space="preserve"> purposes</w:t>
      </w:r>
      <w:r w:rsidR="00636B14" w:rsidRPr="008B19DF">
        <w:rPr>
          <w:rFonts w:ascii="Arial" w:hAnsi="Arial" w:cs="Arial"/>
          <w:sz w:val="22"/>
          <w:szCs w:val="22"/>
        </w:rPr>
        <w:t>.</w:t>
      </w:r>
    </w:p>
    <w:p w:rsidR="008B19DF" w:rsidRDefault="008B19DF" w:rsidP="008B19D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B19DF" w:rsidRPr="008B19DF" w:rsidRDefault="008B19DF" w:rsidP="008867A6">
      <w:pPr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F7201">
        <w:rPr>
          <w:rFonts w:ascii="Arial" w:hAnsi="Arial" w:cs="Arial"/>
          <w:b/>
          <w:i/>
          <w:sz w:val="22"/>
          <w:szCs w:val="22"/>
        </w:rPr>
        <w:t>Matching of allocated persons to the PNC</w:t>
      </w:r>
    </w:p>
    <w:p w:rsidR="00893C96" w:rsidRDefault="00C30ECE" w:rsidP="008B19D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7A35DA">
        <w:rPr>
          <w:rFonts w:ascii="Arial" w:hAnsi="Arial" w:cs="Arial"/>
          <w:sz w:val="22"/>
          <w:szCs w:val="22"/>
        </w:rPr>
        <w:t xml:space="preserve">receiving the cohort list from </w:t>
      </w:r>
      <w:proofErr w:type="spellStart"/>
      <w:r w:rsidR="007A35D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Delius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CF4CD9" w:rsidRPr="008B19DF">
        <w:rPr>
          <w:rFonts w:ascii="Arial" w:hAnsi="Arial" w:cs="Arial"/>
          <w:sz w:val="22"/>
          <w:szCs w:val="22"/>
        </w:rPr>
        <w:t xml:space="preserve"> </w:t>
      </w:r>
      <w:r w:rsidR="00FF1CA4" w:rsidRPr="008B19DF">
        <w:rPr>
          <w:rFonts w:ascii="Arial" w:hAnsi="Arial" w:cs="Arial"/>
          <w:sz w:val="22"/>
          <w:szCs w:val="22"/>
        </w:rPr>
        <w:t xml:space="preserve">MoJ </w:t>
      </w:r>
      <w:r>
        <w:rPr>
          <w:rFonts w:ascii="Arial" w:hAnsi="Arial" w:cs="Arial"/>
          <w:sz w:val="22"/>
          <w:szCs w:val="22"/>
        </w:rPr>
        <w:t xml:space="preserve">will </w:t>
      </w:r>
      <w:r w:rsidR="00CF4CD9" w:rsidRPr="008B19DF">
        <w:rPr>
          <w:rFonts w:ascii="Arial" w:hAnsi="Arial" w:cs="Arial"/>
          <w:sz w:val="22"/>
          <w:szCs w:val="22"/>
        </w:rPr>
        <w:t>attempt to match each of the offenders on the cohort list to an offender record on the PNC</w:t>
      </w:r>
      <w:r w:rsidR="008B19DF" w:rsidRPr="008B19DF">
        <w:rPr>
          <w:rFonts w:ascii="Arial" w:hAnsi="Arial" w:cs="Arial"/>
          <w:sz w:val="22"/>
          <w:szCs w:val="22"/>
        </w:rPr>
        <w:t xml:space="preserve"> us</w:t>
      </w:r>
      <w:r w:rsidR="004D19E4">
        <w:rPr>
          <w:rFonts w:ascii="Arial" w:hAnsi="Arial" w:cs="Arial"/>
          <w:sz w:val="22"/>
          <w:szCs w:val="22"/>
        </w:rPr>
        <w:t>ing</w:t>
      </w:r>
      <w:r w:rsidR="008B19DF" w:rsidRPr="008B19DF">
        <w:rPr>
          <w:rFonts w:ascii="Arial" w:hAnsi="Arial" w:cs="Arial"/>
          <w:sz w:val="22"/>
          <w:szCs w:val="22"/>
        </w:rPr>
        <w:t xml:space="preserve"> </w:t>
      </w:r>
      <w:r w:rsidR="004D19E4">
        <w:rPr>
          <w:rFonts w:ascii="Arial" w:hAnsi="Arial" w:cs="Arial"/>
          <w:sz w:val="22"/>
          <w:szCs w:val="22"/>
        </w:rPr>
        <w:t>a range of personal data</w:t>
      </w:r>
      <w:r w:rsidR="002C4B9E">
        <w:rPr>
          <w:rFonts w:ascii="Arial" w:hAnsi="Arial" w:cs="Arial"/>
          <w:sz w:val="22"/>
          <w:szCs w:val="22"/>
        </w:rPr>
        <w:t>. This will include</w:t>
      </w:r>
      <w:r w:rsidR="004D19E4">
        <w:rPr>
          <w:rFonts w:ascii="Arial" w:hAnsi="Arial" w:cs="Arial"/>
          <w:sz w:val="22"/>
          <w:szCs w:val="22"/>
        </w:rPr>
        <w:t xml:space="preserve"> the ‘PNCID’ which is assigned </w:t>
      </w:r>
      <w:r w:rsidR="00A63C57">
        <w:rPr>
          <w:rFonts w:ascii="Arial" w:hAnsi="Arial" w:cs="Arial"/>
          <w:sz w:val="22"/>
          <w:szCs w:val="22"/>
        </w:rPr>
        <w:t xml:space="preserve">to each offender </w:t>
      </w:r>
      <w:r w:rsidR="004D19E4">
        <w:rPr>
          <w:rFonts w:ascii="Arial" w:hAnsi="Arial" w:cs="Arial"/>
          <w:sz w:val="22"/>
          <w:szCs w:val="22"/>
        </w:rPr>
        <w:t>by police forces when they</w:t>
      </w:r>
      <w:r w:rsidR="002C4B9E">
        <w:rPr>
          <w:rFonts w:ascii="Arial" w:hAnsi="Arial" w:cs="Arial"/>
          <w:sz w:val="22"/>
          <w:szCs w:val="22"/>
        </w:rPr>
        <w:t xml:space="preserve"> </w:t>
      </w:r>
      <w:r w:rsidR="004D19E4">
        <w:rPr>
          <w:rFonts w:ascii="Arial" w:hAnsi="Arial" w:cs="Arial"/>
          <w:sz w:val="22"/>
          <w:szCs w:val="22"/>
        </w:rPr>
        <w:t>enter their d</w:t>
      </w:r>
      <w:r w:rsidR="00AB75FF">
        <w:rPr>
          <w:rFonts w:ascii="Arial" w:hAnsi="Arial" w:cs="Arial"/>
          <w:sz w:val="22"/>
          <w:szCs w:val="22"/>
        </w:rPr>
        <w:t>etails onto the PNC.</w:t>
      </w:r>
    </w:p>
    <w:p w:rsidR="008B19DF" w:rsidRDefault="00714572" w:rsidP="008B19D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Although the vast majority of offenders</w:t>
      </w:r>
      <w:r w:rsidR="008B19DF">
        <w:rPr>
          <w:rFonts w:ascii="Arial" w:hAnsi="Arial" w:cs="Arial"/>
          <w:sz w:val="22"/>
          <w:szCs w:val="22"/>
        </w:rPr>
        <w:t xml:space="preserve"> are successfully matched to the PNC</w:t>
      </w:r>
      <w:r>
        <w:rPr>
          <w:rFonts w:ascii="Arial" w:hAnsi="Arial" w:cs="Arial"/>
          <w:sz w:val="22"/>
          <w:szCs w:val="22"/>
        </w:rPr>
        <w:t>, a small minority are not</w:t>
      </w:r>
      <w:r w:rsidR="008B19DF">
        <w:rPr>
          <w:rFonts w:ascii="Arial" w:hAnsi="Arial" w:cs="Arial"/>
          <w:sz w:val="22"/>
          <w:szCs w:val="22"/>
        </w:rPr>
        <w:t>. Any offender who cannot be matched to</w:t>
      </w:r>
      <w:r w:rsidR="001D659B">
        <w:rPr>
          <w:rFonts w:ascii="Arial" w:hAnsi="Arial" w:cs="Arial"/>
          <w:sz w:val="22"/>
          <w:szCs w:val="22"/>
        </w:rPr>
        <w:t xml:space="preserve"> an offender record on</w:t>
      </w:r>
      <w:r w:rsidR="008B19DF">
        <w:rPr>
          <w:rFonts w:ascii="Arial" w:hAnsi="Arial" w:cs="Arial"/>
          <w:sz w:val="22"/>
          <w:szCs w:val="22"/>
        </w:rPr>
        <w:t xml:space="preserve"> the PNC will be excluded from the measureme</w:t>
      </w:r>
      <w:r w:rsidR="001D659B">
        <w:rPr>
          <w:rFonts w:ascii="Arial" w:hAnsi="Arial" w:cs="Arial"/>
          <w:sz w:val="22"/>
          <w:szCs w:val="22"/>
        </w:rPr>
        <w:t>nt of re-offending outcomes.</w:t>
      </w:r>
    </w:p>
    <w:p w:rsidR="00AB75FF" w:rsidRPr="008B19DF" w:rsidRDefault="00AB75FF" w:rsidP="008B19D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93C96" w:rsidRPr="008B19DF" w:rsidRDefault="00893C96" w:rsidP="008867A6">
      <w:p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 w:rsidRPr="005F1E09">
        <w:rPr>
          <w:rFonts w:ascii="Arial" w:hAnsi="Arial" w:cs="Arial"/>
          <w:b/>
          <w:i/>
          <w:sz w:val="22"/>
          <w:szCs w:val="22"/>
        </w:rPr>
        <w:t>Matching of allocated persons’ index offences to the PNC</w:t>
      </w:r>
    </w:p>
    <w:p w:rsidR="003D0A84" w:rsidRPr="00AB75FF" w:rsidRDefault="004E2BD9" w:rsidP="00173EC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 will then attempt to match each of the index offences associated with each offender start on the cohort list to an offence record on the PNC.</w:t>
      </w:r>
    </w:p>
    <w:p w:rsidR="00173EC6" w:rsidRDefault="00173EC6" w:rsidP="0070728F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To perform the matching MoJ will use the </w:t>
      </w:r>
      <w:r w:rsidR="008F06E2" w:rsidRPr="008F06E2">
        <w:rPr>
          <w:rFonts w:ascii="Arial" w:hAnsi="Arial" w:cs="Arial"/>
          <w:i/>
          <w:color w:val="000000"/>
          <w:sz w:val="22"/>
          <w:szCs w:val="22"/>
        </w:rPr>
        <w:t>s</w:t>
      </w:r>
      <w:r w:rsidRPr="008F06E2">
        <w:rPr>
          <w:rFonts w:ascii="Arial" w:hAnsi="Arial" w:cs="Arial"/>
          <w:i/>
          <w:color w:val="000000"/>
          <w:sz w:val="22"/>
          <w:szCs w:val="22"/>
        </w:rPr>
        <w:t xml:space="preserve">entence </w:t>
      </w:r>
      <w:r w:rsidR="008F06E2">
        <w:rPr>
          <w:rFonts w:ascii="Arial" w:hAnsi="Arial" w:cs="Arial"/>
          <w:i/>
          <w:color w:val="000000"/>
          <w:sz w:val="22"/>
          <w:szCs w:val="22"/>
        </w:rPr>
        <w:t>d</w:t>
      </w:r>
      <w:r w:rsidRPr="008F06E2">
        <w:rPr>
          <w:rFonts w:ascii="Arial" w:hAnsi="Arial" w:cs="Arial"/>
          <w:i/>
          <w:color w:val="000000"/>
          <w:sz w:val="22"/>
          <w:szCs w:val="22"/>
        </w:rPr>
        <w:t>ate</w:t>
      </w:r>
      <w:r>
        <w:rPr>
          <w:rFonts w:ascii="Arial" w:hAnsi="Arial" w:cs="Arial"/>
          <w:color w:val="000000"/>
          <w:sz w:val="22"/>
          <w:szCs w:val="22"/>
        </w:rPr>
        <w:t xml:space="preserve"> or the </w:t>
      </w:r>
      <w:r w:rsidR="008F06E2" w:rsidRPr="008F06E2">
        <w:rPr>
          <w:rFonts w:ascii="Arial" w:hAnsi="Arial" w:cs="Arial"/>
          <w:i/>
          <w:color w:val="000000"/>
          <w:sz w:val="22"/>
          <w:szCs w:val="22"/>
        </w:rPr>
        <w:t>c</w:t>
      </w:r>
      <w:r w:rsidRPr="008F06E2">
        <w:rPr>
          <w:rFonts w:ascii="Arial" w:hAnsi="Arial" w:cs="Arial"/>
          <w:i/>
          <w:color w:val="000000"/>
          <w:sz w:val="22"/>
          <w:szCs w:val="22"/>
        </w:rPr>
        <w:t xml:space="preserve">onviction </w:t>
      </w:r>
      <w:r w:rsidR="008F06E2">
        <w:rPr>
          <w:rFonts w:ascii="Arial" w:hAnsi="Arial" w:cs="Arial"/>
          <w:i/>
          <w:color w:val="000000"/>
          <w:sz w:val="22"/>
          <w:szCs w:val="22"/>
        </w:rPr>
        <w:t>d</w:t>
      </w:r>
      <w:r w:rsidRPr="008F06E2">
        <w:rPr>
          <w:rFonts w:ascii="Arial" w:hAnsi="Arial" w:cs="Arial"/>
          <w:i/>
          <w:color w:val="000000"/>
          <w:sz w:val="22"/>
          <w:szCs w:val="22"/>
        </w:rPr>
        <w:t>ate</w:t>
      </w:r>
      <w:r>
        <w:rPr>
          <w:rFonts w:ascii="Arial" w:hAnsi="Arial" w:cs="Arial"/>
          <w:color w:val="000000"/>
          <w:sz w:val="22"/>
          <w:szCs w:val="22"/>
        </w:rPr>
        <w:t xml:space="preserve"> attached to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nDelius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record and compare it with the </w:t>
      </w:r>
      <w:r w:rsidR="008F06E2" w:rsidRPr="008F06E2">
        <w:rPr>
          <w:rFonts w:ascii="Arial" w:hAnsi="Arial" w:cs="Arial"/>
          <w:i/>
          <w:color w:val="000000"/>
          <w:sz w:val="22"/>
          <w:szCs w:val="22"/>
        </w:rPr>
        <w:t>c</w:t>
      </w:r>
      <w:r w:rsidRPr="008F06E2">
        <w:rPr>
          <w:rFonts w:ascii="Arial" w:hAnsi="Arial" w:cs="Arial"/>
          <w:i/>
          <w:color w:val="000000"/>
          <w:sz w:val="22"/>
          <w:szCs w:val="22"/>
        </w:rPr>
        <w:t>ourt-</w:t>
      </w:r>
      <w:r w:rsidR="008F06E2">
        <w:rPr>
          <w:rFonts w:ascii="Arial" w:hAnsi="Arial" w:cs="Arial"/>
          <w:i/>
          <w:color w:val="000000"/>
          <w:sz w:val="22"/>
          <w:szCs w:val="22"/>
        </w:rPr>
        <w:t>c</w:t>
      </w:r>
      <w:r w:rsidRPr="008F06E2">
        <w:rPr>
          <w:rFonts w:ascii="Arial" w:hAnsi="Arial" w:cs="Arial"/>
          <w:i/>
          <w:color w:val="000000"/>
          <w:sz w:val="22"/>
          <w:szCs w:val="22"/>
        </w:rPr>
        <w:t xml:space="preserve">aution </w:t>
      </w:r>
      <w:r w:rsidR="008F06E2">
        <w:rPr>
          <w:rFonts w:ascii="Arial" w:hAnsi="Arial" w:cs="Arial"/>
          <w:i/>
          <w:color w:val="000000"/>
          <w:sz w:val="22"/>
          <w:szCs w:val="22"/>
        </w:rPr>
        <w:t>d</w:t>
      </w:r>
      <w:r w:rsidRPr="008F06E2">
        <w:rPr>
          <w:rFonts w:ascii="Arial" w:hAnsi="Arial" w:cs="Arial"/>
          <w:i/>
          <w:color w:val="000000"/>
          <w:sz w:val="22"/>
          <w:szCs w:val="22"/>
        </w:rPr>
        <w:t>ate</w:t>
      </w:r>
      <w:r>
        <w:rPr>
          <w:rFonts w:ascii="Arial" w:hAnsi="Arial" w:cs="Arial"/>
          <w:color w:val="000000"/>
          <w:sz w:val="22"/>
          <w:szCs w:val="22"/>
        </w:rPr>
        <w:t xml:space="preserve"> or the </w:t>
      </w:r>
      <w:r w:rsidR="008F06E2" w:rsidRPr="008F06E2">
        <w:rPr>
          <w:rFonts w:ascii="Arial" w:hAnsi="Arial" w:cs="Arial"/>
          <w:i/>
          <w:color w:val="000000"/>
          <w:sz w:val="22"/>
          <w:szCs w:val="22"/>
        </w:rPr>
        <w:t>s</w:t>
      </w:r>
      <w:r w:rsidRPr="008F06E2">
        <w:rPr>
          <w:rFonts w:ascii="Arial" w:hAnsi="Arial" w:cs="Arial"/>
          <w:i/>
          <w:color w:val="000000"/>
          <w:sz w:val="22"/>
          <w:szCs w:val="22"/>
        </w:rPr>
        <w:t xml:space="preserve">ubsequent </w:t>
      </w:r>
      <w:r w:rsidR="008F06E2">
        <w:rPr>
          <w:rFonts w:ascii="Arial" w:hAnsi="Arial" w:cs="Arial"/>
          <w:i/>
          <w:color w:val="000000"/>
          <w:sz w:val="22"/>
          <w:szCs w:val="22"/>
        </w:rPr>
        <w:t>a</w:t>
      </w:r>
      <w:r w:rsidRPr="008F06E2">
        <w:rPr>
          <w:rFonts w:ascii="Arial" w:hAnsi="Arial" w:cs="Arial"/>
          <w:i/>
          <w:color w:val="000000"/>
          <w:sz w:val="22"/>
          <w:szCs w:val="22"/>
        </w:rPr>
        <w:t xml:space="preserve">ppearance </w:t>
      </w:r>
      <w:r w:rsidR="008F06E2">
        <w:rPr>
          <w:rFonts w:ascii="Arial" w:hAnsi="Arial" w:cs="Arial"/>
          <w:i/>
          <w:color w:val="000000"/>
          <w:sz w:val="22"/>
          <w:szCs w:val="22"/>
        </w:rPr>
        <w:t>d</w:t>
      </w:r>
      <w:r w:rsidRPr="008F06E2">
        <w:rPr>
          <w:rFonts w:ascii="Arial" w:hAnsi="Arial" w:cs="Arial"/>
          <w:i/>
          <w:color w:val="000000"/>
          <w:sz w:val="22"/>
          <w:szCs w:val="22"/>
        </w:rPr>
        <w:t>ate</w:t>
      </w:r>
      <w:r w:rsidRPr="008F06E2">
        <w:rPr>
          <w:rFonts w:ascii="Arial" w:hAnsi="Arial" w:cs="Arial"/>
          <w:color w:val="000000"/>
          <w:sz w:val="22"/>
          <w:szCs w:val="22"/>
        </w:rPr>
        <w:t xml:space="preserve"> (</w:t>
      </w:r>
      <w:r w:rsidRPr="008F06E2">
        <w:rPr>
          <w:rFonts w:ascii="Arial" w:hAnsi="Arial" w:cs="Arial"/>
          <w:i/>
          <w:color w:val="000000"/>
          <w:sz w:val="22"/>
          <w:szCs w:val="22"/>
        </w:rPr>
        <w:t xml:space="preserve">SAP </w:t>
      </w:r>
      <w:r w:rsidR="008F06E2">
        <w:rPr>
          <w:rFonts w:ascii="Arial" w:hAnsi="Arial" w:cs="Arial"/>
          <w:i/>
          <w:color w:val="000000"/>
          <w:sz w:val="22"/>
          <w:szCs w:val="22"/>
        </w:rPr>
        <w:t>d</w:t>
      </w:r>
      <w:r w:rsidRPr="008F06E2">
        <w:rPr>
          <w:rFonts w:ascii="Arial" w:hAnsi="Arial" w:cs="Arial"/>
          <w:i/>
          <w:color w:val="000000"/>
          <w:sz w:val="22"/>
          <w:szCs w:val="22"/>
        </w:rPr>
        <w:t>ate</w:t>
      </w:r>
      <w:r>
        <w:rPr>
          <w:rFonts w:ascii="Arial" w:hAnsi="Arial" w:cs="Arial"/>
          <w:color w:val="000000"/>
          <w:sz w:val="22"/>
          <w:szCs w:val="22"/>
        </w:rPr>
        <w:t xml:space="preserve"> - this is the latest available court appe</w:t>
      </w:r>
      <w:r w:rsidR="00A720E1">
        <w:rPr>
          <w:rFonts w:ascii="Arial" w:hAnsi="Arial" w:cs="Arial"/>
          <w:color w:val="000000"/>
          <w:sz w:val="22"/>
          <w:szCs w:val="22"/>
        </w:rPr>
        <w:t xml:space="preserve">arance for a specific offence) </w:t>
      </w:r>
      <w:r w:rsidR="00C50649">
        <w:rPr>
          <w:rFonts w:ascii="Arial" w:hAnsi="Arial" w:cs="Arial"/>
          <w:color w:val="000000"/>
          <w:sz w:val="22"/>
          <w:szCs w:val="22"/>
        </w:rPr>
        <w:t xml:space="preserve">attached to </w:t>
      </w:r>
      <w:r>
        <w:rPr>
          <w:rFonts w:ascii="Arial" w:hAnsi="Arial" w:cs="Arial"/>
          <w:color w:val="000000"/>
          <w:sz w:val="22"/>
          <w:szCs w:val="22"/>
        </w:rPr>
        <w:t>PNC</w:t>
      </w:r>
      <w:r w:rsidR="00C50649">
        <w:rPr>
          <w:rFonts w:ascii="Arial" w:hAnsi="Arial" w:cs="Arial"/>
          <w:color w:val="000000"/>
          <w:sz w:val="22"/>
          <w:szCs w:val="22"/>
        </w:rPr>
        <w:t xml:space="preserve"> offences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73EC6" w:rsidRDefault="00173EC6" w:rsidP="00173EC6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instances where more than one PNC offence is matched to an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nDelius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index offence, the PNC offence with the most serious sentence will be selected</w:t>
      </w:r>
    </w:p>
    <w:p w:rsidR="006B648F" w:rsidRPr="00AB75FF" w:rsidRDefault="00173EC6" w:rsidP="00173EC6">
      <w:pPr>
        <w:spacing w:before="1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Again, not all offences are successfully matched to the PNC. If an index offence cannot be matched to a PNC offence record then its associated offender start will be excluded </w:t>
      </w:r>
      <w:r w:rsidRPr="00AB75FF">
        <w:rPr>
          <w:rFonts w:ascii="Arial" w:hAnsi="Arial" w:cs="Arial"/>
          <w:sz w:val="22"/>
          <w:szCs w:val="22"/>
        </w:rPr>
        <w:t>from the measurement of re-offending outcomes</w:t>
      </w:r>
      <w:r w:rsidR="006B648F" w:rsidRPr="00AB75FF">
        <w:rPr>
          <w:rFonts w:ascii="Arial" w:hAnsi="Arial" w:cs="Arial"/>
          <w:sz w:val="22"/>
          <w:szCs w:val="22"/>
        </w:rPr>
        <w:t>.</w:t>
      </w:r>
    </w:p>
    <w:p w:rsidR="00272A8D" w:rsidRPr="00AB75FF" w:rsidRDefault="00272A8D" w:rsidP="004B08E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74C05" w:rsidRDefault="00272A8D" w:rsidP="004B08E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72A8D">
        <w:rPr>
          <w:rFonts w:ascii="Arial" w:hAnsi="Arial" w:cs="Arial"/>
          <w:sz w:val="22"/>
          <w:szCs w:val="22"/>
        </w:rPr>
        <w:t>F</w:t>
      </w:r>
      <w:r w:rsidR="00074C05" w:rsidRPr="00272A8D">
        <w:rPr>
          <w:rFonts w:ascii="Arial" w:hAnsi="Arial" w:cs="Arial"/>
          <w:sz w:val="22"/>
          <w:szCs w:val="22"/>
        </w:rPr>
        <w:t xml:space="preserve">or the purposes of calculating </w:t>
      </w:r>
      <w:proofErr w:type="spellStart"/>
      <w:r w:rsidR="00074C05" w:rsidRPr="00272A8D">
        <w:rPr>
          <w:rFonts w:ascii="Arial" w:hAnsi="Arial" w:cs="Arial"/>
          <w:sz w:val="22"/>
          <w:szCs w:val="22"/>
        </w:rPr>
        <w:t>PbR</w:t>
      </w:r>
      <w:proofErr w:type="spellEnd"/>
      <w:r w:rsidR="00074C05" w:rsidRPr="00272A8D">
        <w:rPr>
          <w:rFonts w:ascii="Arial" w:hAnsi="Arial" w:cs="Arial"/>
          <w:sz w:val="22"/>
          <w:szCs w:val="22"/>
        </w:rPr>
        <w:t xml:space="preserve"> outcome payments</w:t>
      </w:r>
      <w:r w:rsidR="00A07462" w:rsidRPr="00272A8D">
        <w:rPr>
          <w:rFonts w:ascii="Arial" w:hAnsi="Arial" w:cs="Arial"/>
          <w:sz w:val="22"/>
          <w:szCs w:val="22"/>
        </w:rPr>
        <w:t xml:space="preserve"> </w:t>
      </w:r>
      <w:r w:rsidR="006558C1" w:rsidRPr="00272A8D">
        <w:rPr>
          <w:rFonts w:ascii="Arial" w:hAnsi="Arial" w:cs="Arial"/>
          <w:sz w:val="22"/>
          <w:szCs w:val="22"/>
        </w:rPr>
        <w:t>it will be assumed that the re-offending outcomes of the portion of offender starts</w:t>
      </w:r>
      <w:r>
        <w:rPr>
          <w:rFonts w:ascii="Arial" w:hAnsi="Arial" w:cs="Arial"/>
          <w:sz w:val="22"/>
          <w:szCs w:val="22"/>
        </w:rPr>
        <w:t xml:space="preserve"> in a </w:t>
      </w:r>
      <w:proofErr w:type="spellStart"/>
      <w:r>
        <w:rPr>
          <w:rFonts w:ascii="Arial" w:hAnsi="Arial" w:cs="Arial"/>
          <w:sz w:val="22"/>
          <w:szCs w:val="22"/>
        </w:rPr>
        <w:t>PbR</w:t>
      </w:r>
      <w:proofErr w:type="spellEnd"/>
      <w:r>
        <w:rPr>
          <w:rFonts w:ascii="Arial" w:hAnsi="Arial" w:cs="Arial"/>
          <w:sz w:val="22"/>
          <w:szCs w:val="22"/>
        </w:rPr>
        <w:t xml:space="preserve"> cohort</w:t>
      </w:r>
      <w:r w:rsidR="006558C1" w:rsidRPr="00272A8D">
        <w:rPr>
          <w:rFonts w:ascii="Arial" w:hAnsi="Arial" w:cs="Arial"/>
          <w:sz w:val="22"/>
          <w:szCs w:val="22"/>
        </w:rPr>
        <w:t xml:space="preserve"> that are </w:t>
      </w:r>
      <w:r w:rsidR="00D2439E">
        <w:rPr>
          <w:rFonts w:ascii="Arial" w:hAnsi="Arial" w:cs="Arial"/>
          <w:sz w:val="22"/>
          <w:szCs w:val="22"/>
        </w:rPr>
        <w:t xml:space="preserve">not successfully matched and </w:t>
      </w:r>
      <w:r w:rsidR="006558C1" w:rsidRPr="00272A8D">
        <w:rPr>
          <w:rFonts w:ascii="Arial" w:hAnsi="Arial" w:cs="Arial"/>
          <w:sz w:val="22"/>
          <w:szCs w:val="22"/>
        </w:rPr>
        <w:t xml:space="preserve">measured are identical to </w:t>
      </w:r>
      <w:r w:rsidR="00D2439E">
        <w:rPr>
          <w:rFonts w:ascii="Arial" w:hAnsi="Arial" w:cs="Arial"/>
          <w:sz w:val="22"/>
          <w:szCs w:val="22"/>
        </w:rPr>
        <w:t>re-offending outcomes for those that are measured</w:t>
      </w:r>
      <w:r w:rsidRPr="00272A8D">
        <w:rPr>
          <w:rFonts w:ascii="Arial" w:hAnsi="Arial" w:cs="Arial"/>
          <w:sz w:val="22"/>
          <w:szCs w:val="22"/>
        </w:rPr>
        <w:t>.</w:t>
      </w:r>
    </w:p>
    <w:p w:rsidR="00AB75FF" w:rsidRPr="00272A8D" w:rsidRDefault="00AB75FF" w:rsidP="004B08E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D0A84" w:rsidRDefault="0059344F" w:rsidP="008867A6">
      <w:pPr>
        <w:spacing w:before="120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59344F">
        <w:rPr>
          <w:rFonts w:ascii="Arial" w:hAnsi="Arial" w:cs="Arial"/>
          <w:b/>
          <w:i/>
          <w:sz w:val="22"/>
          <w:szCs w:val="22"/>
        </w:rPr>
        <w:t>Measurement periods</w:t>
      </w:r>
    </w:p>
    <w:p w:rsidR="00266A73" w:rsidRDefault="00266A73" w:rsidP="008B19D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Re-offending among offenders who join a cohort on release from a custodial sentence will be monitored for 12 months from the day of their first release (releases from subsequent recalls are not relevant), inclusive</w:t>
      </w:r>
      <w:r w:rsidR="0059344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Re-offending among offenders who join a cohort on being sentenced to a Community Order or Suspended Sentence Order (CO/SSO) will be monitored for 12 months from the date on which they are sentenced, </w:t>
      </w:r>
      <w:r w:rsidR="0059344F">
        <w:rPr>
          <w:rFonts w:ascii="Arial" w:hAnsi="Arial" w:cs="Arial"/>
          <w:sz w:val="22"/>
          <w:szCs w:val="22"/>
        </w:rPr>
        <w:t xml:space="preserve">inclusive. For both groups, this </w:t>
      </w:r>
      <w:r>
        <w:rPr>
          <w:rFonts w:ascii="Arial" w:hAnsi="Arial" w:cs="Arial"/>
          <w:sz w:val="22"/>
          <w:szCs w:val="22"/>
        </w:rPr>
        <w:t xml:space="preserve">date on which monitoring begins is known as the </w:t>
      </w:r>
      <w:r>
        <w:rPr>
          <w:rFonts w:ascii="Arial" w:hAnsi="Arial" w:cs="Arial"/>
          <w:i/>
          <w:sz w:val="22"/>
          <w:szCs w:val="22"/>
        </w:rPr>
        <w:t>index date</w:t>
      </w:r>
      <w:r>
        <w:rPr>
          <w:rFonts w:ascii="Arial" w:hAnsi="Arial" w:cs="Arial"/>
          <w:sz w:val="22"/>
          <w:szCs w:val="22"/>
        </w:rPr>
        <w:t>.</w:t>
      </w:r>
      <w:r w:rsidR="004A1A99">
        <w:rPr>
          <w:rFonts w:ascii="Arial" w:hAnsi="Arial" w:cs="Arial"/>
          <w:sz w:val="22"/>
          <w:szCs w:val="22"/>
        </w:rPr>
        <w:t xml:space="preserve"> Note that the index date is not necessarily the point at which the offender start is allocated to the cohort.</w:t>
      </w:r>
    </w:p>
    <w:p w:rsidR="0059344F" w:rsidRPr="00FE6135" w:rsidRDefault="00B82D77" w:rsidP="008B19D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Offences will be included as re-offences in the </w:t>
      </w:r>
      <w:proofErr w:type="spellStart"/>
      <w:r>
        <w:rPr>
          <w:rFonts w:ascii="Arial" w:hAnsi="Arial" w:cs="Arial"/>
          <w:sz w:val="22"/>
          <w:szCs w:val="22"/>
        </w:rPr>
        <w:t>PbR</w:t>
      </w:r>
      <w:proofErr w:type="spellEnd"/>
      <w:r>
        <w:rPr>
          <w:rFonts w:ascii="Arial" w:hAnsi="Arial" w:cs="Arial"/>
          <w:sz w:val="22"/>
          <w:szCs w:val="22"/>
        </w:rPr>
        <w:t xml:space="preserve"> outcome measurement if, according to the PNC, they are committed within 12 months of the index date and the offender receives a court conviction or a caution corresponding to the offence within 18 months of the index date.</w:t>
      </w:r>
      <w:r w:rsidR="00FE6135">
        <w:rPr>
          <w:rFonts w:ascii="Arial" w:hAnsi="Arial" w:cs="Arial"/>
          <w:sz w:val="22"/>
          <w:szCs w:val="22"/>
        </w:rPr>
        <w:t xml:space="preserve"> In line with the existing National Statistics methodology, the date of an offence is taken to be the earliest of five dates recorded against it on the PNC: </w:t>
      </w:r>
      <w:r w:rsidR="00FE6135">
        <w:rPr>
          <w:rFonts w:ascii="Arial" w:hAnsi="Arial" w:cs="Arial"/>
          <w:i/>
          <w:sz w:val="22"/>
          <w:szCs w:val="22"/>
        </w:rPr>
        <w:t>offence start date; offence end date; court</w:t>
      </w:r>
      <w:r w:rsidR="0000001A">
        <w:rPr>
          <w:rFonts w:ascii="Arial" w:hAnsi="Arial" w:cs="Arial"/>
          <w:i/>
          <w:sz w:val="22"/>
          <w:szCs w:val="22"/>
        </w:rPr>
        <w:t>-caution</w:t>
      </w:r>
      <w:r w:rsidR="00FE6135">
        <w:rPr>
          <w:rFonts w:ascii="Arial" w:hAnsi="Arial" w:cs="Arial"/>
          <w:i/>
          <w:sz w:val="22"/>
          <w:szCs w:val="22"/>
        </w:rPr>
        <w:t xml:space="preserve"> date; process date;</w:t>
      </w:r>
      <w:r w:rsidR="00FE6135">
        <w:rPr>
          <w:rFonts w:ascii="Arial" w:hAnsi="Arial" w:cs="Arial"/>
          <w:sz w:val="22"/>
          <w:szCs w:val="22"/>
        </w:rPr>
        <w:t xml:space="preserve"> and</w:t>
      </w:r>
      <w:r w:rsidR="00FE6135">
        <w:rPr>
          <w:rFonts w:ascii="Arial" w:hAnsi="Arial" w:cs="Arial"/>
          <w:i/>
          <w:sz w:val="22"/>
          <w:szCs w:val="22"/>
        </w:rPr>
        <w:t xml:space="preserve"> subsequent appearance date</w:t>
      </w:r>
      <w:r w:rsidR="00FE6135">
        <w:rPr>
          <w:rFonts w:ascii="Arial" w:hAnsi="Arial" w:cs="Arial"/>
          <w:sz w:val="22"/>
          <w:szCs w:val="22"/>
        </w:rPr>
        <w:t>.</w:t>
      </w:r>
    </w:p>
    <w:p w:rsidR="003476F9" w:rsidRDefault="00066E6A" w:rsidP="008B19D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order to determine re-offending outcomes</w:t>
      </w:r>
      <w:r w:rsidR="003476F9">
        <w:rPr>
          <w:rFonts w:ascii="Arial" w:hAnsi="Arial" w:cs="Arial"/>
          <w:sz w:val="22"/>
          <w:szCs w:val="22"/>
        </w:rPr>
        <w:t xml:space="preserve"> for a given cohort</w:t>
      </w:r>
      <w:r>
        <w:rPr>
          <w:rFonts w:ascii="Arial" w:hAnsi="Arial" w:cs="Arial"/>
          <w:sz w:val="22"/>
          <w:szCs w:val="22"/>
        </w:rPr>
        <w:t>, MoJ will use the most recent snapshot of the PNC available</w:t>
      </w:r>
      <w:r w:rsidR="00792AD8">
        <w:rPr>
          <w:rFonts w:ascii="Arial" w:hAnsi="Arial" w:cs="Arial"/>
          <w:sz w:val="22"/>
          <w:szCs w:val="22"/>
        </w:rPr>
        <w:t xml:space="preserve"> as at</w:t>
      </w:r>
      <w:r>
        <w:rPr>
          <w:rFonts w:ascii="Arial" w:hAnsi="Arial" w:cs="Arial"/>
          <w:sz w:val="22"/>
          <w:szCs w:val="22"/>
        </w:rPr>
        <w:t xml:space="preserve"> </w:t>
      </w:r>
      <w:r w:rsidR="00C639D9">
        <w:rPr>
          <w:rFonts w:ascii="Arial" w:hAnsi="Arial" w:cs="Arial"/>
          <w:sz w:val="22"/>
          <w:szCs w:val="22"/>
        </w:rPr>
        <w:t>20</w:t>
      </w:r>
      <w:r w:rsidR="003476F9">
        <w:rPr>
          <w:rFonts w:ascii="Arial" w:hAnsi="Arial" w:cs="Arial"/>
          <w:sz w:val="22"/>
          <w:szCs w:val="22"/>
        </w:rPr>
        <w:t xml:space="preserve"> months following the end of that</w:t>
      </w:r>
      <w:r w:rsidR="000C342C">
        <w:rPr>
          <w:rFonts w:ascii="Arial" w:hAnsi="Arial" w:cs="Arial"/>
          <w:sz w:val="22"/>
          <w:szCs w:val="22"/>
        </w:rPr>
        <w:t xml:space="preserve"> cohort build-up period (</w:t>
      </w:r>
      <w:r w:rsidR="003476F9">
        <w:rPr>
          <w:rFonts w:ascii="Arial" w:hAnsi="Arial" w:cs="Arial"/>
          <w:sz w:val="22"/>
          <w:szCs w:val="22"/>
        </w:rPr>
        <w:t>the 21 months comprise:</w:t>
      </w:r>
      <w:r w:rsidR="000C342C">
        <w:rPr>
          <w:rFonts w:ascii="Arial" w:hAnsi="Arial" w:cs="Arial"/>
          <w:sz w:val="22"/>
          <w:szCs w:val="22"/>
        </w:rPr>
        <w:t xml:space="preserve"> 12 months to monitor re-offending, a further 6 months </w:t>
      </w:r>
      <w:r w:rsidR="003476F9">
        <w:rPr>
          <w:rFonts w:ascii="Arial" w:hAnsi="Arial" w:cs="Arial"/>
          <w:sz w:val="22"/>
          <w:szCs w:val="22"/>
        </w:rPr>
        <w:t xml:space="preserve">to allow time </w:t>
      </w:r>
      <w:r w:rsidR="000C342C">
        <w:rPr>
          <w:rFonts w:ascii="Arial" w:hAnsi="Arial" w:cs="Arial"/>
          <w:sz w:val="22"/>
          <w:szCs w:val="22"/>
        </w:rPr>
        <w:t>for cases to b</w:t>
      </w:r>
      <w:r w:rsidR="00C639D9">
        <w:rPr>
          <w:rFonts w:ascii="Arial" w:hAnsi="Arial" w:cs="Arial"/>
          <w:sz w:val="22"/>
          <w:szCs w:val="22"/>
        </w:rPr>
        <w:t>e processed in the courts, and 2</w:t>
      </w:r>
      <w:r w:rsidR="000C342C">
        <w:rPr>
          <w:rFonts w:ascii="Arial" w:hAnsi="Arial" w:cs="Arial"/>
          <w:sz w:val="22"/>
          <w:szCs w:val="22"/>
        </w:rPr>
        <w:t xml:space="preserve"> months for </w:t>
      </w:r>
      <w:r w:rsidR="006E1B08">
        <w:rPr>
          <w:rFonts w:ascii="Arial" w:hAnsi="Arial" w:cs="Arial"/>
          <w:sz w:val="22"/>
          <w:szCs w:val="22"/>
        </w:rPr>
        <w:t xml:space="preserve">the </w:t>
      </w:r>
      <w:r w:rsidR="000C342C">
        <w:rPr>
          <w:rFonts w:ascii="Arial" w:hAnsi="Arial" w:cs="Arial"/>
          <w:sz w:val="22"/>
          <w:szCs w:val="22"/>
        </w:rPr>
        <w:t>PNC to be updated</w:t>
      </w:r>
      <w:r w:rsidR="000F4821">
        <w:rPr>
          <w:rFonts w:ascii="Arial" w:hAnsi="Arial" w:cs="Arial"/>
          <w:sz w:val="22"/>
          <w:szCs w:val="22"/>
        </w:rPr>
        <w:t>)</w:t>
      </w:r>
      <w:r w:rsidR="000C342C">
        <w:rPr>
          <w:rFonts w:ascii="Arial" w:hAnsi="Arial" w:cs="Arial"/>
          <w:sz w:val="22"/>
          <w:szCs w:val="22"/>
        </w:rPr>
        <w:t>.</w:t>
      </w:r>
    </w:p>
    <w:p w:rsidR="00066E6A" w:rsidRDefault="003476F9" w:rsidP="008B19D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data on the PNC relating to a cohort offender is subsequently changed or updated the re-offending outcomes for that cohort are not subject to revision and therefore this will have no bearing on the </w:t>
      </w:r>
      <w:proofErr w:type="spellStart"/>
      <w:r>
        <w:rPr>
          <w:rFonts w:ascii="Arial" w:hAnsi="Arial" w:cs="Arial"/>
          <w:sz w:val="22"/>
          <w:szCs w:val="22"/>
        </w:rPr>
        <w:t>PbR</w:t>
      </w:r>
      <w:proofErr w:type="spellEnd"/>
      <w:r>
        <w:rPr>
          <w:rFonts w:ascii="Arial" w:hAnsi="Arial" w:cs="Arial"/>
          <w:sz w:val="22"/>
          <w:szCs w:val="22"/>
        </w:rPr>
        <w:t xml:space="preserve"> payment for that cohort.</w:t>
      </w:r>
    </w:p>
    <w:p w:rsidR="00AB75FF" w:rsidRDefault="00AB75FF" w:rsidP="008B19D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95A66" w:rsidRDefault="00995A66" w:rsidP="008867A6">
      <w:p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Adjusting binary re</w:t>
      </w:r>
      <w:r w:rsidR="00A07462">
        <w:rPr>
          <w:rFonts w:ascii="Arial" w:hAnsi="Arial" w:cs="Arial"/>
          <w:b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>offending rates by OGRS4</w:t>
      </w:r>
      <w:r w:rsidR="00950866">
        <w:rPr>
          <w:rFonts w:ascii="Arial" w:hAnsi="Arial" w:cs="Arial"/>
          <w:b/>
          <w:i/>
          <w:sz w:val="22"/>
          <w:szCs w:val="22"/>
        </w:rPr>
        <w:t>/G</w:t>
      </w:r>
    </w:p>
    <w:p w:rsidR="000B6773" w:rsidRPr="00FC1F1E" w:rsidRDefault="00995A66" w:rsidP="000B677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described in the payment mechanism design </w:t>
      </w:r>
      <w:r w:rsidR="00863459">
        <w:rPr>
          <w:rFonts w:ascii="Arial" w:hAnsi="Arial" w:cs="Arial"/>
          <w:sz w:val="22"/>
          <w:szCs w:val="22"/>
        </w:rPr>
        <w:t>overview</w:t>
      </w:r>
      <w:r w:rsidR="00D97E90">
        <w:rPr>
          <w:rFonts w:ascii="Arial" w:hAnsi="Arial" w:cs="Arial"/>
          <w:sz w:val="22"/>
          <w:szCs w:val="22"/>
        </w:rPr>
        <w:t>, all binary re</w:t>
      </w:r>
      <w:r w:rsidR="00A07462">
        <w:rPr>
          <w:rFonts w:ascii="Arial" w:hAnsi="Arial" w:cs="Arial"/>
          <w:sz w:val="22"/>
          <w:szCs w:val="22"/>
        </w:rPr>
        <w:t>-</w:t>
      </w:r>
      <w:r w:rsidR="00D97E90">
        <w:rPr>
          <w:rFonts w:ascii="Arial" w:hAnsi="Arial" w:cs="Arial"/>
          <w:sz w:val="22"/>
          <w:szCs w:val="22"/>
        </w:rPr>
        <w:t xml:space="preserve">offending rates will be adjusted to take account of the influence that differences in offender mix can </w:t>
      </w:r>
      <w:r w:rsidR="00D97E90" w:rsidRPr="000B6773">
        <w:rPr>
          <w:rFonts w:ascii="Arial" w:hAnsi="Arial" w:cs="Arial"/>
          <w:sz w:val="22"/>
          <w:szCs w:val="22"/>
        </w:rPr>
        <w:t>have on binary re</w:t>
      </w:r>
      <w:r w:rsidR="00A07462">
        <w:rPr>
          <w:rFonts w:ascii="Arial" w:hAnsi="Arial" w:cs="Arial"/>
          <w:sz w:val="22"/>
          <w:szCs w:val="22"/>
        </w:rPr>
        <w:t>-</w:t>
      </w:r>
      <w:r w:rsidR="00D97E90" w:rsidRPr="000B6773">
        <w:rPr>
          <w:rFonts w:ascii="Arial" w:hAnsi="Arial" w:cs="Arial"/>
          <w:sz w:val="22"/>
          <w:szCs w:val="22"/>
        </w:rPr>
        <w:t xml:space="preserve">offending rates before being used to determine </w:t>
      </w:r>
      <w:proofErr w:type="spellStart"/>
      <w:r w:rsidR="00D97E90" w:rsidRPr="000B6773">
        <w:rPr>
          <w:rFonts w:ascii="Arial" w:hAnsi="Arial" w:cs="Arial"/>
          <w:sz w:val="22"/>
          <w:szCs w:val="22"/>
        </w:rPr>
        <w:t>PbR</w:t>
      </w:r>
      <w:proofErr w:type="spellEnd"/>
      <w:r w:rsidR="00D97E90" w:rsidRPr="000B6773">
        <w:rPr>
          <w:rFonts w:ascii="Arial" w:hAnsi="Arial" w:cs="Arial"/>
          <w:sz w:val="22"/>
          <w:szCs w:val="22"/>
        </w:rPr>
        <w:t xml:space="preserve"> outcomes.</w:t>
      </w:r>
      <w:r w:rsidR="005D4F6B" w:rsidRPr="000B6773">
        <w:rPr>
          <w:rFonts w:ascii="Arial" w:hAnsi="Arial" w:cs="Arial"/>
          <w:sz w:val="22"/>
          <w:szCs w:val="22"/>
        </w:rPr>
        <w:t xml:space="preserve"> This adjustment will be based on the </w:t>
      </w:r>
      <w:r w:rsidR="002B08A5">
        <w:rPr>
          <w:rFonts w:ascii="Arial" w:hAnsi="Arial" w:cs="Arial"/>
          <w:sz w:val="22"/>
          <w:szCs w:val="22"/>
        </w:rPr>
        <w:t xml:space="preserve">1-year </w:t>
      </w:r>
      <w:r w:rsidR="005D4F6B" w:rsidRPr="000B6773">
        <w:rPr>
          <w:rFonts w:ascii="Arial" w:hAnsi="Arial" w:cs="Arial"/>
          <w:sz w:val="22"/>
          <w:szCs w:val="22"/>
        </w:rPr>
        <w:t>OGRS4</w:t>
      </w:r>
      <w:r w:rsidR="00336530">
        <w:rPr>
          <w:rFonts w:ascii="Arial" w:hAnsi="Arial" w:cs="Arial"/>
          <w:sz w:val="22"/>
          <w:szCs w:val="22"/>
        </w:rPr>
        <w:t>/G</w:t>
      </w:r>
      <w:r w:rsidR="005D4F6B" w:rsidRPr="000B6773">
        <w:rPr>
          <w:rFonts w:ascii="Arial" w:hAnsi="Arial" w:cs="Arial"/>
          <w:sz w:val="22"/>
          <w:szCs w:val="22"/>
        </w:rPr>
        <w:t xml:space="preserve"> </w:t>
      </w:r>
      <w:r w:rsidR="00030694" w:rsidRPr="000B6773">
        <w:rPr>
          <w:rFonts w:ascii="Arial" w:hAnsi="Arial" w:cs="Arial"/>
          <w:sz w:val="22"/>
          <w:szCs w:val="22"/>
        </w:rPr>
        <w:t xml:space="preserve">(Offender Group </w:t>
      </w:r>
      <w:r w:rsidR="00030694" w:rsidRPr="00FC1F1E">
        <w:rPr>
          <w:rFonts w:ascii="Arial" w:hAnsi="Arial" w:cs="Arial"/>
          <w:sz w:val="22"/>
          <w:szCs w:val="22"/>
        </w:rPr>
        <w:t>Reconviction Scale) system</w:t>
      </w:r>
      <w:r w:rsidR="000B6773" w:rsidRPr="00FC1F1E">
        <w:rPr>
          <w:rFonts w:ascii="Arial" w:hAnsi="Arial" w:cs="Arial"/>
          <w:sz w:val="22"/>
          <w:szCs w:val="22"/>
        </w:rPr>
        <w:t>. OGRS4</w:t>
      </w:r>
      <w:r w:rsidR="00950866">
        <w:rPr>
          <w:rFonts w:ascii="Arial" w:hAnsi="Arial" w:cs="Arial"/>
          <w:sz w:val="22"/>
          <w:szCs w:val="22"/>
        </w:rPr>
        <w:t>/G</w:t>
      </w:r>
      <w:r w:rsidR="000B6773" w:rsidRPr="00FC1F1E">
        <w:rPr>
          <w:rFonts w:ascii="Arial" w:hAnsi="Arial" w:cs="Arial"/>
          <w:sz w:val="22"/>
          <w:szCs w:val="22"/>
        </w:rPr>
        <w:t xml:space="preserve"> </w:t>
      </w:r>
      <w:r w:rsidR="00960E02" w:rsidRPr="00FC1F1E">
        <w:rPr>
          <w:rFonts w:ascii="Arial" w:hAnsi="Arial" w:cs="Arial"/>
          <w:sz w:val="22"/>
          <w:szCs w:val="22"/>
        </w:rPr>
        <w:t>is based on a well-established, peer-reviewed methodology for assessing and representing re</w:t>
      </w:r>
      <w:r w:rsidR="00A07462">
        <w:rPr>
          <w:rFonts w:ascii="Arial" w:hAnsi="Arial" w:cs="Arial"/>
          <w:sz w:val="22"/>
          <w:szCs w:val="22"/>
        </w:rPr>
        <w:t>-</w:t>
      </w:r>
      <w:r w:rsidR="00960E02" w:rsidRPr="00FC1F1E">
        <w:rPr>
          <w:rFonts w:ascii="Arial" w:hAnsi="Arial" w:cs="Arial"/>
          <w:sz w:val="22"/>
          <w:szCs w:val="22"/>
        </w:rPr>
        <w:t xml:space="preserve">offending risk. </w:t>
      </w:r>
    </w:p>
    <w:p w:rsidR="00C20469" w:rsidRPr="00FC1F1E" w:rsidRDefault="000B6773" w:rsidP="00FC1F1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1F1E">
        <w:rPr>
          <w:rFonts w:ascii="Arial" w:hAnsi="Arial" w:cs="Arial"/>
          <w:sz w:val="22"/>
          <w:szCs w:val="22"/>
        </w:rPr>
        <w:lastRenderedPageBreak/>
        <w:t>OGRS4</w:t>
      </w:r>
      <w:r w:rsidR="002B08A5">
        <w:rPr>
          <w:rFonts w:ascii="Arial" w:hAnsi="Arial" w:cs="Arial"/>
          <w:sz w:val="22"/>
          <w:szCs w:val="22"/>
        </w:rPr>
        <w:t>/G</w:t>
      </w:r>
      <w:r w:rsidRPr="00FC1F1E">
        <w:rPr>
          <w:rFonts w:ascii="Arial" w:hAnsi="Arial" w:cs="Arial"/>
          <w:sz w:val="22"/>
          <w:szCs w:val="22"/>
        </w:rPr>
        <w:t xml:space="preserve"> </w:t>
      </w:r>
      <w:r w:rsidR="00030694" w:rsidRPr="00FC1F1E">
        <w:rPr>
          <w:rFonts w:ascii="Arial" w:hAnsi="Arial" w:cs="Arial"/>
          <w:sz w:val="22"/>
          <w:szCs w:val="22"/>
        </w:rPr>
        <w:t>uses age, gender and criminal history to</w:t>
      </w:r>
      <w:r w:rsidR="00C20469" w:rsidRPr="00FC1F1E">
        <w:rPr>
          <w:rFonts w:ascii="Arial" w:hAnsi="Arial" w:cs="Arial"/>
          <w:sz w:val="22"/>
          <w:szCs w:val="22"/>
        </w:rPr>
        <w:t xml:space="preserve"> assess</w:t>
      </w:r>
      <w:r w:rsidR="005D4F6B" w:rsidRPr="00FC1F1E">
        <w:rPr>
          <w:rFonts w:ascii="Arial" w:hAnsi="Arial" w:cs="Arial"/>
          <w:sz w:val="22"/>
          <w:szCs w:val="22"/>
        </w:rPr>
        <w:t xml:space="preserve"> the </w:t>
      </w:r>
      <w:r w:rsidR="00B9799B">
        <w:rPr>
          <w:rFonts w:ascii="Arial" w:hAnsi="Arial" w:cs="Arial"/>
          <w:sz w:val="22"/>
          <w:szCs w:val="22"/>
        </w:rPr>
        <w:t xml:space="preserve">general </w:t>
      </w:r>
      <w:r w:rsidR="005D4F6B" w:rsidRPr="00FC1F1E">
        <w:rPr>
          <w:rFonts w:ascii="Arial" w:hAnsi="Arial" w:cs="Arial"/>
          <w:sz w:val="22"/>
          <w:szCs w:val="22"/>
        </w:rPr>
        <w:t>re</w:t>
      </w:r>
      <w:r w:rsidR="00A07462">
        <w:rPr>
          <w:rFonts w:ascii="Arial" w:hAnsi="Arial" w:cs="Arial"/>
          <w:sz w:val="22"/>
          <w:szCs w:val="22"/>
        </w:rPr>
        <w:t>-</w:t>
      </w:r>
      <w:r w:rsidR="005D4F6B" w:rsidRPr="00FC1F1E">
        <w:rPr>
          <w:rFonts w:ascii="Arial" w:hAnsi="Arial" w:cs="Arial"/>
          <w:sz w:val="22"/>
          <w:szCs w:val="22"/>
        </w:rPr>
        <w:t>offending risk of a given group of offenders</w:t>
      </w:r>
      <w:r w:rsidR="001616BD" w:rsidRPr="00FC1F1E">
        <w:rPr>
          <w:rFonts w:ascii="Arial" w:hAnsi="Arial" w:cs="Arial"/>
          <w:sz w:val="22"/>
          <w:szCs w:val="22"/>
        </w:rPr>
        <w:t xml:space="preserve"> by producing a score between 0 and 1</w:t>
      </w:r>
      <w:r w:rsidR="005D4F6B" w:rsidRPr="00FC1F1E">
        <w:rPr>
          <w:rFonts w:ascii="Arial" w:hAnsi="Arial" w:cs="Arial"/>
          <w:sz w:val="22"/>
          <w:szCs w:val="22"/>
        </w:rPr>
        <w:t xml:space="preserve">. </w:t>
      </w:r>
      <w:r w:rsidR="00C20469" w:rsidRPr="00FC1F1E">
        <w:rPr>
          <w:rFonts w:ascii="Arial" w:hAnsi="Arial" w:cs="Arial"/>
          <w:sz w:val="22"/>
          <w:szCs w:val="22"/>
        </w:rPr>
        <w:t>The</w:t>
      </w:r>
      <w:r w:rsidRPr="00FC1F1E">
        <w:rPr>
          <w:rFonts w:ascii="Arial" w:hAnsi="Arial" w:cs="Arial"/>
          <w:sz w:val="22"/>
          <w:szCs w:val="22"/>
        </w:rPr>
        <w:t>se</w:t>
      </w:r>
      <w:r w:rsidR="00C20469" w:rsidRPr="00FC1F1E">
        <w:rPr>
          <w:rFonts w:ascii="Arial" w:hAnsi="Arial" w:cs="Arial"/>
          <w:sz w:val="22"/>
          <w:szCs w:val="22"/>
        </w:rPr>
        <w:t xml:space="preserve"> scores can be use</w:t>
      </w:r>
      <w:r w:rsidR="001616BD" w:rsidRPr="00FC1F1E">
        <w:rPr>
          <w:rFonts w:ascii="Arial" w:hAnsi="Arial" w:cs="Arial"/>
          <w:sz w:val="22"/>
          <w:szCs w:val="22"/>
        </w:rPr>
        <w:t xml:space="preserve">d </w:t>
      </w:r>
      <w:r w:rsidR="00C20469" w:rsidRPr="00FC1F1E">
        <w:rPr>
          <w:rFonts w:ascii="Arial" w:hAnsi="Arial" w:cs="Arial"/>
          <w:sz w:val="22"/>
          <w:szCs w:val="22"/>
        </w:rPr>
        <w:t>to compare the relative likelihood of re-offending either over time or between differen</w:t>
      </w:r>
      <w:r w:rsidR="001616BD" w:rsidRPr="00FC1F1E">
        <w:rPr>
          <w:rFonts w:ascii="Arial" w:hAnsi="Arial" w:cs="Arial"/>
          <w:sz w:val="22"/>
          <w:szCs w:val="22"/>
        </w:rPr>
        <w:t xml:space="preserve">t </w:t>
      </w:r>
      <w:r w:rsidR="00C20469" w:rsidRPr="00FC1F1E">
        <w:rPr>
          <w:rFonts w:ascii="Arial" w:hAnsi="Arial" w:cs="Arial"/>
          <w:sz w:val="22"/>
          <w:szCs w:val="22"/>
        </w:rPr>
        <w:t xml:space="preserve">groups of offenders, with a higher/lower rate meaning a group of offenders who are more/less likely to re-offend. For example if </w:t>
      </w:r>
      <w:r w:rsidR="00C17543">
        <w:rPr>
          <w:rFonts w:ascii="Arial" w:hAnsi="Arial" w:cs="Arial"/>
          <w:sz w:val="22"/>
          <w:szCs w:val="22"/>
        </w:rPr>
        <w:t>offender group</w:t>
      </w:r>
      <w:r w:rsidR="00C20469" w:rsidRPr="00FC1F1E">
        <w:rPr>
          <w:rFonts w:ascii="Arial" w:hAnsi="Arial" w:cs="Arial"/>
          <w:sz w:val="22"/>
          <w:szCs w:val="22"/>
        </w:rPr>
        <w:t xml:space="preserve"> A have an average OGRS</w:t>
      </w:r>
      <w:r w:rsidR="00950866">
        <w:rPr>
          <w:rFonts w:ascii="Arial" w:hAnsi="Arial" w:cs="Arial"/>
          <w:sz w:val="22"/>
          <w:szCs w:val="22"/>
        </w:rPr>
        <w:t>4/G</w:t>
      </w:r>
      <w:r w:rsidR="00C20469" w:rsidRPr="00FC1F1E">
        <w:rPr>
          <w:rFonts w:ascii="Arial" w:hAnsi="Arial" w:cs="Arial"/>
          <w:sz w:val="22"/>
          <w:szCs w:val="22"/>
        </w:rPr>
        <w:t xml:space="preserve"> score of 0.44, and </w:t>
      </w:r>
      <w:r w:rsidR="00C17543">
        <w:rPr>
          <w:rFonts w:ascii="Arial" w:hAnsi="Arial" w:cs="Arial"/>
          <w:sz w:val="22"/>
          <w:szCs w:val="22"/>
        </w:rPr>
        <w:t>o</w:t>
      </w:r>
      <w:r w:rsidR="00C20469" w:rsidRPr="00FC1F1E">
        <w:rPr>
          <w:rFonts w:ascii="Arial" w:hAnsi="Arial" w:cs="Arial"/>
          <w:sz w:val="22"/>
          <w:szCs w:val="22"/>
        </w:rPr>
        <w:t xml:space="preserve">ffender </w:t>
      </w:r>
      <w:r w:rsidR="00C17543">
        <w:rPr>
          <w:rFonts w:ascii="Arial" w:hAnsi="Arial" w:cs="Arial"/>
          <w:sz w:val="22"/>
          <w:szCs w:val="22"/>
        </w:rPr>
        <w:t>g</w:t>
      </w:r>
      <w:r w:rsidR="00C20469" w:rsidRPr="00FC1F1E">
        <w:rPr>
          <w:rFonts w:ascii="Arial" w:hAnsi="Arial" w:cs="Arial"/>
          <w:sz w:val="22"/>
          <w:szCs w:val="22"/>
        </w:rPr>
        <w:t xml:space="preserve">roup B have an average OGRS </w:t>
      </w:r>
      <w:r w:rsidR="00950866">
        <w:rPr>
          <w:rFonts w:ascii="Arial" w:hAnsi="Arial" w:cs="Arial"/>
          <w:sz w:val="22"/>
          <w:szCs w:val="22"/>
        </w:rPr>
        <w:t xml:space="preserve">4/G </w:t>
      </w:r>
      <w:r w:rsidR="00C20469" w:rsidRPr="00FC1F1E">
        <w:rPr>
          <w:rFonts w:ascii="Arial" w:hAnsi="Arial" w:cs="Arial"/>
          <w:sz w:val="22"/>
          <w:szCs w:val="22"/>
        </w:rPr>
        <w:t xml:space="preserve">score of 0.58, this means that </w:t>
      </w:r>
      <w:r w:rsidR="00C17543">
        <w:rPr>
          <w:rFonts w:ascii="Arial" w:hAnsi="Arial" w:cs="Arial"/>
          <w:sz w:val="22"/>
          <w:szCs w:val="22"/>
        </w:rPr>
        <w:t>o</w:t>
      </w:r>
      <w:r w:rsidR="00C20469" w:rsidRPr="00FC1F1E">
        <w:rPr>
          <w:rFonts w:ascii="Arial" w:hAnsi="Arial" w:cs="Arial"/>
          <w:sz w:val="22"/>
          <w:szCs w:val="22"/>
        </w:rPr>
        <w:t xml:space="preserve">ffender </w:t>
      </w:r>
      <w:r w:rsidR="00C17543">
        <w:rPr>
          <w:rFonts w:ascii="Arial" w:hAnsi="Arial" w:cs="Arial"/>
          <w:sz w:val="22"/>
          <w:szCs w:val="22"/>
        </w:rPr>
        <w:t>g</w:t>
      </w:r>
      <w:r w:rsidR="00C20469" w:rsidRPr="00FC1F1E">
        <w:rPr>
          <w:rFonts w:ascii="Arial" w:hAnsi="Arial" w:cs="Arial"/>
          <w:sz w:val="22"/>
          <w:szCs w:val="22"/>
        </w:rPr>
        <w:t xml:space="preserve">roup A are less likely to re-offend. </w:t>
      </w:r>
    </w:p>
    <w:p w:rsidR="00C242F6" w:rsidRDefault="00C20469" w:rsidP="00331787">
      <w:pPr>
        <w:pStyle w:val="Default"/>
        <w:spacing w:before="120"/>
        <w:jc w:val="both"/>
        <w:rPr>
          <w:sz w:val="22"/>
          <w:szCs w:val="22"/>
        </w:rPr>
      </w:pPr>
      <w:r w:rsidRPr="00FC1F1E">
        <w:rPr>
          <w:sz w:val="22"/>
          <w:szCs w:val="22"/>
        </w:rPr>
        <w:t>The OGRS</w:t>
      </w:r>
      <w:r w:rsidR="00950866">
        <w:rPr>
          <w:sz w:val="22"/>
          <w:szCs w:val="22"/>
        </w:rPr>
        <w:t>4/G</w:t>
      </w:r>
      <w:r w:rsidRPr="00FC1F1E">
        <w:rPr>
          <w:sz w:val="22"/>
          <w:szCs w:val="22"/>
        </w:rPr>
        <w:t xml:space="preserve">-adjusted re-offending rate for a </w:t>
      </w:r>
      <w:r w:rsidR="00C17543">
        <w:rPr>
          <w:sz w:val="22"/>
          <w:szCs w:val="22"/>
        </w:rPr>
        <w:t xml:space="preserve">given </w:t>
      </w:r>
      <w:r w:rsidRPr="00FC1F1E">
        <w:rPr>
          <w:sz w:val="22"/>
          <w:szCs w:val="22"/>
        </w:rPr>
        <w:t>cohort</w:t>
      </w:r>
      <w:r w:rsidR="00C17543">
        <w:rPr>
          <w:sz w:val="22"/>
          <w:szCs w:val="22"/>
        </w:rPr>
        <w:t xml:space="preserve"> </w:t>
      </w:r>
      <w:r w:rsidR="00C242F6" w:rsidRPr="00FC1F1E">
        <w:rPr>
          <w:sz w:val="22"/>
          <w:szCs w:val="22"/>
        </w:rPr>
        <w:t>will be</w:t>
      </w:r>
      <w:r w:rsidRPr="00FC1F1E">
        <w:rPr>
          <w:sz w:val="22"/>
          <w:szCs w:val="22"/>
        </w:rPr>
        <w:t xml:space="preserve"> calculated</w:t>
      </w:r>
      <w:r w:rsidRPr="00C20469">
        <w:rPr>
          <w:sz w:val="22"/>
          <w:szCs w:val="22"/>
        </w:rPr>
        <w:t xml:space="preserve"> as the observed re</w:t>
      </w:r>
      <w:r w:rsidR="00A07462">
        <w:rPr>
          <w:sz w:val="22"/>
          <w:szCs w:val="22"/>
        </w:rPr>
        <w:t>-</w:t>
      </w:r>
      <w:r w:rsidRPr="00C20469">
        <w:rPr>
          <w:sz w:val="22"/>
          <w:szCs w:val="22"/>
        </w:rPr>
        <w:t xml:space="preserve">offending rate for that quarterly/annual cohort plus any </w:t>
      </w:r>
      <w:r w:rsidR="00C242F6">
        <w:rPr>
          <w:sz w:val="22"/>
          <w:szCs w:val="22"/>
        </w:rPr>
        <w:t xml:space="preserve">difference between </w:t>
      </w:r>
      <w:r w:rsidRPr="00C20469">
        <w:rPr>
          <w:sz w:val="22"/>
          <w:szCs w:val="22"/>
        </w:rPr>
        <w:t>the OGRS</w:t>
      </w:r>
      <w:r w:rsidR="00C242F6">
        <w:rPr>
          <w:sz w:val="22"/>
          <w:szCs w:val="22"/>
        </w:rPr>
        <w:t>4</w:t>
      </w:r>
      <w:r w:rsidR="00554123">
        <w:rPr>
          <w:sz w:val="22"/>
          <w:szCs w:val="22"/>
        </w:rPr>
        <w:t>/G</w:t>
      </w:r>
      <w:r w:rsidRPr="00C20469">
        <w:rPr>
          <w:sz w:val="22"/>
          <w:szCs w:val="22"/>
        </w:rPr>
        <w:t xml:space="preserve"> score </w:t>
      </w:r>
      <w:r w:rsidR="00C242F6">
        <w:rPr>
          <w:sz w:val="22"/>
          <w:szCs w:val="22"/>
        </w:rPr>
        <w:t>between that cohort and the 2011</w:t>
      </w:r>
      <w:r w:rsidRPr="00C20469">
        <w:rPr>
          <w:sz w:val="22"/>
          <w:szCs w:val="22"/>
        </w:rPr>
        <w:t xml:space="preserve"> cohort</w:t>
      </w:r>
      <w:r w:rsidR="00066098">
        <w:rPr>
          <w:sz w:val="22"/>
          <w:szCs w:val="22"/>
        </w:rPr>
        <w:t xml:space="preserve"> (see formula below)</w:t>
      </w:r>
      <w:r w:rsidR="00C17543">
        <w:rPr>
          <w:sz w:val="22"/>
          <w:szCs w:val="22"/>
        </w:rPr>
        <w:t>.</w:t>
      </w:r>
      <w:r w:rsidR="00C242F6" w:rsidRPr="00C242F6">
        <w:rPr>
          <w:sz w:val="22"/>
          <w:szCs w:val="22"/>
        </w:rPr>
        <w:t xml:space="preserve"> </w:t>
      </w:r>
      <w:r w:rsidR="00C242F6" w:rsidRPr="00C20469">
        <w:rPr>
          <w:sz w:val="22"/>
          <w:szCs w:val="22"/>
        </w:rPr>
        <w:t>This calculation effectively standardises the mix of offenders in each c</w:t>
      </w:r>
      <w:r w:rsidR="00C242F6">
        <w:rPr>
          <w:sz w:val="22"/>
          <w:szCs w:val="22"/>
        </w:rPr>
        <w:t>ohort of a given CPA to the 2011</w:t>
      </w:r>
      <w:r w:rsidR="00AB75FF">
        <w:rPr>
          <w:sz w:val="22"/>
          <w:szCs w:val="22"/>
        </w:rPr>
        <w:t xml:space="preserve"> mix for that same CPA.</w:t>
      </w:r>
    </w:p>
    <w:p w:rsidR="00AB75FF" w:rsidRDefault="00AB75FF" w:rsidP="00331787">
      <w:pPr>
        <w:pStyle w:val="Default"/>
        <w:spacing w:before="120"/>
        <w:jc w:val="both"/>
        <w:rPr>
          <w:sz w:val="22"/>
          <w:szCs w:val="22"/>
        </w:rPr>
      </w:pPr>
    </w:p>
    <w:p w:rsidR="00066098" w:rsidRPr="00066098" w:rsidRDefault="00066098" w:rsidP="00066098">
      <w:pPr>
        <w:outlineLvl w:val="0"/>
        <w:rPr>
          <w:rFonts w:ascii="Arial" w:hAnsi="Arial" w:cs="Arial"/>
          <w:i/>
          <w:sz w:val="22"/>
          <w:szCs w:val="22"/>
        </w:rPr>
      </w:pPr>
      <w:r w:rsidRPr="00066098">
        <w:rPr>
          <w:rFonts w:ascii="Arial" w:hAnsi="Arial" w:cs="Arial"/>
          <w:i/>
          <w:sz w:val="22"/>
          <w:szCs w:val="22"/>
        </w:rPr>
        <w:t xml:space="preserve">Formula for producing the OGRS4/G-adjusted binary re-offending rate for </w:t>
      </w:r>
      <w:proofErr w:type="gramStart"/>
      <w:r w:rsidRPr="00066098">
        <w:rPr>
          <w:rFonts w:ascii="Arial" w:hAnsi="Arial" w:cs="Arial"/>
          <w:i/>
          <w:sz w:val="22"/>
          <w:szCs w:val="22"/>
        </w:rPr>
        <w:t xml:space="preserve">determining  </w:t>
      </w:r>
      <w:proofErr w:type="spellStart"/>
      <w:r w:rsidRPr="00066098">
        <w:rPr>
          <w:rFonts w:ascii="Arial" w:hAnsi="Arial" w:cs="Arial"/>
          <w:i/>
          <w:sz w:val="22"/>
          <w:szCs w:val="22"/>
        </w:rPr>
        <w:t>PbR</w:t>
      </w:r>
      <w:proofErr w:type="spellEnd"/>
      <w:proofErr w:type="gramEnd"/>
      <w:r w:rsidRPr="00066098">
        <w:rPr>
          <w:rFonts w:ascii="Arial" w:hAnsi="Arial" w:cs="Arial"/>
          <w:i/>
          <w:sz w:val="22"/>
          <w:szCs w:val="22"/>
        </w:rPr>
        <w:t xml:space="preserve"> outcomes.</w:t>
      </w:r>
    </w:p>
    <w:p w:rsidR="00066098" w:rsidRPr="00066098" w:rsidRDefault="00D45487" w:rsidP="00066098">
      <w:pPr>
        <w:ind w:left="720"/>
        <w:rPr>
          <w:rFonts w:ascii="Arial" w:hAnsi="Arial" w:cs="Arial"/>
          <w:sz w:val="22"/>
          <w:szCs w:val="22"/>
        </w:rPr>
      </w:pPr>
      <w:r w:rsidRPr="00066098">
        <w:rPr>
          <w:rFonts w:ascii="Arial" w:hAnsi="Arial" w:cs="Arial"/>
          <w:position w:val="-12"/>
          <w:sz w:val="22"/>
          <w:szCs w:val="22"/>
        </w:rPr>
        <w:object w:dxaOrig="17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9pt;height:23.55pt" o:ole="" filled="t">
            <v:imagedata r:id="rId8" o:title=""/>
          </v:shape>
          <o:OLEObject Type="Embed" ProgID="Equation.3" ShapeID="_x0000_i1025" DrawAspect="Content" ObjectID="_1538987615" r:id="rId9"/>
        </w:object>
      </w:r>
    </w:p>
    <w:p w:rsidR="00066098" w:rsidRPr="00066098" w:rsidRDefault="00066098" w:rsidP="00AB75FF">
      <w:pPr>
        <w:rPr>
          <w:rFonts w:ascii="Arial" w:hAnsi="Arial" w:cs="Arial"/>
          <w:sz w:val="22"/>
          <w:szCs w:val="22"/>
        </w:rPr>
      </w:pPr>
      <w:r w:rsidRPr="00066098">
        <w:rPr>
          <w:rFonts w:ascii="Arial" w:hAnsi="Arial" w:cs="Arial"/>
          <w:sz w:val="22"/>
          <w:szCs w:val="22"/>
        </w:rPr>
        <w:t>Where</w:t>
      </w:r>
    </w:p>
    <w:p w:rsidR="00066098" w:rsidRPr="00D45487" w:rsidRDefault="00D45487" w:rsidP="00066098">
      <w:pPr>
        <w:ind w:left="720"/>
        <w:rPr>
          <w:rFonts w:ascii="Arial" w:hAnsi="Arial" w:cs="Arial"/>
          <w:i/>
          <w:sz w:val="22"/>
          <w:szCs w:val="22"/>
        </w:rPr>
      </w:pPr>
      <w:r w:rsidRPr="00D45487">
        <w:rPr>
          <w:rFonts w:ascii="Arial" w:hAnsi="Arial" w:cs="Arial"/>
          <w:position w:val="-12"/>
          <w:sz w:val="22"/>
          <w:szCs w:val="22"/>
        </w:rPr>
        <w:object w:dxaOrig="279" w:dyaOrig="460">
          <v:shape id="_x0000_i1031" type="#_x0000_t75" style="width:14.55pt;height:23.55pt" o:ole="" filled="t">
            <v:imagedata r:id="rId10" o:title=""/>
          </v:shape>
          <o:OLEObject Type="Embed" ProgID="Equation.3" ShapeID="_x0000_i1031" DrawAspect="Content" ObjectID="_1538987616" r:id="rId11"/>
        </w:object>
      </w:r>
      <w:proofErr w:type="gramStart"/>
      <w:r w:rsidR="00066098" w:rsidRPr="00D45487">
        <w:rPr>
          <w:rFonts w:ascii="Arial" w:hAnsi="Arial" w:cs="Arial"/>
          <w:sz w:val="22"/>
          <w:szCs w:val="22"/>
        </w:rPr>
        <w:t>is</w:t>
      </w:r>
      <w:proofErr w:type="gramEnd"/>
      <w:r w:rsidR="00066098" w:rsidRPr="00D45487">
        <w:rPr>
          <w:rFonts w:ascii="Arial" w:hAnsi="Arial" w:cs="Arial"/>
          <w:sz w:val="22"/>
          <w:szCs w:val="22"/>
        </w:rPr>
        <w:t xml:space="preserve"> the adjusted re-offending rate in year </w:t>
      </w:r>
      <w:r w:rsidR="00066098" w:rsidRPr="00D45487">
        <w:rPr>
          <w:rFonts w:ascii="Arial" w:hAnsi="Arial" w:cs="Arial"/>
          <w:i/>
          <w:sz w:val="22"/>
          <w:szCs w:val="22"/>
        </w:rPr>
        <w:t>x (or quarter x)</w:t>
      </w:r>
    </w:p>
    <w:p w:rsidR="00066098" w:rsidRPr="00D45487" w:rsidRDefault="00D45487" w:rsidP="00AB75FF">
      <w:pPr>
        <w:ind w:left="720"/>
        <w:rPr>
          <w:rFonts w:ascii="Arial" w:hAnsi="Arial" w:cs="Arial"/>
          <w:i/>
          <w:sz w:val="22"/>
          <w:szCs w:val="22"/>
        </w:rPr>
      </w:pPr>
      <w:r w:rsidRPr="00D45487">
        <w:rPr>
          <w:rFonts w:ascii="Arial" w:hAnsi="Arial" w:cs="Arial"/>
          <w:position w:val="-12"/>
          <w:sz w:val="22"/>
          <w:szCs w:val="22"/>
        </w:rPr>
        <w:object w:dxaOrig="240" w:dyaOrig="360">
          <v:shape id="_x0000_i1027" type="#_x0000_t75" style="width:11.75pt;height:18pt" o:ole="" filled="t">
            <v:imagedata r:id="rId12" o:title=""/>
          </v:shape>
          <o:OLEObject Type="Embed" ProgID="Equation.3" ShapeID="_x0000_i1027" DrawAspect="Content" ObjectID="_1538987617" r:id="rId13"/>
        </w:object>
      </w:r>
      <w:r w:rsidR="00066098" w:rsidRPr="00D4548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66098" w:rsidRPr="00D45487">
        <w:rPr>
          <w:rFonts w:ascii="Arial" w:hAnsi="Arial" w:cs="Arial"/>
          <w:sz w:val="22"/>
          <w:szCs w:val="22"/>
        </w:rPr>
        <w:t>is</w:t>
      </w:r>
      <w:proofErr w:type="gramEnd"/>
      <w:r w:rsidR="00066098" w:rsidRPr="00D45487">
        <w:rPr>
          <w:rFonts w:ascii="Arial" w:hAnsi="Arial" w:cs="Arial"/>
          <w:sz w:val="22"/>
          <w:szCs w:val="22"/>
        </w:rPr>
        <w:t xml:space="preserve"> the unadjusted re-offending rate in year </w:t>
      </w:r>
      <w:r w:rsidR="00066098" w:rsidRPr="00D45487">
        <w:rPr>
          <w:rFonts w:ascii="Arial" w:hAnsi="Arial" w:cs="Arial"/>
          <w:i/>
          <w:sz w:val="22"/>
          <w:szCs w:val="22"/>
        </w:rPr>
        <w:t>x (or quarter x)</w:t>
      </w:r>
    </w:p>
    <w:p w:rsidR="00066098" w:rsidRPr="00066098" w:rsidRDefault="00D45487" w:rsidP="00066098">
      <w:pPr>
        <w:ind w:left="720"/>
        <w:rPr>
          <w:rFonts w:ascii="Arial" w:hAnsi="Arial" w:cs="Arial"/>
          <w:i/>
          <w:sz w:val="22"/>
          <w:szCs w:val="22"/>
        </w:rPr>
      </w:pPr>
      <w:r w:rsidRPr="00D45487">
        <w:rPr>
          <w:rFonts w:ascii="Arial" w:hAnsi="Arial" w:cs="Arial"/>
          <w:position w:val="-12"/>
          <w:sz w:val="22"/>
          <w:szCs w:val="22"/>
        </w:rPr>
        <w:object w:dxaOrig="300" w:dyaOrig="360">
          <v:shape id="_x0000_i1028" type="#_x0000_t75" style="width:15.25pt;height:18pt" o:ole="" filled="t">
            <v:imagedata r:id="rId14" o:title=""/>
          </v:shape>
          <o:OLEObject Type="Embed" ProgID="Equation.3" ShapeID="_x0000_i1028" DrawAspect="Content" ObjectID="_1538987618" r:id="rId15"/>
        </w:object>
      </w:r>
      <w:r w:rsidR="00066098" w:rsidRPr="00D4548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66098" w:rsidRPr="00D45487">
        <w:rPr>
          <w:rFonts w:ascii="Arial" w:hAnsi="Arial" w:cs="Arial"/>
          <w:sz w:val="22"/>
          <w:szCs w:val="22"/>
        </w:rPr>
        <w:t>is</w:t>
      </w:r>
      <w:proofErr w:type="gramEnd"/>
      <w:r w:rsidR="00066098" w:rsidRPr="00D45487">
        <w:rPr>
          <w:rFonts w:ascii="Arial" w:hAnsi="Arial" w:cs="Arial"/>
          <w:sz w:val="22"/>
          <w:szCs w:val="22"/>
        </w:rPr>
        <w:t xml:space="preserve"> the</w:t>
      </w:r>
      <w:r w:rsidR="00066098" w:rsidRPr="00066098">
        <w:rPr>
          <w:rFonts w:ascii="Arial" w:hAnsi="Arial" w:cs="Arial"/>
          <w:sz w:val="22"/>
          <w:szCs w:val="22"/>
        </w:rPr>
        <w:t xml:space="preserve"> OGRS in year </w:t>
      </w:r>
      <w:r w:rsidR="00066098" w:rsidRPr="00066098">
        <w:rPr>
          <w:rFonts w:ascii="Arial" w:hAnsi="Arial" w:cs="Arial"/>
          <w:i/>
          <w:sz w:val="22"/>
          <w:szCs w:val="22"/>
        </w:rPr>
        <w:t>x</w:t>
      </w:r>
      <w:r w:rsidR="00066098">
        <w:rPr>
          <w:rFonts w:ascii="Arial" w:hAnsi="Arial" w:cs="Arial"/>
          <w:i/>
          <w:sz w:val="22"/>
          <w:szCs w:val="22"/>
        </w:rPr>
        <w:t xml:space="preserve"> (or quarter x)</w:t>
      </w:r>
    </w:p>
    <w:p w:rsidR="00066098" w:rsidRPr="00066098" w:rsidRDefault="00066098" w:rsidP="00066098">
      <w:pPr>
        <w:ind w:left="720"/>
        <w:rPr>
          <w:rFonts w:ascii="Arial" w:hAnsi="Arial" w:cs="Arial"/>
          <w:sz w:val="22"/>
          <w:szCs w:val="22"/>
        </w:rPr>
      </w:pPr>
      <w:r w:rsidRPr="00066098">
        <w:rPr>
          <w:rFonts w:ascii="Arial" w:hAnsi="Arial" w:cs="Arial"/>
          <w:i/>
          <w:sz w:val="22"/>
          <w:szCs w:val="22"/>
        </w:rPr>
        <w:t>G</w:t>
      </w:r>
      <w:r w:rsidRPr="00066098">
        <w:rPr>
          <w:rFonts w:ascii="Arial" w:hAnsi="Arial" w:cs="Arial"/>
          <w:sz w:val="22"/>
          <w:szCs w:val="22"/>
        </w:rPr>
        <w:t xml:space="preserve"> is the OGRS in the </w:t>
      </w:r>
      <w:r>
        <w:rPr>
          <w:rFonts w:ascii="Arial" w:hAnsi="Arial" w:cs="Arial"/>
          <w:sz w:val="22"/>
          <w:szCs w:val="22"/>
        </w:rPr>
        <w:t>baseline</w:t>
      </w:r>
      <w:r w:rsidRPr="00066098">
        <w:rPr>
          <w:rFonts w:ascii="Arial" w:hAnsi="Arial" w:cs="Arial"/>
          <w:sz w:val="22"/>
          <w:szCs w:val="22"/>
        </w:rPr>
        <w:t xml:space="preserve"> year (2011)</w:t>
      </w:r>
    </w:p>
    <w:p w:rsidR="0015725A" w:rsidRPr="00AB75FF" w:rsidRDefault="0015725A" w:rsidP="00AB75FF">
      <w:pPr>
        <w:pStyle w:val="Default"/>
        <w:spacing w:before="120"/>
        <w:jc w:val="both"/>
        <w:rPr>
          <w:sz w:val="22"/>
          <w:szCs w:val="22"/>
        </w:rPr>
      </w:pPr>
    </w:p>
    <w:p w:rsidR="003D0A84" w:rsidRPr="00AB75FF" w:rsidRDefault="00A97BBF" w:rsidP="00AB75FF">
      <w:pPr>
        <w:spacing w:before="120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AB75FF">
        <w:rPr>
          <w:rFonts w:ascii="Arial" w:hAnsi="Arial" w:cs="Arial"/>
          <w:b/>
          <w:i/>
          <w:sz w:val="22"/>
          <w:szCs w:val="22"/>
        </w:rPr>
        <w:t>R</w:t>
      </w:r>
      <w:r w:rsidR="008C5B57" w:rsidRPr="00AB75FF">
        <w:rPr>
          <w:rFonts w:ascii="Arial" w:hAnsi="Arial" w:cs="Arial"/>
          <w:b/>
          <w:i/>
          <w:sz w:val="22"/>
          <w:szCs w:val="22"/>
        </w:rPr>
        <w:t>e-offending baselines</w:t>
      </w:r>
    </w:p>
    <w:p w:rsidR="00B86E56" w:rsidRPr="005D78C2" w:rsidRDefault="00434B00" w:rsidP="00126390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126390">
        <w:rPr>
          <w:rFonts w:ascii="Arial" w:hAnsi="Arial" w:cs="Arial"/>
          <w:sz w:val="22"/>
          <w:szCs w:val="22"/>
        </w:rPr>
        <w:t xml:space="preserve">In order to determine </w:t>
      </w:r>
      <w:proofErr w:type="spellStart"/>
      <w:r w:rsidRPr="00126390">
        <w:rPr>
          <w:rFonts w:ascii="Arial" w:hAnsi="Arial" w:cs="Arial"/>
          <w:sz w:val="22"/>
          <w:szCs w:val="22"/>
        </w:rPr>
        <w:t>PbR</w:t>
      </w:r>
      <w:proofErr w:type="spellEnd"/>
      <w:r w:rsidRPr="00126390">
        <w:rPr>
          <w:rFonts w:ascii="Arial" w:hAnsi="Arial" w:cs="Arial"/>
          <w:sz w:val="22"/>
          <w:szCs w:val="22"/>
        </w:rPr>
        <w:t xml:space="preserve"> outcome payments, t</w:t>
      </w:r>
      <w:r w:rsidR="00F03AF5" w:rsidRPr="00126390">
        <w:rPr>
          <w:rFonts w:ascii="Arial" w:hAnsi="Arial" w:cs="Arial"/>
          <w:sz w:val="22"/>
          <w:szCs w:val="22"/>
        </w:rPr>
        <w:t xml:space="preserve">he re-offending outcomes produced as </w:t>
      </w:r>
      <w:r w:rsidR="00F03AF5" w:rsidRPr="005D78C2">
        <w:rPr>
          <w:rFonts w:ascii="Arial" w:hAnsi="Arial" w:cs="Arial"/>
          <w:color w:val="000000"/>
          <w:sz w:val="22"/>
          <w:szCs w:val="22"/>
        </w:rPr>
        <w:t xml:space="preserve">described above will be compared against a set of baseline </w:t>
      </w:r>
      <w:r w:rsidR="00E913C5" w:rsidRPr="005D78C2">
        <w:rPr>
          <w:rFonts w:ascii="Arial" w:hAnsi="Arial" w:cs="Arial"/>
          <w:color w:val="000000"/>
          <w:sz w:val="22"/>
          <w:szCs w:val="22"/>
        </w:rPr>
        <w:t>re-offending outcomes</w:t>
      </w:r>
      <w:r w:rsidR="00F03AF5" w:rsidRPr="005D78C2">
        <w:rPr>
          <w:rFonts w:ascii="Arial" w:hAnsi="Arial" w:cs="Arial"/>
          <w:color w:val="000000"/>
          <w:sz w:val="22"/>
          <w:szCs w:val="22"/>
        </w:rPr>
        <w:t xml:space="preserve"> calculated from </w:t>
      </w:r>
      <w:r w:rsidRPr="005D78C2">
        <w:rPr>
          <w:rFonts w:ascii="Arial" w:hAnsi="Arial" w:cs="Arial"/>
          <w:color w:val="000000"/>
          <w:sz w:val="22"/>
          <w:szCs w:val="22"/>
        </w:rPr>
        <w:t>2011 data</w:t>
      </w:r>
      <w:r w:rsidR="00126390" w:rsidRPr="005D78C2">
        <w:rPr>
          <w:rFonts w:ascii="Arial" w:hAnsi="Arial" w:cs="Arial"/>
          <w:color w:val="000000"/>
          <w:sz w:val="22"/>
          <w:szCs w:val="22"/>
        </w:rPr>
        <w:t xml:space="preserve">. </w:t>
      </w:r>
      <w:r w:rsidR="002A3126" w:rsidRPr="005D78C2">
        <w:rPr>
          <w:rFonts w:ascii="Arial" w:hAnsi="Arial" w:cs="Arial"/>
          <w:color w:val="000000"/>
          <w:sz w:val="22"/>
          <w:szCs w:val="22"/>
        </w:rPr>
        <w:t xml:space="preserve">The difference between the re-offending outcomes for a given </w:t>
      </w:r>
      <w:proofErr w:type="spellStart"/>
      <w:r w:rsidR="002A3126" w:rsidRPr="005D78C2">
        <w:rPr>
          <w:rFonts w:ascii="Arial" w:hAnsi="Arial" w:cs="Arial"/>
          <w:color w:val="000000"/>
          <w:sz w:val="22"/>
          <w:szCs w:val="22"/>
        </w:rPr>
        <w:t>PbR</w:t>
      </w:r>
      <w:proofErr w:type="spellEnd"/>
      <w:r w:rsidR="002A3126" w:rsidRPr="005D78C2">
        <w:rPr>
          <w:rFonts w:ascii="Arial" w:hAnsi="Arial" w:cs="Arial"/>
          <w:color w:val="000000"/>
          <w:sz w:val="22"/>
          <w:szCs w:val="22"/>
        </w:rPr>
        <w:t xml:space="preserve"> cohort in a given CPA and the 2011 baseline re-offending outcomes for the same CPA will determine the </w:t>
      </w:r>
      <w:proofErr w:type="spellStart"/>
      <w:r w:rsidR="002A3126" w:rsidRPr="005D78C2">
        <w:rPr>
          <w:rFonts w:ascii="Arial" w:hAnsi="Arial" w:cs="Arial"/>
          <w:color w:val="000000"/>
          <w:sz w:val="22"/>
          <w:szCs w:val="22"/>
        </w:rPr>
        <w:t>PbR</w:t>
      </w:r>
      <w:proofErr w:type="spellEnd"/>
      <w:r w:rsidR="002A3126" w:rsidRPr="005D78C2">
        <w:rPr>
          <w:rFonts w:ascii="Arial" w:hAnsi="Arial" w:cs="Arial"/>
          <w:color w:val="000000"/>
          <w:sz w:val="22"/>
          <w:szCs w:val="22"/>
        </w:rPr>
        <w:t xml:space="preserve"> outcome payment. </w:t>
      </w:r>
      <w:r w:rsidR="00F539D4" w:rsidRPr="005D78C2">
        <w:rPr>
          <w:rFonts w:ascii="Arial" w:hAnsi="Arial" w:cs="Arial"/>
          <w:color w:val="000000"/>
          <w:sz w:val="22"/>
          <w:szCs w:val="22"/>
        </w:rPr>
        <w:t xml:space="preserve">These baselines are final and definitive. </w:t>
      </w:r>
    </w:p>
    <w:p w:rsidR="003D0A84" w:rsidRPr="005D78C2" w:rsidRDefault="004775DB" w:rsidP="005D78C2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D78C2">
        <w:rPr>
          <w:rFonts w:ascii="Arial" w:hAnsi="Arial" w:cs="Arial"/>
          <w:color w:val="000000"/>
          <w:sz w:val="22"/>
          <w:szCs w:val="22"/>
        </w:rPr>
        <w:t xml:space="preserve">While </w:t>
      </w:r>
      <w:r w:rsidR="00126390" w:rsidRPr="005D78C2">
        <w:rPr>
          <w:rFonts w:ascii="Arial" w:hAnsi="Arial" w:cs="Arial"/>
          <w:color w:val="000000"/>
          <w:sz w:val="22"/>
          <w:szCs w:val="22"/>
        </w:rPr>
        <w:t>they are based on observed data, some aspects had to be modelle</w:t>
      </w:r>
      <w:r w:rsidR="0077579C" w:rsidRPr="005D78C2">
        <w:rPr>
          <w:rFonts w:ascii="Arial" w:hAnsi="Arial" w:cs="Arial"/>
          <w:color w:val="000000"/>
          <w:sz w:val="22"/>
          <w:szCs w:val="22"/>
        </w:rPr>
        <w:t xml:space="preserve">d using </w:t>
      </w:r>
      <w:r w:rsidR="00E913C5" w:rsidRPr="005D78C2">
        <w:rPr>
          <w:rFonts w:ascii="Arial" w:hAnsi="Arial" w:cs="Arial"/>
          <w:color w:val="000000"/>
          <w:sz w:val="22"/>
          <w:szCs w:val="22"/>
        </w:rPr>
        <w:t xml:space="preserve">the </w:t>
      </w:r>
      <w:r w:rsidR="0077579C" w:rsidRPr="005D78C2">
        <w:rPr>
          <w:rFonts w:ascii="Arial" w:hAnsi="Arial" w:cs="Arial"/>
          <w:color w:val="000000"/>
          <w:sz w:val="22"/>
          <w:szCs w:val="22"/>
        </w:rPr>
        <w:t xml:space="preserve">best available evidence. </w:t>
      </w:r>
      <w:r w:rsidR="00126390" w:rsidRPr="005D78C2">
        <w:rPr>
          <w:rFonts w:ascii="Arial" w:hAnsi="Arial" w:cs="Arial"/>
          <w:color w:val="000000"/>
          <w:sz w:val="22"/>
          <w:szCs w:val="22"/>
        </w:rPr>
        <w:t xml:space="preserve">For more detailed information on </w:t>
      </w:r>
      <w:r w:rsidR="00F539D4" w:rsidRPr="005D78C2">
        <w:rPr>
          <w:rFonts w:ascii="Arial" w:hAnsi="Arial" w:cs="Arial"/>
          <w:color w:val="000000"/>
          <w:sz w:val="22"/>
          <w:szCs w:val="22"/>
        </w:rPr>
        <w:t>how</w:t>
      </w:r>
      <w:r w:rsidR="00126390" w:rsidRPr="005D78C2">
        <w:rPr>
          <w:rFonts w:ascii="Arial" w:hAnsi="Arial" w:cs="Arial"/>
          <w:color w:val="000000"/>
          <w:sz w:val="22"/>
          <w:szCs w:val="22"/>
        </w:rPr>
        <w:t xml:space="preserve"> these baselines </w:t>
      </w:r>
      <w:r w:rsidR="00F539D4" w:rsidRPr="005D78C2">
        <w:rPr>
          <w:rFonts w:ascii="Arial" w:hAnsi="Arial" w:cs="Arial"/>
          <w:color w:val="000000"/>
          <w:sz w:val="22"/>
          <w:szCs w:val="22"/>
        </w:rPr>
        <w:t xml:space="preserve">were calculated </w:t>
      </w:r>
      <w:r w:rsidR="00126390" w:rsidRPr="005D78C2">
        <w:rPr>
          <w:rFonts w:ascii="Arial" w:hAnsi="Arial" w:cs="Arial"/>
          <w:color w:val="000000"/>
          <w:sz w:val="22"/>
          <w:szCs w:val="22"/>
        </w:rPr>
        <w:t xml:space="preserve">please see the document </w:t>
      </w:r>
      <w:r w:rsidR="00126390" w:rsidRPr="005D78C2">
        <w:rPr>
          <w:rFonts w:ascii="Arial" w:hAnsi="Arial" w:cs="Arial"/>
          <w:i/>
          <w:color w:val="000000"/>
          <w:sz w:val="22"/>
          <w:szCs w:val="22"/>
        </w:rPr>
        <w:t xml:space="preserve">Methodology for the </w:t>
      </w:r>
      <w:proofErr w:type="spellStart"/>
      <w:r w:rsidR="00126390" w:rsidRPr="005D78C2">
        <w:rPr>
          <w:rFonts w:ascii="Arial" w:hAnsi="Arial" w:cs="Arial"/>
          <w:i/>
          <w:color w:val="000000"/>
          <w:sz w:val="22"/>
          <w:szCs w:val="22"/>
        </w:rPr>
        <w:t>PbR</w:t>
      </w:r>
      <w:proofErr w:type="spellEnd"/>
      <w:r w:rsidR="00126390" w:rsidRPr="005D78C2">
        <w:rPr>
          <w:rFonts w:ascii="Arial" w:hAnsi="Arial" w:cs="Arial"/>
          <w:i/>
          <w:color w:val="000000"/>
          <w:sz w:val="22"/>
          <w:szCs w:val="22"/>
        </w:rPr>
        <w:t xml:space="preserve"> re-offending baselines</w:t>
      </w:r>
      <w:r w:rsidR="00126390" w:rsidRPr="005D78C2">
        <w:rPr>
          <w:rFonts w:ascii="Arial" w:hAnsi="Arial" w:cs="Arial"/>
          <w:color w:val="000000"/>
          <w:sz w:val="22"/>
          <w:szCs w:val="22"/>
        </w:rPr>
        <w:t>.</w:t>
      </w:r>
      <w:r w:rsidR="003B3F48" w:rsidRPr="005D78C2">
        <w:rPr>
          <w:rFonts w:ascii="Arial" w:hAnsi="Arial" w:cs="Arial"/>
          <w:color w:val="000000"/>
          <w:sz w:val="22"/>
          <w:szCs w:val="22"/>
        </w:rPr>
        <w:t xml:space="preserve"> This is available </w:t>
      </w:r>
      <w:r w:rsidR="005D78C2" w:rsidRPr="005D78C2">
        <w:rPr>
          <w:rFonts w:ascii="Arial" w:hAnsi="Arial" w:cs="Arial"/>
          <w:color w:val="000000"/>
          <w:sz w:val="22"/>
          <w:szCs w:val="22"/>
        </w:rPr>
        <w:t>in the TR data room.</w:t>
      </w:r>
    </w:p>
    <w:sectPr w:rsidR="003D0A84" w:rsidRPr="005D78C2">
      <w:footerReference w:type="even" r:id="rId16"/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9C" w:rsidRDefault="002C4C9C">
      <w:r>
        <w:separator/>
      </w:r>
    </w:p>
  </w:endnote>
  <w:endnote w:type="continuationSeparator" w:id="0">
    <w:p w:rsidR="002C4C9C" w:rsidRDefault="002C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C9C" w:rsidRDefault="002C4C9C" w:rsidP="00A224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4C9C" w:rsidRDefault="002C4C9C" w:rsidP="002B7F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C9C" w:rsidRDefault="002C4C9C" w:rsidP="00A224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920">
      <w:rPr>
        <w:rStyle w:val="PageNumber"/>
        <w:noProof/>
      </w:rPr>
      <w:t>4</w:t>
    </w:r>
    <w:r>
      <w:rPr>
        <w:rStyle w:val="PageNumber"/>
      </w:rPr>
      <w:fldChar w:fldCharType="end"/>
    </w:r>
  </w:p>
  <w:p w:rsidR="002C4C9C" w:rsidRDefault="002C4C9C" w:rsidP="002B7F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9C" w:rsidRDefault="002C4C9C">
      <w:r>
        <w:separator/>
      </w:r>
    </w:p>
  </w:footnote>
  <w:footnote w:type="continuationSeparator" w:id="0">
    <w:p w:rsidR="002C4C9C" w:rsidRDefault="002C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28BF"/>
    <w:multiLevelType w:val="hybridMultilevel"/>
    <w:tmpl w:val="7A768F1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D0AC1"/>
    <w:multiLevelType w:val="hybridMultilevel"/>
    <w:tmpl w:val="95E27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21302"/>
    <w:multiLevelType w:val="hybridMultilevel"/>
    <w:tmpl w:val="F0627C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E242B"/>
    <w:multiLevelType w:val="multilevel"/>
    <w:tmpl w:val="E3CE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FA2363"/>
    <w:multiLevelType w:val="hybridMultilevel"/>
    <w:tmpl w:val="731C83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B5C06"/>
    <w:multiLevelType w:val="hybridMultilevel"/>
    <w:tmpl w:val="54D84DB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822A59"/>
    <w:multiLevelType w:val="hybridMultilevel"/>
    <w:tmpl w:val="E9306F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D601A"/>
    <w:multiLevelType w:val="hybridMultilevel"/>
    <w:tmpl w:val="27B4A5E4"/>
    <w:lvl w:ilvl="0" w:tplc="ECB448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8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50"/>
    <w:rsid w:val="0000001A"/>
    <w:rsid w:val="0001741A"/>
    <w:rsid w:val="00030694"/>
    <w:rsid w:val="00033861"/>
    <w:rsid w:val="000526D6"/>
    <w:rsid w:val="00060B5F"/>
    <w:rsid w:val="00066098"/>
    <w:rsid w:val="00066E6A"/>
    <w:rsid w:val="00074C05"/>
    <w:rsid w:val="000A1062"/>
    <w:rsid w:val="000A39B1"/>
    <w:rsid w:val="000B28E7"/>
    <w:rsid w:val="000B6773"/>
    <w:rsid w:val="000B7713"/>
    <w:rsid w:val="000B7D2A"/>
    <w:rsid w:val="000C342C"/>
    <w:rsid w:val="000E2A94"/>
    <w:rsid w:val="000F03CF"/>
    <w:rsid w:val="000F420D"/>
    <w:rsid w:val="000F4821"/>
    <w:rsid w:val="0010143E"/>
    <w:rsid w:val="0011719F"/>
    <w:rsid w:val="0012468D"/>
    <w:rsid w:val="00126390"/>
    <w:rsid w:val="001329BF"/>
    <w:rsid w:val="00140865"/>
    <w:rsid w:val="001527FD"/>
    <w:rsid w:val="0015725A"/>
    <w:rsid w:val="001616BD"/>
    <w:rsid w:val="00173EC6"/>
    <w:rsid w:val="001961CC"/>
    <w:rsid w:val="001A2414"/>
    <w:rsid w:val="001A67B3"/>
    <w:rsid w:val="001C6698"/>
    <w:rsid w:val="001D659B"/>
    <w:rsid w:val="001F0EC2"/>
    <w:rsid w:val="001F5920"/>
    <w:rsid w:val="00227E34"/>
    <w:rsid w:val="002323F8"/>
    <w:rsid w:val="0023557B"/>
    <w:rsid w:val="00236AF4"/>
    <w:rsid w:val="002411C9"/>
    <w:rsid w:val="00255ED1"/>
    <w:rsid w:val="00260DAE"/>
    <w:rsid w:val="00265AF9"/>
    <w:rsid w:val="00266A73"/>
    <w:rsid w:val="002718D8"/>
    <w:rsid w:val="00272A8D"/>
    <w:rsid w:val="002A130C"/>
    <w:rsid w:val="002A3126"/>
    <w:rsid w:val="002A57A4"/>
    <w:rsid w:val="002B08A5"/>
    <w:rsid w:val="002B7F49"/>
    <w:rsid w:val="002C4B9E"/>
    <w:rsid w:val="002C4C9C"/>
    <w:rsid w:val="002D052B"/>
    <w:rsid w:val="00330059"/>
    <w:rsid w:val="00331787"/>
    <w:rsid w:val="00335FA2"/>
    <w:rsid w:val="00336530"/>
    <w:rsid w:val="00337685"/>
    <w:rsid w:val="003476F9"/>
    <w:rsid w:val="00374672"/>
    <w:rsid w:val="003B3F48"/>
    <w:rsid w:val="003B43C4"/>
    <w:rsid w:val="003D0A84"/>
    <w:rsid w:val="003F40EE"/>
    <w:rsid w:val="00425175"/>
    <w:rsid w:val="00430C43"/>
    <w:rsid w:val="00431387"/>
    <w:rsid w:val="00432E11"/>
    <w:rsid w:val="00434B00"/>
    <w:rsid w:val="00443620"/>
    <w:rsid w:val="0044732B"/>
    <w:rsid w:val="0047297C"/>
    <w:rsid w:val="004775DB"/>
    <w:rsid w:val="004803E5"/>
    <w:rsid w:val="00482AE0"/>
    <w:rsid w:val="004A1A99"/>
    <w:rsid w:val="004B08E8"/>
    <w:rsid w:val="004C249C"/>
    <w:rsid w:val="004C38A4"/>
    <w:rsid w:val="004D19E4"/>
    <w:rsid w:val="004D1B32"/>
    <w:rsid w:val="004E2BD9"/>
    <w:rsid w:val="004E683C"/>
    <w:rsid w:val="004F2A73"/>
    <w:rsid w:val="005008D7"/>
    <w:rsid w:val="00510C4B"/>
    <w:rsid w:val="00516E6C"/>
    <w:rsid w:val="00535034"/>
    <w:rsid w:val="00554123"/>
    <w:rsid w:val="005745B7"/>
    <w:rsid w:val="005921CD"/>
    <w:rsid w:val="0059344F"/>
    <w:rsid w:val="005941D8"/>
    <w:rsid w:val="005D2F1C"/>
    <w:rsid w:val="005D4F6B"/>
    <w:rsid w:val="005D52E0"/>
    <w:rsid w:val="005D78C2"/>
    <w:rsid w:val="005F1E09"/>
    <w:rsid w:val="005F22F7"/>
    <w:rsid w:val="005F311F"/>
    <w:rsid w:val="005F7B87"/>
    <w:rsid w:val="00600425"/>
    <w:rsid w:val="00613818"/>
    <w:rsid w:val="0061663A"/>
    <w:rsid w:val="00617CDD"/>
    <w:rsid w:val="00636B14"/>
    <w:rsid w:val="00652D70"/>
    <w:rsid w:val="006558C1"/>
    <w:rsid w:val="00685E2E"/>
    <w:rsid w:val="00685E7E"/>
    <w:rsid w:val="006A5BCA"/>
    <w:rsid w:val="006B648F"/>
    <w:rsid w:val="006E1B08"/>
    <w:rsid w:val="006F7201"/>
    <w:rsid w:val="0070728F"/>
    <w:rsid w:val="00714572"/>
    <w:rsid w:val="00750345"/>
    <w:rsid w:val="0076681C"/>
    <w:rsid w:val="00770626"/>
    <w:rsid w:val="00773B59"/>
    <w:rsid w:val="0077579C"/>
    <w:rsid w:val="00792AD8"/>
    <w:rsid w:val="007A35DA"/>
    <w:rsid w:val="00813FC8"/>
    <w:rsid w:val="00822344"/>
    <w:rsid w:val="00841CF4"/>
    <w:rsid w:val="0085179B"/>
    <w:rsid w:val="00863459"/>
    <w:rsid w:val="00880989"/>
    <w:rsid w:val="008867A6"/>
    <w:rsid w:val="008939D3"/>
    <w:rsid w:val="00893C96"/>
    <w:rsid w:val="008B19DF"/>
    <w:rsid w:val="008C5B57"/>
    <w:rsid w:val="008D27F0"/>
    <w:rsid w:val="008F06E2"/>
    <w:rsid w:val="00900D85"/>
    <w:rsid w:val="00907A8F"/>
    <w:rsid w:val="00923D28"/>
    <w:rsid w:val="009266C8"/>
    <w:rsid w:val="00950866"/>
    <w:rsid w:val="00960E02"/>
    <w:rsid w:val="0098568C"/>
    <w:rsid w:val="00991F7A"/>
    <w:rsid w:val="00995A66"/>
    <w:rsid w:val="009A6374"/>
    <w:rsid w:val="009B102D"/>
    <w:rsid w:val="009B2383"/>
    <w:rsid w:val="009B5CE6"/>
    <w:rsid w:val="009B639C"/>
    <w:rsid w:val="009C5A04"/>
    <w:rsid w:val="00A07462"/>
    <w:rsid w:val="00A2240A"/>
    <w:rsid w:val="00A22F47"/>
    <w:rsid w:val="00A306C6"/>
    <w:rsid w:val="00A41F73"/>
    <w:rsid w:val="00A520C2"/>
    <w:rsid w:val="00A6396D"/>
    <w:rsid w:val="00A63C57"/>
    <w:rsid w:val="00A65308"/>
    <w:rsid w:val="00A720E1"/>
    <w:rsid w:val="00A75024"/>
    <w:rsid w:val="00A8637F"/>
    <w:rsid w:val="00A97BBF"/>
    <w:rsid w:val="00AB75FF"/>
    <w:rsid w:val="00AC393B"/>
    <w:rsid w:val="00AE3343"/>
    <w:rsid w:val="00AF62B7"/>
    <w:rsid w:val="00B439AB"/>
    <w:rsid w:val="00B51CED"/>
    <w:rsid w:val="00B63ABE"/>
    <w:rsid w:val="00B82D77"/>
    <w:rsid w:val="00B86E56"/>
    <w:rsid w:val="00B9799B"/>
    <w:rsid w:val="00BD563D"/>
    <w:rsid w:val="00C10E36"/>
    <w:rsid w:val="00C12CBD"/>
    <w:rsid w:val="00C1346A"/>
    <w:rsid w:val="00C17543"/>
    <w:rsid w:val="00C20469"/>
    <w:rsid w:val="00C242F6"/>
    <w:rsid w:val="00C27C24"/>
    <w:rsid w:val="00C30ECE"/>
    <w:rsid w:val="00C32540"/>
    <w:rsid w:val="00C46029"/>
    <w:rsid w:val="00C50649"/>
    <w:rsid w:val="00C639D9"/>
    <w:rsid w:val="00C63C9E"/>
    <w:rsid w:val="00C70E55"/>
    <w:rsid w:val="00C745E4"/>
    <w:rsid w:val="00C865C1"/>
    <w:rsid w:val="00C94CF8"/>
    <w:rsid w:val="00CA0474"/>
    <w:rsid w:val="00CA3053"/>
    <w:rsid w:val="00CB1CE3"/>
    <w:rsid w:val="00CE4055"/>
    <w:rsid w:val="00CF15A5"/>
    <w:rsid w:val="00CF3BA3"/>
    <w:rsid w:val="00CF4CD9"/>
    <w:rsid w:val="00D02BEE"/>
    <w:rsid w:val="00D204D3"/>
    <w:rsid w:val="00D2439E"/>
    <w:rsid w:val="00D32671"/>
    <w:rsid w:val="00D45487"/>
    <w:rsid w:val="00D6269A"/>
    <w:rsid w:val="00D64C78"/>
    <w:rsid w:val="00D80714"/>
    <w:rsid w:val="00D80F20"/>
    <w:rsid w:val="00D81BB7"/>
    <w:rsid w:val="00D91793"/>
    <w:rsid w:val="00D97E90"/>
    <w:rsid w:val="00DA6C50"/>
    <w:rsid w:val="00DB7466"/>
    <w:rsid w:val="00DF21DB"/>
    <w:rsid w:val="00E15550"/>
    <w:rsid w:val="00E31BE3"/>
    <w:rsid w:val="00E335FD"/>
    <w:rsid w:val="00E437CD"/>
    <w:rsid w:val="00E51348"/>
    <w:rsid w:val="00E52316"/>
    <w:rsid w:val="00E53DDA"/>
    <w:rsid w:val="00E54738"/>
    <w:rsid w:val="00E82975"/>
    <w:rsid w:val="00E913C5"/>
    <w:rsid w:val="00EA5B6A"/>
    <w:rsid w:val="00EB4424"/>
    <w:rsid w:val="00EC12D9"/>
    <w:rsid w:val="00EC13CB"/>
    <w:rsid w:val="00EC7E84"/>
    <w:rsid w:val="00ED2E38"/>
    <w:rsid w:val="00ED547B"/>
    <w:rsid w:val="00EF48AE"/>
    <w:rsid w:val="00F0055E"/>
    <w:rsid w:val="00F03AF5"/>
    <w:rsid w:val="00F13C18"/>
    <w:rsid w:val="00F203A2"/>
    <w:rsid w:val="00F213AA"/>
    <w:rsid w:val="00F2488A"/>
    <w:rsid w:val="00F539D4"/>
    <w:rsid w:val="00F76EC3"/>
    <w:rsid w:val="00F77F0B"/>
    <w:rsid w:val="00F83E45"/>
    <w:rsid w:val="00F93A1F"/>
    <w:rsid w:val="00FA506A"/>
    <w:rsid w:val="00FA7F97"/>
    <w:rsid w:val="00FC1F1E"/>
    <w:rsid w:val="00FD0AA5"/>
    <w:rsid w:val="00FE5E94"/>
    <w:rsid w:val="00FE6135"/>
    <w:rsid w:val="00FF1CA4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60B5F"/>
    <w:rPr>
      <w:sz w:val="16"/>
      <w:szCs w:val="16"/>
    </w:rPr>
  </w:style>
  <w:style w:type="paragraph" w:styleId="CommentText">
    <w:name w:val="annotation text"/>
    <w:basedOn w:val="Normal"/>
    <w:semiHidden/>
    <w:rsid w:val="00060B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0B5F"/>
    <w:rPr>
      <w:b/>
      <w:bCs/>
    </w:rPr>
  </w:style>
  <w:style w:type="paragraph" w:styleId="BalloonText">
    <w:name w:val="Balloon Text"/>
    <w:basedOn w:val="Normal"/>
    <w:semiHidden/>
    <w:rsid w:val="00060B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0AA5"/>
    <w:rPr>
      <w:color w:val="0000FF"/>
      <w:u w:val="single"/>
    </w:rPr>
  </w:style>
  <w:style w:type="paragraph" w:customStyle="1" w:styleId="Default">
    <w:name w:val="Default"/>
    <w:rsid w:val="00C204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8867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2B7F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7F49"/>
  </w:style>
  <w:style w:type="paragraph" w:styleId="FootnoteText">
    <w:name w:val="footnote text"/>
    <w:basedOn w:val="Normal"/>
    <w:semiHidden/>
    <w:rsid w:val="004B08E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B0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proven-reoffending-statistics" TargetMode="Externa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1805</Words>
  <Characters>9464</Characters>
  <Application>Microsoft Office Word</Application>
  <DocSecurity>2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Links>
    <vt:vector size="6" baseType="variant"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https://www.gov.uk/government/collections/proven-reoffending-statistics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2014-05-02T16:14:00Z</cp:lastPrinted>
  <dcterms:created xsi:type="dcterms:W3CDTF">2016-10-26T10:42:00Z</dcterms:created>
  <dcterms:modified xsi:type="dcterms:W3CDTF">2016-10-26T10:47:00Z</dcterms:modified>
</cp:coreProperties>
</file>