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2100"/>
        <w:gridCol w:w="956"/>
        <w:gridCol w:w="2003"/>
        <w:gridCol w:w="1055"/>
        <w:gridCol w:w="533"/>
        <w:gridCol w:w="3812"/>
      </w:tblGrid>
      <w:tr w:rsidR="00695665" w14:paraId="3A3EBBEB" w14:textId="77777777" w:rsidTr="00CF66F0">
        <w:trPr>
          <w:trHeight w:hRule="exact" w:val="377"/>
        </w:trPr>
        <w:tc>
          <w:tcPr>
            <w:tcW w:w="3056" w:type="dxa"/>
            <w:gridSpan w:val="2"/>
            <w:tcBorders>
              <w:top w:val="single" w:sz="4" w:space="0" w:color="002F5F"/>
              <w:left w:val="single" w:sz="4" w:space="0" w:color="002F5F"/>
              <w:bottom w:val="single" w:sz="4" w:space="0" w:color="002F5F"/>
              <w:right w:val="single" w:sz="4" w:space="0" w:color="002F5F"/>
            </w:tcBorders>
            <w:shd w:val="clear" w:color="auto" w:fill="002F5F"/>
            <w:vAlign w:val="center"/>
          </w:tcPr>
          <w:p w14:paraId="719F11B4" w14:textId="2B266FE4" w:rsidR="00695665" w:rsidRPr="00397C64" w:rsidRDefault="00695665" w:rsidP="00BA1A95">
            <w:pPr>
              <w:jc w:val="left"/>
            </w:pPr>
          </w:p>
        </w:tc>
        <w:tc>
          <w:tcPr>
            <w:tcW w:w="3058" w:type="dxa"/>
            <w:gridSpan w:val="2"/>
            <w:tcBorders>
              <w:top w:val="single" w:sz="4" w:space="0" w:color="002F5F"/>
              <w:left w:val="single" w:sz="4" w:space="0" w:color="002F5F"/>
              <w:bottom w:val="single" w:sz="4" w:space="0" w:color="002F5F"/>
              <w:right w:val="single" w:sz="4" w:space="0" w:color="002F5F"/>
            </w:tcBorders>
            <w:shd w:val="clear" w:color="auto" w:fill="002F5F"/>
          </w:tcPr>
          <w:p w14:paraId="606E2627" w14:textId="77777777" w:rsidR="00695665" w:rsidRDefault="00695665" w:rsidP="006956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2F5F"/>
              <w:left w:val="single" w:sz="4" w:space="0" w:color="002F5F"/>
              <w:bottom w:val="single" w:sz="4" w:space="0" w:color="002F5F"/>
              <w:right w:val="single" w:sz="4" w:space="0" w:color="002F5F"/>
            </w:tcBorders>
            <w:shd w:val="clear" w:color="auto" w:fill="002F5F"/>
            <w:vAlign w:val="center"/>
          </w:tcPr>
          <w:p w14:paraId="7E771A73" w14:textId="0C636D03" w:rsidR="00695665" w:rsidRPr="00397C64" w:rsidRDefault="00A62424" w:rsidP="00EA3C7F">
            <w:pPr>
              <w:jc w:val="right"/>
            </w:pPr>
            <w:r>
              <w:rPr>
                <w:sz w:val="28"/>
                <w:szCs w:val="28"/>
              </w:rPr>
              <w:t>01 November</w:t>
            </w:r>
            <w:r w:rsidR="00695665">
              <w:rPr>
                <w:sz w:val="28"/>
                <w:szCs w:val="28"/>
              </w:rPr>
              <w:t xml:space="preserve"> 2016</w:t>
            </w:r>
          </w:p>
        </w:tc>
      </w:tr>
      <w:tr w:rsidR="00695665" w14:paraId="7E892073" w14:textId="77777777" w:rsidTr="00CF66F0">
        <w:trPr>
          <w:trHeight w:hRule="exact" w:val="57"/>
        </w:trPr>
        <w:tc>
          <w:tcPr>
            <w:tcW w:w="2100" w:type="dxa"/>
            <w:tcBorders>
              <w:top w:val="single" w:sz="4" w:space="0" w:color="FFFFFF"/>
              <w:bottom w:val="single" w:sz="4" w:space="0" w:color="008770"/>
            </w:tcBorders>
            <w:shd w:val="clear" w:color="auto" w:fill="auto"/>
          </w:tcPr>
          <w:p w14:paraId="13BBEFE1" w14:textId="77777777" w:rsidR="00695665" w:rsidRPr="00397C64" w:rsidRDefault="00695665" w:rsidP="00BA1A95"/>
        </w:tc>
        <w:tc>
          <w:tcPr>
            <w:tcW w:w="2959" w:type="dxa"/>
            <w:gridSpan w:val="2"/>
            <w:tcBorders>
              <w:top w:val="single" w:sz="4" w:space="0" w:color="FFFFFF"/>
              <w:bottom w:val="single" w:sz="4" w:space="0" w:color="008770"/>
            </w:tcBorders>
          </w:tcPr>
          <w:p w14:paraId="1D73D45F" w14:textId="77777777" w:rsidR="00695665" w:rsidRPr="00397C64" w:rsidRDefault="00695665" w:rsidP="00BA1A95"/>
        </w:tc>
        <w:tc>
          <w:tcPr>
            <w:tcW w:w="1588" w:type="dxa"/>
            <w:gridSpan w:val="2"/>
            <w:tcBorders>
              <w:top w:val="single" w:sz="4" w:space="0" w:color="FFFFFF"/>
              <w:bottom w:val="single" w:sz="4" w:space="0" w:color="008770"/>
              <w:right w:val="single" w:sz="4" w:space="0" w:color="FFFFFF"/>
            </w:tcBorders>
            <w:shd w:val="clear" w:color="auto" w:fill="auto"/>
          </w:tcPr>
          <w:p w14:paraId="2BEE457C" w14:textId="7CBA985B" w:rsidR="00695665" w:rsidRPr="00397C64" w:rsidRDefault="00695665" w:rsidP="00BA1A95"/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EEC691B" w14:textId="77777777" w:rsidR="00695665" w:rsidRPr="00397C64" w:rsidRDefault="00695665" w:rsidP="00BA1A95"/>
        </w:tc>
      </w:tr>
      <w:tr w:rsidR="008D2502" w14:paraId="336A0CCA" w14:textId="77777777" w:rsidTr="000A77EB">
        <w:trPr>
          <w:trHeight w:hRule="exact" w:val="1701"/>
        </w:trPr>
        <w:tc>
          <w:tcPr>
            <w:tcW w:w="6647" w:type="dxa"/>
            <w:gridSpan w:val="5"/>
            <w:tcBorders>
              <w:top w:val="single" w:sz="4" w:space="0" w:color="008770"/>
              <w:left w:val="single" w:sz="4" w:space="0" w:color="008770"/>
              <w:bottom w:val="single" w:sz="4" w:space="0" w:color="008770"/>
              <w:right w:val="single" w:sz="4" w:space="0" w:color="008770"/>
            </w:tcBorders>
            <w:shd w:val="clear" w:color="auto" w:fill="008770"/>
          </w:tcPr>
          <w:p w14:paraId="6DAECE7D" w14:textId="7FA6F6FB" w:rsidR="008D2502" w:rsidRPr="00A41568" w:rsidRDefault="008D2502" w:rsidP="00BA1A95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14:paraId="46F584C4" w14:textId="4009E558" w:rsidR="008D2502" w:rsidRPr="00C45AE0" w:rsidRDefault="008D2502" w:rsidP="009B2774">
            <w:pPr>
              <w:jc w:val="left"/>
              <w:rPr>
                <w:rFonts w:cs="Arial"/>
                <w:b/>
                <w:bCs/>
                <w:color w:val="FFFFFF"/>
                <w:sz w:val="36"/>
                <w:szCs w:val="36"/>
              </w:rPr>
            </w:pPr>
            <w:r w:rsidRPr="00C45AE0">
              <w:rPr>
                <w:rFonts w:cs="Arial"/>
                <w:b/>
                <w:bCs/>
                <w:color w:val="FFFFFF"/>
                <w:sz w:val="36"/>
                <w:szCs w:val="36"/>
              </w:rPr>
              <w:t>Private Rental Market Statistics</w:t>
            </w:r>
            <w:r w:rsidR="00C45AE0" w:rsidRPr="00C45AE0">
              <w:rPr>
                <w:rFonts w:cs="Arial"/>
                <w:b/>
                <w:bCs/>
                <w:color w:val="FFFFFF"/>
                <w:sz w:val="36"/>
                <w:szCs w:val="36"/>
              </w:rPr>
              <w:t xml:space="preserve">: User Engagement </w:t>
            </w:r>
            <w:r w:rsidR="009B2774">
              <w:rPr>
                <w:rFonts w:cs="Arial"/>
                <w:b/>
                <w:bCs/>
                <w:color w:val="FFFFFF"/>
                <w:sz w:val="36"/>
                <w:szCs w:val="36"/>
              </w:rPr>
              <w:t>Event</w:t>
            </w:r>
            <w:r w:rsidR="00EA3C7F">
              <w:rPr>
                <w:rFonts w:cs="Arial"/>
                <w:b/>
                <w:bCs/>
                <w:color w:val="FFFFFF"/>
                <w:sz w:val="36"/>
                <w:szCs w:val="36"/>
              </w:rPr>
              <w:t xml:space="preserve"> Summary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008770"/>
              <w:bottom w:val="single" w:sz="4" w:space="0" w:color="FFFFFF"/>
            </w:tcBorders>
            <w:shd w:val="clear" w:color="auto" w:fill="auto"/>
          </w:tcPr>
          <w:p w14:paraId="53F32F4A" w14:textId="77777777" w:rsidR="008D2502" w:rsidRPr="00397C64" w:rsidRDefault="008D2502" w:rsidP="00BA1A95">
            <w:r w:rsidRPr="00A41568">
              <w:rPr>
                <w:rFonts w:cs="Arial"/>
                <w:noProof/>
                <w:lang w:eastAsia="en-GB"/>
              </w:rPr>
              <w:drawing>
                <wp:inline distT="0" distB="0" distL="0" distR="0" wp14:anchorId="640CA707" wp14:editId="3AD0DF73">
                  <wp:extent cx="2040890" cy="1028700"/>
                  <wp:effectExtent l="0" t="0" r="0" b="0"/>
                  <wp:docPr id="1" name="Picture 1" descr="VO-logo-for-Present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-logo-for-Presentation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" t="4846" b="2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95665" w14:paraId="0F069376" w14:textId="77777777" w:rsidTr="00CF66F0">
        <w:trPr>
          <w:trHeight w:hRule="exact" w:val="57"/>
        </w:trPr>
        <w:tc>
          <w:tcPr>
            <w:tcW w:w="2100" w:type="dxa"/>
            <w:tcBorders>
              <w:top w:val="single" w:sz="4" w:space="0" w:color="008770"/>
              <w:bottom w:val="single" w:sz="4" w:space="0" w:color="53682B"/>
            </w:tcBorders>
            <w:shd w:val="clear" w:color="auto" w:fill="auto"/>
          </w:tcPr>
          <w:p w14:paraId="0679723C" w14:textId="77777777" w:rsidR="00695665" w:rsidRPr="00397C64" w:rsidRDefault="00695665" w:rsidP="00BA1A95"/>
        </w:tc>
        <w:tc>
          <w:tcPr>
            <w:tcW w:w="2959" w:type="dxa"/>
            <w:gridSpan w:val="2"/>
            <w:tcBorders>
              <w:top w:val="single" w:sz="4" w:space="0" w:color="008770"/>
              <w:bottom w:val="single" w:sz="4" w:space="0" w:color="53682B"/>
            </w:tcBorders>
          </w:tcPr>
          <w:p w14:paraId="3C86EF65" w14:textId="77777777" w:rsidR="00695665" w:rsidRPr="00397C64" w:rsidRDefault="00695665" w:rsidP="00BA1A95"/>
        </w:tc>
        <w:tc>
          <w:tcPr>
            <w:tcW w:w="1588" w:type="dxa"/>
            <w:gridSpan w:val="2"/>
            <w:tcBorders>
              <w:top w:val="single" w:sz="4" w:space="0" w:color="008770"/>
              <w:bottom w:val="single" w:sz="4" w:space="0" w:color="53682B"/>
              <w:right w:val="single" w:sz="4" w:space="0" w:color="FFFFFF"/>
            </w:tcBorders>
            <w:shd w:val="clear" w:color="auto" w:fill="auto"/>
          </w:tcPr>
          <w:p w14:paraId="7C201AE5" w14:textId="07CF734C" w:rsidR="00695665" w:rsidRPr="00397C64" w:rsidRDefault="00695665" w:rsidP="00BA1A95"/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53682B"/>
            </w:tcBorders>
            <w:shd w:val="clear" w:color="auto" w:fill="auto"/>
          </w:tcPr>
          <w:p w14:paraId="76B4BEBF" w14:textId="77777777" w:rsidR="00695665" w:rsidRPr="00397C64" w:rsidRDefault="00695665" w:rsidP="00BA1A95"/>
        </w:tc>
      </w:tr>
      <w:tr w:rsidR="008D2502" w14:paraId="4A68D1C3" w14:textId="77777777" w:rsidTr="00EA7EF1">
        <w:trPr>
          <w:trHeight w:hRule="exact" w:val="284"/>
        </w:trPr>
        <w:tc>
          <w:tcPr>
            <w:tcW w:w="10459" w:type="dxa"/>
            <w:gridSpan w:val="6"/>
            <w:tcBorders>
              <w:top w:val="single" w:sz="4" w:space="0" w:color="53682B"/>
              <w:left w:val="single" w:sz="4" w:space="0" w:color="53682B"/>
              <w:bottom w:val="single" w:sz="4" w:space="0" w:color="53682B"/>
              <w:right w:val="single" w:sz="4" w:space="0" w:color="53682B"/>
            </w:tcBorders>
            <w:shd w:val="clear" w:color="auto" w:fill="002F5F"/>
          </w:tcPr>
          <w:p w14:paraId="0A53C2E7" w14:textId="1F9AC5CB" w:rsidR="008D2502" w:rsidRPr="00397C64" w:rsidRDefault="008D2502" w:rsidP="00BA1A95"/>
        </w:tc>
      </w:tr>
    </w:tbl>
    <w:p w14:paraId="3244085F" w14:textId="77777777" w:rsidR="00F20377" w:rsidRDefault="00F20377" w:rsidP="00F20377">
      <w:pPr>
        <w:spacing w:after="0"/>
      </w:pPr>
    </w:p>
    <w:p w14:paraId="7701F8E1" w14:textId="77777777" w:rsidR="00F20377" w:rsidRDefault="00F20377" w:rsidP="00F20377">
      <w:pPr>
        <w:spacing w:after="0"/>
        <w:sectPr w:rsidR="00F20377" w:rsidSect="00BC5D2D">
          <w:headerReference w:type="default" r:id="rId9"/>
          <w:footerReference w:type="default" r:id="rId10"/>
          <w:pgSz w:w="11909" w:h="16834"/>
          <w:pgMar w:top="720" w:right="720" w:bottom="720" w:left="720" w:header="284" w:footer="142" w:gutter="0"/>
          <w:cols w:space="720"/>
          <w:docGrid w:linePitch="272"/>
        </w:sectPr>
      </w:pPr>
    </w:p>
    <w:p w14:paraId="4DC3F816" w14:textId="77777777" w:rsidR="00A02DCC" w:rsidRDefault="00C45AE0" w:rsidP="00B56A78">
      <w:pPr>
        <w:jc w:val="left"/>
        <w:rPr>
          <w:rFonts w:cs="Arial"/>
          <w:sz w:val="22"/>
          <w:szCs w:val="22"/>
        </w:rPr>
      </w:pPr>
      <w:r w:rsidRPr="00C45AE0">
        <w:rPr>
          <w:rFonts w:cs="Arial"/>
          <w:sz w:val="22"/>
          <w:szCs w:val="22"/>
        </w:rPr>
        <w:t xml:space="preserve">In </w:t>
      </w:r>
      <w:r w:rsidR="003C2859">
        <w:rPr>
          <w:rFonts w:cs="Arial"/>
          <w:sz w:val="22"/>
          <w:szCs w:val="22"/>
        </w:rPr>
        <w:t>September</w:t>
      </w:r>
      <w:r w:rsidRPr="00C45AE0">
        <w:rPr>
          <w:rFonts w:cs="Arial"/>
          <w:sz w:val="22"/>
          <w:szCs w:val="22"/>
        </w:rPr>
        <w:t xml:space="preserve"> 2016 the Valuation Office Agency (VOA) </w:t>
      </w:r>
      <w:r w:rsidR="003C2859">
        <w:rPr>
          <w:rFonts w:cs="Arial"/>
          <w:sz w:val="22"/>
          <w:szCs w:val="22"/>
        </w:rPr>
        <w:t>held</w:t>
      </w:r>
      <w:r w:rsidRPr="00C45AE0">
        <w:rPr>
          <w:rFonts w:cs="Arial"/>
          <w:sz w:val="22"/>
          <w:szCs w:val="22"/>
        </w:rPr>
        <w:t xml:space="preserve"> a user engagement </w:t>
      </w:r>
      <w:r w:rsidR="003C2859">
        <w:rPr>
          <w:rFonts w:cs="Arial"/>
          <w:sz w:val="22"/>
          <w:szCs w:val="22"/>
        </w:rPr>
        <w:t>event</w:t>
      </w:r>
      <w:r w:rsidRPr="00C45AE0">
        <w:rPr>
          <w:rFonts w:cs="Arial"/>
          <w:sz w:val="22"/>
          <w:szCs w:val="22"/>
        </w:rPr>
        <w:t xml:space="preserve"> </w:t>
      </w:r>
      <w:r w:rsidR="003C2859">
        <w:rPr>
          <w:rFonts w:cs="Arial"/>
          <w:sz w:val="22"/>
          <w:szCs w:val="22"/>
        </w:rPr>
        <w:t xml:space="preserve">focusing </w:t>
      </w:r>
      <w:r w:rsidRPr="00C45AE0">
        <w:rPr>
          <w:rFonts w:cs="Arial"/>
          <w:sz w:val="22"/>
          <w:szCs w:val="22"/>
        </w:rPr>
        <w:t>on its Private Rental Market Statistics (PRMS</w:t>
      </w:r>
      <w:r w:rsidR="003C2859">
        <w:rPr>
          <w:rFonts w:cs="Arial"/>
          <w:sz w:val="22"/>
          <w:szCs w:val="22"/>
        </w:rPr>
        <w:t xml:space="preserve">). </w:t>
      </w:r>
      <w:r w:rsidR="00751138">
        <w:rPr>
          <w:rFonts w:cs="Arial"/>
          <w:sz w:val="22"/>
          <w:szCs w:val="22"/>
        </w:rPr>
        <w:t xml:space="preserve">It was attended by representatives from the VOA, the Office for National Statistics (ONS), and various private and voluntary-sector organisations. </w:t>
      </w:r>
      <w:r w:rsidR="003C2859">
        <w:rPr>
          <w:rFonts w:cs="Arial"/>
          <w:sz w:val="22"/>
          <w:szCs w:val="22"/>
        </w:rPr>
        <w:t>Th</w:t>
      </w:r>
      <w:r w:rsidR="00751138">
        <w:rPr>
          <w:rFonts w:cs="Arial"/>
          <w:sz w:val="22"/>
          <w:szCs w:val="22"/>
        </w:rPr>
        <w:t>e event was a follow-up to a user-engagement qu</w:t>
      </w:r>
      <w:r w:rsidR="003C2859">
        <w:rPr>
          <w:rFonts w:cs="Arial"/>
          <w:sz w:val="22"/>
          <w:szCs w:val="22"/>
        </w:rPr>
        <w:t>estionnaire</w:t>
      </w:r>
      <w:r w:rsidR="00385C80">
        <w:rPr>
          <w:rFonts w:cs="Arial"/>
          <w:sz w:val="22"/>
          <w:szCs w:val="22"/>
        </w:rPr>
        <w:t xml:space="preserve"> run in April 2016</w:t>
      </w:r>
      <w:r w:rsidR="003C2859">
        <w:rPr>
          <w:rFonts w:cs="Arial"/>
          <w:sz w:val="22"/>
          <w:szCs w:val="22"/>
        </w:rPr>
        <w:t xml:space="preserve">, the results of which have been </w:t>
      </w:r>
      <w:r w:rsidR="00751138">
        <w:rPr>
          <w:rFonts w:cs="Arial"/>
          <w:sz w:val="22"/>
          <w:szCs w:val="22"/>
        </w:rPr>
        <w:t>published</w:t>
      </w:r>
      <w:r w:rsidR="003C2859">
        <w:rPr>
          <w:rFonts w:cs="Arial"/>
          <w:sz w:val="22"/>
          <w:szCs w:val="22"/>
        </w:rPr>
        <w:t xml:space="preserve"> </w:t>
      </w:r>
      <w:r w:rsidR="009B2774">
        <w:rPr>
          <w:rFonts w:cs="Arial"/>
          <w:sz w:val="22"/>
          <w:szCs w:val="22"/>
        </w:rPr>
        <w:t xml:space="preserve">at </w:t>
      </w:r>
      <w:hyperlink r:id="rId11" w:history="1">
        <w:r w:rsidR="009B2774" w:rsidRPr="00797B2F">
          <w:rPr>
            <w:rStyle w:val="Hyperlink"/>
            <w:rFonts w:cs="Arial"/>
            <w:sz w:val="22"/>
            <w:szCs w:val="22"/>
          </w:rPr>
          <w:t>https://www.gov.uk/government/statistics/private-rental-market-statistics-user-engagement-questionnaire-results</w:t>
        </w:r>
      </w:hyperlink>
      <w:r w:rsidR="003C2859">
        <w:rPr>
          <w:rFonts w:cs="Arial"/>
          <w:sz w:val="22"/>
          <w:szCs w:val="22"/>
        </w:rPr>
        <w:t>.</w:t>
      </w:r>
      <w:r w:rsidR="003D77E6">
        <w:rPr>
          <w:rFonts w:cs="Arial"/>
          <w:sz w:val="22"/>
          <w:szCs w:val="22"/>
        </w:rPr>
        <w:t xml:space="preserve"> </w:t>
      </w:r>
    </w:p>
    <w:p w14:paraId="440F37DF" w14:textId="72115222" w:rsidR="00DE4DC0" w:rsidRDefault="003D77E6" w:rsidP="00B56A78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survey highlighted the need to share information and improve understanding</w:t>
      </w:r>
      <w:r w:rsidR="008E11C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and so the event included presentations that outlined the data collection and methodologies used in</w:t>
      </w:r>
      <w:r w:rsidR="000220E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 production of</w:t>
      </w:r>
      <w:r w:rsidR="008E11CA">
        <w:rPr>
          <w:rFonts w:cs="Arial"/>
          <w:sz w:val="22"/>
          <w:szCs w:val="22"/>
        </w:rPr>
        <w:t xml:space="preserve"> both</w:t>
      </w:r>
      <w:r>
        <w:rPr>
          <w:rFonts w:cs="Arial"/>
          <w:sz w:val="22"/>
          <w:szCs w:val="22"/>
        </w:rPr>
        <w:t xml:space="preserve"> the PRMS and the Index for Private Housing Rental Prices (IPHRP).</w:t>
      </w:r>
      <w:r w:rsidR="003C2859">
        <w:rPr>
          <w:rFonts w:cs="Arial"/>
          <w:sz w:val="22"/>
          <w:szCs w:val="22"/>
        </w:rPr>
        <w:t xml:space="preserve"> This release presents a </w:t>
      </w:r>
      <w:r w:rsidR="00C448BD">
        <w:rPr>
          <w:rFonts w:cs="Arial"/>
          <w:sz w:val="22"/>
          <w:szCs w:val="22"/>
        </w:rPr>
        <w:t xml:space="preserve">short </w:t>
      </w:r>
      <w:r w:rsidR="003C2859">
        <w:rPr>
          <w:rFonts w:cs="Arial"/>
          <w:sz w:val="22"/>
          <w:szCs w:val="22"/>
        </w:rPr>
        <w:t xml:space="preserve">summary of the </w:t>
      </w:r>
      <w:r w:rsidR="00EC5262">
        <w:rPr>
          <w:rFonts w:cs="Arial"/>
          <w:sz w:val="22"/>
          <w:szCs w:val="22"/>
        </w:rPr>
        <w:t xml:space="preserve">presentations and </w:t>
      </w:r>
      <w:r w:rsidR="003C2859">
        <w:rPr>
          <w:rFonts w:cs="Arial"/>
          <w:sz w:val="22"/>
          <w:szCs w:val="22"/>
        </w:rPr>
        <w:t>discussion</w:t>
      </w:r>
      <w:r w:rsidR="009E6521">
        <w:rPr>
          <w:rFonts w:cs="Arial"/>
          <w:sz w:val="22"/>
          <w:szCs w:val="22"/>
        </w:rPr>
        <w:t xml:space="preserve"> held at the event</w:t>
      </w:r>
      <w:r w:rsidR="003C2859">
        <w:rPr>
          <w:rFonts w:cs="Arial"/>
          <w:sz w:val="22"/>
          <w:szCs w:val="22"/>
        </w:rPr>
        <w:t>.</w:t>
      </w:r>
    </w:p>
    <w:tbl>
      <w:tblPr>
        <w:tblW w:w="10561" w:type="dxa"/>
        <w:tblBorders>
          <w:top w:val="single" w:sz="4" w:space="0" w:color="53682B"/>
          <w:left w:val="single" w:sz="4" w:space="0" w:color="53682B"/>
          <w:bottom w:val="single" w:sz="4" w:space="0" w:color="53682B"/>
          <w:right w:val="single" w:sz="4" w:space="0" w:color="53682B"/>
        </w:tblBorders>
        <w:shd w:val="clear" w:color="auto" w:fill="53682B"/>
        <w:tblLook w:val="01E0" w:firstRow="1" w:lastRow="1" w:firstColumn="1" w:lastColumn="1" w:noHBand="0" w:noVBand="0"/>
      </w:tblPr>
      <w:tblGrid>
        <w:gridCol w:w="10561"/>
      </w:tblGrid>
      <w:tr w:rsidR="004F2BE2" w14:paraId="054A963D" w14:textId="77777777" w:rsidTr="00127974">
        <w:trPr>
          <w:trHeight w:val="396"/>
        </w:trPr>
        <w:tc>
          <w:tcPr>
            <w:tcW w:w="10561" w:type="dxa"/>
            <w:shd w:val="clear" w:color="auto" w:fill="641F45"/>
            <w:vAlign w:val="center"/>
          </w:tcPr>
          <w:p w14:paraId="235B6BFD" w14:textId="149A3101" w:rsidR="004F2BE2" w:rsidRPr="00F613A0" w:rsidRDefault="00EC5262" w:rsidP="00127974">
            <w:pPr>
              <w:pStyle w:val="Heading1"/>
            </w:pPr>
            <w:r>
              <w:t>Presentations Summary</w:t>
            </w:r>
          </w:p>
        </w:tc>
      </w:tr>
    </w:tbl>
    <w:p w14:paraId="455F100B" w14:textId="34B458D6" w:rsidR="00EC0979" w:rsidRDefault="00EC0979" w:rsidP="00B32676">
      <w:pPr>
        <w:adjustRightInd/>
        <w:textAlignment w:val="auto"/>
        <w:rPr>
          <w:rFonts w:cs="Arial"/>
          <w:sz w:val="22"/>
          <w:szCs w:val="22"/>
        </w:rPr>
        <w:sectPr w:rsidR="00EC0979" w:rsidSect="00D37971">
          <w:type w:val="continuous"/>
          <w:pgSz w:w="11909" w:h="16834"/>
          <w:pgMar w:top="720" w:right="720" w:bottom="720" w:left="720" w:header="284" w:footer="142" w:gutter="0"/>
          <w:cols w:sep="1" w:space="720"/>
          <w:docGrid w:linePitch="272"/>
        </w:sectPr>
      </w:pPr>
    </w:p>
    <w:p w14:paraId="18554BAE" w14:textId="243293CD" w:rsidR="00173C53" w:rsidRPr="00173C53" w:rsidRDefault="00EC5262" w:rsidP="00173C53">
      <w:pPr>
        <w:pStyle w:val="ListParagraph"/>
        <w:numPr>
          <w:ilvl w:val="0"/>
          <w:numId w:val="16"/>
        </w:numPr>
        <w:adjustRightInd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PRMS currently provide mean, median and quartile rents broken down by number of bedrooms and local authority</w:t>
      </w:r>
      <w:r w:rsidR="00B03133">
        <w:rPr>
          <w:rFonts w:cs="Arial"/>
          <w:sz w:val="22"/>
          <w:szCs w:val="22"/>
        </w:rPr>
        <w:t>, and is comparable to a ‘snapshot’ of the rental market.</w:t>
      </w:r>
      <w:r w:rsidR="00E9053B">
        <w:rPr>
          <w:rFonts w:cs="Arial"/>
          <w:sz w:val="22"/>
          <w:szCs w:val="22"/>
        </w:rPr>
        <w:t xml:space="preserve"> The published data, commentary and maps were demonstrated.</w:t>
      </w:r>
      <w:r w:rsidR="00C11D73">
        <w:rPr>
          <w:rFonts w:cs="Arial"/>
          <w:sz w:val="22"/>
          <w:szCs w:val="22"/>
        </w:rPr>
        <w:t xml:space="preserve"> The most recent publication is available at the following address: </w:t>
      </w:r>
      <w:hyperlink r:id="rId12" w:history="1">
        <w:r w:rsidR="00173C53" w:rsidRPr="00985FDA">
          <w:rPr>
            <w:rStyle w:val="Hyperlink"/>
            <w:rFonts w:cs="Arial"/>
            <w:sz w:val="22"/>
            <w:szCs w:val="22"/>
          </w:rPr>
          <w:t>https://www.gov.uk/government/statistics/private-rental-market-statistics-may-2016</w:t>
        </w:r>
      </w:hyperlink>
    </w:p>
    <w:p w14:paraId="49B2B506" w14:textId="382B02F1" w:rsidR="00EC5262" w:rsidRDefault="00EC5262" w:rsidP="008201EF">
      <w:pPr>
        <w:pStyle w:val="ListParagraph"/>
        <w:numPr>
          <w:ilvl w:val="0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Details on </w:t>
      </w:r>
      <w:r w:rsidR="0029669F">
        <w:rPr>
          <w:rFonts w:cs="Arial"/>
          <w:sz w:val="22"/>
          <w:szCs w:val="22"/>
        </w:rPr>
        <w:t xml:space="preserve">approximately </w:t>
      </w:r>
      <w:r>
        <w:rPr>
          <w:rFonts w:cs="Arial"/>
          <w:sz w:val="22"/>
          <w:szCs w:val="22"/>
        </w:rPr>
        <w:t xml:space="preserve">500,000 rents </w:t>
      </w:r>
      <w:r w:rsidR="00E9053B">
        <w:rPr>
          <w:rFonts w:cs="Arial"/>
          <w:sz w:val="22"/>
          <w:szCs w:val="22"/>
        </w:rPr>
        <w:t xml:space="preserve">are </w:t>
      </w:r>
      <w:r>
        <w:rPr>
          <w:rFonts w:cs="Arial"/>
          <w:sz w:val="22"/>
          <w:szCs w:val="22"/>
        </w:rPr>
        <w:t xml:space="preserve">collected each year by VOA Rent Officers to fulfil </w:t>
      </w:r>
      <w:r w:rsidR="00D05D3E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statutory requirement</w:t>
      </w:r>
      <w:r w:rsidR="00B56A78">
        <w:rPr>
          <w:rFonts w:cs="Arial"/>
          <w:sz w:val="22"/>
          <w:szCs w:val="22"/>
        </w:rPr>
        <w:t xml:space="preserve"> of assisting</w:t>
      </w:r>
      <w:r w:rsidR="00187550">
        <w:rPr>
          <w:rFonts w:cs="Arial"/>
          <w:sz w:val="22"/>
          <w:szCs w:val="22"/>
        </w:rPr>
        <w:t xml:space="preserve"> </w:t>
      </w:r>
      <w:r w:rsidR="00385C80">
        <w:rPr>
          <w:rFonts w:cs="Arial"/>
          <w:sz w:val="22"/>
          <w:szCs w:val="22"/>
        </w:rPr>
        <w:t>the Department for Work and Pensions</w:t>
      </w:r>
      <w:r w:rsidR="00187550">
        <w:rPr>
          <w:rFonts w:cs="Arial"/>
          <w:sz w:val="22"/>
          <w:szCs w:val="22"/>
        </w:rPr>
        <w:t xml:space="preserve"> with the determination of Housing Benefit/Local Housing A</w:t>
      </w:r>
      <w:r w:rsidR="00B56A78">
        <w:rPr>
          <w:rFonts w:cs="Arial"/>
          <w:sz w:val="22"/>
          <w:szCs w:val="22"/>
        </w:rPr>
        <w:t>llowance</w:t>
      </w:r>
      <w:r w:rsidR="00B03133">
        <w:rPr>
          <w:rFonts w:cs="Arial"/>
          <w:sz w:val="22"/>
          <w:szCs w:val="22"/>
        </w:rPr>
        <w:t>.</w:t>
      </w:r>
    </w:p>
    <w:p w14:paraId="731C10C6" w14:textId="651CB4FC" w:rsidR="00B56A78" w:rsidRDefault="00B56A78" w:rsidP="008201EF">
      <w:pPr>
        <w:pStyle w:val="ListParagraph"/>
        <w:numPr>
          <w:ilvl w:val="0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Various data collection limitations result in sample bias, </w:t>
      </w:r>
      <w:r w:rsidR="0037033C">
        <w:rPr>
          <w:rFonts w:cs="Arial"/>
          <w:sz w:val="22"/>
          <w:szCs w:val="22"/>
        </w:rPr>
        <w:t xml:space="preserve">with the result </w:t>
      </w:r>
      <w:r>
        <w:rPr>
          <w:rFonts w:cs="Arial"/>
          <w:sz w:val="22"/>
          <w:szCs w:val="22"/>
        </w:rPr>
        <w:t xml:space="preserve">that the PRMS is not necessarily representative of the </w:t>
      </w:r>
      <w:r w:rsidR="00385C80">
        <w:rPr>
          <w:rFonts w:cs="Arial"/>
          <w:sz w:val="22"/>
          <w:szCs w:val="22"/>
        </w:rPr>
        <w:t>private rental market (</w:t>
      </w:r>
      <w:r>
        <w:rPr>
          <w:rFonts w:cs="Arial"/>
          <w:sz w:val="22"/>
          <w:szCs w:val="22"/>
        </w:rPr>
        <w:t>PRM</w:t>
      </w:r>
      <w:r w:rsidR="00385C80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population and can</w:t>
      </w:r>
      <w:r w:rsidR="00385C80">
        <w:rPr>
          <w:rFonts w:cs="Arial"/>
          <w:sz w:val="22"/>
          <w:szCs w:val="22"/>
        </w:rPr>
        <w:t>no</w:t>
      </w:r>
      <w:r>
        <w:rPr>
          <w:rFonts w:cs="Arial"/>
          <w:sz w:val="22"/>
          <w:szCs w:val="22"/>
        </w:rPr>
        <w:t xml:space="preserve">t be used to </w:t>
      </w:r>
      <w:r w:rsidR="0037033C">
        <w:rPr>
          <w:rFonts w:cs="Arial"/>
          <w:sz w:val="22"/>
          <w:szCs w:val="22"/>
        </w:rPr>
        <w:t xml:space="preserve">reliably </w:t>
      </w:r>
      <w:r>
        <w:rPr>
          <w:rFonts w:cs="Arial"/>
          <w:sz w:val="22"/>
          <w:szCs w:val="22"/>
        </w:rPr>
        <w:t>infer trends over time</w:t>
      </w:r>
      <w:r w:rsidR="00B03133">
        <w:rPr>
          <w:rFonts w:cs="Arial"/>
          <w:sz w:val="22"/>
          <w:szCs w:val="22"/>
        </w:rPr>
        <w:t>.</w:t>
      </w:r>
    </w:p>
    <w:p w14:paraId="31F5163D" w14:textId="7A55F782" w:rsidR="00B56A78" w:rsidRDefault="00B56A78" w:rsidP="008201EF">
      <w:pPr>
        <w:pStyle w:val="ListParagraph"/>
        <w:numPr>
          <w:ilvl w:val="0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Current practice of publishing at local authority level using averages taken over a 12-month period is a compromise due to issues around data sufficiency</w:t>
      </w:r>
      <w:r w:rsidR="0037033C">
        <w:rPr>
          <w:rFonts w:cs="Arial"/>
          <w:sz w:val="22"/>
          <w:szCs w:val="22"/>
        </w:rPr>
        <w:t>, so a trade-off between</w:t>
      </w:r>
      <w:r w:rsidR="00B03133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</w:p>
    <w:p w14:paraId="6CDD11BB" w14:textId="4F9B79EB" w:rsidR="00B56A78" w:rsidRDefault="00634EC9" w:rsidP="008201EF">
      <w:pPr>
        <w:pStyle w:val="ListParagraph"/>
        <w:numPr>
          <w:ilvl w:val="1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B03133">
        <w:rPr>
          <w:rFonts w:cs="Arial"/>
          <w:sz w:val="22"/>
          <w:szCs w:val="22"/>
        </w:rPr>
        <w:t>ublish</w:t>
      </w:r>
      <w:r w:rsidR="0037033C">
        <w:rPr>
          <w:rFonts w:cs="Arial"/>
          <w:sz w:val="22"/>
          <w:szCs w:val="22"/>
        </w:rPr>
        <w:t>ing</w:t>
      </w:r>
      <w:r w:rsidR="00B03133">
        <w:rPr>
          <w:rFonts w:cs="Arial"/>
          <w:sz w:val="22"/>
          <w:szCs w:val="22"/>
        </w:rPr>
        <w:t xml:space="preserve"> average rents for areas smaller than local authority (e.g. super output areas)</w:t>
      </w:r>
      <w:r w:rsidR="00B56A78">
        <w:rPr>
          <w:rFonts w:cs="Arial"/>
          <w:sz w:val="22"/>
          <w:szCs w:val="22"/>
        </w:rPr>
        <w:t xml:space="preserve"> </w:t>
      </w:r>
      <w:r w:rsidR="0037033C">
        <w:rPr>
          <w:rFonts w:cs="Arial"/>
          <w:sz w:val="22"/>
          <w:szCs w:val="22"/>
        </w:rPr>
        <w:t xml:space="preserve">would only be possible for </w:t>
      </w:r>
      <w:r w:rsidR="00B03133">
        <w:rPr>
          <w:rFonts w:cs="Arial"/>
          <w:sz w:val="22"/>
          <w:szCs w:val="22"/>
        </w:rPr>
        <w:t>time periods longer than 12 months</w:t>
      </w:r>
    </w:p>
    <w:p w14:paraId="07C9001C" w14:textId="7438043D" w:rsidR="00E7709C" w:rsidRDefault="00634EC9" w:rsidP="00E7709C">
      <w:pPr>
        <w:pStyle w:val="ListParagraph"/>
        <w:numPr>
          <w:ilvl w:val="1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Publishing</w:t>
      </w:r>
      <w:r w:rsidR="00B03133">
        <w:rPr>
          <w:rFonts w:cs="Arial"/>
          <w:sz w:val="22"/>
          <w:szCs w:val="22"/>
        </w:rPr>
        <w:t xml:space="preserve"> average rents collected over the last month instead of over the last 12 months </w:t>
      </w:r>
      <w:proofErr w:type="gramStart"/>
      <w:r w:rsidR="00D05D3E">
        <w:rPr>
          <w:rFonts w:cs="Arial"/>
          <w:sz w:val="22"/>
          <w:szCs w:val="22"/>
        </w:rPr>
        <w:t>w</w:t>
      </w:r>
      <w:r w:rsidR="00B03133">
        <w:rPr>
          <w:rFonts w:cs="Arial"/>
          <w:sz w:val="22"/>
          <w:szCs w:val="22"/>
        </w:rPr>
        <w:t>ould</w:t>
      </w:r>
      <w:proofErr w:type="gramEnd"/>
      <w:r w:rsidR="00B03133">
        <w:rPr>
          <w:rFonts w:cs="Arial"/>
          <w:sz w:val="22"/>
          <w:szCs w:val="22"/>
        </w:rPr>
        <w:t xml:space="preserve"> only be </w:t>
      </w:r>
      <w:r w:rsidR="00D05D3E">
        <w:rPr>
          <w:rFonts w:cs="Arial"/>
          <w:sz w:val="22"/>
          <w:szCs w:val="22"/>
        </w:rPr>
        <w:t>possible</w:t>
      </w:r>
      <w:r w:rsidR="00B03133">
        <w:rPr>
          <w:rFonts w:cs="Arial"/>
          <w:sz w:val="22"/>
          <w:szCs w:val="22"/>
        </w:rPr>
        <w:t xml:space="preserve"> for much larger geographical areas (e.g. regions).</w:t>
      </w:r>
    </w:p>
    <w:p w14:paraId="603E8B25" w14:textId="373141A1" w:rsidR="00E7709C" w:rsidRPr="00E7709C" w:rsidRDefault="00DA7D79" w:rsidP="00E7709C">
      <w:pPr>
        <w:pStyle w:val="ListParagraph"/>
        <w:numPr>
          <w:ilvl w:val="0"/>
          <w:numId w:val="16"/>
        </w:numPr>
        <w:adjustRightInd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Possible</w:t>
      </w:r>
      <w:r w:rsidR="00E7709C">
        <w:rPr>
          <w:rFonts w:cs="Arial"/>
          <w:sz w:val="22"/>
          <w:szCs w:val="22"/>
        </w:rPr>
        <w:t xml:space="preserve"> methodological improvements</w:t>
      </w:r>
      <w:r>
        <w:rPr>
          <w:rFonts w:cs="Arial"/>
          <w:sz w:val="22"/>
          <w:szCs w:val="22"/>
        </w:rPr>
        <w:t xml:space="preserve"> to the PRMS</w:t>
      </w:r>
      <w:r w:rsidR="00E7709C">
        <w:rPr>
          <w:rFonts w:cs="Arial"/>
          <w:sz w:val="22"/>
          <w:szCs w:val="22"/>
        </w:rPr>
        <w:t xml:space="preserve">, such as the use of Hedonic modelling, </w:t>
      </w:r>
      <w:r w:rsidR="00E43EF0">
        <w:rPr>
          <w:rFonts w:cs="Arial"/>
          <w:sz w:val="22"/>
          <w:szCs w:val="22"/>
        </w:rPr>
        <w:t>are being</w:t>
      </w:r>
      <w:r>
        <w:rPr>
          <w:rFonts w:cs="Arial"/>
          <w:sz w:val="22"/>
          <w:szCs w:val="22"/>
        </w:rPr>
        <w:t xml:space="preserve"> considered</w:t>
      </w:r>
      <w:r w:rsidR="00E7709C">
        <w:rPr>
          <w:rFonts w:cs="Arial"/>
          <w:sz w:val="22"/>
          <w:szCs w:val="22"/>
        </w:rPr>
        <w:t>.</w:t>
      </w:r>
    </w:p>
    <w:p w14:paraId="03839793" w14:textId="2E6CFF11" w:rsidR="00B56A78" w:rsidRDefault="00B03133" w:rsidP="008201EF">
      <w:pPr>
        <w:pStyle w:val="ListParagraph"/>
        <w:numPr>
          <w:ilvl w:val="0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VOA data is used by the </w:t>
      </w:r>
      <w:r w:rsidR="00751138">
        <w:rPr>
          <w:rFonts w:cs="Arial"/>
          <w:sz w:val="22"/>
          <w:szCs w:val="22"/>
        </w:rPr>
        <w:t>ONS</w:t>
      </w:r>
      <w:r>
        <w:rPr>
          <w:rFonts w:cs="Arial"/>
          <w:sz w:val="22"/>
          <w:szCs w:val="22"/>
        </w:rPr>
        <w:t xml:space="preserve"> to construct </w:t>
      </w:r>
      <w:r w:rsidR="00EB2F87">
        <w:rPr>
          <w:rFonts w:cs="Arial"/>
          <w:sz w:val="22"/>
          <w:szCs w:val="22"/>
        </w:rPr>
        <w:t xml:space="preserve">a private rental series which is used in </w:t>
      </w:r>
      <w:r>
        <w:rPr>
          <w:rFonts w:cs="Arial"/>
          <w:sz w:val="22"/>
          <w:szCs w:val="22"/>
        </w:rPr>
        <w:t>the Index for Private Housing Rental Prices (IPHRP)</w:t>
      </w:r>
      <w:r w:rsidR="00EB2F87">
        <w:rPr>
          <w:rFonts w:cs="Arial"/>
          <w:sz w:val="22"/>
          <w:szCs w:val="22"/>
        </w:rPr>
        <w:t xml:space="preserve"> and also the suite of consumer price inflation statistics (CPI/CPIH/RPI)</w:t>
      </w:r>
      <w:r>
        <w:rPr>
          <w:rFonts w:cs="Arial"/>
          <w:sz w:val="22"/>
          <w:szCs w:val="22"/>
        </w:rPr>
        <w:t>.</w:t>
      </w:r>
    </w:p>
    <w:p w14:paraId="040E108A" w14:textId="7BC68446" w:rsidR="00B02C50" w:rsidRDefault="00B03133" w:rsidP="008201EF">
      <w:pPr>
        <w:pStyle w:val="ListParagraph"/>
        <w:numPr>
          <w:ilvl w:val="0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IPHRP </w:t>
      </w:r>
      <w:r w:rsidR="00EB2F87">
        <w:rPr>
          <w:rFonts w:cs="Arial"/>
          <w:sz w:val="22"/>
          <w:szCs w:val="22"/>
        </w:rPr>
        <w:t>and rental series within CPI, CPIH and RPI use</w:t>
      </w:r>
      <w:r>
        <w:rPr>
          <w:rFonts w:cs="Arial"/>
          <w:sz w:val="22"/>
          <w:szCs w:val="22"/>
        </w:rPr>
        <w:t xml:space="preserve"> a more </w:t>
      </w:r>
      <w:r w:rsidR="00AE004A">
        <w:rPr>
          <w:rFonts w:cs="Arial"/>
          <w:sz w:val="22"/>
          <w:szCs w:val="22"/>
        </w:rPr>
        <w:t>sophisticated</w:t>
      </w:r>
      <w:r>
        <w:rPr>
          <w:rFonts w:cs="Arial"/>
          <w:sz w:val="22"/>
          <w:szCs w:val="22"/>
        </w:rPr>
        <w:t xml:space="preserve"> methodology</w:t>
      </w:r>
      <w:r w:rsidR="00B02C50">
        <w:rPr>
          <w:rFonts w:cs="Arial"/>
          <w:sz w:val="22"/>
          <w:szCs w:val="22"/>
        </w:rPr>
        <w:t xml:space="preserve"> than the simple averages technique of the PRMS</w:t>
      </w:r>
      <w:r w:rsidR="0037033C">
        <w:rPr>
          <w:rFonts w:cs="Arial"/>
          <w:sz w:val="22"/>
          <w:szCs w:val="22"/>
        </w:rPr>
        <w:t>, consistent with other price indices</w:t>
      </w:r>
      <w:r w:rsidR="00B02C50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</w:p>
    <w:p w14:paraId="10B1B266" w14:textId="40229E8E" w:rsidR="00B02C50" w:rsidRDefault="00B02C50" w:rsidP="008201EF">
      <w:pPr>
        <w:pStyle w:val="ListParagraph"/>
        <w:numPr>
          <w:ilvl w:val="1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B03133">
        <w:rPr>
          <w:rFonts w:cs="Arial"/>
          <w:sz w:val="22"/>
          <w:szCs w:val="22"/>
        </w:rPr>
        <w:t xml:space="preserve"> matched sample </w:t>
      </w:r>
      <w:r>
        <w:rPr>
          <w:rFonts w:cs="Arial"/>
          <w:sz w:val="22"/>
          <w:szCs w:val="22"/>
        </w:rPr>
        <w:t xml:space="preserve">is followed </w:t>
      </w:r>
      <w:r w:rsidR="00B03133">
        <w:rPr>
          <w:rFonts w:cs="Arial"/>
          <w:sz w:val="22"/>
          <w:szCs w:val="22"/>
        </w:rPr>
        <w:t>from month-to-month</w:t>
      </w:r>
      <w:r>
        <w:rPr>
          <w:rFonts w:cs="Arial"/>
          <w:sz w:val="22"/>
          <w:szCs w:val="22"/>
        </w:rPr>
        <w:t>, and chain-linked each year. The IPHRP is thus</w:t>
      </w:r>
      <w:r w:rsidR="00DE4DC0">
        <w:rPr>
          <w:rFonts w:cs="Arial"/>
          <w:sz w:val="22"/>
          <w:szCs w:val="22"/>
        </w:rPr>
        <w:t xml:space="preserve"> unaffected by quality changes in the sample, and</w:t>
      </w:r>
      <w:r>
        <w:rPr>
          <w:rFonts w:cs="Arial"/>
          <w:sz w:val="22"/>
          <w:szCs w:val="22"/>
        </w:rPr>
        <w:t xml:space="preserve"> suitable for looking at inflation in rental prices over time</w:t>
      </w:r>
      <w:r w:rsidR="00DE4DC0">
        <w:rPr>
          <w:rFonts w:cs="Arial"/>
          <w:sz w:val="22"/>
          <w:szCs w:val="22"/>
        </w:rPr>
        <w:t xml:space="preserve"> at the regional level.</w:t>
      </w:r>
    </w:p>
    <w:p w14:paraId="71ECBDA5" w14:textId="47D0C400" w:rsidR="00B03133" w:rsidRDefault="00B02C50" w:rsidP="008201EF">
      <w:pPr>
        <w:pStyle w:val="ListParagraph"/>
        <w:numPr>
          <w:ilvl w:val="1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Weightings and stratification are used</w:t>
      </w:r>
      <w:r w:rsidR="00DE4DC0">
        <w:rPr>
          <w:rFonts w:cs="Arial"/>
          <w:sz w:val="22"/>
          <w:szCs w:val="22"/>
        </w:rPr>
        <w:t>.</w:t>
      </w:r>
    </w:p>
    <w:p w14:paraId="1E5541FA" w14:textId="22308CD7" w:rsidR="00DE4DC0" w:rsidRDefault="00D05D3E" w:rsidP="008201EF">
      <w:pPr>
        <w:pStyle w:val="ListParagraph"/>
        <w:numPr>
          <w:ilvl w:val="1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There are s</w:t>
      </w:r>
      <w:r w:rsidR="00295293">
        <w:rPr>
          <w:rFonts w:cs="Arial"/>
          <w:sz w:val="22"/>
          <w:szCs w:val="22"/>
        </w:rPr>
        <w:t xml:space="preserve">light differences in coverage, </w:t>
      </w:r>
      <w:r w:rsidR="00DE4DC0">
        <w:rPr>
          <w:rFonts w:cs="Arial"/>
          <w:sz w:val="22"/>
          <w:szCs w:val="22"/>
        </w:rPr>
        <w:t>for example the IPHRP excludes single room lets in Houses in Multiple Occupation (HMOs)</w:t>
      </w:r>
      <w:r>
        <w:rPr>
          <w:rFonts w:cs="Arial"/>
          <w:sz w:val="22"/>
          <w:szCs w:val="22"/>
        </w:rPr>
        <w:t xml:space="preserve"> while the PRMS includes them</w:t>
      </w:r>
      <w:r w:rsidR="00DE4DC0">
        <w:rPr>
          <w:rFonts w:cs="Arial"/>
          <w:sz w:val="22"/>
          <w:szCs w:val="22"/>
        </w:rPr>
        <w:t>.</w:t>
      </w:r>
    </w:p>
    <w:p w14:paraId="7C9CBFDE" w14:textId="7A8C2B74" w:rsidR="00B03133" w:rsidRPr="00B56A78" w:rsidRDefault="00B03133" w:rsidP="008201EF">
      <w:pPr>
        <w:pStyle w:val="ListParagraph"/>
        <w:numPr>
          <w:ilvl w:val="0"/>
          <w:numId w:val="16"/>
        </w:numPr>
        <w:adjustRightInd/>
        <w:ind w:hanging="357"/>
        <w:contextualSpacing w:val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Both the PRMS and IPHRP include both existing and new let agreements, and so are closer to being measures of the ‘stock’ of the PRM, rather than the ‘flow’ (</w:t>
      </w:r>
      <w:r w:rsidR="00295293">
        <w:rPr>
          <w:rFonts w:cs="Arial"/>
          <w:sz w:val="22"/>
          <w:szCs w:val="22"/>
        </w:rPr>
        <w:t xml:space="preserve">which would </w:t>
      </w:r>
      <w:r w:rsidR="00385C80">
        <w:rPr>
          <w:rFonts w:cs="Arial"/>
          <w:sz w:val="22"/>
          <w:szCs w:val="22"/>
        </w:rPr>
        <w:t>cover</w:t>
      </w:r>
      <w:r w:rsidR="0029529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new lets only).</w:t>
      </w:r>
    </w:p>
    <w:p w14:paraId="55E81FC6" w14:textId="77777777" w:rsidR="00EC5262" w:rsidRDefault="00EC5262" w:rsidP="00EC5262">
      <w:pPr>
        <w:rPr>
          <w:rFonts w:cs="Arial"/>
          <w:sz w:val="22"/>
          <w:szCs w:val="22"/>
        </w:rPr>
      </w:pPr>
    </w:p>
    <w:p w14:paraId="528DECD2" w14:textId="77777777" w:rsidR="008201EF" w:rsidRDefault="008201EF" w:rsidP="00EC5262">
      <w:pPr>
        <w:rPr>
          <w:rFonts w:cs="Arial"/>
          <w:sz w:val="22"/>
          <w:szCs w:val="22"/>
        </w:rPr>
      </w:pPr>
    </w:p>
    <w:tbl>
      <w:tblPr>
        <w:tblW w:w="10561" w:type="dxa"/>
        <w:tblBorders>
          <w:top w:val="single" w:sz="4" w:space="0" w:color="53682B"/>
          <w:left w:val="single" w:sz="4" w:space="0" w:color="53682B"/>
          <w:bottom w:val="single" w:sz="4" w:space="0" w:color="53682B"/>
          <w:right w:val="single" w:sz="4" w:space="0" w:color="53682B"/>
        </w:tblBorders>
        <w:shd w:val="clear" w:color="auto" w:fill="53682B"/>
        <w:tblLook w:val="01E0" w:firstRow="1" w:lastRow="1" w:firstColumn="1" w:lastColumn="1" w:noHBand="0" w:noVBand="0"/>
      </w:tblPr>
      <w:tblGrid>
        <w:gridCol w:w="10561"/>
      </w:tblGrid>
      <w:tr w:rsidR="00EC5262" w14:paraId="3CD15B7D" w14:textId="77777777" w:rsidTr="00556A19">
        <w:trPr>
          <w:trHeight w:val="396"/>
        </w:trPr>
        <w:tc>
          <w:tcPr>
            <w:tcW w:w="10561" w:type="dxa"/>
            <w:shd w:val="clear" w:color="auto" w:fill="641F45"/>
            <w:vAlign w:val="center"/>
          </w:tcPr>
          <w:p w14:paraId="4517CAF1" w14:textId="79F877F6" w:rsidR="00EC5262" w:rsidRPr="00F613A0" w:rsidRDefault="00EC5262" w:rsidP="00556A19">
            <w:pPr>
              <w:pStyle w:val="Heading1"/>
            </w:pPr>
            <w:r>
              <w:t>Discussion Summary</w:t>
            </w:r>
          </w:p>
        </w:tc>
      </w:tr>
    </w:tbl>
    <w:p w14:paraId="46AF9F61" w14:textId="77777777" w:rsidR="00EC5262" w:rsidRDefault="00EC5262" w:rsidP="00EC5262">
      <w:pPr>
        <w:adjustRightInd/>
        <w:textAlignment w:val="auto"/>
        <w:rPr>
          <w:rFonts w:cs="Arial"/>
          <w:sz w:val="22"/>
          <w:szCs w:val="22"/>
        </w:rPr>
        <w:sectPr w:rsidR="00EC5262" w:rsidSect="00D37971">
          <w:type w:val="continuous"/>
          <w:pgSz w:w="11909" w:h="16834"/>
          <w:pgMar w:top="720" w:right="720" w:bottom="720" w:left="720" w:header="284" w:footer="142" w:gutter="0"/>
          <w:cols w:sep="1" w:space="720"/>
          <w:docGrid w:linePitch="272"/>
        </w:sectPr>
      </w:pPr>
    </w:p>
    <w:p w14:paraId="07E4218F" w14:textId="1FF4202D" w:rsidR="00EC5262" w:rsidRPr="00B32676" w:rsidRDefault="008201EF" w:rsidP="00EC5262">
      <w:pPr>
        <w:pStyle w:val="ListParagraph"/>
        <w:adjustRightInd/>
        <w:spacing w:after="0"/>
        <w:ind w:left="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discussion centred </w:t>
      </w:r>
      <w:r w:rsidR="00E9053B">
        <w:rPr>
          <w:rFonts w:cs="Arial"/>
          <w:sz w:val="22"/>
          <w:szCs w:val="22"/>
        </w:rPr>
        <w:t>on</w:t>
      </w:r>
      <w:r>
        <w:rPr>
          <w:rFonts w:cs="Arial"/>
          <w:sz w:val="22"/>
          <w:szCs w:val="22"/>
        </w:rPr>
        <w:t xml:space="preserve"> the four questions below:</w:t>
      </w:r>
    </w:p>
    <w:p w14:paraId="035B1342" w14:textId="77777777" w:rsidR="00B32676" w:rsidRDefault="00B32676" w:rsidP="00B32676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4"/>
          <w:szCs w:val="24"/>
        </w:rPr>
      </w:pPr>
    </w:p>
    <w:p w14:paraId="1A7667C2" w14:textId="1F876162" w:rsidR="001D5E00" w:rsidRPr="008201EF" w:rsidRDefault="00B32676" w:rsidP="001D5E00">
      <w:pPr>
        <w:pStyle w:val="ListParagraph"/>
        <w:numPr>
          <w:ilvl w:val="0"/>
          <w:numId w:val="14"/>
        </w:numPr>
        <w:adjustRightInd/>
        <w:spacing w:after="0"/>
        <w:ind w:left="360"/>
        <w:jc w:val="left"/>
        <w:textAlignment w:val="auto"/>
        <w:rPr>
          <w:rFonts w:cs="Arial"/>
          <w:b/>
          <w:sz w:val="22"/>
          <w:szCs w:val="22"/>
        </w:rPr>
      </w:pPr>
      <w:r w:rsidRPr="008201EF">
        <w:rPr>
          <w:rFonts w:cs="Arial"/>
          <w:b/>
          <w:sz w:val="22"/>
          <w:szCs w:val="22"/>
        </w:rPr>
        <w:t xml:space="preserve">What do external users do with the VOA’s PRMS </w:t>
      </w:r>
      <w:r w:rsidR="00E9053B">
        <w:rPr>
          <w:rFonts w:cs="Arial"/>
          <w:b/>
          <w:sz w:val="22"/>
          <w:szCs w:val="22"/>
        </w:rPr>
        <w:t>data/</w:t>
      </w:r>
      <w:r w:rsidRPr="008201EF">
        <w:rPr>
          <w:rFonts w:cs="Arial"/>
          <w:b/>
          <w:sz w:val="22"/>
          <w:szCs w:val="22"/>
        </w:rPr>
        <w:t>publications</w:t>
      </w:r>
      <w:r w:rsidR="00751138">
        <w:rPr>
          <w:rFonts w:cs="Arial"/>
          <w:b/>
          <w:sz w:val="22"/>
          <w:szCs w:val="22"/>
        </w:rPr>
        <w:t>, and what would they like to be able to do</w:t>
      </w:r>
      <w:r w:rsidRPr="008201EF">
        <w:rPr>
          <w:rFonts w:cs="Arial"/>
          <w:b/>
          <w:sz w:val="22"/>
          <w:szCs w:val="22"/>
        </w:rPr>
        <w:t>?</w:t>
      </w:r>
    </w:p>
    <w:p w14:paraId="27AFB2E3" w14:textId="77777777" w:rsidR="00751138" w:rsidRDefault="00751138" w:rsidP="005248D3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4ED7D807" w14:textId="1AA10457" w:rsidR="00B32676" w:rsidRDefault="00B32676" w:rsidP="005248D3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number of </w:t>
      </w:r>
      <w:r w:rsidR="00E9053B">
        <w:rPr>
          <w:rFonts w:cs="Arial"/>
          <w:sz w:val="22"/>
          <w:szCs w:val="22"/>
        </w:rPr>
        <w:t>uses of the PRMS were discussed, such as using the data to validate their own in-house reports,</w:t>
      </w:r>
      <w:r w:rsidR="00751138">
        <w:rPr>
          <w:rFonts w:cs="Arial"/>
          <w:sz w:val="22"/>
          <w:szCs w:val="22"/>
        </w:rPr>
        <w:t xml:space="preserve"> to</w:t>
      </w:r>
      <w:r w:rsidR="00E9053B">
        <w:rPr>
          <w:rFonts w:cs="Arial"/>
          <w:sz w:val="22"/>
          <w:szCs w:val="22"/>
        </w:rPr>
        <w:t xml:space="preserve"> </w:t>
      </w:r>
      <w:r w:rsidR="0037033C">
        <w:rPr>
          <w:rFonts w:cs="Arial"/>
          <w:sz w:val="22"/>
          <w:szCs w:val="22"/>
        </w:rPr>
        <w:t xml:space="preserve">inform </w:t>
      </w:r>
      <w:r w:rsidR="00E9053B">
        <w:rPr>
          <w:rFonts w:cs="Arial"/>
          <w:sz w:val="22"/>
          <w:szCs w:val="22"/>
        </w:rPr>
        <w:t>policy-making, and to check that clients were charging competitive rents.</w:t>
      </w:r>
      <w:r w:rsidR="00751138">
        <w:rPr>
          <w:rFonts w:cs="Arial"/>
          <w:sz w:val="22"/>
          <w:szCs w:val="22"/>
        </w:rPr>
        <w:t xml:space="preserve"> Increasing media interest was cited as a factor, however it was agreed that media focus tended to be more on house prices than private rental prices.</w:t>
      </w:r>
    </w:p>
    <w:p w14:paraId="1D77C364" w14:textId="77777777" w:rsidR="00751138" w:rsidRDefault="00751138" w:rsidP="005248D3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76E11C4B" w14:textId="49B25C74" w:rsidR="0077786B" w:rsidRDefault="00751138" w:rsidP="005248D3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uses that were </w:t>
      </w:r>
      <w:r w:rsidR="00187550">
        <w:rPr>
          <w:rFonts w:cs="Arial"/>
          <w:sz w:val="22"/>
          <w:szCs w:val="22"/>
        </w:rPr>
        <w:t>enquired about</w:t>
      </w:r>
      <w:r>
        <w:rPr>
          <w:rFonts w:cs="Arial"/>
          <w:sz w:val="22"/>
          <w:szCs w:val="22"/>
        </w:rPr>
        <w:t xml:space="preserve"> but not currently available were for whole market data (i.e., with the rental agreements </w:t>
      </w:r>
      <w:r w:rsidR="00295293">
        <w:rPr>
          <w:rFonts w:cs="Arial"/>
          <w:sz w:val="22"/>
          <w:szCs w:val="22"/>
        </w:rPr>
        <w:t>for housing b</w:t>
      </w:r>
      <w:r w:rsidR="00187550">
        <w:rPr>
          <w:rFonts w:cs="Arial"/>
          <w:sz w:val="22"/>
          <w:szCs w:val="22"/>
        </w:rPr>
        <w:t>enefit claimants included</w:t>
      </w:r>
      <w:r w:rsidR="0077786B">
        <w:rPr>
          <w:rFonts w:cs="Arial"/>
          <w:sz w:val="22"/>
          <w:szCs w:val="22"/>
        </w:rPr>
        <w:t>)</w:t>
      </w:r>
      <w:r w:rsidR="00187550">
        <w:rPr>
          <w:rFonts w:cs="Arial"/>
          <w:sz w:val="22"/>
          <w:szCs w:val="22"/>
        </w:rPr>
        <w:t>, and for deciles (PRMS currently provides median, upper and lower quartiles). As the data available</w:t>
      </w:r>
      <w:r w:rsidR="00F773CB">
        <w:rPr>
          <w:rFonts w:cs="Arial"/>
          <w:sz w:val="22"/>
          <w:szCs w:val="22"/>
        </w:rPr>
        <w:t xml:space="preserve"> for PRMS is a by-product</w:t>
      </w:r>
      <w:r w:rsidR="00187550">
        <w:rPr>
          <w:rFonts w:cs="Arial"/>
          <w:sz w:val="22"/>
          <w:szCs w:val="22"/>
        </w:rPr>
        <w:t xml:space="preserve"> of the statutory requirement to assist with the calculation of </w:t>
      </w:r>
      <w:r w:rsidR="00295293">
        <w:rPr>
          <w:rFonts w:cs="Arial"/>
          <w:sz w:val="22"/>
          <w:szCs w:val="22"/>
        </w:rPr>
        <w:t>local housing a</w:t>
      </w:r>
      <w:r w:rsidR="00F773CB">
        <w:rPr>
          <w:rFonts w:cs="Arial"/>
          <w:sz w:val="22"/>
          <w:szCs w:val="22"/>
        </w:rPr>
        <w:t>llowance</w:t>
      </w:r>
      <w:r w:rsidR="00737E05">
        <w:rPr>
          <w:rFonts w:cs="Arial"/>
          <w:sz w:val="22"/>
          <w:szCs w:val="22"/>
        </w:rPr>
        <w:t>,</w:t>
      </w:r>
      <w:r w:rsidR="00F773CB">
        <w:rPr>
          <w:rFonts w:cs="Arial"/>
          <w:sz w:val="22"/>
          <w:szCs w:val="22"/>
        </w:rPr>
        <w:t xml:space="preserve"> </w:t>
      </w:r>
      <w:r w:rsidR="00295293">
        <w:rPr>
          <w:rFonts w:cs="Arial"/>
          <w:sz w:val="22"/>
          <w:szCs w:val="22"/>
        </w:rPr>
        <w:t xml:space="preserve">we </w:t>
      </w:r>
      <w:r w:rsidR="007F3ED8">
        <w:rPr>
          <w:rFonts w:cs="Arial"/>
          <w:sz w:val="22"/>
          <w:szCs w:val="22"/>
        </w:rPr>
        <w:t>do not hold information on</w:t>
      </w:r>
      <w:r w:rsidR="00D34724">
        <w:rPr>
          <w:rFonts w:cs="Arial"/>
          <w:sz w:val="22"/>
          <w:szCs w:val="22"/>
        </w:rPr>
        <w:t xml:space="preserve"> housing benefit claimants. </w:t>
      </w:r>
      <w:r w:rsidR="007F3ED8">
        <w:rPr>
          <w:rFonts w:cs="Arial"/>
          <w:sz w:val="22"/>
          <w:szCs w:val="22"/>
        </w:rPr>
        <w:t>Also</w:t>
      </w:r>
      <w:r w:rsidR="00D34724">
        <w:rPr>
          <w:rFonts w:cs="Arial"/>
          <w:sz w:val="22"/>
          <w:szCs w:val="22"/>
        </w:rPr>
        <w:t>, d</w:t>
      </w:r>
      <w:r w:rsidR="00295293">
        <w:rPr>
          <w:rFonts w:cs="Arial"/>
          <w:sz w:val="22"/>
          <w:szCs w:val="22"/>
        </w:rPr>
        <w:t>ata sufficiency is likely to be a problem with supplying average rents at the deciles level</w:t>
      </w:r>
      <w:r w:rsidR="00E7709C">
        <w:rPr>
          <w:rFonts w:cs="Arial"/>
          <w:sz w:val="22"/>
          <w:szCs w:val="22"/>
        </w:rPr>
        <w:t>.</w:t>
      </w:r>
      <w:r w:rsidR="00295293">
        <w:rPr>
          <w:rFonts w:cs="Arial"/>
          <w:sz w:val="22"/>
          <w:szCs w:val="22"/>
        </w:rPr>
        <w:t xml:space="preserve"> </w:t>
      </w:r>
      <w:r w:rsidR="00E7709C">
        <w:rPr>
          <w:rFonts w:cs="Arial"/>
          <w:sz w:val="22"/>
          <w:szCs w:val="22"/>
        </w:rPr>
        <w:t>F</w:t>
      </w:r>
      <w:r w:rsidR="00295293">
        <w:rPr>
          <w:rFonts w:cs="Arial"/>
          <w:sz w:val="22"/>
          <w:szCs w:val="22"/>
        </w:rPr>
        <w:t xml:space="preserve">or example, often there are fewer than </w:t>
      </w:r>
      <w:r w:rsidR="00835F62">
        <w:rPr>
          <w:rFonts w:cs="Arial"/>
          <w:sz w:val="22"/>
          <w:szCs w:val="22"/>
        </w:rPr>
        <w:t>10</w:t>
      </w:r>
      <w:r w:rsidR="00295293">
        <w:rPr>
          <w:rFonts w:cs="Arial"/>
          <w:sz w:val="22"/>
          <w:szCs w:val="22"/>
        </w:rPr>
        <w:t xml:space="preserve"> </w:t>
      </w:r>
      <w:proofErr w:type="gramStart"/>
      <w:r w:rsidR="00295293">
        <w:rPr>
          <w:rFonts w:cs="Arial"/>
          <w:sz w:val="22"/>
          <w:szCs w:val="22"/>
        </w:rPr>
        <w:t>lets</w:t>
      </w:r>
      <w:proofErr w:type="gramEnd"/>
      <w:r w:rsidR="00295293">
        <w:rPr>
          <w:rFonts w:cs="Arial"/>
          <w:sz w:val="22"/>
          <w:szCs w:val="22"/>
        </w:rPr>
        <w:t xml:space="preserve"> collected for a given number of rooms in a given local authority</w:t>
      </w:r>
      <w:r w:rsidR="006F7B1C">
        <w:rPr>
          <w:rFonts w:cs="Arial"/>
          <w:sz w:val="22"/>
          <w:szCs w:val="22"/>
        </w:rPr>
        <w:t>.</w:t>
      </w:r>
      <w:r w:rsidR="00295293">
        <w:rPr>
          <w:rFonts w:cs="Arial"/>
          <w:sz w:val="22"/>
          <w:szCs w:val="22"/>
        </w:rPr>
        <w:t xml:space="preserve"> </w:t>
      </w:r>
      <w:r w:rsidR="006F7B1C">
        <w:rPr>
          <w:rFonts w:cs="Arial"/>
          <w:sz w:val="22"/>
          <w:szCs w:val="22"/>
        </w:rPr>
        <w:t>We are however looking to gain access to other sources to enrich our data.</w:t>
      </w:r>
    </w:p>
    <w:p w14:paraId="46072E5A" w14:textId="77777777" w:rsidR="00187550" w:rsidRDefault="00187550" w:rsidP="005248D3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37C030C1" w14:textId="3491BB1C" w:rsidR="00834799" w:rsidRPr="00751138" w:rsidRDefault="001D5E00" w:rsidP="00834799">
      <w:pPr>
        <w:pStyle w:val="ListParagraph"/>
        <w:numPr>
          <w:ilvl w:val="0"/>
          <w:numId w:val="14"/>
        </w:numPr>
        <w:adjustRightInd/>
        <w:spacing w:after="0"/>
        <w:ind w:left="360"/>
        <w:jc w:val="left"/>
        <w:textAlignment w:val="auto"/>
        <w:rPr>
          <w:rFonts w:cs="Arial"/>
          <w:b/>
          <w:sz w:val="22"/>
          <w:szCs w:val="22"/>
        </w:rPr>
      </w:pPr>
      <w:r w:rsidRPr="00751138">
        <w:rPr>
          <w:rFonts w:cs="Arial"/>
          <w:b/>
          <w:sz w:val="22"/>
          <w:szCs w:val="22"/>
        </w:rPr>
        <w:t xml:space="preserve">In the questionnaire responses </w:t>
      </w:r>
      <w:r w:rsidR="00834799">
        <w:rPr>
          <w:rFonts w:cs="Arial"/>
          <w:b/>
          <w:sz w:val="22"/>
          <w:szCs w:val="22"/>
        </w:rPr>
        <w:t>the VOA</w:t>
      </w:r>
      <w:r w:rsidRPr="00751138">
        <w:rPr>
          <w:rFonts w:cs="Arial"/>
          <w:b/>
          <w:sz w:val="22"/>
          <w:szCs w:val="22"/>
        </w:rPr>
        <w:t xml:space="preserve"> received in April, lack of granularity was frequently mentioned as a reason for why our publications didn’t </w:t>
      </w:r>
      <w:r w:rsidR="00D576AF">
        <w:rPr>
          <w:rFonts w:cs="Arial"/>
          <w:b/>
          <w:sz w:val="22"/>
          <w:szCs w:val="22"/>
        </w:rPr>
        <w:t>meet</w:t>
      </w:r>
      <w:r w:rsidRPr="00751138">
        <w:rPr>
          <w:rFonts w:cs="Arial"/>
          <w:b/>
          <w:sz w:val="22"/>
          <w:szCs w:val="22"/>
        </w:rPr>
        <w:t xml:space="preserve"> </w:t>
      </w:r>
      <w:r w:rsidR="00834799">
        <w:rPr>
          <w:rFonts w:cs="Arial"/>
          <w:b/>
          <w:sz w:val="22"/>
          <w:szCs w:val="22"/>
        </w:rPr>
        <w:t>user</w:t>
      </w:r>
      <w:r w:rsidRPr="00751138">
        <w:rPr>
          <w:rFonts w:cs="Arial"/>
          <w:b/>
          <w:sz w:val="22"/>
          <w:szCs w:val="22"/>
        </w:rPr>
        <w:t xml:space="preserve"> requirements. </w:t>
      </w:r>
      <w:r w:rsidR="00834799">
        <w:rPr>
          <w:rFonts w:cs="Arial"/>
          <w:b/>
          <w:sz w:val="22"/>
          <w:szCs w:val="22"/>
        </w:rPr>
        <w:t>Given the</w:t>
      </w:r>
      <w:r w:rsidRPr="00751138">
        <w:rPr>
          <w:rFonts w:cs="Arial"/>
          <w:b/>
          <w:sz w:val="22"/>
          <w:szCs w:val="22"/>
        </w:rPr>
        <w:t xml:space="preserve"> trade-off between the time period</w:t>
      </w:r>
      <w:r w:rsidR="00834799">
        <w:rPr>
          <w:rFonts w:cs="Arial"/>
          <w:b/>
          <w:sz w:val="22"/>
          <w:szCs w:val="22"/>
        </w:rPr>
        <w:t xml:space="preserve"> </w:t>
      </w:r>
      <w:r w:rsidR="00834799" w:rsidRPr="00751138">
        <w:rPr>
          <w:rFonts w:cs="Arial"/>
          <w:b/>
          <w:sz w:val="22"/>
          <w:szCs w:val="22"/>
        </w:rPr>
        <w:t>and the geographical size</w:t>
      </w:r>
      <w:r w:rsidRPr="00751138">
        <w:rPr>
          <w:rFonts w:cs="Arial"/>
          <w:b/>
          <w:sz w:val="22"/>
          <w:szCs w:val="22"/>
        </w:rPr>
        <w:t xml:space="preserve"> over which </w:t>
      </w:r>
      <w:r w:rsidR="00834799">
        <w:rPr>
          <w:rFonts w:cs="Arial"/>
          <w:b/>
          <w:sz w:val="22"/>
          <w:szCs w:val="22"/>
        </w:rPr>
        <w:t>data has to be aggregated due to sufficiency, is the current methodology</w:t>
      </w:r>
      <w:r w:rsidR="00E06AEA">
        <w:rPr>
          <w:rFonts w:cs="Arial"/>
          <w:b/>
          <w:sz w:val="22"/>
          <w:szCs w:val="22"/>
        </w:rPr>
        <w:t xml:space="preserve"> and publication frequency</w:t>
      </w:r>
      <w:r w:rsidR="00834799">
        <w:rPr>
          <w:rFonts w:cs="Arial"/>
          <w:b/>
          <w:sz w:val="22"/>
          <w:szCs w:val="22"/>
        </w:rPr>
        <w:t xml:space="preserve"> acceptable? </w:t>
      </w:r>
    </w:p>
    <w:p w14:paraId="23316300" w14:textId="2BBBA89D" w:rsidR="001D5E00" w:rsidRPr="00751138" w:rsidRDefault="001D5E00" w:rsidP="001D5E00">
      <w:pPr>
        <w:pStyle w:val="ListParagraph"/>
        <w:ind w:left="360"/>
        <w:rPr>
          <w:rFonts w:cs="Arial"/>
          <w:b/>
          <w:sz w:val="22"/>
          <w:szCs w:val="22"/>
        </w:rPr>
      </w:pPr>
    </w:p>
    <w:p w14:paraId="5235EDE6" w14:textId="42A7E190" w:rsidR="0077786B" w:rsidRDefault="00E06AEA" w:rsidP="001D5E00">
      <w:pPr>
        <w:pStyle w:val="ListParagraph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Some attendees expressed a desire for quarterly publication. While this would be possible under the current methodology, it could be misleading given that three-quarters (nine of the 12 months) of the sample would remain the same between quarterly publications.</w:t>
      </w:r>
      <w:r w:rsidR="00120DD7">
        <w:rPr>
          <w:rFonts w:cs="Arial"/>
          <w:sz w:val="22"/>
          <w:szCs w:val="22"/>
        </w:rPr>
        <w:t xml:space="preserve"> It also wouldn’t address the underlying bias in the sample.</w:t>
      </w:r>
    </w:p>
    <w:p w14:paraId="6EDA25E4" w14:textId="77777777" w:rsidR="00E06AEA" w:rsidRDefault="00E06AEA" w:rsidP="001D5E00">
      <w:pPr>
        <w:pStyle w:val="ListParagraph"/>
        <w:ind w:left="360"/>
        <w:rPr>
          <w:rFonts w:cs="Arial"/>
          <w:sz w:val="22"/>
          <w:szCs w:val="22"/>
        </w:rPr>
      </w:pPr>
    </w:p>
    <w:p w14:paraId="4D377E57" w14:textId="03CBA182" w:rsidR="004E24E8" w:rsidRPr="00A40318" w:rsidRDefault="00E06AEA" w:rsidP="004E24E8">
      <w:pPr>
        <w:pStyle w:val="ListParagraph"/>
        <w:ind w:left="360"/>
        <w:rPr>
          <w:rFonts w:cs="Arial"/>
          <w:sz w:val="22"/>
          <w:szCs w:val="22"/>
        </w:rPr>
      </w:pPr>
      <w:r w:rsidRPr="00A40318">
        <w:rPr>
          <w:rFonts w:cs="Arial"/>
          <w:sz w:val="22"/>
          <w:szCs w:val="22"/>
        </w:rPr>
        <w:t>Once the data-sufficiency issues had been explained there was general consent t</w:t>
      </w:r>
      <w:r w:rsidR="004E24E8" w:rsidRPr="00A40318">
        <w:rPr>
          <w:rFonts w:cs="Arial"/>
          <w:sz w:val="22"/>
          <w:szCs w:val="22"/>
        </w:rPr>
        <w:t xml:space="preserve">hat the current </w:t>
      </w:r>
      <w:r w:rsidR="00A40318" w:rsidRPr="00A40318">
        <w:rPr>
          <w:rFonts w:cs="Arial"/>
          <w:sz w:val="22"/>
          <w:szCs w:val="22"/>
        </w:rPr>
        <w:t xml:space="preserve">compromise between frequency and area </w:t>
      </w:r>
      <w:r w:rsidR="004E24E8" w:rsidRPr="00A40318">
        <w:rPr>
          <w:rFonts w:cs="Arial"/>
          <w:sz w:val="22"/>
          <w:szCs w:val="22"/>
        </w:rPr>
        <w:t xml:space="preserve">of resolutions was reasonable. </w:t>
      </w:r>
      <w:r w:rsidR="00835F62" w:rsidRPr="00A40318">
        <w:rPr>
          <w:rFonts w:cs="Arial"/>
          <w:sz w:val="22"/>
          <w:szCs w:val="22"/>
        </w:rPr>
        <w:t xml:space="preserve">The attendees felt that the lower level of geography in the PRMS compared to the regional IPHRP improved the use of the data. </w:t>
      </w:r>
      <w:r w:rsidR="004E24E8" w:rsidRPr="00A40318">
        <w:rPr>
          <w:rFonts w:cs="Arial"/>
          <w:sz w:val="22"/>
          <w:szCs w:val="22"/>
        </w:rPr>
        <w:t>However, the large difference in rental prices between rural and urban areas of local authorities was highlighted as a concern.</w:t>
      </w:r>
    </w:p>
    <w:p w14:paraId="38AFB63E" w14:textId="77777777" w:rsidR="001D5E00" w:rsidRDefault="001D5E00" w:rsidP="001D5E00">
      <w:pPr>
        <w:pStyle w:val="ListParagraph"/>
        <w:ind w:left="360"/>
        <w:rPr>
          <w:rFonts w:cs="Arial"/>
          <w:sz w:val="24"/>
          <w:szCs w:val="24"/>
        </w:rPr>
      </w:pPr>
    </w:p>
    <w:p w14:paraId="494DCD65" w14:textId="2C7A60D1" w:rsidR="004E0EC2" w:rsidRPr="00E7709C" w:rsidRDefault="001D5E00" w:rsidP="004E0EC2">
      <w:pPr>
        <w:pStyle w:val="ListParagraph"/>
        <w:numPr>
          <w:ilvl w:val="0"/>
          <w:numId w:val="14"/>
        </w:numPr>
        <w:adjustRightInd/>
        <w:spacing w:after="0"/>
        <w:ind w:left="360"/>
        <w:jc w:val="left"/>
        <w:textAlignment w:val="auto"/>
        <w:rPr>
          <w:rFonts w:cs="Arial"/>
          <w:b/>
          <w:sz w:val="22"/>
          <w:szCs w:val="22"/>
        </w:rPr>
      </w:pPr>
      <w:r w:rsidRPr="00E7709C">
        <w:rPr>
          <w:rFonts w:cs="Arial"/>
          <w:b/>
          <w:sz w:val="22"/>
          <w:szCs w:val="22"/>
        </w:rPr>
        <w:t xml:space="preserve">A historical time series was also </w:t>
      </w:r>
      <w:r w:rsidR="001B2C9E">
        <w:rPr>
          <w:rFonts w:cs="Arial"/>
          <w:b/>
          <w:sz w:val="22"/>
          <w:szCs w:val="22"/>
        </w:rPr>
        <w:t xml:space="preserve">frequently </w:t>
      </w:r>
      <w:r w:rsidRPr="00E7709C">
        <w:rPr>
          <w:rFonts w:cs="Arial"/>
          <w:b/>
          <w:sz w:val="22"/>
          <w:szCs w:val="22"/>
        </w:rPr>
        <w:t xml:space="preserve">requested in the survey responses. </w:t>
      </w:r>
      <w:r w:rsidR="001B2C9E">
        <w:rPr>
          <w:rFonts w:cs="Arial"/>
          <w:b/>
          <w:sz w:val="22"/>
          <w:szCs w:val="22"/>
        </w:rPr>
        <w:t xml:space="preserve">Does the IPHRP </w:t>
      </w:r>
      <w:r w:rsidRPr="00E7709C">
        <w:rPr>
          <w:rFonts w:cs="Arial"/>
          <w:b/>
          <w:sz w:val="22"/>
          <w:szCs w:val="22"/>
        </w:rPr>
        <w:t xml:space="preserve">meet </w:t>
      </w:r>
      <w:r w:rsidR="001B2C9E">
        <w:rPr>
          <w:rFonts w:cs="Arial"/>
          <w:b/>
          <w:sz w:val="22"/>
          <w:szCs w:val="22"/>
        </w:rPr>
        <w:t>user</w:t>
      </w:r>
      <w:r w:rsidRPr="00E7709C">
        <w:rPr>
          <w:rFonts w:cs="Arial"/>
          <w:b/>
          <w:sz w:val="22"/>
          <w:szCs w:val="22"/>
        </w:rPr>
        <w:t xml:space="preserve"> needs </w:t>
      </w:r>
      <w:r w:rsidR="001B2C9E">
        <w:rPr>
          <w:rFonts w:cs="Arial"/>
          <w:b/>
          <w:sz w:val="22"/>
          <w:szCs w:val="22"/>
        </w:rPr>
        <w:t>for time-series purposes</w:t>
      </w:r>
      <w:r w:rsidRPr="00E7709C">
        <w:rPr>
          <w:rFonts w:cs="Arial"/>
          <w:b/>
          <w:sz w:val="22"/>
          <w:szCs w:val="22"/>
        </w:rPr>
        <w:t>?</w:t>
      </w:r>
    </w:p>
    <w:p w14:paraId="6DE0F5A9" w14:textId="77777777" w:rsidR="001B2C9E" w:rsidRDefault="001B2C9E" w:rsidP="0077786B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6A3D3606" w14:textId="628C6998" w:rsidR="001B2C9E" w:rsidRDefault="001B2C9E" w:rsidP="0077786B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limitations of the PRMS </w:t>
      </w:r>
      <w:r w:rsidR="002B4F20">
        <w:rPr>
          <w:rFonts w:cs="Arial"/>
          <w:sz w:val="22"/>
          <w:szCs w:val="22"/>
        </w:rPr>
        <w:t xml:space="preserve">simple averages </w:t>
      </w:r>
      <w:r>
        <w:rPr>
          <w:rFonts w:cs="Arial"/>
          <w:sz w:val="22"/>
          <w:szCs w:val="22"/>
        </w:rPr>
        <w:t>method</w:t>
      </w:r>
      <w:r w:rsidR="002B4F20">
        <w:rPr>
          <w:rFonts w:cs="Arial"/>
          <w:sz w:val="22"/>
          <w:szCs w:val="22"/>
        </w:rPr>
        <w:t xml:space="preserve"> and data collection were discussed.</w:t>
      </w:r>
      <w:r>
        <w:rPr>
          <w:rFonts w:cs="Arial"/>
          <w:sz w:val="22"/>
          <w:szCs w:val="22"/>
        </w:rPr>
        <w:t xml:space="preserve"> </w:t>
      </w:r>
      <w:r w:rsidR="002B4F20">
        <w:rPr>
          <w:rFonts w:cs="Arial"/>
          <w:sz w:val="22"/>
          <w:szCs w:val="22"/>
        </w:rPr>
        <w:t xml:space="preserve">In particular, </w:t>
      </w:r>
      <w:r>
        <w:rPr>
          <w:rFonts w:cs="Arial"/>
          <w:sz w:val="22"/>
          <w:szCs w:val="22"/>
        </w:rPr>
        <w:t xml:space="preserve">the lack of </w:t>
      </w:r>
      <w:r w:rsidR="002B4F20">
        <w:rPr>
          <w:rFonts w:cs="Arial"/>
          <w:sz w:val="22"/>
          <w:szCs w:val="22"/>
        </w:rPr>
        <w:t xml:space="preserve">variables </w:t>
      </w:r>
      <w:r w:rsidR="000459F2">
        <w:rPr>
          <w:rFonts w:cs="Arial"/>
          <w:sz w:val="22"/>
          <w:szCs w:val="22"/>
        </w:rPr>
        <w:t>required</w:t>
      </w:r>
      <w:r>
        <w:rPr>
          <w:rFonts w:cs="Arial"/>
          <w:sz w:val="22"/>
          <w:szCs w:val="22"/>
        </w:rPr>
        <w:t xml:space="preserve"> to make adjustments for quality mean</w:t>
      </w:r>
      <w:r w:rsidR="002B4F2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that </w:t>
      </w:r>
      <w:r w:rsidR="002B4F20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changes in the sample composition</w:t>
      </w:r>
      <w:r w:rsidR="002B4F20">
        <w:rPr>
          <w:rFonts w:cs="Arial"/>
          <w:sz w:val="22"/>
          <w:szCs w:val="22"/>
        </w:rPr>
        <w:t xml:space="preserve"> over time</w:t>
      </w:r>
      <w:r>
        <w:rPr>
          <w:rFonts w:cs="Arial"/>
          <w:sz w:val="22"/>
          <w:szCs w:val="22"/>
        </w:rPr>
        <w:t xml:space="preserve"> </w:t>
      </w:r>
      <w:r w:rsidR="002B4F20">
        <w:rPr>
          <w:rFonts w:cs="Arial"/>
          <w:sz w:val="22"/>
          <w:szCs w:val="22"/>
        </w:rPr>
        <w:t>renders the PRMS unsuitable for comparisons between different time periods.</w:t>
      </w:r>
    </w:p>
    <w:p w14:paraId="494E7818" w14:textId="77777777" w:rsidR="001B2C9E" w:rsidRDefault="001B2C9E" w:rsidP="0077786B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781EA15A" w14:textId="112ED526" w:rsidR="002B4F20" w:rsidRDefault="00835F62" w:rsidP="0077786B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2B4F20">
        <w:rPr>
          <w:rFonts w:cs="Arial"/>
          <w:sz w:val="22"/>
          <w:szCs w:val="22"/>
        </w:rPr>
        <w:t xml:space="preserve">he attendees were </w:t>
      </w:r>
      <w:r w:rsidR="000459F2">
        <w:rPr>
          <w:rFonts w:cs="Arial"/>
          <w:sz w:val="22"/>
          <w:szCs w:val="22"/>
        </w:rPr>
        <w:t xml:space="preserve">already </w:t>
      </w:r>
      <w:r w:rsidR="002B4F20">
        <w:rPr>
          <w:rFonts w:cs="Arial"/>
          <w:sz w:val="22"/>
          <w:szCs w:val="22"/>
        </w:rPr>
        <w:t xml:space="preserve">aware that the PRMS </w:t>
      </w:r>
      <w:r w:rsidR="00524475">
        <w:rPr>
          <w:rFonts w:cs="Arial"/>
          <w:sz w:val="22"/>
          <w:szCs w:val="22"/>
        </w:rPr>
        <w:t>is</w:t>
      </w:r>
      <w:r w:rsidR="002B4F20">
        <w:rPr>
          <w:rFonts w:cs="Arial"/>
          <w:sz w:val="22"/>
          <w:szCs w:val="22"/>
        </w:rPr>
        <w:t xml:space="preserve"> </w:t>
      </w:r>
      <w:r w:rsidR="007F3ED8">
        <w:rPr>
          <w:rFonts w:cs="Arial"/>
          <w:sz w:val="22"/>
          <w:szCs w:val="22"/>
        </w:rPr>
        <w:t xml:space="preserve">more </w:t>
      </w:r>
      <w:r w:rsidR="002B4F20">
        <w:rPr>
          <w:rFonts w:cs="Arial"/>
          <w:sz w:val="22"/>
          <w:szCs w:val="22"/>
        </w:rPr>
        <w:t xml:space="preserve">suitable for local snapshots, while the IPHRP </w:t>
      </w:r>
      <w:r w:rsidR="00524475">
        <w:rPr>
          <w:rFonts w:cs="Arial"/>
          <w:sz w:val="22"/>
          <w:szCs w:val="22"/>
        </w:rPr>
        <w:t>is</w:t>
      </w:r>
      <w:r w:rsidR="002B4F20">
        <w:rPr>
          <w:rFonts w:cs="Arial"/>
          <w:sz w:val="22"/>
          <w:szCs w:val="22"/>
        </w:rPr>
        <w:t xml:space="preserve"> suitable for studies on inflation.</w:t>
      </w:r>
    </w:p>
    <w:p w14:paraId="62C13AD5" w14:textId="77777777" w:rsidR="002B4F20" w:rsidRDefault="002B4F20" w:rsidP="0077786B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5D5F036A" w14:textId="296CC610" w:rsidR="004E0EC2" w:rsidRPr="00E7709C" w:rsidRDefault="002B4F20" w:rsidP="004E0EC2">
      <w:pPr>
        <w:pStyle w:val="ListParagraph"/>
        <w:numPr>
          <w:ilvl w:val="0"/>
          <w:numId w:val="14"/>
        </w:numPr>
        <w:adjustRightInd/>
        <w:spacing w:after="0"/>
        <w:ind w:left="360"/>
        <w:jc w:val="left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What sources of data/commentary are used besides the PRMS and IPHRP?</w:t>
      </w:r>
    </w:p>
    <w:p w14:paraId="7615CBC7" w14:textId="77777777" w:rsidR="001C5B15" w:rsidRDefault="001C5B15" w:rsidP="0077786B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29FAE708" w14:textId="1145F033" w:rsidR="002B4F20" w:rsidRPr="000459F2" w:rsidRDefault="001C5B15" w:rsidP="007C6E36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The uses and limitations of the 2011 census were mentioned in the presentation, along with comparisons with the English Housing Survey</w:t>
      </w:r>
      <w:r w:rsidR="007C6E36">
        <w:rPr>
          <w:rFonts w:cs="Arial"/>
          <w:sz w:val="22"/>
          <w:szCs w:val="22"/>
        </w:rPr>
        <w:t xml:space="preserve">. Attendees </w:t>
      </w:r>
      <w:r w:rsidR="000459F2">
        <w:rPr>
          <w:rFonts w:cs="Arial"/>
          <w:sz w:val="22"/>
          <w:szCs w:val="22"/>
        </w:rPr>
        <w:t>sometimes used</w:t>
      </w:r>
      <w:r w:rsidR="007C6E36">
        <w:rPr>
          <w:rFonts w:cs="Arial"/>
          <w:sz w:val="22"/>
          <w:szCs w:val="22"/>
        </w:rPr>
        <w:t xml:space="preserve"> data from sources such as Right Move and Zoopla for indications</w:t>
      </w:r>
      <w:r w:rsidR="000459F2">
        <w:rPr>
          <w:rFonts w:cs="Arial"/>
          <w:sz w:val="22"/>
          <w:szCs w:val="22"/>
        </w:rPr>
        <w:t>, though were conscious that these sources were not validated</w:t>
      </w:r>
      <w:r w:rsidR="007C6E36">
        <w:rPr>
          <w:rFonts w:cs="Arial"/>
          <w:sz w:val="22"/>
          <w:szCs w:val="22"/>
        </w:rPr>
        <w:t>. There was discussion around in-house Tenant Satisfaction Surveys, and possible sources of information on tenancy length were discussed.</w:t>
      </w:r>
      <w:r w:rsidR="00835F62" w:rsidDel="00835F62">
        <w:rPr>
          <w:rFonts w:cs="Arial"/>
          <w:sz w:val="22"/>
          <w:szCs w:val="22"/>
        </w:rPr>
        <w:t xml:space="preserve"> </w:t>
      </w:r>
    </w:p>
    <w:p w14:paraId="0976512E" w14:textId="77777777" w:rsidR="007C6E36" w:rsidRDefault="007C6E36" w:rsidP="007C6E36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42E071A6" w14:textId="77777777" w:rsidR="007F3ED8" w:rsidRDefault="007F3ED8" w:rsidP="007C6E36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3774CDF7" w14:textId="77777777" w:rsidR="007F3ED8" w:rsidRDefault="007F3ED8" w:rsidP="007C6E36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170E3C59" w14:textId="77777777" w:rsidR="007F3ED8" w:rsidRDefault="007F3ED8" w:rsidP="007C6E36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182DDDFA" w14:textId="77777777" w:rsidR="007F3ED8" w:rsidRDefault="007F3ED8" w:rsidP="007C6E36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32A989C7" w14:textId="77777777" w:rsidR="007F3ED8" w:rsidRDefault="007F3ED8" w:rsidP="007C6E36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</w:p>
    <w:p w14:paraId="1B15111A" w14:textId="733746BE" w:rsidR="007C6E36" w:rsidRPr="0077786B" w:rsidRDefault="007C6E36" w:rsidP="007C6E36">
      <w:pPr>
        <w:pStyle w:val="ListParagraph"/>
        <w:adjustRightInd/>
        <w:spacing w:after="0"/>
        <w:ind w:left="360"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VOA would like to thank all those who took part in the </w:t>
      </w:r>
      <w:r w:rsidR="00835F62">
        <w:rPr>
          <w:rFonts w:cs="Arial"/>
          <w:sz w:val="22"/>
          <w:szCs w:val="22"/>
        </w:rPr>
        <w:t xml:space="preserve">user engagement </w:t>
      </w:r>
      <w:r>
        <w:rPr>
          <w:rFonts w:cs="Arial"/>
          <w:sz w:val="22"/>
          <w:szCs w:val="22"/>
        </w:rPr>
        <w:t xml:space="preserve">event and those who </w:t>
      </w:r>
      <w:r w:rsidR="00835F62">
        <w:rPr>
          <w:rFonts w:cs="Arial"/>
          <w:sz w:val="22"/>
          <w:szCs w:val="22"/>
        </w:rPr>
        <w:t>provided responses to</w:t>
      </w:r>
      <w:r>
        <w:rPr>
          <w:rFonts w:cs="Arial"/>
          <w:sz w:val="22"/>
          <w:szCs w:val="22"/>
        </w:rPr>
        <w:t xml:space="preserve"> the questionnaire. </w:t>
      </w:r>
      <w:r w:rsidR="007F3ED8">
        <w:rPr>
          <w:rFonts w:cs="Arial"/>
          <w:sz w:val="22"/>
          <w:szCs w:val="22"/>
        </w:rPr>
        <w:t xml:space="preserve">VOA would also welcome any further comments in response to this note. </w:t>
      </w:r>
      <w:r>
        <w:rPr>
          <w:rFonts w:cs="Arial"/>
          <w:sz w:val="22"/>
          <w:szCs w:val="22"/>
        </w:rPr>
        <w:t xml:space="preserve">We will take </w:t>
      </w:r>
      <w:r w:rsidR="000459F2">
        <w:rPr>
          <w:rFonts w:cs="Arial"/>
          <w:sz w:val="22"/>
          <w:szCs w:val="22"/>
        </w:rPr>
        <w:t xml:space="preserve">all </w:t>
      </w:r>
      <w:r>
        <w:rPr>
          <w:rFonts w:cs="Arial"/>
          <w:sz w:val="22"/>
          <w:szCs w:val="22"/>
        </w:rPr>
        <w:t xml:space="preserve">these responses into account when considering </w:t>
      </w:r>
      <w:r w:rsidR="00835F62">
        <w:rPr>
          <w:rFonts w:cs="Arial"/>
          <w:sz w:val="22"/>
          <w:szCs w:val="22"/>
        </w:rPr>
        <w:t xml:space="preserve">methodological developments of the PRMS in </w:t>
      </w:r>
      <w:r>
        <w:rPr>
          <w:rFonts w:cs="Arial"/>
          <w:sz w:val="22"/>
          <w:szCs w:val="22"/>
        </w:rPr>
        <w:t>the future.</w:t>
      </w:r>
    </w:p>
    <w:p w14:paraId="2DA4AEEE" w14:textId="316F8C1C" w:rsidR="00B23A8C" w:rsidRPr="00E7709C" w:rsidRDefault="00B23A8C" w:rsidP="00E7709C">
      <w:pPr>
        <w:adjustRightInd/>
        <w:spacing w:after="0"/>
        <w:jc w:val="left"/>
        <w:textAlignment w:val="auto"/>
        <w:rPr>
          <w:rFonts w:cs="Arial"/>
          <w:sz w:val="22"/>
          <w:szCs w:val="22"/>
        </w:rPr>
      </w:pPr>
    </w:p>
    <w:sectPr w:rsidR="00B23A8C" w:rsidRPr="00E7709C" w:rsidSect="00BC5D2D">
      <w:type w:val="continuous"/>
      <w:pgSz w:w="11909" w:h="16834"/>
      <w:pgMar w:top="720" w:right="720" w:bottom="720" w:left="720" w:header="284" w:footer="142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802CB" w14:textId="77777777" w:rsidR="008C32FE" w:rsidRDefault="00DF178C">
      <w:pPr>
        <w:spacing w:after="0"/>
      </w:pPr>
      <w:r>
        <w:separator/>
      </w:r>
    </w:p>
  </w:endnote>
  <w:endnote w:type="continuationSeparator" w:id="0">
    <w:p w14:paraId="700C389E" w14:textId="77777777" w:rsidR="008C32FE" w:rsidRDefault="00DF17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6"/>
      <w:gridCol w:w="8216"/>
      <w:gridCol w:w="1095"/>
    </w:tblGrid>
    <w:tr w:rsidR="00743BCF" w14:paraId="6B193F78" w14:textId="77777777" w:rsidTr="005C4E05">
      <w:trPr>
        <w:trHeight w:val="142"/>
      </w:trPr>
      <w:tc>
        <w:tcPr>
          <w:tcW w:w="500" w:type="pct"/>
          <w:tcBorders>
            <w:top w:val="single" w:sz="4" w:space="0" w:color="008770"/>
            <w:left w:val="single" w:sz="4" w:space="0" w:color="008770"/>
            <w:bottom w:val="single" w:sz="4" w:space="0" w:color="008770"/>
            <w:right w:val="single" w:sz="4" w:space="0" w:color="002F5F"/>
          </w:tcBorders>
          <w:shd w:val="clear" w:color="auto" w:fill="008770"/>
        </w:tcPr>
        <w:p w14:paraId="505CD65E" w14:textId="77777777" w:rsidR="00743BCF" w:rsidRDefault="00A62424" w:rsidP="00743BCF">
          <w:pPr>
            <w:pStyle w:val="Footer"/>
          </w:pPr>
        </w:p>
      </w:tc>
      <w:tc>
        <w:tcPr>
          <w:tcW w:w="3750" w:type="pct"/>
          <w:tcBorders>
            <w:top w:val="single" w:sz="4" w:space="0" w:color="002F5F"/>
            <w:left w:val="single" w:sz="4" w:space="0" w:color="002F5F"/>
            <w:bottom w:val="single" w:sz="4" w:space="0" w:color="002F5F"/>
            <w:right w:val="single" w:sz="4" w:space="0" w:color="002F5F"/>
          </w:tcBorders>
          <w:shd w:val="clear" w:color="auto" w:fill="002F5F"/>
          <w:vAlign w:val="center"/>
        </w:tcPr>
        <w:p w14:paraId="1498B0C3" w14:textId="367E1F95" w:rsidR="00743BCF" w:rsidRPr="00B718D2" w:rsidRDefault="00CA48A3" w:rsidP="005B520C">
          <w:pPr>
            <w:pStyle w:val="Footer"/>
            <w:spacing w:after="0"/>
            <w:jc w:val="center"/>
            <w:rPr>
              <w:color w:val="FFFFFF"/>
              <w:sz w:val="22"/>
              <w:szCs w:val="22"/>
            </w:rPr>
          </w:pPr>
          <w:r>
            <w:rPr>
              <w:color w:val="FFFFFF"/>
              <w:sz w:val="22"/>
              <w:szCs w:val="22"/>
            </w:rPr>
            <w:t xml:space="preserve">Private Rental Market </w:t>
          </w:r>
          <w:r w:rsidR="005B520C">
            <w:rPr>
              <w:color w:val="FFFFFF"/>
              <w:sz w:val="22"/>
              <w:szCs w:val="22"/>
            </w:rPr>
            <w:t xml:space="preserve">Statistics: User Engagement Questionnaire Results </w:t>
          </w:r>
        </w:p>
      </w:tc>
      <w:tc>
        <w:tcPr>
          <w:tcW w:w="500" w:type="pct"/>
          <w:tcBorders>
            <w:top w:val="single" w:sz="4" w:space="0" w:color="008770"/>
            <w:left w:val="single" w:sz="4" w:space="0" w:color="002F5F"/>
            <w:bottom w:val="single" w:sz="4" w:space="0" w:color="008770"/>
            <w:right w:val="single" w:sz="4" w:space="0" w:color="008770"/>
          </w:tcBorders>
          <w:shd w:val="clear" w:color="auto" w:fill="008770"/>
          <w:vAlign w:val="center"/>
        </w:tcPr>
        <w:p w14:paraId="40C1EFCC" w14:textId="77777777" w:rsidR="00743BCF" w:rsidRPr="003F3460" w:rsidRDefault="00CA48A3" w:rsidP="00743BCF">
          <w:pPr>
            <w:pStyle w:val="Footer"/>
            <w:spacing w:after="0"/>
            <w:rPr>
              <w:b/>
              <w:bCs/>
            </w:rPr>
          </w:pPr>
          <w:r w:rsidRPr="007266BE">
            <w:rPr>
              <w:color w:val="FFFFFF" w:themeColor="background1"/>
            </w:rPr>
            <w:t xml:space="preserve"> </w:t>
          </w:r>
          <w:r w:rsidRPr="007266BE">
            <w:rPr>
              <w:b/>
              <w:bCs/>
              <w:color w:val="FFFFFF" w:themeColor="background1"/>
            </w:rPr>
            <w:fldChar w:fldCharType="begin"/>
          </w:r>
          <w:r w:rsidRPr="007266BE">
            <w:rPr>
              <w:b/>
              <w:bCs/>
              <w:color w:val="FFFFFF" w:themeColor="background1"/>
            </w:rPr>
            <w:instrText xml:space="preserve"> PAGE  \* Arabic  \* MERGEFORMAT </w:instrText>
          </w:r>
          <w:r w:rsidRPr="007266BE">
            <w:rPr>
              <w:b/>
              <w:bCs/>
              <w:color w:val="FFFFFF" w:themeColor="background1"/>
            </w:rPr>
            <w:fldChar w:fldCharType="separate"/>
          </w:r>
          <w:r w:rsidR="00A62424">
            <w:rPr>
              <w:b/>
              <w:bCs/>
              <w:noProof/>
              <w:color w:val="FFFFFF" w:themeColor="background1"/>
            </w:rPr>
            <w:t>3</w:t>
          </w:r>
          <w:r w:rsidRPr="007266BE">
            <w:rPr>
              <w:b/>
              <w:bCs/>
              <w:color w:val="FFFFFF" w:themeColor="background1"/>
            </w:rPr>
            <w:fldChar w:fldCharType="end"/>
          </w:r>
          <w:r w:rsidRPr="007266BE">
            <w:rPr>
              <w:color w:val="FFFFFF" w:themeColor="background1"/>
            </w:rPr>
            <w:t xml:space="preserve"> of </w:t>
          </w:r>
          <w:r w:rsidRPr="007266BE">
            <w:rPr>
              <w:b/>
              <w:bCs/>
              <w:color w:val="FFFFFF" w:themeColor="background1"/>
            </w:rPr>
            <w:fldChar w:fldCharType="begin"/>
          </w:r>
          <w:r w:rsidRPr="007266BE">
            <w:rPr>
              <w:b/>
              <w:bCs/>
              <w:color w:val="FFFFFF" w:themeColor="background1"/>
            </w:rPr>
            <w:instrText xml:space="preserve"> NUMPAGES  \* Arabic  \* MERGEFORMAT </w:instrText>
          </w:r>
          <w:r w:rsidRPr="007266BE">
            <w:rPr>
              <w:b/>
              <w:bCs/>
              <w:color w:val="FFFFFF" w:themeColor="background1"/>
            </w:rPr>
            <w:fldChar w:fldCharType="separate"/>
          </w:r>
          <w:r w:rsidR="00A62424">
            <w:rPr>
              <w:b/>
              <w:bCs/>
              <w:noProof/>
              <w:color w:val="FFFFFF" w:themeColor="background1"/>
            </w:rPr>
            <w:t>3</w:t>
          </w:r>
          <w:r w:rsidRPr="007266BE">
            <w:rPr>
              <w:b/>
              <w:bCs/>
              <w:color w:val="FFFFFF" w:themeColor="background1"/>
            </w:rPr>
            <w:fldChar w:fldCharType="end"/>
          </w:r>
        </w:p>
      </w:tc>
    </w:tr>
  </w:tbl>
  <w:p w14:paraId="42A4E10B" w14:textId="77777777" w:rsidR="0024236F" w:rsidRPr="00743BCF" w:rsidRDefault="00A62424" w:rsidP="00743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7155B" w14:textId="77777777" w:rsidR="008C32FE" w:rsidRDefault="00DF178C">
      <w:pPr>
        <w:spacing w:after="0"/>
      </w:pPr>
      <w:r>
        <w:separator/>
      </w:r>
    </w:p>
  </w:footnote>
  <w:footnote w:type="continuationSeparator" w:id="0">
    <w:p w14:paraId="5EDA2853" w14:textId="77777777" w:rsidR="008C32FE" w:rsidRDefault="00DF17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A88C3" w14:textId="77777777" w:rsidR="00A62424" w:rsidRDefault="00A62424">
    <w:pPr>
      <w:pStyle w:val="Header"/>
    </w:pPr>
  </w:p>
  <w:p w14:paraId="20703232" w14:textId="77777777" w:rsidR="00A62424" w:rsidRDefault="00A62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FF9"/>
    <w:multiLevelType w:val="hybridMultilevel"/>
    <w:tmpl w:val="FD8A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D3C"/>
    <w:multiLevelType w:val="hybridMultilevel"/>
    <w:tmpl w:val="7B32C586"/>
    <w:lvl w:ilvl="0" w:tplc="8272F6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33E1"/>
    <w:multiLevelType w:val="hybridMultilevel"/>
    <w:tmpl w:val="1D28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2EBF"/>
    <w:multiLevelType w:val="hybridMultilevel"/>
    <w:tmpl w:val="381C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0B6E"/>
    <w:multiLevelType w:val="hybridMultilevel"/>
    <w:tmpl w:val="5F968F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7AA8"/>
    <w:multiLevelType w:val="hybridMultilevel"/>
    <w:tmpl w:val="7334213C"/>
    <w:lvl w:ilvl="0" w:tplc="9A821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10BE6"/>
    <w:multiLevelType w:val="hybridMultilevel"/>
    <w:tmpl w:val="320C6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788B"/>
    <w:multiLevelType w:val="hybridMultilevel"/>
    <w:tmpl w:val="A0BE48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EBF3294"/>
    <w:multiLevelType w:val="hybridMultilevel"/>
    <w:tmpl w:val="4D58BB90"/>
    <w:lvl w:ilvl="0" w:tplc="C136D9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E079D"/>
    <w:multiLevelType w:val="hybridMultilevel"/>
    <w:tmpl w:val="693E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61056"/>
    <w:multiLevelType w:val="hybridMultilevel"/>
    <w:tmpl w:val="F22AC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3C07"/>
    <w:multiLevelType w:val="hybridMultilevel"/>
    <w:tmpl w:val="13A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D6E98"/>
    <w:multiLevelType w:val="hybridMultilevel"/>
    <w:tmpl w:val="14C6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2563F"/>
    <w:multiLevelType w:val="hybridMultilevel"/>
    <w:tmpl w:val="CBEC9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D3FF0"/>
    <w:multiLevelType w:val="hybridMultilevel"/>
    <w:tmpl w:val="CA42BF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14"/>
  </w:num>
  <w:num w:numId="12">
    <w:abstractNumId w:val="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77"/>
    <w:rsid w:val="000029A5"/>
    <w:rsid w:val="00014AD2"/>
    <w:rsid w:val="000172CD"/>
    <w:rsid w:val="000220E9"/>
    <w:rsid w:val="000459F2"/>
    <w:rsid w:val="00046187"/>
    <w:rsid w:val="00050AB1"/>
    <w:rsid w:val="00055F5E"/>
    <w:rsid w:val="00074BB2"/>
    <w:rsid w:val="0007501B"/>
    <w:rsid w:val="00091EDF"/>
    <w:rsid w:val="000B35CC"/>
    <w:rsid w:val="000B525B"/>
    <w:rsid w:val="000B686E"/>
    <w:rsid w:val="000C1919"/>
    <w:rsid w:val="000C345A"/>
    <w:rsid w:val="000D393C"/>
    <w:rsid w:val="000E20CC"/>
    <w:rsid w:val="000E308E"/>
    <w:rsid w:val="000E7729"/>
    <w:rsid w:val="000F256E"/>
    <w:rsid w:val="00103D8A"/>
    <w:rsid w:val="00111195"/>
    <w:rsid w:val="00120DD7"/>
    <w:rsid w:val="00130028"/>
    <w:rsid w:val="001307E4"/>
    <w:rsid w:val="001437AB"/>
    <w:rsid w:val="00145269"/>
    <w:rsid w:val="00147366"/>
    <w:rsid w:val="00166873"/>
    <w:rsid w:val="00171150"/>
    <w:rsid w:val="00173C53"/>
    <w:rsid w:val="00183BFB"/>
    <w:rsid w:val="00187550"/>
    <w:rsid w:val="0019095A"/>
    <w:rsid w:val="001A00C9"/>
    <w:rsid w:val="001B06A1"/>
    <w:rsid w:val="001B2C9E"/>
    <w:rsid w:val="001C5B15"/>
    <w:rsid w:val="001D350D"/>
    <w:rsid w:val="001D5E00"/>
    <w:rsid w:val="001E36CD"/>
    <w:rsid w:val="001E4203"/>
    <w:rsid w:val="002006B4"/>
    <w:rsid w:val="002030BE"/>
    <w:rsid w:val="00203287"/>
    <w:rsid w:val="002212E6"/>
    <w:rsid w:val="002267AE"/>
    <w:rsid w:val="0023315B"/>
    <w:rsid w:val="00244F4A"/>
    <w:rsid w:val="002521B0"/>
    <w:rsid w:val="0028269D"/>
    <w:rsid w:val="0028586A"/>
    <w:rsid w:val="00295293"/>
    <w:rsid w:val="0029669F"/>
    <w:rsid w:val="00296E42"/>
    <w:rsid w:val="002A5060"/>
    <w:rsid w:val="002B0017"/>
    <w:rsid w:val="002B183F"/>
    <w:rsid w:val="002B4F20"/>
    <w:rsid w:val="002B5638"/>
    <w:rsid w:val="002D5AA3"/>
    <w:rsid w:val="002D71AD"/>
    <w:rsid w:val="002D7C69"/>
    <w:rsid w:val="002E59F0"/>
    <w:rsid w:val="002F1D1E"/>
    <w:rsid w:val="003005F4"/>
    <w:rsid w:val="003071C4"/>
    <w:rsid w:val="00313EE9"/>
    <w:rsid w:val="003171E2"/>
    <w:rsid w:val="0032387B"/>
    <w:rsid w:val="003241AA"/>
    <w:rsid w:val="00326F15"/>
    <w:rsid w:val="00333D5A"/>
    <w:rsid w:val="003503D0"/>
    <w:rsid w:val="00350CDA"/>
    <w:rsid w:val="0037033C"/>
    <w:rsid w:val="003805D8"/>
    <w:rsid w:val="00385C80"/>
    <w:rsid w:val="003866E8"/>
    <w:rsid w:val="0039344E"/>
    <w:rsid w:val="003A1182"/>
    <w:rsid w:val="003C2859"/>
    <w:rsid w:val="003D414B"/>
    <w:rsid w:val="003D77E6"/>
    <w:rsid w:val="003F4E5D"/>
    <w:rsid w:val="0040212B"/>
    <w:rsid w:val="004237C1"/>
    <w:rsid w:val="004468B9"/>
    <w:rsid w:val="004522A3"/>
    <w:rsid w:val="004703BB"/>
    <w:rsid w:val="00474885"/>
    <w:rsid w:val="004858CD"/>
    <w:rsid w:val="00485DD7"/>
    <w:rsid w:val="004A37DF"/>
    <w:rsid w:val="004A445D"/>
    <w:rsid w:val="004A6174"/>
    <w:rsid w:val="004B1E50"/>
    <w:rsid w:val="004C0C72"/>
    <w:rsid w:val="004C15BD"/>
    <w:rsid w:val="004C372C"/>
    <w:rsid w:val="004C54A4"/>
    <w:rsid w:val="004E0EC2"/>
    <w:rsid w:val="004E24E8"/>
    <w:rsid w:val="004E4F05"/>
    <w:rsid w:val="004F0C81"/>
    <w:rsid w:val="004F2BE2"/>
    <w:rsid w:val="00501B16"/>
    <w:rsid w:val="00505484"/>
    <w:rsid w:val="00524475"/>
    <w:rsid w:val="005248D3"/>
    <w:rsid w:val="00532B88"/>
    <w:rsid w:val="00540E88"/>
    <w:rsid w:val="00553C13"/>
    <w:rsid w:val="00561462"/>
    <w:rsid w:val="00561F84"/>
    <w:rsid w:val="00572667"/>
    <w:rsid w:val="00584E9D"/>
    <w:rsid w:val="005B520C"/>
    <w:rsid w:val="005B607C"/>
    <w:rsid w:val="005C086D"/>
    <w:rsid w:val="005C4470"/>
    <w:rsid w:val="005E0D50"/>
    <w:rsid w:val="005F03F9"/>
    <w:rsid w:val="00607B4A"/>
    <w:rsid w:val="006207B9"/>
    <w:rsid w:val="00627145"/>
    <w:rsid w:val="00634EC9"/>
    <w:rsid w:val="00640934"/>
    <w:rsid w:val="00671C95"/>
    <w:rsid w:val="00673835"/>
    <w:rsid w:val="00674743"/>
    <w:rsid w:val="00695665"/>
    <w:rsid w:val="00697E58"/>
    <w:rsid w:val="006A1D13"/>
    <w:rsid w:val="006A2482"/>
    <w:rsid w:val="006A7924"/>
    <w:rsid w:val="006B2D5F"/>
    <w:rsid w:val="006C0065"/>
    <w:rsid w:val="006C1FB1"/>
    <w:rsid w:val="006E78EC"/>
    <w:rsid w:val="006F475A"/>
    <w:rsid w:val="006F7B1C"/>
    <w:rsid w:val="007011E6"/>
    <w:rsid w:val="00702F06"/>
    <w:rsid w:val="007035D7"/>
    <w:rsid w:val="0070660E"/>
    <w:rsid w:val="00712192"/>
    <w:rsid w:val="00720C71"/>
    <w:rsid w:val="007266BE"/>
    <w:rsid w:val="00737E05"/>
    <w:rsid w:val="0075072D"/>
    <w:rsid w:val="00751138"/>
    <w:rsid w:val="007519A1"/>
    <w:rsid w:val="007604E9"/>
    <w:rsid w:val="00761D89"/>
    <w:rsid w:val="0077786B"/>
    <w:rsid w:val="00780DEA"/>
    <w:rsid w:val="00780F51"/>
    <w:rsid w:val="007819F5"/>
    <w:rsid w:val="007873EE"/>
    <w:rsid w:val="007A4D70"/>
    <w:rsid w:val="007B0611"/>
    <w:rsid w:val="007C1B91"/>
    <w:rsid w:val="007C6E36"/>
    <w:rsid w:val="007D5721"/>
    <w:rsid w:val="007E46F0"/>
    <w:rsid w:val="007F3ED8"/>
    <w:rsid w:val="007F5EF9"/>
    <w:rsid w:val="008201EF"/>
    <w:rsid w:val="00823402"/>
    <w:rsid w:val="00830B40"/>
    <w:rsid w:val="008312C4"/>
    <w:rsid w:val="00834799"/>
    <w:rsid w:val="00835F62"/>
    <w:rsid w:val="00836FA8"/>
    <w:rsid w:val="00846893"/>
    <w:rsid w:val="0088349D"/>
    <w:rsid w:val="00894761"/>
    <w:rsid w:val="008C32FE"/>
    <w:rsid w:val="008D2502"/>
    <w:rsid w:val="008D51B4"/>
    <w:rsid w:val="008E11CA"/>
    <w:rsid w:val="008E49AF"/>
    <w:rsid w:val="008F4A61"/>
    <w:rsid w:val="00901FEE"/>
    <w:rsid w:val="009157C3"/>
    <w:rsid w:val="00922C1E"/>
    <w:rsid w:val="00932896"/>
    <w:rsid w:val="00946600"/>
    <w:rsid w:val="00956EF0"/>
    <w:rsid w:val="009610AF"/>
    <w:rsid w:val="00961628"/>
    <w:rsid w:val="00963557"/>
    <w:rsid w:val="009812DA"/>
    <w:rsid w:val="00981DCC"/>
    <w:rsid w:val="00986896"/>
    <w:rsid w:val="0098704B"/>
    <w:rsid w:val="009B06A7"/>
    <w:rsid w:val="009B2774"/>
    <w:rsid w:val="009C26F5"/>
    <w:rsid w:val="009C7ECC"/>
    <w:rsid w:val="009D1789"/>
    <w:rsid w:val="009E3EDE"/>
    <w:rsid w:val="009E6521"/>
    <w:rsid w:val="00A0125E"/>
    <w:rsid w:val="00A02DCC"/>
    <w:rsid w:val="00A03FA6"/>
    <w:rsid w:val="00A31AE9"/>
    <w:rsid w:val="00A345E9"/>
    <w:rsid w:val="00A40318"/>
    <w:rsid w:val="00A44AB7"/>
    <w:rsid w:val="00A5689F"/>
    <w:rsid w:val="00A62424"/>
    <w:rsid w:val="00A703C2"/>
    <w:rsid w:val="00A930DA"/>
    <w:rsid w:val="00A93A23"/>
    <w:rsid w:val="00A970E6"/>
    <w:rsid w:val="00AE004A"/>
    <w:rsid w:val="00B02C50"/>
    <w:rsid w:val="00B03133"/>
    <w:rsid w:val="00B23A8C"/>
    <w:rsid w:val="00B2531F"/>
    <w:rsid w:val="00B32676"/>
    <w:rsid w:val="00B36F17"/>
    <w:rsid w:val="00B56A78"/>
    <w:rsid w:val="00B64C30"/>
    <w:rsid w:val="00B77BB0"/>
    <w:rsid w:val="00B77E19"/>
    <w:rsid w:val="00BA23D5"/>
    <w:rsid w:val="00BD561A"/>
    <w:rsid w:val="00BD7E51"/>
    <w:rsid w:val="00BE2375"/>
    <w:rsid w:val="00BF3772"/>
    <w:rsid w:val="00C012D4"/>
    <w:rsid w:val="00C063B7"/>
    <w:rsid w:val="00C11D73"/>
    <w:rsid w:val="00C23CB0"/>
    <w:rsid w:val="00C27034"/>
    <w:rsid w:val="00C36E10"/>
    <w:rsid w:val="00C42BF0"/>
    <w:rsid w:val="00C448BD"/>
    <w:rsid w:val="00C448EA"/>
    <w:rsid w:val="00C45AE0"/>
    <w:rsid w:val="00C56DA0"/>
    <w:rsid w:val="00C57218"/>
    <w:rsid w:val="00C93F84"/>
    <w:rsid w:val="00C954E8"/>
    <w:rsid w:val="00C960DD"/>
    <w:rsid w:val="00C967A3"/>
    <w:rsid w:val="00C97023"/>
    <w:rsid w:val="00CA48A3"/>
    <w:rsid w:val="00CA5D16"/>
    <w:rsid w:val="00CC4B00"/>
    <w:rsid w:val="00CC546C"/>
    <w:rsid w:val="00CD0C33"/>
    <w:rsid w:val="00CE75DC"/>
    <w:rsid w:val="00CF66F0"/>
    <w:rsid w:val="00D02244"/>
    <w:rsid w:val="00D05D3E"/>
    <w:rsid w:val="00D063ED"/>
    <w:rsid w:val="00D30177"/>
    <w:rsid w:val="00D3329A"/>
    <w:rsid w:val="00D34724"/>
    <w:rsid w:val="00D34BAB"/>
    <w:rsid w:val="00D35572"/>
    <w:rsid w:val="00D452B9"/>
    <w:rsid w:val="00D536E9"/>
    <w:rsid w:val="00D5755C"/>
    <w:rsid w:val="00D57641"/>
    <w:rsid w:val="00D576AF"/>
    <w:rsid w:val="00D76802"/>
    <w:rsid w:val="00D84EEE"/>
    <w:rsid w:val="00D862CB"/>
    <w:rsid w:val="00D873E5"/>
    <w:rsid w:val="00DA0B4F"/>
    <w:rsid w:val="00DA6CD2"/>
    <w:rsid w:val="00DA7D79"/>
    <w:rsid w:val="00DD207D"/>
    <w:rsid w:val="00DD265D"/>
    <w:rsid w:val="00DE29E8"/>
    <w:rsid w:val="00DE4DC0"/>
    <w:rsid w:val="00DE4FAB"/>
    <w:rsid w:val="00DE6BB5"/>
    <w:rsid w:val="00DF1011"/>
    <w:rsid w:val="00DF178C"/>
    <w:rsid w:val="00E04EA7"/>
    <w:rsid w:val="00E06AEA"/>
    <w:rsid w:val="00E11CC1"/>
    <w:rsid w:val="00E43EF0"/>
    <w:rsid w:val="00E54E36"/>
    <w:rsid w:val="00E560C4"/>
    <w:rsid w:val="00E64427"/>
    <w:rsid w:val="00E73E57"/>
    <w:rsid w:val="00E75897"/>
    <w:rsid w:val="00E7709C"/>
    <w:rsid w:val="00E84DD4"/>
    <w:rsid w:val="00E86C8C"/>
    <w:rsid w:val="00E9053B"/>
    <w:rsid w:val="00E93EAA"/>
    <w:rsid w:val="00EA2B1A"/>
    <w:rsid w:val="00EA3C7F"/>
    <w:rsid w:val="00EB2F87"/>
    <w:rsid w:val="00EC0979"/>
    <w:rsid w:val="00EC1F3D"/>
    <w:rsid w:val="00EC5262"/>
    <w:rsid w:val="00EC7BC7"/>
    <w:rsid w:val="00ED46A9"/>
    <w:rsid w:val="00EE4E20"/>
    <w:rsid w:val="00EF1C21"/>
    <w:rsid w:val="00EF5039"/>
    <w:rsid w:val="00F01226"/>
    <w:rsid w:val="00F05C4C"/>
    <w:rsid w:val="00F10BDD"/>
    <w:rsid w:val="00F14656"/>
    <w:rsid w:val="00F17D7B"/>
    <w:rsid w:val="00F20377"/>
    <w:rsid w:val="00F36757"/>
    <w:rsid w:val="00F47479"/>
    <w:rsid w:val="00F5359B"/>
    <w:rsid w:val="00F5401E"/>
    <w:rsid w:val="00F5745F"/>
    <w:rsid w:val="00F6391E"/>
    <w:rsid w:val="00F773CB"/>
    <w:rsid w:val="00FA2764"/>
    <w:rsid w:val="00FA3CA8"/>
    <w:rsid w:val="00FA6425"/>
    <w:rsid w:val="00FB7985"/>
    <w:rsid w:val="00FC2F15"/>
    <w:rsid w:val="00FC6450"/>
    <w:rsid w:val="00FD187C"/>
    <w:rsid w:val="00FE0CE1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1B4BD"/>
  <w15:chartTrackingRefBased/>
  <w15:docId w15:val="{D61AC9D3-0266-4769-9362-DEDB6636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7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0377"/>
    <w:pPr>
      <w:spacing w:before="120"/>
      <w:jc w:val="left"/>
      <w:outlineLvl w:val="0"/>
    </w:pPr>
    <w:rPr>
      <w:rFonts w:cs="Arial"/>
      <w:b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F20377"/>
    <w:rPr>
      <w:rFonts w:cs="Arial"/>
      <w:b/>
      <w:color w:val="FFFFFF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203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77"/>
    <w:rPr>
      <w:sz w:val="20"/>
      <w:lang w:eastAsia="en-US"/>
    </w:rPr>
  </w:style>
  <w:style w:type="character" w:styleId="Hyperlink">
    <w:name w:val="Hyperlink"/>
    <w:uiPriority w:val="99"/>
    <w:rsid w:val="00F20377"/>
    <w:rPr>
      <w:color w:val="0000FF"/>
      <w:u w:val="single"/>
    </w:rPr>
  </w:style>
  <w:style w:type="paragraph" w:styleId="NormalWeb">
    <w:name w:val="Normal (Web)"/>
    <w:basedOn w:val="Normal"/>
    <w:rsid w:val="00F2037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20377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TOC1">
    <w:name w:val="toc 1"/>
    <w:basedOn w:val="Normal"/>
    <w:next w:val="Normal"/>
    <w:autoRedefine/>
    <w:uiPriority w:val="39"/>
    <w:rsid w:val="00F20377"/>
    <w:pPr>
      <w:tabs>
        <w:tab w:val="left" w:pos="2694"/>
        <w:tab w:val="right" w:leader="dot" w:pos="6728"/>
      </w:tabs>
    </w:pPr>
  </w:style>
  <w:style w:type="paragraph" w:styleId="Header">
    <w:name w:val="header"/>
    <w:basedOn w:val="Normal"/>
    <w:link w:val="HeaderChar"/>
    <w:uiPriority w:val="99"/>
    <w:rsid w:val="00F20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377"/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0F256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F256E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rsid w:val="000F25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61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56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563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FC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450"/>
  </w:style>
  <w:style w:type="character" w:customStyle="1" w:styleId="CommentTextChar">
    <w:name w:val="Comment Text Char"/>
    <w:basedOn w:val="DefaultParagraphFont"/>
    <w:link w:val="CommentText"/>
    <w:rsid w:val="00FC645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450"/>
    <w:rPr>
      <w:b/>
      <w:bCs/>
      <w:sz w:val="20"/>
      <w:lang w:eastAsia="en-US"/>
    </w:rPr>
  </w:style>
  <w:style w:type="character" w:styleId="FollowedHyperlink">
    <w:name w:val="FollowedHyperlink"/>
    <w:basedOn w:val="DefaultParagraphFont"/>
    <w:rsid w:val="003866E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45269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statistics/private-rental-market-statistics-may-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statistics/private-rental-market-statistics-user-engagement-questionnaire-result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A697-214C-4F2D-97AD-7389E664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D0C88776</Template>
  <TotalTime>250</TotalTime>
  <Pages>3</Pages>
  <Words>1110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Adrian</dc:creator>
  <cp:keywords/>
  <dc:description/>
  <cp:lastModifiedBy>Davis, Robin</cp:lastModifiedBy>
  <cp:revision>23</cp:revision>
  <cp:lastPrinted>2016-07-05T09:00:00Z</cp:lastPrinted>
  <dcterms:created xsi:type="dcterms:W3CDTF">2016-10-19T12:59:00Z</dcterms:created>
  <dcterms:modified xsi:type="dcterms:W3CDTF">2016-11-01T11:15:00Z</dcterms:modified>
</cp:coreProperties>
</file>