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Layout w:type="fixed"/>
        <w:tblCellMar>
          <w:left w:w="0" w:type="dxa"/>
          <w:right w:w="0" w:type="dxa"/>
        </w:tblCellMar>
        <w:tblLook w:val="01E0" w:firstRow="1" w:lastRow="1" w:firstColumn="1" w:lastColumn="1" w:noHBand="0" w:noVBand="0"/>
      </w:tblPr>
      <w:tblGrid>
        <w:gridCol w:w="6237"/>
        <w:gridCol w:w="3119"/>
      </w:tblGrid>
      <w:tr w:rsidR="00DD0733" w:rsidRPr="00C9107F" w:rsidTr="00D46C15">
        <w:trPr>
          <w:trHeight w:val="2965"/>
        </w:trPr>
        <w:tc>
          <w:tcPr>
            <w:tcW w:w="6237" w:type="dxa"/>
          </w:tcPr>
          <w:p w:rsidR="00DD0733" w:rsidRPr="00C9107F" w:rsidRDefault="00437947" w:rsidP="002C5025">
            <w:pPr>
              <w:pStyle w:val="MOJaddress"/>
            </w:pPr>
            <w:bookmarkStart w:id="0" w:name="_GoBack"/>
            <w:bookmarkEnd w:id="0"/>
            <w:r w:rsidRPr="00C9107F">
              <w:rPr>
                <w:noProof/>
              </w:rPr>
              <w:drawing>
                <wp:inline distT="0" distB="0" distL="0" distR="0">
                  <wp:extent cx="974725" cy="758825"/>
                  <wp:effectExtent l="0" t="0" r="0" b="3175"/>
                  <wp:docPr id="1" name="Picture 1" descr="Ministry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ry of Just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4725" cy="758825"/>
                          </a:xfrm>
                          <a:prstGeom prst="rect">
                            <a:avLst/>
                          </a:prstGeom>
                          <a:noFill/>
                          <a:ln>
                            <a:noFill/>
                          </a:ln>
                        </pic:spPr>
                      </pic:pic>
                    </a:graphicData>
                  </a:graphic>
                </wp:inline>
              </w:drawing>
            </w:r>
          </w:p>
          <w:p w:rsidR="00DD0733" w:rsidRPr="00C9107F" w:rsidRDefault="00DD0733" w:rsidP="002C5025">
            <w:pPr>
              <w:pStyle w:val="MOJaddress"/>
              <w:rPr>
                <w:sz w:val="22"/>
                <w:szCs w:val="22"/>
              </w:rPr>
            </w:pPr>
          </w:p>
          <w:p w:rsidR="00DD0733" w:rsidRPr="00C9107F" w:rsidRDefault="00DD0733" w:rsidP="002C5025">
            <w:pPr>
              <w:pStyle w:val="MOJaddress"/>
              <w:rPr>
                <w:sz w:val="22"/>
                <w:szCs w:val="22"/>
              </w:rPr>
            </w:pPr>
          </w:p>
          <w:p w:rsidR="00D23D4E" w:rsidRPr="00641978" w:rsidRDefault="00D23D4E" w:rsidP="009853E8">
            <w:pPr>
              <w:pStyle w:val="MOJaddress"/>
              <w:rPr>
                <w:sz w:val="22"/>
                <w:szCs w:val="22"/>
              </w:rPr>
            </w:pPr>
          </w:p>
        </w:tc>
        <w:tc>
          <w:tcPr>
            <w:tcW w:w="3119" w:type="dxa"/>
          </w:tcPr>
          <w:p w:rsidR="00DD0733" w:rsidRPr="00803474" w:rsidRDefault="00803474" w:rsidP="00803474">
            <w:pPr>
              <w:pStyle w:val="Name"/>
              <w:rPr>
                <w:b w:val="0"/>
                <w:sz w:val="22"/>
                <w:szCs w:val="22"/>
              </w:rPr>
            </w:pPr>
            <w:r>
              <w:rPr>
                <w:sz w:val="22"/>
                <w:szCs w:val="22"/>
              </w:rPr>
              <w:t>July</w:t>
            </w:r>
            <w:r w:rsidR="009C2E1F">
              <w:rPr>
                <w:sz w:val="22"/>
                <w:szCs w:val="22"/>
              </w:rPr>
              <w:t xml:space="preserve"> </w:t>
            </w:r>
            <w:r w:rsidR="0076337B" w:rsidRPr="00C9107F">
              <w:rPr>
                <w:sz w:val="22"/>
                <w:szCs w:val="22"/>
              </w:rPr>
              <w:t>2017</w:t>
            </w:r>
          </w:p>
        </w:tc>
      </w:tr>
    </w:tbl>
    <w:p w:rsidR="008329D7" w:rsidRPr="00C9107F" w:rsidRDefault="008329D7" w:rsidP="007A3DF8">
      <w:pPr>
        <w:rPr>
          <w:b/>
          <w:szCs w:val="22"/>
        </w:rPr>
      </w:pPr>
    </w:p>
    <w:p w:rsidR="009853E8" w:rsidRPr="00C9107F" w:rsidRDefault="007A3DF8" w:rsidP="003A2659">
      <w:pPr>
        <w:rPr>
          <w:b/>
          <w:szCs w:val="22"/>
        </w:rPr>
      </w:pPr>
      <w:r w:rsidRPr="00C9107F">
        <w:rPr>
          <w:b/>
          <w:szCs w:val="22"/>
        </w:rPr>
        <w:t xml:space="preserve">Freedom of Information Act (FOIA) </w:t>
      </w:r>
      <w:r w:rsidRPr="00D22499">
        <w:rPr>
          <w:b/>
          <w:szCs w:val="22"/>
        </w:rPr>
        <w:t xml:space="preserve">Request – </w:t>
      </w:r>
      <w:r w:rsidR="00BD7BB2">
        <w:rPr>
          <w:b/>
          <w:szCs w:val="22"/>
        </w:rPr>
        <w:t>112560</w:t>
      </w:r>
    </w:p>
    <w:p w:rsidR="008329D7" w:rsidRDefault="008329D7" w:rsidP="009853E8">
      <w:pPr>
        <w:rPr>
          <w:rFonts w:cs="Arial"/>
          <w:color w:val="000000"/>
        </w:rPr>
      </w:pPr>
    </w:p>
    <w:p w:rsidR="009853E8" w:rsidRPr="008329D7" w:rsidRDefault="00ED50E7" w:rsidP="009853E8">
      <w:pPr>
        <w:rPr>
          <w:rFonts w:cs="Arial"/>
          <w:color w:val="000000"/>
        </w:rPr>
      </w:pPr>
      <w:r>
        <w:rPr>
          <w:rFonts w:cs="Arial"/>
        </w:rPr>
        <w:t>You</w:t>
      </w:r>
      <w:r w:rsidR="0076337B" w:rsidRPr="00C9107F">
        <w:rPr>
          <w:rFonts w:cs="Arial"/>
        </w:rPr>
        <w:t xml:space="preserve"> </w:t>
      </w:r>
      <w:r w:rsidR="0038642F" w:rsidRPr="00C9107F">
        <w:rPr>
          <w:rFonts w:cs="Arial"/>
        </w:rPr>
        <w:t>asked for the following information</w:t>
      </w:r>
      <w:r w:rsidR="0067585E" w:rsidRPr="00C9107F">
        <w:rPr>
          <w:rFonts w:cs="Arial"/>
        </w:rPr>
        <w:t xml:space="preserve"> from the Ministry of Justice (MoJ)</w:t>
      </w:r>
      <w:r w:rsidR="0038642F" w:rsidRPr="00C9107F">
        <w:rPr>
          <w:rFonts w:cs="Arial"/>
        </w:rPr>
        <w:t xml:space="preserve">: </w:t>
      </w:r>
      <w:r w:rsidR="007A3DF8" w:rsidRPr="00C9107F">
        <w:rPr>
          <w:rFonts w:cs="Arial"/>
        </w:rPr>
        <w:t xml:space="preserve"> </w:t>
      </w:r>
    </w:p>
    <w:p w:rsidR="009853E8" w:rsidRDefault="009853E8" w:rsidP="009853E8">
      <w:pPr>
        <w:rPr>
          <w:b/>
          <w:color w:val="0000CC"/>
          <w:szCs w:val="22"/>
        </w:rPr>
      </w:pPr>
    </w:p>
    <w:p w:rsidR="000E6604" w:rsidRPr="003A2659" w:rsidRDefault="000E6604" w:rsidP="000E6604">
      <w:pPr>
        <w:rPr>
          <w:b/>
        </w:rPr>
      </w:pPr>
      <w:r w:rsidRPr="003A2659">
        <w:rPr>
          <w:b/>
        </w:rPr>
        <w:t>1. In each of the last two financial years (13/14) and (14/15) and (15/16) please state how many times you have been informed that an electronic tag has been fitted to the wrong person for any period of time?</w:t>
      </w:r>
    </w:p>
    <w:p w:rsidR="000E6604" w:rsidRPr="003A2659" w:rsidRDefault="000E6604" w:rsidP="000E6604">
      <w:pPr>
        <w:rPr>
          <w:b/>
        </w:rPr>
      </w:pPr>
      <w:r w:rsidRPr="003A2659">
        <w:rPr>
          <w:b/>
        </w:rPr>
        <w:t>2. Please provide a breakdown showing (i) which company was responsible for these incidents and (ii) for each incident how long the wrong person was tagged for before the mistake became apparent?</w:t>
      </w:r>
    </w:p>
    <w:p w:rsidR="000E6604" w:rsidRPr="003A2659" w:rsidRDefault="000E6604" w:rsidP="000E6604">
      <w:pPr>
        <w:rPr>
          <w:b/>
        </w:rPr>
      </w:pPr>
      <w:r w:rsidRPr="003A2659">
        <w:rPr>
          <w:b/>
        </w:rPr>
        <w:t>3. How much was paid to each service provider of electronic monitoring services in each of the following financial years (13/14) and (14/15) and (15/16)?</w:t>
      </w:r>
    </w:p>
    <w:p w:rsidR="003A2659" w:rsidRDefault="003A2659" w:rsidP="000E6604">
      <w:pPr>
        <w:autoSpaceDE w:val="0"/>
        <w:autoSpaceDN w:val="0"/>
        <w:adjustRightInd w:val="0"/>
        <w:spacing w:line="240" w:lineRule="auto"/>
        <w:rPr>
          <w:rFonts w:cs="Arial"/>
          <w:b/>
          <w:szCs w:val="22"/>
        </w:rPr>
      </w:pPr>
    </w:p>
    <w:p w:rsidR="000E6604" w:rsidRPr="003A2659" w:rsidRDefault="000E6604" w:rsidP="000E6604">
      <w:pPr>
        <w:autoSpaceDE w:val="0"/>
        <w:autoSpaceDN w:val="0"/>
        <w:adjustRightInd w:val="0"/>
        <w:spacing w:line="240" w:lineRule="auto"/>
        <w:rPr>
          <w:rFonts w:cs="Arial"/>
          <w:szCs w:val="22"/>
        </w:rPr>
      </w:pPr>
      <w:r w:rsidRPr="003A2659">
        <w:rPr>
          <w:rFonts w:cs="Arial"/>
          <w:szCs w:val="22"/>
        </w:rPr>
        <w:t>Your request has been handled under the</w:t>
      </w:r>
      <w:r w:rsidR="003A2659" w:rsidRPr="003A2659">
        <w:rPr>
          <w:rFonts w:cs="Arial"/>
          <w:szCs w:val="22"/>
        </w:rPr>
        <w:t xml:space="preserve"> </w:t>
      </w:r>
      <w:r w:rsidRPr="003A2659">
        <w:rPr>
          <w:rFonts w:cs="Arial"/>
          <w:szCs w:val="22"/>
        </w:rPr>
        <w:t xml:space="preserve">FOIA. </w:t>
      </w:r>
    </w:p>
    <w:p w:rsidR="008329D7" w:rsidRDefault="008329D7" w:rsidP="008329D7">
      <w:pPr>
        <w:rPr>
          <w:rFonts w:cs="Arial"/>
          <w:color w:val="000000"/>
        </w:rPr>
      </w:pPr>
    </w:p>
    <w:p w:rsidR="008329D7" w:rsidRDefault="000E6604" w:rsidP="008329D7">
      <w:pPr>
        <w:rPr>
          <w:rFonts w:cs="Arial"/>
          <w:color w:val="000000"/>
        </w:rPr>
      </w:pPr>
      <w:r w:rsidRPr="000E6604">
        <w:rPr>
          <w:rFonts w:cs="Arial"/>
          <w:szCs w:val="22"/>
        </w:rPr>
        <w:t xml:space="preserve">I can confirm that the MoJ holds the information that you have </w:t>
      </w:r>
      <w:r>
        <w:rPr>
          <w:rFonts w:cs="Arial"/>
          <w:szCs w:val="22"/>
        </w:rPr>
        <w:t>requested.</w:t>
      </w:r>
      <w:r w:rsidR="003A6D69">
        <w:rPr>
          <w:rFonts w:cs="Arial"/>
          <w:szCs w:val="22"/>
        </w:rPr>
        <w:t xml:space="preserve"> Given the dates you stated, I have interpreted your </w:t>
      </w:r>
      <w:r w:rsidR="00C24302">
        <w:rPr>
          <w:rFonts w:cs="Arial"/>
          <w:szCs w:val="22"/>
        </w:rPr>
        <w:t xml:space="preserve">request at </w:t>
      </w:r>
      <w:r w:rsidR="003A6D69">
        <w:rPr>
          <w:rFonts w:cs="Arial"/>
          <w:szCs w:val="22"/>
        </w:rPr>
        <w:t>question</w:t>
      </w:r>
      <w:r w:rsidR="00C24302">
        <w:rPr>
          <w:rFonts w:cs="Arial"/>
          <w:szCs w:val="22"/>
        </w:rPr>
        <w:t>s</w:t>
      </w:r>
      <w:r w:rsidR="003A6D69">
        <w:rPr>
          <w:rFonts w:cs="Arial"/>
          <w:szCs w:val="22"/>
        </w:rPr>
        <w:t xml:space="preserve"> 1 and 2 to be for a three year period</w:t>
      </w:r>
      <w:r w:rsidR="00C24302">
        <w:rPr>
          <w:rFonts w:cs="Arial"/>
          <w:szCs w:val="22"/>
        </w:rPr>
        <w:t>.</w:t>
      </w:r>
      <w:r w:rsidR="003A6D69">
        <w:rPr>
          <w:rFonts w:cs="Arial"/>
          <w:szCs w:val="22"/>
        </w:rPr>
        <w:t xml:space="preserve">  </w:t>
      </w:r>
    </w:p>
    <w:p w:rsidR="008329D7" w:rsidRDefault="008329D7" w:rsidP="008329D7">
      <w:pPr>
        <w:rPr>
          <w:rFonts w:cs="Arial"/>
          <w:color w:val="000000"/>
        </w:rPr>
      </w:pPr>
    </w:p>
    <w:p w:rsidR="003A2659" w:rsidRPr="003A2659" w:rsidRDefault="003A2659" w:rsidP="008329D7">
      <w:pPr>
        <w:rPr>
          <w:rFonts w:cs="Arial"/>
          <w:b/>
          <w:color w:val="000000"/>
        </w:rPr>
      </w:pPr>
      <w:r w:rsidRPr="003A2659">
        <w:rPr>
          <w:rFonts w:cs="Arial"/>
          <w:b/>
          <w:color w:val="000000"/>
        </w:rPr>
        <w:t>Questions 1 and 2</w:t>
      </w:r>
    </w:p>
    <w:p w:rsidR="000E6604" w:rsidRPr="008329D7" w:rsidRDefault="003A2659" w:rsidP="008329D7">
      <w:pPr>
        <w:rPr>
          <w:rFonts w:cs="Arial"/>
          <w:color w:val="000000"/>
        </w:rPr>
      </w:pPr>
      <w:r>
        <w:rPr>
          <w:rFonts w:cs="Arial"/>
          <w:szCs w:val="22"/>
        </w:rPr>
        <w:t>P</w:t>
      </w:r>
      <w:r w:rsidR="000E6604" w:rsidRPr="000E6604">
        <w:rPr>
          <w:rFonts w:cs="Arial"/>
          <w:szCs w:val="22"/>
        </w:rPr>
        <w:t>lease see the table below</w:t>
      </w:r>
      <w:r w:rsidR="000E6604">
        <w:rPr>
          <w:rFonts w:cs="Arial"/>
          <w:szCs w:val="22"/>
        </w:rPr>
        <w:t xml:space="preserve"> covering the period 2013/14 to 2015/16</w:t>
      </w:r>
      <w:r w:rsidR="000E6604" w:rsidRPr="000E6604">
        <w:rPr>
          <w:rFonts w:cs="Arial"/>
          <w:szCs w:val="22"/>
        </w:rPr>
        <w:t>.</w:t>
      </w:r>
    </w:p>
    <w:p w:rsidR="000E6604" w:rsidRPr="000E6604" w:rsidRDefault="000E6604" w:rsidP="000E6604">
      <w:pPr>
        <w:autoSpaceDE w:val="0"/>
        <w:autoSpaceDN w:val="0"/>
        <w:adjustRightInd w:val="0"/>
        <w:spacing w:line="240" w:lineRule="auto"/>
        <w:rPr>
          <w:rFonts w:cs="Arial"/>
          <w:szCs w:val="22"/>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748"/>
        <w:gridCol w:w="2552"/>
      </w:tblGrid>
      <w:tr w:rsidR="006854A7" w:rsidRPr="000E6604" w:rsidTr="005A2A25">
        <w:trPr>
          <w:trHeight w:val="379"/>
        </w:trPr>
        <w:tc>
          <w:tcPr>
            <w:tcW w:w="1937" w:type="dxa"/>
            <w:tcBorders>
              <w:bottom w:val="single"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b/>
                <w:szCs w:val="22"/>
              </w:rPr>
            </w:pPr>
            <w:r w:rsidRPr="000E6604">
              <w:rPr>
                <w:rFonts w:cs="Arial"/>
                <w:b/>
                <w:szCs w:val="22"/>
              </w:rPr>
              <w:t>Period</w:t>
            </w:r>
          </w:p>
        </w:tc>
        <w:tc>
          <w:tcPr>
            <w:tcW w:w="1748" w:type="dxa"/>
            <w:tcBorders>
              <w:bottom w:val="single"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b/>
                <w:szCs w:val="22"/>
              </w:rPr>
            </w:pPr>
            <w:r w:rsidRPr="000E6604">
              <w:rPr>
                <w:rFonts w:cs="Arial"/>
                <w:b/>
                <w:szCs w:val="22"/>
              </w:rPr>
              <w:t>Contractor</w:t>
            </w:r>
          </w:p>
        </w:tc>
        <w:tc>
          <w:tcPr>
            <w:tcW w:w="2552" w:type="dxa"/>
            <w:tcBorders>
              <w:bottom w:val="single"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b/>
                <w:szCs w:val="22"/>
              </w:rPr>
            </w:pPr>
            <w:r w:rsidRPr="000E6604">
              <w:rPr>
                <w:rFonts w:cs="Arial"/>
                <w:b/>
                <w:szCs w:val="22"/>
              </w:rPr>
              <w:t>Length of time (days)</w:t>
            </w:r>
          </w:p>
        </w:tc>
      </w:tr>
      <w:tr w:rsidR="006854A7" w:rsidRPr="000E6604" w:rsidTr="005A2A25">
        <w:tc>
          <w:tcPr>
            <w:tcW w:w="1937" w:type="dxa"/>
            <w:tcBorders>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szCs w:val="22"/>
              </w:rPr>
            </w:pPr>
            <w:r w:rsidRPr="000E6604">
              <w:rPr>
                <w:rFonts w:cs="Arial"/>
                <w:szCs w:val="22"/>
              </w:rPr>
              <w:t>2013/14</w:t>
            </w:r>
          </w:p>
        </w:tc>
        <w:tc>
          <w:tcPr>
            <w:tcW w:w="1748" w:type="dxa"/>
            <w:tcBorders>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G4S</w:t>
            </w:r>
          </w:p>
        </w:tc>
        <w:tc>
          <w:tcPr>
            <w:tcW w:w="2552" w:type="dxa"/>
            <w:tcBorders>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5</w:t>
            </w:r>
          </w:p>
        </w:tc>
      </w:tr>
      <w:tr w:rsidR="006854A7" w:rsidRPr="000E6604" w:rsidTr="005A2A25">
        <w:tc>
          <w:tcPr>
            <w:tcW w:w="1937"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szCs w:val="22"/>
              </w:rPr>
            </w:pPr>
            <w:r w:rsidRPr="000E6604">
              <w:rPr>
                <w:rFonts w:cs="Arial"/>
                <w:szCs w:val="22"/>
              </w:rPr>
              <w:t>2013/14</w:t>
            </w:r>
          </w:p>
        </w:tc>
        <w:tc>
          <w:tcPr>
            <w:tcW w:w="1748"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G4S</w:t>
            </w:r>
          </w:p>
        </w:tc>
        <w:tc>
          <w:tcPr>
            <w:tcW w:w="2552"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50</w:t>
            </w:r>
          </w:p>
        </w:tc>
      </w:tr>
      <w:tr w:rsidR="006854A7" w:rsidRPr="000E6604" w:rsidTr="005A2A25">
        <w:tc>
          <w:tcPr>
            <w:tcW w:w="1937"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szCs w:val="22"/>
              </w:rPr>
            </w:pPr>
            <w:r w:rsidRPr="000E6604">
              <w:rPr>
                <w:rFonts w:cs="Arial"/>
                <w:szCs w:val="22"/>
              </w:rPr>
              <w:t>2013/14</w:t>
            </w:r>
          </w:p>
        </w:tc>
        <w:tc>
          <w:tcPr>
            <w:tcW w:w="1748"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G4S</w:t>
            </w:r>
          </w:p>
        </w:tc>
        <w:tc>
          <w:tcPr>
            <w:tcW w:w="2552"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1</w:t>
            </w:r>
          </w:p>
        </w:tc>
      </w:tr>
      <w:tr w:rsidR="006854A7" w:rsidRPr="000E6604" w:rsidTr="005A2A25">
        <w:tc>
          <w:tcPr>
            <w:tcW w:w="1937"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szCs w:val="22"/>
              </w:rPr>
            </w:pPr>
            <w:r w:rsidRPr="000E6604">
              <w:rPr>
                <w:rFonts w:cs="Arial"/>
                <w:szCs w:val="22"/>
              </w:rPr>
              <w:t>2013/14</w:t>
            </w:r>
          </w:p>
        </w:tc>
        <w:tc>
          <w:tcPr>
            <w:tcW w:w="1748"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Serco</w:t>
            </w:r>
          </w:p>
        </w:tc>
        <w:tc>
          <w:tcPr>
            <w:tcW w:w="2552"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2</w:t>
            </w:r>
          </w:p>
        </w:tc>
      </w:tr>
      <w:tr w:rsidR="006854A7" w:rsidRPr="000E6604" w:rsidTr="005A2A25">
        <w:tc>
          <w:tcPr>
            <w:tcW w:w="1937"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szCs w:val="22"/>
              </w:rPr>
            </w:pPr>
            <w:r w:rsidRPr="000E6604">
              <w:rPr>
                <w:rFonts w:cs="Arial"/>
                <w:szCs w:val="22"/>
              </w:rPr>
              <w:t>2013/14</w:t>
            </w:r>
          </w:p>
        </w:tc>
        <w:tc>
          <w:tcPr>
            <w:tcW w:w="1748"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Serco</w:t>
            </w:r>
          </w:p>
        </w:tc>
        <w:tc>
          <w:tcPr>
            <w:tcW w:w="2552"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1</w:t>
            </w:r>
          </w:p>
        </w:tc>
      </w:tr>
      <w:tr w:rsidR="006854A7" w:rsidRPr="000E6604" w:rsidTr="005A2A25">
        <w:tc>
          <w:tcPr>
            <w:tcW w:w="1937"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szCs w:val="22"/>
              </w:rPr>
            </w:pPr>
            <w:r w:rsidRPr="000E6604">
              <w:rPr>
                <w:rFonts w:cs="Arial"/>
                <w:szCs w:val="22"/>
              </w:rPr>
              <w:t>2013/14</w:t>
            </w:r>
          </w:p>
        </w:tc>
        <w:tc>
          <w:tcPr>
            <w:tcW w:w="1748"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Serco</w:t>
            </w:r>
          </w:p>
        </w:tc>
        <w:tc>
          <w:tcPr>
            <w:tcW w:w="2552"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1</w:t>
            </w:r>
          </w:p>
        </w:tc>
      </w:tr>
      <w:tr w:rsidR="006854A7" w:rsidRPr="000E6604" w:rsidTr="005A2A25">
        <w:tc>
          <w:tcPr>
            <w:tcW w:w="1937"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szCs w:val="22"/>
              </w:rPr>
            </w:pPr>
            <w:r w:rsidRPr="000E6604">
              <w:rPr>
                <w:rFonts w:cs="Arial"/>
                <w:szCs w:val="22"/>
              </w:rPr>
              <w:t>2013/14</w:t>
            </w:r>
          </w:p>
        </w:tc>
        <w:tc>
          <w:tcPr>
            <w:tcW w:w="1748"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Serco</w:t>
            </w:r>
          </w:p>
        </w:tc>
        <w:tc>
          <w:tcPr>
            <w:tcW w:w="2552"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2</w:t>
            </w:r>
          </w:p>
        </w:tc>
      </w:tr>
      <w:tr w:rsidR="006854A7" w:rsidRPr="000E6604" w:rsidTr="005A2A25">
        <w:tc>
          <w:tcPr>
            <w:tcW w:w="1937"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szCs w:val="22"/>
              </w:rPr>
            </w:pPr>
            <w:r w:rsidRPr="000E6604">
              <w:rPr>
                <w:rFonts w:cs="Arial"/>
                <w:szCs w:val="22"/>
              </w:rPr>
              <w:t>2013/14</w:t>
            </w:r>
          </w:p>
        </w:tc>
        <w:tc>
          <w:tcPr>
            <w:tcW w:w="1748"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Serco</w:t>
            </w:r>
          </w:p>
        </w:tc>
        <w:tc>
          <w:tcPr>
            <w:tcW w:w="2552" w:type="dxa"/>
            <w:tcBorders>
              <w:top w:val="dashed" w:sz="4" w:space="0" w:color="auto"/>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3</w:t>
            </w:r>
          </w:p>
        </w:tc>
      </w:tr>
      <w:tr w:rsidR="006854A7" w:rsidRPr="000E6604" w:rsidTr="005A2A25">
        <w:tc>
          <w:tcPr>
            <w:tcW w:w="1937" w:type="dxa"/>
            <w:tcBorders>
              <w:top w:val="dashed" w:sz="4" w:space="0" w:color="auto"/>
              <w:bottom w:val="single"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szCs w:val="22"/>
              </w:rPr>
            </w:pPr>
            <w:r w:rsidRPr="000E6604">
              <w:rPr>
                <w:rFonts w:cs="Arial"/>
                <w:szCs w:val="22"/>
              </w:rPr>
              <w:lastRenderedPageBreak/>
              <w:t>2013/14</w:t>
            </w:r>
          </w:p>
        </w:tc>
        <w:tc>
          <w:tcPr>
            <w:tcW w:w="1748" w:type="dxa"/>
            <w:tcBorders>
              <w:top w:val="dashed" w:sz="4" w:space="0" w:color="auto"/>
              <w:bottom w:val="single"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Serco</w:t>
            </w:r>
          </w:p>
        </w:tc>
        <w:tc>
          <w:tcPr>
            <w:tcW w:w="2552" w:type="dxa"/>
            <w:tcBorders>
              <w:top w:val="dashed" w:sz="4" w:space="0" w:color="auto"/>
              <w:bottom w:val="single"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3</w:t>
            </w:r>
          </w:p>
        </w:tc>
      </w:tr>
      <w:tr w:rsidR="006854A7" w:rsidRPr="000E6604" w:rsidTr="005A2A25">
        <w:tc>
          <w:tcPr>
            <w:tcW w:w="1937" w:type="dxa"/>
            <w:tcBorders>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szCs w:val="22"/>
              </w:rPr>
            </w:pPr>
            <w:r w:rsidRPr="000E6604">
              <w:rPr>
                <w:rFonts w:cs="Arial"/>
                <w:szCs w:val="22"/>
              </w:rPr>
              <w:t>2014/15</w:t>
            </w:r>
          </w:p>
        </w:tc>
        <w:tc>
          <w:tcPr>
            <w:tcW w:w="1748" w:type="dxa"/>
            <w:tcBorders>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EMS Capita</w:t>
            </w:r>
          </w:p>
        </w:tc>
        <w:tc>
          <w:tcPr>
            <w:tcW w:w="2552" w:type="dxa"/>
            <w:tcBorders>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7</w:t>
            </w:r>
          </w:p>
        </w:tc>
      </w:tr>
      <w:tr w:rsidR="006854A7" w:rsidRPr="000E6604" w:rsidTr="005A2A25">
        <w:tc>
          <w:tcPr>
            <w:tcW w:w="1937" w:type="dxa"/>
            <w:tcBorders>
              <w:top w:val="dashed" w:sz="4" w:space="0" w:color="auto"/>
              <w:bottom w:val="single"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szCs w:val="22"/>
              </w:rPr>
            </w:pPr>
            <w:r w:rsidRPr="000E6604">
              <w:rPr>
                <w:rFonts w:cs="Arial"/>
                <w:szCs w:val="22"/>
              </w:rPr>
              <w:t>2014/15</w:t>
            </w:r>
          </w:p>
        </w:tc>
        <w:tc>
          <w:tcPr>
            <w:tcW w:w="1748" w:type="dxa"/>
            <w:tcBorders>
              <w:top w:val="dashed" w:sz="4" w:space="0" w:color="auto"/>
              <w:bottom w:val="single"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EMS Capita</w:t>
            </w:r>
          </w:p>
        </w:tc>
        <w:tc>
          <w:tcPr>
            <w:tcW w:w="2552" w:type="dxa"/>
            <w:tcBorders>
              <w:top w:val="dashed" w:sz="4" w:space="0" w:color="auto"/>
              <w:bottom w:val="single"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3 hours</w:t>
            </w:r>
          </w:p>
        </w:tc>
      </w:tr>
      <w:tr w:rsidR="006854A7" w:rsidRPr="000E6604" w:rsidTr="005A2A25">
        <w:tc>
          <w:tcPr>
            <w:tcW w:w="1937" w:type="dxa"/>
            <w:tcBorders>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szCs w:val="22"/>
              </w:rPr>
            </w:pPr>
            <w:r w:rsidRPr="000E6604">
              <w:rPr>
                <w:rFonts w:cs="Arial"/>
                <w:szCs w:val="22"/>
              </w:rPr>
              <w:t>2015/16</w:t>
            </w:r>
          </w:p>
        </w:tc>
        <w:tc>
          <w:tcPr>
            <w:tcW w:w="1748" w:type="dxa"/>
            <w:tcBorders>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EMS Capita</w:t>
            </w:r>
          </w:p>
        </w:tc>
        <w:tc>
          <w:tcPr>
            <w:tcW w:w="2552" w:type="dxa"/>
            <w:tcBorders>
              <w:bottom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24</w:t>
            </w:r>
          </w:p>
        </w:tc>
      </w:tr>
      <w:tr w:rsidR="006854A7" w:rsidRPr="000E6604" w:rsidTr="005A2A25">
        <w:tc>
          <w:tcPr>
            <w:tcW w:w="1937" w:type="dxa"/>
            <w:tcBorders>
              <w:top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jc w:val="center"/>
              <w:rPr>
                <w:rFonts w:cs="Arial"/>
                <w:szCs w:val="22"/>
              </w:rPr>
            </w:pPr>
            <w:r w:rsidRPr="000E6604">
              <w:rPr>
                <w:rFonts w:cs="Arial"/>
                <w:szCs w:val="22"/>
              </w:rPr>
              <w:t>2015/16</w:t>
            </w:r>
          </w:p>
        </w:tc>
        <w:tc>
          <w:tcPr>
            <w:tcW w:w="1748" w:type="dxa"/>
            <w:tcBorders>
              <w:top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EMS Capita</w:t>
            </w:r>
          </w:p>
        </w:tc>
        <w:tc>
          <w:tcPr>
            <w:tcW w:w="2552" w:type="dxa"/>
            <w:tcBorders>
              <w:top w:val="dashed" w:sz="4" w:space="0" w:color="auto"/>
            </w:tcBorders>
            <w:shd w:val="clear" w:color="auto" w:fill="auto"/>
            <w:vAlign w:val="center"/>
          </w:tcPr>
          <w:p w:rsidR="006854A7" w:rsidRPr="000E6604" w:rsidRDefault="006854A7" w:rsidP="000E6604">
            <w:pPr>
              <w:autoSpaceDE w:val="0"/>
              <w:autoSpaceDN w:val="0"/>
              <w:adjustRightInd w:val="0"/>
              <w:spacing w:before="120" w:after="120" w:line="240" w:lineRule="auto"/>
              <w:rPr>
                <w:rFonts w:cs="Arial"/>
                <w:szCs w:val="22"/>
              </w:rPr>
            </w:pPr>
            <w:r w:rsidRPr="000E6604">
              <w:rPr>
                <w:rFonts w:cs="Arial"/>
                <w:szCs w:val="22"/>
              </w:rPr>
              <w:t>3</w:t>
            </w:r>
          </w:p>
        </w:tc>
      </w:tr>
    </w:tbl>
    <w:p w:rsidR="000E6604" w:rsidRPr="000E6604" w:rsidRDefault="000E6604" w:rsidP="000E6604">
      <w:pPr>
        <w:autoSpaceDE w:val="0"/>
        <w:autoSpaceDN w:val="0"/>
        <w:adjustRightInd w:val="0"/>
        <w:spacing w:line="240" w:lineRule="auto"/>
        <w:rPr>
          <w:rFonts w:cs="Arial"/>
          <w:szCs w:val="22"/>
        </w:rPr>
      </w:pPr>
    </w:p>
    <w:p w:rsidR="008329D7" w:rsidRDefault="008329D7" w:rsidP="008329D7">
      <w:pPr>
        <w:rPr>
          <w:rFonts w:cs="Arial"/>
          <w:color w:val="000000"/>
        </w:rPr>
      </w:pPr>
    </w:p>
    <w:p w:rsidR="008329D7" w:rsidRDefault="000E6604" w:rsidP="008329D7">
      <w:pPr>
        <w:rPr>
          <w:rFonts w:cs="Arial"/>
          <w:color w:val="000000"/>
        </w:rPr>
      </w:pPr>
      <w:r w:rsidRPr="000E6604">
        <w:rPr>
          <w:rFonts w:cs="Arial"/>
          <w:szCs w:val="22"/>
        </w:rPr>
        <w:t>Where individuals have deliberately engaged in a deception to prevent the right person being tagged, this will be dealt with robustly and appropriately, in some cases leading to both parties receiving a custodial sentence.</w:t>
      </w:r>
    </w:p>
    <w:p w:rsidR="008329D7" w:rsidRDefault="008329D7" w:rsidP="008329D7">
      <w:pPr>
        <w:rPr>
          <w:rFonts w:cs="Arial"/>
          <w:color w:val="000000"/>
        </w:rPr>
      </w:pPr>
    </w:p>
    <w:p w:rsidR="008329D7" w:rsidRPr="00A300E1" w:rsidRDefault="004D3E38" w:rsidP="008329D7">
      <w:pPr>
        <w:rPr>
          <w:rFonts w:cs="Arial"/>
          <w:szCs w:val="22"/>
        </w:rPr>
      </w:pPr>
      <w:r>
        <w:rPr>
          <w:rFonts w:cs="Arial"/>
          <w:szCs w:val="22"/>
        </w:rPr>
        <w:t>E</w:t>
      </w:r>
      <w:r w:rsidR="000E6604" w:rsidRPr="000E6604">
        <w:rPr>
          <w:rFonts w:cs="Arial"/>
          <w:szCs w:val="22"/>
        </w:rPr>
        <w:t>lectronic monitoring services w</w:t>
      </w:r>
      <w:r>
        <w:rPr>
          <w:rFonts w:cs="Arial"/>
          <w:szCs w:val="22"/>
        </w:rPr>
        <w:t>ere</w:t>
      </w:r>
      <w:r w:rsidR="000E6604" w:rsidRPr="000E6604">
        <w:rPr>
          <w:rFonts w:cs="Arial"/>
          <w:szCs w:val="22"/>
        </w:rPr>
        <w:t xml:space="preserve"> taken over by Capita </w:t>
      </w:r>
      <w:r>
        <w:rPr>
          <w:rFonts w:cs="Arial"/>
          <w:szCs w:val="22"/>
        </w:rPr>
        <w:t xml:space="preserve">in 2014. </w:t>
      </w:r>
      <w:r w:rsidR="002F60ED">
        <w:rPr>
          <w:rFonts w:cs="Arial"/>
          <w:szCs w:val="22"/>
        </w:rPr>
        <w:t>Since then</w:t>
      </w:r>
      <w:r w:rsidR="00A300E1">
        <w:rPr>
          <w:rFonts w:cs="Arial"/>
          <w:szCs w:val="22"/>
        </w:rPr>
        <w:t xml:space="preserve"> significant</w:t>
      </w:r>
      <w:r w:rsidR="006A6BA0">
        <w:rPr>
          <w:rFonts w:cs="Arial"/>
          <w:szCs w:val="22"/>
        </w:rPr>
        <w:t xml:space="preserve"> </w:t>
      </w:r>
      <w:r w:rsidR="000E6604" w:rsidRPr="000E6604">
        <w:rPr>
          <w:rFonts w:cs="Arial"/>
          <w:szCs w:val="22"/>
        </w:rPr>
        <w:t xml:space="preserve">activity has been undertaken to </w:t>
      </w:r>
      <w:r>
        <w:rPr>
          <w:rFonts w:cs="Arial"/>
          <w:szCs w:val="22"/>
        </w:rPr>
        <w:t xml:space="preserve">review and develop </w:t>
      </w:r>
      <w:r w:rsidR="000E6604" w:rsidRPr="000E6604">
        <w:rPr>
          <w:rFonts w:cs="Arial"/>
          <w:szCs w:val="22"/>
        </w:rPr>
        <w:t xml:space="preserve">operational processes </w:t>
      </w:r>
      <w:r>
        <w:rPr>
          <w:rFonts w:cs="Arial"/>
          <w:szCs w:val="22"/>
        </w:rPr>
        <w:t>and contract management governance</w:t>
      </w:r>
      <w:r w:rsidR="000E6604" w:rsidRPr="000E6604">
        <w:rPr>
          <w:rFonts w:cs="Arial"/>
          <w:szCs w:val="22"/>
        </w:rPr>
        <w:t xml:space="preserve">, with staff now </w:t>
      </w:r>
      <w:r w:rsidR="000D0F20">
        <w:rPr>
          <w:rFonts w:cs="Arial"/>
          <w:szCs w:val="22"/>
        </w:rPr>
        <w:t>e</w:t>
      </w:r>
      <w:r w:rsidR="000E6604" w:rsidRPr="000E6604">
        <w:rPr>
          <w:rFonts w:cs="Arial"/>
          <w:szCs w:val="22"/>
        </w:rPr>
        <w:t>mbedded on-site to provide assurance of contractor operations. This has significantly increased our confidence in, and oversight of, incident reporting.</w:t>
      </w:r>
    </w:p>
    <w:p w:rsidR="008329D7" w:rsidRDefault="008329D7" w:rsidP="008329D7">
      <w:pPr>
        <w:rPr>
          <w:rFonts w:cs="Arial"/>
          <w:color w:val="000000"/>
        </w:rPr>
      </w:pPr>
    </w:p>
    <w:p w:rsidR="008329D7" w:rsidRDefault="000D0F20" w:rsidP="008329D7">
      <w:pPr>
        <w:rPr>
          <w:rFonts w:cs="Arial"/>
          <w:szCs w:val="22"/>
        </w:rPr>
      </w:pPr>
      <w:r>
        <w:rPr>
          <w:rFonts w:cs="Arial"/>
          <w:szCs w:val="22"/>
        </w:rPr>
        <w:t xml:space="preserve">For the </w:t>
      </w:r>
      <w:r w:rsidR="004D3E38">
        <w:rPr>
          <w:rFonts w:cs="Arial"/>
          <w:szCs w:val="22"/>
        </w:rPr>
        <w:t xml:space="preserve">aforementioned </w:t>
      </w:r>
      <w:r>
        <w:rPr>
          <w:rFonts w:cs="Arial"/>
          <w:szCs w:val="22"/>
        </w:rPr>
        <w:t xml:space="preserve">2014/15 cases </w:t>
      </w:r>
      <w:r w:rsidR="000E6604" w:rsidRPr="000E6604">
        <w:rPr>
          <w:rFonts w:cs="Arial"/>
          <w:szCs w:val="22"/>
        </w:rPr>
        <w:t>we worked hard with Capita to strengthen and improve</w:t>
      </w:r>
      <w:r>
        <w:rPr>
          <w:rFonts w:cs="Arial"/>
          <w:szCs w:val="22"/>
        </w:rPr>
        <w:t xml:space="preserve"> </w:t>
      </w:r>
      <w:r w:rsidR="000E6604" w:rsidRPr="000E6604">
        <w:rPr>
          <w:rFonts w:cs="Arial"/>
          <w:szCs w:val="22"/>
        </w:rPr>
        <w:t>the processes by which an individual’s identity is verified, and the way in which incidents are reported have been overhauled.</w:t>
      </w:r>
    </w:p>
    <w:p w:rsidR="006854A7" w:rsidRDefault="006854A7" w:rsidP="008329D7">
      <w:pPr>
        <w:rPr>
          <w:rFonts w:cs="Arial"/>
          <w:szCs w:val="22"/>
        </w:rPr>
      </w:pPr>
    </w:p>
    <w:p w:rsidR="00AC10CF" w:rsidRDefault="00AC10CF" w:rsidP="0093305E">
      <w:pPr>
        <w:pStyle w:val="ListParagraph"/>
        <w:ind w:left="0"/>
        <w:rPr>
          <w:rFonts w:ascii="Arial" w:hAnsi="Arial" w:cs="Arial"/>
        </w:rPr>
      </w:pPr>
      <w:r>
        <w:rPr>
          <w:rFonts w:ascii="Arial" w:hAnsi="Arial" w:cs="Arial"/>
        </w:rPr>
        <w:t xml:space="preserve">Additional scrutiny is provided by a specialist government auditing team which will regularly review the contract delivery. </w:t>
      </w:r>
      <w:r w:rsidR="000D0F20">
        <w:rPr>
          <w:rFonts w:ascii="Arial" w:hAnsi="Arial" w:cs="Arial"/>
        </w:rPr>
        <w:t>Any findings</w:t>
      </w:r>
      <w:r>
        <w:rPr>
          <w:rFonts w:ascii="Arial" w:hAnsi="Arial" w:cs="Arial"/>
        </w:rPr>
        <w:t xml:space="preserve"> are passed to the contractors and their implementation is directly overseen by the contract management team. </w:t>
      </w:r>
    </w:p>
    <w:p w:rsidR="00AC10CF" w:rsidRDefault="00AC10CF" w:rsidP="0093305E">
      <w:pPr>
        <w:pStyle w:val="ListParagraph"/>
        <w:ind w:left="0"/>
        <w:rPr>
          <w:rFonts w:ascii="Arial" w:hAnsi="Arial" w:cs="Arial"/>
        </w:rPr>
      </w:pPr>
    </w:p>
    <w:p w:rsidR="00AC10CF" w:rsidRDefault="000D0F20" w:rsidP="0093305E">
      <w:pPr>
        <w:pStyle w:val="ListParagraph"/>
        <w:ind w:left="0"/>
        <w:rPr>
          <w:rFonts w:ascii="Arial" w:hAnsi="Arial" w:cs="Arial"/>
        </w:rPr>
      </w:pPr>
      <w:r>
        <w:rPr>
          <w:rFonts w:ascii="Arial" w:hAnsi="Arial" w:cs="Arial"/>
        </w:rPr>
        <w:t>W</w:t>
      </w:r>
      <w:r w:rsidR="00AC10CF">
        <w:rPr>
          <w:rFonts w:ascii="Arial" w:hAnsi="Arial" w:cs="Arial"/>
        </w:rPr>
        <w:t xml:space="preserve">e have </w:t>
      </w:r>
      <w:r w:rsidR="006A6BA0">
        <w:rPr>
          <w:rFonts w:ascii="Arial" w:hAnsi="Arial" w:cs="Arial"/>
        </w:rPr>
        <w:t xml:space="preserve">also </w:t>
      </w:r>
      <w:r w:rsidR="00AC10CF">
        <w:rPr>
          <w:rFonts w:ascii="Arial" w:hAnsi="Arial" w:cs="Arial"/>
        </w:rPr>
        <w:t xml:space="preserve">increased accountability so that it is clear which contractor, team or individual is responsible for every deliverable. </w:t>
      </w:r>
    </w:p>
    <w:p w:rsidR="006854A7" w:rsidRDefault="006854A7" w:rsidP="008329D7">
      <w:pPr>
        <w:rPr>
          <w:rFonts w:cs="Arial"/>
          <w:color w:val="000000"/>
        </w:rPr>
      </w:pPr>
    </w:p>
    <w:p w:rsidR="008329D7" w:rsidRDefault="008329D7" w:rsidP="008329D7">
      <w:pPr>
        <w:rPr>
          <w:rFonts w:cs="Arial"/>
          <w:color w:val="000000"/>
        </w:rPr>
      </w:pPr>
    </w:p>
    <w:p w:rsidR="003A2659" w:rsidRPr="003A2659" w:rsidRDefault="003A2659" w:rsidP="008329D7">
      <w:pPr>
        <w:rPr>
          <w:rFonts w:cs="Arial"/>
          <w:b/>
          <w:szCs w:val="22"/>
        </w:rPr>
      </w:pPr>
      <w:r w:rsidRPr="003A2659">
        <w:rPr>
          <w:rFonts w:cs="Arial"/>
          <w:b/>
          <w:szCs w:val="22"/>
        </w:rPr>
        <w:t>Question 3</w:t>
      </w:r>
    </w:p>
    <w:p w:rsidR="000E6604" w:rsidRPr="008329D7" w:rsidRDefault="00BD7BB2" w:rsidP="008329D7">
      <w:pPr>
        <w:rPr>
          <w:rFonts w:cs="Arial"/>
          <w:color w:val="000000"/>
        </w:rPr>
      </w:pPr>
      <w:r>
        <w:rPr>
          <w:rFonts w:cs="Arial"/>
          <w:szCs w:val="22"/>
        </w:rPr>
        <w:t>I have extracted the figures in the table below.</w:t>
      </w:r>
      <w:r w:rsidR="000E6604" w:rsidRPr="000E6604">
        <w:rPr>
          <w:rFonts w:cs="Arial"/>
          <w:b/>
          <w:i/>
          <w:szCs w:val="22"/>
        </w:rPr>
        <w:t xml:space="preserve"> </w:t>
      </w:r>
    </w:p>
    <w:p w:rsidR="000E6604" w:rsidRPr="000E6604" w:rsidRDefault="000E6604" w:rsidP="000E6604">
      <w:pPr>
        <w:autoSpaceDE w:val="0"/>
        <w:autoSpaceDN w:val="0"/>
        <w:adjustRightInd w:val="0"/>
        <w:spacing w:line="240" w:lineRule="auto"/>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984"/>
        <w:gridCol w:w="2127"/>
        <w:gridCol w:w="2885"/>
      </w:tblGrid>
      <w:tr w:rsidR="000E6604" w:rsidRPr="000E6604" w:rsidTr="008329D7">
        <w:trPr>
          <w:trHeight w:val="735"/>
        </w:trPr>
        <w:tc>
          <w:tcPr>
            <w:tcW w:w="1418" w:type="dxa"/>
            <w:shd w:val="clear" w:color="auto" w:fill="auto"/>
            <w:vAlign w:val="center"/>
          </w:tcPr>
          <w:p w:rsidR="000E6604" w:rsidRPr="000E6604" w:rsidRDefault="000E6604" w:rsidP="000E6604">
            <w:pPr>
              <w:spacing w:before="120" w:after="120" w:line="240" w:lineRule="auto"/>
              <w:jc w:val="center"/>
              <w:rPr>
                <w:rFonts w:cs="Arial"/>
                <w:b/>
                <w:szCs w:val="22"/>
              </w:rPr>
            </w:pPr>
            <w:r w:rsidRPr="000E6604">
              <w:rPr>
                <w:rFonts w:cs="Arial"/>
                <w:b/>
                <w:szCs w:val="22"/>
              </w:rPr>
              <w:t>Provider</w:t>
            </w:r>
          </w:p>
        </w:tc>
        <w:tc>
          <w:tcPr>
            <w:tcW w:w="1984" w:type="dxa"/>
            <w:shd w:val="clear" w:color="auto" w:fill="auto"/>
            <w:vAlign w:val="center"/>
          </w:tcPr>
          <w:p w:rsidR="000E6604" w:rsidRPr="000E6604" w:rsidRDefault="000E6604" w:rsidP="000E6604">
            <w:pPr>
              <w:spacing w:before="120" w:after="120" w:line="240" w:lineRule="auto"/>
              <w:jc w:val="center"/>
              <w:rPr>
                <w:rFonts w:cs="Arial"/>
                <w:b/>
                <w:szCs w:val="22"/>
              </w:rPr>
            </w:pPr>
            <w:r w:rsidRPr="000E6604">
              <w:rPr>
                <w:rFonts w:cs="Arial"/>
                <w:b/>
                <w:szCs w:val="22"/>
              </w:rPr>
              <w:t>2013/14</w:t>
            </w:r>
            <w:r w:rsidRPr="000E6604">
              <w:rPr>
                <w:rFonts w:cs="Arial"/>
                <w:b/>
                <w:szCs w:val="22"/>
              </w:rPr>
              <w:br/>
              <w:t xml:space="preserve"> (Old contracts)</w:t>
            </w:r>
          </w:p>
        </w:tc>
        <w:tc>
          <w:tcPr>
            <w:tcW w:w="2127" w:type="dxa"/>
            <w:shd w:val="clear" w:color="auto" w:fill="auto"/>
            <w:vAlign w:val="center"/>
          </w:tcPr>
          <w:p w:rsidR="000E6604" w:rsidRPr="000E6604" w:rsidRDefault="000E6604" w:rsidP="000E6604">
            <w:pPr>
              <w:spacing w:before="120" w:after="120" w:line="240" w:lineRule="auto"/>
              <w:jc w:val="center"/>
              <w:rPr>
                <w:rFonts w:cs="Arial"/>
                <w:b/>
                <w:szCs w:val="22"/>
              </w:rPr>
            </w:pPr>
            <w:r w:rsidRPr="000E6604">
              <w:rPr>
                <w:rFonts w:cs="Arial"/>
                <w:b/>
                <w:szCs w:val="22"/>
              </w:rPr>
              <w:t>2014/15</w:t>
            </w:r>
            <w:r w:rsidRPr="000E6604">
              <w:rPr>
                <w:rFonts w:cs="Arial"/>
                <w:b/>
                <w:szCs w:val="22"/>
              </w:rPr>
              <w:br/>
              <w:t xml:space="preserve"> (Interim services contract)</w:t>
            </w:r>
          </w:p>
        </w:tc>
        <w:tc>
          <w:tcPr>
            <w:tcW w:w="2885" w:type="dxa"/>
            <w:shd w:val="clear" w:color="auto" w:fill="auto"/>
            <w:vAlign w:val="center"/>
          </w:tcPr>
          <w:p w:rsidR="000E6604" w:rsidRPr="000E6604" w:rsidRDefault="000E6604" w:rsidP="000E6604">
            <w:pPr>
              <w:spacing w:before="120" w:after="120" w:line="240" w:lineRule="auto"/>
              <w:jc w:val="center"/>
              <w:rPr>
                <w:rFonts w:cs="Arial"/>
                <w:b/>
                <w:szCs w:val="22"/>
              </w:rPr>
            </w:pPr>
            <w:r w:rsidRPr="000E6604">
              <w:rPr>
                <w:rFonts w:cs="Arial"/>
                <w:b/>
                <w:szCs w:val="22"/>
              </w:rPr>
              <w:t>2015/16</w:t>
            </w:r>
            <w:r w:rsidRPr="000E6604">
              <w:rPr>
                <w:rFonts w:cs="Arial"/>
                <w:b/>
                <w:szCs w:val="22"/>
              </w:rPr>
              <w:br/>
              <w:t xml:space="preserve"> (Bridge services contract)</w:t>
            </w:r>
          </w:p>
        </w:tc>
      </w:tr>
      <w:tr w:rsidR="000E6604" w:rsidRPr="000E6604" w:rsidTr="008329D7">
        <w:tc>
          <w:tcPr>
            <w:tcW w:w="1418" w:type="dxa"/>
            <w:shd w:val="clear" w:color="auto" w:fill="auto"/>
          </w:tcPr>
          <w:p w:rsidR="000E6604" w:rsidRPr="000E6604" w:rsidRDefault="000E6604" w:rsidP="000E6604">
            <w:pPr>
              <w:spacing w:before="120" w:after="120" w:line="240" w:lineRule="auto"/>
              <w:jc w:val="center"/>
              <w:rPr>
                <w:rFonts w:cs="Arial"/>
                <w:szCs w:val="22"/>
              </w:rPr>
            </w:pPr>
            <w:r w:rsidRPr="000E6604">
              <w:rPr>
                <w:rFonts w:cs="Arial"/>
                <w:szCs w:val="22"/>
              </w:rPr>
              <w:t>Serco</w:t>
            </w:r>
          </w:p>
        </w:tc>
        <w:tc>
          <w:tcPr>
            <w:tcW w:w="1984" w:type="dxa"/>
            <w:shd w:val="clear" w:color="auto" w:fill="auto"/>
          </w:tcPr>
          <w:p w:rsidR="000E6604" w:rsidRPr="000E6604" w:rsidRDefault="000E6604" w:rsidP="000E6604">
            <w:pPr>
              <w:spacing w:before="120" w:after="120" w:line="240" w:lineRule="auto"/>
              <w:jc w:val="center"/>
              <w:rPr>
                <w:rFonts w:cs="Arial"/>
                <w:szCs w:val="22"/>
              </w:rPr>
            </w:pPr>
            <w:r w:rsidRPr="000E6604">
              <w:rPr>
                <w:rFonts w:cs="Arial"/>
                <w:szCs w:val="22"/>
              </w:rPr>
              <w:t>£29.5m</w:t>
            </w:r>
          </w:p>
        </w:tc>
        <w:tc>
          <w:tcPr>
            <w:tcW w:w="2127" w:type="dxa"/>
            <w:shd w:val="clear" w:color="auto" w:fill="auto"/>
          </w:tcPr>
          <w:p w:rsidR="000E6604" w:rsidRPr="000E6604" w:rsidRDefault="000E6604" w:rsidP="000E6604">
            <w:pPr>
              <w:spacing w:before="120" w:after="120" w:line="240" w:lineRule="auto"/>
              <w:jc w:val="center"/>
              <w:rPr>
                <w:rFonts w:cs="Arial"/>
                <w:szCs w:val="22"/>
              </w:rPr>
            </w:pPr>
            <w:r w:rsidRPr="000E6604">
              <w:rPr>
                <w:rFonts w:cs="Arial"/>
                <w:szCs w:val="22"/>
                <w:lang/>
              </w:rPr>
              <w:t>£1.0m</w:t>
            </w:r>
          </w:p>
        </w:tc>
        <w:tc>
          <w:tcPr>
            <w:tcW w:w="2885" w:type="dxa"/>
            <w:shd w:val="clear" w:color="auto" w:fill="auto"/>
          </w:tcPr>
          <w:p w:rsidR="000E6604" w:rsidRPr="000E6604" w:rsidRDefault="000E6604" w:rsidP="000E6604">
            <w:pPr>
              <w:spacing w:before="120" w:after="120" w:line="240" w:lineRule="auto"/>
              <w:jc w:val="center"/>
              <w:rPr>
                <w:rFonts w:cs="Arial"/>
                <w:szCs w:val="22"/>
                <w:lang/>
              </w:rPr>
            </w:pPr>
            <w:r w:rsidRPr="000E6604">
              <w:rPr>
                <w:rFonts w:cs="Arial"/>
                <w:szCs w:val="22"/>
                <w:lang/>
              </w:rPr>
              <w:t>£4.1m</w:t>
            </w:r>
          </w:p>
        </w:tc>
      </w:tr>
      <w:tr w:rsidR="000E6604" w:rsidRPr="000E6604" w:rsidTr="008329D7">
        <w:tc>
          <w:tcPr>
            <w:tcW w:w="1418" w:type="dxa"/>
            <w:shd w:val="clear" w:color="auto" w:fill="auto"/>
          </w:tcPr>
          <w:p w:rsidR="000E6604" w:rsidRPr="000E6604" w:rsidRDefault="000E6604" w:rsidP="000E6604">
            <w:pPr>
              <w:spacing w:before="120" w:after="120" w:line="240" w:lineRule="auto"/>
              <w:jc w:val="center"/>
              <w:rPr>
                <w:rFonts w:cs="Arial"/>
                <w:szCs w:val="22"/>
              </w:rPr>
            </w:pPr>
            <w:r w:rsidRPr="000E6604">
              <w:rPr>
                <w:rFonts w:cs="Arial"/>
                <w:szCs w:val="22"/>
              </w:rPr>
              <w:t>G4S</w:t>
            </w:r>
          </w:p>
        </w:tc>
        <w:tc>
          <w:tcPr>
            <w:tcW w:w="1984" w:type="dxa"/>
            <w:shd w:val="clear" w:color="auto" w:fill="auto"/>
          </w:tcPr>
          <w:p w:rsidR="000E6604" w:rsidRPr="000E6604" w:rsidRDefault="000E6604" w:rsidP="000E6604">
            <w:pPr>
              <w:spacing w:before="120" w:after="120" w:line="240" w:lineRule="auto"/>
              <w:jc w:val="center"/>
              <w:rPr>
                <w:rFonts w:cs="Arial"/>
                <w:szCs w:val="22"/>
              </w:rPr>
            </w:pPr>
            <w:r w:rsidRPr="000E6604">
              <w:rPr>
                <w:rFonts w:cs="Arial"/>
                <w:szCs w:val="22"/>
              </w:rPr>
              <w:t>£38.0m</w:t>
            </w:r>
          </w:p>
        </w:tc>
        <w:tc>
          <w:tcPr>
            <w:tcW w:w="2127" w:type="dxa"/>
            <w:shd w:val="clear" w:color="auto" w:fill="auto"/>
          </w:tcPr>
          <w:p w:rsidR="000E6604" w:rsidRPr="000E6604" w:rsidRDefault="000E6604" w:rsidP="000E6604">
            <w:pPr>
              <w:spacing w:before="120" w:after="120" w:line="240" w:lineRule="auto"/>
              <w:jc w:val="center"/>
              <w:rPr>
                <w:rFonts w:cs="Arial"/>
                <w:szCs w:val="22"/>
              </w:rPr>
            </w:pPr>
            <w:r w:rsidRPr="000E6604">
              <w:rPr>
                <w:rFonts w:cs="Arial"/>
                <w:szCs w:val="22"/>
                <w:lang/>
              </w:rPr>
              <w:t>£0.2m</w:t>
            </w:r>
          </w:p>
        </w:tc>
        <w:tc>
          <w:tcPr>
            <w:tcW w:w="2885" w:type="dxa"/>
            <w:shd w:val="clear" w:color="auto" w:fill="auto"/>
          </w:tcPr>
          <w:p w:rsidR="000E6604" w:rsidRPr="000E6604" w:rsidRDefault="000E6604" w:rsidP="000E6604">
            <w:pPr>
              <w:spacing w:before="120" w:after="120" w:line="240" w:lineRule="auto"/>
              <w:jc w:val="center"/>
              <w:rPr>
                <w:rFonts w:cs="Arial"/>
                <w:szCs w:val="22"/>
                <w:lang/>
              </w:rPr>
            </w:pPr>
            <w:r w:rsidRPr="000E6604">
              <w:rPr>
                <w:rFonts w:cs="Arial"/>
                <w:szCs w:val="22"/>
                <w:lang/>
              </w:rPr>
              <w:t>£6.0m</w:t>
            </w:r>
          </w:p>
        </w:tc>
      </w:tr>
      <w:tr w:rsidR="000E6604" w:rsidRPr="000E6604" w:rsidTr="008329D7">
        <w:tc>
          <w:tcPr>
            <w:tcW w:w="1418" w:type="dxa"/>
            <w:shd w:val="clear" w:color="auto" w:fill="auto"/>
          </w:tcPr>
          <w:p w:rsidR="000E6604" w:rsidRPr="000E6604" w:rsidRDefault="000E6604" w:rsidP="000E6604">
            <w:pPr>
              <w:spacing w:before="120" w:after="120" w:line="240" w:lineRule="auto"/>
              <w:jc w:val="center"/>
              <w:rPr>
                <w:rFonts w:cs="Arial"/>
                <w:szCs w:val="22"/>
              </w:rPr>
            </w:pPr>
            <w:r w:rsidRPr="000E6604">
              <w:rPr>
                <w:rFonts w:cs="Arial"/>
                <w:szCs w:val="22"/>
              </w:rPr>
              <w:t>EMS Capita</w:t>
            </w:r>
          </w:p>
        </w:tc>
        <w:tc>
          <w:tcPr>
            <w:tcW w:w="1984" w:type="dxa"/>
            <w:shd w:val="clear" w:color="auto" w:fill="auto"/>
          </w:tcPr>
          <w:p w:rsidR="000E6604" w:rsidRPr="000E6604" w:rsidRDefault="000E6604" w:rsidP="000E6604">
            <w:pPr>
              <w:spacing w:before="120" w:after="120" w:line="240" w:lineRule="auto"/>
              <w:jc w:val="center"/>
              <w:rPr>
                <w:rFonts w:cs="Arial"/>
                <w:szCs w:val="22"/>
              </w:rPr>
            </w:pPr>
            <w:r w:rsidRPr="000E6604">
              <w:rPr>
                <w:rFonts w:cs="Arial"/>
                <w:szCs w:val="22"/>
              </w:rPr>
              <w:t>-</w:t>
            </w:r>
          </w:p>
        </w:tc>
        <w:tc>
          <w:tcPr>
            <w:tcW w:w="2127" w:type="dxa"/>
            <w:shd w:val="clear" w:color="auto" w:fill="auto"/>
          </w:tcPr>
          <w:p w:rsidR="000E6604" w:rsidRPr="000E6604" w:rsidRDefault="000E6604" w:rsidP="000E6604">
            <w:pPr>
              <w:spacing w:before="120" w:after="120" w:line="240" w:lineRule="auto"/>
              <w:jc w:val="center"/>
              <w:rPr>
                <w:rFonts w:cs="Arial"/>
                <w:szCs w:val="22"/>
              </w:rPr>
            </w:pPr>
            <w:r w:rsidRPr="000E6604">
              <w:rPr>
                <w:rFonts w:cs="Arial"/>
                <w:szCs w:val="22"/>
                <w:lang/>
              </w:rPr>
              <w:t>£17.8m</w:t>
            </w:r>
          </w:p>
        </w:tc>
        <w:tc>
          <w:tcPr>
            <w:tcW w:w="2885" w:type="dxa"/>
            <w:shd w:val="clear" w:color="auto" w:fill="auto"/>
          </w:tcPr>
          <w:p w:rsidR="000E6604" w:rsidRPr="000E6604" w:rsidRDefault="000E6604" w:rsidP="000E6604">
            <w:pPr>
              <w:spacing w:before="120" w:after="120" w:line="240" w:lineRule="auto"/>
              <w:jc w:val="center"/>
              <w:rPr>
                <w:rFonts w:cs="Arial"/>
                <w:szCs w:val="22"/>
                <w:lang/>
              </w:rPr>
            </w:pPr>
            <w:r w:rsidRPr="000E6604">
              <w:rPr>
                <w:rFonts w:cs="Arial"/>
                <w:szCs w:val="22"/>
                <w:lang/>
              </w:rPr>
              <w:t>£51.0m</w:t>
            </w:r>
          </w:p>
        </w:tc>
      </w:tr>
    </w:tbl>
    <w:p w:rsidR="000E6604" w:rsidRPr="000E6604" w:rsidRDefault="000E6604" w:rsidP="000E6604">
      <w:pPr>
        <w:spacing w:line="240" w:lineRule="auto"/>
        <w:rPr>
          <w:rFonts w:cs="Arial"/>
          <w:szCs w:val="22"/>
        </w:rPr>
      </w:pPr>
    </w:p>
    <w:p w:rsidR="008329D7" w:rsidRDefault="000E6604" w:rsidP="008329D7">
      <w:pPr>
        <w:rPr>
          <w:rFonts w:cs="Arial"/>
          <w:color w:val="000000"/>
        </w:rPr>
      </w:pPr>
      <w:r w:rsidRPr="000E6604">
        <w:rPr>
          <w:rFonts w:cs="Arial"/>
          <w:szCs w:val="22"/>
        </w:rPr>
        <w:t xml:space="preserve">Please note that the above figures where they relate to Serco and G4S have been adjusted to account for the refund received following the investigation into the over-billing issues identified in 2013. </w:t>
      </w:r>
    </w:p>
    <w:p w:rsidR="008329D7" w:rsidRDefault="008329D7" w:rsidP="008329D7">
      <w:pPr>
        <w:rPr>
          <w:rFonts w:cs="Arial"/>
          <w:color w:val="000000"/>
        </w:rPr>
      </w:pPr>
    </w:p>
    <w:p w:rsidR="000E6604" w:rsidRPr="008329D7" w:rsidRDefault="000E6604" w:rsidP="008329D7">
      <w:pPr>
        <w:rPr>
          <w:rFonts w:cs="Arial"/>
          <w:color w:val="000000"/>
        </w:rPr>
      </w:pPr>
      <w:r w:rsidRPr="000E6604">
        <w:rPr>
          <w:rFonts w:cs="Arial"/>
          <w:szCs w:val="22"/>
        </w:rPr>
        <w:t xml:space="preserve">Payments to Serco and G4S continued into 2014/15, after these contractors had been stopped from delivering electronic monitoring services, as we continue to use equipment supplied by these companies in order to maintain operational continuity pending mobilisation of the new service, contracts for which were announced in July 2014. </w:t>
      </w:r>
    </w:p>
    <w:p w:rsidR="000E6604" w:rsidRDefault="000E6604" w:rsidP="000E6604">
      <w:pPr>
        <w:spacing w:line="240" w:lineRule="auto"/>
        <w:rPr>
          <w:rFonts w:cs="Arial"/>
          <w:szCs w:val="22"/>
        </w:rPr>
      </w:pPr>
    </w:p>
    <w:p w:rsidR="006E32CA" w:rsidRPr="001C2CD8" w:rsidRDefault="006E32CA" w:rsidP="00832C18">
      <w:pPr>
        <w:rPr>
          <w:b/>
          <w:szCs w:val="22"/>
        </w:rPr>
      </w:pPr>
    </w:p>
    <w:sectPr w:rsidR="006E32CA" w:rsidRPr="001C2CD8" w:rsidSect="00561341">
      <w:footerReference w:type="default" r:id="rId9"/>
      <w:pgSz w:w="11906" w:h="16838" w:code="9"/>
      <w:pgMar w:top="1440" w:right="1440" w:bottom="1440" w:left="1440"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B7B" w:rsidRDefault="00EC3B7B">
      <w:r>
        <w:separator/>
      </w:r>
    </w:p>
  </w:endnote>
  <w:endnote w:type="continuationSeparator" w:id="0">
    <w:p w:rsidR="00EC3B7B" w:rsidRDefault="00EC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ngsuhChe">
    <w:panose1 w:val="0203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704" w:rsidRDefault="00DD5704" w:rsidP="007B7C57">
    <w:pPr>
      <w:pStyle w:val="Footer"/>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437947">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B7B" w:rsidRDefault="00EC3B7B">
      <w:r>
        <w:separator/>
      </w:r>
    </w:p>
  </w:footnote>
  <w:footnote w:type="continuationSeparator" w:id="0">
    <w:p w:rsidR="00EC3B7B" w:rsidRDefault="00EC3B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D8B"/>
    <w:multiLevelType w:val="hybridMultilevel"/>
    <w:tmpl w:val="5D9C8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376C8C"/>
    <w:multiLevelType w:val="hybridMultilevel"/>
    <w:tmpl w:val="E50202F6"/>
    <w:lvl w:ilvl="0" w:tplc="E5AA2AAE">
      <w:start w:val="3"/>
      <w:numFmt w:val="lowerLetter"/>
      <w:lvlText w:val="%1."/>
      <w:lvlJc w:val="left"/>
      <w:pPr>
        <w:tabs>
          <w:tab w:val="num" w:pos="720"/>
        </w:tabs>
        <w:ind w:left="720" w:hanging="360"/>
      </w:pPr>
    </w:lvl>
    <w:lvl w:ilvl="1" w:tplc="B518FC3C">
      <w:start w:val="1"/>
      <w:numFmt w:val="decimal"/>
      <w:lvlText w:val="%2."/>
      <w:lvlJc w:val="left"/>
      <w:pPr>
        <w:tabs>
          <w:tab w:val="num" w:pos="1440"/>
        </w:tabs>
        <w:ind w:left="1440" w:hanging="360"/>
      </w:pPr>
    </w:lvl>
    <w:lvl w:ilvl="2" w:tplc="10887D84">
      <w:start w:val="1"/>
      <w:numFmt w:val="decimal"/>
      <w:lvlText w:val="%3."/>
      <w:lvlJc w:val="left"/>
      <w:pPr>
        <w:tabs>
          <w:tab w:val="num" w:pos="2160"/>
        </w:tabs>
        <w:ind w:left="2160" w:hanging="360"/>
      </w:pPr>
    </w:lvl>
    <w:lvl w:ilvl="3" w:tplc="D02EED7C">
      <w:start w:val="1"/>
      <w:numFmt w:val="decimal"/>
      <w:lvlText w:val="%4."/>
      <w:lvlJc w:val="left"/>
      <w:pPr>
        <w:tabs>
          <w:tab w:val="num" w:pos="2880"/>
        </w:tabs>
        <w:ind w:left="2880" w:hanging="360"/>
      </w:pPr>
    </w:lvl>
    <w:lvl w:ilvl="4" w:tplc="56D6CA06">
      <w:start w:val="1"/>
      <w:numFmt w:val="decimal"/>
      <w:lvlText w:val="%5."/>
      <w:lvlJc w:val="left"/>
      <w:pPr>
        <w:tabs>
          <w:tab w:val="num" w:pos="3600"/>
        </w:tabs>
        <w:ind w:left="3600" w:hanging="360"/>
      </w:pPr>
    </w:lvl>
    <w:lvl w:ilvl="5" w:tplc="F8846A96">
      <w:start w:val="1"/>
      <w:numFmt w:val="decimal"/>
      <w:lvlText w:val="%6."/>
      <w:lvlJc w:val="left"/>
      <w:pPr>
        <w:tabs>
          <w:tab w:val="num" w:pos="4320"/>
        </w:tabs>
        <w:ind w:left="4320" w:hanging="360"/>
      </w:pPr>
    </w:lvl>
    <w:lvl w:ilvl="6" w:tplc="9F085E36">
      <w:start w:val="1"/>
      <w:numFmt w:val="decimal"/>
      <w:lvlText w:val="%7."/>
      <w:lvlJc w:val="left"/>
      <w:pPr>
        <w:tabs>
          <w:tab w:val="num" w:pos="5040"/>
        </w:tabs>
        <w:ind w:left="5040" w:hanging="360"/>
      </w:pPr>
    </w:lvl>
    <w:lvl w:ilvl="7" w:tplc="BA2CDF32">
      <w:start w:val="1"/>
      <w:numFmt w:val="decimal"/>
      <w:lvlText w:val="%8."/>
      <w:lvlJc w:val="left"/>
      <w:pPr>
        <w:tabs>
          <w:tab w:val="num" w:pos="5760"/>
        </w:tabs>
        <w:ind w:left="5760" w:hanging="360"/>
      </w:pPr>
    </w:lvl>
    <w:lvl w:ilvl="8" w:tplc="3BCE9BE8">
      <w:start w:val="1"/>
      <w:numFmt w:val="decimal"/>
      <w:lvlText w:val="%9."/>
      <w:lvlJc w:val="left"/>
      <w:pPr>
        <w:tabs>
          <w:tab w:val="num" w:pos="6480"/>
        </w:tabs>
        <w:ind w:left="6480" w:hanging="360"/>
      </w:pPr>
    </w:lvl>
  </w:abstractNum>
  <w:abstractNum w:abstractNumId="2" w15:restartNumberingAfterBreak="0">
    <w:nsid w:val="11AE7672"/>
    <w:multiLevelType w:val="hybridMultilevel"/>
    <w:tmpl w:val="8A9616A4"/>
    <w:lvl w:ilvl="0" w:tplc="6B58A9D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504DE"/>
    <w:multiLevelType w:val="hybridMultilevel"/>
    <w:tmpl w:val="B10C8DC6"/>
    <w:lvl w:ilvl="0" w:tplc="55E2315E">
      <w:numFmt w:val="bullet"/>
      <w:lvlText w:val="-"/>
      <w:lvlJc w:val="left"/>
      <w:pPr>
        <w:tabs>
          <w:tab w:val="num" w:pos="720"/>
        </w:tabs>
        <w:ind w:left="720" w:hanging="360"/>
      </w:pPr>
      <w:rPr>
        <w:rFonts w:ascii="Courier New" w:eastAsia="GungsuhChe"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BF48C1"/>
    <w:multiLevelType w:val="hybridMultilevel"/>
    <w:tmpl w:val="C91A99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DF788C"/>
    <w:multiLevelType w:val="multilevel"/>
    <w:tmpl w:val="B9F202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8032B0F"/>
    <w:multiLevelType w:val="multilevel"/>
    <w:tmpl w:val="33326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9A946E1"/>
    <w:multiLevelType w:val="hybridMultilevel"/>
    <w:tmpl w:val="E6F262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73EA2E91"/>
    <w:multiLevelType w:val="multilevel"/>
    <w:tmpl w:val="406858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 w:ilvl="0">
        <w:start w:val="1"/>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tplc="E5AA2AAE">
        <w:start w:val="3"/>
        <w:numFmt w:val="lowerLetter"/>
        <w:lvlText w:val="%1."/>
        <w:lvlJc w:val="left"/>
        <w:pPr>
          <w:ind w:left="0" w:firstLine="0"/>
        </w:pPr>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lvlOverride w:ilvl="3"/>
    <w:lvlOverride w:ilvl="4"/>
    <w:lvlOverride w:ilvl="5"/>
    <w:lvlOverride w:ilvl="6"/>
    <w:lvlOverride w:ilvl="7"/>
    <w:lvlOverride w:ilvl="8"/>
  </w:num>
  <w:num w:numId="9">
    <w:abstractNumId w:val="7"/>
  </w:num>
  <w:num w:numId="10">
    <w:abstractNumId w:val="0"/>
  </w:num>
  <w:num w:numId="11">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6A"/>
    <w:rsid w:val="00017054"/>
    <w:rsid w:val="000222E7"/>
    <w:rsid w:val="000222F6"/>
    <w:rsid w:val="00026D9A"/>
    <w:rsid w:val="00032200"/>
    <w:rsid w:val="00037330"/>
    <w:rsid w:val="00046DD2"/>
    <w:rsid w:val="000722FE"/>
    <w:rsid w:val="0007380F"/>
    <w:rsid w:val="00074005"/>
    <w:rsid w:val="000744C3"/>
    <w:rsid w:val="000808E5"/>
    <w:rsid w:val="00081193"/>
    <w:rsid w:val="0008457A"/>
    <w:rsid w:val="0009138F"/>
    <w:rsid w:val="00095ECA"/>
    <w:rsid w:val="0009754B"/>
    <w:rsid w:val="000A3195"/>
    <w:rsid w:val="000A38CB"/>
    <w:rsid w:val="000D03FD"/>
    <w:rsid w:val="000D0F20"/>
    <w:rsid w:val="000E6604"/>
    <w:rsid w:val="000F7A5F"/>
    <w:rsid w:val="00106DEE"/>
    <w:rsid w:val="00124DAE"/>
    <w:rsid w:val="00134A2E"/>
    <w:rsid w:val="00146154"/>
    <w:rsid w:val="00152F0C"/>
    <w:rsid w:val="00153E76"/>
    <w:rsid w:val="00154D2E"/>
    <w:rsid w:val="0017541D"/>
    <w:rsid w:val="001A3A7E"/>
    <w:rsid w:val="001A47E5"/>
    <w:rsid w:val="001A4EE1"/>
    <w:rsid w:val="001B6FB2"/>
    <w:rsid w:val="001C2CD8"/>
    <w:rsid w:val="001C54E1"/>
    <w:rsid w:val="001C779E"/>
    <w:rsid w:val="001E0568"/>
    <w:rsid w:val="001E1665"/>
    <w:rsid w:val="001F33F4"/>
    <w:rsid w:val="00255FC6"/>
    <w:rsid w:val="00273E23"/>
    <w:rsid w:val="00285A9C"/>
    <w:rsid w:val="002B0ECE"/>
    <w:rsid w:val="002B79BF"/>
    <w:rsid w:val="002C5025"/>
    <w:rsid w:val="002D5314"/>
    <w:rsid w:val="002E39E4"/>
    <w:rsid w:val="002F24C7"/>
    <w:rsid w:val="002F50F6"/>
    <w:rsid w:val="002F60ED"/>
    <w:rsid w:val="002F6553"/>
    <w:rsid w:val="003011BD"/>
    <w:rsid w:val="00303661"/>
    <w:rsid w:val="0030433E"/>
    <w:rsid w:val="0031213B"/>
    <w:rsid w:val="0032150E"/>
    <w:rsid w:val="00323067"/>
    <w:rsid w:val="003366B3"/>
    <w:rsid w:val="00375DDC"/>
    <w:rsid w:val="00376A97"/>
    <w:rsid w:val="00377D6F"/>
    <w:rsid w:val="0038642F"/>
    <w:rsid w:val="0039553F"/>
    <w:rsid w:val="003A1047"/>
    <w:rsid w:val="003A2659"/>
    <w:rsid w:val="003A633E"/>
    <w:rsid w:val="003A6D69"/>
    <w:rsid w:val="003B13CA"/>
    <w:rsid w:val="003D0A49"/>
    <w:rsid w:val="003E3E27"/>
    <w:rsid w:val="003F0F44"/>
    <w:rsid w:val="00401CAB"/>
    <w:rsid w:val="004269FC"/>
    <w:rsid w:val="00435D53"/>
    <w:rsid w:val="00437947"/>
    <w:rsid w:val="0044169F"/>
    <w:rsid w:val="00444869"/>
    <w:rsid w:val="00445AB5"/>
    <w:rsid w:val="00453104"/>
    <w:rsid w:val="00457840"/>
    <w:rsid w:val="00466CAD"/>
    <w:rsid w:val="00471E48"/>
    <w:rsid w:val="00483728"/>
    <w:rsid w:val="0048558F"/>
    <w:rsid w:val="00496E7B"/>
    <w:rsid w:val="004B39E2"/>
    <w:rsid w:val="004D3E38"/>
    <w:rsid w:val="004D58C1"/>
    <w:rsid w:val="004E03C7"/>
    <w:rsid w:val="004E5205"/>
    <w:rsid w:val="004E5CF9"/>
    <w:rsid w:val="004F3A38"/>
    <w:rsid w:val="004F5467"/>
    <w:rsid w:val="0050006A"/>
    <w:rsid w:val="00510420"/>
    <w:rsid w:val="00535B60"/>
    <w:rsid w:val="005361B4"/>
    <w:rsid w:val="00547B8D"/>
    <w:rsid w:val="00561341"/>
    <w:rsid w:val="0056296A"/>
    <w:rsid w:val="005659FA"/>
    <w:rsid w:val="00566964"/>
    <w:rsid w:val="0056711F"/>
    <w:rsid w:val="005765D4"/>
    <w:rsid w:val="005774F0"/>
    <w:rsid w:val="0059501B"/>
    <w:rsid w:val="005A196C"/>
    <w:rsid w:val="005A1FB5"/>
    <w:rsid w:val="005A2A25"/>
    <w:rsid w:val="005B1E5F"/>
    <w:rsid w:val="005B28FC"/>
    <w:rsid w:val="005B4902"/>
    <w:rsid w:val="005C1749"/>
    <w:rsid w:val="005C6407"/>
    <w:rsid w:val="005D21E1"/>
    <w:rsid w:val="005E17C7"/>
    <w:rsid w:val="006045AB"/>
    <w:rsid w:val="00641978"/>
    <w:rsid w:val="00644B57"/>
    <w:rsid w:val="00645865"/>
    <w:rsid w:val="0064733B"/>
    <w:rsid w:val="006500F4"/>
    <w:rsid w:val="00652228"/>
    <w:rsid w:val="00655D8F"/>
    <w:rsid w:val="00656778"/>
    <w:rsid w:val="006647E4"/>
    <w:rsid w:val="00673F9E"/>
    <w:rsid w:val="00674BC9"/>
    <w:rsid w:val="0067514B"/>
    <w:rsid w:val="0067585E"/>
    <w:rsid w:val="00680B3A"/>
    <w:rsid w:val="00684760"/>
    <w:rsid w:val="006854A7"/>
    <w:rsid w:val="006861A9"/>
    <w:rsid w:val="00687093"/>
    <w:rsid w:val="00687276"/>
    <w:rsid w:val="006878E8"/>
    <w:rsid w:val="00691237"/>
    <w:rsid w:val="006A6BA0"/>
    <w:rsid w:val="006C72DE"/>
    <w:rsid w:val="006E32CA"/>
    <w:rsid w:val="006F32D9"/>
    <w:rsid w:val="006F41B2"/>
    <w:rsid w:val="0074259E"/>
    <w:rsid w:val="0075513B"/>
    <w:rsid w:val="0076337B"/>
    <w:rsid w:val="00790C17"/>
    <w:rsid w:val="007952E4"/>
    <w:rsid w:val="007A2E3E"/>
    <w:rsid w:val="007A3DF8"/>
    <w:rsid w:val="007A48FE"/>
    <w:rsid w:val="007A5C19"/>
    <w:rsid w:val="007B7C57"/>
    <w:rsid w:val="007C771A"/>
    <w:rsid w:val="007D4371"/>
    <w:rsid w:val="007D4761"/>
    <w:rsid w:val="007D5ED2"/>
    <w:rsid w:val="007F4AEE"/>
    <w:rsid w:val="007F7CD8"/>
    <w:rsid w:val="00801B78"/>
    <w:rsid w:val="00802B47"/>
    <w:rsid w:val="00803474"/>
    <w:rsid w:val="00805323"/>
    <w:rsid w:val="00807815"/>
    <w:rsid w:val="00820392"/>
    <w:rsid w:val="00831B94"/>
    <w:rsid w:val="008329D7"/>
    <w:rsid w:val="00832C18"/>
    <w:rsid w:val="00835D4F"/>
    <w:rsid w:val="00837E19"/>
    <w:rsid w:val="00844B67"/>
    <w:rsid w:val="00844D94"/>
    <w:rsid w:val="008565E0"/>
    <w:rsid w:val="00880411"/>
    <w:rsid w:val="00882334"/>
    <w:rsid w:val="00892055"/>
    <w:rsid w:val="008970E9"/>
    <w:rsid w:val="008B21BB"/>
    <w:rsid w:val="008B36D2"/>
    <w:rsid w:val="008C0321"/>
    <w:rsid w:val="008D45DA"/>
    <w:rsid w:val="008D564C"/>
    <w:rsid w:val="008D7DAD"/>
    <w:rsid w:val="00917EC7"/>
    <w:rsid w:val="00932BC5"/>
    <w:rsid w:val="0093305E"/>
    <w:rsid w:val="009517DD"/>
    <w:rsid w:val="009715C4"/>
    <w:rsid w:val="009827DD"/>
    <w:rsid w:val="009853E8"/>
    <w:rsid w:val="00990F1F"/>
    <w:rsid w:val="009B1D4C"/>
    <w:rsid w:val="009C2E1F"/>
    <w:rsid w:val="009C4B46"/>
    <w:rsid w:val="009D5879"/>
    <w:rsid w:val="009E2A8C"/>
    <w:rsid w:val="009E3F58"/>
    <w:rsid w:val="009E3F91"/>
    <w:rsid w:val="009E69FE"/>
    <w:rsid w:val="009F09F7"/>
    <w:rsid w:val="009F4AF6"/>
    <w:rsid w:val="009F4F85"/>
    <w:rsid w:val="00A005D9"/>
    <w:rsid w:val="00A14766"/>
    <w:rsid w:val="00A173AB"/>
    <w:rsid w:val="00A20BCD"/>
    <w:rsid w:val="00A300E1"/>
    <w:rsid w:val="00A349B1"/>
    <w:rsid w:val="00A349B6"/>
    <w:rsid w:val="00A40D87"/>
    <w:rsid w:val="00A459D4"/>
    <w:rsid w:val="00A4792D"/>
    <w:rsid w:val="00A479FB"/>
    <w:rsid w:val="00A5309A"/>
    <w:rsid w:val="00A76AFC"/>
    <w:rsid w:val="00A809DF"/>
    <w:rsid w:val="00AC10CF"/>
    <w:rsid w:val="00AD7505"/>
    <w:rsid w:val="00AE7402"/>
    <w:rsid w:val="00AF2FD9"/>
    <w:rsid w:val="00B01B28"/>
    <w:rsid w:val="00B076BB"/>
    <w:rsid w:val="00B11155"/>
    <w:rsid w:val="00B47082"/>
    <w:rsid w:val="00B54276"/>
    <w:rsid w:val="00B8050D"/>
    <w:rsid w:val="00B81EF9"/>
    <w:rsid w:val="00B9009F"/>
    <w:rsid w:val="00B95043"/>
    <w:rsid w:val="00B95693"/>
    <w:rsid w:val="00BB4B4B"/>
    <w:rsid w:val="00BD7BB2"/>
    <w:rsid w:val="00C158F0"/>
    <w:rsid w:val="00C24302"/>
    <w:rsid w:val="00C56E27"/>
    <w:rsid w:val="00C66559"/>
    <w:rsid w:val="00C66BE0"/>
    <w:rsid w:val="00C72245"/>
    <w:rsid w:val="00C9107F"/>
    <w:rsid w:val="00CB54AB"/>
    <w:rsid w:val="00CB65BF"/>
    <w:rsid w:val="00CC0B65"/>
    <w:rsid w:val="00CC54F9"/>
    <w:rsid w:val="00CE1BFE"/>
    <w:rsid w:val="00CF03AD"/>
    <w:rsid w:val="00CF0E52"/>
    <w:rsid w:val="00D010B0"/>
    <w:rsid w:val="00D04F64"/>
    <w:rsid w:val="00D11B61"/>
    <w:rsid w:val="00D14BA9"/>
    <w:rsid w:val="00D17E97"/>
    <w:rsid w:val="00D22499"/>
    <w:rsid w:val="00D23D4E"/>
    <w:rsid w:val="00D24934"/>
    <w:rsid w:val="00D25431"/>
    <w:rsid w:val="00D34F07"/>
    <w:rsid w:val="00D354B2"/>
    <w:rsid w:val="00D46C15"/>
    <w:rsid w:val="00D62050"/>
    <w:rsid w:val="00D64C3E"/>
    <w:rsid w:val="00D66074"/>
    <w:rsid w:val="00D908A9"/>
    <w:rsid w:val="00DD0733"/>
    <w:rsid w:val="00DD4695"/>
    <w:rsid w:val="00DD5704"/>
    <w:rsid w:val="00DE65A5"/>
    <w:rsid w:val="00DE6635"/>
    <w:rsid w:val="00DE71AB"/>
    <w:rsid w:val="00DF741A"/>
    <w:rsid w:val="00E0069B"/>
    <w:rsid w:val="00E04C19"/>
    <w:rsid w:val="00E07BB4"/>
    <w:rsid w:val="00E22909"/>
    <w:rsid w:val="00E51801"/>
    <w:rsid w:val="00E53522"/>
    <w:rsid w:val="00E566CF"/>
    <w:rsid w:val="00E910E7"/>
    <w:rsid w:val="00E92C99"/>
    <w:rsid w:val="00EA1E9A"/>
    <w:rsid w:val="00EB050F"/>
    <w:rsid w:val="00EB72DE"/>
    <w:rsid w:val="00EC0C2D"/>
    <w:rsid w:val="00EC3B7B"/>
    <w:rsid w:val="00ED3B30"/>
    <w:rsid w:val="00ED50E7"/>
    <w:rsid w:val="00ED782D"/>
    <w:rsid w:val="00EE2AA6"/>
    <w:rsid w:val="00F012C4"/>
    <w:rsid w:val="00F24423"/>
    <w:rsid w:val="00F6102B"/>
    <w:rsid w:val="00F61AFC"/>
    <w:rsid w:val="00F74765"/>
    <w:rsid w:val="00F779B2"/>
    <w:rsid w:val="00F81AD5"/>
    <w:rsid w:val="00F82DB8"/>
    <w:rsid w:val="00F92115"/>
    <w:rsid w:val="00FA008A"/>
    <w:rsid w:val="00FB0124"/>
    <w:rsid w:val="00FB2D55"/>
    <w:rsid w:val="00FB3ED1"/>
    <w:rsid w:val="00FC5E0E"/>
    <w:rsid w:val="00FD3240"/>
    <w:rsid w:val="00FD6D06"/>
    <w:rsid w:val="00FF7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4E35E01-2707-4AFE-BBCC-7CEB16C96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341"/>
    <w:pPr>
      <w:spacing w:line="280" w:lineRule="exact"/>
    </w:pPr>
    <w:rPr>
      <w:rFonts w:ascii="Arial" w:hAnsi="Arial"/>
      <w:sz w:val="22"/>
      <w:szCs w:val="24"/>
    </w:rPr>
  </w:style>
  <w:style w:type="paragraph" w:styleId="Heading2">
    <w:name w:val="heading 2"/>
    <w:basedOn w:val="Normal"/>
    <w:next w:val="Normal"/>
    <w:qFormat/>
    <w:rsid w:val="00832C18"/>
    <w:pPr>
      <w:keepNext/>
      <w:spacing w:before="240" w:after="60"/>
      <w:outlineLvl w:val="1"/>
    </w:pPr>
    <w:rPr>
      <w:rFonts w:cs="Arial"/>
      <w:b/>
      <w:bCs/>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C5025"/>
    <w:pPr>
      <w:tabs>
        <w:tab w:val="center" w:pos="4153"/>
        <w:tab w:val="right" w:pos="8306"/>
      </w:tabs>
    </w:pPr>
  </w:style>
  <w:style w:type="paragraph" w:styleId="Footer">
    <w:name w:val="footer"/>
    <w:rsid w:val="007B7C57"/>
    <w:rPr>
      <w:rFonts w:ascii="Arial" w:hAnsi="Arial"/>
      <w:sz w:val="16"/>
      <w:szCs w:val="24"/>
    </w:rPr>
  </w:style>
  <w:style w:type="paragraph" w:customStyle="1" w:styleId="MOJaddress">
    <w:name w:val="MOJ address"/>
    <w:rsid w:val="001F33F4"/>
    <w:pPr>
      <w:spacing w:line="200" w:lineRule="atLeast"/>
    </w:pPr>
    <w:rPr>
      <w:rFonts w:ascii="Arial" w:hAnsi="Arial"/>
      <w:szCs w:val="24"/>
    </w:rPr>
  </w:style>
  <w:style w:type="paragraph" w:customStyle="1" w:styleId="MoJdate">
    <w:name w:val="MoJ date"/>
    <w:basedOn w:val="MOJaddress"/>
    <w:rsid w:val="003E3E27"/>
    <w:pPr>
      <w:spacing w:before="120"/>
      <w:ind w:right="284"/>
      <w:jc w:val="right"/>
    </w:pPr>
  </w:style>
  <w:style w:type="character" w:styleId="PageNumber">
    <w:name w:val="page number"/>
    <w:basedOn w:val="DefaultParagraphFont"/>
    <w:rsid w:val="007B7C57"/>
  </w:style>
  <w:style w:type="paragraph" w:customStyle="1" w:styleId="Name">
    <w:name w:val="Name"/>
    <w:rsid w:val="001A3A7E"/>
    <w:rPr>
      <w:rFonts w:ascii="Arial" w:hAnsi="Arial"/>
      <w:b/>
      <w:bCs/>
      <w:sz w:val="23"/>
    </w:rPr>
  </w:style>
  <w:style w:type="paragraph" w:styleId="CommentText">
    <w:name w:val="annotation text"/>
    <w:basedOn w:val="Normal"/>
    <w:semiHidden/>
    <w:rsid w:val="00832C18"/>
    <w:rPr>
      <w:szCs w:val="20"/>
    </w:rPr>
  </w:style>
  <w:style w:type="paragraph" w:styleId="BalloonText">
    <w:name w:val="Balloon Text"/>
    <w:basedOn w:val="Normal"/>
    <w:semiHidden/>
    <w:rsid w:val="00A809DF"/>
    <w:rPr>
      <w:rFonts w:ascii="Tahoma" w:hAnsi="Tahoma" w:cs="Tahoma"/>
      <w:sz w:val="16"/>
      <w:szCs w:val="16"/>
    </w:rPr>
  </w:style>
  <w:style w:type="character" w:styleId="Hyperlink">
    <w:name w:val="Hyperlink"/>
    <w:rsid w:val="00ED782D"/>
    <w:rPr>
      <w:color w:val="auto"/>
      <w:u w:val="none"/>
    </w:rPr>
  </w:style>
  <w:style w:type="character" w:styleId="FollowedHyperlink">
    <w:name w:val="FollowedHyperlink"/>
    <w:rsid w:val="00A76AFC"/>
    <w:rPr>
      <w:color w:val="954F72"/>
      <w:u w:val="single"/>
    </w:rPr>
  </w:style>
  <w:style w:type="table" w:styleId="TableGrid">
    <w:name w:val="Table Grid"/>
    <w:basedOn w:val="TableNormal"/>
    <w:rsid w:val="00CB5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7A5F"/>
    <w:pPr>
      <w:spacing w:line="240" w:lineRule="auto"/>
    </w:pPr>
    <w:rPr>
      <w:rFonts w:ascii="Times New Roman" w:eastAsia="Calibri" w:hAnsi="Times New Roman"/>
      <w:sz w:val="24"/>
    </w:rPr>
  </w:style>
  <w:style w:type="paragraph" w:styleId="ListParagraph">
    <w:name w:val="List Paragraph"/>
    <w:basedOn w:val="Normal"/>
    <w:uiPriority w:val="34"/>
    <w:qFormat/>
    <w:rsid w:val="00E566CF"/>
    <w:pPr>
      <w:spacing w:line="240" w:lineRule="auto"/>
      <w:ind w:left="720"/>
    </w:pPr>
    <w:rPr>
      <w:rFonts w:ascii="Calibri" w:eastAsia="Calibri" w:hAnsi="Calibri"/>
      <w:szCs w:val="22"/>
      <w:lang w:eastAsia="en-US"/>
    </w:rPr>
  </w:style>
  <w:style w:type="paragraph" w:styleId="PlainText">
    <w:name w:val="Plain Text"/>
    <w:basedOn w:val="Normal"/>
    <w:link w:val="PlainTextChar"/>
    <w:uiPriority w:val="99"/>
    <w:unhideWhenUsed/>
    <w:rsid w:val="005B4902"/>
    <w:pPr>
      <w:spacing w:line="240" w:lineRule="auto"/>
    </w:pPr>
    <w:rPr>
      <w:rFonts w:ascii="Calibri" w:eastAsia="MS PGothic" w:hAnsi="Calibri" w:cs="MS PGothic"/>
      <w:szCs w:val="22"/>
      <w:lang w:eastAsia="ja-JP"/>
    </w:rPr>
  </w:style>
  <w:style w:type="character" w:customStyle="1" w:styleId="PlainTextChar">
    <w:name w:val="Plain Text Char"/>
    <w:link w:val="PlainText"/>
    <w:uiPriority w:val="99"/>
    <w:rsid w:val="005B4902"/>
    <w:rPr>
      <w:rFonts w:ascii="Calibri" w:eastAsia="MS PGothic" w:hAnsi="Calibri" w:cs="MS PGothic"/>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4982">
      <w:bodyDiv w:val="1"/>
      <w:marLeft w:val="0"/>
      <w:marRight w:val="0"/>
      <w:marTop w:val="0"/>
      <w:marBottom w:val="0"/>
      <w:divBdr>
        <w:top w:val="none" w:sz="0" w:space="0" w:color="auto"/>
        <w:left w:val="none" w:sz="0" w:space="0" w:color="auto"/>
        <w:bottom w:val="none" w:sz="0" w:space="0" w:color="auto"/>
        <w:right w:val="none" w:sz="0" w:space="0" w:color="auto"/>
      </w:divBdr>
    </w:div>
    <w:div w:id="190340785">
      <w:bodyDiv w:val="1"/>
      <w:marLeft w:val="0"/>
      <w:marRight w:val="0"/>
      <w:marTop w:val="0"/>
      <w:marBottom w:val="0"/>
      <w:divBdr>
        <w:top w:val="none" w:sz="0" w:space="0" w:color="auto"/>
        <w:left w:val="none" w:sz="0" w:space="0" w:color="auto"/>
        <w:bottom w:val="none" w:sz="0" w:space="0" w:color="auto"/>
        <w:right w:val="none" w:sz="0" w:space="0" w:color="auto"/>
      </w:divBdr>
    </w:div>
    <w:div w:id="393235694">
      <w:bodyDiv w:val="1"/>
      <w:marLeft w:val="0"/>
      <w:marRight w:val="0"/>
      <w:marTop w:val="0"/>
      <w:marBottom w:val="0"/>
      <w:divBdr>
        <w:top w:val="none" w:sz="0" w:space="0" w:color="auto"/>
        <w:left w:val="none" w:sz="0" w:space="0" w:color="auto"/>
        <w:bottom w:val="none" w:sz="0" w:space="0" w:color="auto"/>
        <w:right w:val="none" w:sz="0" w:space="0" w:color="auto"/>
      </w:divBdr>
    </w:div>
    <w:div w:id="408504945">
      <w:bodyDiv w:val="1"/>
      <w:marLeft w:val="0"/>
      <w:marRight w:val="0"/>
      <w:marTop w:val="0"/>
      <w:marBottom w:val="0"/>
      <w:divBdr>
        <w:top w:val="none" w:sz="0" w:space="0" w:color="auto"/>
        <w:left w:val="none" w:sz="0" w:space="0" w:color="auto"/>
        <w:bottom w:val="none" w:sz="0" w:space="0" w:color="auto"/>
        <w:right w:val="none" w:sz="0" w:space="0" w:color="auto"/>
      </w:divBdr>
    </w:div>
    <w:div w:id="487139328">
      <w:bodyDiv w:val="1"/>
      <w:marLeft w:val="0"/>
      <w:marRight w:val="0"/>
      <w:marTop w:val="0"/>
      <w:marBottom w:val="0"/>
      <w:divBdr>
        <w:top w:val="none" w:sz="0" w:space="0" w:color="auto"/>
        <w:left w:val="none" w:sz="0" w:space="0" w:color="auto"/>
        <w:bottom w:val="none" w:sz="0" w:space="0" w:color="auto"/>
        <w:right w:val="none" w:sz="0" w:space="0" w:color="auto"/>
      </w:divBdr>
    </w:div>
    <w:div w:id="550918863">
      <w:bodyDiv w:val="1"/>
      <w:marLeft w:val="0"/>
      <w:marRight w:val="0"/>
      <w:marTop w:val="0"/>
      <w:marBottom w:val="0"/>
      <w:divBdr>
        <w:top w:val="none" w:sz="0" w:space="0" w:color="auto"/>
        <w:left w:val="none" w:sz="0" w:space="0" w:color="auto"/>
        <w:bottom w:val="none" w:sz="0" w:space="0" w:color="auto"/>
        <w:right w:val="none" w:sz="0" w:space="0" w:color="auto"/>
      </w:divBdr>
    </w:div>
    <w:div w:id="1073696784">
      <w:bodyDiv w:val="1"/>
      <w:marLeft w:val="0"/>
      <w:marRight w:val="0"/>
      <w:marTop w:val="0"/>
      <w:marBottom w:val="0"/>
      <w:divBdr>
        <w:top w:val="none" w:sz="0" w:space="0" w:color="auto"/>
        <w:left w:val="none" w:sz="0" w:space="0" w:color="auto"/>
        <w:bottom w:val="none" w:sz="0" w:space="0" w:color="auto"/>
        <w:right w:val="none" w:sz="0" w:space="0" w:color="auto"/>
      </w:divBdr>
    </w:div>
    <w:div w:id="1260216115">
      <w:bodyDiv w:val="1"/>
      <w:marLeft w:val="0"/>
      <w:marRight w:val="0"/>
      <w:marTop w:val="0"/>
      <w:marBottom w:val="0"/>
      <w:divBdr>
        <w:top w:val="none" w:sz="0" w:space="0" w:color="auto"/>
        <w:left w:val="none" w:sz="0" w:space="0" w:color="auto"/>
        <w:bottom w:val="none" w:sz="0" w:space="0" w:color="auto"/>
        <w:right w:val="none" w:sz="0" w:space="0" w:color="auto"/>
      </w:divBdr>
    </w:div>
    <w:div w:id="1377003700">
      <w:bodyDiv w:val="1"/>
      <w:marLeft w:val="0"/>
      <w:marRight w:val="0"/>
      <w:marTop w:val="0"/>
      <w:marBottom w:val="0"/>
      <w:divBdr>
        <w:top w:val="none" w:sz="0" w:space="0" w:color="auto"/>
        <w:left w:val="none" w:sz="0" w:space="0" w:color="auto"/>
        <w:bottom w:val="none" w:sz="0" w:space="0" w:color="auto"/>
        <w:right w:val="none" w:sz="0" w:space="0" w:color="auto"/>
      </w:divBdr>
    </w:div>
    <w:div w:id="1419448462">
      <w:bodyDiv w:val="1"/>
      <w:marLeft w:val="0"/>
      <w:marRight w:val="0"/>
      <w:marTop w:val="0"/>
      <w:marBottom w:val="0"/>
      <w:divBdr>
        <w:top w:val="none" w:sz="0" w:space="0" w:color="auto"/>
        <w:left w:val="none" w:sz="0" w:space="0" w:color="auto"/>
        <w:bottom w:val="none" w:sz="0" w:space="0" w:color="auto"/>
        <w:right w:val="none" w:sz="0" w:space="0" w:color="auto"/>
      </w:divBdr>
    </w:div>
    <w:div w:id="1545827755">
      <w:bodyDiv w:val="1"/>
      <w:marLeft w:val="0"/>
      <w:marRight w:val="0"/>
      <w:marTop w:val="0"/>
      <w:marBottom w:val="0"/>
      <w:divBdr>
        <w:top w:val="none" w:sz="0" w:space="0" w:color="auto"/>
        <w:left w:val="none" w:sz="0" w:space="0" w:color="auto"/>
        <w:bottom w:val="none" w:sz="0" w:space="0" w:color="auto"/>
        <w:right w:val="none" w:sz="0" w:space="0" w:color="auto"/>
      </w:divBdr>
    </w:div>
    <w:div w:id="1803420353">
      <w:bodyDiv w:val="1"/>
      <w:marLeft w:val="0"/>
      <w:marRight w:val="0"/>
      <w:marTop w:val="0"/>
      <w:marBottom w:val="0"/>
      <w:divBdr>
        <w:top w:val="none" w:sz="0" w:space="0" w:color="auto"/>
        <w:left w:val="none" w:sz="0" w:space="0" w:color="auto"/>
        <w:bottom w:val="none" w:sz="0" w:space="0" w:color="auto"/>
        <w:right w:val="none" w:sz="0" w:space="0" w:color="auto"/>
      </w:divBdr>
    </w:div>
    <w:div w:id="1819030888">
      <w:bodyDiv w:val="1"/>
      <w:marLeft w:val="0"/>
      <w:marRight w:val="0"/>
      <w:marTop w:val="0"/>
      <w:marBottom w:val="0"/>
      <w:divBdr>
        <w:top w:val="none" w:sz="0" w:space="0" w:color="auto"/>
        <w:left w:val="none" w:sz="0" w:space="0" w:color="auto"/>
        <w:bottom w:val="none" w:sz="0" w:space="0" w:color="auto"/>
        <w:right w:val="none" w:sz="0" w:space="0" w:color="auto"/>
      </w:divBdr>
    </w:div>
    <w:div w:id="1894148107">
      <w:bodyDiv w:val="1"/>
      <w:marLeft w:val="0"/>
      <w:marRight w:val="0"/>
      <w:marTop w:val="0"/>
      <w:marBottom w:val="0"/>
      <w:divBdr>
        <w:top w:val="none" w:sz="0" w:space="0" w:color="auto"/>
        <w:left w:val="none" w:sz="0" w:space="0" w:color="auto"/>
        <w:bottom w:val="none" w:sz="0" w:space="0" w:color="auto"/>
        <w:right w:val="none" w:sz="0" w:space="0" w:color="auto"/>
      </w:divBdr>
    </w:div>
    <w:div w:id="1896240365">
      <w:bodyDiv w:val="1"/>
      <w:marLeft w:val="0"/>
      <w:marRight w:val="0"/>
      <w:marTop w:val="0"/>
      <w:marBottom w:val="0"/>
      <w:divBdr>
        <w:top w:val="none" w:sz="0" w:space="0" w:color="auto"/>
        <w:left w:val="none" w:sz="0" w:space="0" w:color="auto"/>
        <w:bottom w:val="none" w:sz="0" w:space="0" w:color="auto"/>
        <w:right w:val="none" w:sz="0" w:space="0" w:color="auto"/>
      </w:divBdr>
    </w:div>
    <w:div w:id="1923299150">
      <w:bodyDiv w:val="1"/>
      <w:marLeft w:val="0"/>
      <w:marRight w:val="0"/>
      <w:marTop w:val="0"/>
      <w:marBottom w:val="0"/>
      <w:divBdr>
        <w:top w:val="none" w:sz="0" w:space="0" w:color="auto"/>
        <w:left w:val="none" w:sz="0" w:space="0" w:color="auto"/>
        <w:bottom w:val="none" w:sz="0" w:space="0" w:color="auto"/>
        <w:right w:val="none" w:sz="0" w:space="0" w:color="auto"/>
      </w:divBdr>
    </w:div>
    <w:div w:id="202473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BISSEMBA\Local%20Settings\Temporary%20Internet%20Files\Content.IE5\4TBRPRZX\michael-gove-letterhead-3%5b2%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D6040-9626-4D60-884A-BB7E86F4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michael-gove-letterhead-3[2].dot</Template>
  <TotalTime>0</TotalTime>
  <Pages>3</Pages>
  <Words>492</Words>
  <Characters>2807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FOI 112560 - Incidents of electronic tagging error, providers responsible and payments to electronic monitoring providers</vt:lpstr>
    </vt:vector>
  </TitlesOfParts>
  <Manager>Ministry of Justice</Manager>
  <Company>Ministry of Justice</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 112560 - Incidents of electronic tagging error, providers responsible and payments to electronic monitoring providers</dc:title>
  <dc:subject>FOI Release</dc:subject>
  <dc:creator>Adedeji, Olubunmi [NOMS]</dc:creator>
  <cp:keywords>Incidents of electronic tagging error, providers responsible and payments to electronic monitoring providers</cp:keywords>
  <dc:description/>
  <cp:lastModifiedBy>Cox, Allan</cp:lastModifiedBy>
  <cp:revision>2</cp:revision>
  <cp:lastPrinted>2017-07-11T15:56:00Z</cp:lastPrinted>
  <dcterms:created xsi:type="dcterms:W3CDTF">2017-08-24T12:17:00Z</dcterms:created>
  <dcterms:modified xsi:type="dcterms:W3CDTF">2017-08-24T12:17:00Z</dcterms:modified>
  <cp:category/>
</cp:coreProperties>
</file>