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CE" w:rsidRPr="006B74EF" w:rsidRDefault="00E119CE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9B582D" w:rsidRPr="00E30D8B" w:rsidTr="001C3F35">
        <w:trPr>
          <w:trHeight w:hRule="exact" w:val="340"/>
        </w:trPr>
        <w:tc>
          <w:tcPr>
            <w:tcW w:w="3510" w:type="dxa"/>
            <w:shd w:val="clear" w:color="auto" w:fill="auto"/>
            <w:vAlign w:val="bottom"/>
          </w:tcPr>
          <w:p w:rsidR="009B582D" w:rsidRPr="006B74EF" w:rsidRDefault="00321C31" w:rsidP="00E57D98">
            <w:pPr>
              <w:rPr>
                <w:rStyle w:val="HCABodytext"/>
                <w:rFonts w:ascii="Arial" w:hAnsi="Arial"/>
                <w:szCs w:val="22"/>
              </w:rPr>
            </w:pPr>
            <w:r>
              <w:rPr>
                <w:rStyle w:val="HCABodytext"/>
                <w:rFonts w:ascii="Arial" w:hAnsi="Arial"/>
                <w:szCs w:val="22"/>
              </w:rPr>
              <w:t>23</w:t>
            </w:r>
            <w:r w:rsidR="00BD4DFD">
              <w:rPr>
                <w:rStyle w:val="HCABodytext"/>
                <w:rFonts w:ascii="Arial" w:hAnsi="Arial"/>
                <w:szCs w:val="22"/>
              </w:rPr>
              <w:t xml:space="preserve"> June </w:t>
            </w:r>
            <w:r w:rsidR="00E57D98" w:rsidRPr="006B74EF">
              <w:rPr>
                <w:rStyle w:val="HCABodytext"/>
                <w:rFonts w:ascii="Arial" w:hAnsi="Arial"/>
                <w:szCs w:val="22"/>
              </w:rPr>
              <w:fldChar w:fldCharType="begin"/>
            </w:r>
            <w:r w:rsidR="00E57D98" w:rsidRPr="006B74EF">
              <w:rPr>
                <w:rStyle w:val="HCABodytext"/>
                <w:rFonts w:ascii="Arial" w:hAnsi="Arial"/>
                <w:szCs w:val="22"/>
              </w:rPr>
              <w:instrText xml:space="preserve"> FILLIN  Date \o  \* MERGEFORMAT </w:instrText>
            </w:r>
            <w:r w:rsidR="00E57D98" w:rsidRPr="006B74EF">
              <w:rPr>
                <w:rStyle w:val="HCABodytext"/>
                <w:rFonts w:ascii="Arial" w:hAnsi="Arial"/>
                <w:szCs w:val="22"/>
              </w:rPr>
              <w:fldChar w:fldCharType="separate"/>
            </w:r>
            <w:r w:rsidR="00E8661D">
              <w:rPr>
                <w:rStyle w:val="HCABodytext"/>
                <w:rFonts w:ascii="Arial" w:hAnsi="Arial"/>
                <w:szCs w:val="22"/>
              </w:rPr>
              <w:t>2015</w:t>
            </w:r>
            <w:r w:rsidR="00E57D98" w:rsidRPr="006B74EF">
              <w:rPr>
                <w:rStyle w:val="HCABodytext"/>
                <w:rFonts w:ascii="Arial" w:hAnsi="Arial"/>
                <w:szCs w:val="22"/>
              </w:rPr>
              <w:fldChar w:fldCharType="end"/>
            </w:r>
          </w:p>
        </w:tc>
      </w:tr>
    </w:tbl>
    <w:p w:rsidR="00BC3375" w:rsidRPr="00E30D8B" w:rsidRDefault="00A96E32" w:rsidP="00626BB1">
      <w:pPr>
        <w:framePr w:w="2879" w:h="1265" w:hRule="exact" w:hSpace="180" w:wrap="around" w:vAnchor="text" w:hAnchor="page" w:x="7822" w:y="12546" w:anchorLock="1"/>
        <w:shd w:val="solid" w:color="FFFFFF" w:fill="FFFFFF"/>
        <w:rPr>
          <w:color w:val="808080"/>
          <w:szCs w:val="24"/>
        </w:rPr>
      </w:pPr>
      <w:r w:rsidRPr="00E30D8B">
        <w:rPr>
          <w:color w:val="808080"/>
          <w:szCs w:val="24"/>
        </w:rPr>
        <w:fldChar w:fldCharType="begin"/>
      </w:r>
      <w:r w:rsidRPr="00E30D8B">
        <w:rPr>
          <w:color w:val="808080"/>
          <w:szCs w:val="24"/>
        </w:rPr>
        <w:instrText xml:space="preserve"> FILLIN  "Sender's Fax" \o  \* MERGEFORMAT </w:instrText>
      </w:r>
      <w:r w:rsidRPr="00E30D8B">
        <w:rPr>
          <w:color w:val="808080"/>
          <w:szCs w:val="24"/>
        </w:rPr>
        <w:fldChar w:fldCharType="end"/>
      </w:r>
    </w:p>
    <w:p w:rsidR="00652648" w:rsidRPr="00E30D8B" w:rsidRDefault="00C31E54">
      <w:pPr>
        <w:rPr>
          <w:rStyle w:val="HCABodytext"/>
          <w:rFonts w:ascii="Arial" w:hAnsi="Arial"/>
          <w:sz w:val="24"/>
          <w:szCs w:val="24"/>
        </w:rPr>
      </w:pPr>
      <w:r w:rsidRPr="00E30D8B">
        <w:rPr>
          <w:rStyle w:val="HCABodytext"/>
          <w:rFonts w:ascii="Arial" w:hAnsi="Arial"/>
          <w:sz w:val="24"/>
          <w:szCs w:val="24"/>
        </w:rPr>
        <w:br w:type="textWrapping" w:clear="all"/>
      </w:r>
    </w:p>
    <w:p w:rsidR="003261DA" w:rsidRPr="00E30D8B" w:rsidRDefault="003261DA">
      <w:pPr>
        <w:rPr>
          <w:rStyle w:val="HCABodytext"/>
          <w:rFonts w:ascii="Arial" w:hAnsi="Arial"/>
          <w:sz w:val="24"/>
          <w:szCs w:val="24"/>
        </w:rPr>
        <w:sectPr w:rsidR="003261DA" w:rsidRPr="00E30D8B" w:rsidSect="00C91BED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454" w:right="2552" w:bottom="2127" w:left="1474" w:header="720" w:footer="720" w:gutter="0"/>
          <w:cols w:space="720"/>
          <w:titlePg/>
        </w:sectPr>
      </w:pPr>
    </w:p>
    <w:p w:rsidR="00BD4DFD" w:rsidRPr="00551847" w:rsidRDefault="00BD4DFD" w:rsidP="00BD4DFD">
      <w:pPr>
        <w:pStyle w:val="Default"/>
        <w:ind w:right="-909"/>
      </w:pPr>
      <w:r w:rsidRPr="00551847">
        <w:rPr>
          <w:b/>
          <w:bCs/>
        </w:rPr>
        <w:lastRenderedPageBreak/>
        <w:t>APPROVAL OF A POLICY FOR DISPOSALS OF VACANT SOCIAL HOUSING DWELLINGS UNDER SECTION 172 OF THE HOUSING AND REGENERATION ACT 2008 (HRA 2008), IN ACCORDANCE WITH CATEGORY 5 OF THE GENERAL CONSENT 2015</w:t>
      </w:r>
    </w:p>
    <w:p w:rsidR="00BD4DFD" w:rsidRPr="005307A2" w:rsidRDefault="00BD4DFD" w:rsidP="00BD4DFD">
      <w:pPr>
        <w:pStyle w:val="Default"/>
        <w:rPr>
          <w:sz w:val="22"/>
          <w:szCs w:val="22"/>
        </w:rPr>
      </w:pPr>
    </w:p>
    <w:p w:rsidR="00BD4DFD" w:rsidRDefault="00BD4DFD" w:rsidP="00BD4DFD">
      <w:pPr>
        <w:ind w:left="720" w:hanging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TO</w:t>
      </w:r>
      <w:r w:rsidRPr="005307A2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  <w:t>Accent Foundation Limited, a private registered provider</w:t>
      </w:r>
      <w:r w:rsidR="00551847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>(“the Provider”)</w:t>
      </w:r>
    </w:p>
    <w:p w:rsidR="00BD4DFD" w:rsidRDefault="00BD4DFD" w:rsidP="00BD4DFD">
      <w:pPr>
        <w:rPr>
          <w:rFonts w:ascii="Tahoma" w:hAnsi="Tahoma" w:cs="Tahoma"/>
        </w:rPr>
      </w:pPr>
    </w:p>
    <w:p w:rsidR="00BD4DFD" w:rsidRDefault="00BD4DFD" w:rsidP="00BD4DF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RE:</w:t>
      </w:r>
      <w:r>
        <w:rPr>
          <w:rFonts w:ascii="Tahoma" w:hAnsi="Tahoma" w:cs="Tahoma"/>
          <w:b/>
        </w:rPr>
        <w:tab/>
        <w:t>APPLICATION REF: H2032699</w:t>
      </w:r>
    </w:p>
    <w:p w:rsidR="00BD4DFD" w:rsidRPr="0094495F" w:rsidRDefault="00BD4DFD" w:rsidP="00BD4DFD">
      <w:pPr>
        <w:rPr>
          <w:rFonts w:ascii="Tahoma" w:hAnsi="Tahoma" w:cs="Tahoma"/>
        </w:rPr>
      </w:pPr>
    </w:p>
    <w:p w:rsidR="00BD4DFD" w:rsidRDefault="00BD4DFD" w:rsidP="00BD4DFD">
      <w:pPr>
        <w:rPr>
          <w:rFonts w:ascii="Tahoma" w:hAnsi="Tahoma" w:cs="Tahoma"/>
          <w:b/>
        </w:rPr>
      </w:pPr>
      <w:r w:rsidRPr="005307A2">
        <w:rPr>
          <w:rFonts w:ascii="Tahoma" w:hAnsi="Tahoma" w:cs="Tahoma"/>
          <w:b/>
        </w:rPr>
        <w:t>REGISTERED NUMBER:</w:t>
      </w:r>
      <w:r>
        <w:rPr>
          <w:rFonts w:ascii="Tahoma" w:hAnsi="Tahoma" w:cs="Tahoma"/>
          <w:b/>
        </w:rPr>
        <w:tab/>
        <w:t>LH1722</w:t>
      </w:r>
    </w:p>
    <w:p w:rsidR="00BD4DFD" w:rsidRPr="005307A2" w:rsidRDefault="00BD4DFD" w:rsidP="00BD4DFD">
      <w:pPr>
        <w:rPr>
          <w:rFonts w:ascii="Tahoma" w:hAnsi="Tahoma" w:cs="Tahoma"/>
          <w:b/>
        </w:rPr>
      </w:pPr>
    </w:p>
    <w:p w:rsidR="00BD4DFD" w:rsidRDefault="00BD4DFD" w:rsidP="00BD4DF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POLICY TITL:  Easington Programme Disposals (“the Policy”)</w:t>
      </w:r>
    </w:p>
    <w:p w:rsidR="00BD4DFD" w:rsidRPr="005307A2" w:rsidRDefault="00BD4DFD" w:rsidP="00BD4DFD">
      <w:pPr>
        <w:rPr>
          <w:rFonts w:ascii="Tahoma" w:hAnsi="Tahoma" w:cs="Tahoma"/>
        </w:rPr>
      </w:pPr>
    </w:p>
    <w:p w:rsidR="00BD4DFD" w:rsidRDefault="00BD4DFD" w:rsidP="00BD4DF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 w:rsidRPr="00FE7FB3">
        <w:rPr>
          <w:rFonts w:ascii="Arial" w:hAnsi="Arial" w:cs="Arial"/>
        </w:rPr>
        <w:t xml:space="preserve"> Homes and Communities Agency</w:t>
      </w:r>
      <w:r>
        <w:rPr>
          <w:rFonts w:ascii="Arial" w:hAnsi="Arial" w:cs="Arial"/>
        </w:rPr>
        <w:t xml:space="preserve"> (HCA)</w:t>
      </w:r>
      <w:r w:rsidRPr="00FE7FB3">
        <w:rPr>
          <w:rFonts w:ascii="Arial" w:hAnsi="Arial" w:cs="Arial"/>
        </w:rPr>
        <w:t xml:space="preserve"> acting through its Regulation Committee</w:t>
      </w:r>
      <w:r>
        <w:rPr>
          <w:rFonts w:ascii="Arial" w:hAnsi="Arial" w:cs="Arial"/>
        </w:rPr>
        <w:t xml:space="preserve"> as the Social Housing Regulator</w:t>
      </w:r>
      <w:r w:rsidRPr="00FE7FB3">
        <w:rPr>
          <w:rFonts w:ascii="Arial" w:hAnsi="Arial" w:cs="Arial"/>
        </w:rPr>
        <w:t xml:space="preserve"> (‘the regulator’</w:t>
      </w:r>
      <w:r>
        <w:rPr>
          <w:rFonts w:ascii="Arial" w:hAnsi="Arial" w:cs="Arial"/>
        </w:rPr>
        <w:t>) approves the Policy named above for the purposes of Category 5 of Part I of the General Consent 2015 (“Category 5”) solely on the basis set out in this approval</w:t>
      </w:r>
      <w:r w:rsidRPr="00C872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effect from </w:t>
      </w:r>
      <w:r w:rsidRPr="0094495F">
        <w:rPr>
          <w:rFonts w:ascii="Arial" w:hAnsi="Arial" w:cs="Arial"/>
          <w:b/>
        </w:rPr>
        <w:t>23 June 2015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Pr="007C668C">
        <w:rPr>
          <w:rFonts w:ascii="Arial" w:hAnsi="Arial" w:cs="Arial"/>
        </w:rPr>
        <w:t>This approval remains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valid until </w:t>
      </w:r>
      <w:r w:rsidRPr="0094495F">
        <w:rPr>
          <w:rFonts w:ascii="Arial" w:hAnsi="Arial" w:cs="Arial"/>
          <w:b/>
        </w:rPr>
        <w:t>31 March 2018</w:t>
      </w:r>
      <w:r w:rsidRPr="008716FC">
        <w:rPr>
          <w:rFonts w:ascii="Arial" w:hAnsi="Arial" w:cs="Arial"/>
        </w:rPr>
        <w:t xml:space="preserve"> or until one of the cessation events listed below occurs, whichever is sooner</w:t>
      </w:r>
      <w:r>
        <w:rPr>
          <w:rFonts w:ascii="Arial" w:hAnsi="Arial" w:cs="Arial"/>
        </w:rPr>
        <w:t>.</w:t>
      </w:r>
    </w:p>
    <w:p w:rsidR="00BD4DFD" w:rsidRDefault="00BD4DFD" w:rsidP="00BD4DFD">
      <w:pPr>
        <w:autoSpaceDE w:val="0"/>
        <w:autoSpaceDN w:val="0"/>
        <w:adjustRightInd w:val="0"/>
        <w:rPr>
          <w:b/>
        </w:rPr>
      </w:pPr>
    </w:p>
    <w:p w:rsidR="00BD4DFD" w:rsidRPr="0094495F" w:rsidRDefault="00BD4DFD" w:rsidP="00BD4DFD">
      <w:pPr>
        <w:autoSpaceDE w:val="0"/>
        <w:autoSpaceDN w:val="0"/>
        <w:adjustRightInd w:val="0"/>
        <w:rPr>
          <w:b/>
        </w:rPr>
      </w:pPr>
      <w:r w:rsidRPr="0094495F">
        <w:rPr>
          <w:b/>
        </w:rPr>
        <w:t>Valid Use of this Approval</w:t>
      </w:r>
    </w:p>
    <w:p w:rsidR="00BD4DFD" w:rsidRDefault="00BD4DFD" w:rsidP="00BD4DFD">
      <w:pPr>
        <w:autoSpaceDE w:val="0"/>
        <w:autoSpaceDN w:val="0"/>
        <w:adjustRightInd w:val="0"/>
      </w:pPr>
    </w:p>
    <w:p w:rsidR="00BD4DFD" w:rsidRDefault="00BD4DFD" w:rsidP="00BD4DFD">
      <w:pPr>
        <w:autoSpaceDE w:val="0"/>
        <w:autoSpaceDN w:val="0"/>
        <w:adjustRightInd w:val="0"/>
        <w:rPr>
          <w:sz w:val="22"/>
          <w:szCs w:val="22"/>
        </w:rPr>
      </w:pPr>
      <w:r w:rsidRPr="00BD4DFD">
        <w:rPr>
          <w:sz w:val="22"/>
          <w:szCs w:val="22"/>
        </w:rPr>
        <w:t>To be a valid use of Category 5, each disposal made under the Policy must comply with the following requirements:</w:t>
      </w:r>
    </w:p>
    <w:p w:rsidR="00BD4DFD" w:rsidRPr="00BD4DFD" w:rsidRDefault="00BD4DFD" w:rsidP="00BD4DFD">
      <w:pPr>
        <w:autoSpaceDE w:val="0"/>
        <w:autoSpaceDN w:val="0"/>
        <w:adjustRightInd w:val="0"/>
        <w:rPr>
          <w:sz w:val="22"/>
          <w:szCs w:val="22"/>
        </w:rPr>
      </w:pPr>
    </w:p>
    <w:p w:rsidR="00BD4DFD" w:rsidRDefault="00BD4DFD" w:rsidP="00BD4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Must require</w:t>
      </w:r>
      <w:r w:rsidRPr="00632A1A">
        <w:rPr>
          <w:rFonts w:ascii="Arial" w:hAnsi="Arial" w:cs="Arial"/>
        </w:rPr>
        <w:t xml:space="preserve"> consent under s172 of HRA 2008</w:t>
      </w:r>
      <w:r>
        <w:rPr>
          <w:rFonts w:ascii="Arial" w:hAnsi="Arial" w:cs="Arial"/>
        </w:rPr>
        <w:t>;</w:t>
      </w:r>
    </w:p>
    <w:p w:rsidR="00BD4DFD" w:rsidRDefault="00BD4DFD" w:rsidP="00BD4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Must comply w</w:t>
      </w:r>
      <w:r w:rsidRPr="007C668C">
        <w:rPr>
          <w:rFonts w:ascii="Arial" w:hAnsi="Arial" w:cs="Arial"/>
        </w:rPr>
        <w:t xml:space="preserve">ith the specific conditions set out in </w:t>
      </w:r>
      <w:r>
        <w:rPr>
          <w:rFonts w:ascii="Arial" w:hAnsi="Arial" w:cs="Arial"/>
        </w:rPr>
        <w:t>C</w:t>
      </w:r>
      <w:r w:rsidRPr="007C668C">
        <w:rPr>
          <w:rFonts w:ascii="Arial" w:hAnsi="Arial" w:cs="Arial"/>
        </w:rPr>
        <w:t>ategory 5</w:t>
      </w:r>
      <w:r>
        <w:rPr>
          <w:rFonts w:ascii="Arial" w:hAnsi="Arial" w:cs="Arial"/>
        </w:rPr>
        <w:t>;</w:t>
      </w:r>
    </w:p>
    <w:p w:rsidR="00BD4DFD" w:rsidRDefault="00BD4DFD" w:rsidP="00BD4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Must comply with</w:t>
      </w:r>
      <w:r w:rsidRPr="007C668C">
        <w:rPr>
          <w:rFonts w:ascii="Arial" w:hAnsi="Arial" w:cs="Arial"/>
        </w:rPr>
        <w:t xml:space="preserve"> the general conditions </w:t>
      </w:r>
      <w:r>
        <w:rPr>
          <w:rFonts w:ascii="Arial" w:hAnsi="Arial" w:cs="Arial"/>
        </w:rPr>
        <w:t xml:space="preserve">set out in Part II </w:t>
      </w:r>
      <w:r w:rsidRPr="007C668C">
        <w:rPr>
          <w:rFonts w:ascii="Arial" w:hAnsi="Arial" w:cs="Arial"/>
        </w:rPr>
        <w:t xml:space="preserve">of the General Consent 2015 </w:t>
      </w:r>
    </w:p>
    <w:p w:rsidR="00BD4DFD" w:rsidRPr="007C668C" w:rsidRDefault="00BD4DFD" w:rsidP="00BD4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Must comply with </w:t>
      </w:r>
      <w:r w:rsidRPr="007C668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information and objectives set out in the Policy and in</w:t>
      </w:r>
      <w:r w:rsidRPr="007C668C">
        <w:rPr>
          <w:rFonts w:ascii="Arial" w:hAnsi="Arial" w:cs="Arial"/>
        </w:rPr>
        <w:t xml:space="preserve"> particular</w:t>
      </w:r>
      <w:r>
        <w:rPr>
          <w:rFonts w:ascii="Arial" w:hAnsi="Arial" w:cs="Arial"/>
        </w:rPr>
        <w:t xml:space="preserve">, the Policy Particulars (General) and (Homesteading element) </w:t>
      </w:r>
      <w:r w:rsidRPr="007C668C">
        <w:rPr>
          <w:rFonts w:ascii="Arial" w:hAnsi="Arial" w:cs="Arial"/>
        </w:rPr>
        <w:t>set out below.</w:t>
      </w:r>
      <w:r>
        <w:rPr>
          <w:rFonts w:ascii="Arial" w:hAnsi="Arial" w:cs="Arial"/>
        </w:rPr>
        <w:br/>
      </w:r>
    </w:p>
    <w:p w:rsidR="00BD4DFD" w:rsidRPr="00FE7FB3" w:rsidRDefault="00BD4DFD" w:rsidP="00BD4DFD">
      <w:pPr>
        <w:tabs>
          <w:tab w:val="center" w:pos="4513"/>
          <w:tab w:val="left" w:pos="6705"/>
        </w:tabs>
        <w:jc w:val="center"/>
        <w:rPr>
          <w:b/>
        </w:rPr>
      </w:pPr>
      <w:r w:rsidRPr="00FE7FB3">
        <w:rPr>
          <w:b/>
        </w:rPr>
        <w:t xml:space="preserve">Policy </w:t>
      </w:r>
      <w:r>
        <w:rPr>
          <w:b/>
        </w:rPr>
        <w:t>Particulars (General)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469"/>
        <w:gridCol w:w="6286"/>
      </w:tblGrid>
      <w:tr w:rsidR="00BD4DFD" w:rsidTr="00551847">
        <w:tc>
          <w:tcPr>
            <w:tcW w:w="2469" w:type="dxa"/>
          </w:tcPr>
          <w:p w:rsidR="00BD4DFD" w:rsidRPr="00FE7FB3" w:rsidRDefault="00BD4DFD" w:rsidP="007C668C">
            <w:r>
              <w:t>S</w:t>
            </w:r>
            <w:r w:rsidRPr="00FE7FB3">
              <w:t xml:space="preserve">election criteria </w:t>
            </w:r>
            <w:r>
              <w:t>of properties to be disposed of under the P</w:t>
            </w:r>
            <w:r w:rsidRPr="00FE7FB3">
              <w:t>olicy</w:t>
            </w:r>
          </w:p>
        </w:tc>
        <w:tc>
          <w:tcPr>
            <w:tcW w:w="6286" w:type="dxa"/>
          </w:tcPr>
          <w:p w:rsidR="00BD4DFD" w:rsidRPr="00551847" w:rsidRDefault="00BD4DFD" w:rsidP="00BD4DFD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551847">
              <w:rPr>
                <w:rFonts w:ascii="Arial" w:hAnsi="Arial" w:cs="Arial"/>
              </w:rPr>
              <w:t>Unoccupied social housing dwellings.</w:t>
            </w:r>
          </w:p>
          <w:p w:rsidR="00BD4DFD" w:rsidRPr="005307A2" w:rsidRDefault="00BD4DFD" w:rsidP="00BD4DFD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Tahoma" w:hAnsi="Tahoma" w:cs="Tahoma"/>
              </w:rPr>
            </w:pPr>
            <w:r w:rsidRPr="00551847">
              <w:rPr>
                <w:rFonts w:ascii="Arial" w:hAnsi="Arial" w:cs="Arial"/>
              </w:rPr>
              <w:t>Properties identified as having non sustainable levels of demand by the Provider</w:t>
            </w:r>
            <w:r>
              <w:rPr>
                <w:rFonts w:ascii="Tahoma" w:hAnsi="Tahoma" w:cs="Tahoma"/>
              </w:rPr>
              <w:t>.</w:t>
            </w:r>
          </w:p>
        </w:tc>
      </w:tr>
    </w:tbl>
    <w:p w:rsidR="00BD4DFD" w:rsidRDefault="00BD4DFD"/>
    <w:p w:rsidR="00BD4DFD" w:rsidRDefault="00BD4DFD" w:rsidP="00BD4DFD">
      <w:pPr>
        <w:jc w:val="center"/>
        <w:rPr>
          <w:b/>
        </w:rPr>
      </w:pPr>
      <w:r w:rsidRPr="00FE7FB3">
        <w:rPr>
          <w:b/>
        </w:rPr>
        <w:lastRenderedPageBreak/>
        <w:t xml:space="preserve">Policy </w:t>
      </w:r>
      <w:r>
        <w:rPr>
          <w:b/>
        </w:rPr>
        <w:t>Particulars (General)</w:t>
      </w:r>
      <w:r w:rsidR="00551847">
        <w:rPr>
          <w:b/>
        </w:rPr>
        <w:t xml:space="preserve"> continued</w:t>
      </w:r>
    </w:p>
    <w:p w:rsidR="00551847" w:rsidRDefault="00551847" w:rsidP="00BD4DFD">
      <w:pPr>
        <w:jc w:val="center"/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469"/>
        <w:gridCol w:w="6286"/>
      </w:tblGrid>
      <w:tr w:rsidR="00BD4DFD" w:rsidTr="00551847">
        <w:tc>
          <w:tcPr>
            <w:tcW w:w="2469" w:type="dxa"/>
          </w:tcPr>
          <w:p w:rsidR="00BD4DFD" w:rsidRDefault="00BD4DFD" w:rsidP="007C668C">
            <w:r>
              <w:t>Interest to be disposed of</w:t>
            </w:r>
          </w:p>
        </w:tc>
        <w:tc>
          <w:tcPr>
            <w:tcW w:w="6286" w:type="dxa"/>
          </w:tcPr>
          <w:p w:rsidR="00BD4DFD" w:rsidRPr="00530029" w:rsidRDefault="00BD4DFD" w:rsidP="00BD4DFD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 w:rsidRPr="00530029">
              <w:rPr>
                <w:rFonts w:ascii="Arial" w:hAnsi="Arial" w:cs="Arial"/>
              </w:rPr>
              <w:t>Transfer of Freehold</w:t>
            </w:r>
          </w:p>
          <w:p w:rsidR="00BD4DFD" w:rsidRDefault="00BD4DFD" w:rsidP="007C668C"/>
        </w:tc>
      </w:tr>
      <w:tr w:rsidR="00BD4DFD" w:rsidTr="00551847">
        <w:tc>
          <w:tcPr>
            <w:tcW w:w="2469" w:type="dxa"/>
          </w:tcPr>
          <w:p w:rsidR="00BD4DFD" w:rsidRDefault="00BD4DFD" w:rsidP="007C668C">
            <w:r>
              <w:t>Limit on numbers</w:t>
            </w:r>
          </w:p>
        </w:tc>
        <w:tc>
          <w:tcPr>
            <w:tcW w:w="6286" w:type="dxa"/>
          </w:tcPr>
          <w:p w:rsidR="00BD4DFD" w:rsidRPr="00530029" w:rsidRDefault="00BD4DFD" w:rsidP="00BD4DFD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Arial" w:hAnsi="Arial" w:cs="Arial"/>
              </w:rPr>
            </w:pPr>
            <w:r w:rsidRPr="00530029">
              <w:rPr>
                <w:rFonts w:ascii="Arial" w:hAnsi="Arial" w:cs="Arial"/>
              </w:rPr>
              <w:t>No more than 347 properties in total (including the Homesteading element).</w:t>
            </w:r>
          </w:p>
          <w:p w:rsidR="00BD4DFD" w:rsidRPr="007C668C" w:rsidRDefault="00BD4DFD" w:rsidP="007C668C"/>
        </w:tc>
      </w:tr>
      <w:tr w:rsidR="00BD4DFD" w:rsidTr="00551847">
        <w:tc>
          <w:tcPr>
            <w:tcW w:w="2469" w:type="dxa"/>
          </w:tcPr>
          <w:p w:rsidR="00BD4DFD" w:rsidRPr="00FE7FB3" w:rsidRDefault="00BD4DFD" w:rsidP="007C668C">
            <w:r>
              <w:t>To be sold (to)</w:t>
            </w:r>
          </w:p>
        </w:tc>
        <w:tc>
          <w:tcPr>
            <w:tcW w:w="6286" w:type="dxa"/>
          </w:tcPr>
          <w:p w:rsidR="00BD4DFD" w:rsidRPr="00530029" w:rsidRDefault="00BD4DFD" w:rsidP="00BD4DFD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Arial" w:hAnsi="Arial" w:cs="Arial"/>
              </w:rPr>
            </w:pPr>
            <w:r w:rsidRPr="00530029">
              <w:rPr>
                <w:rFonts w:ascii="Arial" w:hAnsi="Arial" w:cs="Arial"/>
              </w:rPr>
              <w:t>On the open market</w:t>
            </w:r>
          </w:p>
          <w:p w:rsidR="00BD4DFD" w:rsidRPr="00632A1A" w:rsidRDefault="00BD4DFD" w:rsidP="007C668C"/>
        </w:tc>
      </w:tr>
      <w:tr w:rsidR="00BD4DFD" w:rsidTr="00551847">
        <w:tc>
          <w:tcPr>
            <w:tcW w:w="2469" w:type="dxa"/>
          </w:tcPr>
          <w:p w:rsidR="00BD4DFD" w:rsidRDefault="00BD4DFD" w:rsidP="007C668C">
            <w:r>
              <w:t xml:space="preserve">Consideration </w:t>
            </w:r>
          </w:p>
        </w:tc>
        <w:tc>
          <w:tcPr>
            <w:tcW w:w="6286" w:type="dxa"/>
          </w:tcPr>
          <w:p w:rsidR="00BD4DFD" w:rsidRPr="00530029" w:rsidRDefault="00BD4DFD" w:rsidP="00BD4DFD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</w:rPr>
            </w:pPr>
            <w:r w:rsidRPr="00530029">
              <w:rPr>
                <w:rFonts w:ascii="Arial" w:hAnsi="Arial" w:cs="Arial"/>
              </w:rPr>
              <w:t>No less than the open market value as outlined in condition 3 of the general conditions set out in Part II of the General Consent 2015 except for those properties that sit within the “Homesteading” element of the Policy as set out below.</w:t>
            </w:r>
          </w:p>
          <w:p w:rsidR="00BD4DFD" w:rsidRPr="001F741D" w:rsidRDefault="00BD4DFD" w:rsidP="007C668C">
            <w:pPr>
              <w:rPr>
                <w:b/>
                <w:i/>
              </w:rPr>
            </w:pPr>
          </w:p>
        </w:tc>
      </w:tr>
      <w:tr w:rsidR="00BD4DFD" w:rsidTr="00551847">
        <w:tc>
          <w:tcPr>
            <w:tcW w:w="2469" w:type="dxa"/>
          </w:tcPr>
          <w:p w:rsidR="00BD4DFD" w:rsidRDefault="00BD4DFD" w:rsidP="007C668C">
            <w:r>
              <w:t>Other conditions</w:t>
            </w:r>
          </w:p>
        </w:tc>
        <w:tc>
          <w:tcPr>
            <w:tcW w:w="6286" w:type="dxa"/>
          </w:tcPr>
          <w:p w:rsidR="00BD4DFD" w:rsidRDefault="00BD4DFD" w:rsidP="00BD4DFD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2F33D4">
              <w:rPr>
                <w:rFonts w:ascii="Arial" w:hAnsi="Arial" w:cs="Arial"/>
              </w:rPr>
              <w:t xml:space="preserve">Disposals only to be made for the purpose of reducing the supply of Accent social housing stock in the </w:t>
            </w:r>
            <w:proofErr w:type="spellStart"/>
            <w:r w:rsidRPr="002F33D4">
              <w:rPr>
                <w:rFonts w:ascii="Arial" w:hAnsi="Arial" w:cs="Arial"/>
              </w:rPr>
              <w:t>Horden</w:t>
            </w:r>
            <w:proofErr w:type="spellEnd"/>
            <w:r w:rsidRPr="002F33D4">
              <w:rPr>
                <w:rFonts w:ascii="Arial" w:hAnsi="Arial" w:cs="Arial"/>
              </w:rPr>
              <w:t xml:space="preserve"> and </w:t>
            </w:r>
            <w:proofErr w:type="spellStart"/>
            <w:r w:rsidRPr="002F33D4">
              <w:rPr>
                <w:rFonts w:ascii="Arial" w:hAnsi="Arial" w:cs="Arial"/>
              </w:rPr>
              <w:t>Blackhall</w:t>
            </w:r>
            <w:proofErr w:type="spellEnd"/>
            <w:r w:rsidRPr="002F33D4">
              <w:rPr>
                <w:rFonts w:ascii="Arial" w:hAnsi="Arial" w:cs="Arial"/>
              </w:rPr>
              <w:t xml:space="preserve"> areas.</w:t>
            </w:r>
          </w:p>
          <w:p w:rsidR="00BD4DFD" w:rsidRPr="002F33D4" w:rsidRDefault="00BD4DFD" w:rsidP="00BD4DFD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properties that are occupied at the time of the issue of this </w:t>
            </w:r>
            <w:proofErr w:type="gramStart"/>
            <w:r>
              <w:rPr>
                <w:rFonts w:ascii="Arial" w:hAnsi="Arial" w:cs="Arial"/>
              </w:rPr>
              <w:t>approval,</w:t>
            </w:r>
            <w:proofErr w:type="gramEnd"/>
            <w:r>
              <w:rPr>
                <w:rFonts w:ascii="Arial" w:hAnsi="Arial" w:cs="Arial"/>
              </w:rPr>
              <w:t xml:space="preserve"> may be only be sold when they become unoccupied as a result of the voluntary surrender of the tenancy by the current tenant. </w:t>
            </w:r>
          </w:p>
        </w:tc>
      </w:tr>
      <w:tr w:rsidR="00BD4DFD" w:rsidTr="00551847">
        <w:tc>
          <w:tcPr>
            <w:tcW w:w="2469" w:type="dxa"/>
          </w:tcPr>
          <w:p w:rsidR="00BD4DFD" w:rsidRDefault="00BD4DFD" w:rsidP="007C668C">
            <w:r>
              <w:t>Audit condition</w:t>
            </w:r>
          </w:p>
        </w:tc>
        <w:tc>
          <w:tcPr>
            <w:tcW w:w="6286" w:type="dxa"/>
          </w:tcPr>
          <w:p w:rsidR="00BD4DFD" w:rsidRPr="00530029" w:rsidRDefault="00BD4DFD" w:rsidP="00BD4DFD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530029">
              <w:rPr>
                <w:rFonts w:ascii="Arial" w:hAnsi="Arial" w:cs="Arial"/>
              </w:rPr>
              <w:t>Conduct an audit as set in out in the specific conditions of Category 5</w:t>
            </w:r>
            <w:r>
              <w:rPr>
                <w:rFonts w:ascii="Arial" w:hAnsi="Arial" w:cs="Arial"/>
              </w:rPr>
              <w:t>,</w:t>
            </w:r>
            <w:r w:rsidRPr="00530029">
              <w:rPr>
                <w:rFonts w:ascii="Arial" w:hAnsi="Arial" w:cs="Arial"/>
              </w:rPr>
              <w:t xml:space="preserve"> ensuring</w:t>
            </w:r>
            <w:r>
              <w:rPr>
                <w:rFonts w:ascii="Arial" w:hAnsi="Arial" w:cs="Arial"/>
              </w:rPr>
              <w:t xml:space="preserve"> that</w:t>
            </w:r>
            <w:r w:rsidRPr="005300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audit</w:t>
            </w:r>
            <w:r w:rsidRPr="005300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the report </w:t>
            </w:r>
            <w:r w:rsidRPr="00530029">
              <w:rPr>
                <w:rFonts w:ascii="Arial" w:hAnsi="Arial" w:cs="Arial"/>
              </w:rPr>
              <w:t>include consideration of the</w:t>
            </w:r>
            <w:r>
              <w:rPr>
                <w:rFonts w:ascii="Arial" w:hAnsi="Arial" w:cs="Arial"/>
              </w:rPr>
              <w:t xml:space="preserve"> use of the Policy.  Such consideration is to include assessment of compliance with these general</w:t>
            </w:r>
            <w:r w:rsidRPr="005300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530029">
              <w:rPr>
                <w:rFonts w:ascii="Arial" w:hAnsi="Arial" w:cs="Arial"/>
              </w:rPr>
              <w:t xml:space="preserve">olicy </w:t>
            </w:r>
            <w:r>
              <w:rPr>
                <w:rFonts w:ascii="Arial" w:hAnsi="Arial" w:cs="Arial"/>
              </w:rPr>
              <w:t>P</w:t>
            </w:r>
            <w:r w:rsidRPr="00530029">
              <w:rPr>
                <w:rFonts w:ascii="Arial" w:hAnsi="Arial" w:cs="Arial"/>
              </w:rPr>
              <w:t>articulars</w:t>
            </w:r>
            <w:r>
              <w:rPr>
                <w:rFonts w:ascii="Arial" w:hAnsi="Arial" w:cs="Arial"/>
              </w:rPr>
              <w:t>;</w:t>
            </w:r>
            <w:r w:rsidRPr="005300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with </w:t>
            </w:r>
            <w:r w:rsidRPr="00530029">
              <w:rPr>
                <w:rFonts w:ascii="Arial" w:hAnsi="Arial" w:cs="Arial"/>
              </w:rPr>
              <w:t>relevant conditions of the General Consent 2015</w:t>
            </w:r>
            <w:r>
              <w:rPr>
                <w:rFonts w:ascii="Arial" w:hAnsi="Arial" w:cs="Arial"/>
              </w:rPr>
              <w:t xml:space="preserve">; </w:t>
            </w:r>
            <w:r w:rsidRPr="00530029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with the information and objectives set out in the Policy</w:t>
            </w:r>
            <w:r w:rsidRPr="00530029">
              <w:rPr>
                <w:rFonts w:ascii="Arial" w:hAnsi="Arial" w:cs="Arial"/>
              </w:rPr>
              <w:t xml:space="preserve">. </w:t>
            </w:r>
          </w:p>
        </w:tc>
      </w:tr>
    </w:tbl>
    <w:p w:rsidR="00BD4DFD" w:rsidRDefault="00BD4DFD" w:rsidP="00BD4DFD">
      <w:pPr>
        <w:pStyle w:val="NoSpacing"/>
        <w:rPr>
          <w:rFonts w:ascii="Arial" w:hAnsi="Arial" w:cs="Arial"/>
          <w:b/>
        </w:rPr>
      </w:pPr>
    </w:p>
    <w:p w:rsidR="00BD4DFD" w:rsidRDefault="00BD4DFD" w:rsidP="00BD4DFD">
      <w:pPr>
        <w:pStyle w:val="NoSpacing"/>
        <w:jc w:val="center"/>
        <w:rPr>
          <w:rFonts w:ascii="Arial" w:hAnsi="Arial" w:cs="Arial"/>
          <w:b/>
        </w:rPr>
      </w:pPr>
    </w:p>
    <w:p w:rsidR="00BD4DFD" w:rsidRDefault="00BD4DFD" w:rsidP="00BD4DFD">
      <w:pPr>
        <w:tabs>
          <w:tab w:val="center" w:pos="4513"/>
          <w:tab w:val="left" w:pos="6705"/>
        </w:tabs>
        <w:rPr>
          <w:b/>
        </w:rPr>
      </w:pPr>
      <w:r>
        <w:rPr>
          <w:b/>
        </w:rPr>
        <w:tab/>
      </w:r>
      <w:r w:rsidRPr="00FE7FB3">
        <w:rPr>
          <w:b/>
        </w:rPr>
        <w:t xml:space="preserve">Policy </w:t>
      </w:r>
      <w:r>
        <w:rPr>
          <w:b/>
        </w:rPr>
        <w:t>Particulars (Homesteading element)</w:t>
      </w:r>
    </w:p>
    <w:p w:rsidR="00BD4DFD" w:rsidRPr="00A05A97" w:rsidRDefault="00BD4DFD" w:rsidP="00BD4DFD">
      <w:pPr>
        <w:autoSpaceDE w:val="0"/>
        <w:autoSpaceDN w:val="0"/>
        <w:adjustRightInd w:val="0"/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484"/>
        <w:gridCol w:w="6271"/>
      </w:tblGrid>
      <w:tr w:rsidR="00BD4DFD" w:rsidTr="00551847">
        <w:tc>
          <w:tcPr>
            <w:tcW w:w="2484" w:type="dxa"/>
          </w:tcPr>
          <w:p w:rsidR="00BD4DFD" w:rsidRDefault="00BD4DFD" w:rsidP="007C668C">
            <w:r>
              <w:t>Other conditions</w:t>
            </w:r>
          </w:p>
        </w:tc>
        <w:tc>
          <w:tcPr>
            <w:tcW w:w="6271" w:type="dxa"/>
          </w:tcPr>
          <w:p w:rsidR="00BD4DFD" w:rsidRPr="00551847" w:rsidRDefault="00BD4DFD" w:rsidP="0055184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551847">
              <w:rPr>
                <w:rFonts w:ascii="Arial" w:hAnsi="Arial" w:cs="Arial"/>
              </w:rPr>
              <w:t xml:space="preserve">Disposals only to be made for the purpose of increasing home ownership in the </w:t>
            </w:r>
            <w:proofErr w:type="spellStart"/>
            <w:r w:rsidRPr="00551847">
              <w:rPr>
                <w:rFonts w:ascii="Arial" w:hAnsi="Arial" w:cs="Arial"/>
              </w:rPr>
              <w:t>Blackhall</w:t>
            </w:r>
            <w:proofErr w:type="spellEnd"/>
            <w:r w:rsidRPr="00551847">
              <w:rPr>
                <w:rFonts w:ascii="Arial" w:hAnsi="Arial" w:cs="Arial"/>
              </w:rPr>
              <w:t xml:space="preserve"> area</w:t>
            </w:r>
          </w:p>
        </w:tc>
      </w:tr>
      <w:tr w:rsidR="00BD4DFD" w:rsidTr="00551847">
        <w:tc>
          <w:tcPr>
            <w:tcW w:w="2484" w:type="dxa"/>
          </w:tcPr>
          <w:p w:rsidR="00BD4DFD" w:rsidRDefault="00BD4DFD" w:rsidP="007C668C">
            <w:r>
              <w:t>Limit on numbers</w:t>
            </w:r>
          </w:p>
        </w:tc>
        <w:tc>
          <w:tcPr>
            <w:tcW w:w="6271" w:type="dxa"/>
          </w:tcPr>
          <w:p w:rsidR="00BD4DFD" w:rsidRPr="00551847" w:rsidRDefault="00BD4DFD" w:rsidP="0055184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551847">
              <w:rPr>
                <w:rFonts w:ascii="Arial" w:hAnsi="Arial" w:cs="Arial"/>
              </w:rPr>
              <w:t xml:space="preserve">No more than 33 properties in the </w:t>
            </w:r>
            <w:proofErr w:type="spellStart"/>
            <w:r w:rsidRPr="00551847">
              <w:rPr>
                <w:rFonts w:ascii="Arial" w:hAnsi="Arial" w:cs="Arial"/>
              </w:rPr>
              <w:t>Blackhall</w:t>
            </w:r>
            <w:proofErr w:type="spellEnd"/>
            <w:r w:rsidRPr="00551847">
              <w:rPr>
                <w:rFonts w:ascii="Arial" w:hAnsi="Arial" w:cs="Arial"/>
              </w:rPr>
              <w:t xml:space="preserve"> area</w:t>
            </w:r>
          </w:p>
        </w:tc>
      </w:tr>
      <w:tr w:rsidR="00BD4DFD" w:rsidTr="00551847">
        <w:tc>
          <w:tcPr>
            <w:tcW w:w="2484" w:type="dxa"/>
          </w:tcPr>
          <w:p w:rsidR="00BD4DFD" w:rsidRPr="00FE7FB3" w:rsidRDefault="00BD4DFD" w:rsidP="007C668C">
            <w:r>
              <w:t>To be sold (to)</w:t>
            </w:r>
          </w:p>
        </w:tc>
        <w:tc>
          <w:tcPr>
            <w:tcW w:w="6271" w:type="dxa"/>
          </w:tcPr>
          <w:p w:rsidR="00BD4DFD" w:rsidRPr="00551847" w:rsidRDefault="00BD4DFD" w:rsidP="0055184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551847">
              <w:rPr>
                <w:rFonts w:ascii="Arial" w:hAnsi="Arial" w:cs="Arial"/>
              </w:rPr>
              <w:t>On the open market to buyers who meet the criteria for the Provider’s shared ownership programme.</w:t>
            </w:r>
          </w:p>
        </w:tc>
      </w:tr>
      <w:tr w:rsidR="00BD4DFD" w:rsidTr="00551847">
        <w:tc>
          <w:tcPr>
            <w:tcW w:w="2484" w:type="dxa"/>
          </w:tcPr>
          <w:p w:rsidR="00BD4DFD" w:rsidRDefault="00BD4DFD" w:rsidP="007C668C">
            <w:r>
              <w:t>For the Consideration of</w:t>
            </w:r>
          </w:p>
        </w:tc>
        <w:tc>
          <w:tcPr>
            <w:tcW w:w="6271" w:type="dxa"/>
          </w:tcPr>
          <w:p w:rsidR="00BD4DFD" w:rsidRPr="00551847" w:rsidRDefault="00BD4DFD" w:rsidP="0055184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551847">
              <w:rPr>
                <w:rFonts w:ascii="Arial" w:hAnsi="Arial" w:cs="Arial"/>
              </w:rPr>
              <w:t>No less than 35% of open market value for buyers who make the property their primary residence for a period of</w:t>
            </w:r>
            <w:r w:rsidR="00551847">
              <w:rPr>
                <w:rFonts w:ascii="Arial" w:hAnsi="Arial" w:cs="Arial"/>
              </w:rPr>
              <w:t xml:space="preserve"> 3 years after the purchase;</w:t>
            </w:r>
            <w:r w:rsidRPr="00551847">
              <w:rPr>
                <w:rFonts w:ascii="Arial" w:hAnsi="Arial" w:cs="Arial"/>
              </w:rPr>
              <w:t xml:space="preserve"> </w:t>
            </w:r>
            <w:r w:rsidR="00551847">
              <w:rPr>
                <w:rFonts w:ascii="Arial" w:hAnsi="Arial" w:cs="Arial"/>
              </w:rPr>
              <w:t>or</w:t>
            </w:r>
          </w:p>
          <w:p w:rsidR="00551847" w:rsidRPr="00551847" w:rsidRDefault="00551847" w:rsidP="0055184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BD4DFD" w:rsidRPr="00551847" w:rsidRDefault="00BD4DFD" w:rsidP="00551847">
            <w:pPr>
              <w:pStyle w:val="ListParagraph"/>
              <w:numPr>
                <w:ilvl w:val="0"/>
                <w:numId w:val="16"/>
              </w:numPr>
            </w:pPr>
            <w:r w:rsidRPr="00551847">
              <w:rPr>
                <w:rFonts w:ascii="Arial" w:hAnsi="Arial" w:cs="Arial"/>
              </w:rPr>
              <w:t>No less than 50% of open market value for buyers who make the property their primary residence for a period of 5 years after the purchase.</w:t>
            </w:r>
          </w:p>
          <w:p w:rsidR="00BD4DFD" w:rsidRPr="00551847" w:rsidRDefault="00BD4DFD" w:rsidP="007C668C">
            <w:pPr>
              <w:rPr>
                <w:sz w:val="22"/>
                <w:szCs w:val="22"/>
              </w:rPr>
            </w:pPr>
          </w:p>
        </w:tc>
      </w:tr>
    </w:tbl>
    <w:p w:rsidR="00551847" w:rsidRDefault="00551847"/>
    <w:p w:rsidR="00551847" w:rsidRDefault="00551847"/>
    <w:p w:rsidR="00551847" w:rsidRDefault="00551847"/>
    <w:p w:rsidR="00551847" w:rsidRDefault="00551847"/>
    <w:p w:rsidR="00551847" w:rsidRDefault="00551847" w:rsidP="00551847">
      <w:pPr>
        <w:tabs>
          <w:tab w:val="center" w:pos="4513"/>
          <w:tab w:val="left" w:pos="6705"/>
        </w:tabs>
        <w:jc w:val="center"/>
        <w:rPr>
          <w:b/>
        </w:rPr>
      </w:pPr>
    </w:p>
    <w:p w:rsidR="00551847" w:rsidRDefault="00551847" w:rsidP="00551847">
      <w:pPr>
        <w:tabs>
          <w:tab w:val="center" w:pos="4513"/>
          <w:tab w:val="left" w:pos="6705"/>
        </w:tabs>
        <w:jc w:val="center"/>
        <w:rPr>
          <w:b/>
        </w:rPr>
      </w:pPr>
      <w:r w:rsidRPr="00FE7FB3">
        <w:rPr>
          <w:b/>
        </w:rPr>
        <w:lastRenderedPageBreak/>
        <w:t xml:space="preserve">Policy </w:t>
      </w:r>
      <w:r>
        <w:rPr>
          <w:b/>
        </w:rPr>
        <w:t>Particulars (Homesteading element) continued</w:t>
      </w:r>
    </w:p>
    <w:p w:rsidR="00551847" w:rsidRDefault="00551847"/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484"/>
        <w:gridCol w:w="6271"/>
      </w:tblGrid>
      <w:tr w:rsidR="00BD4DFD" w:rsidTr="00551847">
        <w:tc>
          <w:tcPr>
            <w:tcW w:w="2484" w:type="dxa"/>
          </w:tcPr>
          <w:p w:rsidR="00BD4DFD" w:rsidRDefault="00BD4DFD" w:rsidP="007C668C">
            <w:r>
              <w:t>Condition of sales under the Homesteading element</w:t>
            </w:r>
          </w:p>
        </w:tc>
        <w:tc>
          <w:tcPr>
            <w:tcW w:w="6271" w:type="dxa"/>
          </w:tcPr>
          <w:p w:rsidR="00BD4DFD" w:rsidRPr="00551847" w:rsidRDefault="00BD4DFD" w:rsidP="007C668C">
            <w:pPr>
              <w:rPr>
                <w:sz w:val="22"/>
                <w:szCs w:val="22"/>
              </w:rPr>
            </w:pPr>
            <w:r w:rsidRPr="00551847">
              <w:rPr>
                <w:sz w:val="22"/>
                <w:szCs w:val="22"/>
              </w:rPr>
              <w:t>The sale should include the following conditions:</w:t>
            </w:r>
          </w:p>
          <w:p w:rsidR="00BD4DFD" w:rsidRPr="00551847" w:rsidRDefault="00BD4DFD" w:rsidP="007C668C">
            <w:pPr>
              <w:rPr>
                <w:sz w:val="22"/>
                <w:szCs w:val="22"/>
              </w:rPr>
            </w:pPr>
          </w:p>
          <w:p w:rsidR="00BD4DFD" w:rsidRPr="00551847" w:rsidRDefault="00BD4DFD" w:rsidP="00BD4DFD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551847">
              <w:rPr>
                <w:rFonts w:ascii="Arial" w:hAnsi="Arial" w:cs="Arial"/>
              </w:rPr>
              <w:t>A restriction on sub-letting the properties</w:t>
            </w:r>
          </w:p>
          <w:p w:rsidR="00BD4DFD" w:rsidRPr="00551847" w:rsidRDefault="00BD4DFD" w:rsidP="00BD4DFD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551847">
              <w:rPr>
                <w:rFonts w:ascii="Arial" w:hAnsi="Arial" w:cs="Arial"/>
              </w:rPr>
              <w:t>A “</w:t>
            </w:r>
            <w:proofErr w:type="spellStart"/>
            <w:r w:rsidRPr="00551847">
              <w:rPr>
                <w:rFonts w:ascii="Arial" w:hAnsi="Arial" w:cs="Arial"/>
              </w:rPr>
              <w:t>clawback</w:t>
            </w:r>
            <w:proofErr w:type="spellEnd"/>
            <w:r w:rsidRPr="00551847">
              <w:rPr>
                <w:rFonts w:ascii="Arial" w:hAnsi="Arial" w:cs="Arial"/>
              </w:rPr>
              <w:t xml:space="preserve">” condition which requires the purchaser to repay the discount related to the required period of primary residency, if the property is sold or sub-let within the relevant period </w:t>
            </w:r>
            <w:proofErr w:type="spellStart"/>
            <w:r w:rsidRPr="00551847">
              <w:rPr>
                <w:rFonts w:ascii="Arial" w:hAnsi="Arial" w:cs="Arial"/>
              </w:rPr>
              <w:t>ie</w:t>
            </w:r>
            <w:proofErr w:type="spellEnd"/>
            <w:r w:rsidRPr="00551847">
              <w:rPr>
                <w:rFonts w:ascii="Arial" w:hAnsi="Arial" w:cs="Arial"/>
              </w:rPr>
              <w:t>. 3 or 5 years</w:t>
            </w:r>
          </w:p>
          <w:p w:rsidR="00BD4DFD" w:rsidRPr="00551847" w:rsidRDefault="00BD4DFD" w:rsidP="007C668C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BD4DFD" w:rsidRDefault="00BD4DFD" w:rsidP="00BD4DFD">
      <w:pPr>
        <w:pStyle w:val="NoSpacing"/>
        <w:rPr>
          <w:rFonts w:ascii="Arial" w:hAnsi="Arial" w:cs="Arial"/>
          <w:b/>
        </w:rPr>
      </w:pPr>
    </w:p>
    <w:p w:rsidR="00551847" w:rsidRDefault="00551847" w:rsidP="00BD4DFD">
      <w:pPr>
        <w:pStyle w:val="NoSpacing"/>
        <w:jc w:val="center"/>
        <w:rPr>
          <w:rFonts w:ascii="Arial" w:hAnsi="Arial" w:cs="Arial"/>
          <w:b/>
        </w:rPr>
      </w:pPr>
    </w:p>
    <w:p w:rsidR="00BD4DFD" w:rsidRDefault="00BD4DFD" w:rsidP="00BD4DFD">
      <w:pPr>
        <w:pStyle w:val="NoSpacing"/>
        <w:jc w:val="center"/>
        <w:rPr>
          <w:rFonts w:ascii="Arial" w:hAnsi="Arial" w:cs="Arial"/>
          <w:b/>
        </w:rPr>
      </w:pPr>
      <w:r w:rsidRPr="00453996">
        <w:rPr>
          <w:rFonts w:ascii="Arial" w:hAnsi="Arial" w:cs="Arial"/>
          <w:b/>
        </w:rPr>
        <w:t>Cessation events</w:t>
      </w:r>
    </w:p>
    <w:p w:rsidR="00BD4DFD" w:rsidRDefault="00BD4DFD" w:rsidP="00BD4DFD">
      <w:pPr>
        <w:pStyle w:val="NoSpacing"/>
        <w:jc w:val="center"/>
        <w:rPr>
          <w:rFonts w:ascii="Arial" w:hAnsi="Arial" w:cs="Arial"/>
          <w:b/>
        </w:rPr>
      </w:pPr>
    </w:p>
    <w:p w:rsidR="00BD4DFD" w:rsidRDefault="00BD4DFD" w:rsidP="00BD4DFD">
      <w:r w:rsidRPr="00551847">
        <w:rPr>
          <w:sz w:val="22"/>
          <w:szCs w:val="22"/>
        </w:rPr>
        <w:t>This approval remains</w:t>
      </w:r>
      <w:r w:rsidRPr="00551847">
        <w:rPr>
          <w:b/>
          <w:sz w:val="22"/>
          <w:szCs w:val="22"/>
        </w:rPr>
        <w:t xml:space="preserve"> </w:t>
      </w:r>
      <w:r w:rsidRPr="00551847">
        <w:rPr>
          <w:sz w:val="22"/>
          <w:szCs w:val="22"/>
        </w:rPr>
        <w:t xml:space="preserve">valid until </w:t>
      </w:r>
      <w:r w:rsidRPr="00551847">
        <w:rPr>
          <w:b/>
          <w:sz w:val="22"/>
          <w:szCs w:val="22"/>
        </w:rPr>
        <w:t>31 March 2018</w:t>
      </w:r>
      <w:r w:rsidRPr="00551847">
        <w:rPr>
          <w:sz w:val="22"/>
          <w:szCs w:val="22"/>
        </w:rPr>
        <w:t xml:space="preserve"> or until one of the cessation events listed below occurs, whichever is sooner</w:t>
      </w:r>
      <w:r>
        <w:t>:</w:t>
      </w:r>
    </w:p>
    <w:p w:rsidR="00551847" w:rsidRPr="00453996" w:rsidRDefault="00551847" w:rsidP="00BD4DFD"/>
    <w:p w:rsidR="00BD4DFD" w:rsidRDefault="00BD4DFD" w:rsidP="00BD4DFD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453996">
        <w:rPr>
          <w:rFonts w:ascii="Arial" w:hAnsi="Arial" w:cs="Arial"/>
        </w:rPr>
        <w:t xml:space="preserve">regulator </w:t>
      </w:r>
      <w:r>
        <w:rPr>
          <w:rFonts w:ascii="Arial" w:hAnsi="Arial" w:cs="Arial"/>
        </w:rPr>
        <w:t>issues a</w:t>
      </w:r>
      <w:r w:rsidRPr="00453996">
        <w:rPr>
          <w:rFonts w:ascii="Arial" w:hAnsi="Arial" w:cs="Arial"/>
        </w:rPr>
        <w:t xml:space="preserve"> notice</w:t>
      </w:r>
      <w:r>
        <w:rPr>
          <w:rFonts w:ascii="Arial" w:hAnsi="Arial" w:cs="Arial"/>
        </w:rPr>
        <w:t xml:space="preserve"> to the provider</w:t>
      </w:r>
      <w:r w:rsidRPr="004539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withdrawing or </w:t>
      </w:r>
      <w:r w:rsidRPr="00453996">
        <w:rPr>
          <w:rFonts w:ascii="Arial" w:hAnsi="Arial" w:cs="Arial"/>
        </w:rPr>
        <w:t>revo</w:t>
      </w:r>
      <w:r>
        <w:rPr>
          <w:rFonts w:ascii="Arial" w:hAnsi="Arial" w:cs="Arial"/>
        </w:rPr>
        <w:t>king</w:t>
      </w:r>
      <w:r w:rsidRPr="00453996"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>is approval (note that such a notice will in addition be published)</w:t>
      </w:r>
    </w:p>
    <w:p w:rsidR="00BD4DFD" w:rsidRPr="00453996" w:rsidRDefault="00BD4DFD" w:rsidP="00BD4DFD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regulator issues a notice withdrawing General Consent 2015, or categories of it from the Provider.</w:t>
      </w:r>
    </w:p>
    <w:p w:rsidR="00BD4DFD" w:rsidRPr="00453996" w:rsidRDefault="00BD4DFD" w:rsidP="00BD4DFD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provider is deregistered as a registered provider of social housing.</w:t>
      </w:r>
    </w:p>
    <w:p w:rsidR="00E30D8B" w:rsidRDefault="00E30D8B" w:rsidP="00E119CE">
      <w:pPr>
        <w:rPr>
          <w:rStyle w:val="HCABodytext"/>
          <w:rFonts w:ascii="Arial" w:hAnsi="Arial"/>
          <w:sz w:val="24"/>
          <w:szCs w:val="24"/>
        </w:rPr>
      </w:pPr>
    </w:p>
    <w:p w:rsidR="00551847" w:rsidRDefault="00551847" w:rsidP="00551847">
      <w:pPr>
        <w:pStyle w:val="NoSpacing"/>
        <w:rPr>
          <w:rFonts w:ascii="Arial" w:hAnsi="Arial" w:cs="Arial"/>
          <w:b/>
        </w:rPr>
      </w:pPr>
    </w:p>
    <w:p w:rsidR="00551847" w:rsidRDefault="00551847" w:rsidP="0055184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I, the undersigned, am authorised by the regulator to sign this approval given under s.172 of the HRA 2008</w:t>
      </w:r>
    </w:p>
    <w:p w:rsidR="00551847" w:rsidRDefault="00551847" w:rsidP="00551847">
      <w:pPr>
        <w:pStyle w:val="NoSpacing"/>
        <w:rPr>
          <w:rFonts w:ascii="Arial" w:hAnsi="Arial" w:cs="Arial"/>
          <w:b/>
        </w:rPr>
      </w:pPr>
    </w:p>
    <w:p w:rsidR="00551847" w:rsidRDefault="00551847" w:rsidP="00551847">
      <w:bookmarkStart w:id="2" w:name="_GoBack"/>
      <w:bookmarkEnd w:id="2"/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4966"/>
      </w:tblGrid>
      <w:tr w:rsidR="00551847" w:rsidTr="00551847">
        <w:tc>
          <w:tcPr>
            <w:tcW w:w="3789" w:type="dxa"/>
          </w:tcPr>
          <w:p w:rsidR="00551847" w:rsidRDefault="00551847" w:rsidP="007C668C">
            <w:r>
              <w:t>Name of authorised signatory</w:t>
            </w:r>
          </w:p>
        </w:tc>
        <w:tc>
          <w:tcPr>
            <w:tcW w:w="4966" w:type="dxa"/>
          </w:tcPr>
          <w:p w:rsidR="00551847" w:rsidRDefault="00551847" w:rsidP="007C668C">
            <w:r>
              <w:t>Jonathan Walters</w:t>
            </w:r>
          </w:p>
        </w:tc>
      </w:tr>
      <w:tr w:rsidR="00551847" w:rsidTr="00551847">
        <w:tc>
          <w:tcPr>
            <w:tcW w:w="3789" w:type="dxa"/>
          </w:tcPr>
          <w:p w:rsidR="00551847" w:rsidRDefault="00551847" w:rsidP="007C668C">
            <w:r>
              <w:t>Role of authorised signatory</w:t>
            </w:r>
          </w:p>
        </w:tc>
        <w:tc>
          <w:tcPr>
            <w:tcW w:w="4966" w:type="dxa"/>
          </w:tcPr>
          <w:p w:rsidR="00551847" w:rsidRDefault="00551847" w:rsidP="007C668C">
            <w:r>
              <w:t>Deputy Director, Strategy and Performance</w:t>
            </w:r>
          </w:p>
        </w:tc>
      </w:tr>
      <w:tr w:rsidR="00551847" w:rsidTr="00551847">
        <w:tc>
          <w:tcPr>
            <w:tcW w:w="3789" w:type="dxa"/>
          </w:tcPr>
          <w:p w:rsidR="00551847" w:rsidRDefault="00551847" w:rsidP="007C668C">
            <w:r>
              <w:t>Date signed</w:t>
            </w:r>
          </w:p>
        </w:tc>
        <w:tc>
          <w:tcPr>
            <w:tcW w:w="4966" w:type="dxa"/>
          </w:tcPr>
          <w:p w:rsidR="00551847" w:rsidRDefault="00C22F3D" w:rsidP="007C668C">
            <w:r>
              <w:t>23</w:t>
            </w:r>
            <w:r w:rsidR="00551847">
              <w:t xml:space="preserve"> June 2015</w:t>
            </w:r>
          </w:p>
        </w:tc>
      </w:tr>
    </w:tbl>
    <w:p w:rsidR="00551847" w:rsidRDefault="00551847" w:rsidP="00E119CE">
      <w:pPr>
        <w:rPr>
          <w:rStyle w:val="HCABodytext"/>
          <w:rFonts w:ascii="Arial" w:hAnsi="Arial"/>
          <w:sz w:val="24"/>
          <w:szCs w:val="24"/>
        </w:rPr>
      </w:pPr>
    </w:p>
    <w:sectPr w:rsidR="00551847" w:rsidSect="009016DF">
      <w:headerReference w:type="default" r:id="rId13"/>
      <w:type w:val="continuous"/>
      <w:pgSz w:w="11906" w:h="16838" w:code="9"/>
      <w:pgMar w:top="2127" w:right="2552" w:bottom="907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64" w:rsidRDefault="00C62A64">
      <w:r>
        <w:separator/>
      </w:r>
    </w:p>
  </w:endnote>
  <w:endnote w:type="continuationSeparator" w:id="0">
    <w:p w:rsidR="00C62A64" w:rsidRDefault="00C6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CB" w:rsidRDefault="00A308CB" w:rsidP="00E30D8B">
    <w:pPr>
      <w:pStyle w:val="Footer"/>
    </w:pPr>
    <w:bookmarkStart w:id="0" w:name="aliashAdvancedFooterprot1FooterEvenPages"/>
  </w:p>
  <w:bookmarkEnd w:id="0"/>
  <w:p w:rsidR="00A308CB" w:rsidRDefault="00A308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3069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F367A" w:rsidRDefault="000F367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2F3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2F3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08CB" w:rsidRDefault="00A308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CB" w:rsidRDefault="00A308CB" w:rsidP="00E30D8B">
    <w:pPr>
      <w:pStyle w:val="Footer"/>
      <w:rPr>
        <w:rFonts w:ascii="Helvetica" w:hAnsi="Helvetica"/>
        <w:color w:val="808080"/>
        <w:szCs w:val="18"/>
      </w:rPr>
    </w:pPr>
    <w:bookmarkStart w:id="1" w:name="aliashAdvancedFooterprot1FooterFirstPage"/>
  </w:p>
  <w:bookmarkEnd w:id="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64" w:rsidRDefault="00C62A64">
      <w:r>
        <w:separator/>
      </w:r>
    </w:p>
  </w:footnote>
  <w:footnote w:type="continuationSeparator" w:id="0">
    <w:p w:rsidR="00C62A64" w:rsidRDefault="00C6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CB" w:rsidRDefault="00A308CB">
    <w:pPr>
      <w:pStyle w:val="Header"/>
    </w:pPr>
    <w:r>
      <w:rPr>
        <w:noProof/>
        <w:lang w:eastAsia="en-GB"/>
      </w:rPr>
      <w:drawing>
        <wp:inline distT="0" distB="0" distL="0" distR="0" wp14:anchorId="70A93036" wp14:editId="25AB8905">
          <wp:extent cx="1308100" cy="1042035"/>
          <wp:effectExtent l="0" t="0" r="6350" b="5715"/>
          <wp:docPr id="3" name="Picture 3" descr="HCA-go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A-gov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08CB" w:rsidRDefault="00A308CB">
    <w:pPr>
      <w:pStyle w:val="Header"/>
    </w:pPr>
  </w:p>
  <w:p w:rsidR="00A308CB" w:rsidRPr="0045642D" w:rsidRDefault="00A308CB">
    <w:pPr>
      <w:pStyle w:val="Header"/>
      <w:rPr>
        <w:sz w:val="22"/>
        <w:szCs w:val="22"/>
      </w:rPr>
    </w:pPr>
    <w:r w:rsidRPr="0045642D">
      <w:rPr>
        <w:sz w:val="22"/>
        <w:szCs w:val="22"/>
      </w:rPr>
      <w:t>The social housing regulator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CB" w:rsidRDefault="00A308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C8"/>
    <w:multiLevelType w:val="hybridMultilevel"/>
    <w:tmpl w:val="61EAB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206D"/>
    <w:multiLevelType w:val="hybridMultilevel"/>
    <w:tmpl w:val="4A1A5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6125"/>
    <w:multiLevelType w:val="hybridMultilevel"/>
    <w:tmpl w:val="1C345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300994"/>
    <w:multiLevelType w:val="hybridMultilevel"/>
    <w:tmpl w:val="2188B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0053B"/>
    <w:multiLevelType w:val="hybridMultilevel"/>
    <w:tmpl w:val="C2BAE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61A66"/>
    <w:multiLevelType w:val="hybridMultilevel"/>
    <w:tmpl w:val="D6028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46E68"/>
    <w:multiLevelType w:val="hybridMultilevel"/>
    <w:tmpl w:val="D0224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955E9F"/>
    <w:multiLevelType w:val="hybridMultilevel"/>
    <w:tmpl w:val="8F460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77070"/>
    <w:multiLevelType w:val="hybridMultilevel"/>
    <w:tmpl w:val="73CE2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4224A"/>
    <w:multiLevelType w:val="hybridMultilevel"/>
    <w:tmpl w:val="649C2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E4A15"/>
    <w:multiLevelType w:val="hybridMultilevel"/>
    <w:tmpl w:val="A7CE1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6615D"/>
    <w:multiLevelType w:val="hybridMultilevel"/>
    <w:tmpl w:val="FBC43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AC4077"/>
    <w:multiLevelType w:val="hybridMultilevel"/>
    <w:tmpl w:val="BA246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77B29"/>
    <w:multiLevelType w:val="hybridMultilevel"/>
    <w:tmpl w:val="32C28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6233E4D"/>
    <w:multiLevelType w:val="hybridMultilevel"/>
    <w:tmpl w:val="86D89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A7745"/>
    <w:multiLevelType w:val="hybridMultilevel"/>
    <w:tmpl w:val="E4AE696E"/>
    <w:lvl w:ilvl="0" w:tplc="0809000F">
      <w:start w:val="1"/>
      <w:numFmt w:val="decimal"/>
      <w:lvlText w:val="%1.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>
    <w:nsid w:val="75B9137B"/>
    <w:multiLevelType w:val="hybridMultilevel"/>
    <w:tmpl w:val="0090E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93568"/>
    <w:multiLevelType w:val="hybridMultilevel"/>
    <w:tmpl w:val="4D74C7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E63032"/>
    <w:multiLevelType w:val="hybridMultilevel"/>
    <w:tmpl w:val="55561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8919FD"/>
    <w:multiLevelType w:val="hybridMultilevel"/>
    <w:tmpl w:val="70DE7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5"/>
  </w:num>
  <w:num w:numId="12">
    <w:abstractNumId w:val="17"/>
  </w:num>
  <w:num w:numId="13">
    <w:abstractNumId w:val="15"/>
  </w:num>
  <w:num w:numId="14">
    <w:abstractNumId w:val="16"/>
  </w:num>
  <w:num w:numId="15">
    <w:abstractNumId w:val="19"/>
  </w:num>
  <w:num w:numId="16">
    <w:abstractNumId w:val="13"/>
  </w:num>
  <w:num w:numId="17">
    <w:abstractNumId w:val="18"/>
  </w:num>
  <w:num w:numId="18">
    <w:abstractNumId w:val="2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8B"/>
    <w:rsid w:val="0005585C"/>
    <w:rsid w:val="00095444"/>
    <w:rsid w:val="00095EF5"/>
    <w:rsid w:val="000F367A"/>
    <w:rsid w:val="001618B5"/>
    <w:rsid w:val="001660E5"/>
    <w:rsid w:val="0018151A"/>
    <w:rsid w:val="001C217A"/>
    <w:rsid w:val="001C3F35"/>
    <w:rsid w:val="001E726F"/>
    <w:rsid w:val="001F7C3B"/>
    <w:rsid w:val="00202B95"/>
    <w:rsid w:val="0023748A"/>
    <w:rsid w:val="00240F0A"/>
    <w:rsid w:val="00263C0D"/>
    <w:rsid w:val="002B7F1B"/>
    <w:rsid w:val="002D0C12"/>
    <w:rsid w:val="002D13FD"/>
    <w:rsid w:val="002D6466"/>
    <w:rsid w:val="002D70C7"/>
    <w:rsid w:val="003171EE"/>
    <w:rsid w:val="003208B3"/>
    <w:rsid w:val="00321C31"/>
    <w:rsid w:val="003261DA"/>
    <w:rsid w:val="00327D9B"/>
    <w:rsid w:val="00334A63"/>
    <w:rsid w:val="00373D9E"/>
    <w:rsid w:val="003B45E2"/>
    <w:rsid w:val="003E1662"/>
    <w:rsid w:val="00400423"/>
    <w:rsid w:val="0045642D"/>
    <w:rsid w:val="005162D6"/>
    <w:rsid w:val="0054063E"/>
    <w:rsid w:val="00551847"/>
    <w:rsid w:val="00551E03"/>
    <w:rsid w:val="00566F69"/>
    <w:rsid w:val="0057173C"/>
    <w:rsid w:val="005D39E2"/>
    <w:rsid w:val="005D7271"/>
    <w:rsid w:val="005E5DC8"/>
    <w:rsid w:val="005F7192"/>
    <w:rsid w:val="00626BB1"/>
    <w:rsid w:val="00652648"/>
    <w:rsid w:val="006645E6"/>
    <w:rsid w:val="006869AF"/>
    <w:rsid w:val="006B2644"/>
    <w:rsid w:val="006B74EF"/>
    <w:rsid w:val="006C3A37"/>
    <w:rsid w:val="006F611E"/>
    <w:rsid w:val="0074653F"/>
    <w:rsid w:val="00747146"/>
    <w:rsid w:val="00767E67"/>
    <w:rsid w:val="00772C85"/>
    <w:rsid w:val="00777790"/>
    <w:rsid w:val="00780261"/>
    <w:rsid w:val="0079791A"/>
    <w:rsid w:val="007B6E22"/>
    <w:rsid w:val="007C614C"/>
    <w:rsid w:val="007C63AF"/>
    <w:rsid w:val="007D5E37"/>
    <w:rsid w:val="007E0518"/>
    <w:rsid w:val="007E36F5"/>
    <w:rsid w:val="00847E50"/>
    <w:rsid w:val="00853100"/>
    <w:rsid w:val="00860950"/>
    <w:rsid w:val="008665AB"/>
    <w:rsid w:val="00872C74"/>
    <w:rsid w:val="008823CF"/>
    <w:rsid w:val="008A24FB"/>
    <w:rsid w:val="008C65A1"/>
    <w:rsid w:val="008D578E"/>
    <w:rsid w:val="008D7A87"/>
    <w:rsid w:val="008E1C42"/>
    <w:rsid w:val="009016DF"/>
    <w:rsid w:val="00956C38"/>
    <w:rsid w:val="009B582D"/>
    <w:rsid w:val="009C09C3"/>
    <w:rsid w:val="009D3C44"/>
    <w:rsid w:val="009F7D67"/>
    <w:rsid w:val="00A1467C"/>
    <w:rsid w:val="00A308CB"/>
    <w:rsid w:val="00A5008A"/>
    <w:rsid w:val="00A57625"/>
    <w:rsid w:val="00A65146"/>
    <w:rsid w:val="00A92CAF"/>
    <w:rsid w:val="00A96E32"/>
    <w:rsid w:val="00AA4664"/>
    <w:rsid w:val="00AC6F8E"/>
    <w:rsid w:val="00AE7619"/>
    <w:rsid w:val="00AF1DAD"/>
    <w:rsid w:val="00AF1DDA"/>
    <w:rsid w:val="00AF3C50"/>
    <w:rsid w:val="00B12629"/>
    <w:rsid w:val="00B2422F"/>
    <w:rsid w:val="00B31E0B"/>
    <w:rsid w:val="00B410F3"/>
    <w:rsid w:val="00B467CC"/>
    <w:rsid w:val="00B96C61"/>
    <w:rsid w:val="00B97238"/>
    <w:rsid w:val="00B97C1D"/>
    <w:rsid w:val="00BA1A6D"/>
    <w:rsid w:val="00BB10F3"/>
    <w:rsid w:val="00BC3375"/>
    <w:rsid w:val="00BD4DFD"/>
    <w:rsid w:val="00C00D53"/>
    <w:rsid w:val="00C064F0"/>
    <w:rsid w:val="00C22F3D"/>
    <w:rsid w:val="00C31E54"/>
    <w:rsid w:val="00C350A5"/>
    <w:rsid w:val="00C62A64"/>
    <w:rsid w:val="00C749B8"/>
    <w:rsid w:val="00C82A53"/>
    <w:rsid w:val="00C83C50"/>
    <w:rsid w:val="00C91BED"/>
    <w:rsid w:val="00C94AF7"/>
    <w:rsid w:val="00CA2164"/>
    <w:rsid w:val="00CD3162"/>
    <w:rsid w:val="00CD759B"/>
    <w:rsid w:val="00D03B8F"/>
    <w:rsid w:val="00D16ADB"/>
    <w:rsid w:val="00D208F9"/>
    <w:rsid w:val="00D46957"/>
    <w:rsid w:val="00D50EB9"/>
    <w:rsid w:val="00D63EB2"/>
    <w:rsid w:val="00D71598"/>
    <w:rsid w:val="00D80391"/>
    <w:rsid w:val="00D914A1"/>
    <w:rsid w:val="00DB3B78"/>
    <w:rsid w:val="00E119CE"/>
    <w:rsid w:val="00E23F52"/>
    <w:rsid w:val="00E30D8B"/>
    <w:rsid w:val="00E4031E"/>
    <w:rsid w:val="00E43AF2"/>
    <w:rsid w:val="00E57D98"/>
    <w:rsid w:val="00E62863"/>
    <w:rsid w:val="00E8661D"/>
    <w:rsid w:val="00EB3EFE"/>
    <w:rsid w:val="00EB6EA7"/>
    <w:rsid w:val="00F2035B"/>
    <w:rsid w:val="00F37963"/>
    <w:rsid w:val="00F536F6"/>
    <w:rsid w:val="00F92AB7"/>
    <w:rsid w:val="00F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CABodytext">
    <w:name w:val="HCA Body text"/>
    <w:rsid w:val="00AA4664"/>
    <w:rPr>
      <w:rFonts w:ascii="Helvetica" w:hAnsi="Helvetica"/>
      <w:sz w:val="22"/>
    </w:rPr>
  </w:style>
  <w:style w:type="table" w:styleId="TableGrid">
    <w:name w:val="Table Grid"/>
    <w:basedOn w:val="TableNormal"/>
    <w:uiPriority w:val="59"/>
    <w:rsid w:val="009B5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semiHidden/>
    <w:pPr>
      <w:spacing w:line="280" w:lineRule="exact"/>
    </w:pPr>
    <w:rPr>
      <w:b/>
      <w:sz w:val="22"/>
    </w:rPr>
  </w:style>
  <w:style w:type="paragraph" w:styleId="TOC2">
    <w:name w:val="toc 2"/>
    <w:basedOn w:val="Normal"/>
    <w:next w:val="Normal"/>
    <w:autoRedefine/>
    <w:semiHidden/>
    <w:pPr>
      <w:spacing w:line="280" w:lineRule="exact"/>
      <w:ind w:left="238"/>
    </w:pPr>
    <w:rPr>
      <w:sz w:val="22"/>
    </w:rPr>
  </w:style>
  <w:style w:type="paragraph" w:styleId="TOC3">
    <w:name w:val="toc 3"/>
    <w:basedOn w:val="Normal"/>
    <w:next w:val="Normal"/>
    <w:autoRedefine/>
    <w:semiHidden/>
    <w:pPr>
      <w:spacing w:line="280" w:lineRule="exact"/>
      <w:ind w:left="482"/>
    </w:pPr>
    <w:rPr>
      <w:sz w:val="22"/>
    </w:rPr>
  </w:style>
  <w:style w:type="paragraph" w:customStyle="1" w:styleId="HCABodytextbold">
    <w:name w:val="HCA Body text bold"/>
    <w:basedOn w:val="Normal"/>
    <w:autoRedefine/>
    <w:rsid w:val="009B582D"/>
    <w:rPr>
      <w:b/>
      <w:sz w:val="22"/>
    </w:rPr>
  </w:style>
  <w:style w:type="paragraph" w:customStyle="1" w:styleId="TintBox">
    <w:name w:val="Tint Box"/>
    <w:basedOn w:val="Normal"/>
    <w:next w:val="Normal"/>
    <w:pPr>
      <w:pBdr>
        <w:top w:val="single" w:sz="2" w:space="6" w:color="FFFFFF"/>
        <w:left w:val="single" w:sz="2" w:space="8" w:color="FFFFFF"/>
        <w:bottom w:val="single" w:sz="2" w:space="8" w:color="FFFFFF"/>
        <w:right w:val="single" w:sz="2" w:space="8" w:color="FFFFFF"/>
      </w:pBdr>
      <w:shd w:val="pct10" w:color="auto" w:fill="auto"/>
      <w:spacing w:line="280" w:lineRule="exact"/>
    </w:pPr>
    <w:rPr>
      <w:b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</w:rPr>
  </w:style>
  <w:style w:type="character" w:styleId="Hyperlink">
    <w:name w:val="Hyperlink"/>
    <w:basedOn w:val="DefaultParagraphFont"/>
    <w:rsid w:val="00BB10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0F3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1C21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21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217A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217A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1C2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217A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37963"/>
    <w:rPr>
      <w:rFonts w:ascii="Arial" w:hAnsi="Arial" w:cs="Arial"/>
      <w:sz w:val="24"/>
      <w:lang w:eastAsia="en-US"/>
    </w:rPr>
  </w:style>
  <w:style w:type="paragraph" w:styleId="NoSpacing">
    <w:name w:val="No Spacing"/>
    <w:uiPriority w:val="1"/>
    <w:qFormat/>
    <w:rsid w:val="00B12629"/>
    <w:rPr>
      <w:rFonts w:ascii="Calibri" w:eastAsia="Calibri" w:hAnsi="Calibri"/>
      <w:sz w:val="22"/>
      <w:szCs w:val="22"/>
      <w:lang w:eastAsia="en-US"/>
    </w:rPr>
  </w:style>
  <w:style w:type="paragraph" w:customStyle="1" w:styleId="sincerely">
    <w:name w:val="sincerely"/>
    <w:basedOn w:val="Normal"/>
    <w:rsid w:val="00B12629"/>
    <w:pPr>
      <w:overflowPunct w:val="0"/>
      <w:autoSpaceDE w:val="0"/>
      <w:autoSpaceDN w:val="0"/>
      <w:adjustRightInd w:val="0"/>
      <w:spacing w:after="240"/>
    </w:pPr>
    <w:rPr>
      <w:rFonts w:ascii="Times New Roman" w:hAnsi="Times New Roman" w:cs="Times New Roman"/>
      <w:lang w:eastAsia="en-GB"/>
    </w:rPr>
  </w:style>
  <w:style w:type="paragraph" w:customStyle="1" w:styleId="Default">
    <w:name w:val="Default"/>
    <w:rsid w:val="00BD4DF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367A"/>
    <w:rPr>
      <w:rFonts w:ascii="Arial" w:hAnsi="Arial" w:cs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CABodytext">
    <w:name w:val="HCA Body text"/>
    <w:rsid w:val="00AA4664"/>
    <w:rPr>
      <w:rFonts w:ascii="Helvetica" w:hAnsi="Helvetica"/>
      <w:sz w:val="22"/>
    </w:rPr>
  </w:style>
  <w:style w:type="table" w:styleId="TableGrid">
    <w:name w:val="Table Grid"/>
    <w:basedOn w:val="TableNormal"/>
    <w:uiPriority w:val="59"/>
    <w:rsid w:val="009B5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semiHidden/>
    <w:pPr>
      <w:spacing w:line="280" w:lineRule="exact"/>
    </w:pPr>
    <w:rPr>
      <w:b/>
      <w:sz w:val="22"/>
    </w:rPr>
  </w:style>
  <w:style w:type="paragraph" w:styleId="TOC2">
    <w:name w:val="toc 2"/>
    <w:basedOn w:val="Normal"/>
    <w:next w:val="Normal"/>
    <w:autoRedefine/>
    <w:semiHidden/>
    <w:pPr>
      <w:spacing w:line="280" w:lineRule="exact"/>
      <w:ind w:left="238"/>
    </w:pPr>
    <w:rPr>
      <w:sz w:val="22"/>
    </w:rPr>
  </w:style>
  <w:style w:type="paragraph" w:styleId="TOC3">
    <w:name w:val="toc 3"/>
    <w:basedOn w:val="Normal"/>
    <w:next w:val="Normal"/>
    <w:autoRedefine/>
    <w:semiHidden/>
    <w:pPr>
      <w:spacing w:line="280" w:lineRule="exact"/>
      <w:ind w:left="482"/>
    </w:pPr>
    <w:rPr>
      <w:sz w:val="22"/>
    </w:rPr>
  </w:style>
  <w:style w:type="paragraph" w:customStyle="1" w:styleId="HCABodytextbold">
    <w:name w:val="HCA Body text bold"/>
    <w:basedOn w:val="Normal"/>
    <w:autoRedefine/>
    <w:rsid w:val="009B582D"/>
    <w:rPr>
      <w:b/>
      <w:sz w:val="22"/>
    </w:rPr>
  </w:style>
  <w:style w:type="paragraph" w:customStyle="1" w:styleId="TintBox">
    <w:name w:val="Tint Box"/>
    <w:basedOn w:val="Normal"/>
    <w:next w:val="Normal"/>
    <w:pPr>
      <w:pBdr>
        <w:top w:val="single" w:sz="2" w:space="6" w:color="FFFFFF"/>
        <w:left w:val="single" w:sz="2" w:space="8" w:color="FFFFFF"/>
        <w:bottom w:val="single" w:sz="2" w:space="8" w:color="FFFFFF"/>
        <w:right w:val="single" w:sz="2" w:space="8" w:color="FFFFFF"/>
      </w:pBdr>
      <w:shd w:val="pct10" w:color="auto" w:fill="auto"/>
      <w:spacing w:line="280" w:lineRule="exact"/>
    </w:pPr>
    <w:rPr>
      <w:b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</w:rPr>
  </w:style>
  <w:style w:type="character" w:styleId="Hyperlink">
    <w:name w:val="Hyperlink"/>
    <w:basedOn w:val="DefaultParagraphFont"/>
    <w:rsid w:val="00BB10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0F3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1C21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21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217A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217A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1C2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217A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37963"/>
    <w:rPr>
      <w:rFonts w:ascii="Arial" w:hAnsi="Arial" w:cs="Arial"/>
      <w:sz w:val="24"/>
      <w:lang w:eastAsia="en-US"/>
    </w:rPr>
  </w:style>
  <w:style w:type="paragraph" w:styleId="NoSpacing">
    <w:name w:val="No Spacing"/>
    <w:uiPriority w:val="1"/>
    <w:qFormat/>
    <w:rsid w:val="00B12629"/>
    <w:rPr>
      <w:rFonts w:ascii="Calibri" w:eastAsia="Calibri" w:hAnsi="Calibri"/>
      <w:sz w:val="22"/>
      <w:szCs w:val="22"/>
      <w:lang w:eastAsia="en-US"/>
    </w:rPr>
  </w:style>
  <w:style w:type="paragraph" w:customStyle="1" w:styleId="sincerely">
    <w:name w:val="sincerely"/>
    <w:basedOn w:val="Normal"/>
    <w:rsid w:val="00B12629"/>
    <w:pPr>
      <w:overflowPunct w:val="0"/>
      <w:autoSpaceDE w:val="0"/>
      <w:autoSpaceDN w:val="0"/>
      <w:adjustRightInd w:val="0"/>
      <w:spacing w:after="240"/>
    </w:pPr>
    <w:rPr>
      <w:rFonts w:ascii="Times New Roman" w:hAnsi="Times New Roman" w:cs="Times New Roman"/>
      <w:lang w:eastAsia="en-GB"/>
    </w:rPr>
  </w:style>
  <w:style w:type="paragraph" w:customStyle="1" w:styleId="Default">
    <w:name w:val="Default"/>
    <w:rsid w:val="00BD4DF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367A"/>
    <w:rPr>
      <w:rFonts w:ascii="Arial" w:hAnsi="Arial" w:cs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ca.local\wa\templates\Regulation\Regulation%20letter%20Maple%20Hou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6997-BB32-4D79-AD0F-EF8FD9FE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Regulation letter Maple House</Template>
  <TotalTime>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1</vt:lpstr>
    </vt:vector>
  </TitlesOfParts>
  <Company>HCA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1</dc:title>
  <dc:creator>Jane Denchfield</dc:creator>
  <cp:lastModifiedBy>Samantha Anthony</cp:lastModifiedBy>
  <cp:revision>3</cp:revision>
  <cp:lastPrinted>2015-03-31T14:05:00Z</cp:lastPrinted>
  <dcterms:created xsi:type="dcterms:W3CDTF">2015-06-23T16:06:00Z</dcterms:created>
  <dcterms:modified xsi:type="dcterms:W3CDTF">2015-06-29T15:45:00Z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adf30ee7-5d56-4e87-b549-d0d6ef29bb6c</vt:lpwstr>
  </property>
  <property fmtid="{D5CDD505-2E9C-101B-9397-08002B2CF9AE}" pid="3" name="HCAGPMS">
    <vt:lpwstr>OFFICIAL</vt:lpwstr>
  </property>
</Properties>
</file>