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2" w:type="dxa"/>
        <w:tblInd w:w="-633" w:type="dxa"/>
        <w:tblLayout w:type="fixed"/>
        <w:tblLook w:val="0000" w:firstRow="0" w:lastRow="0" w:firstColumn="0" w:lastColumn="0" w:noHBand="0" w:noVBand="0"/>
      </w:tblPr>
      <w:tblGrid>
        <w:gridCol w:w="10097"/>
        <w:gridCol w:w="3945"/>
      </w:tblGrid>
      <w:tr w:rsidR="00C0603E" w:rsidTr="008B33A9">
        <w:trPr>
          <w:cantSplit/>
          <w:trHeight w:val="2977"/>
        </w:trPr>
        <w:tc>
          <w:tcPr>
            <w:tcW w:w="10097" w:type="dxa"/>
          </w:tcPr>
          <w:tbl>
            <w:tblPr>
              <w:tblW w:w="974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93"/>
              <w:gridCol w:w="4140"/>
              <w:gridCol w:w="3508"/>
            </w:tblGrid>
            <w:tr w:rsidR="00F01E25" w:rsidTr="009E6B56">
              <w:trPr>
                <w:trHeight w:hRule="exact" w:val="2117"/>
                <w:jc w:val="center"/>
              </w:trPr>
              <w:tc>
                <w:tcPr>
                  <w:tcW w:w="2093" w:type="dxa"/>
                </w:tcPr>
                <w:p w:rsidR="00F01E25" w:rsidRDefault="00F01E25" w:rsidP="00566D2A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center"/>
                    <w:rPr>
                      <w:sz w:val="18"/>
                    </w:rPr>
                  </w:pPr>
                  <w:r>
                    <w:rPr>
                      <w:noProof/>
                      <w:sz w:val="18"/>
                      <w:lang w:eastAsia="en-GB"/>
                    </w:rPr>
                    <w:drawing>
                      <wp:anchor distT="0" distB="0" distL="114300" distR="114300" simplePos="0" relativeHeight="251665408" behindDoc="0" locked="0" layoutInCell="1" allowOverlap="1" wp14:anchorId="768B2322" wp14:editId="52CFCD61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18415</wp:posOffset>
                        </wp:positionV>
                        <wp:extent cx="1271270" cy="1152525"/>
                        <wp:effectExtent l="0" t="0" r="5080" b="9525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27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40" w:type="dxa"/>
                  <w:vAlign w:val="bottom"/>
                </w:tcPr>
                <w:p w:rsidR="00F01E25" w:rsidRDefault="00F01E25" w:rsidP="00566D2A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center"/>
                    <w:rPr>
                      <w:noProof/>
                      <w:sz w:val="18"/>
                      <w:lang w:eastAsia="en-GB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08" w:type="dxa"/>
                </w:tcPr>
                <w:p w:rsidR="009E6B56" w:rsidRDefault="009E6B56" w:rsidP="009E6B56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Veterinary Medicines Directorate</w:t>
                  </w:r>
                </w:p>
                <w:p w:rsidR="009E6B56" w:rsidRDefault="009E6B56" w:rsidP="009E6B5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Woodham Lane, New Haw</w:t>
                  </w:r>
                </w:p>
                <w:p w:rsidR="009E6B56" w:rsidRDefault="009E6B56" w:rsidP="009E6B5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Addlestone, Surrey</w:t>
                  </w:r>
                </w:p>
                <w:p w:rsidR="009E6B56" w:rsidRDefault="009E6B56" w:rsidP="009E6B5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KT15 3LS</w:t>
                  </w:r>
                </w:p>
                <w:p w:rsidR="009E6B56" w:rsidRDefault="009E6B56" w:rsidP="009E6B5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United Kingdom</w:t>
                  </w:r>
                </w:p>
                <w:p w:rsidR="009E6B56" w:rsidRDefault="009E6B56" w:rsidP="009E6B56">
                  <w:pPr>
                    <w:jc w:val="right"/>
                    <w:rPr>
                      <w:sz w:val="20"/>
                    </w:rPr>
                  </w:pPr>
                </w:p>
                <w:p w:rsidR="009E6B56" w:rsidRDefault="009E6B56" w:rsidP="009E6B5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Tel: +44 (0)1932 336911</w:t>
                  </w:r>
                </w:p>
                <w:p w:rsidR="009E6B56" w:rsidRDefault="009E6B56" w:rsidP="009E6B5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Fax: +44 (0)1932 336618</w:t>
                  </w:r>
                </w:p>
                <w:p w:rsidR="00F01E25" w:rsidRDefault="009E6B56" w:rsidP="009E6B56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right"/>
                    <w:rPr>
                      <w:sz w:val="18"/>
                    </w:rPr>
                  </w:pPr>
                  <w:r>
                    <w:rPr>
                      <w:sz w:val="20"/>
                    </w:rPr>
                    <w:t>Search for VMD on GOV.UK</w:t>
                  </w:r>
                </w:p>
              </w:tc>
            </w:tr>
          </w:tbl>
          <w:p w:rsidR="00F01E25" w:rsidRDefault="00F01E25" w:rsidP="00F01E25">
            <w:pPr>
              <w:jc w:val="center"/>
              <w:rPr>
                <w:rFonts w:cs="Arial"/>
                <w:b/>
              </w:rPr>
            </w:pPr>
          </w:p>
          <w:p w:rsidR="00C0603E" w:rsidRDefault="00C0603E" w:rsidP="00323A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APPLICATION FOR </w:t>
            </w:r>
            <w:r w:rsidR="005D6D4B">
              <w:rPr>
                <w:rFonts w:cs="Arial"/>
                <w:b/>
              </w:rPr>
              <w:t>A NEW NON-FOOD ANIMAL BLOOD BANK AUTHORISATION (NFABBA)</w:t>
            </w:r>
          </w:p>
          <w:p w:rsidR="00F01E25" w:rsidRDefault="00F01E25" w:rsidP="00323A85">
            <w:pPr>
              <w:jc w:val="center"/>
              <w:rPr>
                <w:rFonts w:cs="Arial"/>
                <w:b/>
              </w:rPr>
            </w:pPr>
          </w:p>
          <w:p w:rsidR="00005A4C" w:rsidRPr="00005A4C" w:rsidRDefault="00005A4C" w:rsidP="00005A4C">
            <w:pPr>
              <w:jc w:val="center"/>
              <w:rPr>
                <w:sz w:val="20"/>
              </w:rPr>
            </w:pPr>
            <w:r w:rsidRPr="00005A4C">
              <w:rPr>
                <w:sz w:val="20"/>
              </w:rPr>
              <w:t>This form should be used by applicants who wish to collect and store whole blood and blood products (such as plasma and red blood cells) for use in non-food animals to meet unforeseen or exceptional needs. This authorisation will permit the blood and blood products to be placed on the market without the need for a Marketing Authorisation (MA).</w:t>
            </w:r>
          </w:p>
          <w:p w:rsidR="00C0603E" w:rsidRDefault="003C2EA9" w:rsidP="00C0603E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ABCC87" wp14:editId="57D21D40">
                      <wp:simplePos x="0" y="0"/>
                      <wp:positionH relativeFrom="column">
                        <wp:posOffset>190307</wp:posOffset>
                      </wp:positionH>
                      <wp:positionV relativeFrom="paragraph">
                        <wp:posOffset>110490</wp:posOffset>
                      </wp:positionV>
                      <wp:extent cx="6074410" cy="1152525"/>
                      <wp:effectExtent l="57150" t="38100" r="78740" b="1047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4410" cy="1152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2EA9" w:rsidRDefault="003C2EA9" w:rsidP="003C2EA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An incomplete application form may delay the application process.</w:t>
                                  </w:r>
                                </w:p>
                                <w:p w:rsidR="003C2EA9" w:rsidRPr="003C24C3" w:rsidRDefault="003C2EA9" w:rsidP="003C2EA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3C2EA9" w:rsidRDefault="003C2EA9" w:rsidP="003C2EA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If submitting in hard-copy, please use block capitals.</w:t>
                                  </w:r>
                                </w:p>
                                <w:p w:rsidR="003C2EA9" w:rsidRPr="003C24C3" w:rsidRDefault="003C2EA9" w:rsidP="003C2EA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3C2EA9" w:rsidRPr="003C24C3" w:rsidRDefault="003C2EA9" w:rsidP="003C2EA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Further guidance about this application type is available in Veterinary Medicines Guidance Note (VMGN) No.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15 </w:t>
                                  </w: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entitled ‘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Manufacturing Authorisations’.</w:t>
                                  </w:r>
                                </w:p>
                                <w:p w:rsidR="003C2EA9" w:rsidRPr="00A732CA" w:rsidRDefault="003C2EA9" w:rsidP="003C2EA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15pt;margin-top:8.7pt;width:478.3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3C2EA9" w:rsidRDefault="003C2EA9" w:rsidP="003C2E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An incomplete application form may delay the application process.</w:t>
                            </w:r>
                          </w:p>
                          <w:p w:rsidR="003C2EA9" w:rsidRPr="003C24C3" w:rsidRDefault="003C2EA9" w:rsidP="003C2E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C2EA9" w:rsidRDefault="003C2EA9" w:rsidP="003C2E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If submitting in hard-copy, please use block capitals.</w:t>
                            </w:r>
                          </w:p>
                          <w:p w:rsidR="003C2EA9" w:rsidRPr="003C24C3" w:rsidRDefault="003C2EA9" w:rsidP="003C2EA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3C2EA9" w:rsidRPr="003C24C3" w:rsidRDefault="003C2EA9" w:rsidP="003C2EA9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Further guidance about this application type is available in Veterinary Medicines Guidance Note (VMGN) No.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15 </w:t>
                            </w: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entitled ‘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Manufacturing Authorisations’.</w:t>
                            </w:r>
                          </w:p>
                          <w:p w:rsidR="003C2EA9" w:rsidRPr="00A732CA" w:rsidRDefault="003C2EA9" w:rsidP="003C2E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C2EA9" w:rsidRDefault="003C2EA9" w:rsidP="00C0603E">
            <w:pPr>
              <w:rPr>
                <w:rFonts w:cs="Arial"/>
                <w:b/>
              </w:rPr>
            </w:pPr>
          </w:p>
          <w:p w:rsidR="003C2EA9" w:rsidRDefault="003C2EA9" w:rsidP="00C0603E">
            <w:pPr>
              <w:rPr>
                <w:rFonts w:cs="Arial"/>
                <w:b/>
              </w:rPr>
            </w:pPr>
          </w:p>
          <w:p w:rsidR="003C2EA9" w:rsidRDefault="003C2EA9" w:rsidP="00C0603E">
            <w:pPr>
              <w:rPr>
                <w:rFonts w:cs="Arial"/>
                <w:b/>
              </w:rPr>
            </w:pPr>
          </w:p>
          <w:p w:rsidR="0084236A" w:rsidRDefault="0084236A" w:rsidP="0069767B">
            <w:pPr>
              <w:jc w:val="center"/>
              <w:rPr>
                <w:rFonts w:cs="Arial"/>
                <w:bCs/>
              </w:rPr>
            </w:pPr>
          </w:p>
          <w:p w:rsidR="003C2EA9" w:rsidRDefault="003C2EA9" w:rsidP="0069767B">
            <w:pPr>
              <w:jc w:val="center"/>
              <w:rPr>
                <w:rFonts w:cs="Arial"/>
                <w:bCs/>
              </w:rPr>
            </w:pPr>
          </w:p>
          <w:p w:rsidR="003C2EA9" w:rsidRDefault="003C2EA9" w:rsidP="0069767B">
            <w:pPr>
              <w:jc w:val="center"/>
              <w:rPr>
                <w:rFonts w:cs="Arial"/>
                <w:bCs/>
              </w:rPr>
            </w:pPr>
          </w:p>
          <w:p w:rsidR="003C2EA9" w:rsidRDefault="003C2EA9" w:rsidP="0069767B">
            <w:pPr>
              <w:jc w:val="center"/>
              <w:rPr>
                <w:rFonts w:cs="Arial"/>
                <w:bCs/>
              </w:rPr>
            </w:pPr>
          </w:p>
          <w:p w:rsidR="00C0603E" w:rsidRDefault="00C0603E" w:rsidP="00C0603E">
            <w:pPr>
              <w:pBdr>
                <w:bottom w:val="single" w:sz="6" w:space="1" w:color="auto"/>
              </w:pBdr>
              <w:rPr>
                <w:rFonts w:cs="Arial"/>
                <w:b/>
              </w:rPr>
            </w:pPr>
          </w:p>
          <w:p w:rsidR="0084236A" w:rsidRDefault="0084236A" w:rsidP="00C0603E">
            <w:pPr>
              <w:rPr>
                <w:rFonts w:cs="Arial"/>
                <w:b/>
              </w:rPr>
            </w:pPr>
          </w:p>
          <w:p w:rsidR="0084236A" w:rsidRDefault="0084236A" w:rsidP="00C0603E">
            <w:pPr>
              <w:rPr>
                <w:rFonts w:cs="Arial"/>
                <w:b/>
              </w:rPr>
            </w:pPr>
          </w:p>
          <w:p w:rsidR="002D6EBF" w:rsidRDefault="002D6EBF" w:rsidP="00C060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1 – ADMINISTRATIVE DETAILS</w:t>
            </w:r>
          </w:p>
          <w:p w:rsidR="005D6D4B" w:rsidRDefault="005D6D4B" w:rsidP="00C0603E">
            <w:pPr>
              <w:rPr>
                <w:rFonts w:cs="Arial"/>
                <w:b/>
              </w:rPr>
            </w:pPr>
          </w:p>
          <w:p w:rsidR="00323A85" w:rsidRPr="00BA51A7" w:rsidRDefault="00323A85" w:rsidP="00BA51A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45" w:type="dxa"/>
            <w:vAlign w:val="center"/>
          </w:tcPr>
          <w:p w:rsidR="00C0603E" w:rsidRDefault="00C0603E" w:rsidP="00C0603E">
            <w:pPr>
              <w:tabs>
                <w:tab w:val="left" w:pos="5437"/>
              </w:tabs>
              <w:ind w:left="-108"/>
              <w:jc w:val="center"/>
              <w:rPr>
                <w:rFonts w:cs="Arial"/>
                <w:b/>
              </w:rPr>
            </w:pPr>
          </w:p>
        </w:tc>
      </w:tr>
    </w:tbl>
    <w:p w:rsidR="00CD0BD9" w:rsidRPr="008B33A9" w:rsidRDefault="005D6D4B" w:rsidP="00E01C93">
      <w:pPr>
        <w:ind w:right="-566"/>
        <w:jc w:val="left"/>
        <w:rPr>
          <w:b/>
        </w:rPr>
      </w:pPr>
      <w:r>
        <w:rPr>
          <w:b/>
        </w:rPr>
        <w:t>1</w:t>
      </w:r>
      <w:r w:rsidR="00CD0BD9" w:rsidRPr="008B33A9">
        <w:rPr>
          <w:b/>
        </w:rPr>
        <w:t>.</w:t>
      </w:r>
      <w:r w:rsidR="00CD0BD9">
        <w:tab/>
      </w:r>
      <w:r w:rsidR="002D6EBF">
        <w:rPr>
          <w:b/>
        </w:rPr>
        <w:t xml:space="preserve">Name and Address of </w:t>
      </w:r>
      <w:r w:rsidR="00E01C93">
        <w:rPr>
          <w:b/>
        </w:rPr>
        <w:t>Proposed Authorisation Holder</w:t>
      </w:r>
      <w:r w:rsidR="002D6EBF">
        <w:rPr>
          <w:b/>
        </w:rPr>
        <w:t>:</w:t>
      </w:r>
    </w:p>
    <w:p w:rsidR="00CD0BD9" w:rsidRDefault="00CD0BD9" w:rsidP="00CD0BD9">
      <w:pPr>
        <w:jc w:val="left"/>
      </w:pPr>
    </w:p>
    <w:p w:rsidR="00323A85" w:rsidRDefault="00323A85" w:rsidP="00CD0BD9">
      <w:pPr>
        <w:jc w:val="left"/>
      </w:pPr>
      <w:r>
        <w:tab/>
      </w:r>
      <w:r w:rsidR="002D6EBF">
        <w:t xml:space="preserve">Company </w:t>
      </w:r>
      <w:r w:rsidRPr="008B33A9">
        <w:t>Name: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23A85" w:rsidRDefault="00323A85" w:rsidP="00CD0BD9">
      <w:pPr>
        <w:jc w:val="left"/>
      </w:pPr>
    </w:p>
    <w:p w:rsidR="00323A85" w:rsidRDefault="00323A85" w:rsidP="00CD0BD9">
      <w:pPr>
        <w:jc w:val="left"/>
      </w:pPr>
      <w:r>
        <w:tab/>
      </w:r>
      <w:r w:rsidRPr="008B33A9">
        <w:t>Address: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CD0BD9">
      <w:pPr>
        <w:jc w:val="left"/>
      </w:pPr>
    </w:p>
    <w:p w:rsidR="008B33A9" w:rsidRDefault="008B33A9" w:rsidP="005115EF"/>
    <w:p w:rsidR="002D6EBF" w:rsidRPr="008B33A9" w:rsidRDefault="005D6D4B" w:rsidP="002D6EBF">
      <w:pPr>
        <w:jc w:val="left"/>
        <w:rPr>
          <w:b/>
        </w:rPr>
      </w:pPr>
      <w:r>
        <w:rPr>
          <w:b/>
        </w:rPr>
        <w:t>2</w:t>
      </w:r>
      <w:r w:rsidR="002D6EBF" w:rsidRPr="008B33A9">
        <w:rPr>
          <w:b/>
        </w:rPr>
        <w:t>.</w:t>
      </w:r>
      <w:r w:rsidR="002D6EBF">
        <w:tab/>
      </w:r>
      <w:r w:rsidR="002D6EBF">
        <w:rPr>
          <w:b/>
        </w:rPr>
        <w:t>Contact Details for this Application:</w:t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Pr="008B33A9">
        <w:t>Name: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Pr="008B33A9">
        <w:t>Email Address: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2D6EBF">
      <w:pPr>
        <w:jc w:val="left"/>
      </w:pPr>
    </w:p>
    <w:p w:rsidR="002D6EBF" w:rsidRDefault="002D6EBF" w:rsidP="002D6EBF"/>
    <w:p w:rsidR="002D6EBF" w:rsidRPr="008B33A9" w:rsidRDefault="005D6D4B" w:rsidP="002D6EBF">
      <w:pPr>
        <w:jc w:val="left"/>
        <w:rPr>
          <w:b/>
        </w:rPr>
      </w:pPr>
      <w:r>
        <w:rPr>
          <w:b/>
        </w:rPr>
        <w:t>3</w:t>
      </w:r>
      <w:r w:rsidR="002D6EBF" w:rsidRPr="008B33A9">
        <w:rPr>
          <w:b/>
        </w:rPr>
        <w:t>.</w:t>
      </w:r>
      <w:r w:rsidR="002D6EBF">
        <w:tab/>
      </w:r>
      <w:r w:rsidR="002D6EBF" w:rsidRPr="002D6EBF">
        <w:rPr>
          <w:b/>
        </w:rPr>
        <w:t>Invoice Details:</w:t>
      </w:r>
      <w:r w:rsidR="002D6EBF">
        <w:rPr>
          <w:b/>
        </w:rPr>
        <w:t xml:space="preserve"> </w:t>
      </w:r>
      <w:r w:rsidR="00E01C93" w:rsidRPr="00E01C93">
        <w:t>E</w:t>
      </w:r>
      <w:r w:rsidR="002D6EBF" w:rsidRPr="00E01C93">
        <w:t>m</w:t>
      </w:r>
      <w:r w:rsidR="002D6EBF" w:rsidRPr="002D6EBF">
        <w:t>ail address of where the invoice should be sent to.</w:t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="00E01C93">
        <w:t>Email Address</w:t>
      </w:r>
      <w:r w:rsidRPr="008B33A9">
        <w:t>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2D6EBF">
      <w:pPr>
        <w:jc w:val="left"/>
      </w:pPr>
    </w:p>
    <w:p w:rsidR="002D6EBF" w:rsidRDefault="002D6EBF" w:rsidP="005115EF"/>
    <w:p w:rsidR="00E01C93" w:rsidRPr="008B33A9" w:rsidRDefault="005D6D4B" w:rsidP="00E01C93">
      <w:pPr>
        <w:ind w:left="720" w:hanging="720"/>
        <w:jc w:val="left"/>
        <w:rPr>
          <w:b/>
        </w:rPr>
      </w:pPr>
      <w:r>
        <w:rPr>
          <w:b/>
        </w:rPr>
        <w:t>4</w:t>
      </w:r>
      <w:r w:rsidR="00E01C93" w:rsidRPr="008B33A9">
        <w:rPr>
          <w:b/>
        </w:rPr>
        <w:t>.</w:t>
      </w:r>
      <w:r w:rsidR="00E01C93">
        <w:tab/>
      </w:r>
      <w:r w:rsidR="00E01C93" w:rsidRPr="00E01C93">
        <w:rPr>
          <w:b/>
        </w:rPr>
        <w:t>e-Issuing</w:t>
      </w:r>
      <w:r w:rsidR="00E01C93" w:rsidRPr="002D6EBF">
        <w:rPr>
          <w:b/>
        </w:rPr>
        <w:t xml:space="preserve"> Details:</w:t>
      </w:r>
      <w:r w:rsidR="00E01C93">
        <w:rPr>
          <w:b/>
        </w:rPr>
        <w:t xml:space="preserve"> </w:t>
      </w:r>
      <w:r w:rsidR="00E01C93">
        <w:t>E</w:t>
      </w:r>
      <w:r w:rsidR="00E01C93" w:rsidRPr="002D6EBF">
        <w:t xml:space="preserve">mail address of where the </w:t>
      </w:r>
      <w:r w:rsidR="00E01C93">
        <w:t xml:space="preserve">authorisation documentation should </w:t>
      </w:r>
      <w:r w:rsidR="00E01C93" w:rsidRPr="002D6EBF">
        <w:t>be sent to</w:t>
      </w:r>
      <w:r w:rsidR="00E01C93">
        <w:t xml:space="preserve"> (if different from </w:t>
      </w:r>
      <w:r w:rsidR="0084236A">
        <w:t>2</w:t>
      </w:r>
      <w:r w:rsidR="00E01C93">
        <w:t xml:space="preserve"> above)</w:t>
      </w:r>
      <w:r w:rsidR="00E01C93" w:rsidRPr="002D6EBF">
        <w:t>.</w:t>
      </w:r>
    </w:p>
    <w:p w:rsidR="00E01C93" w:rsidRDefault="00E01C93" w:rsidP="00E01C93">
      <w:pPr>
        <w:jc w:val="left"/>
      </w:pPr>
    </w:p>
    <w:p w:rsidR="00E01C93" w:rsidRDefault="00E01C93" w:rsidP="00E01C93">
      <w:pPr>
        <w:jc w:val="left"/>
      </w:pPr>
      <w:r>
        <w:tab/>
        <w:t>Email Address</w:t>
      </w:r>
      <w:r w:rsidRPr="008B33A9">
        <w:t>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1C93" w:rsidRDefault="00E01C93" w:rsidP="00E01C93">
      <w:pPr>
        <w:tabs>
          <w:tab w:val="left" w:pos="3431"/>
        </w:tabs>
      </w:pPr>
    </w:p>
    <w:p w:rsidR="00A5509C" w:rsidRDefault="00A5509C" w:rsidP="00E01C93">
      <w:pPr>
        <w:tabs>
          <w:tab w:val="left" w:pos="3431"/>
        </w:tabs>
      </w:pPr>
    </w:p>
    <w:p w:rsidR="005D6D4B" w:rsidRDefault="005D6D4B" w:rsidP="005D6D4B">
      <w:pPr>
        <w:jc w:val="left"/>
        <w:rPr>
          <w:b/>
          <w:bCs/>
        </w:rPr>
      </w:pPr>
      <w:r>
        <w:rPr>
          <w:b/>
          <w:bCs/>
        </w:rPr>
        <w:t>S</w:t>
      </w:r>
      <w:r w:rsidR="00DD3FAB">
        <w:rPr>
          <w:b/>
          <w:bCs/>
        </w:rPr>
        <w:t>ECTION</w:t>
      </w:r>
      <w:r>
        <w:rPr>
          <w:b/>
          <w:bCs/>
        </w:rPr>
        <w:t xml:space="preserve"> 2 – P</w:t>
      </w:r>
      <w:r w:rsidR="00DD3FAB">
        <w:rPr>
          <w:b/>
          <w:bCs/>
        </w:rPr>
        <w:t>ROPOSED AUTHORISATION DETAILS</w:t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>3a.</w:t>
      </w:r>
      <w:r>
        <w:tab/>
      </w:r>
      <w:proofErr w:type="gramStart"/>
      <w:r>
        <w:t>The</w:t>
      </w:r>
      <w:proofErr w:type="gramEnd"/>
      <w:r>
        <w:t xml:space="preserve"> name of the supervising veterinary surgeon(s)</w:t>
      </w:r>
    </w:p>
    <w:p w:rsidR="005D6D4B" w:rsidRDefault="005D6D4B" w:rsidP="005D6D4B">
      <w:pPr>
        <w:jc w:val="left"/>
      </w:pPr>
      <w:r>
        <w:t xml:space="preserve"> </w:t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>AND/OR</w:t>
      </w:r>
    </w:p>
    <w:p w:rsidR="005D6D4B" w:rsidRDefault="005D6D4B" w:rsidP="005D6D4B">
      <w:pPr>
        <w:jc w:val="left"/>
      </w:pPr>
    </w:p>
    <w:p w:rsidR="005D6D4B" w:rsidRDefault="005D6D4B" w:rsidP="005D6D4B">
      <w:pPr>
        <w:ind w:left="720" w:hanging="720"/>
        <w:jc w:val="left"/>
      </w:pPr>
      <w:r>
        <w:t>3b.</w:t>
      </w:r>
      <w:r>
        <w:tab/>
      </w:r>
      <w:proofErr w:type="gramStart"/>
      <w:r>
        <w:t>The</w:t>
      </w:r>
      <w:proofErr w:type="gramEnd"/>
      <w:r>
        <w:t xml:space="preserve"> name of the person who is suitably qualified to operate the blood bank</w:t>
      </w:r>
    </w:p>
    <w:p w:rsidR="005D6D4B" w:rsidRDefault="005D6D4B" w:rsidP="005D6D4B">
      <w:pPr>
        <w:jc w:val="left"/>
      </w:pPr>
      <w:r>
        <w:tab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</w:p>
    <w:p w:rsidR="005D6D4B" w:rsidRDefault="005D6D4B" w:rsidP="005D6D4B">
      <w:pPr>
        <w:ind w:left="720" w:hanging="720"/>
        <w:jc w:val="left"/>
      </w:pPr>
      <w:r>
        <w:t>4.</w:t>
      </w:r>
      <w:r>
        <w:tab/>
        <w:t>The type of the premises where the blood is to be collected (e.g. Veterinary Practices or Charitable Homing Kennels)</w:t>
      </w:r>
    </w:p>
    <w:p w:rsidR="005D6D4B" w:rsidRDefault="005D6D4B" w:rsidP="005D6D4B">
      <w:pPr>
        <w:ind w:left="360"/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ind w:left="360"/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</w:p>
    <w:p w:rsidR="005D6D4B" w:rsidRDefault="005D6D4B" w:rsidP="005D6D4B">
      <w:pPr>
        <w:ind w:left="720" w:hanging="720"/>
        <w:jc w:val="left"/>
      </w:pPr>
      <w:r>
        <w:t>5.</w:t>
      </w:r>
      <w:r>
        <w:tab/>
        <w:t>The address of the premises where the blood is to be stored (if different to 1 above):</w:t>
      </w:r>
    </w:p>
    <w:p w:rsidR="005D6D4B" w:rsidRDefault="005D6D4B" w:rsidP="005D6D4B">
      <w:pPr>
        <w:ind w:left="360"/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ind w:left="360"/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ind w:left="360"/>
        <w:jc w:val="left"/>
      </w:pPr>
    </w:p>
    <w:p w:rsidR="005D6D4B" w:rsidRDefault="005D6D4B" w:rsidP="005D6D4B">
      <w:pPr>
        <w:jc w:val="left"/>
      </w:pPr>
      <w:r>
        <w:t>6.</w:t>
      </w:r>
      <w:r>
        <w:tab/>
        <w:t>The species of animal from which blood is to be collected and stored</w:t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tab/>
      </w:r>
    </w:p>
    <w:p w:rsidR="005D6D4B" w:rsidRPr="007E64AE" w:rsidRDefault="005D6D4B" w:rsidP="005D6D4B">
      <w:pPr>
        <w:jc w:val="left"/>
        <w:rPr>
          <w:b/>
        </w:rPr>
      </w:pPr>
      <w:r w:rsidRPr="007E64AE">
        <w:rPr>
          <w:b/>
        </w:rPr>
        <w:t>S</w:t>
      </w:r>
      <w:r w:rsidR="00DD3FAB">
        <w:rPr>
          <w:b/>
        </w:rPr>
        <w:t>ECTION 3</w:t>
      </w:r>
      <w:r w:rsidRPr="007E64AE">
        <w:rPr>
          <w:b/>
        </w:rPr>
        <w:t xml:space="preserve"> – M</w:t>
      </w:r>
      <w:r w:rsidR="00DD3FAB">
        <w:rPr>
          <w:b/>
        </w:rPr>
        <w:t>ANUFACTURING DETAILS</w:t>
      </w:r>
    </w:p>
    <w:p w:rsidR="005D6D4B" w:rsidRDefault="005D6D4B" w:rsidP="005D6D4B">
      <w:pPr>
        <w:jc w:val="left"/>
      </w:pPr>
    </w:p>
    <w:p w:rsidR="005D6D4B" w:rsidRDefault="005D6D4B" w:rsidP="005D6D4B">
      <w:pPr>
        <w:ind w:left="720" w:hanging="720"/>
        <w:jc w:val="left"/>
      </w:pPr>
      <w:r>
        <w:t>7.</w:t>
      </w:r>
      <w:r>
        <w:tab/>
        <w:t xml:space="preserve">Describe the method of collection process to ensure consistency of the product </w:t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</w:p>
    <w:p w:rsidR="005D6D4B" w:rsidRDefault="005D6D4B" w:rsidP="005D6D4B">
      <w:pPr>
        <w:ind w:left="720" w:hanging="720"/>
        <w:jc w:val="left"/>
      </w:pPr>
      <w:r>
        <w:t>8.</w:t>
      </w:r>
      <w:r>
        <w:tab/>
        <w:t>Describe the method of collection to ensure the blood is collected in an aseptic manner</w:t>
      </w:r>
    </w:p>
    <w:p w:rsidR="005D6D4B" w:rsidRDefault="005D6D4B" w:rsidP="005D6D4B">
      <w:pPr>
        <w:jc w:val="left"/>
      </w:pPr>
      <w:r>
        <w:tab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3FAB" w:rsidRDefault="00DD3FAB" w:rsidP="005D6D4B">
      <w:pPr>
        <w:jc w:val="left"/>
      </w:pPr>
    </w:p>
    <w:p w:rsidR="005D6D4B" w:rsidRDefault="005D6D4B" w:rsidP="005D6D4B">
      <w:pPr>
        <w:jc w:val="left"/>
      </w:pPr>
      <w:r>
        <w:t>9.</w:t>
      </w:r>
      <w:r>
        <w:tab/>
        <w:t>Describe the method of separation of blood products (if appropriate)</w:t>
      </w:r>
    </w:p>
    <w:p w:rsidR="005D6D4B" w:rsidRDefault="005D6D4B" w:rsidP="005D6D4B">
      <w:pPr>
        <w:jc w:val="left"/>
      </w:pPr>
      <w:r>
        <w:lastRenderedPageBreak/>
        <w:tab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>10.</w:t>
      </w:r>
      <w:r>
        <w:tab/>
        <w:t>Describe the method of storage</w:t>
      </w:r>
    </w:p>
    <w:p w:rsidR="005D6D4B" w:rsidRDefault="005D6D4B" w:rsidP="005D6D4B">
      <w:pPr>
        <w:jc w:val="left"/>
      </w:pPr>
      <w:r>
        <w:tab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>11.</w:t>
      </w:r>
      <w:r>
        <w:tab/>
        <w:t>State the proposed shelf-life of the product</w:t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  <w:rPr>
          <w:sz w:val="26"/>
        </w:rPr>
      </w:pPr>
      <w:r>
        <w:tab/>
      </w:r>
    </w:p>
    <w:p w:rsidR="005D6D4B" w:rsidRDefault="005D6D4B" w:rsidP="005D6D4B">
      <w:pPr>
        <w:jc w:val="left"/>
        <w:rPr>
          <w:sz w:val="20"/>
        </w:rPr>
      </w:pPr>
      <w:r>
        <w:t>12.</w:t>
      </w:r>
      <w:r>
        <w:tab/>
        <w:t xml:space="preserve">Provide details of the facilities, resources and equipment </w:t>
      </w:r>
      <w:r>
        <w:rPr>
          <w:sz w:val="20"/>
        </w:rPr>
        <w:t xml:space="preserve"> </w:t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>13.</w:t>
      </w:r>
      <w:r>
        <w:tab/>
        <w:t xml:space="preserve">Provide details of the Quality Assurance/Quality Control Scheme: </w:t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>14.</w:t>
      </w:r>
      <w:r>
        <w:tab/>
        <w:t xml:space="preserve">Provide a summary of the action taken to ensure animal welfare </w:t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</w:p>
    <w:p w:rsidR="005D6D4B" w:rsidRDefault="005D6D4B" w:rsidP="005D6D4B">
      <w:pPr>
        <w:ind w:left="720" w:hanging="720"/>
        <w:jc w:val="left"/>
      </w:pPr>
      <w:r>
        <w:t>15.</w:t>
      </w:r>
      <w:r>
        <w:tab/>
        <w:t>Provide a summary of the action taken to ensure the specific disease free status of the donor animal that may be a risk to recipients</w:t>
      </w:r>
    </w:p>
    <w:p w:rsidR="005D6D4B" w:rsidRDefault="005D6D4B" w:rsidP="005D6D4B">
      <w:pPr>
        <w:jc w:val="left"/>
      </w:pP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5D6D4B">
      <w:pPr>
        <w:jc w:val="left"/>
      </w:pPr>
    </w:p>
    <w:p w:rsidR="005D6D4B" w:rsidRDefault="005D6D4B" w:rsidP="005D6D4B">
      <w:pPr>
        <w:ind w:left="720" w:hanging="720"/>
        <w:jc w:val="left"/>
      </w:pPr>
      <w:r>
        <w:t>16.</w:t>
      </w:r>
      <w:r>
        <w:tab/>
        <w:t>Please confirm that draft labels have been supplied and are in accordance with the labelling requirements set out in the Regulations.</w:t>
      </w:r>
    </w:p>
    <w:p w:rsidR="005D6D4B" w:rsidRDefault="005D6D4B" w:rsidP="005D6D4B">
      <w:r>
        <w:tab/>
      </w:r>
    </w:p>
    <w:p w:rsidR="005D6D4B" w:rsidRDefault="005D6D4B" w:rsidP="005D6D4B">
      <w:pPr>
        <w:jc w:val="left"/>
      </w:pPr>
      <w:r>
        <w:tab/>
        <w:t>Yes</w:t>
      </w:r>
      <w:r>
        <w:tab/>
      </w:r>
      <w:r>
        <w:rPr>
          <w:noProof/>
          <w:lang w:val="en-US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noProof/>
          <w:lang w:val="en-US"/>
        </w:rPr>
        <w:instrText xml:space="preserve"> FORMCHECKBOX </w:instrText>
      </w:r>
      <w:r w:rsidR="009E6B56">
        <w:rPr>
          <w:noProof/>
          <w:lang w:val="en-US"/>
        </w:rPr>
      </w:r>
      <w:r w:rsidR="009E6B56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No</w:t>
      </w:r>
      <w:r>
        <w:rPr>
          <w:noProof/>
          <w:lang w:val="en-US"/>
        </w:rPr>
        <w:tab/>
      </w:r>
      <w:r>
        <w:rPr>
          <w:noProof/>
          <w:lang w:val="en-US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noProof/>
          <w:lang w:val="en-US"/>
        </w:rPr>
        <w:instrText xml:space="preserve"> FORMCHECKBOX </w:instrText>
      </w:r>
      <w:r w:rsidR="009E6B56">
        <w:rPr>
          <w:noProof/>
          <w:lang w:val="en-US"/>
        </w:rPr>
      </w:r>
      <w:r w:rsidR="009E6B56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end"/>
      </w:r>
    </w:p>
    <w:p w:rsidR="005D6D4B" w:rsidRDefault="005D6D4B" w:rsidP="005D6D4B"/>
    <w:p w:rsidR="005D6D4B" w:rsidRDefault="005D6D4B" w:rsidP="005D6D4B">
      <w:pPr>
        <w:ind w:left="720" w:hanging="720"/>
      </w:pPr>
      <w:r>
        <w:t>17.</w:t>
      </w:r>
      <w:r>
        <w:tab/>
        <w:t>Please confirm if the site holds a valid GMP certificate. If so, please include a copy of the certificate as part of the application package.</w:t>
      </w:r>
    </w:p>
    <w:p w:rsidR="005D6D4B" w:rsidRDefault="005D6D4B" w:rsidP="005D6D4B">
      <w:r>
        <w:tab/>
      </w:r>
    </w:p>
    <w:p w:rsidR="005D6D4B" w:rsidRDefault="005D6D4B" w:rsidP="005D6D4B">
      <w:pPr>
        <w:jc w:val="left"/>
      </w:pPr>
      <w:r>
        <w:tab/>
        <w:t>Yes</w:t>
      </w:r>
      <w:r>
        <w:tab/>
      </w:r>
      <w:r>
        <w:rPr>
          <w:noProof/>
          <w:lang w:val="en-US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noProof/>
          <w:lang w:val="en-US"/>
        </w:rPr>
        <w:instrText xml:space="preserve"> FORMCHECKBOX </w:instrText>
      </w:r>
      <w:r w:rsidR="009E6B56">
        <w:rPr>
          <w:noProof/>
          <w:lang w:val="en-US"/>
        </w:rPr>
      </w:r>
      <w:r w:rsidR="009E6B56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No</w:t>
      </w:r>
      <w:r>
        <w:rPr>
          <w:noProof/>
          <w:lang w:val="en-US"/>
        </w:rPr>
        <w:tab/>
      </w:r>
      <w:r>
        <w:rPr>
          <w:noProof/>
          <w:lang w:val="en-US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noProof/>
          <w:lang w:val="en-US"/>
        </w:rPr>
        <w:instrText xml:space="preserve"> FORMCHECKBOX </w:instrText>
      </w:r>
      <w:r w:rsidR="009E6B56">
        <w:rPr>
          <w:noProof/>
          <w:lang w:val="en-US"/>
        </w:rPr>
      </w:r>
      <w:r w:rsidR="009E6B56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end"/>
      </w:r>
    </w:p>
    <w:p w:rsidR="005D6D4B" w:rsidRDefault="005D6D4B" w:rsidP="00E01C93">
      <w:pPr>
        <w:tabs>
          <w:tab w:val="left" w:pos="3431"/>
        </w:tabs>
        <w:rPr>
          <w:b/>
        </w:rPr>
      </w:pPr>
    </w:p>
    <w:p w:rsidR="00E01C93" w:rsidRDefault="00E01C93" w:rsidP="00E01C93"/>
    <w:tbl>
      <w:tblPr>
        <w:tblW w:w="10440" w:type="dxa"/>
        <w:jc w:val="center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95"/>
        <w:gridCol w:w="885"/>
        <w:gridCol w:w="3600"/>
        <w:gridCol w:w="360"/>
      </w:tblGrid>
      <w:tr w:rsidR="00E01C93" w:rsidTr="00313292">
        <w:trPr>
          <w:trHeight w:val="1082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93" w:rsidRDefault="00E01C93" w:rsidP="0031329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E01C93" w:rsidRDefault="00E01C93" w:rsidP="0031329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DD3FAB">
              <w:rPr>
                <w:b/>
                <w:bCs/>
                <w:lang w:val="en-US"/>
              </w:rPr>
              <w:t>ECTION</w:t>
            </w:r>
            <w:r>
              <w:rPr>
                <w:b/>
                <w:bCs/>
                <w:lang w:val="en-US"/>
              </w:rPr>
              <w:t xml:space="preserve"> </w:t>
            </w:r>
            <w:r w:rsidR="00DD3FA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 – Declaration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apply for the application </w:t>
            </w:r>
            <w:r>
              <w:rPr>
                <w:sz w:val="20"/>
              </w:rPr>
              <w:t xml:space="preserve">as </w:t>
            </w:r>
            <w:r>
              <w:rPr>
                <w:sz w:val="20"/>
                <w:lang w:val="en-US"/>
              </w:rPr>
              <w:t xml:space="preserve">described above.  I confirm that the information given in support of this application is correct at the time of </w:t>
            </w:r>
            <w:r w:rsidR="00D352A0">
              <w:rPr>
                <w:sz w:val="20"/>
                <w:lang w:val="en-US"/>
              </w:rPr>
              <w:t>submission</w:t>
            </w:r>
            <w:r>
              <w:rPr>
                <w:sz w:val="20"/>
                <w:lang w:val="en-US"/>
              </w:rPr>
              <w:t>.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b/>
                <w:bCs/>
                <w:i/>
                <w:iCs/>
                <w:sz w:val="16"/>
                <w:lang w:val="en-US"/>
              </w:rPr>
            </w:pPr>
          </w:p>
        </w:tc>
      </w:tr>
      <w:tr w:rsidR="00E01C93" w:rsidTr="00313292">
        <w:trPr>
          <w:trHeight w:val="4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Signature </w:t>
            </w:r>
            <w:r>
              <w:rPr>
                <w:sz w:val="20"/>
                <w:lang w:val="en-US"/>
              </w:rPr>
              <w:tab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4197"/>
              </w:tabs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Job Title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</w:tr>
      <w:tr w:rsidR="00E01C93" w:rsidTr="00313292">
        <w:trPr>
          <w:trHeight w:val="17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1C93" w:rsidRDefault="00E01C93" w:rsidP="00313292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sz w:val="16"/>
                <w:lang w:val="en-US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C93" w:rsidRDefault="00E01C93" w:rsidP="00313292">
            <w:pPr>
              <w:tabs>
                <w:tab w:val="left" w:pos="4197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16"/>
                <w:lang w:val="en-US"/>
              </w:rPr>
            </w:pPr>
          </w:p>
        </w:tc>
      </w:tr>
      <w:tr w:rsidR="00E01C93" w:rsidTr="00313292">
        <w:trPr>
          <w:trHeight w:val="403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772"/>
                <w:tab w:val="left" w:pos="511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 in</w:t>
            </w:r>
          </w:p>
          <w:p w:rsidR="00E01C93" w:rsidRDefault="00E01C93" w:rsidP="00313292">
            <w:pPr>
              <w:pStyle w:val="Heading4"/>
              <w:ind w:left="72"/>
            </w:pPr>
            <w:r>
              <w:t xml:space="preserve">BLOCK LETTERS </w:t>
            </w:r>
            <w:r>
              <w:tab/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br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3837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1857"/>
                <w:tab w:val="left" w:pos="3117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1857"/>
                <w:tab w:val="left" w:pos="3117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E01C93" w:rsidTr="00313292">
        <w:trPr>
          <w:trHeight w:val="791"/>
          <w:jc w:val="center"/>
        </w:trPr>
        <w:tc>
          <w:tcPr>
            <w:tcW w:w="10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16"/>
                <w:lang w:val="en-US"/>
              </w:rPr>
            </w:pPr>
          </w:p>
          <w:p w:rsidR="00E01C93" w:rsidRPr="00E01C93" w:rsidRDefault="00E01C93" w:rsidP="00E01C93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E01C93">
              <w:rPr>
                <w:b/>
                <w:sz w:val="20"/>
                <w:lang w:val="en-US"/>
              </w:rPr>
              <w:t xml:space="preserve">If any information provided in this application is later found to be false or incorrect, the Secretary of State may suspend or revoke the </w:t>
            </w:r>
            <w:r w:rsidRPr="00E01C93">
              <w:rPr>
                <w:b/>
                <w:sz w:val="20"/>
              </w:rPr>
              <w:t>authorisation</w:t>
            </w:r>
            <w:r w:rsidRPr="00E01C93">
              <w:rPr>
                <w:b/>
                <w:sz w:val="20"/>
                <w:lang w:val="en-US"/>
              </w:rPr>
              <w:t>.</w:t>
            </w:r>
          </w:p>
        </w:tc>
      </w:tr>
    </w:tbl>
    <w:p w:rsidR="00E01C93" w:rsidRPr="008C225B" w:rsidRDefault="00E01C93" w:rsidP="00E01C93"/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8B33A9"/>
    <w:sectPr w:rsidR="00E01C93" w:rsidSect="00C92FF8">
      <w:footerReference w:type="default" r:id="rId10"/>
      <w:pgSz w:w="11906" w:h="16838"/>
      <w:pgMar w:top="709" w:right="1138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C9" w:rsidRDefault="004500C9" w:rsidP="00BA51A7">
      <w:r>
        <w:separator/>
      </w:r>
    </w:p>
  </w:endnote>
  <w:endnote w:type="continuationSeparator" w:id="0">
    <w:p w:rsidR="004500C9" w:rsidRDefault="004500C9" w:rsidP="00BA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9" w:rsidRPr="008A2EE2" w:rsidRDefault="00E01C93" w:rsidP="00E01C9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5D6D4B">
      <w:rPr>
        <w:rFonts w:ascii="Arial" w:hAnsi="Arial" w:cs="Arial"/>
        <w:sz w:val="16"/>
        <w:szCs w:val="16"/>
      </w:rPr>
      <w:t>uthor: Natalie Shilling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B33A9" w:rsidRPr="008A2EE2">
      <w:rPr>
        <w:rFonts w:ascii="Arial" w:hAnsi="Arial" w:cs="Arial"/>
        <w:sz w:val="16"/>
        <w:szCs w:val="16"/>
      </w:rPr>
      <w:t>VMD/L4/Authorisations/0</w:t>
    </w:r>
    <w:r w:rsidR="005D6D4B">
      <w:rPr>
        <w:rFonts w:ascii="Arial" w:hAnsi="Arial" w:cs="Arial"/>
        <w:sz w:val="16"/>
        <w:szCs w:val="16"/>
      </w:rPr>
      <w:t>36</w:t>
    </w:r>
    <w:r w:rsidR="008B33A9" w:rsidRPr="008A2EE2">
      <w:rPr>
        <w:rFonts w:ascii="Arial" w:hAnsi="Arial" w:cs="Arial"/>
        <w:sz w:val="16"/>
        <w:szCs w:val="16"/>
      </w:rPr>
      <w:t>/C - #</w:t>
    </w:r>
    <w:r w:rsidR="005D6D4B">
      <w:rPr>
        <w:rFonts w:ascii="Arial" w:hAnsi="Arial" w:cs="Arial"/>
        <w:sz w:val="16"/>
        <w:szCs w:val="16"/>
      </w:rPr>
      <w:t>629970</w:t>
    </w:r>
    <w:r w:rsidR="008A2EE2" w:rsidRPr="008A2EE2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Issued</w:t>
    </w:r>
    <w:r w:rsidR="005D6D4B">
      <w:rPr>
        <w:rFonts w:ascii="Arial" w:hAnsi="Arial" w:cs="Arial"/>
        <w:sz w:val="16"/>
        <w:szCs w:val="16"/>
      </w:rPr>
      <w:t xml:space="preserve"> 14/05/2014</w:t>
    </w:r>
  </w:p>
  <w:p w:rsidR="00BA51A7" w:rsidRDefault="00BA5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C9" w:rsidRDefault="004500C9" w:rsidP="00BA51A7">
      <w:r>
        <w:separator/>
      </w:r>
    </w:p>
  </w:footnote>
  <w:footnote w:type="continuationSeparator" w:id="0">
    <w:p w:rsidR="004500C9" w:rsidRDefault="004500C9" w:rsidP="00BA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DFD"/>
    <w:multiLevelType w:val="hybridMultilevel"/>
    <w:tmpl w:val="CFD0F02C"/>
    <w:lvl w:ilvl="0" w:tplc="D17AEBA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33C9F"/>
    <w:multiLevelType w:val="hybridMultilevel"/>
    <w:tmpl w:val="0818DB5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D9"/>
    <w:rsid w:val="000033C7"/>
    <w:rsid w:val="00005A4C"/>
    <w:rsid w:val="00010ECF"/>
    <w:rsid w:val="00064364"/>
    <w:rsid w:val="0007450F"/>
    <w:rsid w:val="0008066E"/>
    <w:rsid w:val="000A4B7C"/>
    <w:rsid w:val="000C7646"/>
    <w:rsid w:val="000D0EB9"/>
    <w:rsid w:val="000D56EF"/>
    <w:rsid w:val="000D5C8D"/>
    <w:rsid w:val="00104E89"/>
    <w:rsid w:val="0013312E"/>
    <w:rsid w:val="00141401"/>
    <w:rsid w:val="00153FB7"/>
    <w:rsid w:val="001760A5"/>
    <w:rsid w:val="001B38A6"/>
    <w:rsid w:val="001C5C33"/>
    <w:rsid w:val="00247643"/>
    <w:rsid w:val="002728AB"/>
    <w:rsid w:val="00280AA3"/>
    <w:rsid w:val="00297B27"/>
    <w:rsid w:val="002D6EBF"/>
    <w:rsid w:val="002D6F0F"/>
    <w:rsid w:val="002E4F7A"/>
    <w:rsid w:val="002F56F4"/>
    <w:rsid w:val="00304E5C"/>
    <w:rsid w:val="0032073E"/>
    <w:rsid w:val="00323A85"/>
    <w:rsid w:val="00323B93"/>
    <w:rsid w:val="00357C55"/>
    <w:rsid w:val="0038109B"/>
    <w:rsid w:val="00395F33"/>
    <w:rsid w:val="003B7D29"/>
    <w:rsid w:val="003C2EA9"/>
    <w:rsid w:val="003C768C"/>
    <w:rsid w:val="003D35C3"/>
    <w:rsid w:val="003E61E1"/>
    <w:rsid w:val="003F3F8E"/>
    <w:rsid w:val="00407F36"/>
    <w:rsid w:val="00413ED1"/>
    <w:rsid w:val="004500C9"/>
    <w:rsid w:val="00454087"/>
    <w:rsid w:val="0045647C"/>
    <w:rsid w:val="0048626E"/>
    <w:rsid w:val="004A0A88"/>
    <w:rsid w:val="004A3F81"/>
    <w:rsid w:val="004B0000"/>
    <w:rsid w:val="004B4849"/>
    <w:rsid w:val="004C5F99"/>
    <w:rsid w:val="004E5880"/>
    <w:rsid w:val="004F2921"/>
    <w:rsid w:val="005115EF"/>
    <w:rsid w:val="0052148A"/>
    <w:rsid w:val="00577AE0"/>
    <w:rsid w:val="005A4571"/>
    <w:rsid w:val="005B2391"/>
    <w:rsid w:val="005D6D4B"/>
    <w:rsid w:val="005E20AA"/>
    <w:rsid w:val="006057E3"/>
    <w:rsid w:val="00621799"/>
    <w:rsid w:val="00640B59"/>
    <w:rsid w:val="006410C8"/>
    <w:rsid w:val="006418AE"/>
    <w:rsid w:val="006446E6"/>
    <w:rsid w:val="0067715F"/>
    <w:rsid w:val="006808F1"/>
    <w:rsid w:val="0069767B"/>
    <w:rsid w:val="006B03A0"/>
    <w:rsid w:val="006D7733"/>
    <w:rsid w:val="006E2FC9"/>
    <w:rsid w:val="00740273"/>
    <w:rsid w:val="00741BC4"/>
    <w:rsid w:val="00756429"/>
    <w:rsid w:val="007866AA"/>
    <w:rsid w:val="007C3F92"/>
    <w:rsid w:val="007C55CA"/>
    <w:rsid w:val="007F66D1"/>
    <w:rsid w:val="00800DEA"/>
    <w:rsid w:val="0084236A"/>
    <w:rsid w:val="00871939"/>
    <w:rsid w:val="008A0EB6"/>
    <w:rsid w:val="008A2EE2"/>
    <w:rsid w:val="008A7CA1"/>
    <w:rsid w:val="008B33A9"/>
    <w:rsid w:val="008C08B8"/>
    <w:rsid w:val="008C20C5"/>
    <w:rsid w:val="00957008"/>
    <w:rsid w:val="00966638"/>
    <w:rsid w:val="00972E93"/>
    <w:rsid w:val="009965CF"/>
    <w:rsid w:val="009A62C1"/>
    <w:rsid w:val="009A7519"/>
    <w:rsid w:val="009E613B"/>
    <w:rsid w:val="009E6B56"/>
    <w:rsid w:val="00A03BA6"/>
    <w:rsid w:val="00A3798C"/>
    <w:rsid w:val="00A5509C"/>
    <w:rsid w:val="00A6152D"/>
    <w:rsid w:val="00AB5A35"/>
    <w:rsid w:val="00AD73E0"/>
    <w:rsid w:val="00B047A2"/>
    <w:rsid w:val="00B3197B"/>
    <w:rsid w:val="00B54C68"/>
    <w:rsid w:val="00B54EC9"/>
    <w:rsid w:val="00B577F1"/>
    <w:rsid w:val="00B60B01"/>
    <w:rsid w:val="00B62344"/>
    <w:rsid w:val="00BA51A7"/>
    <w:rsid w:val="00BB3D94"/>
    <w:rsid w:val="00BD1B02"/>
    <w:rsid w:val="00C0603E"/>
    <w:rsid w:val="00C3044B"/>
    <w:rsid w:val="00C46D48"/>
    <w:rsid w:val="00C54DF1"/>
    <w:rsid w:val="00C92FF8"/>
    <w:rsid w:val="00CA68BF"/>
    <w:rsid w:val="00CB4496"/>
    <w:rsid w:val="00CD0BD9"/>
    <w:rsid w:val="00D07076"/>
    <w:rsid w:val="00D352A0"/>
    <w:rsid w:val="00D956E6"/>
    <w:rsid w:val="00D971B0"/>
    <w:rsid w:val="00DD3FAB"/>
    <w:rsid w:val="00E01C93"/>
    <w:rsid w:val="00E614AB"/>
    <w:rsid w:val="00E819FD"/>
    <w:rsid w:val="00E864D8"/>
    <w:rsid w:val="00E94A7A"/>
    <w:rsid w:val="00E97EAB"/>
    <w:rsid w:val="00EA2A5E"/>
    <w:rsid w:val="00EC698B"/>
    <w:rsid w:val="00F01E25"/>
    <w:rsid w:val="00F27CFD"/>
    <w:rsid w:val="00F73AA5"/>
    <w:rsid w:val="00F77CE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link w:val="Heading4"/>
    <w:rsid w:val="00E01C93"/>
    <w:rPr>
      <w:rFonts w:ascii="Arial" w:hAnsi="Arial" w:cs="Arial"/>
      <w:b/>
      <w:bCs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6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link w:val="Heading4"/>
    <w:rsid w:val="00E01C93"/>
    <w:rPr>
      <w:rFonts w:ascii="Arial" w:hAnsi="Arial" w:cs="Arial"/>
      <w:b/>
      <w:bCs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05FB-98C8-45A6-AB27-AAB9EC2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520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Autogenous Vaccine Authorisation - Variation Application Form</vt:lpstr>
    </vt:vector>
  </TitlesOfParts>
  <Company>VMD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Autogenous Vaccine Authorisation - Variation Application Form</dc:title>
  <dc:subject/>
  <dc:creator>VMD</dc:creator>
  <cp:keywords/>
  <cp:lastModifiedBy>Shilling, Natalie</cp:lastModifiedBy>
  <cp:revision>10</cp:revision>
  <dcterms:created xsi:type="dcterms:W3CDTF">2014-05-14T12:27:00Z</dcterms:created>
  <dcterms:modified xsi:type="dcterms:W3CDTF">2015-04-27T10:40:00Z</dcterms:modified>
</cp:coreProperties>
</file>